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456F" w14:textId="63D7F99A" w:rsidR="006135AA" w:rsidRDefault="00FB75DB" w:rsidP="00804CE5">
      <w:pPr>
        <w:spacing w:after="60" w:line="480" w:lineRule="auto"/>
        <w:rPr>
          <w:rFonts w:ascii="Arial" w:hAnsi="Arial" w:cs="Arial"/>
          <w:b/>
          <w:iCs/>
        </w:rPr>
      </w:pPr>
      <w:r w:rsidRPr="00C36729">
        <w:rPr>
          <w:rFonts w:ascii="Arial" w:hAnsi="Arial" w:cs="Arial"/>
          <w:b/>
          <w:iCs/>
        </w:rPr>
        <w:t xml:space="preserve">A Patient-Level </w:t>
      </w:r>
      <w:r>
        <w:rPr>
          <w:rFonts w:ascii="Arial" w:hAnsi="Arial" w:cs="Arial"/>
          <w:b/>
          <w:iCs/>
        </w:rPr>
        <w:t xml:space="preserve">Pooled </w:t>
      </w:r>
      <w:r w:rsidRPr="00C36729">
        <w:rPr>
          <w:rFonts w:ascii="Arial" w:hAnsi="Arial" w:cs="Arial"/>
          <w:b/>
          <w:iCs/>
        </w:rPr>
        <w:t xml:space="preserve">Analysis </w:t>
      </w:r>
      <w:r>
        <w:rPr>
          <w:rFonts w:ascii="Arial" w:hAnsi="Arial" w:cs="Arial"/>
          <w:b/>
          <w:iCs/>
        </w:rPr>
        <w:t xml:space="preserve">of </w:t>
      </w:r>
      <w:r w:rsidR="00F77548" w:rsidRPr="00C36729">
        <w:rPr>
          <w:rFonts w:ascii="Arial" w:hAnsi="Arial" w:cs="Arial"/>
          <w:b/>
          <w:iCs/>
        </w:rPr>
        <w:t>Treatment Shortening Regimens for Drug-Susceptible Pulmonary Tuberculosis</w:t>
      </w:r>
    </w:p>
    <w:p w14:paraId="7C5DAAA5" w14:textId="77777777" w:rsidR="00507929" w:rsidRPr="00C36729" w:rsidRDefault="00507929" w:rsidP="00804CE5">
      <w:pPr>
        <w:spacing w:after="60" w:line="480" w:lineRule="auto"/>
        <w:rPr>
          <w:rFonts w:ascii="Arial" w:hAnsi="Arial" w:cs="Arial"/>
          <w:b/>
          <w:iCs/>
        </w:rPr>
      </w:pPr>
    </w:p>
    <w:p w14:paraId="067CED27" w14:textId="0A017663" w:rsidR="00B56E3B" w:rsidRDefault="00B56E3B" w:rsidP="00804CE5">
      <w:pPr>
        <w:spacing w:line="480" w:lineRule="auto"/>
        <w:rPr>
          <w:rFonts w:ascii="Arial" w:hAnsi="Arial" w:cs="Arial"/>
        </w:rPr>
      </w:pPr>
      <w:r w:rsidRPr="00C36729">
        <w:rPr>
          <w:rFonts w:ascii="Arial" w:hAnsi="Arial" w:cs="Arial"/>
        </w:rPr>
        <w:t>Marjorie Z. Imperial</w:t>
      </w:r>
      <w:r>
        <w:rPr>
          <w:rFonts w:ascii="Arial" w:hAnsi="Arial" w:cs="Arial"/>
          <w:vertAlign w:val="superscript"/>
        </w:rPr>
        <w:t>1</w:t>
      </w:r>
      <w:r w:rsidR="00E542E5">
        <w:rPr>
          <w:rFonts w:ascii="Arial" w:hAnsi="Arial" w:cs="Arial"/>
        </w:rPr>
        <w:t>*</w:t>
      </w:r>
      <w:r w:rsidRPr="00C36729">
        <w:rPr>
          <w:rFonts w:ascii="Arial" w:hAnsi="Arial" w:cs="Arial"/>
        </w:rPr>
        <w:t>, Payam Nahid</w:t>
      </w:r>
      <w:r>
        <w:rPr>
          <w:rFonts w:ascii="Arial" w:hAnsi="Arial" w:cs="Arial"/>
          <w:vertAlign w:val="superscript"/>
        </w:rPr>
        <w:t>1</w:t>
      </w:r>
      <w:r w:rsidR="00E542E5">
        <w:rPr>
          <w:rFonts w:ascii="Arial" w:hAnsi="Arial" w:cs="Arial"/>
        </w:rPr>
        <w:t>*</w:t>
      </w:r>
      <w:r w:rsidRPr="00C36729">
        <w:rPr>
          <w:rFonts w:ascii="Arial" w:hAnsi="Arial" w:cs="Arial"/>
        </w:rPr>
        <w:t>, Patrick P. J. Phillips</w:t>
      </w:r>
      <w:r>
        <w:rPr>
          <w:rFonts w:ascii="Arial" w:hAnsi="Arial" w:cs="Arial"/>
          <w:vertAlign w:val="superscript"/>
        </w:rPr>
        <w:t>1</w:t>
      </w:r>
      <w:r w:rsidRPr="00C36729">
        <w:rPr>
          <w:rFonts w:ascii="Arial" w:hAnsi="Arial" w:cs="Arial"/>
        </w:rPr>
        <w:t>, Geraint R. Davies</w:t>
      </w:r>
      <w:r>
        <w:rPr>
          <w:rFonts w:ascii="Arial" w:hAnsi="Arial" w:cs="Arial"/>
          <w:vertAlign w:val="superscript"/>
        </w:rPr>
        <w:t>2</w:t>
      </w:r>
      <w:r w:rsidRPr="00C36729">
        <w:rPr>
          <w:rFonts w:ascii="Arial" w:hAnsi="Arial" w:cs="Arial"/>
        </w:rPr>
        <w:t>, Katherine Fielding</w:t>
      </w:r>
      <w:r>
        <w:rPr>
          <w:rFonts w:ascii="Arial" w:hAnsi="Arial" w:cs="Arial"/>
          <w:vertAlign w:val="superscript"/>
        </w:rPr>
        <w:t>3</w:t>
      </w:r>
      <w:r w:rsidRPr="00C36729">
        <w:rPr>
          <w:rFonts w:ascii="Arial" w:hAnsi="Arial" w:cs="Arial"/>
        </w:rPr>
        <w:t>, Debra Hanna</w:t>
      </w:r>
      <w:r>
        <w:rPr>
          <w:rFonts w:ascii="Arial" w:hAnsi="Arial" w:cs="Arial"/>
          <w:vertAlign w:val="superscript"/>
        </w:rPr>
        <w:t>4</w:t>
      </w:r>
      <w:r w:rsidR="00AA261C">
        <w:rPr>
          <w:rFonts w:ascii="Arial" w:hAnsi="Arial" w:cs="Arial"/>
          <w:vertAlign w:val="superscript"/>
        </w:rPr>
        <w:t>,5</w:t>
      </w:r>
      <w:r w:rsidRPr="00C36729">
        <w:rPr>
          <w:rFonts w:ascii="Arial" w:hAnsi="Arial" w:cs="Arial"/>
        </w:rPr>
        <w:t>, David Hermann</w:t>
      </w:r>
      <w:r>
        <w:rPr>
          <w:rFonts w:ascii="Arial" w:hAnsi="Arial" w:cs="Arial"/>
          <w:vertAlign w:val="superscript"/>
        </w:rPr>
        <w:t>5</w:t>
      </w:r>
      <w:r w:rsidRPr="00C36729">
        <w:rPr>
          <w:rFonts w:ascii="Arial" w:hAnsi="Arial" w:cs="Arial"/>
        </w:rPr>
        <w:t>, Robert S</w:t>
      </w:r>
      <w:r>
        <w:rPr>
          <w:rFonts w:ascii="Arial" w:hAnsi="Arial" w:cs="Arial"/>
        </w:rPr>
        <w:t>.</w:t>
      </w:r>
      <w:r w:rsidRPr="00C36729">
        <w:rPr>
          <w:rFonts w:ascii="Arial" w:hAnsi="Arial" w:cs="Arial"/>
        </w:rPr>
        <w:t xml:space="preserve"> Wallis</w:t>
      </w:r>
      <w:r>
        <w:rPr>
          <w:rFonts w:ascii="Arial" w:hAnsi="Arial" w:cs="Arial"/>
          <w:vertAlign w:val="superscript"/>
        </w:rPr>
        <w:t>6</w:t>
      </w:r>
      <w:r w:rsidRPr="00C36729">
        <w:rPr>
          <w:rFonts w:ascii="Arial" w:hAnsi="Arial" w:cs="Arial"/>
        </w:rPr>
        <w:t>,</w:t>
      </w:r>
      <w:r>
        <w:rPr>
          <w:rFonts w:ascii="Arial" w:hAnsi="Arial" w:cs="Arial"/>
        </w:rPr>
        <w:t xml:space="preserve"> </w:t>
      </w:r>
      <w:r w:rsidRPr="00C36729">
        <w:rPr>
          <w:rFonts w:ascii="Arial" w:hAnsi="Arial" w:cs="Arial"/>
        </w:rPr>
        <w:t>John L. Johnson</w:t>
      </w:r>
      <w:r>
        <w:rPr>
          <w:rFonts w:ascii="Arial" w:hAnsi="Arial" w:cs="Arial"/>
          <w:vertAlign w:val="superscript"/>
        </w:rPr>
        <w:t>7</w:t>
      </w:r>
      <w:r w:rsidRPr="00C36729">
        <w:rPr>
          <w:rFonts w:ascii="Arial" w:hAnsi="Arial" w:cs="Arial"/>
        </w:rPr>
        <w:t>,</w:t>
      </w:r>
      <w:r>
        <w:rPr>
          <w:rFonts w:ascii="Arial" w:hAnsi="Arial" w:cs="Arial"/>
        </w:rPr>
        <w:t xml:space="preserve"> </w:t>
      </w:r>
      <w:r w:rsidRPr="00C36729">
        <w:rPr>
          <w:rFonts w:ascii="Arial" w:hAnsi="Arial" w:cs="Arial"/>
        </w:rPr>
        <w:t>Christ</w:t>
      </w:r>
      <w:r>
        <w:rPr>
          <w:rFonts w:ascii="Arial" w:hAnsi="Arial" w:cs="Arial"/>
        </w:rPr>
        <w:t>ia</w:t>
      </w:r>
      <w:r w:rsidRPr="00C36729">
        <w:rPr>
          <w:rFonts w:ascii="Arial" w:hAnsi="Arial" w:cs="Arial"/>
        </w:rPr>
        <w:t>n Lienhardt</w:t>
      </w:r>
      <w:r>
        <w:rPr>
          <w:rFonts w:ascii="Arial" w:hAnsi="Arial" w:cs="Arial"/>
          <w:vertAlign w:val="superscript"/>
        </w:rPr>
        <w:t>8</w:t>
      </w:r>
      <w:r w:rsidRPr="00C36729">
        <w:rPr>
          <w:rFonts w:ascii="Arial" w:hAnsi="Arial" w:cs="Arial"/>
        </w:rPr>
        <w:t>, Rada M. Savic, Ph.D.</w:t>
      </w:r>
      <w:r>
        <w:rPr>
          <w:rFonts w:ascii="Arial" w:hAnsi="Arial" w:cs="Arial"/>
          <w:vertAlign w:val="superscript"/>
        </w:rPr>
        <w:t>1</w:t>
      </w:r>
      <w:r>
        <w:rPr>
          <w:rFonts w:ascii="Arial" w:hAnsi="Arial" w:cs="Arial"/>
        </w:rPr>
        <w:t>*</w:t>
      </w:r>
      <w:r w:rsidR="00E542E5">
        <w:rPr>
          <w:rFonts w:ascii="Arial" w:hAnsi="Arial" w:cs="Arial"/>
        </w:rPr>
        <w:t>*</w:t>
      </w:r>
    </w:p>
    <w:p w14:paraId="01A29AE8" w14:textId="77777777" w:rsidR="00B56E3B" w:rsidRPr="00C36729" w:rsidRDefault="00B56E3B" w:rsidP="00804CE5">
      <w:pPr>
        <w:spacing w:line="480" w:lineRule="auto"/>
        <w:rPr>
          <w:rFonts w:ascii="Arial" w:hAnsi="Arial" w:cs="Arial"/>
        </w:rPr>
      </w:pPr>
    </w:p>
    <w:p w14:paraId="0BE4FB41" w14:textId="4DD6B2BA" w:rsidR="00E542E5" w:rsidRDefault="00B56E3B" w:rsidP="00804CE5">
      <w:pPr>
        <w:spacing w:line="480" w:lineRule="auto"/>
        <w:rPr>
          <w:rFonts w:ascii="Arial" w:hAnsi="Arial" w:cs="Arial"/>
        </w:rPr>
      </w:pPr>
      <w:r>
        <w:rPr>
          <w:rFonts w:ascii="Arial" w:hAnsi="Arial" w:cs="Arial"/>
          <w:vertAlign w:val="superscript"/>
        </w:rPr>
        <w:t>1</w:t>
      </w:r>
      <w:r w:rsidRPr="00C36729">
        <w:rPr>
          <w:rFonts w:ascii="Arial" w:hAnsi="Arial" w:cs="Arial"/>
        </w:rPr>
        <w:t>University of California, San Francisco</w:t>
      </w:r>
      <w:r>
        <w:rPr>
          <w:rFonts w:ascii="Arial" w:hAnsi="Arial" w:cs="Arial"/>
        </w:rPr>
        <w:t xml:space="preserve">, USA. </w:t>
      </w:r>
      <w:r>
        <w:rPr>
          <w:rFonts w:ascii="Arial" w:hAnsi="Arial" w:cs="Arial"/>
          <w:vertAlign w:val="superscript"/>
        </w:rPr>
        <w:t>2</w:t>
      </w:r>
      <w:r w:rsidRPr="00C36729">
        <w:rPr>
          <w:rFonts w:ascii="Arial" w:eastAsia="Times New Roman" w:hAnsi="Arial" w:cs="Arial"/>
          <w:color w:val="000000"/>
          <w:shd w:val="clear" w:color="auto" w:fill="FFFFFF"/>
        </w:rPr>
        <w:t>University of Liverpool, Liverpool</w:t>
      </w:r>
      <w:r>
        <w:rPr>
          <w:rFonts w:ascii="Arial" w:eastAsia="Times New Roman" w:hAnsi="Arial" w:cs="Arial"/>
          <w:color w:val="000000"/>
          <w:shd w:val="clear" w:color="auto" w:fill="FFFFFF"/>
        </w:rPr>
        <w:t xml:space="preserve">, UK. </w:t>
      </w:r>
      <w:r>
        <w:rPr>
          <w:rFonts w:ascii="Arial" w:eastAsia="Times New Roman" w:hAnsi="Arial" w:cs="Arial"/>
          <w:color w:val="000000"/>
          <w:shd w:val="clear" w:color="auto" w:fill="FFFFFF"/>
          <w:vertAlign w:val="superscript"/>
        </w:rPr>
        <w:t>3</w:t>
      </w:r>
      <w:r w:rsidRPr="00C36729">
        <w:rPr>
          <w:rFonts w:ascii="Arial" w:eastAsia="Times New Roman" w:hAnsi="Arial" w:cs="Arial"/>
          <w:color w:val="000000"/>
          <w:shd w:val="clear" w:color="auto" w:fill="FFFFFF"/>
        </w:rPr>
        <w:t>London School of Hygiene and Tropical Medicine, London</w:t>
      </w:r>
      <w:r>
        <w:rPr>
          <w:rFonts w:ascii="Arial" w:eastAsia="Times New Roman" w:hAnsi="Arial" w:cs="Arial"/>
          <w:color w:val="000000"/>
          <w:shd w:val="clear" w:color="auto" w:fill="FFFFFF"/>
        </w:rPr>
        <w:t xml:space="preserve">, UK. </w:t>
      </w:r>
      <w:r>
        <w:rPr>
          <w:rFonts w:ascii="Arial" w:eastAsia="Times New Roman" w:hAnsi="Arial" w:cs="Arial"/>
          <w:color w:val="000000"/>
          <w:shd w:val="clear" w:color="auto" w:fill="FFFFFF"/>
          <w:vertAlign w:val="superscript"/>
        </w:rPr>
        <w:t>4</w:t>
      </w:r>
      <w:r w:rsidRPr="00C36729">
        <w:rPr>
          <w:rFonts w:ascii="Arial" w:hAnsi="Arial" w:cs="Arial"/>
        </w:rPr>
        <w:t xml:space="preserve">Critical Path Institute, </w:t>
      </w:r>
      <w:proofErr w:type="spellStart"/>
      <w:r w:rsidRPr="00C36729">
        <w:rPr>
          <w:rFonts w:ascii="Arial" w:hAnsi="Arial" w:cs="Arial"/>
        </w:rPr>
        <w:t>Tuscon</w:t>
      </w:r>
      <w:proofErr w:type="spellEnd"/>
      <w:r w:rsidRPr="00C36729">
        <w:rPr>
          <w:rFonts w:ascii="Arial" w:hAnsi="Arial" w:cs="Arial"/>
        </w:rPr>
        <w:t>, AZ</w:t>
      </w:r>
      <w:r>
        <w:rPr>
          <w:rFonts w:ascii="Arial" w:hAnsi="Arial" w:cs="Arial"/>
        </w:rPr>
        <w:t xml:space="preserve">, USA. </w:t>
      </w:r>
      <w:r>
        <w:rPr>
          <w:rFonts w:ascii="Arial" w:hAnsi="Arial" w:cs="Arial"/>
          <w:vertAlign w:val="superscript"/>
        </w:rPr>
        <w:t>5</w:t>
      </w:r>
      <w:r>
        <w:rPr>
          <w:rFonts w:ascii="Arial" w:hAnsi="Arial" w:cs="Arial"/>
        </w:rPr>
        <w:t xml:space="preserve">Bill and Melinda Gates Foundation, Seattle, WA, USA. </w:t>
      </w:r>
      <w:r>
        <w:rPr>
          <w:rFonts w:ascii="Arial" w:hAnsi="Arial" w:cs="Arial"/>
          <w:vertAlign w:val="superscript"/>
        </w:rPr>
        <w:t>6</w:t>
      </w:r>
      <w:r w:rsidRPr="00C36729">
        <w:rPr>
          <w:rFonts w:ascii="Arial" w:eastAsia="Times New Roman" w:hAnsi="Arial" w:cs="Arial"/>
          <w:color w:val="000000"/>
          <w:shd w:val="clear" w:color="auto" w:fill="FFFFFF"/>
        </w:rPr>
        <w:t>Aurum Institute, Johannesburg, South Africa</w:t>
      </w:r>
      <w:r>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vertAlign w:val="superscript"/>
        </w:rPr>
        <w:t>7</w:t>
      </w:r>
      <w:r w:rsidRPr="00C36729">
        <w:rPr>
          <w:rFonts w:ascii="Arial" w:hAnsi="Arial" w:cs="Arial"/>
        </w:rPr>
        <w:t>Case Western Reserve University and University Hospitals Cleveland Medical Center, O</w:t>
      </w:r>
      <w:r>
        <w:rPr>
          <w:rFonts w:ascii="Arial" w:hAnsi="Arial" w:cs="Arial"/>
        </w:rPr>
        <w:t xml:space="preserve">H, USA. </w:t>
      </w:r>
      <w:r>
        <w:rPr>
          <w:rFonts w:ascii="Arial" w:hAnsi="Arial" w:cs="Arial"/>
          <w:vertAlign w:val="superscript"/>
        </w:rPr>
        <w:t>8</w:t>
      </w:r>
      <w:r w:rsidRPr="00C36729">
        <w:rPr>
          <w:rFonts w:ascii="Arial" w:eastAsia="Times New Roman" w:hAnsi="Arial" w:cs="Arial"/>
          <w:color w:val="000000"/>
          <w:shd w:val="clear" w:color="auto" w:fill="FFFFFF"/>
        </w:rPr>
        <w:t xml:space="preserve">Global </w:t>
      </w:r>
      <w:proofErr w:type="spellStart"/>
      <w:r w:rsidRPr="00C36729">
        <w:rPr>
          <w:rFonts w:ascii="Arial" w:eastAsia="Times New Roman" w:hAnsi="Arial" w:cs="Arial"/>
          <w:color w:val="000000"/>
          <w:shd w:val="clear" w:color="auto" w:fill="FFFFFF"/>
        </w:rPr>
        <w:t>Programme</w:t>
      </w:r>
      <w:proofErr w:type="spellEnd"/>
      <w:r w:rsidRPr="00C36729">
        <w:rPr>
          <w:rFonts w:ascii="Arial" w:eastAsia="Times New Roman" w:hAnsi="Arial" w:cs="Arial"/>
          <w:color w:val="000000"/>
          <w:shd w:val="clear" w:color="auto" w:fill="FFFFFF"/>
        </w:rPr>
        <w:t xml:space="preserve"> for Tuberculosis, World Health Organization, Geneva, Switzerland</w:t>
      </w:r>
      <w:r>
        <w:rPr>
          <w:rFonts w:ascii="Arial" w:eastAsia="Times New Roman" w:hAnsi="Arial" w:cs="Arial"/>
          <w:color w:val="000000"/>
          <w:shd w:val="clear" w:color="auto" w:fill="FFFFFF"/>
        </w:rPr>
        <w:t xml:space="preserve">. </w:t>
      </w:r>
    </w:p>
    <w:p w14:paraId="3704665B" w14:textId="77777777" w:rsidR="004B74B5" w:rsidRDefault="004B74B5" w:rsidP="00804CE5">
      <w:pPr>
        <w:spacing w:after="60" w:line="480" w:lineRule="auto"/>
        <w:rPr>
          <w:rFonts w:ascii="Arial" w:hAnsi="Arial" w:cs="Arial"/>
        </w:rPr>
      </w:pPr>
    </w:p>
    <w:p w14:paraId="564010F8" w14:textId="2F2B9BCA" w:rsidR="007F4F64" w:rsidRDefault="00E542E5" w:rsidP="00804CE5">
      <w:pPr>
        <w:spacing w:after="60" w:line="480" w:lineRule="auto"/>
        <w:rPr>
          <w:rFonts w:ascii="Arial" w:hAnsi="Arial" w:cs="Arial"/>
        </w:rPr>
      </w:pPr>
      <w:r>
        <w:rPr>
          <w:rFonts w:ascii="Arial" w:hAnsi="Arial" w:cs="Arial"/>
        </w:rPr>
        <w:t>*Co-</w:t>
      </w:r>
      <w:r w:rsidR="004B74B5">
        <w:rPr>
          <w:rFonts w:ascii="Arial" w:hAnsi="Arial" w:cs="Arial"/>
        </w:rPr>
        <w:t>primary authors</w:t>
      </w:r>
    </w:p>
    <w:p w14:paraId="72E03F09" w14:textId="77777777" w:rsidR="004B74B5" w:rsidRPr="00C36729" w:rsidRDefault="004B74B5" w:rsidP="00804CE5">
      <w:pPr>
        <w:spacing w:after="60" w:line="480" w:lineRule="auto"/>
        <w:rPr>
          <w:rFonts w:ascii="Arial" w:eastAsia="Times New Roman" w:hAnsi="Arial" w:cs="Arial"/>
          <w:color w:val="000000"/>
          <w:shd w:val="clear" w:color="auto" w:fill="FFFFFF"/>
        </w:rPr>
      </w:pPr>
    </w:p>
    <w:p w14:paraId="62A66685" w14:textId="75F28471" w:rsidR="00507929" w:rsidRPr="00C36729" w:rsidRDefault="00375E17" w:rsidP="00804CE5">
      <w:pPr>
        <w:spacing w:line="480" w:lineRule="auto"/>
        <w:rPr>
          <w:rFonts w:ascii="Arial" w:eastAsia="Times New Roman" w:hAnsi="Arial" w:cs="Arial"/>
          <w:b/>
          <w:color w:val="000000"/>
          <w:shd w:val="clear" w:color="auto" w:fill="FFFFFF"/>
        </w:rPr>
      </w:pPr>
      <w:r>
        <w:rPr>
          <w:rFonts w:ascii="Arial" w:eastAsia="Times New Roman" w:hAnsi="Arial" w:cs="Arial"/>
          <w:b/>
          <w:color w:val="000000"/>
          <w:shd w:val="clear" w:color="auto" w:fill="FFFFFF"/>
        </w:rPr>
        <w:t>*</w:t>
      </w:r>
      <w:r w:rsidR="00E542E5">
        <w:rPr>
          <w:rFonts w:ascii="Arial" w:eastAsia="Times New Roman" w:hAnsi="Arial" w:cs="Arial"/>
          <w:b/>
          <w:color w:val="000000"/>
          <w:shd w:val="clear" w:color="auto" w:fill="FFFFFF"/>
        </w:rPr>
        <w:t>*</w:t>
      </w:r>
      <w:r w:rsidR="00507929" w:rsidRPr="00C36729">
        <w:rPr>
          <w:rFonts w:ascii="Arial" w:eastAsia="Times New Roman" w:hAnsi="Arial" w:cs="Arial"/>
          <w:b/>
          <w:color w:val="000000"/>
          <w:shd w:val="clear" w:color="auto" w:fill="FFFFFF"/>
        </w:rPr>
        <w:t xml:space="preserve">Corresponding Author: </w:t>
      </w:r>
    </w:p>
    <w:p w14:paraId="24B7F5A1" w14:textId="77777777" w:rsidR="00507929" w:rsidRPr="00C36729" w:rsidRDefault="00507929" w:rsidP="00804CE5">
      <w:pPr>
        <w:spacing w:line="480" w:lineRule="auto"/>
        <w:rPr>
          <w:rFonts w:ascii="Arial" w:hAnsi="Arial" w:cs="Arial"/>
          <w:color w:val="000000"/>
          <w:shd w:val="clear" w:color="auto" w:fill="FFFFFF"/>
        </w:rPr>
      </w:pPr>
      <w:r w:rsidRPr="00C36729">
        <w:rPr>
          <w:rFonts w:ascii="Arial" w:hAnsi="Arial" w:cs="Arial"/>
          <w:color w:val="000000"/>
          <w:shd w:val="clear" w:color="auto" w:fill="FFFFFF"/>
        </w:rPr>
        <w:t>Rada M. Savic, Ph.D.</w:t>
      </w:r>
    </w:p>
    <w:p w14:paraId="4056D7E3" w14:textId="77777777" w:rsidR="00507929" w:rsidRPr="00C36729" w:rsidRDefault="00507929" w:rsidP="00804CE5">
      <w:pPr>
        <w:spacing w:line="480" w:lineRule="auto"/>
        <w:rPr>
          <w:rFonts w:ascii="Arial" w:hAnsi="Arial" w:cs="Arial"/>
          <w:color w:val="000000"/>
          <w:shd w:val="clear" w:color="auto" w:fill="FFFFFF"/>
        </w:rPr>
      </w:pPr>
      <w:r w:rsidRPr="00C36729">
        <w:rPr>
          <w:rFonts w:ascii="Arial" w:hAnsi="Arial" w:cs="Arial"/>
          <w:color w:val="000000"/>
          <w:shd w:val="clear" w:color="auto" w:fill="FFFFFF"/>
        </w:rPr>
        <w:t xml:space="preserve">University of California, San Francisco </w:t>
      </w:r>
    </w:p>
    <w:p w14:paraId="793F3F8A" w14:textId="3A6C44AA" w:rsidR="00507929" w:rsidRPr="00C36729" w:rsidRDefault="00507929" w:rsidP="00804CE5">
      <w:pPr>
        <w:shd w:val="clear" w:color="auto" w:fill="FFFFFF"/>
        <w:spacing w:line="480" w:lineRule="auto"/>
        <w:rPr>
          <w:rFonts w:ascii="Arial" w:hAnsi="Arial" w:cs="Arial"/>
          <w:color w:val="000000"/>
          <w:shd w:val="clear" w:color="auto" w:fill="FFFFFF"/>
        </w:rPr>
      </w:pPr>
      <w:r w:rsidRPr="00C36729">
        <w:rPr>
          <w:rFonts w:ascii="Arial" w:hAnsi="Arial" w:cs="Arial"/>
          <w:color w:val="000000"/>
          <w:shd w:val="clear" w:color="auto" w:fill="FFFFFF"/>
        </w:rPr>
        <w:t>1700 4th St, Rm 503C</w:t>
      </w:r>
      <w:r w:rsidR="007F4F64">
        <w:rPr>
          <w:rFonts w:ascii="Arial" w:hAnsi="Arial" w:cs="Arial"/>
          <w:color w:val="000000"/>
          <w:shd w:val="clear" w:color="auto" w:fill="FFFFFF"/>
        </w:rPr>
        <w:t xml:space="preserve">, </w:t>
      </w:r>
      <w:r w:rsidRPr="00C36729">
        <w:rPr>
          <w:rFonts w:ascii="Arial" w:hAnsi="Arial" w:cs="Arial"/>
          <w:color w:val="000000"/>
          <w:shd w:val="clear" w:color="auto" w:fill="FFFFFF"/>
        </w:rPr>
        <w:t>UCSF Box 2552</w:t>
      </w:r>
    </w:p>
    <w:p w14:paraId="5BC85CD1" w14:textId="51720FDC" w:rsidR="00507929" w:rsidRPr="00C36729" w:rsidRDefault="00507929" w:rsidP="00804CE5">
      <w:pPr>
        <w:shd w:val="clear" w:color="auto" w:fill="FFFFFF"/>
        <w:spacing w:line="480" w:lineRule="auto"/>
        <w:rPr>
          <w:rFonts w:ascii="Arial" w:hAnsi="Arial" w:cs="Arial"/>
          <w:color w:val="000000"/>
          <w:shd w:val="clear" w:color="auto" w:fill="FFFFFF"/>
        </w:rPr>
      </w:pPr>
      <w:r w:rsidRPr="00C36729">
        <w:rPr>
          <w:rFonts w:ascii="Arial" w:hAnsi="Arial" w:cs="Arial"/>
          <w:color w:val="000000"/>
          <w:shd w:val="clear" w:color="auto" w:fill="FFFFFF"/>
        </w:rPr>
        <w:t>San Francisco, CA 94158</w:t>
      </w:r>
      <w:r w:rsidR="007F4F64">
        <w:rPr>
          <w:rFonts w:ascii="Arial" w:hAnsi="Arial" w:cs="Arial"/>
          <w:color w:val="000000"/>
        </w:rPr>
        <w:t xml:space="preserve">, </w:t>
      </w:r>
      <w:r w:rsidRPr="00C36729">
        <w:rPr>
          <w:rFonts w:ascii="Arial" w:hAnsi="Arial" w:cs="Arial"/>
          <w:color w:val="000000"/>
        </w:rPr>
        <w:t>United States</w:t>
      </w:r>
    </w:p>
    <w:p w14:paraId="309D92E5" w14:textId="77777777" w:rsidR="00507929" w:rsidRPr="00C36729" w:rsidRDefault="00507929" w:rsidP="00804CE5">
      <w:pPr>
        <w:spacing w:line="480" w:lineRule="auto"/>
        <w:rPr>
          <w:rFonts w:ascii="Arial" w:hAnsi="Arial" w:cs="Arial"/>
          <w:color w:val="000000"/>
          <w:shd w:val="clear" w:color="auto" w:fill="FFFFFF"/>
        </w:rPr>
      </w:pPr>
      <w:r w:rsidRPr="00C36729">
        <w:rPr>
          <w:rFonts w:ascii="Arial" w:hAnsi="Arial" w:cs="Arial"/>
          <w:color w:val="000000"/>
          <w:shd w:val="clear" w:color="auto" w:fill="FFFFFF"/>
        </w:rPr>
        <w:t>Phone: +1 415 502-0640</w:t>
      </w:r>
    </w:p>
    <w:p w14:paraId="1B0F0C8F" w14:textId="7267D9A3" w:rsidR="00B56E3B" w:rsidRDefault="00507929" w:rsidP="00804CE5">
      <w:pPr>
        <w:spacing w:line="480" w:lineRule="auto"/>
        <w:rPr>
          <w:rFonts w:ascii="Arial" w:hAnsi="Arial" w:cs="Arial"/>
          <w:b/>
        </w:rPr>
      </w:pPr>
      <w:r w:rsidRPr="00C36729">
        <w:rPr>
          <w:rFonts w:ascii="Arial" w:eastAsia="Times New Roman" w:hAnsi="Arial" w:cs="Arial"/>
          <w:color w:val="000000"/>
          <w:shd w:val="clear" w:color="auto" w:fill="FFFFFF"/>
        </w:rPr>
        <w:t xml:space="preserve">Email: </w:t>
      </w:r>
      <w:r w:rsidRPr="00C36729">
        <w:rPr>
          <w:rFonts w:ascii="Arial" w:hAnsi="Arial" w:cs="Arial"/>
          <w:color w:val="000000"/>
          <w:shd w:val="clear" w:color="auto" w:fill="FFFFFF"/>
        </w:rPr>
        <w:t>rada.savic@ucsf.edu</w:t>
      </w:r>
    </w:p>
    <w:p w14:paraId="44CB4444" w14:textId="77777777" w:rsidR="00037FAA" w:rsidRDefault="00037FAA" w:rsidP="00804CE5">
      <w:pPr>
        <w:spacing w:after="60" w:line="480" w:lineRule="auto"/>
        <w:rPr>
          <w:rFonts w:ascii="Arial" w:hAnsi="Arial" w:cs="Arial"/>
          <w:b/>
        </w:rPr>
      </w:pPr>
      <w:r>
        <w:rPr>
          <w:rFonts w:ascii="Arial" w:hAnsi="Arial" w:cs="Arial"/>
          <w:b/>
        </w:rPr>
        <w:br w:type="page"/>
      </w:r>
    </w:p>
    <w:p w14:paraId="6E5EF72D" w14:textId="63CF8F65" w:rsidR="00315981" w:rsidRDefault="00315981" w:rsidP="00804CE5">
      <w:pPr>
        <w:spacing w:after="60" w:line="480" w:lineRule="auto"/>
        <w:rPr>
          <w:rFonts w:ascii="Arial" w:hAnsi="Arial" w:cs="Arial"/>
          <w:b/>
        </w:rPr>
      </w:pPr>
      <w:r>
        <w:rPr>
          <w:rFonts w:ascii="Arial" w:hAnsi="Arial" w:cs="Arial"/>
          <w:b/>
        </w:rPr>
        <w:lastRenderedPageBreak/>
        <w:t>Abstract</w:t>
      </w:r>
    </w:p>
    <w:p w14:paraId="6D3B87B3" w14:textId="54DDB636" w:rsidR="00062D75" w:rsidRPr="00062D75" w:rsidRDefault="00C83374" w:rsidP="00804CE5">
      <w:pPr>
        <w:spacing w:after="60" w:line="480" w:lineRule="auto"/>
        <w:rPr>
          <w:rFonts w:ascii="Arial" w:hAnsi="Arial" w:cs="Arial"/>
        </w:rPr>
      </w:pPr>
      <w:bookmarkStart w:id="0" w:name="_Hlk519522769"/>
      <w:r>
        <w:rPr>
          <w:rFonts w:ascii="Arial" w:hAnsi="Arial" w:cs="Arial"/>
        </w:rPr>
        <w:t>Tuberculosis kills more people than any other infectious disease. Three</w:t>
      </w:r>
      <w:r w:rsidRPr="009439D3">
        <w:rPr>
          <w:rFonts w:ascii="Arial" w:hAnsi="Arial" w:cs="Arial"/>
          <w:b/>
        </w:rPr>
        <w:t xml:space="preserve"> </w:t>
      </w:r>
      <w:r>
        <w:rPr>
          <w:rFonts w:ascii="Arial" w:hAnsi="Arial" w:cs="Arial"/>
        </w:rPr>
        <w:t xml:space="preserve">pivotal </w:t>
      </w:r>
      <w:r w:rsidR="000A7BA0">
        <w:rPr>
          <w:rFonts w:ascii="Arial" w:hAnsi="Arial" w:cs="Arial"/>
        </w:rPr>
        <w:t>trials</w:t>
      </w:r>
      <w:r w:rsidR="0097482E">
        <w:rPr>
          <w:rFonts w:ascii="Arial" w:hAnsi="Arial" w:cs="Arial"/>
        </w:rPr>
        <w:t xml:space="preserve"> testing</w:t>
      </w:r>
      <w:r w:rsidR="000A7BA0">
        <w:rPr>
          <w:rFonts w:ascii="Arial" w:hAnsi="Arial" w:cs="Arial"/>
        </w:rPr>
        <w:t xml:space="preserve"> </w:t>
      </w:r>
      <w:r w:rsidR="0097482E">
        <w:rPr>
          <w:rFonts w:ascii="Arial" w:hAnsi="Arial" w:cs="Arial"/>
        </w:rPr>
        <w:t xml:space="preserve">4-month regimens </w:t>
      </w:r>
      <w:r w:rsidR="000A7BA0">
        <w:rPr>
          <w:rFonts w:ascii="Arial" w:hAnsi="Arial" w:cs="Arial"/>
        </w:rPr>
        <w:t xml:space="preserve">failed to </w:t>
      </w:r>
      <w:r w:rsidR="0097482E">
        <w:rPr>
          <w:rFonts w:ascii="Arial" w:hAnsi="Arial" w:cs="Arial"/>
        </w:rPr>
        <w:t xml:space="preserve">meet non-inferiority </w:t>
      </w:r>
      <w:r w:rsidR="0097482E">
        <w:rPr>
          <w:rFonts w:ascii="Arial" w:hAnsi="Arial" w:cs="Arial"/>
        </w:rPr>
        <w:t>margins</w:t>
      </w:r>
      <w:r>
        <w:rPr>
          <w:rFonts w:ascii="Arial" w:hAnsi="Arial" w:cs="Arial"/>
        </w:rPr>
        <w:t>, however</w:t>
      </w:r>
      <w:r w:rsidR="00BC4F83">
        <w:rPr>
          <w:rFonts w:ascii="Arial" w:hAnsi="Arial" w:cs="Arial"/>
        </w:rPr>
        <w:t>,</w:t>
      </w:r>
      <w:r>
        <w:rPr>
          <w:rFonts w:ascii="Arial" w:hAnsi="Arial" w:cs="Arial"/>
        </w:rPr>
        <w:t xml:space="preserve"> </w:t>
      </w:r>
      <w:r w:rsidR="00BA2EF2">
        <w:rPr>
          <w:rFonts w:ascii="Arial" w:hAnsi="Arial" w:cs="Arial"/>
        </w:rPr>
        <w:t xml:space="preserve">approximately </w:t>
      </w:r>
      <w:r w:rsidR="00BC4F83">
        <w:rPr>
          <w:rFonts w:ascii="Arial" w:hAnsi="Arial" w:cs="Arial"/>
        </w:rPr>
        <w:t xml:space="preserve">four fifths </w:t>
      </w:r>
      <w:r w:rsidR="0097482E">
        <w:rPr>
          <w:rFonts w:ascii="Arial" w:hAnsi="Arial" w:cs="Arial"/>
        </w:rPr>
        <w:t xml:space="preserve">of </w:t>
      </w:r>
      <w:r w:rsidR="00BA2EF2">
        <w:rPr>
          <w:rFonts w:ascii="Arial" w:hAnsi="Arial" w:cs="Arial"/>
        </w:rPr>
        <w:t>participants</w:t>
      </w:r>
      <w:r w:rsidR="0097482E">
        <w:rPr>
          <w:rFonts w:ascii="Arial" w:hAnsi="Arial" w:cs="Arial"/>
        </w:rPr>
        <w:t xml:space="preserve"> </w:t>
      </w:r>
      <w:r w:rsidR="0097482E">
        <w:rPr>
          <w:rFonts w:ascii="Arial" w:hAnsi="Arial" w:cs="Arial"/>
        </w:rPr>
        <w:t>were c</w:t>
      </w:r>
      <w:r w:rsidR="0097482E">
        <w:rPr>
          <w:rFonts w:ascii="Arial" w:hAnsi="Arial" w:cs="Arial"/>
        </w:rPr>
        <w:t>u</w:t>
      </w:r>
      <w:r w:rsidR="0097482E">
        <w:rPr>
          <w:rFonts w:ascii="Arial" w:hAnsi="Arial" w:cs="Arial"/>
        </w:rPr>
        <w:t>red</w:t>
      </w:r>
      <w:r w:rsidR="005E6712">
        <w:rPr>
          <w:rFonts w:ascii="Arial" w:hAnsi="Arial" w:cs="Arial"/>
        </w:rPr>
        <w:t>.</w:t>
      </w:r>
      <w:r w:rsidR="005C5A51">
        <w:rPr>
          <w:rFonts w:ascii="Arial" w:hAnsi="Arial" w:cs="Arial"/>
        </w:rPr>
        <w:t xml:space="preserve"> </w:t>
      </w:r>
      <w:r w:rsidR="00B3158C">
        <w:rPr>
          <w:rFonts w:ascii="Arial" w:hAnsi="Arial" w:cs="Arial"/>
        </w:rPr>
        <w:t xml:space="preserve"> </w:t>
      </w:r>
      <w:r>
        <w:rPr>
          <w:rFonts w:ascii="Arial" w:hAnsi="Arial" w:cs="Arial"/>
        </w:rPr>
        <w:t xml:space="preserve">Through a </w:t>
      </w:r>
      <w:r w:rsidR="008007DC">
        <w:rPr>
          <w:rFonts w:ascii="Arial" w:hAnsi="Arial" w:cs="Arial"/>
        </w:rPr>
        <w:t xml:space="preserve">pooled </w:t>
      </w:r>
      <w:r>
        <w:rPr>
          <w:rFonts w:ascii="Arial" w:hAnsi="Arial" w:cs="Arial"/>
        </w:rPr>
        <w:t>analysis of patient</w:t>
      </w:r>
      <w:r w:rsidR="00E868BB">
        <w:rPr>
          <w:rFonts w:ascii="Arial" w:hAnsi="Arial" w:cs="Arial"/>
        </w:rPr>
        <w:t>-level</w:t>
      </w:r>
      <w:r w:rsidR="00E868BB">
        <w:rPr>
          <w:rFonts w:ascii="Arial" w:hAnsi="Arial" w:cs="Arial"/>
        </w:rPr>
        <w:t xml:space="preserve"> </w:t>
      </w:r>
      <w:r>
        <w:rPr>
          <w:rFonts w:ascii="Arial" w:hAnsi="Arial" w:cs="Arial"/>
        </w:rPr>
        <w:t>data</w:t>
      </w:r>
      <w:r w:rsidR="00694E49">
        <w:rPr>
          <w:rFonts w:ascii="Arial" w:hAnsi="Arial" w:cs="Arial"/>
        </w:rPr>
        <w:t xml:space="preserve"> with external validation</w:t>
      </w:r>
      <w:r>
        <w:rPr>
          <w:rFonts w:ascii="Arial" w:hAnsi="Arial" w:cs="Arial"/>
        </w:rPr>
        <w:t xml:space="preserve">, we </w:t>
      </w:r>
      <w:r w:rsidR="00BA2EF2">
        <w:rPr>
          <w:rFonts w:ascii="Arial" w:hAnsi="Arial" w:cs="Arial"/>
        </w:rPr>
        <w:t>identify</w:t>
      </w:r>
      <w:r w:rsidR="00BA2EF2">
        <w:rPr>
          <w:rFonts w:ascii="Arial" w:hAnsi="Arial" w:cs="Arial"/>
        </w:rPr>
        <w:t xml:space="preserve"> </w:t>
      </w:r>
      <w:r>
        <w:rPr>
          <w:rFonts w:ascii="Arial" w:hAnsi="Arial" w:cs="Arial"/>
        </w:rPr>
        <w:t>populations eligible for 4-month treatment</w:t>
      </w:r>
      <w:r w:rsidR="00E868BB">
        <w:rPr>
          <w:rFonts w:ascii="Arial" w:hAnsi="Arial" w:cs="Arial"/>
        </w:rPr>
        <w:t>,</w:t>
      </w:r>
      <w:r w:rsidR="00E868BB">
        <w:rPr>
          <w:rFonts w:ascii="Arial" w:hAnsi="Arial" w:cs="Arial"/>
        </w:rPr>
        <w:t xml:space="preserve"> </w:t>
      </w:r>
      <w:r>
        <w:rPr>
          <w:rFonts w:ascii="Arial" w:hAnsi="Arial" w:cs="Arial"/>
        </w:rPr>
        <w:t>phenotypes that are hard-to-treat</w:t>
      </w:r>
      <w:r w:rsidR="00483F02">
        <w:rPr>
          <w:rFonts w:ascii="Arial" w:hAnsi="Arial" w:cs="Arial"/>
        </w:rPr>
        <w:t>,</w:t>
      </w:r>
      <w:r w:rsidR="00E868BB">
        <w:rPr>
          <w:rFonts w:ascii="Arial" w:hAnsi="Arial" w:cs="Arial"/>
        </w:rPr>
        <w:t xml:space="preserve"> and</w:t>
      </w:r>
      <w:r>
        <w:rPr>
          <w:rFonts w:ascii="Arial" w:hAnsi="Arial" w:cs="Arial"/>
        </w:rPr>
        <w:t xml:space="preserve"> </w:t>
      </w:r>
      <w:r w:rsidR="00BA2EF2">
        <w:rPr>
          <w:rFonts w:ascii="Arial" w:hAnsi="Arial" w:cs="Arial"/>
        </w:rPr>
        <w:t>evaluate</w:t>
      </w:r>
      <w:r w:rsidR="00BA2EF2">
        <w:rPr>
          <w:rFonts w:ascii="Arial" w:hAnsi="Arial" w:cs="Arial"/>
        </w:rPr>
        <w:t xml:space="preserve"> the</w:t>
      </w:r>
      <w:r w:rsidR="000403D0">
        <w:rPr>
          <w:rFonts w:ascii="Arial" w:hAnsi="Arial" w:cs="Arial"/>
        </w:rPr>
        <w:t xml:space="preserve"> impact of </w:t>
      </w:r>
      <w:r w:rsidR="005B50F2">
        <w:rPr>
          <w:rFonts w:ascii="Arial" w:hAnsi="Arial" w:cs="Arial"/>
        </w:rPr>
        <w:t xml:space="preserve">adherence and </w:t>
      </w:r>
      <w:r w:rsidR="000403D0">
        <w:rPr>
          <w:rFonts w:ascii="Arial" w:hAnsi="Arial" w:cs="Arial"/>
        </w:rPr>
        <w:t xml:space="preserve">dosing </w:t>
      </w:r>
      <w:r w:rsidR="005B50F2">
        <w:rPr>
          <w:rFonts w:ascii="Arial" w:hAnsi="Arial" w:cs="Arial"/>
        </w:rPr>
        <w:t>strategy</w:t>
      </w:r>
      <w:r w:rsidR="000403D0">
        <w:rPr>
          <w:rFonts w:ascii="Arial" w:hAnsi="Arial" w:cs="Arial"/>
        </w:rPr>
        <w:t xml:space="preserve"> on outcomes.</w:t>
      </w:r>
      <w:r>
        <w:rPr>
          <w:rFonts w:ascii="Arial" w:hAnsi="Arial" w:cs="Arial"/>
        </w:rPr>
        <w:t xml:space="preserve">  </w:t>
      </w:r>
      <w:r w:rsidR="005B50F2">
        <w:rPr>
          <w:rFonts w:ascii="Arial" w:hAnsi="Arial" w:cs="Arial"/>
        </w:rPr>
        <w:t xml:space="preserve">In </w:t>
      </w:r>
      <w:r w:rsidR="00D81BA2">
        <w:rPr>
          <w:rFonts w:ascii="Arial" w:hAnsi="Arial" w:cs="Arial"/>
        </w:rPr>
        <w:t>3405 participants</w:t>
      </w:r>
      <w:r w:rsidR="00694E49">
        <w:rPr>
          <w:rFonts w:ascii="Arial" w:hAnsi="Arial" w:cs="Arial"/>
        </w:rPr>
        <w:t xml:space="preserve"> </w:t>
      </w:r>
      <w:r>
        <w:rPr>
          <w:rFonts w:ascii="Arial" w:hAnsi="Arial" w:cs="Arial"/>
        </w:rPr>
        <w:t xml:space="preserve">included in </w:t>
      </w:r>
      <w:r w:rsidR="005B50F2">
        <w:rPr>
          <w:rFonts w:ascii="Arial" w:hAnsi="Arial" w:cs="Arial"/>
        </w:rPr>
        <w:t>analyses</w:t>
      </w:r>
      <w:r>
        <w:rPr>
          <w:rFonts w:ascii="Arial" w:hAnsi="Arial" w:cs="Arial"/>
        </w:rPr>
        <w:t>,</w:t>
      </w:r>
      <w:r w:rsidR="005B50F2">
        <w:rPr>
          <w:rFonts w:ascii="Arial" w:hAnsi="Arial" w:cs="Arial"/>
        </w:rPr>
        <w:t xml:space="preserve"> baseline smear grade of 3+ </w:t>
      </w:r>
      <w:r w:rsidR="00A77AE5">
        <w:rPr>
          <w:rFonts w:ascii="Arial" w:hAnsi="Arial" w:cs="Arial"/>
        </w:rPr>
        <w:t xml:space="preserve">relative to </w:t>
      </w:r>
      <w:r w:rsidR="005E6712">
        <w:rPr>
          <w:rFonts w:ascii="Arial" w:hAnsi="Arial" w:cs="Arial"/>
        </w:rPr>
        <w:t xml:space="preserve">&lt;2+, </w:t>
      </w:r>
      <w:r>
        <w:rPr>
          <w:rFonts w:ascii="Arial" w:hAnsi="Arial" w:cs="Arial"/>
        </w:rPr>
        <w:t>HIV</w:t>
      </w:r>
      <w:r w:rsidR="00E868BB">
        <w:rPr>
          <w:rFonts w:ascii="Arial" w:hAnsi="Arial" w:cs="Arial"/>
        </w:rPr>
        <w:t xml:space="preserve"> </w:t>
      </w:r>
      <w:proofErr w:type="spellStart"/>
      <w:r w:rsidR="00E868BB">
        <w:rPr>
          <w:rFonts w:ascii="Arial" w:hAnsi="Arial" w:cs="Arial"/>
        </w:rPr>
        <w:t>seropositivity</w:t>
      </w:r>
      <w:proofErr w:type="spellEnd"/>
      <w:r w:rsidR="00E868BB">
        <w:rPr>
          <w:rFonts w:ascii="Arial" w:hAnsi="Arial" w:cs="Arial"/>
        </w:rPr>
        <w:t xml:space="preserve"> </w:t>
      </w:r>
      <w:r>
        <w:rPr>
          <w:rFonts w:ascii="Arial" w:hAnsi="Arial" w:cs="Arial"/>
        </w:rPr>
        <w:t xml:space="preserve">and </w:t>
      </w:r>
      <w:r w:rsidR="005B50F2">
        <w:rPr>
          <w:rFonts w:ascii="Arial" w:hAnsi="Arial" w:cs="Arial"/>
        </w:rPr>
        <w:t xml:space="preserve">adherence of </w:t>
      </w:r>
      <m:oMath>
        <m:r>
          <w:rPr>
            <w:rFonts w:ascii="Cambria Math" w:hAnsi="Cambria Math" w:cs="Arial"/>
          </w:rPr>
          <m:t>≤</m:t>
        </m:r>
      </m:oMath>
      <w:r w:rsidR="005B50F2">
        <w:rPr>
          <w:rFonts w:ascii="Arial" w:hAnsi="Arial" w:cs="Arial"/>
        </w:rPr>
        <w:t>90%</w:t>
      </w:r>
      <w:r w:rsidR="00A77AE5">
        <w:rPr>
          <w:rFonts w:ascii="Arial" w:hAnsi="Arial" w:cs="Arial"/>
        </w:rPr>
        <w:t xml:space="preserve"> </w:t>
      </w:r>
      <w:r>
        <w:rPr>
          <w:rFonts w:ascii="Arial" w:hAnsi="Arial" w:cs="Arial"/>
        </w:rPr>
        <w:t xml:space="preserve">were </w:t>
      </w:r>
      <w:r w:rsidR="00E868BB">
        <w:rPr>
          <w:rFonts w:ascii="Arial" w:hAnsi="Arial" w:cs="Arial"/>
        </w:rPr>
        <w:t xml:space="preserve">significant </w:t>
      </w:r>
      <w:r>
        <w:rPr>
          <w:rFonts w:ascii="Arial" w:hAnsi="Arial" w:cs="Arial"/>
        </w:rPr>
        <w:t>risk factors</w:t>
      </w:r>
      <w:r w:rsidR="005B50F2">
        <w:rPr>
          <w:rFonts w:ascii="Arial" w:hAnsi="Arial" w:cs="Arial"/>
        </w:rPr>
        <w:t xml:space="preserve"> for unfavorable outcome</w:t>
      </w:r>
      <w:r>
        <w:rPr>
          <w:rFonts w:ascii="Arial" w:hAnsi="Arial" w:cs="Arial"/>
        </w:rPr>
        <w:t xml:space="preserve">. </w:t>
      </w:r>
      <w:r w:rsidR="00E868BB">
        <w:rPr>
          <w:rFonts w:ascii="Arial" w:hAnsi="Arial" w:cs="Arial"/>
        </w:rPr>
        <w:t>F</w:t>
      </w:r>
      <w:r>
        <w:rPr>
          <w:rFonts w:ascii="Arial" w:hAnsi="Arial" w:cs="Arial"/>
        </w:rPr>
        <w:t xml:space="preserve">our-month regimens were non-inferior in participants with minimal disease </w:t>
      </w:r>
      <w:r w:rsidR="00483F02">
        <w:rPr>
          <w:rFonts w:ascii="Arial" w:hAnsi="Arial" w:cs="Arial"/>
        </w:rPr>
        <w:t xml:space="preserve">defined by </w:t>
      </w:r>
      <w:r w:rsidR="006076A4">
        <w:rPr>
          <w:rFonts w:ascii="Arial" w:hAnsi="Arial" w:cs="Arial"/>
        </w:rPr>
        <w:t>&lt;</w:t>
      </w:r>
      <w:r w:rsidR="00002E6A">
        <w:rPr>
          <w:rFonts w:ascii="Arial" w:hAnsi="Arial" w:cs="Arial"/>
        </w:rPr>
        <w:t>2</w:t>
      </w:r>
      <w:r>
        <w:rPr>
          <w:rFonts w:ascii="Arial" w:hAnsi="Arial" w:cs="Arial"/>
        </w:rPr>
        <w:t xml:space="preserve">+ sputum smear grade or non-cavitary </w:t>
      </w:r>
      <w:r w:rsidR="00BA2EF2">
        <w:rPr>
          <w:rFonts w:ascii="Arial" w:hAnsi="Arial" w:cs="Arial"/>
        </w:rPr>
        <w:t>disease</w:t>
      </w:r>
      <w:r w:rsidRPr="009439D3">
        <w:rPr>
          <w:rFonts w:ascii="Arial" w:hAnsi="Arial" w:cs="Arial"/>
        </w:rPr>
        <w:t>.</w:t>
      </w:r>
      <w:r>
        <w:rPr>
          <w:rFonts w:ascii="Arial" w:hAnsi="Arial" w:cs="Arial"/>
        </w:rPr>
        <w:t xml:space="preserve"> A hard-to-treat phenotype, defined by high smear</w:t>
      </w:r>
      <w:r w:rsidR="00E54B64">
        <w:rPr>
          <w:rFonts w:ascii="Arial" w:hAnsi="Arial" w:cs="Arial"/>
        </w:rPr>
        <w:t xml:space="preserve"> </w:t>
      </w:r>
      <w:r w:rsidR="00BA2EF2">
        <w:rPr>
          <w:rFonts w:ascii="Arial" w:hAnsi="Arial" w:cs="Arial"/>
        </w:rPr>
        <w:t xml:space="preserve">grades </w:t>
      </w:r>
      <w:r w:rsidR="00E54B64">
        <w:rPr>
          <w:rFonts w:ascii="Arial" w:hAnsi="Arial" w:cs="Arial"/>
        </w:rPr>
        <w:t>and</w:t>
      </w:r>
      <w:r>
        <w:rPr>
          <w:rFonts w:ascii="Arial" w:hAnsi="Arial" w:cs="Arial"/>
        </w:rPr>
        <w:t xml:space="preserve"> cavitation </w:t>
      </w:r>
      <w:r w:rsidR="00C52D30">
        <w:rPr>
          <w:rFonts w:ascii="Arial" w:hAnsi="Arial" w:cs="Arial"/>
        </w:rPr>
        <w:t xml:space="preserve">may </w:t>
      </w:r>
      <w:r>
        <w:rPr>
          <w:rFonts w:ascii="Arial" w:hAnsi="Arial" w:cs="Arial"/>
        </w:rPr>
        <w:t xml:space="preserve">require </w:t>
      </w:r>
      <w:r w:rsidRPr="000D1228">
        <w:rPr>
          <w:rFonts w:ascii="Arial" w:hAnsi="Arial" w:cs="Arial"/>
        </w:rPr>
        <w:t>duration</w:t>
      </w:r>
      <w:r>
        <w:rPr>
          <w:rFonts w:ascii="Arial" w:hAnsi="Arial" w:cs="Arial"/>
        </w:rPr>
        <w:t>s &gt; 6-months to cure all</w:t>
      </w:r>
      <w:r w:rsidR="00E868BB">
        <w:rPr>
          <w:rFonts w:ascii="Arial" w:hAnsi="Arial" w:cs="Arial"/>
        </w:rPr>
        <w:t xml:space="preserve">. </w:t>
      </w:r>
      <w:r w:rsidR="00E868BB">
        <w:rPr>
          <w:rFonts w:ascii="Arial" w:hAnsi="Arial" w:cs="Arial"/>
        </w:rPr>
        <w:t>R</w:t>
      </w:r>
      <w:r w:rsidR="00062D75" w:rsidRPr="00062D75">
        <w:rPr>
          <w:rFonts w:ascii="Arial" w:hAnsi="Arial" w:cs="Arial"/>
        </w:rPr>
        <w:t xml:space="preserve">egimen duration can be selected with greater precision to improve outcomes, providing a stratified medicine </w:t>
      </w:r>
      <w:r w:rsidR="00694E49">
        <w:rPr>
          <w:rFonts w:ascii="Arial" w:hAnsi="Arial" w:cs="Arial"/>
        </w:rPr>
        <w:t>approach</w:t>
      </w:r>
      <w:r w:rsidR="00694E49" w:rsidRPr="00062D75">
        <w:rPr>
          <w:rFonts w:ascii="Arial" w:hAnsi="Arial" w:cs="Arial"/>
        </w:rPr>
        <w:t xml:space="preserve"> </w:t>
      </w:r>
      <w:r w:rsidR="00694E49">
        <w:rPr>
          <w:rFonts w:ascii="Arial" w:hAnsi="Arial" w:cs="Arial"/>
        </w:rPr>
        <w:t>as an alternative to</w:t>
      </w:r>
      <w:r w:rsidR="00694E49" w:rsidRPr="00062D75">
        <w:rPr>
          <w:rFonts w:ascii="Arial" w:hAnsi="Arial" w:cs="Arial"/>
        </w:rPr>
        <w:t xml:space="preserve"> </w:t>
      </w:r>
      <w:r w:rsidR="00062D75" w:rsidRPr="00062D75">
        <w:rPr>
          <w:rFonts w:ascii="Arial" w:hAnsi="Arial" w:cs="Arial"/>
        </w:rPr>
        <w:t>the “one-size-fits-all” treatment currently used worldwide</w:t>
      </w:r>
      <w:r w:rsidR="00342DFE">
        <w:rPr>
          <w:rFonts w:ascii="Arial" w:hAnsi="Arial" w:cs="Arial"/>
        </w:rPr>
        <w:t>.</w:t>
      </w:r>
      <w:r w:rsidR="00062D75" w:rsidRPr="00062D75">
        <w:rPr>
          <w:rFonts w:ascii="Arial" w:hAnsi="Arial" w:cs="Arial"/>
        </w:rPr>
        <w:t xml:space="preserve"> </w:t>
      </w:r>
    </w:p>
    <w:bookmarkEnd w:id="0"/>
    <w:p w14:paraId="5FE9B0BA" w14:textId="77777777" w:rsidR="00062D75" w:rsidRDefault="00062D75" w:rsidP="00804CE5">
      <w:pPr>
        <w:spacing w:after="60" w:line="480" w:lineRule="auto"/>
        <w:rPr>
          <w:rFonts w:ascii="Arial" w:hAnsi="Arial" w:cs="Arial"/>
        </w:rPr>
      </w:pPr>
    </w:p>
    <w:p w14:paraId="5B3C8A92" w14:textId="77777777" w:rsidR="00CC1D42" w:rsidRDefault="00CC1D42" w:rsidP="00804CE5">
      <w:pPr>
        <w:spacing w:line="480" w:lineRule="auto"/>
        <w:rPr>
          <w:rFonts w:ascii="Arial" w:hAnsi="Arial" w:cs="Arial"/>
        </w:rPr>
      </w:pPr>
    </w:p>
    <w:p w14:paraId="3C9CE51F" w14:textId="7CC9421B" w:rsidR="00CC1D42" w:rsidRDefault="00126605" w:rsidP="00804CE5">
      <w:pPr>
        <w:spacing w:line="480" w:lineRule="auto"/>
        <w:outlineLvl w:val="0"/>
        <w:rPr>
          <w:rFonts w:ascii="Arial" w:hAnsi="Arial" w:cs="Arial"/>
        </w:rPr>
      </w:pPr>
      <w:r w:rsidRPr="00FD0033">
        <w:rPr>
          <w:rFonts w:ascii="Arial" w:hAnsi="Arial"/>
        </w:rPr>
        <w:br w:type="page"/>
      </w:r>
    </w:p>
    <w:p w14:paraId="6A0EA72F" w14:textId="61383398" w:rsidR="00CC1D42" w:rsidRDefault="00126605" w:rsidP="00804CE5">
      <w:pPr>
        <w:spacing w:line="480" w:lineRule="auto"/>
        <w:outlineLvl w:val="0"/>
        <w:rPr>
          <w:rFonts w:ascii="Arial" w:hAnsi="Arial" w:cs="Arial"/>
        </w:rPr>
      </w:pPr>
      <w:r>
        <w:rPr>
          <w:rFonts w:ascii="Arial" w:hAnsi="Arial" w:cs="Arial"/>
          <w:b/>
        </w:rPr>
        <w:lastRenderedPageBreak/>
        <w:t>Introduction</w:t>
      </w:r>
    </w:p>
    <w:p w14:paraId="2839A1D4" w14:textId="1D6153FE" w:rsidR="0046176F" w:rsidRPr="00FD0033" w:rsidRDefault="0046176F" w:rsidP="00804CE5">
      <w:pPr>
        <w:spacing w:line="480" w:lineRule="auto"/>
        <w:rPr>
          <w:rFonts w:ascii="Arial" w:hAnsi="Arial"/>
        </w:rPr>
      </w:pPr>
      <w:r>
        <w:rPr>
          <w:rFonts w:ascii="Arial" w:hAnsi="Arial" w:cs="Arial"/>
        </w:rPr>
        <w:t xml:space="preserve">Three recent international randomized phase 3 trials </w:t>
      </w:r>
      <w:r w:rsidR="00056C2E">
        <w:rPr>
          <w:rFonts w:ascii="Arial" w:hAnsi="Arial" w:cs="Arial"/>
        </w:rPr>
        <w:t xml:space="preserve">evaluating </w:t>
      </w:r>
      <w:r>
        <w:rPr>
          <w:rFonts w:ascii="Arial" w:hAnsi="Arial" w:cs="Arial"/>
        </w:rPr>
        <w:t>4-month fluoroquinolone-containing regimens</w:t>
      </w:r>
      <w:r w:rsidRPr="009439D3">
        <w:rPr>
          <w:rFonts w:ascii="Arial" w:hAnsi="Arial" w:cs="Arial"/>
        </w:rPr>
        <w:t xml:space="preserve"> </w:t>
      </w:r>
      <w:r>
        <w:rPr>
          <w:rFonts w:ascii="Arial" w:hAnsi="Arial" w:cs="Arial"/>
        </w:rPr>
        <w:t>in adults with pulmonary, drug-susceptible tuberculosis (TB) failed to achieve non-inferiority as compared to the standard 6-month control regimen (OFLOTUB</w:t>
      </w:r>
      <w:r>
        <w:rPr>
          <w:rFonts w:ascii="Arial" w:hAnsi="Arial"/>
        </w:rPr>
        <w:fldChar w:fldCharType="begin" w:fldLock="1"/>
      </w:r>
      <w:r w:rsidR="00A57045">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"mendeley" : { "formattedCitation" : "&lt;sup&gt;1&lt;/sup&gt;", "plainTextFormattedCitation" : "1", "previouslyFormattedCitation" : "&lt;sup&gt;1&lt;/sup&gt;" }, "properties" : {  }, "schema" : "https://github.com/citation-style-language/schema/raw/master/csl-citation.json" }</w:instrText>
      </w:r>
      <w:r>
        <w:rPr>
          <w:rFonts w:ascii="Arial" w:hAnsi="Arial" w:cs="Arial"/>
        </w:rPr>
        <w:fldChar w:fldCharType="separate"/>
      </w:r>
      <w:r w:rsidR="00507929" w:rsidRPr="00507929">
        <w:rPr>
          <w:rFonts w:ascii="Arial" w:hAnsi="Arial" w:cs="Arial"/>
          <w:noProof/>
          <w:vertAlign w:val="superscript"/>
        </w:rPr>
        <w:t>1</w:t>
      </w:r>
      <w:r>
        <w:rPr>
          <w:rFonts w:ascii="Arial" w:hAnsi="Arial" w:cs="Arial"/>
        </w:rPr>
        <w:fldChar w:fldCharType="end"/>
      </w:r>
      <w:r>
        <w:rPr>
          <w:rFonts w:ascii="Arial" w:hAnsi="Arial" w:cs="Arial"/>
        </w:rPr>
        <w:t>, Clinica</w:t>
      </w:r>
      <w:r w:rsidR="0068164E">
        <w:rPr>
          <w:rFonts w:ascii="Arial" w:hAnsi="Arial" w:cs="Arial"/>
        </w:rPr>
        <w:t>lTrials.gov number, NCT00216385;</w:t>
      </w:r>
      <w:r>
        <w:rPr>
          <w:rFonts w:ascii="Arial" w:hAnsi="Arial" w:cs="Arial"/>
        </w:rPr>
        <w:t xml:space="preserve"> REMoxTB</w:t>
      </w:r>
      <w:r>
        <w:rPr>
          <w:rFonts w:ascii="Arial" w:hAnsi="Arial"/>
        </w:rPr>
        <w:fldChar w:fldCharType="begin" w:fldLock="1"/>
      </w:r>
      <w:r w:rsidR="00507929">
        <w:rPr>
          <w:rFonts w:ascii="Arial" w:hAnsi="Arial" w:cs="Arial"/>
        </w:rPr>
        <w:instrText>ADDIN CSL_CITATION { "citationItems" : [ { "id" : "ITEM-1",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"ITEM-1", "issue" : "17", "issued" : { "date-parts" : [ [ "2014" ] ] }, "note" : "protocol", "page" : "1577-1587", "title" : "Four-Month Moxifloxacin-Based Regimens for Drug-Sensitive Tuberculosis", "type" : "article-journal", "volume" : "371" }, "uris" : [ "http://www.mendeley.com/documents/?uuid=17bfccc4-ae6c-4d94-8f68-f851bb5d6b42" ] } ], "mendeley" : { "formattedCitation" : "&lt;sup&gt;2&lt;/sup&gt;", "plainTextFormattedCitation" : "2", "previouslyFormattedCitation" : "&lt;sup&gt;2&lt;/sup&gt;" }, "properties" : {  }, "schema" : "https://github.com/citation-style-language/schema/raw/master/csl-citation.json" }</w:instrText>
      </w:r>
      <w:r>
        <w:rPr>
          <w:rFonts w:ascii="Arial" w:hAnsi="Arial" w:cs="Arial"/>
        </w:rPr>
        <w:fldChar w:fldCharType="separate"/>
      </w:r>
      <w:r w:rsidR="00507929" w:rsidRPr="00507929">
        <w:rPr>
          <w:rFonts w:ascii="Arial" w:hAnsi="Arial" w:cs="Arial"/>
          <w:noProof/>
          <w:vertAlign w:val="superscript"/>
        </w:rPr>
        <w:t>2</w:t>
      </w:r>
      <w:r>
        <w:rPr>
          <w:rFonts w:ascii="Arial" w:hAnsi="Arial" w:cs="Arial"/>
        </w:rPr>
        <w:fldChar w:fldCharType="end"/>
      </w:r>
      <w:r>
        <w:rPr>
          <w:rFonts w:ascii="Arial" w:hAnsi="Arial" w:cs="Arial"/>
        </w:rPr>
        <w:t>, NCT00864383; RIFAQUIN</w:t>
      </w:r>
      <w:r>
        <w:rPr>
          <w:rFonts w:ascii="Arial" w:hAnsi="Arial"/>
        </w:rPr>
        <w:fldChar w:fldCharType="begin" w:fldLock="1"/>
      </w:r>
      <w:r w:rsidR="00507929">
        <w:rPr>
          <w:rFonts w:ascii="Arial" w:hAnsi="Arial" w:cs="Arial"/>
        </w:rPr>
        <w:instrText>ADDIN CSL_CITATION { "citationItems" : [ { "id" : "ITEM-1",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"ITEM-1", "issue" : "17", "issued" : { "date-parts" : [ [ "2014" ] ] }, "note" : "supplementary", "page" : "1599-1608", "title" : "High-Dose Rifapentine with Moxifloxacin for Pulmonary Tuberculosis", "type" : "article-journal", "volume" : "371" }, "uris" : [ "http://www.mendeley.com/documents/?uuid=6e460265-06c7-4572-b217-3783f8a42ff5" ] } ], "mendeley" : { "formattedCitation" : "&lt;sup&gt;3&lt;/sup&gt;", "plainTextFormattedCitation" : "3", "previouslyFormattedCitation" : "&lt;sup&gt;3&lt;/sup&gt;" }, "properties" : {  }, "schema" : "https://github.com/citation-style-language/schema/raw/master/csl-citation.json" }</w:instrText>
      </w:r>
      <w:r>
        <w:rPr>
          <w:rFonts w:ascii="Arial" w:hAnsi="Arial" w:cs="Arial"/>
        </w:rPr>
        <w:fldChar w:fldCharType="separate"/>
      </w:r>
      <w:r w:rsidR="00507929" w:rsidRPr="00507929">
        <w:rPr>
          <w:rFonts w:ascii="Arial" w:hAnsi="Arial" w:cs="Arial"/>
          <w:noProof/>
          <w:vertAlign w:val="superscript"/>
        </w:rPr>
        <w:t>3</w:t>
      </w:r>
      <w:r>
        <w:rPr>
          <w:rFonts w:ascii="Arial" w:hAnsi="Arial" w:cs="Arial"/>
        </w:rPr>
        <w:fldChar w:fldCharType="end"/>
      </w:r>
      <w:r>
        <w:rPr>
          <w:rFonts w:ascii="Arial" w:hAnsi="Arial" w:cs="Arial"/>
        </w:rPr>
        <w:t>, ISRCTN number, 44153044). These trials evaluated later-generation fluoroquinolones (</w:t>
      </w:r>
      <w:proofErr w:type="spellStart"/>
      <w:r>
        <w:rPr>
          <w:rFonts w:ascii="Arial" w:hAnsi="Arial" w:cs="Arial"/>
        </w:rPr>
        <w:t>gatifloxacin</w:t>
      </w:r>
      <w:proofErr w:type="spellEnd"/>
      <w:r>
        <w:rPr>
          <w:rFonts w:ascii="Arial" w:hAnsi="Arial" w:cs="Arial"/>
        </w:rPr>
        <w:t xml:space="preserve"> and moxifloxacin)</w:t>
      </w:r>
      <w:r w:rsidRPr="009439D3">
        <w:rPr>
          <w:rFonts w:ascii="Arial" w:hAnsi="Arial" w:cs="Arial"/>
        </w:rPr>
        <w:t>,</w:t>
      </w:r>
      <w:r>
        <w:rPr>
          <w:rFonts w:ascii="Arial" w:hAnsi="Arial" w:cs="Arial"/>
        </w:rPr>
        <w:t xml:space="preserve"> as </w:t>
      </w:r>
      <w:r w:rsidR="00056C2E">
        <w:rPr>
          <w:rFonts w:ascii="Arial" w:hAnsi="Arial" w:cs="Arial"/>
        </w:rPr>
        <w:t xml:space="preserve">single </w:t>
      </w:r>
      <w:r>
        <w:rPr>
          <w:rFonts w:ascii="Arial" w:hAnsi="Arial" w:cs="Arial"/>
        </w:rPr>
        <w:t>substitutions for ethambutol or isoniazid in multi-drug regimens with the objective of shortening treatment duration from six to four months. In</w:t>
      </w:r>
      <w:r w:rsidRPr="009439D3">
        <w:rPr>
          <w:rFonts w:ascii="Arial" w:hAnsi="Arial" w:cs="Arial"/>
        </w:rPr>
        <w:t xml:space="preserve"> </w:t>
      </w:r>
      <w:r>
        <w:rPr>
          <w:rFonts w:ascii="Arial" w:hAnsi="Arial" w:cs="Arial"/>
        </w:rPr>
        <w:t>each of the three trials, the 4-month regimen did not satisfy the criteri</w:t>
      </w:r>
      <w:r w:rsidR="00E54B64">
        <w:rPr>
          <w:rFonts w:ascii="Arial" w:hAnsi="Arial" w:cs="Arial"/>
        </w:rPr>
        <w:t>a</w:t>
      </w:r>
      <w:r>
        <w:rPr>
          <w:rFonts w:ascii="Arial" w:hAnsi="Arial" w:cs="Arial"/>
        </w:rPr>
        <w:t xml:space="preserve"> for non-inferiority. However, the experimental four-month regimens did cure </w:t>
      </w:r>
      <w:r w:rsidR="00BC4F83">
        <w:rPr>
          <w:rFonts w:ascii="Arial" w:hAnsi="Arial" w:cs="Arial"/>
        </w:rPr>
        <w:t>approximately four fifths</w:t>
      </w:r>
      <w:r>
        <w:rPr>
          <w:rFonts w:ascii="Arial" w:hAnsi="Arial" w:cs="Arial"/>
        </w:rPr>
        <w:t xml:space="preserve"> of </w:t>
      </w:r>
      <w:r w:rsidR="008031C2">
        <w:rPr>
          <w:rFonts w:ascii="Arial" w:hAnsi="Arial" w:cs="Arial"/>
        </w:rPr>
        <w:t xml:space="preserve">the </w:t>
      </w:r>
      <w:r w:rsidR="00715665">
        <w:rPr>
          <w:rFonts w:ascii="Arial" w:hAnsi="Arial" w:cs="Arial"/>
        </w:rPr>
        <w:t>participants</w:t>
      </w:r>
      <w:r w:rsidR="008031C2">
        <w:rPr>
          <w:rFonts w:ascii="Arial" w:hAnsi="Arial" w:cs="Arial"/>
        </w:rPr>
        <w:t>,</w:t>
      </w:r>
      <w:r>
        <w:rPr>
          <w:rFonts w:ascii="Arial" w:hAnsi="Arial" w:cs="Arial"/>
        </w:rPr>
        <w:t xml:space="preserve"> suggesting that a large proportion of global TB</w:t>
      </w:r>
      <w:r w:rsidRPr="009439D3">
        <w:rPr>
          <w:rFonts w:ascii="Arial" w:hAnsi="Arial" w:cs="Arial"/>
        </w:rPr>
        <w:t xml:space="preserve"> </w:t>
      </w:r>
      <w:r>
        <w:rPr>
          <w:rFonts w:ascii="Arial" w:hAnsi="Arial" w:cs="Arial"/>
        </w:rPr>
        <w:t xml:space="preserve">cases could be successfully treated with shorter </w:t>
      </w:r>
      <w:r w:rsidR="008031C2">
        <w:rPr>
          <w:rFonts w:ascii="Arial" w:hAnsi="Arial" w:cs="Arial"/>
        </w:rPr>
        <w:t>duration</w:t>
      </w:r>
      <w:r>
        <w:rPr>
          <w:rFonts w:ascii="Arial" w:hAnsi="Arial" w:cs="Arial"/>
        </w:rPr>
        <w:t>.</w:t>
      </w:r>
      <w:r>
        <w:rPr>
          <w:rFonts w:ascii="Arial" w:hAnsi="Arial"/>
        </w:rPr>
        <w:fldChar w:fldCharType="begin" w:fldLock="1"/>
      </w:r>
      <w:r w:rsidR="00A57045">
        <w:rPr>
          <w:rFonts w:ascii="Arial" w:hAnsi="Arial" w:cs="Arial"/>
        </w:rPr>
        <w:instrText>ADDIN CSL_CITATION { "citationItems" : [ { "id" : "ITEM-1",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"ITEM-1", "issue" : "17", "issued" : { "date-parts" : [ [ "2014" ] ] }, "note" : "supplementary", "page" : "1599-1608", "title" : "High-Dose Rifapentine with Moxifloxacin for Pulmonary Tuberculosis", "type" : "article-journal", "volume" : "371" }, "uris" : [ "http://www.mendeley.com/documents/?uuid=6e460265-06c7-4572-b217-3783f8a42ff5" ] }, { "id" : "ITEM-2",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"ITEM-2", "issue" : "23", "issued" : { "date-parts" : [ [ "2014" ] ] }, "page" : "1588-1598", "title" : "A Four-Month Gatifloxacin-Containing Regimen for Treating Tuberculosis", "type" : "article-journal", "volume" : "371" }, "uris" : [ "http://www.mendeley.com/documents/?uuid=421f0d47-b349-3913-8b4a-d782d624da4e" ] }, { "id" : "ITEM-3",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"ITEM-3", "issue" : "17", "issued" : { "date-parts" : [ [ "2014" ] ] }, "note" : "protocol", "page" : "1577-1587", "title" : "Four-Month Moxifloxacin-Based Regimens for Drug-Sensitive Tuberculosis", "type" : "article-journal", "volume" : "371" }, "uris" : [ "http://www.mendeley.com/documents/?uuid=17bfccc4-ae6c-4d94-8f68-f851bb5d6b42" ] } ], "mendeley" : { "formattedCitation" : "&lt;sup&gt;1\u20133&lt;/sup&gt;", "plainTextFormattedCitation" : "1\u20133", "previouslyFormattedCitation" : "&lt;sup&gt;1\u20133&lt;/sup&gt;" }, "properties" : {  }, "schema" : "https://github.com/citation-style-language/schema/raw/master/csl-citation.json" }</w:instrText>
      </w:r>
      <w:r>
        <w:rPr>
          <w:rFonts w:ascii="Arial" w:hAnsi="Arial" w:cs="Arial"/>
        </w:rPr>
        <w:fldChar w:fldCharType="separate"/>
      </w:r>
      <w:r w:rsidR="00507929" w:rsidRPr="00507929">
        <w:rPr>
          <w:rFonts w:ascii="Arial" w:hAnsi="Arial" w:cs="Arial"/>
          <w:noProof/>
          <w:vertAlign w:val="superscript"/>
        </w:rPr>
        <w:t>1–3</w:t>
      </w:r>
      <w:r>
        <w:rPr>
          <w:rFonts w:ascii="Arial" w:hAnsi="Arial" w:cs="Arial"/>
        </w:rPr>
        <w:fldChar w:fldCharType="end"/>
      </w:r>
      <w:r>
        <w:rPr>
          <w:rFonts w:ascii="Arial" w:hAnsi="Arial" w:cs="Arial"/>
        </w:rPr>
        <w:t xml:space="preserve"> </w:t>
      </w:r>
    </w:p>
    <w:p w14:paraId="4601F9E9" w14:textId="77777777" w:rsidR="0046176F" w:rsidRDefault="0046176F" w:rsidP="00804CE5">
      <w:pPr>
        <w:spacing w:line="480" w:lineRule="auto"/>
        <w:rPr>
          <w:rFonts w:ascii="Arial" w:hAnsi="Arial" w:cs="Arial"/>
          <w:iCs/>
        </w:rPr>
      </w:pPr>
    </w:p>
    <w:p w14:paraId="54DD4CD0" w14:textId="628A87E3" w:rsidR="0046176F" w:rsidRDefault="0046176F" w:rsidP="00804CE5">
      <w:pPr>
        <w:spacing w:line="480" w:lineRule="auto"/>
        <w:rPr>
          <w:rFonts w:ascii="Arial" w:hAnsi="Arial" w:cs="Arial"/>
          <w:iCs/>
        </w:rPr>
      </w:pPr>
      <w:r>
        <w:rPr>
          <w:rFonts w:ascii="Arial" w:hAnsi="Arial" w:cs="Arial"/>
          <w:iCs/>
        </w:rPr>
        <w:t xml:space="preserve">Since the introduction of highly effective rifampin-based regimens in the 1970s and 1980s, the treatment of TB has been a “one-size-fits-all” paradigm, with a 6-month regimen </w:t>
      </w:r>
      <w:r w:rsidR="00E90238">
        <w:rPr>
          <w:rFonts w:ascii="Arial" w:hAnsi="Arial" w:cs="Arial"/>
          <w:iCs/>
        </w:rPr>
        <w:t xml:space="preserve">comprised </w:t>
      </w:r>
      <w:r>
        <w:rPr>
          <w:rFonts w:ascii="Arial" w:hAnsi="Arial" w:cs="Arial"/>
          <w:iCs/>
        </w:rPr>
        <w:t>of four drugs (isoniazid, rifampin, pyrazinamide and ethambutol) used for all patients with drug-susceptible pulmonary TB.</w:t>
      </w:r>
      <w:r>
        <w:rPr>
          <w:rFonts w:ascii="Arial" w:hAnsi="Arial"/>
        </w:rPr>
        <w:fldChar w:fldCharType="begin" w:fldLock="1"/>
      </w:r>
      <w:r w:rsidR="00133F3B">
        <w:rPr>
          <w:rFonts w:ascii="Arial" w:hAnsi="Arial" w:cs="Arial"/>
          <w:iCs/>
        </w:rPr>
        <w:instrText>ADDIN CSL_CITATION { "citationItems" : [ { "id" : "ITEM-1", "itemData" : { "author" : [ { "dropping-particle" : "", "family" : "Geneva: World Health Organization", "given" : "", "non-dropping-particle" : "", "parse-names" : false, "suffix" : "" } ], "container-title" : "Licence: CC BY-NC_SA 3.0 IGO", "id" : "ITEM-1", "issued" : { "date-parts" : [ [ "2017" ] ] }, "title" : "Guidelines for treatment of drug-susceptible tuberculosis and patient care, 2017 update", "type" : "article-journal" }, "uris" : [ "http://www.mendeley.com/documents/?uuid=89c571ad-9e91-328b-bd6b-8b236fd55f9e" ] }, { "id" : "ITEM-2", "itemData" : { "DOI" : "10.1093/cid/ciw376", "abstract" : "Organization also participated in the development of the guideline. This guideline provides recommendations on the clinical and public health management of tuberculosis in children and adults in settings in which mycobacterial cultures, molecular and phe-notypic drug susceptibility tests, and radiographic studies, among other diagnostic tools, are available on a routine basis. For all recommendations, literature reviews were performed, followed by discussion by an expert committee according to the Grading of Recommendations, Assessment, Development and Evaluation methodology. Given the public health implications of prompt diag-nosis and effective management of tuberculosis, empiric multidrug treatment is initiated in almost all situations in which active tuberculosis is suspected. Additional characteristics such as presence of comorbidities, severity of disease, and response to treatment influence management decisions. Specific recommendations on the use of case management strategies (including directly observed therapy), regimen and dosing selection in adults and children (daily vs intermittent), treatment of tuberculosis in the presence of HIV infection (duration of tuberculosis treatment and timing of initiation of antiretroviral therapy), as well as treatment of extrap-ulmonary disease (central nervous system, pericardial among other sites) are provided. The development of more potent and better-tolerated drug regimens, optimization of drug exposure for the component drugs, optimal management of tuberculosis in special populations, identification of accurate biomarkers of treatment effect, and the assessment of new strategies for implementing regi-mens in the field remain key priority areas for research. See the full-text online version of the document for detailed discussion of the management of tuberculosis and recommendations for practice. These guidelines were endorsed by the European Respiratory Society (ERS) and the US Na-tional Tuberculosis Controllers Association (NTCA). It is important to realize that guidelines can-not always account for individual variation among patients. They are not intended to supplant physician judgment with respect to particular patients or special clinical situations. The spon-soring and endorsing societies consider adherence to these guidelines to be voluntary, with the ultimate determination regarding their application to be made by the physician in the light of each patient's individual circumstances.", "author" : [ { "dropping-particle" : "", "family" : "Nahid", "given" : "Payam", "non-dropping-particle" : "", "parse-names" : false, "suffix" : "" }, { "dropping-particle" : "", "family" : "Dorman", "given" : "Susan E", "non-dropping-particle" : "", "parse-names" : false, "suffix" : "" }, { "dropping-particle" : "", "family" : "Alipanah", "given" : "Narges", "non-dropping-particle" : "", "parse-names" : false, "suffix" : "" }, { "dropping-particle" : "", "family" : "Barry", "given" : "Pennan M", "non-dropping-particle" : "", "parse-names" : false, "suffix" : "" }, { "dropping-particle" : "", "family" : "Brozek", "given" : "Jan L", "non-dropping-particle" : "", "parse-names" : false, "suffix" : "" }, { "dropping-particle" : "", "family" : "Cattamanchi", "given" : "Adithya", "non-dropping-particle" : "", "parse-names" : false, "suffix" : "" }, { "dropping-particle" : "", "family" : "Chaisson", "given" : "Lelia H", "non-dropping-particle" : "", "parse-names" : false, "suffix" : "" }, { "dropping-particle" : "", "family" : "Chaisson", "given" : "Richard E", "non-dropping-particle" : "", "parse-names" : false, "suffix" : "" }, { "dropping-particle" : "", "family" : "Daley", "given" : "Charles L", "non-dropping-particle" : "", "parse-names" : false, "suffix" : "" }, { "dropping-particle" : "", "family" : "Grzemska", "given" : "Malgosia", "non-dropping-particle" : "", "parse-names" : false, "suffix" : "" }, { "dropping-particle" : "", "family" : "Higashi", "given" : "Julie M", "non-dropping-particle" : "", "parse-names" : false, "suffix" : "" }, { "dropping-particle" : "", "family" : "Ho", "given" : "Christine S", "non-dropping-particle" : "", "parse-names" : false, "suffix" : "" }, { "dropping-particle" : "", "family" : "Hopewell", "given" : "Philip C", "non-dropping-particle" : "", "parse-names" : false, "suffix" : "" }, { "dropping-particle" : "", "family" : "Keshavjee", "given" : "Salmaan A", "non-dropping-particle" : "", "parse-names" : false, "suffix" : "" }, { "dropping-particle" : "", "family" : "Lienhardt", "given" : "Christian", "non-dropping-particle" : "", "parse-names" : false, "suffix" : "" }, { "dropping-particle" : "", "family" : "Menzies", "given" : "Richard", "non-dropping-particle" : "", "parse-names" : false, "suffix" : "" }, { "dropping-particle" : "", "family" : "Merrifield", "given" : "Cynthia", "non-dropping-particle" : "", "parse-names" : false, "suffix" : "" }, { "dropping-particle" : "", "family" : "Sotgiu", "given" : "Giovanni", "non-dropping-particle" : "", "parse-names" : false, "suffix" : "" }, { "dropping-particle" : "", "family" : "Starke", "given" : "Jeffrey R", "non-dropping-particle" : "", "parse-names" : false, "suffix" : "" }, { "dropping-particle" : "", "family" : "Migliori", "given" : "Giovanni Battista", "non-dropping-particle" : "", "parse-names" : false, "suffix" : "" }, { "dropping-particle" : "", "family" : "Vernon", "given" : "Andrew", "non-dropping-particle" : "", "parse-names" : false, "suffix" : "" }, { "dropping-particle" : "", "family" : "Nahid", "given" : "P", "non-dropping-particle" : "", "parse-names" : false, "suffix" : "" } ], "container-title" : "Clinical Infectious Diseases", "id" : "ITEM-2", "issue" : "7", "issued" : { "date-parts" : [ [ "2016" ] ] }, "page" : "e147-e195", "title" : "Official American Thoracic Society/Centers for Disease Control and Prevention/Infectious Diseases Society of America Clinical Practice Guidelines: Treatment of Drug-Susceptible Tuberculosis", "type" : "article-journal", "volume" : "63" }, "uris" : [ "http://www.mendeley.com/documents/?uuid=41541d6a-5b99-369c-a1f9-e103b5f2f169" ] } ], "mendeley" : { "formattedCitation" : "&lt;sup&gt;4,5&lt;/sup&gt;", "plainTextFormattedCitation" : "4,5", "previouslyFormattedCitation" : "&lt;sup&gt;4,5&lt;/sup&gt;" }, "properties" : {  }, "schema" : "https://github.com/citation-style-language/schema/raw/master/csl-citation.json" }</w:instrText>
      </w:r>
      <w:r>
        <w:rPr>
          <w:rFonts w:ascii="Arial" w:hAnsi="Arial" w:cs="Arial"/>
          <w:iCs/>
        </w:rPr>
        <w:fldChar w:fldCharType="separate"/>
      </w:r>
      <w:r w:rsidR="00507929" w:rsidRPr="00507929">
        <w:rPr>
          <w:rFonts w:ascii="Arial" w:hAnsi="Arial" w:cs="Arial"/>
          <w:iCs/>
          <w:noProof/>
          <w:vertAlign w:val="superscript"/>
        </w:rPr>
        <w:t>4,5</w:t>
      </w:r>
      <w:r>
        <w:rPr>
          <w:rFonts w:ascii="Arial" w:hAnsi="Arial" w:cs="Arial"/>
          <w:iCs/>
        </w:rPr>
        <w:fldChar w:fldCharType="end"/>
      </w:r>
      <w:r>
        <w:rPr>
          <w:rFonts w:ascii="Arial" w:hAnsi="Arial" w:cs="Arial"/>
          <w:iCs/>
        </w:rPr>
        <w:t xml:space="preserve"> </w:t>
      </w:r>
      <w:r w:rsidRPr="00226D99">
        <w:rPr>
          <w:rFonts w:ascii="Arial" w:hAnsi="Arial" w:cs="Arial"/>
          <w:iCs/>
        </w:rPr>
        <w:t xml:space="preserve"> </w:t>
      </w:r>
      <w:r>
        <w:rPr>
          <w:rFonts w:ascii="Arial" w:hAnsi="Arial" w:cs="Arial"/>
          <w:iCs/>
        </w:rPr>
        <w:t xml:space="preserve">Regimen administration is coupled with various adherence interventions </w:t>
      </w:r>
      <w:r w:rsidRPr="009439D3">
        <w:rPr>
          <w:rFonts w:ascii="Arial" w:hAnsi="Arial" w:cs="Arial"/>
          <w:iCs/>
        </w:rPr>
        <w:t>at the programmatic level</w:t>
      </w:r>
      <w:r>
        <w:rPr>
          <w:rFonts w:ascii="Arial" w:hAnsi="Arial" w:cs="Arial"/>
          <w:iCs/>
        </w:rPr>
        <w:t>, including directly observed therapy, to ensure regimen intake.</w:t>
      </w:r>
      <w:r>
        <w:rPr>
          <w:rFonts w:ascii="Arial" w:hAnsi="Arial"/>
        </w:rPr>
        <w:fldChar w:fldCharType="begin" w:fldLock="1"/>
      </w:r>
      <w:r w:rsidR="00507929">
        <w:rPr>
          <w:rFonts w:ascii="Arial" w:hAnsi="Arial" w:cs="Arial"/>
          <w:iCs/>
        </w:rPr>
        <w:instrText>ADDIN CSL_CITATION { "citationItems" : [ { "id" : "ITEM-1", "itemData" : { "author" : [ { "dropping-particle" : "", "family" : "Geneva: World Health Organization", "given" : "", "non-dropping-particle" : "", "parse-names" : false, "suffix" : "" } ], "container-title" : "Licence: CC BY-NC_SA 3.0 IGO", "id" : "ITEM-1", "issued" : { "date-parts" : [ [ "2017" ] ] }, "title" : "Guidelines for treatment of drug-susceptible tuberculosis and patient care, 2017 update", "type" : "article-journal" }, "uris" : [ "http://www.mendeley.com/documents/?uuid=89c571ad-9e91-328b-bd6b-8b236fd55f9e" ] } ], "mendeley" : { "formattedCitation" : "&lt;sup&gt;4&lt;/sup&gt;", "plainTextFormattedCitation" : "4", "previouslyFormattedCitation" : "&lt;sup&gt;4&lt;/sup&gt;" }, "properties" : {  }, "schema" : "https://github.com/citation-style-language/schema/raw/master/csl-citation.json" }</w:instrText>
      </w:r>
      <w:r>
        <w:rPr>
          <w:rFonts w:ascii="Arial" w:hAnsi="Arial" w:cs="Arial"/>
          <w:iCs/>
        </w:rPr>
        <w:fldChar w:fldCharType="separate"/>
      </w:r>
      <w:r w:rsidR="00507929" w:rsidRPr="00507929">
        <w:rPr>
          <w:rFonts w:ascii="Arial" w:hAnsi="Arial" w:cs="Arial"/>
          <w:iCs/>
          <w:noProof/>
          <w:vertAlign w:val="superscript"/>
        </w:rPr>
        <w:t>4</w:t>
      </w:r>
      <w:r>
        <w:rPr>
          <w:rFonts w:ascii="Arial" w:hAnsi="Arial" w:cs="Arial"/>
          <w:iCs/>
        </w:rPr>
        <w:fldChar w:fldCharType="end"/>
      </w:r>
      <w:r>
        <w:rPr>
          <w:rFonts w:ascii="Arial" w:hAnsi="Arial" w:cs="Arial"/>
          <w:iCs/>
        </w:rPr>
        <w:t xml:space="preserve"> In programs, the one-size-fits-all paradigm leads to under-treatment of patients with severe forms of disease, and</w:t>
      </w:r>
      <w:r w:rsidRPr="009439D3">
        <w:rPr>
          <w:rFonts w:ascii="Arial" w:hAnsi="Arial" w:cs="Arial"/>
          <w:iCs/>
        </w:rPr>
        <w:t xml:space="preserve"> </w:t>
      </w:r>
      <w:r>
        <w:rPr>
          <w:rFonts w:ascii="Arial" w:hAnsi="Arial" w:cs="Arial"/>
          <w:iCs/>
        </w:rPr>
        <w:t>entails unnecessarily long treatment with potential toxicities for</w:t>
      </w:r>
      <w:r w:rsidRPr="009439D3">
        <w:rPr>
          <w:rFonts w:ascii="Arial" w:hAnsi="Arial" w:cs="Arial"/>
          <w:iCs/>
        </w:rPr>
        <w:t xml:space="preserve"> ma</w:t>
      </w:r>
      <w:r>
        <w:rPr>
          <w:rFonts w:ascii="Arial" w:hAnsi="Arial" w:cs="Arial"/>
          <w:iCs/>
        </w:rPr>
        <w:t>ny patients in whom there is a lower disease burden, which in turn may result in increased rates of loss to follow-up.</w:t>
      </w:r>
      <w:r>
        <w:rPr>
          <w:rFonts w:ascii="Arial" w:hAnsi="Arial"/>
        </w:rPr>
        <w:fldChar w:fldCharType="begin" w:fldLock="1"/>
      </w:r>
      <w:r w:rsidR="000F28A0">
        <w:rPr>
          <w:rFonts w:ascii="Arial" w:hAnsi="Arial" w:cs="Arial"/>
          <w:iCs/>
        </w:rPr>
        <w:instrText>ADDIN CSL_CITATION { "citationItems" : [ { "id" : "ITEM-1", "itemData" : { "DOI" : "10.1016/j.rmed.2014.01.010", "ISSN" : "09546111", "PMID" : "24518046", "abstract" : "BACKGROUND We aimed to identify the 1-year relapse rate and risk factors for patients with pulmonary tuberculosis (TB) treated with a 6-month daily regimen. METHODS A total of 317 patients with pan-susceptible pulmonary TB who completed a 6-month daily course of treatment [2HRZ(E)/4HR(E)] were retrospectively analyzed. RESULTS The mean age was 50.0 \u00b1 16.8 years and men were predominant (61.2%). All of 137 adults tested for HIV were negative. Six (1.9%) cases relapsed within one year. Relapse rate was higher in patients with a positive culture after 2 months of treatment (10.0%, p = 0.049) and in patients with both a positive culture after 2 months of treatment and cavitation on initial chest radiograph (18.2%, p = 0.015), whereas relapse rate in patients with cavitation alone was comparable to that of the total population (2.7%). Among various risk factors known to increase risk of relapse, the combined variable of cavitation and positive culture at 2 months (OR = 15.56, 95% CI 2.56-98.71, p = 0.003) was only associated with increased relapse rate in a multivariate analysis. CONCLUSIONS Even with a 6-month daily treatment regimen throughout the intensive and continuation phases, the relapse rate was unacceptably high in patients with both a positive culture at 2 months of treatment and cavitation on baseline chest radiography. Intensification of treatment, such as an extension of treatment duration, should be considered in this category of patients.", "author" : [ { "dropping-particle" : "", "family" : "Jo", "given" : "Kyung-Wook", "non-dropping-particle" : "", "parse-names" : false, "suffix" : "" }, { "dropping-particle" : "", "family" : "Yoo", "given" : "Jung-Wan", "non-dropping-particle" : "", "parse-names" : false, "suffix" : "" }, { "dropping-particle" : "", "family" : "Hong", "given" : "Yoonki", "non-dropping-particle" : "", "parse-names" : false, "suffix" : "" }, { "dropping-particle" : "", "family" : "Lee", "given" : "Jae Seung", "non-dropping-particle" : "", "parse-names" : false, "suffix" : "" }, { "dropping-particle" : "", "family" : "Lee", "given" : "Sang-Do", "non-dropping-particle" : "", "parse-names" : false, "suffix" : "" }, { "dropping-particle" : "", "family" : "Kim", "given" : "Woo Sung", "non-dropping-particle" : "", "parse-names" : false, "suffix" : "" }, { "dropping-particle" : "", "family" : "Kim", "given" : "Dong Soon", "non-dropping-particle" : "", "parse-names" : false, "suffix" : "" }, { "dropping-particle" : "", "family" : "Shim", "given" : "Tae Sun", "non-dropping-particle" : "", "parse-names" : false, "suffix" : "" } ], "container-title" : "Respiratory Medicine", "id" : "ITEM-1", "issue" : "4", "issued" : { "date-parts" : [ [ "2014", "4" ] ] }, "page" : "654-659", "title" : "Risk factors for 1-year relapse of pulmonary tuberculosis treated with a 6-month daily regimen", "type" : "article-journal", "volume" : "108" }, "uris" : [ "http://www.mendeley.com/documents/?uuid=97c462f9-6c70-31f6-b5a0-0a36e678019f" ] } ], "mendeley" : { "formattedCitation" : "&lt;sup&gt;6&lt;/sup&gt;", "plainTextFormattedCitation" : "6", "previouslyFormattedCitation" : "&lt;sup&gt;6&lt;/sup&gt;" }, "properties" : {  }, "schema" : "https://github.com/citation-style-language/schema/raw/master/csl-citation.json" }</w:instrText>
      </w:r>
      <w:r>
        <w:rPr>
          <w:rFonts w:ascii="Arial" w:hAnsi="Arial" w:cs="Arial"/>
          <w:iCs/>
        </w:rPr>
        <w:fldChar w:fldCharType="separate"/>
      </w:r>
      <w:r w:rsidR="000F28A0" w:rsidRPr="000F28A0">
        <w:rPr>
          <w:rFonts w:ascii="Arial" w:hAnsi="Arial" w:cs="Arial"/>
          <w:iCs/>
          <w:noProof/>
          <w:vertAlign w:val="superscript"/>
        </w:rPr>
        <w:t>6</w:t>
      </w:r>
      <w:r>
        <w:rPr>
          <w:rFonts w:ascii="Arial" w:hAnsi="Arial" w:cs="Arial"/>
          <w:iCs/>
        </w:rPr>
        <w:fldChar w:fldCharType="end"/>
      </w:r>
      <w:r>
        <w:rPr>
          <w:rFonts w:ascii="Arial" w:hAnsi="Arial" w:cs="Arial"/>
          <w:iCs/>
        </w:rPr>
        <w:t xml:space="preserve"> In clinical trials, one-size-fits-all experimental regimens have been consistently inadequate to cure the hardest-to-treat TB patients indicating that treatment duration is a critical determinant for cure</w:t>
      </w:r>
      <w:r w:rsidR="00FE4970">
        <w:rPr>
          <w:rFonts w:ascii="Arial" w:hAnsi="Arial" w:cs="Arial"/>
          <w:iCs/>
        </w:rPr>
        <w:t>.</w:t>
      </w:r>
      <w:r w:rsidR="00507929">
        <w:rPr>
          <w:rFonts w:ascii="Arial" w:hAnsi="Arial" w:cs="Arial"/>
          <w:iCs/>
        </w:rPr>
        <w:fldChar w:fldCharType="begin" w:fldLock="1"/>
      </w:r>
      <w:r w:rsidR="000F28A0">
        <w:rPr>
          <w:rFonts w:ascii="Arial" w:hAnsi="Arial" w:cs="Arial"/>
          <w:iCs/>
        </w:rPr>
        <w:instrText>ADDIN CSL_CITATION { "citationItems" : [ { "id" : "ITEM-1", "itemData" : { "ISSN" : "0140-6736", "PMID" : "12241657", "abstract" : "BACKGROUND Rifapentine has a long half-life in serum, which suggests a possible treatment once a week for tuberculosis. We aimed to compare rifapentine and isoniazid once a week with rifampicin and isoniazid twice a week. METHODS We did a randomised, multicentre, open-label trial in the USA and Canada of HIV-negative people with drug-susceptible pulmonary tuberculosis who had completed 2 months of a 6-month treatment regimen. We randomly allocated patients directly observed treatment with either 600 mg rifapentine plus 900 mg isoniazid once a week or 600 mg rifampicin plus 900 mg isoniazid twice a week. Primary outcome was failure/relapse. Analysis was by intention to treat. FINDINGS 1004 patients were enrolled (502 per treatment group). 928 successfully completed treatment, and 803 completed the 2-year 4-month study. Crude rates of failure/relapse were 46/502 (9.2%) in those on rifapentine once a week, and 28/502 (5.6%) in those given rifampicin twice a week (relative risk 1.64, 95% CI 1.04-2.58, p=0.04). By proportional hazards regression, five characteristics were independently associated with increased risk of failure/relapse: sputum culture positive at 2 months (hazard ratio 2.8, 95% CI 1.7-4.6); cavitation on chest radiography (3.0, 1.6-5.9); being underweight (3.0, 1.8-4.9); bilateral pulmonary involvement (1.8, 1.0-3.1); and being a non-Hispanic white person (1.8, 1.1-3.0). Adjustment for imbalances in 2-month culture and cavitation diminished the association of treatment group with outcome (1.34; 0.83-2.18; p=0.23). Of participants without cavitation, rates of failure/relapse were 6/210 (2.9%) in the once a week group and 6/241 (2.5%) in the twice a week group (relative risk 1.15; 95% CI 0.38-3.50; p=0.81). Rates of adverse events and death were similar in the two treatment groups. INTERPRETATION Rifapentine once a week is safe and effective for treatment of pulmonary tuberculosis in HIV-negative people without cavitation on chest radiography. Clinical, radiographic, and microbiological data help to identify patients with tuberculosis who are at increased risk of failure or relapse when treated with either regimen.", "author" : [ { "dropping-particle" : "", "family" : "Benator", "given" : "Debra", "non-dropping-particle" : "", "parse-names" : false, "suffix" : "" }, { "dropping-particle" : "", "family" : "Bhattacharya", "given" : "Mondira", "non-dropping-particle" : "", "parse-names" : false, "suffix" : "" }, { "dropping-particle" : "", "family" : "Bozeman", "given" : "Lorna", "non-dropping-particle" : "", "parse-names" : false, "suffix" : "" }, { "dropping-particle" : "", "family" : "Burman", "given" : "William", "non-dropping-particle" : "", "parse-names" : false, "suffix" : "" }, { "dropping-particle" : "", "family" : "Cantazaro", "given" : "Antonino", "non-dropping-particle" : "", "parse-names" : false, "suffix" : "" }, { "dropping-particle" : "", "family" : "Chaisson", "given" : "Richard", "non-dropping-particle" : "", "parse-names" : false, "suffix" : "" }, { "dropping-particle" : "", "family" : "Gordin", "given" : "Fred", "non-dropping-particle" : "", "parse-names" : false, "suffix" : "" }, { "dropping-particle" : "", "family" : "Horsburgh", "given" : "C Robert", "non-dropping-particle" : "", "parse-names" : false, "suffix" : "" }, { "dropping-particle" : "", "family" : "Horton", "given" : "James", "non-dropping-particle" : "", "parse-names" : false, "suffix" : "" }, { "dropping-particle" : "", "family" : "Khan", "given" : "Awal", "non-dropping-particle" : "", "parse-names" : false, "suffix" : "" }, { "dropping-particle" : "", "family" : "Lahart", "given" : "Christopher", "non-dropping-particle" : "", "parse-names" : false, "suffix" : "" }, { "dropping-particle" : "", "family" : "Metchock", "given" : "Beverly", "non-dropping-particle" : "", "parse-names" : false, "suffix" : "" }, { "dropping-particle" : "", "family" : "Pachucki", "given" : "Constance", "non-dropping-particle" : "", "parse-names" : false, "suffix" : "" }, { "dropping-particle" : "", "family" : "Stanton", "given" : "Llewellyn", "non-dropping-particle" : "", "parse-names" : false, "suffix" : "" }, { "dropping-particle" : "", "family" : "Vernon", "given" : "Andrew", "non-dropping-particle" : "", "parse-names" : false, "suffix" : "" }, { "dropping-particle" : "", "family" : "Villarino", "given" : "M Elsa", "non-dropping-particle" : "", "parse-names" : false, "suffix" : "" }, { "dropping-particle" : "", "family" : "Wang", "given" : "Yong Chen", "non-dropping-particle" : "", "parse-names" : false, "suffix" : "" }, { "dropping-particle" : "", "family" : "Weiner", "given" : "Marc", "non-dropping-particle" : "", "parse-names" : false, "suffix" : "" }, { "dropping-particle" : "", "family" : "Weis", "given" : "Stephen", "non-dropping-particle" : "", "parse-names" : false, "suffix" : "" }, { "dropping-particle" : "", "family" : "Tuberculosis Trials Consortium", "given" : "", "non-dropping-particle" : "", "parse-names" : false, "suffix" : "" } ], "container-title" : "Lancet (London, England)", "id" : "ITEM-1", "issue" : "9332", "issued" : { "date-parts" : [ [ "2002", "8", "17" ] ] }, "page" : "528-34", "title" : "Rifapentine and isoniazid once a week versus rifampicin and isoniazid twice a week for treatment of drug-susceptible pulmonary tuberculosis in HIV-negative patients: a randomised clinical trial.", "type" : "article-journal", "volume" : "360" }, "uris" : [ "http://www.mendeley.com/documents/?uuid=f9ceaf97-06d1-3a20-83db-b2f612a10e0e" ] } ], "mendeley" : { "formattedCitation" : "&lt;sup&gt;7&lt;/sup&gt;", "plainTextFormattedCitation" : "7", "previouslyFormattedCitation" : "&lt;sup&gt;7&lt;/sup&gt;" }, "properties" : {  }, "schema" : "https://github.com/citation-style-language/schema/raw/master/csl-citation.json" }</w:instrText>
      </w:r>
      <w:r w:rsidR="00507929">
        <w:rPr>
          <w:rFonts w:ascii="Arial" w:hAnsi="Arial" w:cs="Arial"/>
          <w:iCs/>
        </w:rPr>
        <w:fldChar w:fldCharType="separate"/>
      </w:r>
      <w:r w:rsidR="000F28A0" w:rsidRPr="000F28A0">
        <w:rPr>
          <w:rFonts w:ascii="Arial" w:hAnsi="Arial" w:cs="Arial"/>
          <w:iCs/>
          <w:noProof/>
          <w:vertAlign w:val="superscript"/>
        </w:rPr>
        <w:t>7</w:t>
      </w:r>
      <w:r w:rsidR="00507929">
        <w:rPr>
          <w:rFonts w:ascii="Arial" w:hAnsi="Arial" w:cs="Arial"/>
          <w:iCs/>
        </w:rPr>
        <w:fldChar w:fldCharType="end"/>
      </w:r>
      <w:r w:rsidR="00FE4970">
        <w:rPr>
          <w:rFonts w:ascii="Arial" w:hAnsi="Arial" w:cs="Arial"/>
          <w:iCs/>
        </w:rPr>
        <w:t xml:space="preserve"> </w:t>
      </w:r>
      <w:r>
        <w:rPr>
          <w:rFonts w:ascii="Arial" w:hAnsi="Arial" w:cs="Arial"/>
          <w:iCs/>
        </w:rPr>
        <w:t>Moreover, even for the standard 6-month regimen, based on the recent trials  5-8% of patients fail treatment or relapse, and 15-20% experience composite unfavorable outcomes.</w:t>
      </w:r>
      <w:r>
        <w:rPr>
          <w:rFonts w:ascii="Arial" w:hAnsi="Arial"/>
        </w:rPr>
        <w:fldChar w:fldCharType="begin" w:fldLock="1"/>
      </w:r>
      <w:r w:rsidR="00A57045">
        <w:rPr>
          <w:rFonts w:ascii="Arial" w:hAnsi="Arial" w:cs="Arial"/>
          <w:iCs/>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"id" : "ITEM-2",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"ITEM-2", "issue" : "17", "issued" : { "date-parts" : [ [ "2014" ] ] }, "note" : "supplementary", "page" : "1599-1608", "title" : "High-Dose Rifapentine with Moxifloxacin for Pulmonary Tuberculosis", "type" : "article-journal", "volume" : "371" }, "uris" : [ "http://www.mendeley.com/documents/?uuid=6e460265-06c7-4572-b217-3783f8a42ff5" ] }, { "id" : "ITEM-3",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"ITEM-3", "issue" : "17", "issued" : { "date-parts" : [ [ "2014" ] ] }, "note" : "protocol", "page" : "1577-1587", "title" : "Four-Month Moxifloxacin-Based Regimens for Drug-Sensitive Tuberculosis", "type" : "article-journal", "volume" : "371" }, "uris" : [ "http://www.mendeley.com/documents/?uuid=17bfccc4-ae6c-4d94-8f68-f851bb5d6b42" ] }, { "id" : "ITEM-4", "itemData" : { "URL" : "https://clinicaltrials.gov/ct2/show/NCT02410772", "id" : "ITEM-4", "issued" : { "date-parts" : [ [ "0" ] ] }, "title" : "TBTC Study 31: Rifapentine-containing Tuberculosis Treatment Shortening Regimens", "type" : "webpage" }, "uris" : [ "http://www.mendeley.com/documents/?uuid=69a48833-0b66-350e-a9a8-331e09d56279" ] } ], "mendeley" : { "formattedCitation" : "&lt;sup&gt;1\u20133,8&lt;/sup&gt;", "plainTextFormattedCitation" : "1\u20133,8", "previouslyFormattedCitation" : "&lt;sup&gt;1\u20133,8&lt;/sup&gt;" }, "properties" : {  }, "schema" : "https://github.com/citation-style-language/schema/raw/master/csl-citation.json" }</w:instrText>
      </w:r>
      <w:r>
        <w:rPr>
          <w:rFonts w:ascii="Arial" w:hAnsi="Arial" w:cs="Arial"/>
          <w:iCs/>
        </w:rPr>
        <w:fldChar w:fldCharType="separate"/>
      </w:r>
      <w:r w:rsidR="000F28A0" w:rsidRPr="000F28A0">
        <w:rPr>
          <w:rFonts w:ascii="Arial" w:hAnsi="Arial" w:cs="Arial"/>
          <w:iCs/>
          <w:noProof/>
          <w:vertAlign w:val="superscript"/>
        </w:rPr>
        <w:t>1–3,8</w:t>
      </w:r>
      <w:r>
        <w:rPr>
          <w:rFonts w:ascii="Arial" w:hAnsi="Arial" w:cs="Arial"/>
          <w:iCs/>
        </w:rPr>
        <w:fldChar w:fldCharType="end"/>
      </w:r>
      <w:r>
        <w:rPr>
          <w:rFonts w:ascii="Arial" w:hAnsi="Arial" w:cs="Arial"/>
          <w:iCs/>
        </w:rPr>
        <w:t xml:space="preserve"> TB is not a uniform clinical entity, and presents with wide variation in severity of disease at the time of diagnosis</w:t>
      </w:r>
      <w:r w:rsidR="00584670">
        <w:rPr>
          <w:rFonts w:ascii="Arial" w:hAnsi="Arial" w:cs="Arial"/>
          <w:iCs/>
        </w:rPr>
        <w:t>. Yet, c</w:t>
      </w:r>
      <w:r>
        <w:rPr>
          <w:rFonts w:ascii="Arial" w:hAnsi="Arial" w:cs="Arial"/>
          <w:iCs/>
        </w:rPr>
        <w:t xml:space="preserve">urrent TB </w:t>
      </w:r>
      <w:r w:rsidR="00056C2E">
        <w:rPr>
          <w:rFonts w:ascii="Arial" w:hAnsi="Arial" w:cs="Arial"/>
          <w:iCs/>
        </w:rPr>
        <w:t xml:space="preserve">regimen </w:t>
      </w:r>
      <w:r>
        <w:rPr>
          <w:rFonts w:ascii="Arial" w:hAnsi="Arial" w:cs="Arial"/>
          <w:iCs/>
        </w:rPr>
        <w:t xml:space="preserve">development efforts are aimed at </w:t>
      </w:r>
      <w:r w:rsidR="00056C2E">
        <w:rPr>
          <w:rFonts w:ascii="Arial" w:hAnsi="Arial" w:cs="Arial"/>
          <w:iCs/>
        </w:rPr>
        <w:t>using new drugs with increased potency</w:t>
      </w:r>
      <w:r w:rsidR="00056C2E" w:rsidDel="00056C2E">
        <w:rPr>
          <w:rFonts w:ascii="Arial" w:hAnsi="Arial" w:cs="Arial"/>
          <w:iCs/>
        </w:rPr>
        <w:t xml:space="preserve"> </w:t>
      </w:r>
      <w:r w:rsidR="00056C2E">
        <w:rPr>
          <w:rFonts w:ascii="Arial" w:hAnsi="Arial" w:cs="Arial"/>
          <w:iCs/>
        </w:rPr>
        <w:t xml:space="preserve">to identify shorter </w:t>
      </w:r>
      <w:r>
        <w:rPr>
          <w:rFonts w:ascii="Arial" w:hAnsi="Arial" w:cs="Arial"/>
          <w:iCs/>
        </w:rPr>
        <w:lastRenderedPageBreak/>
        <w:t>treatment</w:t>
      </w:r>
      <w:r w:rsidR="00056C2E">
        <w:rPr>
          <w:rFonts w:ascii="Arial" w:hAnsi="Arial" w:cs="Arial"/>
          <w:iCs/>
        </w:rPr>
        <w:t>s</w:t>
      </w:r>
      <w:r>
        <w:rPr>
          <w:rFonts w:ascii="Arial" w:hAnsi="Arial" w:cs="Arial"/>
          <w:iCs/>
        </w:rPr>
        <w:t xml:space="preserve"> for all patients</w:t>
      </w:r>
      <w:r w:rsidR="00056C2E">
        <w:rPr>
          <w:rFonts w:ascii="Arial" w:hAnsi="Arial" w:cs="Arial"/>
          <w:iCs/>
        </w:rPr>
        <w:t>, regardless of severity of disease</w:t>
      </w:r>
      <w:r>
        <w:rPr>
          <w:rFonts w:ascii="Arial" w:hAnsi="Arial" w:cs="Arial"/>
          <w:iCs/>
        </w:rPr>
        <w:t xml:space="preserve">. </w:t>
      </w:r>
      <w:r w:rsidR="003F3938">
        <w:rPr>
          <w:rFonts w:ascii="Arial" w:hAnsi="Arial" w:cs="Arial"/>
          <w:iCs/>
        </w:rPr>
        <w:t xml:space="preserve">This approach places otherwise </w:t>
      </w:r>
      <w:r w:rsidR="00056C2E">
        <w:rPr>
          <w:rFonts w:ascii="Arial" w:hAnsi="Arial" w:cs="Arial"/>
          <w:iCs/>
        </w:rPr>
        <w:t xml:space="preserve">efficacious </w:t>
      </w:r>
      <w:r>
        <w:rPr>
          <w:rFonts w:ascii="Arial" w:hAnsi="Arial" w:cs="Arial"/>
          <w:iCs/>
        </w:rPr>
        <w:t xml:space="preserve">drugs </w:t>
      </w:r>
      <w:r w:rsidR="00056C2E">
        <w:rPr>
          <w:rFonts w:ascii="Arial" w:hAnsi="Arial" w:cs="Arial"/>
          <w:iCs/>
        </w:rPr>
        <w:t xml:space="preserve">and regimens </w:t>
      </w:r>
      <w:r w:rsidR="003F3938">
        <w:rPr>
          <w:rFonts w:ascii="Arial" w:hAnsi="Arial" w:cs="Arial"/>
          <w:iCs/>
        </w:rPr>
        <w:t>at risk of being abandoned, consequently</w:t>
      </w:r>
      <w:r w:rsidR="00A94BE1">
        <w:rPr>
          <w:rFonts w:ascii="Arial" w:hAnsi="Arial" w:cs="Arial"/>
          <w:iCs/>
        </w:rPr>
        <w:t xml:space="preserve"> </w:t>
      </w:r>
      <w:r>
        <w:rPr>
          <w:rFonts w:ascii="Arial" w:hAnsi="Arial" w:cs="Arial"/>
          <w:iCs/>
        </w:rPr>
        <w:t xml:space="preserve">impeding the identification of new TB regimens that are curative if used with greater precision.   </w:t>
      </w:r>
    </w:p>
    <w:p w14:paraId="48D8BA5A" w14:textId="77777777" w:rsidR="0046176F" w:rsidRDefault="0046176F" w:rsidP="00804CE5">
      <w:pPr>
        <w:spacing w:line="480" w:lineRule="auto"/>
        <w:rPr>
          <w:rFonts w:ascii="Arial" w:hAnsi="Arial" w:cs="Arial"/>
        </w:rPr>
      </w:pPr>
    </w:p>
    <w:p w14:paraId="3D71F306" w14:textId="184C1694" w:rsidR="0046176F" w:rsidRDefault="0046176F" w:rsidP="00804CE5">
      <w:pPr>
        <w:spacing w:line="480" w:lineRule="auto"/>
        <w:rPr>
          <w:rFonts w:ascii="Arial" w:hAnsi="Arial" w:cs="Arial"/>
        </w:rPr>
      </w:pPr>
      <w:r>
        <w:rPr>
          <w:rFonts w:ascii="Arial" w:hAnsi="Arial" w:cs="Arial"/>
        </w:rPr>
        <w:t xml:space="preserve">In this </w:t>
      </w:r>
      <w:r>
        <w:rPr>
          <w:rFonts w:ascii="Arial" w:hAnsi="Arial" w:cs="Arial"/>
          <w:iCs/>
        </w:rPr>
        <w:t>pooled analysis of individual</w:t>
      </w:r>
      <w:r w:rsidR="00386CDA">
        <w:rPr>
          <w:rFonts w:ascii="Arial" w:hAnsi="Arial" w:cs="Arial"/>
          <w:iCs/>
        </w:rPr>
        <w:t xml:space="preserve"> </w:t>
      </w:r>
      <w:r>
        <w:rPr>
          <w:rFonts w:ascii="Arial" w:hAnsi="Arial" w:cs="Arial"/>
          <w:iCs/>
        </w:rPr>
        <w:t xml:space="preserve">patient datasets from these high-quality, contemporary trials, we sought to identify characteristics of those patients who </w:t>
      </w:r>
      <w:r w:rsidR="008031C2">
        <w:rPr>
          <w:rFonts w:ascii="Arial" w:hAnsi="Arial" w:cs="Arial"/>
          <w:iCs/>
        </w:rPr>
        <w:t xml:space="preserve">were </w:t>
      </w:r>
      <w:proofErr w:type="gramStart"/>
      <w:r w:rsidR="008031C2">
        <w:rPr>
          <w:rFonts w:ascii="Arial" w:hAnsi="Arial" w:cs="Arial"/>
          <w:iCs/>
        </w:rPr>
        <w:t xml:space="preserve">cured </w:t>
      </w:r>
      <w:r>
        <w:rPr>
          <w:rFonts w:ascii="Arial" w:hAnsi="Arial" w:cs="Arial"/>
          <w:iCs/>
        </w:rPr>
        <w:t xml:space="preserve"> with</w:t>
      </w:r>
      <w:proofErr w:type="gramEnd"/>
      <w:r>
        <w:rPr>
          <w:rFonts w:ascii="Arial" w:hAnsi="Arial" w:cs="Arial"/>
          <w:iCs/>
        </w:rPr>
        <w:t xml:space="preserve"> 4-month regimens and conversely those with </w:t>
      </w:r>
      <w:r>
        <w:rPr>
          <w:rFonts w:ascii="Arial" w:hAnsi="Arial" w:cs="Arial"/>
        </w:rPr>
        <w:t>hard-to-treat phenotypes of TB</w:t>
      </w:r>
      <w:r w:rsidR="00087B57">
        <w:rPr>
          <w:rFonts w:ascii="Arial" w:hAnsi="Arial" w:cs="Arial"/>
        </w:rPr>
        <w:t xml:space="preserve"> </w:t>
      </w:r>
      <w:r>
        <w:rPr>
          <w:rFonts w:ascii="Arial" w:hAnsi="Arial" w:cs="Arial"/>
        </w:rPr>
        <w:t xml:space="preserve"> </w:t>
      </w:r>
      <w:r w:rsidR="00087B57">
        <w:rPr>
          <w:rFonts w:ascii="Arial" w:hAnsi="Arial" w:cs="Arial"/>
        </w:rPr>
        <w:t xml:space="preserve">who </w:t>
      </w:r>
      <w:r>
        <w:rPr>
          <w:rFonts w:ascii="Arial" w:hAnsi="Arial" w:cs="Arial"/>
        </w:rPr>
        <w:t>might</w:t>
      </w:r>
      <w:r>
        <w:rPr>
          <w:rFonts w:ascii="Arial" w:hAnsi="Arial" w:cs="Arial"/>
          <w:iCs/>
        </w:rPr>
        <w:t xml:space="preserve"> require longer treatment duration</w:t>
      </w:r>
      <w:r w:rsidR="00D84EFD">
        <w:rPr>
          <w:rFonts w:ascii="Arial" w:hAnsi="Arial" w:cs="Arial"/>
          <w:iCs/>
        </w:rPr>
        <w:t>s</w:t>
      </w:r>
      <w:r>
        <w:rPr>
          <w:rFonts w:ascii="Arial" w:hAnsi="Arial" w:cs="Arial"/>
          <w:iCs/>
        </w:rPr>
        <w:t xml:space="preserve">. We evaluated </w:t>
      </w:r>
      <w:r w:rsidR="00FA598C">
        <w:rPr>
          <w:rFonts w:ascii="Arial" w:hAnsi="Arial" w:cs="Arial"/>
          <w:iCs/>
        </w:rPr>
        <w:t xml:space="preserve">both </w:t>
      </w:r>
      <w:r>
        <w:rPr>
          <w:rFonts w:ascii="Arial" w:hAnsi="Arial" w:cs="Arial"/>
          <w:iCs/>
        </w:rPr>
        <w:t xml:space="preserve">baseline characteristics </w:t>
      </w:r>
      <w:r w:rsidR="00FA598C">
        <w:rPr>
          <w:rFonts w:ascii="Arial" w:hAnsi="Arial" w:cs="Arial"/>
          <w:iCs/>
        </w:rPr>
        <w:t xml:space="preserve">as well as </w:t>
      </w:r>
      <w:r>
        <w:rPr>
          <w:rFonts w:ascii="Arial" w:hAnsi="Arial" w:cs="Arial"/>
          <w:iCs/>
        </w:rPr>
        <w:t>on</w:t>
      </w:r>
      <w:r w:rsidR="00FA598C">
        <w:rPr>
          <w:rFonts w:ascii="Arial" w:hAnsi="Arial" w:cs="Arial"/>
          <w:iCs/>
        </w:rPr>
        <w:t>-</w:t>
      </w:r>
      <w:r>
        <w:rPr>
          <w:rFonts w:ascii="Arial" w:hAnsi="Arial" w:cs="Arial"/>
          <w:iCs/>
        </w:rPr>
        <w:t>treatment markers of risk</w:t>
      </w:r>
      <w:r w:rsidR="00FA598C">
        <w:rPr>
          <w:rFonts w:ascii="Arial" w:hAnsi="Arial" w:cs="Arial"/>
          <w:iCs/>
        </w:rPr>
        <w:t xml:space="preserve">, including dosing frequency and adherence, </w:t>
      </w:r>
      <w:r>
        <w:rPr>
          <w:rFonts w:ascii="Arial" w:hAnsi="Arial" w:cs="Arial"/>
          <w:iCs/>
        </w:rPr>
        <w:t xml:space="preserve">for their ability to stratify the </w:t>
      </w:r>
      <w:r w:rsidR="00D84EFD">
        <w:rPr>
          <w:rFonts w:ascii="Arial" w:hAnsi="Arial" w:cs="Arial"/>
          <w:iCs/>
        </w:rPr>
        <w:t>study population</w:t>
      </w:r>
      <w:r w:rsidR="00D6149F">
        <w:rPr>
          <w:rFonts w:ascii="Arial" w:hAnsi="Arial" w:cs="Arial"/>
          <w:iCs/>
        </w:rPr>
        <w:t xml:space="preserve"> </w:t>
      </w:r>
      <w:r>
        <w:rPr>
          <w:rFonts w:ascii="Arial" w:hAnsi="Arial" w:cs="Arial"/>
          <w:iCs/>
        </w:rPr>
        <w:t>into easy-</w:t>
      </w:r>
      <w:r w:rsidR="007A709C">
        <w:rPr>
          <w:rFonts w:ascii="Arial" w:hAnsi="Arial" w:cs="Arial"/>
          <w:iCs/>
        </w:rPr>
        <w:t xml:space="preserve"> </w:t>
      </w:r>
      <w:r>
        <w:rPr>
          <w:rFonts w:ascii="Arial" w:hAnsi="Arial" w:cs="Arial"/>
          <w:iCs/>
        </w:rPr>
        <w:t>or hard-to-treat phenotypes</w:t>
      </w:r>
      <w:r w:rsidR="00D84EFD">
        <w:rPr>
          <w:rFonts w:ascii="Arial" w:hAnsi="Arial" w:cs="Arial"/>
          <w:iCs/>
        </w:rPr>
        <w:t xml:space="preserve"> of TB</w:t>
      </w:r>
      <w:r>
        <w:rPr>
          <w:rFonts w:ascii="Arial" w:hAnsi="Arial" w:cs="Arial"/>
          <w:iCs/>
        </w:rPr>
        <w:t>.</w:t>
      </w:r>
      <w:r w:rsidR="00FA598C">
        <w:rPr>
          <w:rFonts w:ascii="Arial" w:hAnsi="Arial" w:cs="Arial"/>
          <w:iCs/>
        </w:rPr>
        <w:t xml:space="preserve"> </w:t>
      </w:r>
    </w:p>
    <w:p w14:paraId="7D83CAA1" w14:textId="386F297B" w:rsidR="00CC1D42" w:rsidRDefault="00B51129" w:rsidP="00804CE5">
      <w:pPr>
        <w:spacing w:line="480" w:lineRule="auto"/>
        <w:rPr>
          <w:rFonts w:ascii="Arial" w:hAnsi="Arial" w:cs="Arial"/>
          <w:b/>
        </w:rPr>
      </w:pPr>
      <w:r w:rsidRPr="009439D3">
        <w:rPr>
          <w:rFonts w:ascii="Arial" w:hAnsi="Arial" w:cs="Arial"/>
        </w:rPr>
        <w:br w:type="page"/>
      </w:r>
      <w:r w:rsidR="00126605">
        <w:rPr>
          <w:rFonts w:ascii="Arial" w:hAnsi="Arial" w:cs="Arial"/>
          <w:b/>
        </w:rPr>
        <w:lastRenderedPageBreak/>
        <w:t>Results</w:t>
      </w:r>
    </w:p>
    <w:p w14:paraId="440177C0" w14:textId="77777777" w:rsidR="00CC1D42" w:rsidRDefault="00126605" w:rsidP="00804CE5">
      <w:pPr>
        <w:spacing w:line="480" w:lineRule="auto"/>
        <w:outlineLvl w:val="0"/>
        <w:rPr>
          <w:rFonts w:ascii="Arial" w:hAnsi="Arial" w:cs="Arial"/>
          <w:b/>
        </w:rPr>
      </w:pPr>
      <w:r>
        <w:rPr>
          <w:rFonts w:ascii="Arial" w:hAnsi="Arial" w:cs="Arial"/>
          <w:b/>
        </w:rPr>
        <w:t xml:space="preserve">Study Participants </w:t>
      </w:r>
    </w:p>
    <w:p w14:paraId="075BE4EF" w14:textId="6274B2E4" w:rsidR="00CC1D42" w:rsidRPr="00FD0033" w:rsidRDefault="00126605" w:rsidP="00804CE5">
      <w:pPr>
        <w:spacing w:line="480" w:lineRule="auto"/>
        <w:rPr>
          <w:rFonts w:ascii="Arial" w:hAnsi="Arial"/>
        </w:rPr>
      </w:pPr>
      <w:r>
        <w:rPr>
          <w:rFonts w:ascii="Arial" w:hAnsi="Arial" w:cs="Arial"/>
        </w:rPr>
        <w:t>A total of 3411 study participants treated for drug susceptible tuberculosis with one of four fluoroquinolone</w:t>
      </w:r>
      <w:r w:rsidR="00A82DCE">
        <w:rPr>
          <w:rFonts w:ascii="Arial" w:hAnsi="Arial" w:cs="Arial"/>
        </w:rPr>
        <w:t>-</w:t>
      </w:r>
      <w:r>
        <w:rPr>
          <w:rFonts w:ascii="Arial" w:hAnsi="Arial" w:cs="Arial"/>
        </w:rPr>
        <w:t>containing 4-month regimens</w:t>
      </w:r>
      <w:r w:rsidR="00D97431">
        <w:rPr>
          <w:rFonts w:ascii="Arial" w:hAnsi="Arial" w:cs="Arial"/>
        </w:rPr>
        <w:t xml:space="preserve"> (n=2001)</w:t>
      </w:r>
      <w:r>
        <w:rPr>
          <w:rFonts w:ascii="Arial" w:hAnsi="Arial" w:cs="Arial"/>
        </w:rPr>
        <w:t xml:space="preserve"> or</w:t>
      </w:r>
      <w:r w:rsidR="003B146D">
        <w:rPr>
          <w:rFonts w:ascii="Arial" w:hAnsi="Arial" w:cs="Arial"/>
        </w:rPr>
        <w:t xml:space="preserve"> </w:t>
      </w:r>
      <w:r>
        <w:rPr>
          <w:rFonts w:ascii="Arial" w:hAnsi="Arial" w:cs="Arial"/>
        </w:rPr>
        <w:t xml:space="preserve">the standard 6-month regimen </w:t>
      </w:r>
      <w:r w:rsidR="00D97431">
        <w:rPr>
          <w:rFonts w:ascii="Arial" w:hAnsi="Arial" w:cs="Arial"/>
        </w:rPr>
        <w:t xml:space="preserve">(n=1404) </w:t>
      </w:r>
      <w:r>
        <w:rPr>
          <w:rFonts w:ascii="Arial" w:hAnsi="Arial" w:cs="Arial"/>
        </w:rPr>
        <w:t xml:space="preserve">were included in the </w:t>
      </w:r>
      <w:proofErr w:type="spellStart"/>
      <w:r w:rsidR="008031C2">
        <w:rPr>
          <w:rFonts w:ascii="Arial" w:hAnsi="Arial" w:cs="Arial"/>
        </w:rPr>
        <w:t>modefiied</w:t>
      </w:r>
      <w:proofErr w:type="spellEnd"/>
      <w:r w:rsidR="008031C2">
        <w:rPr>
          <w:rFonts w:ascii="Arial" w:hAnsi="Arial" w:cs="Arial"/>
        </w:rPr>
        <w:t xml:space="preserve"> intention to treat (</w:t>
      </w:r>
      <w:r>
        <w:rPr>
          <w:rFonts w:ascii="Arial" w:hAnsi="Arial" w:cs="Arial"/>
        </w:rPr>
        <w:t>MITT</w:t>
      </w:r>
      <w:r w:rsidR="008031C2">
        <w:rPr>
          <w:rFonts w:ascii="Arial" w:hAnsi="Arial" w:cs="Arial"/>
        </w:rPr>
        <w:t>)</w:t>
      </w:r>
      <w:r>
        <w:rPr>
          <w:rFonts w:ascii="Arial" w:hAnsi="Arial" w:cs="Arial"/>
        </w:rPr>
        <w:t xml:space="preserve"> analys</w:t>
      </w:r>
      <w:r w:rsidR="003623EE">
        <w:rPr>
          <w:rFonts w:ascii="Arial" w:hAnsi="Arial" w:cs="Arial"/>
        </w:rPr>
        <w:t>e</w:t>
      </w:r>
      <w:r>
        <w:rPr>
          <w:rFonts w:ascii="Arial" w:hAnsi="Arial" w:cs="Arial"/>
        </w:rPr>
        <w:t xml:space="preserve">s of the </w:t>
      </w:r>
      <w:r w:rsidR="003623EE">
        <w:rPr>
          <w:rFonts w:ascii="Arial" w:hAnsi="Arial" w:cs="Arial"/>
        </w:rPr>
        <w:t>OFLOTUB</w:t>
      </w:r>
      <w:r w:rsidR="00B56E3B">
        <w:rPr>
          <w:rFonts w:ascii="Arial" w:hAnsi="Arial" w:cs="Arial"/>
        </w:rPr>
        <w:fldChar w:fldCharType="begin" w:fldLock="1"/>
      </w:r>
      <w:r w:rsidR="00A57045">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"mendeley" : { "formattedCitation" : "&lt;sup&gt;1&lt;/sup&gt;", "plainTextFormattedCitation" : "1", "previouslyFormattedCitation" : "&lt;sup&gt;1&lt;/sup&gt;" }, "properties" : {  }, "schema" : "https://github.com/citation-style-language/schema/raw/master/csl-citation.json" }</w:instrText>
      </w:r>
      <w:r w:rsidR="00B56E3B">
        <w:rPr>
          <w:rFonts w:ascii="Arial" w:hAnsi="Arial" w:cs="Arial"/>
        </w:rPr>
        <w:fldChar w:fldCharType="separate"/>
      </w:r>
      <w:r w:rsidR="00B56E3B" w:rsidRPr="00B56E3B">
        <w:rPr>
          <w:rFonts w:ascii="Arial" w:hAnsi="Arial" w:cs="Arial"/>
          <w:noProof/>
          <w:vertAlign w:val="superscript"/>
        </w:rPr>
        <w:t>1</w:t>
      </w:r>
      <w:r w:rsidR="00B56E3B">
        <w:rPr>
          <w:rFonts w:ascii="Arial" w:hAnsi="Arial" w:cs="Arial"/>
        </w:rPr>
        <w:fldChar w:fldCharType="end"/>
      </w:r>
      <w:r w:rsidR="003623EE">
        <w:rPr>
          <w:rFonts w:ascii="Arial" w:hAnsi="Arial" w:cs="Arial"/>
        </w:rPr>
        <w:t xml:space="preserve">, </w:t>
      </w:r>
      <w:r>
        <w:rPr>
          <w:rFonts w:ascii="Arial" w:hAnsi="Arial" w:cs="Arial"/>
        </w:rPr>
        <w:t>REMoxTB</w:t>
      </w:r>
      <w:r w:rsidR="00B56E3B">
        <w:rPr>
          <w:rFonts w:ascii="Arial" w:hAnsi="Arial" w:cs="Arial"/>
        </w:rPr>
        <w:fldChar w:fldCharType="begin" w:fldLock="1"/>
      </w:r>
      <w:r w:rsidR="00B56E3B">
        <w:rPr>
          <w:rFonts w:ascii="Arial" w:hAnsi="Arial" w:cs="Arial"/>
        </w:rPr>
        <w:instrText>ADDIN CSL_CITATION { "citationItems" : [ { "id" : "ITEM-1",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"ITEM-1", "issue" : "17", "issued" : { "date-parts" : [ [ "2014" ] ] }, "note" : "protocol", "page" : "1577-1587", "title" : "Four-Month Moxifloxacin-Based Regimens for Drug-Sensitive Tuberculosis", "type" : "article-journal", "volume" : "371" }, "uris" : [ "http://www.mendeley.com/documents/?uuid=17bfccc4-ae6c-4d94-8f68-f851bb5d6b42" ] } ], "mendeley" : { "formattedCitation" : "&lt;sup&gt;2&lt;/sup&gt;", "plainTextFormattedCitation" : "2", "previouslyFormattedCitation" : "&lt;sup&gt;2&lt;/sup&gt;" }, "properties" : {  }, "schema" : "https://github.com/citation-style-language/schema/raw/master/csl-citation.json" }</w:instrText>
      </w:r>
      <w:r w:rsidR="00B56E3B">
        <w:rPr>
          <w:rFonts w:ascii="Arial" w:hAnsi="Arial" w:cs="Arial"/>
        </w:rPr>
        <w:fldChar w:fldCharType="separate"/>
      </w:r>
      <w:r w:rsidR="00B56E3B" w:rsidRPr="00B56E3B">
        <w:rPr>
          <w:rFonts w:ascii="Arial" w:hAnsi="Arial" w:cs="Arial"/>
          <w:noProof/>
          <w:vertAlign w:val="superscript"/>
        </w:rPr>
        <w:t>2</w:t>
      </w:r>
      <w:r w:rsidR="00B56E3B">
        <w:rPr>
          <w:rFonts w:ascii="Arial" w:hAnsi="Arial" w:cs="Arial"/>
        </w:rPr>
        <w:fldChar w:fldCharType="end"/>
      </w:r>
      <w:r>
        <w:rPr>
          <w:rFonts w:ascii="Arial" w:hAnsi="Arial" w:cs="Arial"/>
        </w:rPr>
        <w:t xml:space="preserve">, </w:t>
      </w:r>
      <w:r w:rsidR="003623EE">
        <w:rPr>
          <w:rFonts w:ascii="Arial" w:hAnsi="Arial" w:cs="Arial"/>
        </w:rPr>
        <w:t xml:space="preserve">and </w:t>
      </w:r>
      <w:r>
        <w:rPr>
          <w:rFonts w:ascii="Arial" w:hAnsi="Arial" w:cs="Arial"/>
        </w:rPr>
        <w:t>RIFAQUIN</w:t>
      </w:r>
      <w:r w:rsidR="00B56E3B">
        <w:rPr>
          <w:rFonts w:ascii="Arial" w:hAnsi="Arial" w:cs="Arial"/>
        </w:rPr>
        <w:fldChar w:fldCharType="begin" w:fldLock="1"/>
      </w:r>
      <w:r w:rsidR="00B56E3B">
        <w:rPr>
          <w:rFonts w:ascii="Arial" w:hAnsi="Arial" w:cs="Arial"/>
        </w:rPr>
        <w:instrText>ADDIN CSL_CITATION { "citationItems" : [ { "id" : "ITEM-1",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"ITEM-1", "issue" : "17", "issued" : { "date-parts" : [ [ "2014" ] ] }, "note" : "supplementary", "page" : "1599-1608", "title" : "High-Dose Rifapentine with Moxifloxacin for Pulmonary Tuberculosis", "type" : "article-journal", "volume" : "371" }, "uris" : [ "http://www.mendeley.com/documents/?uuid=6e460265-06c7-4572-b217-3783f8a42ff5" ] } ], "mendeley" : { "formattedCitation" : "&lt;sup&gt;3&lt;/sup&gt;", "plainTextFormattedCitation" : "3", "previouslyFormattedCitation" : "&lt;sup&gt;3&lt;/sup&gt;" }, "properties" : {  }, "schema" : "https://github.com/citation-style-language/schema/raw/master/csl-citation.json" }</w:instrText>
      </w:r>
      <w:r w:rsidR="00B56E3B">
        <w:rPr>
          <w:rFonts w:ascii="Arial" w:hAnsi="Arial" w:cs="Arial"/>
        </w:rPr>
        <w:fldChar w:fldCharType="separate"/>
      </w:r>
      <w:r w:rsidR="00B56E3B" w:rsidRPr="00B56E3B">
        <w:rPr>
          <w:rFonts w:ascii="Arial" w:hAnsi="Arial" w:cs="Arial"/>
          <w:noProof/>
          <w:vertAlign w:val="superscript"/>
        </w:rPr>
        <w:t>3</w:t>
      </w:r>
      <w:r w:rsidR="00B56E3B">
        <w:rPr>
          <w:rFonts w:ascii="Arial" w:hAnsi="Arial" w:cs="Arial"/>
        </w:rPr>
        <w:fldChar w:fldCharType="end"/>
      </w:r>
      <w:r>
        <w:rPr>
          <w:rFonts w:ascii="Arial" w:hAnsi="Arial" w:cs="Arial"/>
        </w:rPr>
        <w:t xml:space="preserve"> trials; six  participants were excluded from the current analyses due</w:t>
      </w:r>
      <w:r w:rsidR="002E2886">
        <w:rPr>
          <w:rFonts w:ascii="Arial" w:hAnsi="Arial" w:cs="Arial"/>
        </w:rPr>
        <w:t xml:space="preserve"> to</w:t>
      </w:r>
      <w:r>
        <w:rPr>
          <w:rFonts w:ascii="Arial" w:hAnsi="Arial" w:cs="Arial"/>
        </w:rPr>
        <w:t xml:space="preserve"> </w:t>
      </w:r>
      <w:r w:rsidR="00DC533F">
        <w:rPr>
          <w:rFonts w:ascii="Arial" w:hAnsi="Arial" w:cs="Arial"/>
        </w:rPr>
        <w:t xml:space="preserve">inability to verify </w:t>
      </w:r>
      <w:r>
        <w:rPr>
          <w:rFonts w:ascii="Arial" w:hAnsi="Arial" w:cs="Arial"/>
        </w:rPr>
        <w:t xml:space="preserve">treatment allocation </w:t>
      </w:r>
      <w:r w:rsidR="00DC533F">
        <w:rPr>
          <w:rFonts w:ascii="Arial" w:hAnsi="Arial" w:cs="Arial"/>
        </w:rPr>
        <w:t>in so</w:t>
      </w:r>
      <w:r w:rsidR="004F151C" w:rsidRPr="000A1F4E">
        <w:rPr>
          <w:rFonts w:ascii="Arial" w:hAnsi="Arial" w:cs="Arial"/>
        </w:rPr>
        <w:t>urce</w:t>
      </w:r>
      <w:r>
        <w:rPr>
          <w:rFonts w:ascii="Arial" w:hAnsi="Arial" w:cs="Arial"/>
        </w:rPr>
        <w:t xml:space="preserve"> database</w:t>
      </w:r>
      <w:r w:rsidR="008031C2">
        <w:rPr>
          <w:rFonts w:ascii="Arial" w:hAnsi="Arial" w:cs="Arial"/>
        </w:rPr>
        <w:t>s</w:t>
      </w:r>
      <w:r>
        <w:rPr>
          <w:rFonts w:ascii="Arial" w:hAnsi="Arial" w:cs="Arial"/>
        </w:rPr>
        <w:t xml:space="preserve">. The </w:t>
      </w:r>
      <w:r w:rsidR="00B56E3B">
        <w:rPr>
          <w:rFonts w:ascii="Arial" w:hAnsi="Arial" w:cs="Arial"/>
        </w:rPr>
        <w:t xml:space="preserve">external </w:t>
      </w:r>
      <w:r>
        <w:rPr>
          <w:rFonts w:ascii="Arial" w:hAnsi="Arial" w:cs="Arial"/>
        </w:rPr>
        <w:t>validation data set</w:t>
      </w:r>
      <w:r w:rsidR="00B56E3B">
        <w:rPr>
          <w:rFonts w:ascii="Arial" w:hAnsi="Arial" w:cs="Arial"/>
        </w:rPr>
        <w:t xml:space="preserve"> (DMID 01-009</w:t>
      </w:r>
      <w:r w:rsidR="00B56E3B">
        <w:rPr>
          <w:rFonts w:ascii="Arial" w:hAnsi="Arial" w:cs="Arial"/>
        </w:rPr>
        <w:fldChar w:fldCharType="begin" w:fldLock="1"/>
      </w:r>
      <w:r w:rsidR="00A57045">
        <w:rPr>
          <w:rFonts w:ascii="Arial" w:hAnsi="Arial" w:cs="Arial"/>
        </w:rPr>
        <w:instrText>ADDIN CSL_CITATION { "citationItems" : [ { "id" : "ITEM-1",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"ITEM-1",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"&lt;sup&gt;9&lt;/sup&gt;", "plainTextFormattedCitation" : "9", "previouslyFormattedCitation" : "&lt;sup&gt;9&lt;/sup&gt;" }, "properties" : {  }, "schema" : "https://github.com/citation-style-language/schema/raw/master/csl-citation.json" }</w:instrText>
      </w:r>
      <w:r w:rsidR="00B56E3B">
        <w:rPr>
          <w:rFonts w:ascii="Arial" w:hAnsi="Arial" w:cs="Arial"/>
        </w:rPr>
        <w:fldChar w:fldCharType="separate"/>
      </w:r>
      <w:r w:rsidR="00B56E3B" w:rsidRPr="00B56E3B">
        <w:rPr>
          <w:rFonts w:ascii="Arial" w:hAnsi="Arial" w:cs="Arial"/>
          <w:noProof/>
          <w:vertAlign w:val="superscript"/>
        </w:rPr>
        <w:t>9</w:t>
      </w:r>
      <w:r w:rsidR="00B56E3B">
        <w:rPr>
          <w:rFonts w:ascii="Arial" w:hAnsi="Arial" w:cs="Arial"/>
        </w:rPr>
        <w:fldChar w:fldCharType="end"/>
      </w:r>
      <w:r w:rsidR="00B56E3B">
        <w:rPr>
          <w:rFonts w:ascii="Arial" w:hAnsi="Arial" w:cs="Arial"/>
        </w:rPr>
        <w:t>)</w:t>
      </w:r>
      <w:r>
        <w:rPr>
          <w:rFonts w:ascii="Arial" w:hAnsi="Arial" w:cs="Arial"/>
        </w:rPr>
        <w:t xml:space="preserve"> includes 193 study participants treated with </w:t>
      </w:r>
      <w:r w:rsidR="00131D3C">
        <w:rPr>
          <w:rFonts w:ascii="Arial" w:hAnsi="Arial" w:cs="Arial"/>
        </w:rPr>
        <w:t xml:space="preserve">a </w:t>
      </w:r>
      <w:r>
        <w:rPr>
          <w:rFonts w:ascii="Arial" w:hAnsi="Arial" w:cs="Arial"/>
        </w:rPr>
        <w:t xml:space="preserve">4-month </w:t>
      </w:r>
      <w:r w:rsidR="003623EE">
        <w:rPr>
          <w:rFonts w:ascii="Arial" w:hAnsi="Arial" w:cs="Arial"/>
        </w:rPr>
        <w:t xml:space="preserve">experimental </w:t>
      </w:r>
      <w:r>
        <w:rPr>
          <w:rFonts w:ascii="Arial" w:hAnsi="Arial" w:cs="Arial"/>
        </w:rPr>
        <w:t>regimen (no fluoroquinolone) and 193 study participants treated with the</w:t>
      </w:r>
      <w:r w:rsidR="003623EE">
        <w:rPr>
          <w:rFonts w:ascii="Arial" w:hAnsi="Arial" w:cs="Arial"/>
        </w:rPr>
        <w:t xml:space="preserve"> standard</w:t>
      </w:r>
      <w:r>
        <w:rPr>
          <w:rFonts w:ascii="Arial" w:hAnsi="Arial" w:cs="Arial"/>
        </w:rPr>
        <w:t xml:space="preserve"> 6-month regimen (Figure1). </w:t>
      </w:r>
      <w:r w:rsidR="00DC533F">
        <w:rPr>
          <w:rFonts w:ascii="Arial" w:hAnsi="Arial" w:cs="Arial"/>
        </w:rPr>
        <w:t>B</w:t>
      </w:r>
      <w:r w:rsidR="004F151C" w:rsidRPr="000A1F4E">
        <w:rPr>
          <w:rFonts w:ascii="Arial" w:hAnsi="Arial" w:cs="Arial"/>
        </w:rPr>
        <w:t>aseline</w:t>
      </w:r>
      <w:r>
        <w:rPr>
          <w:rFonts w:ascii="Arial" w:hAnsi="Arial" w:cs="Arial"/>
        </w:rPr>
        <w:t xml:space="preserve"> characteristics of participants</w:t>
      </w:r>
      <w:r w:rsidR="004F151C" w:rsidRPr="000A1F4E">
        <w:rPr>
          <w:rFonts w:ascii="Arial" w:hAnsi="Arial" w:cs="Arial"/>
        </w:rPr>
        <w:t xml:space="preserve"> </w:t>
      </w:r>
      <w:r w:rsidR="00DC533F">
        <w:rPr>
          <w:rFonts w:ascii="Arial" w:hAnsi="Arial" w:cs="Arial"/>
        </w:rPr>
        <w:t xml:space="preserve">did not </w:t>
      </w:r>
      <w:r w:rsidR="0094058A">
        <w:rPr>
          <w:rFonts w:ascii="Arial" w:hAnsi="Arial" w:cs="Arial"/>
        </w:rPr>
        <w:t>differ across</w:t>
      </w:r>
      <w:r>
        <w:rPr>
          <w:rFonts w:ascii="Arial" w:hAnsi="Arial" w:cs="Arial"/>
        </w:rPr>
        <w:t xml:space="preserve"> the experimental and control groups within analysis datasets with exception of race and Senegal country</w:t>
      </w:r>
      <w:r w:rsidR="00131D3C">
        <w:rPr>
          <w:rFonts w:ascii="Arial" w:hAnsi="Arial" w:cs="Arial"/>
        </w:rPr>
        <w:t xml:space="preserve"> </w:t>
      </w:r>
      <w:r>
        <w:rPr>
          <w:rFonts w:ascii="Arial" w:hAnsi="Arial" w:cs="Arial"/>
        </w:rPr>
        <w:t>(both p &lt; 0.001, Table 1)</w:t>
      </w:r>
      <w:r w:rsidR="00131D3C">
        <w:rPr>
          <w:rFonts w:ascii="Arial" w:hAnsi="Arial" w:cs="Arial"/>
        </w:rPr>
        <w:t xml:space="preserve">; </w:t>
      </w:r>
      <w:r w:rsidR="00A069C6">
        <w:rPr>
          <w:rFonts w:ascii="Arial" w:hAnsi="Arial" w:cs="Arial"/>
        </w:rPr>
        <w:t>12% of the participants were HIV-infected.</w:t>
      </w:r>
    </w:p>
    <w:p w14:paraId="6B6A52AE" w14:textId="77777777" w:rsidR="00CC1D42" w:rsidRDefault="00CC1D42" w:rsidP="00804CE5">
      <w:pPr>
        <w:spacing w:line="480" w:lineRule="auto"/>
        <w:rPr>
          <w:rFonts w:ascii="Arial" w:hAnsi="Arial" w:cs="Arial"/>
          <w:highlight w:val="yellow"/>
        </w:rPr>
      </w:pPr>
    </w:p>
    <w:p w14:paraId="68F2BD57" w14:textId="77777777" w:rsidR="00CC1D42" w:rsidRDefault="00126605" w:rsidP="00804CE5">
      <w:pPr>
        <w:spacing w:line="480" w:lineRule="auto"/>
        <w:outlineLvl w:val="0"/>
        <w:rPr>
          <w:rFonts w:ascii="Arial" w:hAnsi="Arial" w:cs="Arial"/>
          <w:b/>
        </w:rPr>
      </w:pPr>
      <w:r>
        <w:rPr>
          <w:rFonts w:ascii="Arial" w:hAnsi="Arial" w:cs="Arial"/>
          <w:b/>
        </w:rPr>
        <w:t>Primary Outcome Analysis</w:t>
      </w:r>
    </w:p>
    <w:p w14:paraId="4356B49B" w14:textId="31FFC73F" w:rsidR="00CC1D42" w:rsidRDefault="00126605" w:rsidP="00804CE5">
      <w:pPr>
        <w:spacing w:line="480" w:lineRule="auto"/>
        <w:rPr>
          <w:rFonts w:ascii="Arial" w:hAnsi="Arial" w:cs="Arial"/>
        </w:rPr>
      </w:pPr>
      <w:r>
        <w:rPr>
          <w:rFonts w:ascii="Arial" w:hAnsi="Arial" w:cs="Arial"/>
        </w:rPr>
        <w:t xml:space="preserve">Multivariate </w:t>
      </w:r>
      <w:r w:rsidR="008D6A51">
        <w:rPr>
          <w:rFonts w:ascii="Arial" w:hAnsi="Arial" w:cs="Arial"/>
        </w:rPr>
        <w:t>C</w:t>
      </w:r>
      <w:r>
        <w:rPr>
          <w:rFonts w:ascii="Arial" w:hAnsi="Arial" w:cs="Arial"/>
        </w:rPr>
        <w:t>ox analysis of baseline risk factors for unfavorable outcomes included 3154/3405 (93%) participants with no missing baseline covariates; 1843/2001 (92%) participants were allocated to one of the 4-month</w:t>
      </w:r>
      <w:r>
        <w:rPr>
          <w:rFonts w:ascii="Arial" w:hAnsi="Arial" w:cs="Arial"/>
          <w:b/>
        </w:rPr>
        <w:t xml:space="preserve"> </w:t>
      </w:r>
      <w:r>
        <w:rPr>
          <w:rFonts w:ascii="Arial" w:hAnsi="Arial" w:cs="Arial"/>
        </w:rPr>
        <w:t>experimental regimens and 1311/1404 (93</w:t>
      </w:r>
      <w:r w:rsidR="00A63A1A">
        <w:rPr>
          <w:rFonts w:ascii="Arial" w:hAnsi="Arial" w:cs="Arial"/>
        </w:rPr>
        <w:t>%) participants</w:t>
      </w:r>
      <w:r>
        <w:rPr>
          <w:rFonts w:ascii="Arial" w:hAnsi="Arial" w:cs="Arial"/>
        </w:rPr>
        <w:t xml:space="preserve"> were allocated </w:t>
      </w:r>
      <w:r w:rsidR="0006596E">
        <w:rPr>
          <w:rFonts w:ascii="Arial" w:hAnsi="Arial" w:cs="Arial"/>
        </w:rPr>
        <w:t xml:space="preserve">to </w:t>
      </w:r>
      <w:r>
        <w:rPr>
          <w:rFonts w:ascii="Arial" w:hAnsi="Arial" w:cs="Arial"/>
        </w:rPr>
        <w:t xml:space="preserve">the control </w:t>
      </w:r>
      <w:r w:rsidR="008622B9">
        <w:rPr>
          <w:rFonts w:ascii="Arial" w:hAnsi="Arial" w:cs="Arial"/>
        </w:rPr>
        <w:t>regimen</w:t>
      </w:r>
      <w:r w:rsidR="0006596E">
        <w:rPr>
          <w:rFonts w:ascii="Arial" w:hAnsi="Arial" w:cs="Arial"/>
        </w:rPr>
        <w:t>s</w:t>
      </w:r>
      <w:r w:rsidR="00DA16E4">
        <w:rPr>
          <w:rFonts w:ascii="Arial" w:hAnsi="Arial" w:cs="Arial"/>
        </w:rPr>
        <w:t xml:space="preserve"> (</w:t>
      </w:r>
      <w:r w:rsidR="00B56E3B">
        <w:rPr>
          <w:rFonts w:ascii="Arial" w:hAnsi="Arial" w:cs="Arial"/>
        </w:rPr>
        <w:t>Supplementary Tables 1-3</w:t>
      </w:r>
      <w:r w:rsidR="00DA16E4">
        <w:rPr>
          <w:rFonts w:ascii="Arial" w:hAnsi="Arial" w:cs="Arial"/>
        </w:rPr>
        <w:t>)</w:t>
      </w:r>
      <w:r>
        <w:rPr>
          <w:rFonts w:ascii="Arial" w:hAnsi="Arial" w:cs="Arial"/>
        </w:rPr>
        <w:t xml:space="preserve">. </w:t>
      </w:r>
      <w:r w:rsidR="00A63A1A">
        <w:rPr>
          <w:rFonts w:ascii="Arial" w:hAnsi="Arial" w:cs="Arial"/>
        </w:rPr>
        <w:t>In participants</w:t>
      </w:r>
      <w:r>
        <w:rPr>
          <w:rFonts w:ascii="Arial" w:hAnsi="Arial" w:cs="Arial"/>
        </w:rPr>
        <w:t xml:space="preserve"> assigned to 4-month</w:t>
      </w:r>
      <w:r>
        <w:rPr>
          <w:rFonts w:ascii="Arial" w:hAnsi="Arial" w:cs="Arial"/>
          <w:b/>
        </w:rPr>
        <w:t xml:space="preserve"> </w:t>
      </w:r>
      <w:r>
        <w:rPr>
          <w:rFonts w:ascii="Arial" w:hAnsi="Arial" w:cs="Arial"/>
        </w:rPr>
        <w:t xml:space="preserve">experimental regimens, baseline smear 3+ relative to smear negative or 1+ grade and HIV </w:t>
      </w:r>
      <w:proofErr w:type="spellStart"/>
      <w:r w:rsidR="00DC533F">
        <w:rPr>
          <w:rFonts w:ascii="Arial" w:hAnsi="Arial" w:cs="Arial"/>
        </w:rPr>
        <w:t>sero</w:t>
      </w:r>
      <w:r w:rsidR="008622B9" w:rsidRPr="009439D3">
        <w:rPr>
          <w:rFonts w:ascii="Arial" w:hAnsi="Arial" w:cs="Arial"/>
        </w:rPr>
        <w:t>positivity</w:t>
      </w:r>
      <w:proofErr w:type="spellEnd"/>
      <w:r>
        <w:rPr>
          <w:rFonts w:ascii="Arial" w:hAnsi="Arial" w:cs="Arial"/>
        </w:rPr>
        <w:t xml:space="preserve"> were the </w:t>
      </w:r>
      <w:r w:rsidR="001575DA">
        <w:rPr>
          <w:rFonts w:ascii="Arial" w:hAnsi="Arial" w:cs="Arial"/>
        </w:rPr>
        <w:t>two major</w:t>
      </w:r>
      <w:r>
        <w:rPr>
          <w:rFonts w:ascii="Arial" w:hAnsi="Arial" w:cs="Arial"/>
        </w:rPr>
        <w:t xml:space="preserve"> baseline </w:t>
      </w:r>
      <w:r w:rsidR="001575DA">
        <w:rPr>
          <w:rFonts w:ascii="Arial" w:hAnsi="Arial" w:cs="Arial"/>
        </w:rPr>
        <w:t xml:space="preserve">clinical </w:t>
      </w:r>
      <w:r>
        <w:rPr>
          <w:rFonts w:ascii="Arial" w:hAnsi="Arial" w:cs="Arial"/>
        </w:rPr>
        <w:t>risk factors for unfavorable outcomes with</w:t>
      </w:r>
      <w:r w:rsidR="008622B9" w:rsidRPr="009439D3">
        <w:rPr>
          <w:rFonts w:ascii="Arial" w:hAnsi="Arial" w:cs="Arial"/>
        </w:rPr>
        <w:t xml:space="preserve"> </w:t>
      </w:r>
      <w:r w:rsidR="00DC533F">
        <w:rPr>
          <w:rFonts w:ascii="Arial" w:hAnsi="Arial" w:cs="Arial"/>
        </w:rPr>
        <w:t>an</w:t>
      </w:r>
      <w:r>
        <w:rPr>
          <w:rFonts w:ascii="Arial" w:hAnsi="Arial" w:cs="Arial"/>
        </w:rPr>
        <w:t xml:space="preserve"> adjusted hazard ratio of 1.4 (95% confidence interval [CI],1.1-</w:t>
      </w:r>
      <w:r w:rsidR="00431B8E">
        <w:rPr>
          <w:rFonts w:ascii="Arial" w:hAnsi="Arial" w:cs="Arial"/>
        </w:rPr>
        <w:t>1.9</w:t>
      </w:r>
      <w:r>
        <w:rPr>
          <w:rFonts w:ascii="Arial" w:hAnsi="Arial" w:cs="Arial"/>
        </w:rPr>
        <w:t xml:space="preserve">) and 1.4 (95% CI 1.1-1.9), respectively, adjusted also for age and sex. Higher risk was shown in older </w:t>
      </w:r>
      <w:r w:rsidR="00DC533F">
        <w:rPr>
          <w:rFonts w:ascii="Arial" w:hAnsi="Arial" w:cs="Arial"/>
        </w:rPr>
        <w:t xml:space="preserve">participants </w:t>
      </w:r>
      <w:r>
        <w:rPr>
          <w:rFonts w:ascii="Arial" w:hAnsi="Arial" w:cs="Arial"/>
        </w:rPr>
        <w:t>(adjusted hazard ratio [HR], 1.1 per 10 years increase; 95% CI, 1.0-1.</w:t>
      </w:r>
      <w:r w:rsidR="003C194E">
        <w:rPr>
          <w:rFonts w:ascii="Arial" w:hAnsi="Arial" w:cs="Arial"/>
        </w:rPr>
        <w:t>2</w:t>
      </w:r>
      <w:r>
        <w:rPr>
          <w:rFonts w:ascii="Arial" w:hAnsi="Arial" w:cs="Arial"/>
        </w:rPr>
        <w:t xml:space="preserve">) and </w:t>
      </w:r>
      <w:r w:rsidR="004D63BB">
        <w:rPr>
          <w:rFonts w:ascii="Arial" w:hAnsi="Arial" w:cs="Arial"/>
        </w:rPr>
        <w:t>male</w:t>
      </w:r>
      <w:r w:rsidR="00B05686">
        <w:rPr>
          <w:rFonts w:ascii="Arial" w:hAnsi="Arial" w:cs="Arial"/>
        </w:rPr>
        <w:t xml:space="preserve"> sex</w:t>
      </w:r>
      <w:r w:rsidR="00B17E03">
        <w:rPr>
          <w:rFonts w:ascii="Arial" w:hAnsi="Arial" w:cs="Arial"/>
        </w:rPr>
        <w:t xml:space="preserve"> </w:t>
      </w:r>
      <w:r>
        <w:rPr>
          <w:rFonts w:ascii="Arial" w:hAnsi="Arial" w:cs="Arial"/>
        </w:rPr>
        <w:t>(HR, 1.6; 95% CI 1.3-2.1) study participants</w:t>
      </w:r>
      <w:r w:rsidR="008738BF">
        <w:rPr>
          <w:rFonts w:ascii="Arial" w:hAnsi="Arial" w:cs="Arial"/>
        </w:rPr>
        <w:t xml:space="preserve">. </w:t>
      </w:r>
      <w:r>
        <w:rPr>
          <w:rFonts w:ascii="Arial" w:hAnsi="Arial" w:cs="Arial"/>
        </w:rPr>
        <w:t xml:space="preserve">After inclusion of on-treatment culture and adherence as risk factors, 1668/2001 (83%) experimental </w:t>
      </w:r>
      <w:r w:rsidR="002F19CC">
        <w:rPr>
          <w:rFonts w:ascii="Arial" w:hAnsi="Arial" w:cs="Arial"/>
        </w:rPr>
        <w:t>arm participants were available for analysis</w:t>
      </w:r>
      <w:r>
        <w:rPr>
          <w:rFonts w:ascii="Arial" w:hAnsi="Arial" w:cs="Arial"/>
        </w:rPr>
        <w:t xml:space="preserve">. Non-adherence was the most significant risk factor </w:t>
      </w:r>
      <w:r w:rsidR="00DC533F">
        <w:rPr>
          <w:rFonts w:ascii="Arial" w:hAnsi="Arial" w:cs="Arial"/>
        </w:rPr>
        <w:t xml:space="preserve">for unfavorable outcome </w:t>
      </w:r>
      <w:r>
        <w:rPr>
          <w:rFonts w:ascii="Arial" w:hAnsi="Arial" w:cs="Arial"/>
        </w:rPr>
        <w:t xml:space="preserve">with adjusted hazard ratios of 5.7 (95% CI, 3.3-9.9) for participants who missed 10% or more </w:t>
      </w:r>
      <w:r>
        <w:rPr>
          <w:rFonts w:ascii="Arial" w:hAnsi="Arial" w:cs="Arial"/>
        </w:rPr>
        <w:lastRenderedPageBreak/>
        <w:t xml:space="preserve">prescribed doses and 1.4 (95% CI, 1.0-1.9) for participants who missed less than 10% </w:t>
      </w:r>
      <w:r w:rsidR="00B17E03">
        <w:rPr>
          <w:rFonts w:ascii="Arial" w:hAnsi="Arial" w:cs="Arial"/>
        </w:rPr>
        <w:t xml:space="preserve">of </w:t>
      </w:r>
      <w:r w:rsidR="00590F6F">
        <w:rPr>
          <w:rFonts w:ascii="Arial" w:hAnsi="Arial" w:cs="Arial"/>
        </w:rPr>
        <w:t xml:space="preserve">prescribed </w:t>
      </w:r>
      <w:r w:rsidR="00B17E03">
        <w:rPr>
          <w:rFonts w:ascii="Arial" w:hAnsi="Arial" w:cs="Arial"/>
        </w:rPr>
        <w:t>doses</w:t>
      </w:r>
      <w:r>
        <w:rPr>
          <w:rFonts w:ascii="Arial" w:hAnsi="Arial" w:cs="Arial"/>
        </w:rPr>
        <w:t xml:space="preserve"> relative to participants who completed treatment without any missed doses. </w:t>
      </w:r>
      <w:r w:rsidR="002F19CC">
        <w:rPr>
          <w:rFonts w:ascii="Arial" w:hAnsi="Arial" w:cs="Arial"/>
        </w:rPr>
        <w:t>M</w:t>
      </w:r>
      <w:r>
        <w:rPr>
          <w:rFonts w:ascii="Arial" w:hAnsi="Arial" w:cs="Arial"/>
        </w:rPr>
        <w:t>onth</w:t>
      </w:r>
      <w:r w:rsidR="0006596E">
        <w:rPr>
          <w:rFonts w:ascii="Arial" w:hAnsi="Arial" w:cs="Arial"/>
        </w:rPr>
        <w:t>-</w:t>
      </w:r>
      <w:r>
        <w:rPr>
          <w:rFonts w:ascii="Arial" w:hAnsi="Arial" w:cs="Arial"/>
        </w:rPr>
        <w:t xml:space="preserve">2 culture </w:t>
      </w:r>
      <w:r w:rsidR="00B17E03">
        <w:rPr>
          <w:rFonts w:ascii="Arial" w:hAnsi="Arial" w:cs="Arial"/>
        </w:rPr>
        <w:t>positivity was</w:t>
      </w:r>
      <w:r w:rsidR="00B47CCF">
        <w:rPr>
          <w:rFonts w:ascii="Arial" w:hAnsi="Arial" w:cs="Arial"/>
        </w:rPr>
        <w:t xml:space="preserve"> significantly associated with </w:t>
      </w:r>
      <w:r w:rsidR="00956AD5">
        <w:rPr>
          <w:rFonts w:ascii="Arial" w:hAnsi="Arial" w:cs="Arial"/>
        </w:rPr>
        <w:t>unfavorable</w:t>
      </w:r>
      <w:r w:rsidR="00B47CCF">
        <w:rPr>
          <w:rFonts w:ascii="Arial" w:hAnsi="Arial" w:cs="Arial"/>
        </w:rPr>
        <w:t xml:space="preserve"> outcome (</w:t>
      </w:r>
      <w:r w:rsidR="00590F6F">
        <w:rPr>
          <w:rFonts w:ascii="Arial" w:hAnsi="Arial" w:cs="Arial"/>
        </w:rPr>
        <w:t>HR,</w:t>
      </w:r>
      <w:r>
        <w:rPr>
          <w:rFonts w:ascii="Arial" w:hAnsi="Arial" w:cs="Arial"/>
        </w:rPr>
        <w:t xml:space="preserve"> 2.2 (95% CI, 1.7-2.9</w:t>
      </w:r>
      <w:r w:rsidR="008622B9" w:rsidRPr="009439D3">
        <w:rPr>
          <w:rFonts w:ascii="Arial" w:hAnsi="Arial" w:cs="Arial"/>
        </w:rPr>
        <w:t>)</w:t>
      </w:r>
      <w:r w:rsidR="00B47CCF">
        <w:rPr>
          <w:rFonts w:ascii="Arial" w:hAnsi="Arial" w:cs="Arial"/>
        </w:rPr>
        <w:t>)</w:t>
      </w:r>
      <w:r w:rsidR="008622B9" w:rsidRPr="009439D3">
        <w:rPr>
          <w:rFonts w:ascii="Arial" w:hAnsi="Arial" w:cs="Arial"/>
        </w:rPr>
        <w:t>.</w:t>
      </w:r>
      <w:r>
        <w:rPr>
          <w:rFonts w:ascii="Arial" w:hAnsi="Arial" w:cs="Arial"/>
        </w:rPr>
        <w:t xml:space="preserve"> After adjustment for on-treatment factors, lower </w:t>
      </w:r>
      <w:r w:rsidR="00A23830">
        <w:rPr>
          <w:rFonts w:ascii="Arial" w:hAnsi="Arial" w:cs="Arial"/>
        </w:rPr>
        <w:t>body mass index</w:t>
      </w:r>
      <w:r>
        <w:rPr>
          <w:rFonts w:ascii="Arial" w:hAnsi="Arial" w:cs="Arial"/>
        </w:rPr>
        <w:t xml:space="preserve"> (</w:t>
      </w:r>
      <w:r w:rsidR="00A23830">
        <w:rPr>
          <w:rFonts w:ascii="Arial" w:hAnsi="Arial" w:cs="Arial"/>
        </w:rPr>
        <w:t xml:space="preserve">BMI, </w:t>
      </w:r>
      <w:r>
        <w:rPr>
          <w:rFonts w:ascii="Arial" w:hAnsi="Arial" w:cs="Arial"/>
        </w:rPr>
        <w:t>representative of malnutrition) was a risk factor for unfavorable outcome (HR, 1.4 per 5 kg/m</w:t>
      </w:r>
      <w:r>
        <w:rPr>
          <w:rFonts w:ascii="Arial" w:hAnsi="Arial" w:cs="Arial"/>
          <w:vertAlign w:val="superscript"/>
        </w:rPr>
        <w:t>2</w:t>
      </w:r>
      <w:r>
        <w:rPr>
          <w:rFonts w:ascii="Arial" w:hAnsi="Arial" w:cs="Arial"/>
        </w:rPr>
        <w:t xml:space="preserve"> decrease; 95% CI 1.1-1.7)</w:t>
      </w:r>
      <w:r w:rsidR="008738BF">
        <w:rPr>
          <w:rFonts w:ascii="Arial" w:hAnsi="Arial" w:cs="Arial"/>
        </w:rPr>
        <w:t xml:space="preserve"> (Figure 2</w:t>
      </w:r>
      <w:r w:rsidR="00B56E3B">
        <w:rPr>
          <w:rFonts w:ascii="Arial" w:hAnsi="Arial" w:cs="Arial"/>
        </w:rPr>
        <w:t>a</w:t>
      </w:r>
      <w:r w:rsidR="004F47A2">
        <w:rPr>
          <w:rFonts w:ascii="Arial" w:hAnsi="Arial" w:cs="Arial"/>
        </w:rPr>
        <w:t xml:space="preserve">, Supplementary Table </w:t>
      </w:r>
      <w:r w:rsidR="00AA3E1C">
        <w:rPr>
          <w:rFonts w:ascii="Arial" w:hAnsi="Arial" w:cs="Arial"/>
        </w:rPr>
        <w:t>4</w:t>
      </w:r>
      <w:r w:rsidR="008738BF">
        <w:rPr>
          <w:rFonts w:ascii="Arial" w:hAnsi="Arial" w:cs="Arial"/>
        </w:rPr>
        <w:t>).</w:t>
      </w:r>
    </w:p>
    <w:p w14:paraId="7BA31A32" w14:textId="77777777" w:rsidR="00507929" w:rsidRDefault="00507929" w:rsidP="00804CE5">
      <w:pPr>
        <w:spacing w:line="480" w:lineRule="auto"/>
        <w:rPr>
          <w:rFonts w:ascii="Arial" w:hAnsi="Arial" w:cs="Arial"/>
        </w:rPr>
      </w:pPr>
    </w:p>
    <w:p w14:paraId="00F4B1C8" w14:textId="4B55623B" w:rsidR="00CC1D42" w:rsidRDefault="00126605" w:rsidP="00804CE5">
      <w:pPr>
        <w:spacing w:line="480" w:lineRule="auto"/>
        <w:rPr>
          <w:rFonts w:ascii="Arial" w:hAnsi="Arial" w:cs="Arial"/>
          <w:highlight w:val="yellow"/>
        </w:rPr>
      </w:pPr>
      <w:r>
        <w:rPr>
          <w:rFonts w:ascii="Arial" w:hAnsi="Arial" w:cs="Arial"/>
        </w:rPr>
        <w:t xml:space="preserve">In the 1311/1404 (93%) participants </w:t>
      </w:r>
      <w:r w:rsidR="002F19CC">
        <w:rPr>
          <w:rFonts w:ascii="Arial" w:hAnsi="Arial" w:cs="Arial"/>
        </w:rPr>
        <w:t>allocated to t</w:t>
      </w:r>
      <w:r>
        <w:rPr>
          <w:rFonts w:ascii="Arial" w:hAnsi="Arial" w:cs="Arial"/>
        </w:rPr>
        <w:t xml:space="preserve">he 6-month control </w:t>
      </w:r>
      <w:r w:rsidR="00E35202">
        <w:rPr>
          <w:rFonts w:ascii="Arial" w:hAnsi="Arial" w:cs="Arial"/>
        </w:rPr>
        <w:t>regimen</w:t>
      </w:r>
      <w:r w:rsidR="002F19CC">
        <w:rPr>
          <w:rFonts w:ascii="Arial" w:hAnsi="Arial" w:cs="Arial"/>
        </w:rPr>
        <w:t xml:space="preserve">, </w:t>
      </w:r>
      <w:r>
        <w:rPr>
          <w:rFonts w:ascii="Arial" w:hAnsi="Arial" w:cs="Arial"/>
        </w:rPr>
        <w:t xml:space="preserve">HIV </w:t>
      </w:r>
      <w:proofErr w:type="spellStart"/>
      <w:r w:rsidR="0072067D">
        <w:rPr>
          <w:rFonts w:ascii="Arial" w:hAnsi="Arial" w:cs="Arial"/>
        </w:rPr>
        <w:t>sero</w:t>
      </w:r>
      <w:r w:rsidR="00FD020E">
        <w:rPr>
          <w:rFonts w:ascii="Arial" w:hAnsi="Arial" w:cs="Arial"/>
        </w:rPr>
        <w:t>positivity</w:t>
      </w:r>
      <w:proofErr w:type="spellEnd"/>
      <w:r>
        <w:rPr>
          <w:rFonts w:ascii="Arial" w:hAnsi="Arial" w:cs="Arial"/>
        </w:rPr>
        <w:t xml:space="preserve"> was the most significant baseline risk factor for unfavorable outcomes with an adjusted hazard ratio of 2.3 (95% CI, 1.6-3.3).  </w:t>
      </w:r>
      <w:r w:rsidR="002F19CC">
        <w:rPr>
          <w:rFonts w:ascii="Arial" w:hAnsi="Arial" w:cs="Arial"/>
        </w:rPr>
        <w:t>O</w:t>
      </w:r>
      <w:r>
        <w:rPr>
          <w:rFonts w:ascii="Arial" w:hAnsi="Arial" w:cs="Arial"/>
        </w:rPr>
        <w:t>lder age (HR, 1.3 per 10 years increase, 95% CI, 1.1-1.4), male sex (HR, 1.5; 95%CI, 1.1-2.1), and lower BMI (HR, 1.3 per 5 kg/m</w:t>
      </w:r>
      <w:r>
        <w:rPr>
          <w:rFonts w:ascii="Arial" w:hAnsi="Arial" w:cs="Arial"/>
          <w:vertAlign w:val="superscript"/>
        </w:rPr>
        <w:t>2</w:t>
      </w:r>
      <w:r>
        <w:rPr>
          <w:rFonts w:ascii="Arial" w:hAnsi="Arial" w:cs="Arial"/>
        </w:rPr>
        <w:t xml:space="preserve"> decrease; 95% CI, 1.0-1.7) at study entry had higher risk of unfavorable outcomes. </w:t>
      </w:r>
      <w:r w:rsidR="008031C2">
        <w:rPr>
          <w:rFonts w:ascii="Arial" w:hAnsi="Arial" w:cs="Arial"/>
        </w:rPr>
        <w:t>1186/1404 (84%) control arm participants contr</w:t>
      </w:r>
      <w:r w:rsidR="008031C2">
        <w:rPr>
          <w:rFonts w:ascii="Arial" w:hAnsi="Arial" w:cs="Arial"/>
        </w:rPr>
        <w:t xml:space="preserve">ibuted data </w:t>
      </w:r>
      <w:r>
        <w:rPr>
          <w:rFonts w:ascii="Arial" w:hAnsi="Arial" w:cs="Arial"/>
        </w:rPr>
        <w:t xml:space="preserve">both </w:t>
      </w:r>
      <w:r w:rsidR="008031C2">
        <w:rPr>
          <w:rFonts w:ascii="Arial" w:hAnsi="Arial" w:cs="Arial"/>
        </w:rPr>
        <w:t xml:space="preserve">for </w:t>
      </w:r>
      <w:r>
        <w:rPr>
          <w:rFonts w:ascii="Arial" w:hAnsi="Arial" w:cs="Arial"/>
        </w:rPr>
        <w:t xml:space="preserve">baseline and on-treatment </w:t>
      </w:r>
      <w:r w:rsidR="008031C2">
        <w:rPr>
          <w:rFonts w:ascii="Arial" w:hAnsi="Arial" w:cs="Arial"/>
        </w:rPr>
        <w:t xml:space="preserve">risk </w:t>
      </w:r>
      <w:r>
        <w:rPr>
          <w:rFonts w:ascii="Arial" w:hAnsi="Arial" w:cs="Arial"/>
        </w:rPr>
        <w:t>factors</w:t>
      </w:r>
      <w:r w:rsidR="00FA6B06">
        <w:rPr>
          <w:rFonts w:ascii="Arial" w:hAnsi="Arial" w:cs="Arial"/>
        </w:rPr>
        <w:t>.</w:t>
      </w:r>
      <w:r>
        <w:rPr>
          <w:rFonts w:ascii="Arial" w:hAnsi="Arial" w:cs="Arial"/>
        </w:rPr>
        <w:t xml:space="preserve"> </w:t>
      </w:r>
      <w:r w:rsidR="002F19CC">
        <w:rPr>
          <w:rFonts w:ascii="Arial" w:hAnsi="Arial" w:cs="Arial"/>
        </w:rPr>
        <w:t>N</w:t>
      </w:r>
      <w:r>
        <w:rPr>
          <w:rFonts w:ascii="Arial" w:hAnsi="Arial" w:cs="Arial"/>
        </w:rPr>
        <w:t xml:space="preserve">on-adherence was the most significant </w:t>
      </w:r>
      <w:r w:rsidR="002F19CC">
        <w:rPr>
          <w:rFonts w:ascii="Arial" w:hAnsi="Arial" w:cs="Arial"/>
        </w:rPr>
        <w:t xml:space="preserve">on-treatment </w:t>
      </w:r>
      <w:r>
        <w:rPr>
          <w:rFonts w:ascii="Arial" w:hAnsi="Arial" w:cs="Arial"/>
        </w:rPr>
        <w:t>risk factor for unfavorable outcomes with adjusted hazard ratio of 5.</w:t>
      </w:r>
      <w:r w:rsidR="00327EDC">
        <w:rPr>
          <w:rFonts w:ascii="Arial" w:hAnsi="Arial" w:cs="Arial"/>
        </w:rPr>
        <w:t>9</w:t>
      </w:r>
      <w:r>
        <w:rPr>
          <w:rFonts w:ascii="Arial" w:hAnsi="Arial" w:cs="Arial"/>
        </w:rPr>
        <w:t xml:space="preserve"> (95% CI, </w:t>
      </w:r>
      <w:r w:rsidR="00327EDC">
        <w:rPr>
          <w:rFonts w:ascii="Arial" w:hAnsi="Arial" w:cs="Arial"/>
        </w:rPr>
        <w:t>3.3-10.5</w:t>
      </w:r>
      <w:r>
        <w:rPr>
          <w:rFonts w:ascii="Arial" w:hAnsi="Arial" w:cs="Arial"/>
        </w:rPr>
        <w:t xml:space="preserve">) for participants who missed 10% or more and </w:t>
      </w:r>
      <w:r w:rsidR="00327EDC">
        <w:rPr>
          <w:rFonts w:ascii="Arial" w:hAnsi="Arial" w:cs="Arial"/>
        </w:rPr>
        <w:t>2.4</w:t>
      </w:r>
      <w:r>
        <w:rPr>
          <w:rFonts w:ascii="Arial" w:hAnsi="Arial" w:cs="Arial"/>
        </w:rPr>
        <w:t xml:space="preserve"> (95% CI, </w:t>
      </w:r>
      <w:r w:rsidR="00327EDC">
        <w:rPr>
          <w:rFonts w:ascii="Arial" w:hAnsi="Arial" w:cs="Arial"/>
        </w:rPr>
        <w:t>1.6-3.6</w:t>
      </w:r>
      <w:r>
        <w:rPr>
          <w:rFonts w:ascii="Arial" w:hAnsi="Arial" w:cs="Arial"/>
        </w:rPr>
        <w:t>) for participants who missed less than 10% of prescribed doses relative to participants who completed treatment without any missed doses. On-treatment culture positivity was also identified as a significant risk factor for unfavorable outcomes (month</w:t>
      </w:r>
      <w:r w:rsidR="007C4D7C">
        <w:rPr>
          <w:rFonts w:ascii="Arial" w:hAnsi="Arial" w:cs="Arial"/>
        </w:rPr>
        <w:t>-</w:t>
      </w:r>
      <w:r>
        <w:rPr>
          <w:rFonts w:ascii="Arial" w:hAnsi="Arial" w:cs="Arial"/>
        </w:rPr>
        <w:t xml:space="preserve">2 HR, </w:t>
      </w:r>
      <w:r w:rsidR="00327EDC">
        <w:rPr>
          <w:rFonts w:ascii="Arial" w:hAnsi="Arial" w:cs="Arial"/>
        </w:rPr>
        <w:t>1.8</w:t>
      </w:r>
      <w:r>
        <w:rPr>
          <w:rFonts w:ascii="Arial" w:hAnsi="Arial" w:cs="Arial"/>
        </w:rPr>
        <w:t xml:space="preserve">; 95% CI, </w:t>
      </w:r>
      <w:r w:rsidR="00327EDC">
        <w:rPr>
          <w:rFonts w:ascii="Arial" w:hAnsi="Arial" w:cs="Arial"/>
        </w:rPr>
        <w:t>1.3-2.7</w:t>
      </w:r>
      <w:r>
        <w:rPr>
          <w:rFonts w:ascii="Arial" w:hAnsi="Arial" w:cs="Arial"/>
        </w:rPr>
        <w:t xml:space="preserve">). </w:t>
      </w:r>
      <w:r w:rsidR="00020C31" w:rsidRPr="00020C31">
        <w:rPr>
          <w:rFonts w:ascii="Arial" w:hAnsi="Arial" w:cs="Arial"/>
        </w:rPr>
        <w:t>After adjustment for on-treatment factors,</w:t>
      </w:r>
      <w:r w:rsidR="00020C31">
        <w:rPr>
          <w:rFonts w:ascii="Arial" w:hAnsi="Arial" w:cs="Arial"/>
        </w:rPr>
        <w:t xml:space="preserve"> </w:t>
      </w:r>
      <w:r>
        <w:rPr>
          <w:rFonts w:ascii="Arial" w:hAnsi="Arial" w:cs="Arial"/>
        </w:rPr>
        <w:t xml:space="preserve">HIV positivity (HR, </w:t>
      </w:r>
      <w:r w:rsidR="00327EDC">
        <w:rPr>
          <w:rFonts w:ascii="Arial" w:hAnsi="Arial" w:cs="Arial"/>
        </w:rPr>
        <w:t>3.1</w:t>
      </w:r>
      <w:r>
        <w:rPr>
          <w:rFonts w:ascii="Arial" w:hAnsi="Arial" w:cs="Arial"/>
        </w:rPr>
        <w:t xml:space="preserve">; 95% CI, </w:t>
      </w:r>
      <w:r w:rsidR="00327EDC">
        <w:rPr>
          <w:rFonts w:ascii="Arial" w:hAnsi="Arial" w:cs="Arial"/>
        </w:rPr>
        <w:t>2.0-4.6</w:t>
      </w:r>
      <w:r>
        <w:rPr>
          <w:rFonts w:ascii="Arial" w:hAnsi="Arial" w:cs="Arial"/>
        </w:rPr>
        <w:t>)</w:t>
      </w:r>
      <w:r w:rsidR="00327EDC">
        <w:rPr>
          <w:rFonts w:ascii="Arial" w:hAnsi="Arial" w:cs="Arial"/>
        </w:rPr>
        <w:t xml:space="preserve">, </w:t>
      </w:r>
      <w:r>
        <w:rPr>
          <w:rFonts w:ascii="Arial" w:hAnsi="Arial" w:cs="Arial"/>
        </w:rPr>
        <w:t xml:space="preserve">male sex (HR, </w:t>
      </w:r>
      <w:r w:rsidR="00327EDC">
        <w:rPr>
          <w:rFonts w:ascii="Arial" w:hAnsi="Arial" w:cs="Arial"/>
        </w:rPr>
        <w:t>1.5</w:t>
      </w:r>
      <w:r>
        <w:rPr>
          <w:rFonts w:ascii="Arial" w:hAnsi="Arial" w:cs="Arial"/>
        </w:rPr>
        <w:t xml:space="preserve">; 95% CI, </w:t>
      </w:r>
      <w:r w:rsidR="00327EDC">
        <w:rPr>
          <w:rFonts w:ascii="Arial" w:hAnsi="Arial" w:cs="Arial"/>
        </w:rPr>
        <w:t>1</w:t>
      </w:r>
      <w:r w:rsidR="00590F6F">
        <w:rPr>
          <w:rFonts w:ascii="Arial" w:hAnsi="Arial" w:cs="Arial"/>
        </w:rPr>
        <w:t>.</w:t>
      </w:r>
      <w:r w:rsidR="00327EDC">
        <w:rPr>
          <w:rFonts w:ascii="Arial" w:hAnsi="Arial" w:cs="Arial"/>
        </w:rPr>
        <w:t>0-2.4</w:t>
      </w:r>
      <w:r>
        <w:rPr>
          <w:rFonts w:ascii="Arial" w:hAnsi="Arial" w:cs="Arial"/>
        </w:rPr>
        <w:t>)</w:t>
      </w:r>
      <w:r w:rsidR="00327EDC">
        <w:rPr>
          <w:rFonts w:ascii="Arial" w:hAnsi="Arial" w:cs="Arial"/>
        </w:rPr>
        <w:t>, and lower BMI (HR, 1.5 per 5 kg/m</w:t>
      </w:r>
      <w:r w:rsidR="00327EDC">
        <w:rPr>
          <w:rFonts w:ascii="Arial" w:hAnsi="Arial" w:cs="Arial"/>
          <w:vertAlign w:val="superscript"/>
        </w:rPr>
        <w:t>2</w:t>
      </w:r>
      <w:r w:rsidR="00327EDC">
        <w:rPr>
          <w:rFonts w:ascii="Arial" w:hAnsi="Arial" w:cs="Arial"/>
        </w:rPr>
        <w:t xml:space="preserve"> decrease; 95% CI, 1.0-2.0)</w:t>
      </w:r>
      <w:r>
        <w:rPr>
          <w:rFonts w:ascii="Arial" w:hAnsi="Arial" w:cs="Arial"/>
        </w:rPr>
        <w:t xml:space="preserve"> remained as factors associated with high risk</w:t>
      </w:r>
      <w:r w:rsidR="00327EDC">
        <w:rPr>
          <w:rFonts w:ascii="Arial" w:hAnsi="Arial" w:cs="Arial"/>
        </w:rPr>
        <w:t xml:space="preserve"> </w:t>
      </w:r>
      <w:r>
        <w:rPr>
          <w:rFonts w:ascii="Arial" w:hAnsi="Arial" w:cs="Arial"/>
        </w:rPr>
        <w:t>(Figure 2</w:t>
      </w:r>
      <w:r w:rsidR="00B56E3B">
        <w:rPr>
          <w:rFonts w:ascii="Arial" w:hAnsi="Arial" w:cs="Arial"/>
        </w:rPr>
        <w:t>b</w:t>
      </w:r>
      <w:r w:rsidR="004F47A2">
        <w:rPr>
          <w:rFonts w:ascii="Arial" w:hAnsi="Arial" w:cs="Arial"/>
        </w:rPr>
        <w:t xml:space="preserve">, Supplementary Table </w:t>
      </w:r>
      <w:r w:rsidR="00AA3E1C">
        <w:rPr>
          <w:rFonts w:ascii="Arial" w:hAnsi="Arial" w:cs="Arial"/>
        </w:rPr>
        <w:t>5</w:t>
      </w:r>
      <w:r>
        <w:rPr>
          <w:rFonts w:ascii="Arial" w:hAnsi="Arial" w:cs="Arial"/>
        </w:rPr>
        <w:t>).</w:t>
      </w:r>
      <w:r w:rsidR="00645FDD">
        <w:rPr>
          <w:rFonts w:ascii="Arial" w:hAnsi="Arial" w:cs="Arial"/>
        </w:rPr>
        <w:t xml:space="preserve"> In the per-protocol analys</w:t>
      </w:r>
      <w:r w:rsidR="00AA3E1C">
        <w:rPr>
          <w:rFonts w:ascii="Arial" w:hAnsi="Arial" w:cs="Arial"/>
        </w:rPr>
        <w:t>i</w:t>
      </w:r>
      <w:r w:rsidR="00645FDD">
        <w:rPr>
          <w:rFonts w:ascii="Arial" w:hAnsi="Arial" w:cs="Arial"/>
        </w:rPr>
        <w:t>s, results were similar in the experimental and control groups</w:t>
      </w:r>
      <w:r w:rsidR="00AA3E1C">
        <w:rPr>
          <w:rFonts w:ascii="Arial" w:hAnsi="Arial" w:cs="Arial"/>
        </w:rPr>
        <w:t xml:space="preserve"> when compared to the primary modified intent-to-treat analysis</w:t>
      </w:r>
      <w:r w:rsidR="00645FDD">
        <w:rPr>
          <w:rFonts w:ascii="Arial" w:hAnsi="Arial" w:cs="Arial"/>
        </w:rPr>
        <w:t xml:space="preserve"> (Supplementary Table </w:t>
      </w:r>
      <w:r w:rsidR="00AA3E1C">
        <w:rPr>
          <w:rFonts w:ascii="Arial" w:hAnsi="Arial" w:cs="Arial"/>
        </w:rPr>
        <w:t>6</w:t>
      </w:r>
      <w:r w:rsidR="00645FDD">
        <w:rPr>
          <w:rFonts w:ascii="Arial" w:hAnsi="Arial" w:cs="Arial"/>
        </w:rPr>
        <w:t xml:space="preserve">). </w:t>
      </w:r>
      <w:r>
        <w:rPr>
          <w:rFonts w:ascii="Arial" w:hAnsi="Arial" w:cs="Arial"/>
        </w:rPr>
        <w:t xml:space="preserve"> </w:t>
      </w:r>
    </w:p>
    <w:p w14:paraId="30E000BD" w14:textId="77777777" w:rsidR="0030503D" w:rsidRDefault="0030503D" w:rsidP="00804CE5">
      <w:pPr>
        <w:spacing w:line="480" w:lineRule="auto"/>
        <w:outlineLvl w:val="0"/>
        <w:rPr>
          <w:rFonts w:ascii="Arial" w:hAnsi="Arial" w:cs="Arial"/>
          <w:b/>
        </w:rPr>
      </w:pPr>
    </w:p>
    <w:p w14:paraId="27E9102F" w14:textId="77777777" w:rsidR="00CC1D42" w:rsidRDefault="00126605" w:rsidP="00804CE5">
      <w:pPr>
        <w:spacing w:line="480" w:lineRule="auto"/>
        <w:outlineLvl w:val="0"/>
        <w:rPr>
          <w:rFonts w:ascii="Arial" w:hAnsi="Arial" w:cs="Arial"/>
          <w:b/>
        </w:rPr>
      </w:pPr>
      <w:r>
        <w:rPr>
          <w:rFonts w:ascii="Arial" w:hAnsi="Arial" w:cs="Arial"/>
          <w:b/>
        </w:rPr>
        <w:t>Non-inferiority test</w:t>
      </w:r>
    </w:p>
    <w:p w14:paraId="331E9DB0" w14:textId="42AF1F87" w:rsidR="00CC1D42" w:rsidRDefault="00126605" w:rsidP="00804CE5">
      <w:pPr>
        <w:spacing w:line="480" w:lineRule="auto"/>
        <w:rPr>
          <w:rFonts w:ascii="Arial" w:hAnsi="Arial" w:cs="Arial"/>
        </w:rPr>
      </w:pPr>
      <w:r>
        <w:rPr>
          <w:rFonts w:ascii="Arial" w:hAnsi="Arial" w:cs="Arial"/>
        </w:rPr>
        <w:t xml:space="preserve">The </w:t>
      </w:r>
      <w:r w:rsidR="00F65EB4">
        <w:rPr>
          <w:rFonts w:ascii="Arial" w:hAnsi="Arial" w:cs="Arial"/>
        </w:rPr>
        <w:t>proportion of</w:t>
      </w:r>
      <w:r>
        <w:rPr>
          <w:rFonts w:ascii="Arial" w:hAnsi="Arial" w:cs="Arial"/>
        </w:rPr>
        <w:t xml:space="preserve"> </w:t>
      </w:r>
      <w:r w:rsidR="00AE0135">
        <w:rPr>
          <w:rFonts w:ascii="Arial" w:hAnsi="Arial" w:cs="Arial"/>
        </w:rPr>
        <w:t xml:space="preserve">unfavorable outcomes at 24 months for </w:t>
      </w:r>
      <w:r>
        <w:rPr>
          <w:rFonts w:ascii="Arial" w:hAnsi="Arial" w:cs="Arial"/>
        </w:rPr>
        <w:t xml:space="preserve">study participants with a baseline smear negative or 1+ grade was similar in experimental and control regimens, indicating non-inferiority </w:t>
      </w:r>
      <w:r>
        <w:rPr>
          <w:rFonts w:ascii="Arial" w:hAnsi="Arial" w:cs="Arial"/>
        </w:rPr>
        <w:lastRenderedPageBreak/>
        <w:t xml:space="preserve">(difference in </w:t>
      </w:r>
      <w:r w:rsidR="0036371F">
        <w:rPr>
          <w:rFonts w:ascii="Arial" w:hAnsi="Arial" w:cs="Arial"/>
        </w:rPr>
        <w:t xml:space="preserve">study adjusted </w:t>
      </w:r>
      <w:r>
        <w:rPr>
          <w:rFonts w:ascii="Arial" w:hAnsi="Arial" w:cs="Arial"/>
        </w:rPr>
        <w:t>Kaplan</w:t>
      </w:r>
      <w:r w:rsidR="006E1954">
        <w:rPr>
          <w:rFonts w:ascii="Arial" w:hAnsi="Arial" w:cs="Arial"/>
        </w:rPr>
        <w:t>-</w:t>
      </w:r>
      <w:r>
        <w:rPr>
          <w:rFonts w:ascii="Arial" w:hAnsi="Arial" w:cs="Arial"/>
        </w:rPr>
        <w:t xml:space="preserve">Meier </w:t>
      </w:r>
      <w:r w:rsidR="00AE0135">
        <w:rPr>
          <w:rFonts w:ascii="Arial" w:hAnsi="Arial" w:cs="Arial"/>
        </w:rPr>
        <w:t xml:space="preserve">estimate </w:t>
      </w:r>
      <w:r>
        <w:rPr>
          <w:rFonts w:ascii="Arial" w:hAnsi="Arial" w:cs="Arial"/>
        </w:rPr>
        <w:t xml:space="preserve">of unfavorable outcome, </w:t>
      </w:r>
      <w:r w:rsidR="00A642DD">
        <w:rPr>
          <w:rFonts w:ascii="Arial" w:hAnsi="Arial" w:cs="Arial"/>
        </w:rPr>
        <w:t>2.6</w:t>
      </w:r>
      <w:r>
        <w:rPr>
          <w:rFonts w:ascii="Arial" w:hAnsi="Arial" w:cs="Arial"/>
        </w:rPr>
        <w:t>; 90% CI, -</w:t>
      </w:r>
      <w:r w:rsidR="00A642DD">
        <w:rPr>
          <w:rFonts w:ascii="Arial" w:hAnsi="Arial" w:cs="Arial"/>
        </w:rPr>
        <w:t>0.4</w:t>
      </w:r>
      <w:r>
        <w:rPr>
          <w:rFonts w:ascii="Arial" w:hAnsi="Arial" w:cs="Arial"/>
        </w:rPr>
        <w:t xml:space="preserve"> to 5.</w:t>
      </w:r>
      <w:r w:rsidR="00A642DD">
        <w:rPr>
          <w:rFonts w:ascii="Arial" w:hAnsi="Arial" w:cs="Arial"/>
        </w:rPr>
        <w:t>6</w:t>
      </w:r>
      <w:r w:rsidR="0087370D">
        <w:rPr>
          <w:rFonts w:ascii="Arial" w:hAnsi="Arial" w:cs="Arial"/>
        </w:rPr>
        <w:t>; P=0.05 for interaction</w:t>
      </w:r>
      <w:r>
        <w:rPr>
          <w:rFonts w:ascii="Arial" w:hAnsi="Arial" w:cs="Arial"/>
        </w:rPr>
        <w:t xml:space="preserve">). </w:t>
      </w:r>
      <w:r w:rsidR="00DB7F02">
        <w:rPr>
          <w:rFonts w:ascii="Arial" w:hAnsi="Arial" w:cs="Arial"/>
        </w:rPr>
        <w:t>Additionally,</w:t>
      </w:r>
      <w:r w:rsidR="00AE0135">
        <w:rPr>
          <w:rFonts w:ascii="Arial" w:hAnsi="Arial" w:cs="Arial"/>
        </w:rPr>
        <w:t xml:space="preserve"> </w:t>
      </w:r>
      <w:r w:rsidR="00DB7F02">
        <w:rPr>
          <w:rFonts w:ascii="Arial" w:hAnsi="Arial" w:cs="Arial"/>
        </w:rPr>
        <w:t>s</w:t>
      </w:r>
      <w:r>
        <w:rPr>
          <w:rFonts w:ascii="Arial" w:hAnsi="Arial" w:cs="Arial"/>
        </w:rPr>
        <w:t>tudy participants with non-cavitary disease had</w:t>
      </w:r>
      <w:r w:rsidR="001575DA">
        <w:rPr>
          <w:rFonts w:ascii="Arial" w:hAnsi="Arial" w:cs="Arial"/>
        </w:rPr>
        <w:t xml:space="preserve"> </w:t>
      </w:r>
      <w:r>
        <w:rPr>
          <w:rFonts w:ascii="Arial" w:hAnsi="Arial" w:cs="Arial"/>
        </w:rPr>
        <w:t xml:space="preserve">a similar </w:t>
      </w:r>
      <w:r w:rsidR="00AE0135">
        <w:rPr>
          <w:rFonts w:ascii="Arial" w:hAnsi="Arial" w:cs="Arial"/>
        </w:rPr>
        <w:t xml:space="preserve">proportion </w:t>
      </w:r>
      <w:r>
        <w:rPr>
          <w:rFonts w:ascii="Arial" w:hAnsi="Arial" w:cs="Arial"/>
        </w:rPr>
        <w:t>of unfavorable outcomes between experimental and control regimens</w:t>
      </w:r>
      <w:r w:rsidR="00DB7F02">
        <w:rPr>
          <w:rFonts w:ascii="Arial" w:hAnsi="Arial" w:cs="Arial"/>
        </w:rPr>
        <w:t xml:space="preserve"> (difference in </w:t>
      </w:r>
      <w:r w:rsidR="0036371F">
        <w:rPr>
          <w:rFonts w:ascii="Arial" w:hAnsi="Arial" w:cs="Arial"/>
        </w:rPr>
        <w:t xml:space="preserve">study adjusted </w:t>
      </w:r>
      <w:r w:rsidR="00DB7F02">
        <w:rPr>
          <w:rFonts w:ascii="Arial" w:hAnsi="Arial" w:cs="Arial"/>
        </w:rPr>
        <w:t xml:space="preserve">Kaplan-Meier </w:t>
      </w:r>
      <w:proofErr w:type="spellStart"/>
      <w:r w:rsidR="00AE0135">
        <w:rPr>
          <w:rFonts w:ascii="Arial" w:hAnsi="Arial" w:cs="Arial"/>
        </w:rPr>
        <w:t>eastimate</w:t>
      </w:r>
      <w:proofErr w:type="spellEnd"/>
      <w:r w:rsidR="00DB7F02">
        <w:rPr>
          <w:rFonts w:ascii="Arial" w:hAnsi="Arial" w:cs="Arial"/>
        </w:rPr>
        <w:t xml:space="preserve"> of unfavorable outcome, 3.1; 90% CI, 0.9 to 5.4; P=0.06 for interaction).</w:t>
      </w:r>
      <w:r>
        <w:rPr>
          <w:rFonts w:ascii="Arial" w:hAnsi="Arial" w:cs="Arial"/>
        </w:rPr>
        <w:t xml:space="preserve"> </w:t>
      </w:r>
      <w:r w:rsidR="00BB39F7">
        <w:rPr>
          <w:rFonts w:ascii="Arial" w:hAnsi="Arial" w:cs="Arial"/>
        </w:rPr>
        <w:t>In an easy-to-treat phenotype of TB consisting of patients with 1+ or negative smear or non-cavitary disease that comprised</w:t>
      </w:r>
      <w:r>
        <w:rPr>
          <w:rFonts w:ascii="Arial" w:hAnsi="Arial" w:cs="Arial"/>
        </w:rPr>
        <w:t xml:space="preserve"> 47%</w:t>
      </w:r>
      <w:r w:rsidR="00DB7F02">
        <w:rPr>
          <w:rFonts w:ascii="Arial" w:hAnsi="Arial" w:cs="Arial"/>
        </w:rPr>
        <w:t xml:space="preserve"> (1591/3405)</w:t>
      </w:r>
      <w:r>
        <w:rPr>
          <w:rFonts w:ascii="Arial" w:hAnsi="Arial" w:cs="Arial"/>
        </w:rPr>
        <w:t xml:space="preserve"> of the study population</w:t>
      </w:r>
      <w:r w:rsidR="00BB39F7">
        <w:rPr>
          <w:rFonts w:ascii="Arial" w:hAnsi="Arial" w:cs="Arial"/>
        </w:rPr>
        <w:t>,</w:t>
      </w:r>
      <w:r>
        <w:rPr>
          <w:rFonts w:ascii="Arial" w:hAnsi="Arial" w:cs="Arial"/>
        </w:rPr>
        <w:t xml:space="preserve"> the </w:t>
      </w:r>
      <w:proofErr w:type="gramStart"/>
      <w:r>
        <w:rPr>
          <w:rFonts w:ascii="Arial" w:hAnsi="Arial" w:cs="Arial"/>
        </w:rPr>
        <w:t>4 month</w:t>
      </w:r>
      <w:proofErr w:type="gramEnd"/>
      <w:r>
        <w:rPr>
          <w:rFonts w:ascii="Arial" w:hAnsi="Arial" w:cs="Arial"/>
        </w:rPr>
        <w:t xml:space="preserve"> regimens </w:t>
      </w:r>
      <w:r w:rsidR="00BB39F7">
        <w:rPr>
          <w:rFonts w:ascii="Arial" w:hAnsi="Arial" w:cs="Arial"/>
        </w:rPr>
        <w:t xml:space="preserve">were </w:t>
      </w:r>
      <w:r>
        <w:rPr>
          <w:rFonts w:ascii="Arial" w:hAnsi="Arial" w:cs="Arial"/>
        </w:rPr>
        <w:t xml:space="preserve">non-inferior to </w:t>
      </w:r>
      <w:r w:rsidR="001575DA">
        <w:rPr>
          <w:rFonts w:ascii="Arial" w:hAnsi="Arial" w:cs="Arial"/>
        </w:rPr>
        <w:t>the 6</w:t>
      </w:r>
      <w:r>
        <w:rPr>
          <w:rFonts w:ascii="Arial" w:hAnsi="Arial" w:cs="Arial"/>
        </w:rPr>
        <w:t>-month control regimen</w:t>
      </w:r>
      <w:r w:rsidR="00591D13">
        <w:rPr>
          <w:rFonts w:ascii="Arial" w:hAnsi="Arial" w:cs="Arial"/>
        </w:rPr>
        <w:t xml:space="preserve"> (Figure </w:t>
      </w:r>
      <w:r w:rsidR="00A33E49">
        <w:rPr>
          <w:rFonts w:ascii="Arial" w:hAnsi="Arial" w:cs="Arial"/>
        </w:rPr>
        <w:t>3</w:t>
      </w:r>
      <w:r w:rsidR="00B56E3B">
        <w:rPr>
          <w:rFonts w:ascii="Arial" w:hAnsi="Arial" w:cs="Arial"/>
        </w:rPr>
        <w:t>a</w:t>
      </w:r>
      <w:r w:rsidR="00591D13">
        <w:rPr>
          <w:rFonts w:ascii="Arial" w:hAnsi="Arial" w:cs="Arial"/>
        </w:rPr>
        <w:t>)</w:t>
      </w:r>
      <w:r>
        <w:rPr>
          <w:rFonts w:ascii="Arial" w:hAnsi="Arial" w:cs="Arial"/>
        </w:rPr>
        <w:t xml:space="preserve">. </w:t>
      </w:r>
      <w:r w:rsidR="00BB39F7">
        <w:rPr>
          <w:rFonts w:ascii="Arial" w:hAnsi="Arial" w:cs="Arial"/>
        </w:rPr>
        <w:t xml:space="preserve">In a hard-to-treat phenotype of TB consisting of patients with 3+ smear and cavitary disease that comprised </w:t>
      </w:r>
      <w:r w:rsidR="00AE0135">
        <w:rPr>
          <w:rFonts w:ascii="Arial" w:hAnsi="Arial" w:cs="Arial"/>
        </w:rPr>
        <w:t>34</w:t>
      </w:r>
      <w:r w:rsidR="00BB39F7">
        <w:rPr>
          <w:rFonts w:ascii="Arial" w:hAnsi="Arial" w:cs="Arial"/>
        </w:rPr>
        <w:t>%</w:t>
      </w:r>
      <w:r w:rsidR="00AE0135">
        <w:rPr>
          <w:rFonts w:ascii="Arial" w:hAnsi="Arial" w:cs="Arial"/>
        </w:rPr>
        <w:t xml:space="preserve"> (1162/3405) </w:t>
      </w:r>
      <w:r w:rsidR="00BB39F7">
        <w:rPr>
          <w:rFonts w:ascii="Arial" w:hAnsi="Arial" w:cs="Arial"/>
        </w:rPr>
        <w:t xml:space="preserve">of the study population, the </w:t>
      </w:r>
      <w:proofErr w:type="gramStart"/>
      <w:r w:rsidR="00BB39F7">
        <w:rPr>
          <w:rFonts w:ascii="Arial" w:hAnsi="Arial" w:cs="Arial"/>
        </w:rPr>
        <w:t>4 month</w:t>
      </w:r>
      <w:proofErr w:type="gramEnd"/>
      <w:r w:rsidR="00BB39F7">
        <w:rPr>
          <w:rFonts w:ascii="Arial" w:hAnsi="Arial" w:cs="Arial"/>
        </w:rPr>
        <w:t xml:space="preserve"> regimens were clearly inferior.</w:t>
      </w:r>
    </w:p>
    <w:p w14:paraId="08E6A56E" w14:textId="77777777" w:rsidR="00507929" w:rsidRDefault="00507929" w:rsidP="00804CE5">
      <w:pPr>
        <w:spacing w:line="480" w:lineRule="auto"/>
        <w:rPr>
          <w:rFonts w:ascii="Arial" w:hAnsi="Arial" w:cs="Arial"/>
          <w:b/>
        </w:rPr>
      </w:pPr>
    </w:p>
    <w:p w14:paraId="38942EC5" w14:textId="357C9ED8" w:rsidR="00CC1D42" w:rsidRDefault="00126605" w:rsidP="00804CE5">
      <w:pPr>
        <w:spacing w:line="480" w:lineRule="auto"/>
        <w:rPr>
          <w:rFonts w:ascii="Arial" w:hAnsi="Arial" w:cs="Arial"/>
          <w:b/>
        </w:rPr>
      </w:pPr>
      <w:r>
        <w:rPr>
          <w:rFonts w:ascii="Arial" w:hAnsi="Arial" w:cs="Arial"/>
          <w:b/>
        </w:rPr>
        <w:t>External Validation</w:t>
      </w:r>
    </w:p>
    <w:p w14:paraId="69927550" w14:textId="7D3A33ED" w:rsidR="00CC1D42" w:rsidRDefault="00003A4D" w:rsidP="00804CE5">
      <w:pPr>
        <w:spacing w:line="480" w:lineRule="auto"/>
        <w:outlineLvl w:val="0"/>
        <w:rPr>
          <w:rFonts w:ascii="Arial" w:hAnsi="Arial" w:cs="Arial"/>
        </w:rPr>
      </w:pPr>
      <w:r>
        <w:rPr>
          <w:rFonts w:ascii="Arial" w:hAnsi="Arial" w:cs="Arial"/>
        </w:rPr>
        <w:t>U</w:t>
      </w:r>
      <w:r w:rsidR="00126605">
        <w:rPr>
          <w:rFonts w:ascii="Arial" w:hAnsi="Arial" w:cs="Arial"/>
        </w:rPr>
        <w:t>sing</w:t>
      </w:r>
      <w:r>
        <w:rPr>
          <w:rFonts w:ascii="Arial" w:hAnsi="Arial" w:cs="Arial"/>
        </w:rPr>
        <w:t xml:space="preserve"> an independent</w:t>
      </w:r>
      <w:r w:rsidR="00126605">
        <w:rPr>
          <w:rFonts w:ascii="Arial" w:hAnsi="Arial" w:cs="Arial"/>
        </w:rPr>
        <w:t xml:space="preserve"> data</w:t>
      </w:r>
      <w:r>
        <w:rPr>
          <w:rFonts w:ascii="Arial" w:hAnsi="Arial" w:cs="Arial"/>
        </w:rPr>
        <w:t xml:space="preserve"> set</w:t>
      </w:r>
      <w:r w:rsidR="00126605">
        <w:rPr>
          <w:rFonts w:ascii="Arial" w:hAnsi="Arial" w:cs="Arial"/>
        </w:rPr>
        <w:t xml:space="preserve"> available from the </w:t>
      </w:r>
      <w:r w:rsidR="00456080">
        <w:rPr>
          <w:rFonts w:ascii="Arial" w:hAnsi="Arial" w:cs="Arial"/>
        </w:rPr>
        <w:t xml:space="preserve">DMID 01-009 </w:t>
      </w:r>
      <w:r w:rsidR="00126605">
        <w:rPr>
          <w:rFonts w:ascii="Arial" w:hAnsi="Arial" w:cs="Arial"/>
        </w:rPr>
        <w:t>trial</w:t>
      </w:r>
      <w:r w:rsidR="00BB39F7">
        <w:rPr>
          <w:rFonts w:ascii="Arial" w:hAnsi="Arial" w:cs="Arial"/>
        </w:rPr>
        <w:t xml:space="preserve"> in patients with non-cavitary disease</w:t>
      </w:r>
      <w:r>
        <w:rPr>
          <w:rFonts w:ascii="Arial" w:hAnsi="Arial" w:cs="Arial"/>
        </w:rPr>
        <w:t xml:space="preserve">, the patient population eligible for a 4-month rifampin-containing regimen was validated, confirming that </w:t>
      </w:r>
      <w:r w:rsidR="00B05686">
        <w:rPr>
          <w:rFonts w:ascii="Arial" w:hAnsi="Arial" w:cs="Arial"/>
        </w:rPr>
        <w:t xml:space="preserve">for </w:t>
      </w:r>
      <w:r w:rsidR="001C3112">
        <w:rPr>
          <w:rFonts w:ascii="Arial" w:hAnsi="Arial" w:cs="Arial"/>
        </w:rPr>
        <w:t xml:space="preserve">study participants with low-to-moderate smear grade, </w:t>
      </w:r>
      <w:r w:rsidR="00126605">
        <w:rPr>
          <w:rFonts w:ascii="Arial" w:hAnsi="Arial" w:cs="Arial"/>
        </w:rPr>
        <w:t xml:space="preserve">a standard regimen shortened </w:t>
      </w:r>
      <w:r>
        <w:rPr>
          <w:rFonts w:ascii="Arial" w:hAnsi="Arial" w:cs="Arial"/>
        </w:rPr>
        <w:t xml:space="preserve">to 4 months </w:t>
      </w:r>
      <w:r w:rsidR="001C3112">
        <w:rPr>
          <w:rFonts w:ascii="Arial" w:hAnsi="Arial" w:cs="Arial"/>
        </w:rPr>
        <w:t xml:space="preserve">was </w:t>
      </w:r>
      <w:r w:rsidR="00456080">
        <w:rPr>
          <w:rFonts w:ascii="Arial" w:hAnsi="Arial" w:cs="Arial"/>
        </w:rPr>
        <w:t>non-inferior to</w:t>
      </w:r>
      <w:r w:rsidR="001575DA">
        <w:rPr>
          <w:rFonts w:ascii="Arial" w:hAnsi="Arial" w:cs="Arial"/>
        </w:rPr>
        <w:t xml:space="preserve"> </w:t>
      </w:r>
      <w:r w:rsidR="00456080">
        <w:rPr>
          <w:rFonts w:ascii="Arial" w:hAnsi="Arial" w:cs="Arial"/>
        </w:rPr>
        <w:t xml:space="preserve">standard </w:t>
      </w:r>
      <w:r w:rsidR="001575DA">
        <w:rPr>
          <w:rFonts w:ascii="Arial" w:hAnsi="Arial" w:cs="Arial"/>
        </w:rPr>
        <w:t>6-month</w:t>
      </w:r>
      <w:r w:rsidR="00456080">
        <w:rPr>
          <w:rFonts w:ascii="Arial" w:hAnsi="Arial" w:cs="Arial"/>
        </w:rPr>
        <w:t xml:space="preserve"> regimen</w:t>
      </w:r>
      <w:r w:rsidR="00126605">
        <w:rPr>
          <w:rFonts w:ascii="Arial" w:hAnsi="Arial" w:cs="Arial"/>
        </w:rPr>
        <w:t xml:space="preserve">. We confirmed that the driver of high rates of unfavorable outcomes in the 4-month </w:t>
      </w:r>
      <w:r w:rsidR="001575DA">
        <w:rPr>
          <w:rFonts w:ascii="Arial" w:hAnsi="Arial" w:cs="Arial"/>
        </w:rPr>
        <w:t>DMID 01-009 regimen</w:t>
      </w:r>
      <w:r w:rsidR="00126605">
        <w:rPr>
          <w:rFonts w:ascii="Arial" w:hAnsi="Arial" w:cs="Arial"/>
        </w:rPr>
        <w:t xml:space="preserve"> was due to study participants with high smear grade (Figure </w:t>
      </w:r>
      <w:r w:rsidR="00A33E49">
        <w:rPr>
          <w:rFonts w:ascii="Arial" w:hAnsi="Arial" w:cs="Arial"/>
        </w:rPr>
        <w:t>3</w:t>
      </w:r>
      <w:r w:rsidR="00B56E3B">
        <w:rPr>
          <w:rFonts w:ascii="Arial" w:hAnsi="Arial" w:cs="Arial"/>
        </w:rPr>
        <w:t>b</w:t>
      </w:r>
      <w:r w:rsidR="00B80622">
        <w:rPr>
          <w:rFonts w:ascii="Arial" w:hAnsi="Arial" w:cs="Arial"/>
        </w:rPr>
        <w:t>).</w:t>
      </w:r>
    </w:p>
    <w:p w14:paraId="5E7D6099" w14:textId="6916BDB5" w:rsidR="0070656A" w:rsidRDefault="0070656A" w:rsidP="00804CE5">
      <w:pPr>
        <w:spacing w:line="480" w:lineRule="auto"/>
        <w:outlineLvl w:val="0"/>
        <w:rPr>
          <w:rFonts w:ascii="Arial" w:hAnsi="Arial" w:cs="Arial"/>
        </w:rPr>
      </w:pPr>
    </w:p>
    <w:p w14:paraId="0197E729" w14:textId="77777777" w:rsidR="0070656A" w:rsidRDefault="0070656A" w:rsidP="00804CE5">
      <w:pPr>
        <w:spacing w:line="480" w:lineRule="auto"/>
        <w:outlineLvl w:val="0"/>
        <w:rPr>
          <w:rFonts w:ascii="Arial" w:hAnsi="Arial" w:cs="Arial"/>
          <w:b/>
        </w:rPr>
      </w:pPr>
      <w:r>
        <w:rPr>
          <w:rFonts w:ascii="Arial" w:hAnsi="Arial" w:cs="Arial"/>
          <w:b/>
        </w:rPr>
        <w:t>Impact of Dosing Frequency</w:t>
      </w:r>
    </w:p>
    <w:p w14:paraId="3B8BB79B" w14:textId="6465828B" w:rsidR="0070656A" w:rsidRDefault="0070656A" w:rsidP="00804CE5">
      <w:pPr>
        <w:spacing w:line="480" w:lineRule="auto"/>
        <w:rPr>
          <w:rFonts w:ascii="Arial" w:hAnsi="Arial" w:cs="Arial"/>
        </w:rPr>
      </w:pPr>
      <w:r>
        <w:rPr>
          <w:rFonts w:ascii="Arial" w:hAnsi="Arial" w:cs="Arial"/>
        </w:rPr>
        <w:t xml:space="preserve">Kaplan-Meier estimates show that study participants who fully adhered to a 6/7 weekly dosing treatment had a higher probability of unfavorable outcome than those who adhered to and completed a 7/7 weekly dosing treatment (HR 2.7, 95% CI 1.1-6.7, after adjustment for treatment duration and </w:t>
      </w:r>
      <w:r w:rsidRPr="00FD0033">
        <w:rPr>
          <w:rFonts w:ascii="Arial" w:hAnsi="Arial"/>
        </w:rPr>
        <w:t>country</w:t>
      </w:r>
      <w:r w:rsidR="00A33E49">
        <w:rPr>
          <w:rFonts w:ascii="Arial" w:hAnsi="Arial" w:cs="Arial"/>
        </w:rPr>
        <w:t>) (Figure 4</w:t>
      </w:r>
      <w:r>
        <w:rPr>
          <w:rFonts w:ascii="Arial" w:hAnsi="Arial" w:cs="Arial"/>
        </w:rPr>
        <w:t xml:space="preserve">a). </w:t>
      </w:r>
    </w:p>
    <w:p w14:paraId="7A0F997C" w14:textId="77777777" w:rsidR="0070656A" w:rsidRDefault="0070656A" w:rsidP="00804CE5">
      <w:pPr>
        <w:spacing w:line="480" w:lineRule="auto"/>
        <w:rPr>
          <w:rFonts w:ascii="Arial" w:hAnsi="Arial" w:cs="Arial"/>
        </w:rPr>
      </w:pPr>
    </w:p>
    <w:p w14:paraId="43803018" w14:textId="3EBB835D" w:rsidR="0070656A" w:rsidRPr="00FD0033" w:rsidRDefault="0070656A" w:rsidP="00804CE5">
      <w:pPr>
        <w:spacing w:line="480" w:lineRule="auto"/>
        <w:rPr>
          <w:rFonts w:ascii="Arial" w:hAnsi="Arial"/>
          <w:b/>
        </w:rPr>
      </w:pPr>
      <w:r>
        <w:rPr>
          <w:rFonts w:ascii="Arial" w:hAnsi="Arial" w:cs="Arial"/>
        </w:rPr>
        <w:t xml:space="preserve">To assess the impact of partial adherence on standard of care under a 7/7 or 6/7 dosing strategy, 1285 participants who completed at minimum 4 months of treatment (112 total doses) were included </w:t>
      </w:r>
      <w:r>
        <w:rPr>
          <w:rFonts w:ascii="Arial" w:hAnsi="Arial" w:cs="Arial"/>
        </w:rPr>
        <w:lastRenderedPageBreak/>
        <w:t>in the Cox regression analysis</w:t>
      </w:r>
      <w:r w:rsidR="008031C2">
        <w:rPr>
          <w:rFonts w:ascii="Arial" w:hAnsi="Arial" w:cs="Arial"/>
        </w:rPr>
        <w:t>. Th</w:t>
      </w:r>
      <w:r w:rsidR="00715665">
        <w:rPr>
          <w:rFonts w:ascii="Arial" w:hAnsi="Arial" w:cs="Arial"/>
        </w:rPr>
        <w:t>is</w:t>
      </w:r>
      <w:r w:rsidR="008031C2">
        <w:rPr>
          <w:rFonts w:ascii="Arial" w:hAnsi="Arial" w:cs="Arial"/>
        </w:rPr>
        <w:t xml:space="preserve"> </w:t>
      </w:r>
      <w:proofErr w:type="spellStart"/>
      <w:r w:rsidR="008031C2">
        <w:rPr>
          <w:rFonts w:ascii="Arial" w:hAnsi="Arial" w:cs="Arial"/>
        </w:rPr>
        <w:t>anlaysis</w:t>
      </w:r>
      <w:proofErr w:type="spellEnd"/>
      <w:r w:rsidR="008031C2">
        <w:rPr>
          <w:rFonts w:ascii="Arial" w:hAnsi="Arial" w:cs="Arial"/>
        </w:rPr>
        <w:t xml:space="preserve"> set included</w:t>
      </w:r>
      <w:r>
        <w:rPr>
          <w:rFonts w:ascii="Arial" w:hAnsi="Arial" w:cs="Arial"/>
        </w:rPr>
        <w:t xml:space="preserve"> 687 participants </w:t>
      </w:r>
      <w:r w:rsidR="003C1309">
        <w:rPr>
          <w:rFonts w:ascii="Arial" w:hAnsi="Arial" w:cs="Arial"/>
        </w:rPr>
        <w:t xml:space="preserve">who were </w:t>
      </w:r>
      <w:r>
        <w:rPr>
          <w:rFonts w:ascii="Arial" w:hAnsi="Arial" w:cs="Arial"/>
        </w:rPr>
        <w:t xml:space="preserve">prescribed </w:t>
      </w:r>
      <w:r w:rsidR="00715665">
        <w:rPr>
          <w:rFonts w:ascii="Arial" w:hAnsi="Arial" w:cs="Arial"/>
        </w:rPr>
        <w:t xml:space="preserve">treatment with a </w:t>
      </w:r>
      <w:r>
        <w:rPr>
          <w:rFonts w:ascii="Arial" w:hAnsi="Arial" w:cs="Arial"/>
        </w:rPr>
        <w:t>7/7 weekly dosing strategy for 26 weeks (</w:t>
      </w:r>
      <w:proofErr w:type="spellStart"/>
      <w:r>
        <w:rPr>
          <w:rFonts w:ascii="Arial" w:hAnsi="Arial" w:cs="Arial"/>
        </w:rPr>
        <w:t>REMoxTB</w:t>
      </w:r>
      <w:proofErr w:type="spellEnd"/>
      <w:r>
        <w:rPr>
          <w:rFonts w:ascii="Arial" w:hAnsi="Arial" w:cs="Arial"/>
        </w:rPr>
        <w:t xml:space="preserve"> and RIFAQUIN trials) and 598 participants prescribed under a 6/7 weekly dosing strategy for 24 weeks (OFLOTUB trial). On a 7/7 weekly dosing strategy for 26 weeks, participants who took 156 to 181 total doses (corresponding to an average of 6 doses per week or missing up to 14% pills) or 112 to 155 total doses (corresponding to an average of 5 doses per week or missing 14-33% pills) had significantly higher risk of unfavorable outcomes relative to those who took all 182 prescribed doses (7 doses per week), with hazard ratios of 2.4 (95% CI, 1.3-4.3) and 28.9 (95% CI, 10.5-80.0), respectively, adjusted for treatment duration and coun</w:t>
      </w:r>
      <w:r w:rsidR="00A33E49">
        <w:rPr>
          <w:rFonts w:ascii="Arial" w:hAnsi="Arial" w:cs="Arial"/>
        </w:rPr>
        <w:t xml:space="preserve">try (Figure 4b, Supplementary Table </w:t>
      </w:r>
      <w:r w:rsidR="00AA3E1C">
        <w:rPr>
          <w:rFonts w:ascii="Arial" w:hAnsi="Arial" w:cs="Arial"/>
        </w:rPr>
        <w:t>7</w:t>
      </w:r>
      <w:r>
        <w:rPr>
          <w:rFonts w:ascii="Arial" w:hAnsi="Arial" w:cs="Arial"/>
        </w:rPr>
        <w:t>). Similarly, participants receiving 112 to 143 doses (average of 5 doses per week) had</w:t>
      </w:r>
      <w:r w:rsidRPr="009439D3">
        <w:rPr>
          <w:rFonts w:ascii="Arial" w:hAnsi="Arial" w:cs="Arial"/>
        </w:rPr>
        <w:t xml:space="preserve"> </w:t>
      </w:r>
      <w:r>
        <w:rPr>
          <w:rFonts w:ascii="Arial" w:hAnsi="Arial" w:cs="Arial"/>
        </w:rPr>
        <w:t>a higher risk of unfavorable outcomes relative to those who took the complete 144 prescribed doses (6 doses per week) for 24 weeks, with hazard ratio of 2.4 (95% CI 1.2 to 4.8), adjusted for treatmen</w:t>
      </w:r>
      <w:r w:rsidR="00A33E49">
        <w:rPr>
          <w:rFonts w:ascii="Arial" w:hAnsi="Arial" w:cs="Arial"/>
        </w:rPr>
        <w:t xml:space="preserve">t duration and country (Figure </w:t>
      </w:r>
      <w:r w:rsidR="00241E2D">
        <w:rPr>
          <w:rFonts w:ascii="Arial" w:hAnsi="Arial" w:cs="Arial"/>
        </w:rPr>
        <w:t>4</w:t>
      </w:r>
      <w:r w:rsidR="00A33E49">
        <w:rPr>
          <w:rFonts w:ascii="Arial" w:hAnsi="Arial" w:cs="Arial"/>
        </w:rPr>
        <w:t xml:space="preserve">c, Supplementary Table </w:t>
      </w:r>
      <w:r w:rsidR="00AA3E1C">
        <w:rPr>
          <w:rFonts w:ascii="Arial" w:hAnsi="Arial" w:cs="Arial"/>
        </w:rPr>
        <w:t>7</w:t>
      </w:r>
      <w:r>
        <w:rPr>
          <w:rFonts w:ascii="Arial" w:hAnsi="Arial" w:cs="Arial"/>
        </w:rPr>
        <w:t xml:space="preserve">). </w:t>
      </w:r>
    </w:p>
    <w:p w14:paraId="2878BCAB" w14:textId="77777777" w:rsidR="0070656A" w:rsidRDefault="0070656A" w:rsidP="00804CE5">
      <w:pPr>
        <w:spacing w:line="480" w:lineRule="auto"/>
        <w:outlineLvl w:val="0"/>
        <w:rPr>
          <w:rFonts w:ascii="Arial" w:hAnsi="Arial" w:cs="Arial"/>
          <w:b/>
        </w:rPr>
      </w:pPr>
    </w:p>
    <w:p w14:paraId="32AB5B59" w14:textId="77777777" w:rsidR="00CC1D42" w:rsidRDefault="00CC1D42" w:rsidP="00804CE5">
      <w:pPr>
        <w:spacing w:line="480" w:lineRule="auto"/>
        <w:outlineLvl w:val="0"/>
        <w:rPr>
          <w:rFonts w:ascii="Arial" w:hAnsi="Arial" w:cs="Arial"/>
          <w:b/>
        </w:rPr>
      </w:pPr>
    </w:p>
    <w:p w14:paraId="6A83F0C3" w14:textId="77777777" w:rsidR="00641897" w:rsidRDefault="00641897" w:rsidP="00804CE5">
      <w:pPr>
        <w:rPr>
          <w:rFonts w:ascii="Arial" w:hAnsi="Arial" w:cs="Arial"/>
          <w:b/>
        </w:rPr>
      </w:pPr>
      <w:r>
        <w:rPr>
          <w:rFonts w:ascii="Arial" w:hAnsi="Arial" w:cs="Arial"/>
          <w:b/>
        </w:rPr>
        <w:br w:type="page"/>
      </w:r>
    </w:p>
    <w:p w14:paraId="55C8FCD2" w14:textId="0A3D3E19" w:rsidR="00101E45" w:rsidRPr="0031534D" w:rsidRDefault="00101E45" w:rsidP="00804CE5">
      <w:pPr>
        <w:spacing w:line="480" w:lineRule="auto"/>
        <w:outlineLvl w:val="0"/>
        <w:rPr>
          <w:rFonts w:ascii="Arial" w:hAnsi="Arial"/>
          <w:b/>
        </w:rPr>
      </w:pPr>
      <w:r>
        <w:rPr>
          <w:rFonts w:ascii="Arial" w:hAnsi="Arial" w:cs="Arial"/>
          <w:b/>
        </w:rPr>
        <w:lastRenderedPageBreak/>
        <w:t>Discussion</w:t>
      </w:r>
    </w:p>
    <w:p w14:paraId="3664405F" w14:textId="33906132" w:rsidR="0085435E" w:rsidRDefault="00101E45" w:rsidP="00804CE5">
      <w:pPr>
        <w:spacing w:line="480" w:lineRule="auto"/>
        <w:rPr>
          <w:rFonts w:ascii="Arial" w:hAnsi="Arial" w:cs="Arial"/>
        </w:rPr>
      </w:pPr>
      <w:r>
        <w:rPr>
          <w:rFonts w:ascii="Arial" w:hAnsi="Arial" w:cs="Arial"/>
        </w:rPr>
        <w:t xml:space="preserve">In this </w:t>
      </w:r>
      <w:r w:rsidR="003032D0">
        <w:rPr>
          <w:rFonts w:ascii="Arial" w:hAnsi="Arial" w:cs="Arial"/>
        </w:rPr>
        <w:t xml:space="preserve">individual patient </w:t>
      </w:r>
      <w:r w:rsidR="008007DC">
        <w:rPr>
          <w:rFonts w:ascii="Arial" w:hAnsi="Arial" w:cs="Arial"/>
        </w:rPr>
        <w:t xml:space="preserve">pooled </w:t>
      </w:r>
      <w:r>
        <w:rPr>
          <w:rFonts w:ascii="Arial" w:hAnsi="Arial" w:cs="Arial"/>
        </w:rPr>
        <w:t xml:space="preserve">analysis of recent phase 3 </w:t>
      </w:r>
      <w:r w:rsidR="005E32C5">
        <w:rPr>
          <w:rFonts w:ascii="Arial" w:hAnsi="Arial" w:cs="Arial"/>
        </w:rPr>
        <w:t xml:space="preserve">treatment shortening </w:t>
      </w:r>
      <w:r>
        <w:rPr>
          <w:rFonts w:ascii="Arial" w:hAnsi="Arial" w:cs="Arial"/>
        </w:rPr>
        <w:t>trials, we have shown that adult patients with minimal disease, as defined by low smear grade</w:t>
      </w:r>
      <w:r w:rsidR="0088662B">
        <w:rPr>
          <w:rFonts w:ascii="Arial" w:hAnsi="Arial" w:cs="Arial"/>
        </w:rPr>
        <w:t xml:space="preserve"> or</w:t>
      </w:r>
      <w:r>
        <w:rPr>
          <w:rFonts w:ascii="Arial" w:hAnsi="Arial" w:cs="Arial"/>
        </w:rPr>
        <w:t xml:space="preserve"> the absence of cavitation were</w:t>
      </w:r>
      <w:r w:rsidRPr="003301BD">
        <w:rPr>
          <w:rFonts w:ascii="Arial" w:hAnsi="Arial" w:cs="Arial"/>
        </w:rPr>
        <w:t xml:space="preserve"> </w:t>
      </w:r>
      <w:r w:rsidRPr="00E07256">
        <w:rPr>
          <w:rFonts w:ascii="Arial" w:hAnsi="Arial" w:cs="Arial"/>
        </w:rPr>
        <w:t>at</w:t>
      </w:r>
      <w:r>
        <w:rPr>
          <w:rFonts w:ascii="Arial" w:hAnsi="Arial" w:cs="Arial"/>
        </w:rPr>
        <w:t xml:space="preserve"> </w:t>
      </w:r>
      <w:r w:rsidRPr="003301BD">
        <w:rPr>
          <w:rFonts w:ascii="Arial" w:hAnsi="Arial" w:cs="Arial"/>
        </w:rPr>
        <w:t>low</w:t>
      </w:r>
      <w:r>
        <w:rPr>
          <w:rFonts w:ascii="Arial" w:hAnsi="Arial" w:cs="Arial"/>
        </w:rPr>
        <w:t xml:space="preserve">er </w:t>
      </w:r>
      <w:r w:rsidRPr="00E07256">
        <w:rPr>
          <w:rFonts w:ascii="Arial" w:hAnsi="Arial" w:cs="Arial"/>
        </w:rPr>
        <w:t xml:space="preserve">baseline </w:t>
      </w:r>
      <w:r>
        <w:rPr>
          <w:rFonts w:ascii="Arial" w:hAnsi="Arial" w:cs="Arial"/>
        </w:rPr>
        <w:t>risk for unfavorable outcomes; in this population the experimental 4-month regimens are effective. Patients with</w:t>
      </w:r>
      <w:r w:rsidR="0096741C">
        <w:rPr>
          <w:rFonts w:ascii="Arial" w:hAnsi="Arial" w:cs="Arial"/>
        </w:rPr>
        <w:t xml:space="preserve"> either of</w:t>
      </w:r>
      <w:r>
        <w:rPr>
          <w:rFonts w:ascii="Arial" w:hAnsi="Arial" w:cs="Arial"/>
        </w:rPr>
        <w:t xml:space="preserve"> these low-risk characteristics, which define an easy-to-treat phenotype of TB, comprised 47%</w:t>
      </w:r>
      <w:r w:rsidR="007A29C0">
        <w:rPr>
          <w:rFonts w:ascii="Arial" w:hAnsi="Arial" w:cs="Arial"/>
        </w:rPr>
        <w:t xml:space="preserve"> (1591/3405)</w:t>
      </w:r>
      <w:r>
        <w:rPr>
          <w:rFonts w:ascii="Arial" w:hAnsi="Arial" w:cs="Arial"/>
        </w:rPr>
        <w:t xml:space="preserve"> of the total study population. Conversely, we have shown that </w:t>
      </w:r>
      <w:r w:rsidR="00D0037E">
        <w:rPr>
          <w:rFonts w:ascii="Arial" w:hAnsi="Arial" w:cs="Arial"/>
        </w:rPr>
        <w:t xml:space="preserve">a </w:t>
      </w:r>
      <w:r>
        <w:rPr>
          <w:rFonts w:ascii="Arial" w:hAnsi="Arial" w:cs="Arial"/>
        </w:rPr>
        <w:t>smear grade</w:t>
      </w:r>
      <w:r w:rsidR="00D0037E">
        <w:rPr>
          <w:rFonts w:ascii="Arial" w:hAnsi="Arial" w:cs="Arial"/>
        </w:rPr>
        <w:t xml:space="preserve"> of 3+ </w:t>
      </w:r>
      <w:r w:rsidR="00E52D76">
        <w:rPr>
          <w:rFonts w:ascii="Arial" w:hAnsi="Arial" w:cs="Arial"/>
        </w:rPr>
        <w:t>and</w:t>
      </w:r>
      <w:r>
        <w:rPr>
          <w:rFonts w:ascii="Arial" w:hAnsi="Arial" w:cs="Arial"/>
        </w:rPr>
        <w:t xml:space="preserve"> the presence of cavitation on chest radiograph at </w:t>
      </w:r>
      <w:r w:rsidRPr="00E07256">
        <w:rPr>
          <w:rFonts w:ascii="Arial" w:hAnsi="Arial" w:cs="Arial"/>
        </w:rPr>
        <w:t xml:space="preserve">baseline </w:t>
      </w:r>
      <w:r>
        <w:rPr>
          <w:rFonts w:ascii="Arial" w:hAnsi="Arial" w:cs="Arial"/>
        </w:rPr>
        <w:t>define a hard-to-treat phenotype, comprising 34%</w:t>
      </w:r>
      <w:r w:rsidR="007A29C0">
        <w:rPr>
          <w:rFonts w:ascii="Arial" w:hAnsi="Arial" w:cs="Arial"/>
        </w:rPr>
        <w:t xml:space="preserve"> (1162/3405)</w:t>
      </w:r>
      <w:r>
        <w:rPr>
          <w:rFonts w:ascii="Arial" w:hAnsi="Arial" w:cs="Arial"/>
        </w:rPr>
        <w:t xml:space="preserve"> of the population, and this group </w:t>
      </w:r>
      <w:r w:rsidR="0064728E">
        <w:rPr>
          <w:rFonts w:ascii="Arial" w:hAnsi="Arial" w:cs="Arial"/>
        </w:rPr>
        <w:t xml:space="preserve">may </w:t>
      </w:r>
      <w:r>
        <w:rPr>
          <w:rFonts w:ascii="Arial" w:hAnsi="Arial" w:cs="Arial"/>
        </w:rPr>
        <w:t>require longer durations of treatment than the current standard 6-month regimen to achieve the highest cure rates feasible</w:t>
      </w:r>
      <w:r w:rsidRPr="003301BD">
        <w:rPr>
          <w:rFonts w:ascii="Arial" w:hAnsi="Arial" w:cs="Arial"/>
        </w:rPr>
        <w:t>.</w:t>
      </w:r>
      <w:r>
        <w:rPr>
          <w:rFonts w:ascii="Arial" w:hAnsi="Arial" w:cs="Arial"/>
        </w:rPr>
        <w:t xml:space="preserve"> In our analyses, other baseline characteristics associated with unfavorable outcomes included being HIV-infected and having a lower BMI at study entry. Male sex was consistently and independently linked with poor likelihood of cure in both control and experimental regimens.  The etiology for this association is not clear, particularly given the association persists after adjusting for severity of disease and adherence.  Our definitions of TB phenotypes were validated in an independent trial dataset of patients with non-cavitary disease. Whereas this trial was stopped early due to high</w:t>
      </w:r>
      <w:r w:rsidR="003760C6">
        <w:rPr>
          <w:rFonts w:ascii="Arial" w:hAnsi="Arial" w:cs="Arial"/>
        </w:rPr>
        <w:t>e</w:t>
      </w:r>
      <w:r>
        <w:rPr>
          <w:rFonts w:ascii="Arial" w:hAnsi="Arial" w:cs="Arial"/>
        </w:rPr>
        <w:t xml:space="preserve">r rates of unfavorable outcomes in the experimental 4-month regimen, we confirmed that a 4-month regimen would be effective for patients with negative, 1+ or 2+ smears </w:t>
      </w:r>
      <w:r w:rsidR="007A29C0">
        <w:rPr>
          <w:rFonts w:ascii="Arial" w:hAnsi="Arial" w:cs="Arial"/>
        </w:rPr>
        <w:t xml:space="preserve">in non-cavitary disease </w:t>
      </w:r>
      <w:r>
        <w:rPr>
          <w:rFonts w:ascii="Arial" w:hAnsi="Arial" w:cs="Arial"/>
        </w:rPr>
        <w:t xml:space="preserve">at baseline.  We also confirmed that patients with high smear grade (smear 3+) at baseline were more likely to fail treatment regardless of receiving 4-month or 6-month regimens, as compared to those with lower smear grades at baseline.  </w:t>
      </w:r>
      <w:r w:rsidR="004F0377">
        <w:rPr>
          <w:rFonts w:ascii="Arial" w:hAnsi="Arial" w:cs="Arial"/>
        </w:rPr>
        <w:t>Given the established importance of cavitation in disease prognosis and treatment response</w:t>
      </w:r>
      <w:r w:rsidR="00E53553">
        <w:rPr>
          <w:rFonts w:ascii="Arial" w:hAnsi="Arial" w:cs="Arial"/>
        </w:rPr>
        <w:fldChar w:fldCharType="begin" w:fldLock="1"/>
      </w:r>
      <w:r w:rsidR="00282D2D">
        <w:rPr>
          <w:rFonts w:ascii="Arial" w:hAnsi="Arial" w:cs="Arial"/>
        </w:rPr>
        <w:instrText>ADDIN CSL_CITATION { "citationItems" : [ { "id" : "ITEM-1", "itemData" : { "DOI" : "10.1093/cid/ciw376", "abstract" : "Organization also participated in the development of the guideline. This guideline provides recommendations on the clinical and public health management of tuberculosis in children and adults in settings in which mycobacterial cultures, molecular and phe-notypic drug susceptibility tests, and radiographic studies, among other diagnostic tools, are available on a routine basis. For all recommendations, literature reviews were performed, followed by discussion by an expert committee according to the Grading of Recommendations, Assessment, Development and Evaluation methodology. Given the public health implications of prompt diag-nosis and effective management of tuberculosis, empiric multidrug treatment is initiated in almost all situations in which active tuberculosis is suspected. Additional characteristics such as presence of comorbidities, severity of disease, and response to treatment influence management decisions. Specific recommendations on the use of case management strategies (including directly observed therapy), regimen and dosing selection in adults and children (daily vs intermittent), treatment of tuberculosis in the presence of HIV infection (duration of tuberculosis treatment and timing of initiation of antiretroviral therapy), as well as treatment of extrap-ulmonary disease (central nervous system, pericardial among other sites) are provided. The development of more potent and better-tolerated drug regimens, optimization of drug exposure for the component drugs, optimal management of tuberculosis in special populations, identification of accurate biomarkers of treatment effect, and the assessment of new strategies for implementing regi-mens in the field remain key priority areas for research. See the full-text online version of the document for detailed discussion of the management of tuberculosis and recommendations for practice. These guidelines were endorsed by the European Respiratory Society (ERS) and the US Na-tional Tuberculosis Controllers Association (NTCA). It is important to realize that guidelines can-not always account for individual variation among patients. They are not intended to supplant physician judgment with respect to particular patients or special clinical situations. The spon-soring and endorsing societies consider adherence to these guidelines to be voluntary, with the ultimate determination regarding their application to be made by the physician in the light of each patient's individual circumstances.", "author" : [ { "dropping-particle" : "", "family" : "Nahid", "given" : "Payam", "non-dropping-particle" : "", "parse-names" : false, "suffix" : "" }, { "dropping-particle" : "", "family" : "Dorman", "given" : "Susan E", "non-dropping-particle" : "", "parse-names" : false, "suffix" : "" }, { "dropping-particle" : "", "family" : "Alipanah", "given" : "Narges", "non-dropping-particle" : "", "parse-names" : false, "suffix" : "" }, { "dropping-particle" : "", "family" : "Barry", "given" : "Pennan M", "non-dropping-particle" : "", "parse-names" : false, "suffix" : "" }, { "dropping-particle" : "", "family" : "Brozek", "given" : "Jan L", "non-dropping-particle" : "", "parse-names" : false, "suffix" : "" }, { "dropping-particle" : "", "family" : "Cattamanchi", "given" : "Adithya", "non-dropping-particle" : "", "parse-names" : false, "suffix" : "" }, { "dropping-particle" : "", "family" : "Chaisson", "given" : "Lelia H", "non-dropping-particle" : "", "parse-names" : false, "suffix" : "" }, { "dropping-particle" : "", "family" : "Chaisson", "given" : "Richard E", "non-dropping-particle" : "", "parse-names" : false, "suffix" : "" }, { "dropping-particle" : "", "family" : "Daley", "given" : "Charles L", "non-dropping-particle" : "", "parse-names" : false, "suffix" : "" }, { "dropping-particle" : "", "family" : "Grzemska", "given" : "Malgosia", "non-dropping-particle" : "", "parse-names" : false, "suffix" : "" }, { "dropping-particle" : "", "family" : "Higashi", "given" : "Julie M", "non-dropping-particle" : "", "parse-names" : false, "suffix" : "" }, { "dropping-particle" : "", "family" : "Ho", "given" : "Christine S", "non-dropping-particle" : "", "parse-names" : false, "suffix" : "" }, { "dropping-particle" : "", "family" : "Hopewell", "given" : "Philip C", "non-dropping-particle" : "", "parse-names" : false, "suffix" : "" }, { "dropping-particle" : "", "family" : "Keshavjee", "given" : "Salmaan A", "non-dropping-particle" : "", "parse-names" : false, "suffix" : "" }, { "dropping-particle" : "", "family" : "Lienhardt", "given" : "Christian", "non-dropping-particle" : "", "parse-names" : false, "suffix" : "" }, { "dropping-particle" : "", "family" : "Menzies", "given" : "Richard", "non-dropping-particle" : "", "parse-names" : false, "suffix" : "" }, { "dropping-particle" : "", "family" : "Merrifield", "given" : "Cynthia", "non-dropping-particle" : "", "parse-names" : false, "suffix" : "" }, { "dropping-particle" : "", "family" : "Sotgiu", "given" : "Giovanni", "non-dropping-particle" : "", "parse-names" : false, "suffix" : "" }, { "dropping-particle" : "", "family" : "Starke", "given" : "Jeffrey R", "non-dropping-particle" : "", "parse-names" : false, "suffix" : "" }, { "dropping-particle" : "", "family" : "Migliori", "given" : "Giovanni Battista", "non-dropping-particle" : "", "parse-names" : false, "suffix" : "" }, { "dropping-particle" : "", "family" : "Vernon", "given" : "Andrew", "non-dropping-particle" : "", "parse-names" : false, "suffix" : "" }, { "dropping-particle" : "", "family" : "Nahid", "given" : "P", "non-dropping-particle" : "", "parse-names" : false, "suffix" : "" } ], "container-title" : "Clinical Infectious Diseases", "id" : "ITEM-1", "issue" : "7", "issued" : { "date-parts" : [ [ "2016" ] ] }, "page" : "e147-e195", "title" : "Official American Thoracic Society/Centers for Disease Control and Prevention/Infectious Diseases Society of America Clinical Practice Guidelines: Treatment of Drug-Susceptible Tuberculosis", "type" : "article-journal", "volume" : "63" }, "uris" : [ "http://www.mendeley.com/documents/?uuid=41541d6a-5b99-369c-a1f9-e103b5f2f169" ] }, { "id" : "ITEM-2", "itemData" : { "DOI" : "10.1002/cpt.634", "ISSN" : "1532-6535", "PMID" : "28124478", "abstract" : "Rifapentine is a highly active antituberculosis antibiotic with treatment-shortening potential; however, exposure-response relations and the dose needed for maximal bactericidal activity have not been established. We used pharmacokinetic/pharmacodynamic data from 657 adults with pulmonary tuberculosis participating in treatment trials to compare rifapentine (n = 405) with rifampin (n = 252) as part of intensive-phase therapy. Population pharmacokinetic/pharmacodynamic analyses were performed with nonlinear mixed-effects modeling. Time to stable culture conversion of sputum to negative was determined in cultures obtained over 4 months of therapy. Rifapentine exposures were lower in participants who were coinfected with human immunodeficiency virus, black, male, or fasting when taking drug. Rifapentine exposure, large lung cavity size, and geographic region were independently associated with time to culture conversion in liquid media. Maximal treatment efficacy is likely achieved with rifapentine at 1,200 mg daily. Patients with large lung cavities appear less responsive to treatment, even at high rifapentine doses.", "author" : [ { "dropping-particle" : "", "family" : "Savic", "given" : "R M", "non-dropping-particle" : "", "parse-names" : false, "suffix" : "" }, { "dropping-particle" : "", "family" : "Weiner", "given" : "M", "non-dropping-particle" : "", "parse-names" : false, "suffix" : "" }, { "dropping-particle" : "", "family" : "MacKenzie", "given" : "W R", "non-dropping-particle" : "", "parse-names" : false, "suffix" : "" }, { "dropping-particle" : "", "family" : "Engle", "given" : "M", "non-dropping-particle" : "", "parse-names" : false, "suffix" : "" }, { "dropping-particle" : "", "family" : "Whitworth", "given" : "W C", "non-dropping-particle" : "", "parse-names" : false, "suffix" : "" }, { "dropping-particle" : "", "family" : "Johnson", "given" : "J L", "non-dropping-particle" : "", "parse-names" : false, "suffix" : "" }, { "dropping-particle" : "", "family" : "Nsubuga", "given" : "P", "non-dropping-particle" : "", "parse-names" : false, "suffix" : "" }, { "dropping-particle" : "", "family" : "Nahid", "given" : "P", "non-dropping-particle" : "", "parse-names" : false, "suffix" : "" }, { "dropping-particle" : "V", "family" : "Nguyen", "given" : "N", "non-dropping-particle" : "", "parse-names" : false, "suffix" : "" }, { "dropping-particle" : "", "family" : "Peloquin", "given" : "C A", "non-dropping-particle" : "", "parse-names" : false, "suffix" : "" }, { "dropping-particle" : "", "family" : "Dooley", "given" : "K E", "non-dropping-particle" : "", "parse-names" : false, "suffix" : "" }, { "dropping-particle" : "", "family" : "Dorman", "given" : "S E", "non-dropping-particle" : "", "parse-names" : false, "suffix" : "" }, { "dropping-particle" : "", "family" : "Tuberculosis Trials Consortium of the Centers for Disease Control and Prevention", "given" : "", "non-dropping-particle" : "", "parse-names" : false, "suffix" : "" } ], "container-title" : "Clinical pharmacology and therapeutics", "id" : "ITEM-2", "issue" : "2", "issued" : { "date-parts" : [ [ "2017", "1", "25" ] ] }, "page" : "321-331", "title" : "Defining the optimal dose of rifapentine for pulmonary tuberculosis: Exposure-response relations from two phase II clinical trials.", "type" : "article-journal", "volume" : "102" }, "uris" : [ "http://www.mendeley.com/documents/?uuid=a39d54c3-ee37-3e03-a9a6-de53fabbc1e3" ] }, { "id" : "ITEM-3", "itemData" : { "DOI" : "10.5588/ijtld.16.0217", "ISSN" : "10273719", "author" : [ { "dropping-particle" : "", "family" : "Alipanah", "given" : "N.", "non-dropping-particle" : "", "parse-names" : false, "suffix" : "" }, { "dropping-particle" : "", "family" : "Cattamanchi", "given" : "A.", "non-dropping-particle" : "", "parse-names" : false, "suffix" : "" }, { "dropping-particle" : "", "family" : "Menzies", "given" : "R.", "non-dropping-particle" : "", "parse-names" : false, "suffix" : "" }, { "dropping-particle" : "", "family" : "Hopewell", "given" : "P. C.", "non-dropping-particle" : "", "parse-names" : false, "suffix" : "" }, { "dropping-particle" : "", "family" : "Chaisson", "given" : "R. E.", "non-dropping-particle" : "", "parse-names" : false, "suffix" : "" }, { "dropping-particle" : "", "family" : "Nahid", "given" : "P.", "non-dropping-particle" : "", "parse-names" : false, "suffix" : "" } ], "container-title" : "The International Journal of Tuberculosis and Lung Disease", "id" : "ITEM-3", "issue" : "11", "issued" : { "date-parts" : [ [ "2016", "11", "1" ] ] }, "page" : "1522-1528", "title" : "Treatment of non-cavitary pulmonary tuberculosis with shortened fluoroquinolone-based regimens: a meta-analysis", "type" : "article-journal", "volume" : "20" }, "uris" : [ "http://www.mendeley.com/documents/?uuid=c6851839-64bd-36e4-8f8e-3371a5c9b21e" ] } ], "mendeley" : { "formattedCitation" : "&lt;sup&gt;5,10,11&lt;/sup&gt;", "plainTextFormattedCitation" : "5,10,11", "previouslyFormattedCitation" : "&lt;sup&gt;5,10,11&lt;/sup&gt;" }, "properties" : {  }, "schema" : "https://github.com/citation-style-language/schema/raw/master/csl-citation.json" }</w:instrText>
      </w:r>
      <w:r w:rsidR="00E53553">
        <w:rPr>
          <w:rFonts w:ascii="Arial" w:hAnsi="Arial" w:cs="Arial"/>
        </w:rPr>
        <w:fldChar w:fldCharType="separate"/>
      </w:r>
      <w:r w:rsidR="00282D2D" w:rsidRPr="00282D2D">
        <w:rPr>
          <w:rFonts w:ascii="Arial" w:hAnsi="Arial" w:cs="Arial"/>
          <w:noProof/>
          <w:vertAlign w:val="superscript"/>
        </w:rPr>
        <w:t>5,10,11</w:t>
      </w:r>
      <w:r w:rsidR="00E53553">
        <w:rPr>
          <w:rFonts w:ascii="Arial" w:hAnsi="Arial" w:cs="Arial"/>
        </w:rPr>
        <w:fldChar w:fldCharType="end"/>
      </w:r>
      <w:r w:rsidR="004F0377">
        <w:rPr>
          <w:rFonts w:ascii="Arial" w:hAnsi="Arial" w:cs="Arial"/>
        </w:rPr>
        <w:t xml:space="preserve">, we </w:t>
      </w:r>
      <w:r w:rsidR="0085435E">
        <w:rPr>
          <w:rFonts w:ascii="Arial" w:hAnsi="Arial" w:cs="Arial"/>
        </w:rPr>
        <w:t xml:space="preserve">included </w:t>
      </w:r>
      <w:r w:rsidR="004F0377">
        <w:rPr>
          <w:rFonts w:ascii="Arial" w:hAnsi="Arial" w:cs="Arial"/>
        </w:rPr>
        <w:t xml:space="preserve">this characteristic </w:t>
      </w:r>
      <w:r w:rsidR="0085435E">
        <w:rPr>
          <w:rFonts w:ascii="Arial" w:hAnsi="Arial" w:cs="Arial"/>
        </w:rPr>
        <w:t>in the</w:t>
      </w:r>
      <w:r w:rsidR="004F0377">
        <w:rPr>
          <w:rFonts w:ascii="Arial" w:hAnsi="Arial" w:cs="Arial"/>
        </w:rPr>
        <w:t xml:space="preserve"> analyses of</w:t>
      </w:r>
      <w:r w:rsidR="0085435E">
        <w:rPr>
          <w:rFonts w:ascii="Arial" w:hAnsi="Arial" w:cs="Arial"/>
        </w:rPr>
        <w:t xml:space="preserve"> non-inferiority </w:t>
      </w:r>
      <w:r w:rsidR="004F0377">
        <w:rPr>
          <w:rFonts w:ascii="Arial" w:hAnsi="Arial" w:cs="Arial"/>
        </w:rPr>
        <w:t>for</w:t>
      </w:r>
      <w:r w:rsidR="0085435E">
        <w:rPr>
          <w:rFonts w:ascii="Arial" w:hAnsi="Arial" w:cs="Arial"/>
        </w:rPr>
        <w:t xml:space="preserve"> various sub-groups</w:t>
      </w:r>
      <w:r w:rsidR="004F0377">
        <w:rPr>
          <w:rFonts w:ascii="Arial" w:hAnsi="Arial" w:cs="Arial"/>
        </w:rPr>
        <w:t xml:space="preserve">, despite the fact that cavitation was not a significant variable in the </w:t>
      </w:r>
      <w:r w:rsidR="004F0377" w:rsidRPr="00216C72">
        <w:rPr>
          <w:rFonts w:ascii="Arial" w:hAnsi="Arial" w:cs="Arial"/>
        </w:rPr>
        <w:t>multivariate analysis</w:t>
      </w:r>
      <w:r w:rsidR="007B3033">
        <w:rPr>
          <w:rFonts w:ascii="Arial" w:hAnsi="Arial" w:cs="Arial"/>
        </w:rPr>
        <w:t xml:space="preserve"> and</w:t>
      </w:r>
      <w:r w:rsidR="00386CDA">
        <w:rPr>
          <w:rFonts w:ascii="Arial" w:hAnsi="Arial" w:cs="Arial"/>
        </w:rPr>
        <w:t xml:space="preserve"> only</w:t>
      </w:r>
      <w:r w:rsidR="007B3033">
        <w:rPr>
          <w:rFonts w:ascii="Arial" w:hAnsi="Arial" w:cs="Arial"/>
        </w:rPr>
        <w:t xml:space="preserve"> </w:t>
      </w:r>
      <w:r w:rsidR="00F24372">
        <w:rPr>
          <w:rFonts w:ascii="Arial" w:hAnsi="Arial" w:cs="Arial"/>
        </w:rPr>
        <w:t>marginally significant in the univariate analysis, Supplementa</w:t>
      </w:r>
      <w:r w:rsidR="00CB0320">
        <w:rPr>
          <w:rFonts w:ascii="Arial" w:hAnsi="Arial" w:cs="Arial"/>
        </w:rPr>
        <w:t>ry</w:t>
      </w:r>
      <w:r w:rsidR="00F24372">
        <w:rPr>
          <w:rFonts w:ascii="Arial" w:hAnsi="Arial" w:cs="Arial"/>
        </w:rPr>
        <w:t xml:space="preserve"> </w:t>
      </w:r>
      <w:r w:rsidR="00F24372">
        <w:rPr>
          <w:rFonts w:ascii="Arial" w:hAnsi="Arial" w:cs="Arial"/>
        </w:rPr>
        <w:t>Table 8</w:t>
      </w:r>
      <w:r w:rsidR="00F24372">
        <w:rPr>
          <w:rFonts w:ascii="Arial" w:hAnsi="Arial" w:cs="Arial"/>
        </w:rPr>
        <w:t>-10</w:t>
      </w:r>
      <w:r w:rsidR="0085435E" w:rsidRPr="00216C72">
        <w:rPr>
          <w:rFonts w:ascii="Arial" w:hAnsi="Arial" w:cs="Arial"/>
        </w:rPr>
        <w:t>.</w:t>
      </w:r>
      <w:r w:rsidR="008412E6" w:rsidRPr="00216C72">
        <w:rPr>
          <w:rFonts w:ascii="Arial" w:hAnsi="Arial" w:cs="Arial"/>
        </w:rPr>
        <w:t xml:space="preserve"> </w:t>
      </w:r>
      <w:r w:rsidR="004F0377" w:rsidRPr="00216C72">
        <w:rPr>
          <w:rFonts w:ascii="Arial" w:hAnsi="Arial" w:cs="Arial"/>
        </w:rPr>
        <w:t xml:space="preserve"> In</w:t>
      </w:r>
      <w:r w:rsidR="002A48A2" w:rsidRPr="00216C72">
        <w:rPr>
          <w:rFonts w:ascii="Arial" w:hAnsi="Arial" w:cs="Arial"/>
        </w:rPr>
        <w:t xml:space="preserve"> analys</w:t>
      </w:r>
      <w:r w:rsidR="007A7E07" w:rsidRPr="00216C72">
        <w:rPr>
          <w:rFonts w:ascii="Arial" w:hAnsi="Arial" w:cs="Arial"/>
        </w:rPr>
        <w:t>e</w:t>
      </w:r>
      <w:r w:rsidR="002A48A2" w:rsidRPr="00216C72">
        <w:rPr>
          <w:rFonts w:ascii="Arial" w:hAnsi="Arial" w:cs="Arial"/>
        </w:rPr>
        <w:t xml:space="preserve">s </w:t>
      </w:r>
      <w:r w:rsidR="004F0377" w:rsidRPr="00216C72">
        <w:rPr>
          <w:rFonts w:ascii="Arial" w:hAnsi="Arial" w:cs="Arial"/>
        </w:rPr>
        <w:t>limited to</w:t>
      </w:r>
      <w:r w:rsidR="002A48A2" w:rsidRPr="00216C72">
        <w:rPr>
          <w:rFonts w:ascii="Arial" w:hAnsi="Arial" w:cs="Arial"/>
        </w:rPr>
        <w:t xml:space="preserve"> </w:t>
      </w:r>
      <w:r w:rsidR="004F0377" w:rsidRPr="00216C72">
        <w:rPr>
          <w:rFonts w:ascii="Arial" w:hAnsi="Arial" w:cs="Arial"/>
        </w:rPr>
        <w:t xml:space="preserve">the </w:t>
      </w:r>
      <w:r w:rsidR="007A7E07" w:rsidRPr="00216C72">
        <w:rPr>
          <w:rFonts w:ascii="Arial" w:hAnsi="Arial" w:cs="Arial"/>
        </w:rPr>
        <w:t>trials</w:t>
      </w:r>
      <w:r w:rsidR="002A48A2" w:rsidRPr="00216C72">
        <w:rPr>
          <w:rFonts w:ascii="Arial" w:hAnsi="Arial" w:cs="Arial"/>
        </w:rPr>
        <w:t xml:space="preserve"> </w:t>
      </w:r>
      <w:r w:rsidR="007A7E07" w:rsidRPr="00216C72">
        <w:rPr>
          <w:rFonts w:ascii="Arial" w:hAnsi="Arial" w:cs="Arial"/>
        </w:rPr>
        <w:t>providing detailed</w:t>
      </w:r>
      <w:r w:rsidR="002A48A2" w:rsidRPr="00216C72">
        <w:rPr>
          <w:rFonts w:ascii="Arial" w:hAnsi="Arial" w:cs="Arial"/>
        </w:rPr>
        <w:t xml:space="preserve"> chest</w:t>
      </w:r>
      <w:r w:rsidR="00DB0517" w:rsidRPr="00216C72">
        <w:rPr>
          <w:rFonts w:ascii="Arial" w:hAnsi="Arial" w:cs="Arial"/>
        </w:rPr>
        <w:t xml:space="preserve"> radiograph</w:t>
      </w:r>
      <w:r w:rsidR="002A48A2" w:rsidRPr="00216C72">
        <w:rPr>
          <w:rFonts w:ascii="Arial" w:hAnsi="Arial" w:cs="Arial"/>
        </w:rPr>
        <w:t xml:space="preserve"> readout data</w:t>
      </w:r>
      <w:r w:rsidR="004F0377" w:rsidRPr="00216C72">
        <w:rPr>
          <w:rFonts w:ascii="Arial" w:hAnsi="Arial" w:cs="Arial"/>
        </w:rPr>
        <w:t xml:space="preserve">, specifically </w:t>
      </w:r>
      <w:r w:rsidR="002A48A2" w:rsidRPr="00216C72">
        <w:rPr>
          <w:rFonts w:ascii="Arial" w:hAnsi="Arial" w:cs="Arial"/>
        </w:rPr>
        <w:t>OFLOTUB</w:t>
      </w:r>
      <w:r w:rsidR="002A48A2">
        <w:rPr>
          <w:rFonts w:ascii="Arial" w:hAnsi="Arial" w:cs="Arial"/>
        </w:rPr>
        <w:t xml:space="preserve"> and RIFAQUIN</w:t>
      </w:r>
      <w:r w:rsidR="004F0377">
        <w:rPr>
          <w:rFonts w:ascii="Arial" w:hAnsi="Arial" w:cs="Arial"/>
        </w:rPr>
        <w:t xml:space="preserve">, we confirmed </w:t>
      </w:r>
      <w:r w:rsidR="008412E6">
        <w:rPr>
          <w:rFonts w:ascii="Arial" w:hAnsi="Arial" w:cs="Arial"/>
        </w:rPr>
        <w:t xml:space="preserve">that </w:t>
      </w:r>
      <w:r w:rsidR="002A48A2">
        <w:rPr>
          <w:rFonts w:ascii="Arial" w:hAnsi="Arial" w:cs="Arial"/>
        </w:rPr>
        <w:t xml:space="preserve">cavity size, bilateral disease and disease extent measured by zone scores were all significant risk factors for </w:t>
      </w:r>
      <w:r w:rsidR="00DB0517">
        <w:rPr>
          <w:rFonts w:ascii="Arial" w:hAnsi="Arial" w:cs="Arial"/>
        </w:rPr>
        <w:lastRenderedPageBreak/>
        <w:t>unfavorable outcome</w:t>
      </w:r>
      <w:r w:rsidR="002A48A2">
        <w:rPr>
          <w:rFonts w:ascii="Arial" w:hAnsi="Arial" w:cs="Arial"/>
        </w:rPr>
        <w:t xml:space="preserve"> </w:t>
      </w:r>
      <w:r w:rsidR="00DB0517">
        <w:rPr>
          <w:rFonts w:ascii="Arial" w:hAnsi="Arial" w:cs="Arial"/>
        </w:rPr>
        <w:t xml:space="preserve"> (Supplementa</w:t>
      </w:r>
      <w:r w:rsidR="00CB0320">
        <w:rPr>
          <w:rFonts w:ascii="Arial" w:hAnsi="Arial" w:cs="Arial"/>
        </w:rPr>
        <w:t>r</w:t>
      </w:r>
      <w:r w:rsidR="00DB0517">
        <w:rPr>
          <w:rFonts w:ascii="Arial" w:hAnsi="Arial" w:cs="Arial"/>
        </w:rPr>
        <w:t xml:space="preserve">y Figure </w:t>
      </w:r>
      <w:r w:rsidR="00AA3E1C">
        <w:rPr>
          <w:rFonts w:ascii="Arial" w:hAnsi="Arial" w:cs="Arial"/>
        </w:rPr>
        <w:t>1</w:t>
      </w:r>
      <w:r w:rsidR="00DB0517">
        <w:rPr>
          <w:rFonts w:ascii="Arial" w:hAnsi="Arial" w:cs="Arial"/>
        </w:rPr>
        <w:t xml:space="preserve"> and Supplementary Figure </w:t>
      </w:r>
      <w:r w:rsidR="00AA3E1C">
        <w:rPr>
          <w:rFonts w:ascii="Arial" w:hAnsi="Arial" w:cs="Arial"/>
        </w:rPr>
        <w:t>2</w:t>
      </w:r>
      <w:r w:rsidR="00DB0517">
        <w:rPr>
          <w:rFonts w:ascii="Arial" w:hAnsi="Arial" w:cs="Arial"/>
        </w:rPr>
        <w:t>), confirming that disease severity determined by chest radiograph remain</w:t>
      </w:r>
      <w:r w:rsidR="005A5725">
        <w:rPr>
          <w:rFonts w:ascii="Arial" w:hAnsi="Arial" w:cs="Arial"/>
        </w:rPr>
        <w:t>s</w:t>
      </w:r>
      <w:r w:rsidR="00DB0517">
        <w:rPr>
          <w:rFonts w:ascii="Arial" w:hAnsi="Arial" w:cs="Arial"/>
        </w:rPr>
        <w:t xml:space="preserve"> an important tool for </w:t>
      </w:r>
      <w:r w:rsidR="002D5230">
        <w:rPr>
          <w:rFonts w:ascii="Arial" w:hAnsi="Arial" w:cs="Arial"/>
        </w:rPr>
        <w:t xml:space="preserve">the </w:t>
      </w:r>
      <w:r w:rsidR="0086511D">
        <w:rPr>
          <w:rFonts w:ascii="Arial" w:hAnsi="Arial" w:cs="Arial"/>
        </w:rPr>
        <w:t>definition</w:t>
      </w:r>
      <w:r w:rsidR="00DB0517">
        <w:rPr>
          <w:rFonts w:ascii="Arial" w:hAnsi="Arial" w:cs="Arial"/>
        </w:rPr>
        <w:t xml:space="preserve"> of hard-to-treat phenotypes</w:t>
      </w:r>
      <w:r w:rsidR="006339E1">
        <w:rPr>
          <w:rFonts w:ascii="Arial" w:hAnsi="Arial" w:cs="Arial"/>
        </w:rPr>
        <w:t xml:space="preserve"> and prediction of treatment outcome</w:t>
      </w:r>
      <w:r w:rsidR="00DB0517">
        <w:rPr>
          <w:rFonts w:ascii="Arial" w:hAnsi="Arial" w:cs="Arial"/>
        </w:rPr>
        <w:t>.</w:t>
      </w:r>
      <w:r w:rsidR="0085435E">
        <w:rPr>
          <w:rFonts w:ascii="Arial" w:hAnsi="Arial" w:cs="Arial"/>
        </w:rPr>
        <w:t xml:space="preserve"> </w:t>
      </w:r>
      <w:r w:rsidR="006339E1">
        <w:rPr>
          <w:rFonts w:ascii="Arial" w:hAnsi="Arial" w:cs="Arial"/>
        </w:rPr>
        <w:t>Overall, w</w:t>
      </w:r>
      <w:r w:rsidR="0085435E">
        <w:rPr>
          <w:rFonts w:ascii="Arial" w:hAnsi="Arial" w:cs="Arial"/>
        </w:rPr>
        <w:t xml:space="preserve">e </w:t>
      </w:r>
      <w:r w:rsidR="004F0377">
        <w:rPr>
          <w:rFonts w:ascii="Arial" w:hAnsi="Arial" w:cs="Arial"/>
        </w:rPr>
        <w:t>show</w:t>
      </w:r>
      <w:r w:rsidR="0085435E">
        <w:rPr>
          <w:rFonts w:ascii="Arial" w:hAnsi="Arial" w:cs="Arial"/>
        </w:rPr>
        <w:t xml:space="preserve"> that the combination of smear grading and cavitary status </w:t>
      </w:r>
      <w:r w:rsidR="006339E1">
        <w:rPr>
          <w:rFonts w:ascii="Arial" w:hAnsi="Arial" w:cs="Arial"/>
        </w:rPr>
        <w:t xml:space="preserve">adequately </w:t>
      </w:r>
      <w:r w:rsidR="0085435E">
        <w:rPr>
          <w:rFonts w:ascii="Arial" w:hAnsi="Arial" w:cs="Arial"/>
        </w:rPr>
        <w:t>define easy-to-treat and hard-to-treat groups</w:t>
      </w:r>
      <w:r w:rsidR="004F0377">
        <w:rPr>
          <w:rFonts w:ascii="Arial" w:hAnsi="Arial" w:cs="Arial"/>
        </w:rPr>
        <w:t xml:space="preserve">, however, we also show </w:t>
      </w:r>
      <w:r w:rsidR="006339E1">
        <w:rPr>
          <w:rFonts w:ascii="Arial" w:hAnsi="Arial" w:cs="Arial"/>
        </w:rPr>
        <w:t xml:space="preserve">subgroups </w:t>
      </w:r>
      <w:r w:rsidR="00E640FC">
        <w:rPr>
          <w:rFonts w:ascii="Arial" w:hAnsi="Arial" w:cs="Arial"/>
        </w:rPr>
        <w:t>that allow for</w:t>
      </w:r>
      <w:r w:rsidR="0085435E">
        <w:rPr>
          <w:rFonts w:ascii="Arial" w:hAnsi="Arial" w:cs="Arial"/>
        </w:rPr>
        <w:t xml:space="preserve"> stratification </w:t>
      </w:r>
      <w:r w:rsidR="004F0377">
        <w:rPr>
          <w:rFonts w:ascii="Arial" w:hAnsi="Arial" w:cs="Arial"/>
        </w:rPr>
        <w:t xml:space="preserve">when chest radiographic information is not available.  </w:t>
      </w:r>
      <w:r w:rsidR="0085435E">
        <w:rPr>
          <w:rFonts w:ascii="Arial" w:hAnsi="Arial" w:cs="Arial"/>
        </w:rPr>
        <w:t xml:space="preserve"> </w:t>
      </w:r>
    </w:p>
    <w:p w14:paraId="4FC9D131" w14:textId="423E7A09" w:rsidR="00101E45" w:rsidRDefault="00101E45" w:rsidP="00804CE5">
      <w:pPr>
        <w:tabs>
          <w:tab w:val="left" w:pos="2145"/>
        </w:tabs>
        <w:spacing w:line="480" w:lineRule="auto"/>
        <w:rPr>
          <w:rFonts w:ascii="Arial" w:hAnsi="Arial" w:cs="Arial"/>
        </w:rPr>
      </w:pPr>
    </w:p>
    <w:p w14:paraId="0C6B2529" w14:textId="44ED960D" w:rsidR="00101E45" w:rsidRPr="00FD0033" w:rsidRDefault="00101E45" w:rsidP="00804CE5">
      <w:pPr>
        <w:spacing w:line="480" w:lineRule="auto"/>
        <w:rPr>
          <w:rFonts w:ascii="Arial" w:hAnsi="Arial"/>
        </w:rPr>
      </w:pPr>
      <w:r>
        <w:rPr>
          <w:rFonts w:ascii="Arial" w:hAnsi="Arial" w:cs="Arial"/>
        </w:rPr>
        <w:t xml:space="preserve">In this study, we also found that across both experimental and standard control regimens, minimal non-adherence and missed doses were associated with significantly increased risk for </w:t>
      </w:r>
      <w:r w:rsidR="00D320D6">
        <w:rPr>
          <w:rFonts w:ascii="Arial" w:hAnsi="Arial" w:cs="Arial"/>
        </w:rPr>
        <w:t>unfavorable outcome</w:t>
      </w:r>
      <w:r>
        <w:rPr>
          <w:rFonts w:ascii="Arial" w:hAnsi="Arial" w:cs="Arial"/>
        </w:rPr>
        <w:t xml:space="preserve">. Missing as few as 1 in 10 doses of a regimen was associated with a five-fold increase in risk. Missed doses had a stronger association with poor outcome than failure to achieve culture conversion at 2 months. Consistent with our analyses of non-adherence, dosing frequencies of less than 7 of 7 days increase the chances of unfavorable outcome, even if participants </w:t>
      </w:r>
      <w:r w:rsidR="00D320D6">
        <w:rPr>
          <w:rFonts w:ascii="Arial" w:hAnsi="Arial" w:cs="Arial"/>
        </w:rPr>
        <w:t xml:space="preserve">were </w:t>
      </w:r>
      <w:r>
        <w:rPr>
          <w:rFonts w:ascii="Arial" w:hAnsi="Arial" w:cs="Arial"/>
        </w:rPr>
        <w:t xml:space="preserve">fully adherent (Figure </w:t>
      </w:r>
      <w:r w:rsidR="00A33E49">
        <w:rPr>
          <w:rFonts w:ascii="Arial" w:hAnsi="Arial" w:cs="Arial"/>
        </w:rPr>
        <w:t>4</w:t>
      </w:r>
      <w:r w:rsidR="00B56E3B">
        <w:rPr>
          <w:rFonts w:ascii="Arial" w:hAnsi="Arial" w:cs="Arial"/>
        </w:rPr>
        <w:t>a</w:t>
      </w:r>
      <w:r>
        <w:rPr>
          <w:rFonts w:ascii="Arial" w:hAnsi="Arial" w:cs="Arial"/>
        </w:rPr>
        <w:t>).  Current U.S. TB treatment guidelines state</w:t>
      </w:r>
      <w:r w:rsidR="00D320D6">
        <w:rPr>
          <w:rFonts w:ascii="Arial" w:hAnsi="Arial" w:cs="Arial"/>
        </w:rPr>
        <w:t xml:space="preserve">, </w:t>
      </w:r>
      <w:r>
        <w:rPr>
          <w:rFonts w:ascii="Arial" w:hAnsi="Arial" w:cs="Arial"/>
        </w:rPr>
        <w:t xml:space="preserve">on the basis of clinical experience and program </w:t>
      </w:r>
      <w:r w:rsidR="00D320D6">
        <w:rPr>
          <w:rFonts w:ascii="Arial" w:hAnsi="Arial" w:cs="Arial"/>
        </w:rPr>
        <w:t>practicality,</w:t>
      </w:r>
      <w:r>
        <w:rPr>
          <w:rFonts w:ascii="Arial" w:hAnsi="Arial" w:cs="Arial"/>
        </w:rPr>
        <w:t xml:space="preserve"> that 5-days-a-week drug administration is an acceptable alternative to 7-days-a-week administration, and that either approach may be considered as meeting the definition of “daily” dosing</w:t>
      </w:r>
      <w:r w:rsidR="00FE4970">
        <w:rPr>
          <w:rFonts w:ascii="Arial" w:hAnsi="Arial" w:cs="Arial"/>
        </w:rPr>
        <w:t>.</w:t>
      </w:r>
      <w:r w:rsidR="00DC33A6">
        <w:rPr>
          <w:rFonts w:ascii="Arial" w:hAnsi="Arial" w:cs="Arial"/>
        </w:rPr>
        <w:fldChar w:fldCharType="begin" w:fldLock="1"/>
      </w:r>
      <w:r w:rsidR="00133F3B">
        <w:rPr>
          <w:rFonts w:ascii="Arial" w:hAnsi="Arial" w:cs="Arial"/>
        </w:rPr>
        <w:instrText>ADDIN CSL_CITATION { "citationItems" : [ { "id" : "ITEM-1", "itemData" : { "DOI" : "10.1093/cid/ciw376", "abstract" : "Organization also participated in the development of the guideline. This guideline provides recommendations on the clinical and public health management of tuberculosis in children and adults in settings in which mycobacterial cultures, molecular and phe-notypic drug susceptibility tests, and radiographic studies, among other diagnostic tools, are available on a routine basis. For all recommendations, literature reviews were performed, followed by discussion by an expert committee according to the Grading of Recommendations, Assessment, Development and Evaluation methodology. Given the public health implications of prompt diag-nosis and effective management of tuberculosis, empiric multidrug treatment is initiated in almost all situations in which active tuberculosis is suspected. Additional characteristics such as presence of comorbidities, severity of disease, and response to treatment influence management decisions. Specific recommendations on the use of case management strategies (including directly observed therapy), regimen and dosing selection in adults and children (daily vs intermittent), treatment of tuberculosis in the presence of HIV infection (duration of tuberculosis treatment and timing of initiation of antiretroviral therapy), as well as treatment of extrap-ulmonary disease (central nervous system, pericardial among other sites) are provided. The development of more potent and better-tolerated drug regimens, optimization of drug exposure for the component drugs, optimal management of tuberculosis in special populations, identification of accurate biomarkers of treatment effect, and the assessment of new strategies for implementing regi-mens in the field remain key priority areas for research. See the full-text online version of the document for detailed discussion of the management of tuberculosis and recommendations for practice. These guidelines were endorsed by the European Respiratory Society (ERS) and the US Na-tional Tuberculosis Controllers Association (NTCA). It is important to realize that guidelines can-not always account for individual variation among patients. They are not intended to supplant physician judgment with respect to particular patients or special clinical situations. The spon-soring and endorsing societies consider adherence to these guidelines to be voluntary, with the ultimate determination regarding their application to be made by the physician in the light of each patient's individual circumstances.", "author" : [ { "dropping-particle" : "", "family" : "Nahid", "given" : "Payam", "non-dropping-particle" : "", "parse-names" : false, "suffix" : "" }, { "dropping-particle" : "", "family" : "Dorman", "given" : "Susan E", "non-dropping-particle" : "", "parse-names" : false, "suffix" : "" }, { "dropping-particle" : "", "family" : "Alipanah", "given" : "Narges", "non-dropping-particle" : "", "parse-names" : false, "suffix" : "" }, { "dropping-particle" : "", "family" : "Barry", "given" : "Pennan M", "non-dropping-particle" : "", "parse-names" : false, "suffix" : "" }, { "dropping-particle" : "", "family" : "Brozek", "given" : "Jan L", "non-dropping-particle" : "", "parse-names" : false, "suffix" : "" }, { "dropping-particle" : "", "family" : "Cattamanchi", "given" : "Adithya", "non-dropping-particle" : "", "parse-names" : false, "suffix" : "" }, { "dropping-particle" : "", "family" : "Chaisson", "given" : "Lelia H", "non-dropping-particle" : "", "parse-names" : false, "suffix" : "" }, { "dropping-particle" : "", "family" : "Chaisson", "given" : "Richard E", "non-dropping-particle" : "", "parse-names" : false, "suffix" : "" }, { "dropping-particle" : "", "family" : "Daley", "given" : "Charles L", "non-dropping-particle" : "", "parse-names" : false, "suffix" : "" }, { "dropping-particle" : "", "family" : "Grzemska", "given" : "Malgosia", "non-dropping-particle" : "", "parse-names" : false, "suffix" : "" }, { "dropping-particle" : "", "family" : "Higashi", "given" : "Julie M", "non-dropping-particle" : "", "parse-names" : false, "suffix" : "" }, { "dropping-particle" : "", "family" : "Ho", "given" : "Christine S", "non-dropping-particle" : "", "parse-names" : false, "suffix" : "" }, { "dropping-particle" : "", "family" : "Hopewell", "given" : "Philip C", "non-dropping-particle" : "", "parse-names" : false, "suffix" : "" }, { "dropping-particle" : "", "family" : "Keshavjee", "given" : "Salmaan A", "non-dropping-particle" : "", "parse-names" : false, "suffix" : "" }, { "dropping-particle" : "", "family" : "Lienhardt", "given" : "Christian", "non-dropping-particle" : "", "parse-names" : false, "suffix" : "" }, { "dropping-particle" : "", "family" : "Menzies", "given" : "Richard", "non-dropping-particle" : "", "parse-names" : false, "suffix" : "" }, { "dropping-particle" : "", "family" : "Merrifield", "given" : "Cynthia", "non-dropping-particle" : "", "parse-names" : false, "suffix" : "" }, { "dropping-particle" : "", "family" : "Sotgiu", "given" : "Giovanni", "non-dropping-particle" : "", "parse-names" : false, "suffix" : "" }, { "dropping-particle" : "", "family" : "Starke", "given" : "Jeffrey R", "non-dropping-particle" : "", "parse-names" : false, "suffix" : "" }, { "dropping-particle" : "", "family" : "Migliori", "given" : "Giovanni Battista", "non-dropping-particle" : "", "parse-names" : false, "suffix" : "" }, { "dropping-particle" : "", "family" : "Vernon", "given" : "Andrew", "non-dropping-particle" : "", "parse-names" : false, "suffix" : "" }, { "dropping-particle" : "", "family" : "Nahid", "given" : "P", "non-dropping-particle" : "", "parse-names" : false, "suffix" : "" } ], "container-title" : "Clinical Infectious Diseases", "id" : "ITEM-1", "issue" : "7", "issued" : { "date-parts" : [ [ "2016" ] ] }, "page" : "e147-e195", "title" : "Official American Thoracic Society/Centers for Disease Control and Prevention/Infectious Diseases Society of America Clinical Practice Guidelines: Treatment of Drug-Susceptible Tuberculosis", "type" : "article-journal", "volume" : "63" }, "uris" : [ "http://www.mendeley.com/documents/?uuid=41541d6a-5b99-369c-a1f9-e103b5f2f169" ] } ], "mendeley" : { "formattedCitation" : "&lt;sup&gt;5&lt;/sup&gt;", "plainTextFormattedCitation" : "5", "previouslyFormattedCitation" : "&lt;sup&gt;5&lt;/sup&gt;" }, "properties" : {  }, "schema" : "https://github.com/citation-style-language/schema/raw/master/csl-citation.json" }</w:instrText>
      </w:r>
      <w:r w:rsidR="00DC33A6">
        <w:rPr>
          <w:rFonts w:ascii="Arial" w:hAnsi="Arial" w:cs="Arial"/>
        </w:rPr>
        <w:fldChar w:fldCharType="separate"/>
      </w:r>
      <w:r w:rsidR="00DC33A6" w:rsidRPr="00DC33A6">
        <w:rPr>
          <w:rFonts w:ascii="Arial" w:hAnsi="Arial" w:cs="Arial"/>
          <w:noProof/>
          <w:vertAlign w:val="superscript"/>
        </w:rPr>
        <w:t>5</w:t>
      </w:r>
      <w:r w:rsidR="00DC33A6">
        <w:rPr>
          <w:rFonts w:ascii="Arial" w:hAnsi="Arial" w:cs="Arial"/>
        </w:rPr>
        <w:fldChar w:fldCharType="end"/>
      </w:r>
      <w:r>
        <w:rPr>
          <w:rFonts w:ascii="Arial" w:hAnsi="Arial" w:cs="Arial"/>
        </w:rPr>
        <w:t xml:space="preserve"> Our findings suggest otherwise and provide data-driven evidence to support using 7 of 7 dosing</w:t>
      </w:r>
      <w:r w:rsidR="00FE4970">
        <w:rPr>
          <w:rFonts w:ascii="Arial" w:hAnsi="Arial" w:cs="Arial"/>
        </w:rPr>
        <w:t>.</w:t>
      </w:r>
      <w:r w:rsidR="00507929">
        <w:rPr>
          <w:rFonts w:ascii="Arial" w:hAnsi="Arial" w:cs="Arial"/>
        </w:rPr>
        <w:fldChar w:fldCharType="begin" w:fldLock="1"/>
      </w:r>
      <w:r w:rsidR="00282D2D">
        <w:rPr>
          <w:rFonts w:ascii="Arial" w:hAnsi="Arial" w:cs="Arial"/>
        </w:rPr>
        <w:instrText>ADDIN CSL_CITATION { "citationItems" : [ { "id" : "ITEM-1", "itemData" : { "DOI" : "10.1164/rccm.2409005", "ISSN" : "1073-449X", "author" : [ { "dropping-particle" : "", "family" : "Vernon", "given" : "Andrew A.", "non-dropping-particle" : "", "parse-names" : false, "suffix" : "" }, { "dropping-particle" : "", "family" : "Iademarco", "given" : "Michael F.", "non-dropping-particle" : "", "parse-names" : false, "suffix" : "" } ], "container-title" : "American Journal of Respiratory and Critical Care Medicine", "id" : "ITEM-1", "issue" : "10", "issued" : { "date-parts" : [ [ "2004", "11", "15" ] ] }, "page" : "1040-1042", "publisher" : "American Thoracic Society", "title" : "In the Treatment of Tuberculosis, You Get What You Pay for\u2026", "type" : "article-journal", "volume" : "170" }, "uris" : [ "http://www.mendeley.com/documents/?uuid=77b2cafb-fea2-3c81-bf37-24ee5826660f" ] }, { "id" : "ITEM-2", "itemData" : { "DOI" : "10.1164/rccm.200407-905OC", "ISSN" : "1073-449X", "abstract" : "This nested case\u2013control study aimed at evaluating treatment-related risk factors of relapse of tuberculosis under a service program of directly observed treatment. Out of 12,183 patients with pulmonary tuberculosis who completed treatment within 1 year, 113 relapsed within 30 months after commencement of therapy. The overall 30-month relapse rate was 0.9% (95% confidence interval [CI] 0.8\u20131.1%). On matching 113 cases with 226 control subjects in a conditional logistic model, thrice-weekly treatment increased the risk of relapse in comparison with daily treatment (odds ratio 3.92, 95% CI 1.78\u20138.63), whereas prolonging both intensive phase and overall treatment by 50% or more protected against relapse (odds ratio 0.24, 95% CI 0.08\u20130.70). When pretreatment culture was positive and cavitation was absent, the 30-month relapse rate for standard thrice-weekly regimen was 1.1% (95% CI 0.6\u20132.0%). The corresponding rates in the presence of cavitation were 7.8% (95% CI 4.0\u201314.6%) for standard thrice-weekly regimen;...", "author" : [ { "dropping-particle" : "", "family" : "Chang", "given" : "Kwok C.", "non-dropping-particle" : "", "parse-names" : false, "suffix" : "" }, { "dropping-particle" : "", "family" : "Leung", "given" : "Chi C.", "non-dropping-particle" : "", "parse-names" : false, "suffix" : "" }, { "dropping-particle" : "", "family" : "Yew", "given" : "Wing W.", "non-dropping-particle" : "", "parse-names" : false, "suffix" : "" }, { "dropping-particle" : "", "family" : "Ho", "given" : "Suzanne C.", "non-dropping-particle" : "", "parse-names" : false, "suffix" : "" }, { "dropping-particle" : "", "family" : "Tam", "given" : "Cheuk M.", "non-dropping-particle" : "", "parse-names" : false, "suffix" : "" } ], "container-title" : "American Journal of Respiratory and Critical Care Medicine", "id" : "ITEM-2", "issue" : "10", "issued" : { "date-parts" : [ [ "2004", "11", "15" ] ] }, "page" : "1124-1130", "publisher" : "American Thoracic Society", "title" : "A Nested Case\u2013Control Study on Treatment-related Risk Factors for Early Relapse of Tuberculosis", "type" : "article-journal", "volume" : "170" }, "uris" : [ "http://www.mendeley.com/documents/?uuid=6550093e-f44d-3b85-8498-da2ad8f4acff" ] } ], "mendeley" : { "formattedCitation" : "&lt;sup&gt;12,13&lt;/sup&gt;", "plainTextFormattedCitation" : "12,13", "previouslyFormattedCitation" : "&lt;sup&gt;12,13&lt;/sup&gt;" }, "properties" : {  }, "schema" : "https://github.com/citation-style-language/schema/raw/master/csl-citation.json" }</w:instrText>
      </w:r>
      <w:r w:rsidR="00507929">
        <w:rPr>
          <w:rFonts w:ascii="Arial" w:hAnsi="Arial" w:cs="Arial"/>
        </w:rPr>
        <w:fldChar w:fldCharType="separate"/>
      </w:r>
      <w:r w:rsidR="00282D2D" w:rsidRPr="00282D2D">
        <w:rPr>
          <w:rFonts w:ascii="Arial" w:hAnsi="Arial" w:cs="Arial"/>
          <w:noProof/>
          <w:vertAlign w:val="superscript"/>
        </w:rPr>
        <w:t>12,13</w:t>
      </w:r>
      <w:r w:rsidR="00507929">
        <w:rPr>
          <w:rFonts w:ascii="Arial" w:hAnsi="Arial" w:cs="Arial"/>
        </w:rPr>
        <w:fldChar w:fldCharType="end"/>
      </w:r>
      <w:r>
        <w:rPr>
          <w:rFonts w:ascii="Arial" w:hAnsi="Arial" w:cs="Arial"/>
        </w:rPr>
        <w:t xml:space="preserve"> The finding that the current </w:t>
      </w:r>
      <w:r w:rsidR="00282D2D">
        <w:rPr>
          <w:rFonts w:ascii="Arial" w:hAnsi="Arial" w:cs="Arial"/>
        </w:rPr>
        <w:t xml:space="preserve">rifampin-based </w:t>
      </w:r>
      <w:r>
        <w:rPr>
          <w:rFonts w:ascii="Arial" w:hAnsi="Arial" w:cs="Arial"/>
        </w:rPr>
        <w:t xml:space="preserve">regimen used worldwide has </w:t>
      </w:r>
      <w:r w:rsidR="00D320D6">
        <w:rPr>
          <w:rFonts w:ascii="Arial" w:hAnsi="Arial" w:cs="Arial"/>
        </w:rPr>
        <w:t>“</w:t>
      </w:r>
      <w:r>
        <w:rPr>
          <w:rFonts w:ascii="Arial" w:hAnsi="Arial" w:cs="Arial"/>
        </w:rPr>
        <w:t>low forgiveness</w:t>
      </w:r>
      <w:r w:rsidR="00D320D6">
        <w:rPr>
          <w:rFonts w:ascii="Arial" w:hAnsi="Arial" w:cs="Arial"/>
        </w:rPr>
        <w:t>”</w:t>
      </w:r>
      <w:r>
        <w:rPr>
          <w:rFonts w:ascii="Arial" w:hAnsi="Arial" w:cs="Arial"/>
        </w:rPr>
        <w:t xml:space="preserve"> for non-adherence or missed doses has important implications for TB care as well as for future design and conduct of clinical trials.  A regimen with excellent efficacy under rigorous clinical trial settings that is otherwise unforgiving of </w:t>
      </w:r>
      <w:r w:rsidR="003760C6">
        <w:rPr>
          <w:rFonts w:ascii="Arial" w:hAnsi="Arial" w:cs="Arial"/>
        </w:rPr>
        <w:t>missed doses</w:t>
      </w:r>
      <w:r>
        <w:rPr>
          <w:rFonts w:ascii="Arial" w:hAnsi="Arial" w:cs="Arial"/>
        </w:rPr>
        <w:t xml:space="preserve"> will fail in the field. New and improved adherence interventions for TB</w:t>
      </w:r>
      <w:r w:rsidR="005E32C5">
        <w:rPr>
          <w:rFonts w:ascii="Arial" w:hAnsi="Arial" w:cs="Arial"/>
        </w:rPr>
        <w:t xml:space="preserve"> </w:t>
      </w:r>
      <w:r>
        <w:rPr>
          <w:rFonts w:ascii="Arial" w:hAnsi="Arial" w:cs="Arial"/>
        </w:rPr>
        <w:t>have been introduced to facilitate treatment completion</w:t>
      </w:r>
      <w:r w:rsidR="00F35C7E">
        <w:rPr>
          <w:rFonts w:ascii="Arial" w:hAnsi="Arial" w:cs="Arial"/>
        </w:rPr>
        <w:fldChar w:fldCharType="begin" w:fldLock="1"/>
      </w:r>
      <w:r w:rsidR="00282D2D">
        <w:rPr>
          <w:rFonts w:ascii="Arial" w:hAnsi="Arial" w:cs="Arial"/>
        </w:rPr>
        <w:instrText>ADDIN CSL_CITATION { "citationItems" : [ { "id" : "ITEM-1", "itemData" : { "DOI" : "10.1183/13993003.01596-2017", "abstract" : "@ERSpublications Digital technologies are being used to support TB treatment adherence, but evidence for their impact needs to improve http://ow.ly/1riC30h6hu3 Cite this article as: Ngwatu BK, Nsengiyumva NP, Oxlade O, et al. The impact of digital health technologies on tuberculosis treatment: a systematic review. Eur Respir J 2018; 51: 1701596 [https://doi.org/ 10.1183/13993003.01596-2017]. ABSTRACT Digital technologies are increasingly harnessed to support treatment of persons with tuberculosis (TB). Since in-person directly observed treatment (DOT) can be resource intensive and challenging to implement, these technologies may have the potential to improve adherence and clinical outcomes. We reviewed the effect of these technologies on TB treatment adherence and patient outcomes. We searched several bibliographical databases for studies reporting the effect of digital interventions, including short message service (SMS), video-observed therapy (VOT) and medication monitors (MMs), to support treatment for active TB. Only studies with a control group and which reported effect estimates were included. Four trials showed no statistically significant effect on treatment completion when SMS was added to standard care. Two observational studies of VOT reported comparable treatment completion rates when compared with in-person DOT. MMs increased the probability of cure (RR 2.3, 95% CI 1.6\u20133.4) in one observational study, and one trial reported a statistically significant reduction in missed treatment doses relative to standard care (adjusted means ratio 0.58, 95% CI 0.42\u20130.79). Evidence of the effect of digital technologies to improve TB care remains limited. More studies of better quality are needed to determine how such technologies can enhance programme performance.", "author" : [ { "dropping-particle" : "", "family" : "Ngwatu", "given" : "Brian Kermu", "non-dropping-particle" : "", "parse-names" : false, "suffix" : "" }, { "dropping-particle" : "", "family" : "Nsengiyumva", "given" : "Ntwali Placide", "non-dropping-particle" : "", "parse-names" : false, "suffix" : "" }, { "dropping-particle" : "", "family" : "Oxlade", "given" : "Olivia", "non-dropping-particle" : "", "parse-names" : false, "suffix" : "" }, { "dropping-particle" : "", "family" : "Mappin-Kasirer", "given" : "Benjamin", "non-dropping-particle" : "", "parse-names" : false, "suffix" : "" }, { "dropping-particle" : "", "family" : "Nguyen", "given" : "Nhat Linh", "non-dropping-particle" : "", "parse-names" : false, "suffix" : "" }, { "dropping-particle" : "", "family" : "Jaramillo", "given" : "Ernesto", "non-dropping-particle" : "", "parse-names" : false, "suffix" : "" }, { "dropping-particle" : "", "family" : "Falzon", "given" : "Dennis", "non-dropping-particle" : "", "parse-names" : false, "suffix" : "" }, { "dropping-particle" : "", "family" : "Schwartzman", "given" : "Kevin", "non-dropping-particle" : "", "parse-names" : false, "suffix" : "" } ], "container-title" : "Eur Respir J", "id" : "ITEM-1", "issued" : { "date-parts" : [ [ "2018" ] ] }, "title" : "The impact of digital health technologies on tuberculosis treatment: a systematic review on behalf of the Collaborative group on the impact of digital technologies on TB", "type" : "article-journal", "volume" : "51" }, "uris" : [ "http://www.mendeley.com/documents/?uuid=25760cc2-18cc-3779-84b4-50dc1bdf7ca7" ] }, { "id" : "ITEM-2", "itemData" : { "DOI" : "10.9745/GHSP-D-16-00018", "ISSN" : "2169-575X", "PMID" : "27353615", "abstract" : "Promising mHealth approaches for TB treatment adherence include:\n\nTo mitigate ethical concerns, our framework considers accuracy of monitoring technologies, stigmatization and intrusiveness of the technologies, use of incentives, and the balance of individual and public good.\n\nAdherence to tuberculosis (TB) treatment is important for promoting individual and public health. Poor adherence results in more individual suffering and death as well as more costly treatment as treatment regimens lengthen and drug resistance develops. As resource allocation pressures intensify under the Sustainable Development Goals and the global push for universal health coverage,1 exploring novel ways of improving adherence is timely and important.\n\nMobile health (mHealth) holds considerable promise to improve quality and efficiency in health care.2 Yet its potential for TB adherence remains largely unexplored,3,4 and there is a lack of people-centered mHealth approaches responsive to the complexity of real life.5 Also lacking are ethical evaluations of mHealth interventions,6,7 particularly those considering the nuances of disease- and goal-specific interventions. Perceived and real acceptability cannot be taken for granted. The planning, implementation, and evaluation of mHealth interventions for TB treatment adherence must be guided by values as much as by technical innovation.\n\nmHealth interventions for TB treatment adherence must be guided by ethical values as much as by technical innovation.\n\nIn this article, we describe salient mHealth approaches to monitor and enhance TB treatment adherence, establish a framework for consideration of the central ethical issues, particularly when mHealth is paired with incentives, and outline a model to help guide the ethical planning, implementation, and evaluation of future mHealth interventions for adherence. In doing so, we highlight areas of ethical concern as well as opportunities for ethical improvement over direct \u2026", "author" : [ { "dropping-particle" : "", "family" : "DiStefano", "given" : "Michael J", "non-dropping-particle" : "", "parse-names" : false, "suffix" : "" }, { "dropping-particle" : "", "family" : "Schmidt", "given" : "Harald", "non-dropping-particle" : "", "parse-names" : false, "suffix" : "" } ], "container-title" : "Global Health: Science and Practice", "id" : "ITEM-2", "issue" : "2", "issued" : { "date-parts" : [ [ "2016", "6", "20" ] ] }, "page" : "211-221", "publisher" : "Global Health: Science and Practice", "title" : "mHealth for Tuberculosis Treatment Adherence: A Framework to Guide Ethical Planning, Implementation, and Evaluation", "type" : "article-journal", "volume" : "4" }, "uris" : [ "http://www.mendeley.com/documents/?uuid=dbfd4baf-c92a-367f-928f-6059aed25867" ] } ], "mendeley" : { "formattedCitation" : "&lt;sup&gt;14,15&lt;/sup&gt;", "plainTextFormattedCitation" : "14,15", "previouslyFormattedCitation" : "&lt;sup&gt;14,15&lt;/sup&gt;" }, "properties" : {  }, "schema" : "https://github.com/citation-style-language/schema/raw/master/csl-citation.json" }</w:instrText>
      </w:r>
      <w:r w:rsidR="00F35C7E">
        <w:rPr>
          <w:rFonts w:ascii="Arial" w:hAnsi="Arial" w:cs="Arial"/>
        </w:rPr>
        <w:fldChar w:fldCharType="separate"/>
      </w:r>
      <w:r w:rsidR="00282D2D" w:rsidRPr="00282D2D">
        <w:rPr>
          <w:rFonts w:ascii="Arial" w:hAnsi="Arial" w:cs="Arial"/>
          <w:noProof/>
          <w:vertAlign w:val="superscript"/>
        </w:rPr>
        <w:t>14,15</w:t>
      </w:r>
      <w:r w:rsidR="00F35C7E">
        <w:rPr>
          <w:rFonts w:ascii="Arial" w:hAnsi="Arial" w:cs="Arial"/>
        </w:rPr>
        <w:fldChar w:fldCharType="end"/>
      </w:r>
      <w:r>
        <w:rPr>
          <w:rFonts w:ascii="Arial" w:hAnsi="Arial" w:cs="Arial"/>
        </w:rPr>
        <w:t xml:space="preserve">, however, such tools </w:t>
      </w:r>
      <w:r w:rsidR="005E32C5">
        <w:rPr>
          <w:rFonts w:ascii="Arial" w:hAnsi="Arial" w:cs="Arial"/>
        </w:rPr>
        <w:t>can be</w:t>
      </w:r>
      <w:r>
        <w:rPr>
          <w:rFonts w:ascii="Arial" w:hAnsi="Arial" w:cs="Arial"/>
        </w:rPr>
        <w:t xml:space="preserve"> limited by issues of scale-up, generalizability and cost.  A more durable </w:t>
      </w:r>
      <w:r w:rsidR="005E32C5">
        <w:rPr>
          <w:rFonts w:ascii="Arial" w:hAnsi="Arial" w:cs="Arial"/>
        </w:rPr>
        <w:t xml:space="preserve">and patient-centered </w:t>
      </w:r>
      <w:r>
        <w:rPr>
          <w:rFonts w:ascii="Arial" w:hAnsi="Arial" w:cs="Arial"/>
        </w:rPr>
        <w:t xml:space="preserve">solution is the targeted development of regimens </w:t>
      </w:r>
      <w:r w:rsidR="003760C6">
        <w:rPr>
          <w:rFonts w:ascii="Arial" w:hAnsi="Arial" w:cs="Arial"/>
        </w:rPr>
        <w:t xml:space="preserve">comprised </w:t>
      </w:r>
      <w:r>
        <w:rPr>
          <w:rFonts w:ascii="Arial" w:hAnsi="Arial" w:cs="Arial"/>
        </w:rPr>
        <w:t xml:space="preserve">of drugs with long half-lives and steady pharmacokinetic profiles that will accommodate less than perfect adherence patterns in </w:t>
      </w:r>
      <w:r w:rsidR="00D320D6">
        <w:rPr>
          <w:rFonts w:ascii="Arial" w:hAnsi="Arial" w:cs="Arial"/>
        </w:rPr>
        <w:t>the field</w:t>
      </w:r>
      <w:r>
        <w:rPr>
          <w:rFonts w:ascii="Arial" w:hAnsi="Arial" w:cs="Arial"/>
        </w:rPr>
        <w:t>, without penalty to the efficacy of the regimen. Our findings</w:t>
      </w:r>
      <w:r w:rsidR="003B02B6">
        <w:rPr>
          <w:rFonts w:ascii="Arial" w:hAnsi="Arial" w:cs="Arial"/>
        </w:rPr>
        <w:t xml:space="preserve"> </w:t>
      </w:r>
      <w:r w:rsidR="00282D2D">
        <w:rPr>
          <w:rFonts w:ascii="Arial" w:hAnsi="Arial" w:cs="Arial"/>
        </w:rPr>
        <w:t xml:space="preserve">in this regard </w:t>
      </w:r>
      <w:r>
        <w:rPr>
          <w:rFonts w:ascii="Arial" w:hAnsi="Arial" w:cs="Arial"/>
        </w:rPr>
        <w:t xml:space="preserve">highlight the </w:t>
      </w:r>
      <w:r w:rsidR="00282D2D">
        <w:rPr>
          <w:rFonts w:ascii="Arial" w:hAnsi="Arial" w:cs="Arial"/>
        </w:rPr>
        <w:lastRenderedPageBreak/>
        <w:t xml:space="preserve">critical value of additionally </w:t>
      </w:r>
      <w:r w:rsidR="005E32C5">
        <w:rPr>
          <w:rFonts w:ascii="Arial" w:hAnsi="Arial" w:cs="Arial"/>
        </w:rPr>
        <w:t xml:space="preserve">conducting </w:t>
      </w:r>
      <w:r>
        <w:rPr>
          <w:rFonts w:ascii="Arial" w:hAnsi="Arial" w:cs="Arial"/>
        </w:rPr>
        <w:t>pragmatic clinical trial</w:t>
      </w:r>
      <w:r w:rsidR="003B02B6">
        <w:rPr>
          <w:rFonts w:ascii="Arial" w:hAnsi="Arial" w:cs="Arial"/>
        </w:rPr>
        <w:t xml:space="preserve">s that </w:t>
      </w:r>
      <w:r>
        <w:rPr>
          <w:rFonts w:ascii="Arial" w:hAnsi="Arial" w:cs="Arial"/>
        </w:rPr>
        <w:t xml:space="preserve">assess the effectiveness and robustness of regimens under programmatic conditions.  </w:t>
      </w:r>
    </w:p>
    <w:p w14:paraId="057D6001" w14:textId="77777777" w:rsidR="00101E45" w:rsidRDefault="00101E45" w:rsidP="00804CE5">
      <w:pPr>
        <w:spacing w:line="480" w:lineRule="auto"/>
        <w:rPr>
          <w:rFonts w:ascii="Arial" w:hAnsi="Arial" w:cs="Arial"/>
        </w:rPr>
      </w:pPr>
    </w:p>
    <w:p w14:paraId="35D8AC21" w14:textId="69A25739" w:rsidR="00101E45" w:rsidRPr="00FD0033" w:rsidRDefault="00282D2D" w:rsidP="00804CE5">
      <w:pPr>
        <w:spacing w:line="480" w:lineRule="auto"/>
        <w:rPr>
          <w:rFonts w:ascii="Arial" w:hAnsi="Arial"/>
        </w:rPr>
      </w:pPr>
      <w:r>
        <w:rPr>
          <w:rFonts w:ascii="Arial" w:hAnsi="Arial" w:cs="Arial"/>
        </w:rPr>
        <w:t>In this study, w</w:t>
      </w:r>
      <w:r w:rsidR="003760C6">
        <w:rPr>
          <w:rFonts w:ascii="Arial" w:hAnsi="Arial" w:cs="Arial"/>
        </w:rPr>
        <w:t xml:space="preserve">e </w:t>
      </w:r>
      <w:r w:rsidR="00101E45">
        <w:rPr>
          <w:rFonts w:ascii="Arial" w:hAnsi="Arial" w:cs="Arial"/>
        </w:rPr>
        <w:t xml:space="preserve">found that the 4-month fluoroquinolone containing regimens </w:t>
      </w:r>
      <w:r w:rsidR="003760C6">
        <w:rPr>
          <w:rFonts w:ascii="Arial" w:hAnsi="Arial" w:cs="Arial"/>
        </w:rPr>
        <w:t xml:space="preserve">met the margin for </w:t>
      </w:r>
      <w:r w:rsidR="00101E45">
        <w:rPr>
          <w:rFonts w:ascii="Arial" w:hAnsi="Arial" w:cs="Arial"/>
        </w:rPr>
        <w:t>non-inferior</w:t>
      </w:r>
      <w:r w:rsidR="003760C6">
        <w:rPr>
          <w:rFonts w:ascii="Arial" w:hAnsi="Arial" w:cs="Arial"/>
        </w:rPr>
        <w:t xml:space="preserve">ity </w:t>
      </w:r>
      <w:r w:rsidR="00101E45">
        <w:rPr>
          <w:rFonts w:ascii="Arial" w:hAnsi="Arial" w:cs="Arial"/>
        </w:rPr>
        <w:t xml:space="preserve">in participants with a baseline smear negative or 1+ grade </w:t>
      </w:r>
      <w:r w:rsidR="0088662B">
        <w:rPr>
          <w:rFonts w:ascii="Arial" w:hAnsi="Arial" w:cs="Arial"/>
        </w:rPr>
        <w:t>or</w:t>
      </w:r>
      <w:r w:rsidR="00101E45">
        <w:rPr>
          <w:rFonts w:ascii="Arial" w:hAnsi="Arial" w:cs="Arial"/>
        </w:rPr>
        <w:t xml:space="preserve"> non-cavitary disease. Conversely, we found that a hard-to-treat phenotype of TB defined by high smear grades and cavitation on baseline chest radiograph </w:t>
      </w:r>
      <w:r w:rsidR="002E5254">
        <w:rPr>
          <w:rFonts w:ascii="Arial" w:hAnsi="Arial" w:cs="Arial"/>
        </w:rPr>
        <w:t xml:space="preserve">was associated with </w:t>
      </w:r>
      <w:r w:rsidR="00101E45">
        <w:rPr>
          <w:rFonts w:ascii="Arial" w:hAnsi="Arial" w:cs="Arial"/>
        </w:rPr>
        <w:t xml:space="preserve">unfavorable outcomes. </w:t>
      </w:r>
      <w:r w:rsidR="0089099F">
        <w:rPr>
          <w:rFonts w:ascii="Arial" w:hAnsi="Arial" w:cs="Arial"/>
        </w:rPr>
        <w:t>R</w:t>
      </w:r>
      <w:r w:rsidR="00101E45">
        <w:rPr>
          <w:rFonts w:ascii="Arial" w:hAnsi="Arial" w:cs="Arial"/>
        </w:rPr>
        <w:t>andomized trials</w:t>
      </w:r>
      <w:r w:rsidR="0038424F">
        <w:rPr>
          <w:rFonts w:ascii="Arial" w:hAnsi="Arial" w:cs="Arial"/>
        </w:rPr>
        <w:t xml:space="preserve"> conducted by the </w:t>
      </w:r>
      <w:r w:rsidR="0038424F" w:rsidRPr="0038424F">
        <w:rPr>
          <w:rFonts w:ascii="Arial" w:hAnsi="Arial" w:cs="Arial"/>
        </w:rPr>
        <w:t>British Medical Research Council</w:t>
      </w:r>
      <w:r w:rsidR="00A03C9A">
        <w:rPr>
          <w:rFonts w:ascii="Arial" w:hAnsi="Arial" w:cs="Arial"/>
        </w:rPr>
        <w:t xml:space="preserve"> largely in the pre-HIV era</w:t>
      </w:r>
      <w:r w:rsidR="00101E45">
        <w:rPr>
          <w:rFonts w:ascii="Arial" w:hAnsi="Arial" w:cs="Arial"/>
        </w:rPr>
        <w:t xml:space="preserve"> have previously illustrated that the majority of patients do not need six months of standard therapy</w:t>
      </w:r>
      <w:r w:rsidR="00FE4970">
        <w:rPr>
          <w:rFonts w:ascii="Arial" w:hAnsi="Arial" w:cs="Arial"/>
        </w:rPr>
        <w:t>.</w:t>
      </w:r>
      <w:r w:rsidR="00101E45">
        <w:rPr>
          <w:rFonts w:ascii="Arial" w:hAnsi="Arial"/>
        </w:rPr>
        <w:fldChar w:fldCharType="begin" w:fldLock="1"/>
      </w:r>
      <w:r>
        <w:rPr>
          <w:rFonts w:ascii="Arial" w:hAnsi="Arial" w:cs="Arial"/>
        </w:rPr>
        <w:instrText>ADDIN CSL_CITATION { "citationItems" : [ { "id" : "ITEM-1", "itemData" : { "ISSN" : "1027-3719", "PMID" : "10529902", "author" : [ { "dropping-particle" : "", "family" : "Fox", "given" : "W", "non-dropping-particle" : "", "parse-names" : false, "suffix" : "" }, { "dropping-particle" : "", "family" : "Ellard", "given" : "G A", "non-dropping-particle" : "", "parse-names" : false, "suffix" : "" }, { "dropping-particle" : "", "family" : "Mitchison", "given" : "D A", "non-dropping-particle" : "", "parse-names" : false, "suffix" : "" } ], "container-title" : "The international journal of tuberculosis and lung disease : the official journal of the International Union against Tuberculosis and Lung Disease", "id" : "ITEM-1", "issue" : "10 Suppl 2", "issued" : { "date-parts" : [ [ "1999", "10" ] ] }, "page" : "S231-79", "title" : "Studies on the treatment of tuberculosis undertaken by the British Medical Research Council tuberculosis units, 1946-1986, with relevant subsequent publications.", "type" : "article-journal", "volume" : "3" }, "uris" : [ "http://www.mendeley.com/documents/?uuid=60e44687-02b9-3ccc-aa21-97868e2e0ddd" ] }, { "id" : "ITEM-2", "itemData" : { "DOI" : "10.1016/0007-0971(81)90022-X", "ISSN" : "0007-0971", "PMID" : "7030377", "author" : [ { "dropping-particle" : "", "family" : "Fox", "given" : "W", "non-dropping-particle" : "", "parse-names" : false, "suffix" : "" } ], "container-title" : "British journal of diseases of the chest", "id" : "ITEM-2", "issue" : "4", "issued" : { "date-parts" : [ [ "1981", "10", "1" ] ] }, "page" : "331-57", "publisher" : "Elsevier", "title" : "Whither short-course chemotherapy?", "type" : "article-journal", "volume" : "75" }, "uris" : [ "http://www.mendeley.com/documents/?uuid=145e6804-7447-3b02-8a5c-5d67973ea11f" ] } ], "mendeley" : { "formattedCitation" : "&lt;sup&gt;16,17&lt;/sup&gt;", "plainTextFormattedCitation" : "16,17", "previouslyFormattedCitation" : "&lt;sup&gt;16,17&lt;/sup&gt;" }, "properties" : {  }, "schema" : "https://github.com/citation-style-language/schema/raw/master/csl-citation.json" }</w:instrText>
      </w:r>
      <w:r w:rsidR="00101E45">
        <w:rPr>
          <w:rFonts w:ascii="Arial" w:hAnsi="Arial" w:cs="Arial"/>
        </w:rPr>
        <w:fldChar w:fldCharType="separate"/>
      </w:r>
      <w:r w:rsidRPr="00282D2D">
        <w:rPr>
          <w:rFonts w:ascii="Arial" w:hAnsi="Arial" w:cs="Arial"/>
          <w:noProof/>
          <w:vertAlign w:val="superscript"/>
        </w:rPr>
        <w:t>16,17</w:t>
      </w:r>
      <w:r w:rsidR="00101E45">
        <w:rPr>
          <w:rFonts w:ascii="Arial" w:hAnsi="Arial" w:cs="Arial"/>
        </w:rPr>
        <w:fldChar w:fldCharType="end"/>
      </w:r>
      <w:r w:rsidR="00101E45">
        <w:rPr>
          <w:rFonts w:ascii="Arial" w:hAnsi="Arial" w:cs="Arial"/>
        </w:rPr>
        <w:t xml:space="preserve"> Our analyses support this position and suggest that the current “one-size-fits-all” model of care leads to under-treatment of patients with severe forms of disease, and unnecessarily long treatment</w:t>
      </w:r>
      <w:r w:rsidR="00101E45" w:rsidRPr="00E35555">
        <w:rPr>
          <w:rFonts w:ascii="Arial" w:hAnsi="Arial" w:cs="Arial"/>
        </w:rPr>
        <w:t xml:space="preserve"> </w:t>
      </w:r>
      <w:r w:rsidR="00101E45">
        <w:rPr>
          <w:rFonts w:ascii="Arial" w:hAnsi="Arial" w:cs="Arial"/>
        </w:rPr>
        <w:t>(with unjustified risk of drug toxicity) for many patients with less extensive disease.   We believe our results provide justification to evaluate a stratified approach to TB therapeutics.  Using baseline markers to determine the optimal</w:t>
      </w:r>
      <w:r w:rsidR="00101E45" w:rsidRPr="00E35555">
        <w:rPr>
          <w:rFonts w:ascii="Arial" w:hAnsi="Arial" w:cs="Arial"/>
        </w:rPr>
        <w:t xml:space="preserve"> strat</w:t>
      </w:r>
      <w:r w:rsidR="00101E45">
        <w:rPr>
          <w:rFonts w:ascii="Arial" w:hAnsi="Arial" w:cs="Arial"/>
        </w:rPr>
        <w:t xml:space="preserve">um for a given patient, with decisions for treatment extension further enhanced by use of on-treatment measures of adherence and clinical, microbiologic and radiographic markers, the feasibility of achieving cure in </w:t>
      </w:r>
      <w:r w:rsidR="00101E45" w:rsidRPr="00F310E5">
        <w:rPr>
          <w:rFonts w:ascii="Arial" w:hAnsi="Arial"/>
        </w:rPr>
        <w:t>all</w:t>
      </w:r>
      <w:r w:rsidR="00101E45">
        <w:rPr>
          <w:rFonts w:ascii="Arial" w:hAnsi="Arial" w:cs="Arial"/>
        </w:rPr>
        <w:t xml:space="preserve"> patients with TB, rather than a majority, is enhanced. Pursuit of the highest possible cure rates in TB is an important public health priority, and perhaps more important than treatment shortening, as suggested by recent modelling work that shows increases in treatment efficacy will have the greatest impact on reducing mortality and burden of disease worldwide.</w:t>
      </w:r>
      <w:r w:rsidR="00101E45">
        <w:rPr>
          <w:rFonts w:ascii="Arial" w:hAnsi="Arial"/>
        </w:rPr>
        <w:fldChar w:fldCharType="begin" w:fldLock="1"/>
      </w:r>
      <w:r>
        <w:rPr>
          <w:rFonts w:ascii="Arial" w:hAnsi="Arial" w:cs="Arial"/>
        </w:rPr>
        <w:instrText>ADDIN CSL_CITATION { "citationItems" : [ { "id" : "ITEM-1", "itemData" : { "DOI" : "10.1371/journal.pmed.1002202", "ISSN" : "1549-1676", "author" : [ { "dropping-particle" : "", "family" : "Kendall", "given" : "Emily A.", "non-dropping-particle" : "", "parse-names" : false, "suffix" : "" }, { "dropping-particle" : "", "family" : "Shrestha", "given" : "Sourya", "non-dropping-particle" : "", "parse-names" : false, "suffix" : "" }, { "dropping-particle" : "", "family" : "Cohen", "given" : "Ted", "non-dropping-particle" : "", "parse-names" : false, "suffix" : "" }, { "dropping-particle" : "", "family" : "Nuermberger", "given" : "Eric", "non-dropping-particle" : "", "parse-names" : false, "suffix" : "" }, { "dropping-particle" : "", "family" : "Dooley", "given" : "Kelly E.", "non-dropping-particle" : "", "parse-names" : false, "suffix" : "" }, { "dropping-particle" : "", "family" : "Gonzalez-Angulo", "given" : "Lice", "non-dropping-particle" : "", "parse-names" : false, "suffix" : "" }, { "dropping-particle" : "", "family" : "Churchyard", "given" : "Gavin J.", "non-dropping-particle" : "", "parse-names" : false, "suffix" : "" }, { "dropping-particle" : "", "family" : "Nahid", "given" : "Payam", "non-dropping-particle" : "", "parse-names" : false, "suffix" : "" }, { "dropping-particle" : "", "family" : "Rich", "given" : "Michael L.", "non-dropping-particle" : "", "parse-names" : false, "suffix" : "" }, { "dropping-particle" : "", "family" : "Bansbach", "given" : "Cathy", "non-dropping-particle" : "", "parse-names" : false, "suffix" : "" }, { "dropping-particle" : "", "family" : "Forissier", "given" : "Thomas", "non-dropping-particle" : "", "parse-names" : false, "suffix" : "" }, { "dropping-particle" : "", "family" : "Lienhardt", "given" : "Christian", "non-dropping-particle" : "", "parse-names" : false, "suffix" : "" }, { "dropping-particle" : "", "family" : "Dowdy", "given" : "David W.", "non-dropping-particle" : "", "parse-names" : false, "suffix" : "" } ], "container-title" : "PLOS Medicine", "editor" : [ { "dropping-particle" : "", "family" : "Kranzer", "given" : "Katharina", "non-dropping-particle" : "", "parse-names" : false, "suffix" : "" } ], "id" : "ITEM-1", "issue" : "1", "issued" : { "date-parts" : [ [ "2017", "1", "3" ] ] }, "page" : "e1002202", "publisher" : "Public Library of Science", "title" : "Priority-Setting for Novel Drug Regimens to Treat Tuberculosis: An Epidemiologic Model", "type" : "article-journal", "volume" : "14" }, "uris" : [ "http://www.mendeley.com/documents/?uuid=83517f58-78d5-33c7-a3a5-80c4f2d5bea7" ] } ], "mendeley" : { "formattedCitation" : "&lt;sup&gt;18&lt;/sup&gt;", "plainTextFormattedCitation" : "18", "previouslyFormattedCitation" : "&lt;sup&gt;18&lt;/sup&gt;" }, "properties" : {  }, "schema" : "https://github.com/citation-style-language/schema/raw/master/csl-citation.json" }</w:instrText>
      </w:r>
      <w:r w:rsidR="00101E45">
        <w:rPr>
          <w:rFonts w:ascii="Arial" w:hAnsi="Arial" w:cs="Arial"/>
        </w:rPr>
        <w:fldChar w:fldCharType="separate"/>
      </w:r>
      <w:r w:rsidRPr="00282D2D">
        <w:rPr>
          <w:rFonts w:ascii="Arial" w:hAnsi="Arial" w:cs="Arial"/>
          <w:noProof/>
          <w:vertAlign w:val="superscript"/>
        </w:rPr>
        <w:t>18</w:t>
      </w:r>
      <w:r w:rsidR="00101E45">
        <w:rPr>
          <w:rFonts w:ascii="Arial" w:hAnsi="Arial" w:cs="Arial"/>
        </w:rPr>
        <w:fldChar w:fldCharType="end"/>
      </w:r>
      <w:r w:rsidR="00101E45">
        <w:rPr>
          <w:rFonts w:ascii="Arial" w:hAnsi="Arial" w:cs="Arial"/>
        </w:rPr>
        <w:t xml:space="preserve"> </w:t>
      </w:r>
      <w:r w:rsidR="00BA5638">
        <w:rPr>
          <w:rFonts w:ascii="Arial" w:hAnsi="Arial" w:cs="Arial"/>
        </w:rPr>
        <w:t xml:space="preserve">The </w:t>
      </w:r>
      <w:r w:rsidR="00BA5638" w:rsidRPr="00BA5638">
        <w:rPr>
          <w:rFonts w:ascii="Arial" w:hAnsi="Arial" w:cs="Arial"/>
        </w:rPr>
        <w:t>tools</w:t>
      </w:r>
      <w:r w:rsidR="00BA5638">
        <w:rPr>
          <w:rFonts w:ascii="Arial" w:hAnsi="Arial" w:cs="Arial"/>
        </w:rPr>
        <w:t xml:space="preserve"> necessary for using stratified medicine approaches to TB care at the </w:t>
      </w:r>
      <w:proofErr w:type="spellStart"/>
      <w:r w:rsidR="00BA5638">
        <w:rPr>
          <w:rFonts w:ascii="Arial" w:hAnsi="Arial" w:cs="Arial"/>
        </w:rPr>
        <w:t>programme</w:t>
      </w:r>
      <w:proofErr w:type="spellEnd"/>
      <w:r w:rsidR="00BA5638">
        <w:rPr>
          <w:rFonts w:ascii="Arial" w:hAnsi="Arial" w:cs="Arial"/>
        </w:rPr>
        <w:t xml:space="preserve"> level are already in use</w:t>
      </w:r>
      <w:r w:rsidR="00E640FC">
        <w:rPr>
          <w:rFonts w:ascii="Arial" w:hAnsi="Arial" w:cs="Arial"/>
        </w:rPr>
        <w:t xml:space="preserve"> in many settings</w:t>
      </w:r>
      <w:r w:rsidR="00BA5638">
        <w:rPr>
          <w:rFonts w:ascii="Arial" w:hAnsi="Arial" w:cs="Arial"/>
        </w:rPr>
        <w:t>, including HIV testing, CD4 cell counts for HIV-positive patients, chest radiography, smear microscopy</w:t>
      </w:r>
      <w:r w:rsidR="00685DC5">
        <w:rPr>
          <w:rFonts w:ascii="Arial" w:hAnsi="Arial" w:cs="Arial"/>
        </w:rPr>
        <w:t>,</w:t>
      </w:r>
      <w:r w:rsidR="00BA5638">
        <w:rPr>
          <w:rFonts w:ascii="Arial" w:hAnsi="Arial" w:cs="Arial"/>
        </w:rPr>
        <w:t xml:space="preserve"> and scales for </w:t>
      </w:r>
      <w:r w:rsidR="00685DC5">
        <w:rPr>
          <w:rFonts w:ascii="Arial" w:hAnsi="Arial" w:cs="Arial"/>
        </w:rPr>
        <w:t xml:space="preserve">measuring </w:t>
      </w:r>
      <w:r w:rsidR="00BA5638">
        <w:rPr>
          <w:rFonts w:ascii="Arial" w:hAnsi="Arial" w:cs="Arial"/>
        </w:rPr>
        <w:t>height and weight</w:t>
      </w:r>
      <w:r w:rsidR="00685DC5">
        <w:rPr>
          <w:rFonts w:ascii="Arial" w:hAnsi="Arial" w:cs="Arial"/>
        </w:rPr>
        <w:t xml:space="preserve"> for calculation of BMI</w:t>
      </w:r>
      <w:r w:rsidR="00BA5638">
        <w:rPr>
          <w:rFonts w:ascii="Arial" w:hAnsi="Arial" w:cs="Arial"/>
        </w:rPr>
        <w:t xml:space="preserve">. </w:t>
      </w:r>
      <w:r w:rsidR="00BD1E7C">
        <w:rPr>
          <w:rFonts w:ascii="Arial" w:hAnsi="Arial" w:cs="Arial"/>
        </w:rPr>
        <w:t xml:space="preserve">Future trials that test stratified medicine approaches to TB care should also evaluate newer tools (e.g., GeneXpert cycle threshold), which in turn would allow for </w:t>
      </w:r>
      <w:r w:rsidR="00BD1E7C" w:rsidRPr="00BD1E7C">
        <w:rPr>
          <w:rFonts w:ascii="Arial" w:hAnsi="Arial" w:cs="Arial"/>
        </w:rPr>
        <w:t xml:space="preserve">algorithms for selecting duration </w:t>
      </w:r>
      <w:r w:rsidR="00BD1E7C">
        <w:rPr>
          <w:rFonts w:ascii="Arial" w:hAnsi="Arial" w:cs="Arial"/>
        </w:rPr>
        <w:t xml:space="preserve">to </w:t>
      </w:r>
      <w:r w:rsidR="00E9528E">
        <w:rPr>
          <w:rFonts w:ascii="Arial" w:hAnsi="Arial" w:cs="Arial"/>
        </w:rPr>
        <w:t xml:space="preserve">be </w:t>
      </w:r>
      <w:r w:rsidR="00E640FC">
        <w:rPr>
          <w:rFonts w:ascii="Arial" w:hAnsi="Arial" w:cs="Arial"/>
        </w:rPr>
        <w:t xml:space="preserve">further </w:t>
      </w:r>
      <w:r w:rsidR="00E9528E">
        <w:rPr>
          <w:rFonts w:ascii="Arial" w:hAnsi="Arial" w:cs="Arial"/>
        </w:rPr>
        <w:t xml:space="preserve">refined, </w:t>
      </w:r>
      <w:r w:rsidR="00BD1E7C">
        <w:rPr>
          <w:rFonts w:ascii="Arial" w:hAnsi="Arial" w:cs="Arial"/>
        </w:rPr>
        <w:t>offer</w:t>
      </w:r>
      <w:r w:rsidR="00E9528E">
        <w:rPr>
          <w:rFonts w:ascii="Arial" w:hAnsi="Arial" w:cs="Arial"/>
        </w:rPr>
        <w:t>ing</w:t>
      </w:r>
      <w:r w:rsidR="00BD1E7C">
        <w:rPr>
          <w:rFonts w:ascii="Arial" w:hAnsi="Arial" w:cs="Arial"/>
        </w:rPr>
        <w:t xml:space="preserve"> additional characteristics and options for determining risk. </w:t>
      </w:r>
      <w:r w:rsidR="00BA5638">
        <w:rPr>
          <w:rFonts w:ascii="Arial" w:hAnsi="Arial" w:cs="Arial"/>
        </w:rPr>
        <w:t xml:space="preserve">Nonetheless, some </w:t>
      </w:r>
      <w:r w:rsidR="00BD1E7C">
        <w:rPr>
          <w:rFonts w:ascii="Arial" w:hAnsi="Arial" w:cs="Arial"/>
        </w:rPr>
        <w:t>patients</w:t>
      </w:r>
      <w:r w:rsidR="00BA5638">
        <w:rPr>
          <w:rFonts w:ascii="Arial" w:hAnsi="Arial" w:cs="Arial"/>
        </w:rPr>
        <w:t xml:space="preserve"> will have limited </w:t>
      </w:r>
      <w:r w:rsidR="00BD1E7C">
        <w:rPr>
          <w:rFonts w:ascii="Arial" w:hAnsi="Arial" w:cs="Arial"/>
        </w:rPr>
        <w:t xml:space="preserve">access to </w:t>
      </w:r>
      <w:r w:rsidR="00E640FC">
        <w:rPr>
          <w:rFonts w:ascii="Arial" w:hAnsi="Arial" w:cs="Arial"/>
        </w:rPr>
        <w:t>these</w:t>
      </w:r>
      <w:r w:rsidR="00BD1E7C">
        <w:rPr>
          <w:rFonts w:ascii="Arial" w:hAnsi="Arial" w:cs="Arial"/>
        </w:rPr>
        <w:t xml:space="preserve"> </w:t>
      </w:r>
      <w:r w:rsidR="00BA5638">
        <w:rPr>
          <w:rFonts w:ascii="Arial" w:hAnsi="Arial" w:cs="Arial"/>
        </w:rPr>
        <w:t>diagnostics</w:t>
      </w:r>
      <w:r w:rsidR="000F627F">
        <w:rPr>
          <w:rFonts w:ascii="Arial" w:hAnsi="Arial" w:cs="Arial"/>
        </w:rPr>
        <w:t xml:space="preserve"> and </w:t>
      </w:r>
      <w:r w:rsidR="00E640FC">
        <w:rPr>
          <w:rFonts w:ascii="Arial" w:hAnsi="Arial" w:cs="Arial"/>
        </w:rPr>
        <w:t xml:space="preserve">in such settings, </w:t>
      </w:r>
      <w:r w:rsidR="00D335CF">
        <w:rPr>
          <w:rFonts w:ascii="Arial" w:hAnsi="Arial" w:cs="Arial"/>
        </w:rPr>
        <w:t xml:space="preserve">either a simpler </w:t>
      </w:r>
      <w:proofErr w:type="spellStart"/>
      <w:r w:rsidR="00D335CF">
        <w:rPr>
          <w:rFonts w:ascii="Arial" w:hAnsi="Arial" w:cs="Arial"/>
        </w:rPr>
        <w:lastRenderedPageBreak/>
        <w:t>straitification</w:t>
      </w:r>
      <w:proofErr w:type="spellEnd"/>
      <w:r w:rsidR="00D335CF">
        <w:rPr>
          <w:rFonts w:ascii="Arial" w:hAnsi="Arial" w:cs="Arial"/>
        </w:rPr>
        <w:t xml:space="preserve"> algorithm</w:t>
      </w:r>
      <w:r w:rsidR="00EF0E45">
        <w:rPr>
          <w:rFonts w:ascii="Arial" w:hAnsi="Arial" w:cs="Arial"/>
        </w:rPr>
        <w:t xml:space="preserve"> can be developed</w:t>
      </w:r>
      <w:r w:rsidR="00D335CF">
        <w:rPr>
          <w:rFonts w:ascii="Arial" w:hAnsi="Arial" w:cs="Arial"/>
        </w:rPr>
        <w:t xml:space="preserve"> (</w:t>
      </w:r>
      <w:r w:rsidR="00E640FC">
        <w:rPr>
          <w:rFonts w:ascii="Arial" w:hAnsi="Arial" w:cs="Arial"/>
        </w:rPr>
        <w:t xml:space="preserve">for example, </w:t>
      </w:r>
      <w:r w:rsidR="00D335CF">
        <w:rPr>
          <w:rFonts w:ascii="Arial" w:hAnsi="Arial" w:cs="Arial"/>
        </w:rPr>
        <w:t xml:space="preserve">smear </w:t>
      </w:r>
      <w:r w:rsidR="00E640FC">
        <w:rPr>
          <w:rFonts w:ascii="Arial" w:hAnsi="Arial" w:cs="Arial"/>
        </w:rPr>
        <w:t xml:space="preserve">grade </w:t>
      </w:r>
      <w:r w:rsidR="00D335CF">
        <w:rPr>
          <w:rFonts w:ascii="Arial" w:hAnsi="Arial" w:cs="Arial"/>
        </w:rPr>
        <w:t>and BMI,</w:t>
      </w:r>
      <w:r w:rsidR="00E640FC">
        <w:rPr>
          <w:rFonts w:ascii="Arial" w:hAnsi="Arial" w:cs="Arial"/>
        </w:rPr>
        <w:t xml:space="preserve"> as shown in </w:t>
      </w:r>
      <w:r w:rsidR="00A03C9A">
        <w:rPr>
          <w:rFonts w:ascii="Arial" w:hAnsi="Arial" w:cs="Arial"/>
        </w:rPr>
        <w:t xml:space="preserve">Figure </w:t>
      </w:r>
      <w:r w:rsidR="00A33E49">
        <w:rPr>
          <w:rFonts w:ascii="Arial" w:hAnsi="Arial" w:cs="Arial"/>
        </w:rPr>
        <w:t>3</w:t>
      </w:r>
      <w:r w:rsidR="00A03C9A">
        <w:rPr>
          <w:rFonts w:ascii="Arial" w:hAnsi="Arial" w:cs="Arial"/>
        </w:rPr>
        <w:t xml:space="preserve">a) </w:t>
      </w:r>
      <w:r w:rsidR="00EF0E45">
        <w:rPr>
          <w:rFonts w:ascii="Arial" w:hAnsi="Arial" w:cs="Arial"/>
        </w:rPr>
        <w:t xml:space="preserve">or </w:t>
      </w:r>
      <w:r w:rsidR="000F627F">
        <w:rPr>
          <w:rFonts w:ascii="Arial" w:hAnsi="Arial" w:cs="Arial"/>
        </w:rPr>
        <w:t xml:space="preserve">the </w:t>
      </w:r>
      <w:r w:rsidR="00BD1E7C">
        <w:rPr>
          <w:rFonts w:ascii="Arial" w:hAnsi="Arial" w:cs="Arial"/>
        </w:rPr>
        <w:t>current</w:t>
      </w:r>
      <w:r w:rsidR="000F627F">
        <w:rPr>
          <w:rFonts w:ascii="Arial" w:hAnsi="Arial" w:cs="Arial"/>
        </w:rPr>
        <w:t>ly used</w:t>
      </w:r>
      <w:r w:rsidR="00BD1E7C">
        <w:rPr>
          <w:rFonts w:ascii="Arial" w:hAnsi="Arial" w:cs="Arial"/>
        </w:rPr>
        <w:t xml:space="preserve"> </w:t>
      </w:r>
      <w:r w:rsidR="00F45FCB">
        <w:rPr>
          <w:rFonts w:ascii="Arial" w:hAnsi="Arial" w:cs="Arial"/>
        </w:rPr>
        <w:t>“</w:t>
      </w:r>
      <w:r w:rsidR="00BA5638">
        <w:rPr>
          <w:rFonts w:ascii="Arial" w:hAnsi="Arial" w:cs="Arial"/>
        </w:rPr>
        <w:t>one-size-fits-all</w:t>
      </w:r>
      <w:r w:rsidR="00F45FCB">
        <w:rPr>
          <w:rFonts w:ascii="Arial" w:hAnsi="Arial" w:cs="Arial"/>
        </w:rPr>
        <w:t>”</w:t>
      </w:r>
      <w:r w:rsidR="00BA5638">
        <w:rPr>
          <w:rFonts w:ascii="Arial" w:hAnsi="Arial" w:cs="Arial"/>
        </w:rPr>
        <w:t xml:space="preserve"> </w:t>
      </w:r>
      <w:r w:rsidR="00BD1E7C">
        <w:rPr>
          <w:rFonts w:ascii="Arial" w:hAnsi="Arial" w:cs="Arial"/>
        </w:rPr>
        <w:t>approach</w:t>
      </w:r>
      <w:r w:rsidR="00BA5638">
        <w:rPr>
          <w:rFonts w:ascii="Arial" w:hAnsi="Arial" w:cs="Arial"/>
        </w:rPr>
        <w:t xml:space="preserve"> may still </w:t>
      </w:r>
      <w:r w:rsidR="00BD1E7C">
        <w:rPr>
          <w:rFonts w:ascii="Arial" w:hAnsi="Arial" w:cs="Arial"/>
        </w:rPr>
        <w:t>remain</w:t>
      </w:r>
      <w:r w:rsidR="00BA5638">
        <w:rPr>
          <w:rFonts w:ascii="Arial" w:hAnsi="Arial" w:cs="Arial"/>
        </w:rPr>
        <w:t xml:space="preserve"> the most </w:t>
      </w:r>
      <w:r w:rsidR="00BD1E7C">
        <w:rPr>
          <w:rFonts w:ascii="Arial" w:hAnsi="Arial" w:cs="Arial"/>
        </w:rPr>
        <w:t>practical and implementable</w:t>
      </w:r>
      <w:r w:rsidR="00BA5638">
        <w:rPr>
          <w:rFonts w:ascii="Arial" w:hAnsi="Arial" w:cs="Arial"/>
        </w:rPr>
        <w:t xml:space="preserve"> </w:t>
      </w:r>
      <w:r w:rsidR="00E640FC">
        <w:rPr>
          <w:rFonts w:ascii="Arial" w:hAnsi="Arial" w:cs="Arial"/>
        </w:rPr>
        <w:t>option</w:t>
      </w:r>
      <w:r w:rsidR="00BD1E7C">
        <w:rPr>
          <w:rFonts w:ascii="Arial" w:hAnsi="Arial" w:cs="Arial"/>
        </w:rPr>
        <w:t xml:space="preserve">. </w:t>
      </w:r>
    </w:p>
    <w:p w14:paraId="54503671" w14:textId="77777777" w:rsidR="00101E45" w:rsidRDefault="00101E45" w:rsidP="00804CE5">
      <w:pPr>
        <w:spacing w:line="480" w:lineRule="auto"/>
        <w:rPr>
          <w:rFonts w:ascii="Arial" w:hAnsi="Arial" w:cs="Arial"/>
        </w:rPr>
      </w:pPr>
    </w:p>
    <w:p w14:paraId="24457FB1" w14:textId="55394F75" w:rsidR="00101E45" w:rsidRPr="00FD0033" w:rsidRDefault="00101E45" w:rsidP="00804CE5">
      <w:pPr>
        <w:spacing w:line="480" w:lineRule="auto"/>
        <w:rPr>
          <w:rFonts w:ascii="Arial" w:hAnsi="Arial"/>
        </w:rPr>
      </w:pPr>
      <w:r>
        <w:rPr>
          <w:rFonts w:ascii="Arial" w:hAnsi="Arial" w:cs="Arial"/>
        </w:rPr>
        <w:t xml:space="preserve">Our </w:t>
      </w:r>
      <w:r w:rsidR="003760C6">
        <w:rPr>
          <w:rFonts w:ascii="Arial" w:hAnsi="Arial" w:cs="Arial"/>
        </w:rPr>
        <w:t>study</w:t>
      </w:r>
      <w:r>
        <w:rPr>
          <w:rFonts w:ascii="Arial" w:hAnsi="Arial" w:cs="Arial"/>
        </w:rPr>
        <w:t xml:space="preserve"> has limitations. Data sharing principles are supported in the TB therapeutics field,</w:t>
      </w:r>
      <w:r w:rsidR="00E041E9">
        <w:rPr>
          <w:rFonts w:ascii="Arial" w:hAnsi="Arial" w:cs="Arial"/>
        </w:rPr>
        <w:fldChar w:fldCharType="begin" w:fldLock="1"/>
      </w:r>
      <w:r w:rsidR="00282D2D">
        <w:rPr>
          <w:rFonts w:ascii="Arial" w:hAnsi="Arial" w:cs="Arial"/>
        </w:rPr>
        <w:instrText>ADDIN CSL_CITATION { "citationItems" : [ { "id" : "ITEM-1", "itemData" : { "URL" : "https://www.cdisc.org/standards/therapeutic-areas/tuberculosis", "id" : "ITEM-1", "issued" : { "date-parts" : [ [ "2016" ] ] }, "title" : "CDISC-Tuberculosis Therapeutic Area User Guide v2.0", "type" : "webpage" }, "uris" : [ "http://www.mendeley.com/documents/?uuid=dc9bc992-ce77-3303-b354-bc88321e73dd" ] }, { "id" : "ITEM-2", "itemData" : { "DOI" : "10.1056/NEJMe1515172", "ISSN" : "0028-4793", "abstract" : "The International Committee of Medical Journal Editors (ICMJE) believes that there is an ethical obligation to responsibly share data generated by interventional clinical trials because participants have put themselves at risk. In a growing consensus, many funders around the world \u2014 foundations, government agencies, and industry \u2014 now mandate data sharing. Here we outline the ICMJE\u2019s proposed requirements to help meet this obligation. We encourage feedback on the proposed requirements. Anyone can provide feedback at www.icmje.org by 18 April 2016. The ICMJE defines a clinical trial as any research project that prospectively assigns people or a group of people to .\u00a0.\u00a0.", "author" : [ { "dropping-particle" : "", "family" : "Taichman", "given" : "Darren B.", "non-dropping-particle" : "", "parse-names" : false, "suffix" : "" }, { "dropping-particle" : "", "family" : "Backus", "given" : "Joyce", "non-dropping-particle" : "", "parse-names" : false, "suffix" : "" }, { "dropping-particle" : "", "family" : "Baethge", "given" : "Christopher", "non-dropping-particle" : "", "parse-names" : false, "suffix" : "" }, { "dropping-particle" : "", "family" : "Bauchner", "given" : "Howard", "non-dropping-particle" : "", "parse-names" : false, "suffix" : "" }, { "dropping-particle" : "", "family" : "Leeuw", "given" : "Peter W.", "non-dropping-particle" : "de", "parse-names" : false, "suffix" : "" }, { "dropping-particle" : "", "family" : "Drazen", "given" : "Jeffrey M.", "non-dropping-particle" : "", "parse-names" : false, "suffix" : "" }, { "dropping-particle" : "", "family" : "Fletcher", "given" : "John", "non-dropping-particle" : "", "parse-names" : false, "suffix" : "" }, { "dropping-particle" : "", "family" : "Frizelle", "given" : "Frank A.", "non-dropping-particle" : "", "parse-names" : false, "suffix" : "" }, { "dropping-particle" : "", "family" : "Groves", "given" : "Trish", "non-dropping-particle" : "", "parse-names" : false, "suffix" : "" }, { "dropping-particle" : "", "family" : "Haileamlak", "given" : "Abraham", "non-dropping-particle" : "", "parse-names" : false, "suffix" : "" }, { "dropping-particle" : "", "family" : "James", "given" : "Astrid", "non-dropping-particle" : "", "parse-names" : false, "suffix" : "" }, { "dropping-particle" : "", "family" : "Laine", "given" : "Christine", "non-dropping-particle" : "", "parse-names" : false, "suffix" : "" }, { "dropping-particle" : "", "family" : "Peiperl", "given" : "Larry", "non-dropping-particle" : "", "parse-names" : false, "suffix" : "" }, { "dropping-particle" : "", "family" : "Pinborg", "given" : "Anja", "non-dropping-particle" : "", "parse-names" : false, "suffix" : "" }, { "dropping-particle" : "", "family" : "Sahni", "given" : "Peush", "non-dropping-particle" : "", "parse-names" : false, "suffix" : "" }, { "dropping-particle" : "", "family" : "Wu", "given" : "Sinan", "non-dropping-particle" : "", "parse-names" : false, "suffix" : "" } ], "container-title" : "New England Journal of Medicine", "id" : "ITEM-2", "issue" : "4", "issued" : { "date-parts" : [ [ "2016", "1", "28" ] ] }, "page" : "384-386", "publisher" : "Massachusetts Medical Society", "title" : "Sharing Clinical Trial Data \u2014 A Proposal from the International Committee of Medical Journal Editors", "type" : "article-journal", "volume" : "374" }, "uris" : [ "http://www.mendeley.com/documents/?uuid=d06323fb-e72d-334e-af97-e2ca6fa29a58" ] } ], "mendeley" : { "formattedCitation" : "&lt;sup&gt;19,20&lt;/sup&gt;", "plainTextFormattedCitation" : "19,20", "previouslyFormattedCitation" : "&lt;sup&gt;19,20&lt;/sup&gt;" }, "properties" : {  }, "schema" : "https://github.com/citation-style-language/schema/raw/master/csl-citation.json" }</w:instrText>
      </w:r>
      <w:r w:rsidR="00E041E9">
        <w:rPr>
          <w:rFonts w:ascii="Arial" w:hAnsi="Arial" w:cs="Arial"/>
        </w:rPr>
        <w:fldChar w:fldCharType="separate"/>
      </w:r>
      <w:r w:rsidR="00282D2D" w:rsidRPr="00282D2D">
        <w:rPr>
          <w:rFonts w:ascii="Arial" w:hAnsi="Arial" w:cs="Arial"/>
          <w:noProof/>
          <w:vertAlign w:val="superscript"/>
        </w:rPr>
        <w:t>19,20</w:t>
      </w:r>
      <w:r w:rsidR="00E041E9">
        <w:rPr>
          <w:rFonts w:ascii="Arial" w:hAnsi="Arial" w:cs="Arial"/>
        </w:rPr>
        <w:fldChar w:fldCharType="end"/>
      </w:r>
      <w:r>
        <w:rPr>
          <w:rFonts w:ascii="Arial" w:hAnsi="Arial" w:cs="Arial"/>
        </w:rPr>
        <w:t xml:space="preserve"> however, data collection was not standardized </w:t>
      </w:r>
      <w:r w:rsidR="005A61CF">
        <w:rPr>
          <w:rFonts w:ascii="Arial" w:hAnsi="Arial" w:cs="Arial"/>
        </w:rPr>
        <w:t>across the included</w:t>
      </w:r>
      <w:r>
        <w:rPr>
          <w:rFonts w:ascii="Arial" w:hAnsi="Arial" w:cs="Arial"/>
        </w:rPr>
        <w:t xml:space="preserve"> trials. Future </w:t>
      </w:r>
      <w:r w:rsidR="002A20A4">
        <w:rPr>
          <w:rFonts w:ascii="Arial" w:hAnsi="Arial" w:cs="Arial"/>
        </w:rPr>
        <w:t xml:space="preserve">protocols </w:t>
      </w:r>
      <w:r>
        <w:rPr>
          <w:rFonts w:ascii="Arial" w:hAnsi="Arial" w:cs="Arial"/>
        </w:rPr>
        <w:t xml:space="preserve">should </w:t>
      </w:r>
      <w:r w:rsidR="002A20A4">
        <w:rPr>
          <w:rFonts w:ascii="Arial" w:hAnsi="Arial" w:cs="Arial"/>
        </w:rPr>
        <w:t xml:space="preserve">use </w:t>
      </w:r>
      <w:r>
        <w:rPr>
          <w:rFonts w:ascii="Arial" w:hAnsi="Arial" w:cs="Arial"/>
        </w:rPr>
        <w:t xml:space="preserve">minimum data set standards, compliant with CDISC standards (https://www.cdisc.org), to allow robust </w:t>
      </w:r>
      <w:r w:rsidR="008007DC">
        <w:rPr>
          <w:rFonts w:ascii="Arial" w:hAnsi="Arial" w:cs="Arial"/>
        </w:rPr>
        <w:t xml:space="preserve">pooled </w:t>
      </w:r>
      <w:r>
        <w:rPr>
          <w:rFonts w:ascii="Arial" w:hAnsi="Arial" w:cs="Arial"/>
        </w:rPr>
        <w:t>analyses in the future. Second, chest radiograph</w:t>
      </w:r>
      <w:r w:rsidR="00520824">
        <w:rPr>
          <w:rFonts w:ascii="Arial" w:hAnsi="Arial" w:cs="Arial"/>
        </w:rPr>
        <w:t xml:space="preserve"> interpretation</w:t>
      </w:r>
      <w:r>
        <w:rPr>
          <w:rFonts w:ascii="Arial" w:hAnsi="Arial" w:cs="Arial"/>
        </w:rPr>
        <w:t xml:space="preserve"> </w:t>
      </w:r>
      <w:r w:rsidR="002A20A4">
        <w:rPr>
          <w:rFonts w:ascii="Arial" w:hAnsi="Arial" w:cs="Arial"/>
        </w:rPr>
        <w:t>was not</w:t>
      </w:r>
      <w:r>
        <w:rPr>
          <w:rFonts w:ascii="Arial" w:hAnsi="Arial" w:cs="Arial"/>
        </w:rPr>
        <w:t xml:space="preserve"> </w:t>
      </w:r>
      <w:r w:rsidR="005A61CF">
        <w:rPr>
          <w:rFonts w:ascii="Arial" w:hAnsi="Arial" w:cs="Arial"/>
        </w:rPr>
        <w:t>uniform</w:t>
      </w:r>
      <w:r w:rsidR="002A20A4">
        <w:rPr>
          <w:rFonts w:ascii="Arial" w:hAnsi="Arial" w:cs="Arial"/>
        </w:rPr>
        <w:t xml:space="preserve">, as such we could </w:t>
      </w:r>
      <w:r w:rsidR="005E32C5">
        <w:rPr>
          <w:rFonts w:ascii="Arial" w:hAnsi="Arial" w:cs="Arial"/>
        </w:rPr>
        <w:t xml:space="preserve">not </w:t>
      </w:r>
      <w:r w:rsidR="00520824">
        <w:rPr>
          <w:rFonts w:ascii="Arial" w:hAnsi="Arial" w:cs="Arial"/>
        </w:rPr>
        <w:t>analyze</w:t>
      </w:r>
      <w:r w:rsidR="002A20A4">
        <w:rPr>
          <w:rFonts w:ascii="Arial" w:hAnsi="Arial" w:cs="Arial"/>
        </w:rPr>
        <w:t xml:space="preserve"> </w:t>
      </w:r>
      <w:r>
        <w:rPr>
          <w:rFonts w:ascii="Arial" w:hAnsi="Arial" w:cs="Arial"/>
        </w:rPr>
        <w:t>size and number of cavities</w:t>
      </w:r>
      <w:r w:rsidR="005B10C5">
        <w:rPr>
          <w:rFonts w:ascii="Arial" w:hAnsi="Arial" w:cs="Arial"/>
        </w:rPr>
        <w:t xml:space="preserve"> in all three studies (Supplementary Figure </w:t>
      </w:r>
      <w:r w:rsidR="00AA3E1C">
        <w:rPr>
          <w:rFonts w:ascii="Arial" w:hAnsi="Arial" w:cs="Arial"/>
        </w:rPr>
        <w:t>1</w:t>
      </w:r>
      <w:r w:rsidR="005B10C5">
        <w:rPr>
          <w:rFonts w:ascii="Arial" w:hAnsi="Arial" w:cs="Arial"/>
        </w:rPr>
        <w:t xml:space="preserve"> and Supplementary Figure </w:t>
      </w:r>
      <w:r w:rsidR="00AA3E1C">
        <w:rPr>
          <w:rFonts w:ascii="Arial" w:hAnsi="Arial" w:cs="Arial"/>
        </w:rPr>
        <w:t>2</w:t>
      </w:r>
      <w:r w:rsidR="005B10C5">
        <w:rPr>
          <w:rFonts w:ascii="Arial" w:hAnsi="Arial" w:cs="Arial"/>
        </w:rPr>
        <w:t>)</w:t>
      </w:r>
      <w:r>
        <w:rPr>
          <w:rFonts w:ascii="Arial" w:hAnsi="Arial" w:cs="Arial"/>
        </w:rPr>
        <w:t xml:space="preserve">.  Third, </w:t>
      </w:r>
      <w:r w:rsidR="005A61CF">
        <w:rPr>
          <w:rFonts w:ascii="Arial" w:hAnsi="Arial" w:cs="Arial"/>
        </w:rPr>
        <w:t xml:space="preserve">very </w:t>
      </w:r>
      <w:r>
        <w:rPr>
          <w:rFonts w:ascii="Arial" w:hAnsi="Arial" w:cs="Arial"/>
        </w:rPr>
        <w:t>limited pharmacokinetic data were available, hampering our ability to explore dosing, drug-exposure and outcome</w:t>
      </w:r>
      <w:r w:rsidR="005A61CF">
        <w:rPr>
          <w:rFonts w:ascii="Arial" w:hAnsi="Arial" w:cs="Arial"/>
        </w:rPr>
        <w:t xml:space="preserve"> relationships</w:t>
      </w:r>
      <w:r>
        <w:rPr>
          <w:rFonts w:ascii="Arial" w:hAnsi="Arial" w:cs="Arial"/>
        </w:rPr>
        <w:t xml:space="preserve">. We advocate for the inclusion of population pharmacokinetics in phase 3 trials to address the variability in responses across geographic regions and populations. </w:t>
      </w:r>
      <w:r w:rsidR="004708CC">
        <w:rPr>
          <w:rFonts w:ascii="Arial" w:hAnsi="Arial" w:cs="Arial"/>
        </w:rPr>
        <w:t>Our comparison of 6/7 with 7/7 dosing was a comparison between</w:t>
      </w:r>
      <w:r w:rsidR="00E640FC">
        <w:rPr>
          <w:rFonts w:ascii="Arial" w:hAnsi="Arial" w:cs="Arial"/>
        </w:rPr>
        <w:t xml:space="preserve"> trials</w:t>
      </w:r>
      <w:r w:rsidR="004708CC">
        <w:rPr>
          <w:rFonts w:ascii="Arial" w:hAnsi="Arial" w:cs="Arial"/>
        </w:rPr>
        <w:t xml:space="preserve"> rather than within trials, and therefore may be confounded by other </w:t>
      </w:r>
      <w:r w:rsidR="00E640FC">
        <w:rPr>
          <w:rFonts w:ascii="Arial" w:hAnsi="Arial" w:cs="Arial"/>
        </w:rPr>
        <w:t xml:space="preserve">study </w:t>
      </w:r>
      <w:r w:rsidR="004708CC">
        <w:rPr>
          <w:rFonts w:ascii="Arial" w:hAnsi="Arial" w:cs="Arial"/>
        </w:rPr>
        <w:t xml:space="preserve">differences. </w:t>
      </w:r>
      <w:r w:rsidR="00BA412A">
        <w:rPr>
          <w:rFonts w:ascii="Arial" w:hAnsi="Arial" w:cs="Arial"/>
        </w:rPr>
        <w:t>Finally</w:t>
      </w:r>
      <w:r>
        <w:rPr>
          <w:rFonts w:ascii="Arial" w:hAnsi="Arial" w:cs="Arial"/>
        </w:rPr>
        <w:t xml:space="preserve">, </w:t>
      </w:r>
      <w:r w:rsidR="002A20A4">
        <w:rPr>
          <w:rFonts w:ascii="Arial" w:hAnsi="Arial" w:cs="Arial"/>
        </w:rPr>
        <w:t>only</w:t>
      </w:r>
      <w:r>
        <w:rPr>
          <w:rFonts w:ascii="Arial" w:hAnsi="Arial" w:cs="Arial"/>
        </w:rPr>
        <w:t xml:space="preserve"> 1</w:t>
      </w:r>
      <w:r w:rsidR="00131D3C">
        <w:rPr>
          <w:rFonts w:ascii="Arial" w:hAnsi="Arial" w:cs="Arial"/>
        </w:rPr>
        <w:t>2</w:t>
      </w:r>
      <w:r>
        <w:rPr>
          <w:rFonts w:ascii="Arial" w:hAnsi="Arial" w:cs="Arial"/>
        </w:rPr>
        <w:t xml:space="preserve">% of participants </w:t>
      </w:r>
      <w:r w:rsidR="002A20A4">
        <w:rPr>
          <w:rFonts w:ascii="Arial" w:hAnsi="Arial" w:cs="Arial"/>
        </w:rPr>
        <w:t xml:space="preserve">had </w:t>
      </w:r>
      <w:r>
        <w:rPr>
          <w:rFonts w:ascii="Arial" w:hAnsi="Arial" w:cs="Arial"/>
        </w:rPr>
        <w:t>HIV-coinfec</w:t>
      </w:r>
      <w:r w:rsidR="002A20A4">
        <w:rPr>
          <w:rFonts w:ascii="Arial" w:hAnsi="Arial" w:cs="Arial"/>
        </w:rPr>
        <w:t>tion</w:t>
      </w:r>
      <w:r>
        <w:rPr>
          <w:rFonts w:ascii="Arial" w:hAnsi="Arial" w:cs="Arial"/>
        </w:rPr>
        <w:t xml:space="preserve"> </w:t>
      </w:r>
      <w:r w:rsidR="004708CC">
        <w:rPr>
          <w:rFonts w:ascii="Arial" w:hAnsi="Arial" w:cs="Arial"/>
        </w:rPr>
        <w:t xml:space="preserve">and many were not on effective ART regimens, </w:t>
      </w:r>
      <w:r w:rsidR="00E640FC">
        <w:rPr>
          <w:rFonts w:ascii="Arial" w:hAnsi="Arial" w:cs="Arial"/>
        </w:rPr>
        <w:t>thus,</w:t>
      </w:r>
      <w:r>
        <w:rPr>
          <w:rFonts w:ascii="Arial" w:hAnsi="Arial" w:cs="Arial"/>
        </w:rPr>
        <w:t xml:space="preserve"> caution </w:t>
      </w:r>
      <w:r w:rsidR="002A20A4">
        <w:rPr>
          <w:rFonts w:ascii="Arial" w:hAnsi="Arial" w:cs="Arial"/>
        </w:rPr>
        <w:t>should</w:t>
      </w:r>
      <w:r w:rsidR="00E640FC">
        <w:rPr>
          <w:rFonts w:ascii="Arial" w:hAnsi="Arial" w:cs="Arial"/>
        </w:rPr>
        <w:t xml:space="preserve"> </w:t>
      </w:r>
      <w:r w:rsidR="002A20A4">
        <w:rPr>
          <w:rFonts w:ascii="Arial" w:hAnsi="Arial" w:cs="Arial"/>
        </w:rPr>
        <w:t>be used</w:t>
      </w:r>
      <w:r>
        <w:rPr>
          <w:rFonts w:ascii="Arial" w:hAnsi="Arial" w:cs="Arial"/>
        </w:rPr>
        <w:t xml:space="preserve"> in generalizing our </w:t>
      </w:r>
      <w:r w:rsidR="005A61CF">
        <w:rPr>
          <w:rFonts w:ascii="Arial" w:hAnsi="Arial" w:cs="Arial"/>
        </w:rPr>
        <w:t xml:space="preserve">findings </w:t>
      </w:r>
      <w:r>
        <w:rPr>
          <w:rFonts w:ascii="Arial" w:hAnsi="Arial" w:cs="Arial"/>
        </w:rPr>
        <w:t>to immunocompromised populations. Strengths of our analyses include the inclusion of large data sets from four international registration-quality phase 3 trials conducted across diverse human populations in high TB burden settings in South America, sub-Saharan Africa and Asia, performance of microbiologic assays by quality-controlled laboratories, and the careful recording of study treatment under direct observation.</w:t>
      </w:r>
    </w:p>
    <w:p w14:paraId="19407FB2" w14:textId="77777777" w:rsidR="00101E45" w:rsidRDefault="00101E45" w:rsidP="00804CE5">
      <w:pPr>
        <w:spacing w:line="480" w:lineRule="auto"/>
        <w:rPr>
          <w:rFonts w:ascii="Arial" w:hAnsi="Arial" w:cs="Arial"/>
        </w:rPr>
      </w:pPr>
    </w:p>
    <w:p w14:paraId="41AFB56C" w14:textId="12AA22AF" w:rsidR="00CC1D42" w:rsidRPr="00F00852" w:rsidRDefault="00101E45" w:rsidP="00804CE5">
      <w:pPr>
        <w:spacing w:line="480" w:lineRule="auto"/>
        <w:rPr>
          <w:rFonts w:ascii="Arial" w:hAnsi="Arial"/>
          <w:b/>
        </w:rPr>
      </w:pPr>
      <w:r>
        <w:rPr>
          <w:rFonts w:ascii="Arial" w:hAnsi="Arial" w:cs="Arial"/>
        </w:rPr>
        <w:t xml:space="preserve">In sum, our validated analyses of individual patient data from contemporary randomized clinical trials </w:t>
      </w:r>
      <w:r w:rsidR="00346337">
        <w:rPr>
          <w:rFonts w:ascii="Arial" w:hAnsi="Arial" w:cs="Arial"/>
        </w:rPr>
        <w:t xml:space="preserve">provide </w:t>
      </w:r>
      <w:r>
        <w:rPr>
          <w:rFonts w:ascii="Arial" w:hAnsi="Arial" w:cs="Arial"/>
        </w:rPr>
        <w:t xml:space="preserve">three major findings. First, we </w:t>
      </w:r>
      <w:r w:rsidR="00346337">
        <w:rPr>
          <w:rFonts w:ascii="Arial" w:hAnsi="Arial" w:cs="Arial"/>
        </w:rPr>
        <w:t>show</w:t>
      </w:r>
      <w:r>
        <w:rPr>
          <w:rFonts w:ascii="Arial" w:hAnsi="Arial" w:cs="Arial"/>
        </w:rPr>
        <w:t xml:space="preserve"> that low smear grades at baseline </w:t>
      </w:r>
      <w:r w:rsidR="0088662B">
        <w:rPr>
          <w:rFonts w:ascii="Arial" w:hAnsi="Arial" w:cs="Arial"/>
        </w:rPr>
        <w:t>or</w:t>
      </w:r>
      <w:r>
        <w:rPr>
          <w:rFonts w:ascii="Arial" w:hAnsi="Arial" w:cs="Arial"/>
        </w:rPr>
        <w:t xml:space="preserve"> the absence of cavitation identifies a population at low risk for recurrence in whom 4-month rifampin containing regimens </w:t>
      </w:r>
      <w:r w:rsidR="00CE63B0">
        <w:rPr>
          <w:rFonts w:ascii="Arial" w:hAnsi="Arial" w:cs="Arial"/>
        </w:rPr>
        <w:t xml:space="preserve">may be </w:t>
      </w:r>
      <w:r>
        <w:rPr>
          <w:rFonts w:ascii="Arial" w:hAnsi="Arial" w:cs="Arial"/>
        </w:rPr>
        <w:t>effective. Conversely, high</w:t>
      </w:r>
      <w:r w:rsidRPr="00C04D3E">
        <w:rPr>
          <w:rFonts w:ascii="Arial" w:hAnsi="Arial" w:cs="Arial"/>
        </w:rPr>
        <w:t xml:space="preserve"> </w:t>
      </w:r>
      <w:r>
        <w:rPr>
          <w:rFonts w:ascii="Arial" w:hAnsi="Arial" w:cs="Arial"/>
        </w:rPr>
        <w:t xml:space="preserve">sputum smear grade at baseline in conjunction with the presence of cavities defines a hard-to-treat phenotype that </w:t>
      </w:r>
      <w:r w:rsidR="00C52D30">
        <w:rPr>
          <w:rFonts w:ascii="Arial" w:hAnsi="Arial" w:cs="Arial"/>
        </w:rPr>
        <w:t xml:space="preserve">may require </w:t>
      </w:r>
      <w:r>
        <w:rPr>
          <w:rFonts w:ascii="Arial" w:hAnsi="Arial" w:cs="Arial"/>
        </w:rPr>
        <w:t xml:space="preserve">longer durations of treatment </w:t>
      </w:r>
      <w:r>
        <w:rPr>
          <w:rFonts w:ascii="Arial" w:hAnsi="Arial" w:cs="Arial"/>
        </w:rPr>
        <w:lastRenderedPageBreak/>
        <w:t>than the current standard of care, in order to achieve</w:t>
      </w:r>
      <w:r w:rsidR="00FF1CF0">
        <w:rPr>
          <w:rFonts w:ascii="Arial" w:hAnsi="Arial" w:cs="Arial"/>
        </w:rPr>
        <w:t xml:space="preserve"> high</w:t>
      </w:r>
      <w:r>
        <w:rPr>
          <w:rFonts w:ascii="Arial" w:hAnsi="Arial" w:cs="Arial"/>
        </w:rPr>
        <w:t xml:space="preserve"> cure </w:t>
      </w:r>
      <w:r w:rsidR="00FF1CF0">
        <w:rPr>
          <w:rFonts w:ascii="Arial" w:hAnsi="Arial" w:cs="Arial"/>
        </w:rPr>
        <w:t>rates</w:t>
      </w:r>
      <w:r>
        <w:rPr>
          <w:rFonts w:ascii="Arial" w:hAnsi="Arial" w:cs="Arial"/>
        </w:rPr>
        <w:t>.</w:t>
      </w:r>
      <w:r w:rsidR="00F45FCB">
        <w:rPr>
          <w:rFonts w:ascii="Arial" w:hAnsi="Arial" w:cs="Arial"/>
        </w:rPr>
        <w:t xml:space="preserve"> T</w:t>
      </w:r>
      <w:r w:rsidR="00F45FCB" w:rsidRPr="00F45FCB">
        <w:rPr>
          <w:rFonts w:ascii="Arial" w:hAnsi="Arial" w:cs="Arial"/>
        </w:rPr>
        <w:t>here is al</w:t>
      </w:r>
      <w:r w:rsidR="00F45FCB">
        <w:rPr>
          <w:rFonts w:ascii="Arial" w:hAnsi="Arial" w:cs="Arial"/>
        </w:rPr>
        <w:t>so a third phenotype made up of the remaining</w:t>
      </w:r>
      <w:r w:rsidR="00F45FCB" w:rsidRPr="00F45FCB">
        <w:rPr>
          <w:rFonts w:ascii="Arial" w:hAnsi="Arial" w:cs="Arial"/>
        </w:rPr>
        <w:t xml:space="preserve"> patients for whom treatment shortening may </w:t>
      </w:r>
      <w:r w:rsidR="00F45FCB">
        <w:rPr>
          <w:rFonts w:ascii="Arial" w:hAnsi="Arial" w:cs="Arial"/>
        </w:rPr>
        <w:t xml:space="preserve">also </w:t>
      </w:r>
      <w:r w:rsidR="00F45FCB" w:rsidRPr="00F45FCB">
        <w:rPr>
          <w:rFonts w:ascii="Arial" w:hAnsi="Arial" w:cs="Arial"/>
        </w:rPr>
        <w:t>be possible</w:t>
      </w:r>
      <w:r w:rsidR="00F45FCB">
        <w:rPr>
          <w:rFonts w:ascii="Arial" w:hAnsi="Arial" w:cs="Arial"/>
        </w:rPr>
        <w:t>.</w:t>
      </w:r>
      <w:r>
        <w:rPr>
          <w:rFonts w:ascii="Arial" w:hAnsi="Arial" w:cs="Arial"/>
        </w:rPr>
        <w:t xml:space="preserve"> Second, we show that minor degrees of non-adherence </w:t>
      </w:r>
      <w:r w:rsidR="00BA412A">
        <w:rPr>
          <w:rFonts w:ascii="Arial" w:hAnsi="Arial" w:cs="Arial"/>
        </w:rPr>
        <w:t>or missed doses</w:t>
      </w:r>
      <w:r>
        <w:rPr>
          <w:rFonts w:ascii="Arial" w:hAnsi="Arial" w:cs="Arial"/>
        </w:rPr>
        <w:t xml:space="preserve"> </w:t>
      </w:r>
      <w:r w:rsidR="00BA412A">
        <w:rPr>
          <w:rFonts w:ascii="Arial" w:hAnsi="Arial" w:cs="Arial"/>
        </w:rPr>
        <w:t xml:space="preserve">significantly </w:t>
      </w:r>
      <w:r>
        <w:rPr>
          <w:rFonts w:ascii="Arial" w:hAnsi="Arial" w:cs="Arial"/>
        </w:rPr>
        <w:t xml:space="preserve">increase the risk for poor outcomes. </w:t>
      </w:r>
      <w:r w:rsidR="00F45FCB">
        <w:rPr>
          <w:rFonts w:ascii="Arial" w:hAnsi="Arial" w:cs="Arial"/>
        </w:rPr>
        <w:t>Third</w:t>
      </w:r>
      <w:r>
        <w:rPr>
          <w:rFonts w:ascii="Arial" w:hAnsi="Arial" w:cs="Arial"/>
        </w:rPr>
        <w:t xml:space="preserve">, we show that simple baseline and on-treatment markers </w:t>
      </w:r>
      <w:r w:rsidR="002E5254">
        <w:rPr>
          <w:rFonts w:ascii="Arial" w:hAnsi="Arial" w:cs="Arial"/>
        </w:rPr>
        <w:t xml:space="preserve">could </w:t>
      </w:r>
      <w:r>
        <w:rPr>
          <w:rFonts w:ascii="Arial" w:hAnsi="Arial" w:cs="Arial"/>
        </w:rPr>
        <w:t xml:space="preserve">be used to </w:t>
      </w:r>
      <w:r w:rsidR="00346337">
        <w:rPr>
          <w:rFonts w:ascii="Arial" w:hAnsi="Arial" w:cs="Arial"/>
        </w:rPr>
        <w:t xml:space="preserve">select </w:t>
      </w:r>
      <w:r>
        <w:rPr>
          <w:rFonts w:ascii="Arial" w:hAnsi="Arial" w:cs="Arial"/>
        </w:rPr>
        <w:t xml:space="preserve">treatment duration with greater precision, providing a programmatically viable alternative to the “one-size-fits-all” paradigm used worldwide. Our results indicate that stratified medicine principles should be </w:t>
      </w:r>
      <w:r w:rsidR="00CE63B0">
        <w:rPr>
          <w:rFonts w:ascii="Arial" w:hAnsi="Arial" w:cs="Arial"/>
        </w:rPr>
        <w:t xml:space="preserve">further </w:t>
      </w:r>
      <w:r w:rsidR="00690AC3">
        <w:rPr>
          <w:rFonts w:ascii="Arial" w:hAnsi="Arial" w:cs="Arial"/>
        </w:rPr>
        <w:t>evaluated</w:t>
      </w:r>
      <w:r w:rsidR="005A61CF">
        <w:rPr>
          <w:rFonts w:ascii="Arial" w:hAnsi="Arial" w:cs="Arial"/>
        </w:rPr>
        <w:t xml:space="preserve"> in</w:t>
      </w:r>
      <w:r w:rsidR="00CE63B0">
        <w:rPr>
          <w:rFonts w:ascii="Arial" w:hAnsi="Arial" w:cs="Arial"/>
        </w:rPr>
        <w:t xml:space="preserve"> clinical trials of</w:t>
      </w:r>
      <w:r w:rsidR="005A61CF">
        <w:rPr>
          <w:rFonts w:ascii="Arial" w:hAnsi="Arial" w:cs="Arial"/>
        </w:rPr>
        <w:t xml:space="preserve"> </w:t>
      </w:r>
      <w:r>
        <w:rPr>
          <w:rFonts w:ascii="Arial" w:hAnsi="Arial" w:cs="Arial"/>
        </w:rPr>
        <w:t xml:space="preserve">TB therapeutics.  </w:t>
      </w:r>
    </w:p>
    <w:p w14:paraId="7FF432AB" w14:textId="536051F0" w:rsidR="00CD1A6D" w:rsidRDefault="00CD1A6D" w:rsidP="00804CE5">
      <w:pPr>
        <w:spacing w:line="480" w:lineRule="auto"/>
        <w:rPr>
          <w:rFonts w:ascii="Arial" w:hAnsi="Arial"/>
          <w:b/>
        </w:rPr>
      </w:pPr>
      <w:r>
        <w:rPr>
          <w:rFonts w:ascii="Arial" w:hAnsi="Arial"/>
          <w:b/>
        </w:rPr>
        <w:br w:type="page"/>
      </w:r>
    </w:p>
    <w:p w14:paraId="6A7D9006" w14:textId="77777777" w:rsidR="00CD1A6D" w:rsidRPr="00CD1A6D" w:rsidRDefault="00CD1A6D" w:rsidP="00804CE5">
      <w:pPr>
        <w:spacing w:line="480" w:lineRule="auto"/>
        <w:outlineLvl w:val="0"/>
        <w:rPr>
          <w:rFonts w:ascii="Arial" w:hAnsi="Arial" w:cs="Arial"/>
          <w:b/>
        </w:rPr>
      </w:pPr>
      <w:r w:rsidRPr="00CD1A6D">
        <w:rPr>
          <w:rFonts w:ascii="Arial" w:hAnsi="Arial" w:cs="Arial"/>
          <w:b/>
        </w:rPr>
        <w:lastRenderedPageBreak/>
        <w:t xml:space="preserve">Acknowledgements: </w:t>
      </w:r>
    </w:p>
    <w:p w14:paraId="02507F1A" w14:textId="0C984002" w:rsidR="00102F03" w:rsidRPr="003673EA" w:rsidRDefault="00102F03" w:rsidP="00804CE5">
      <w:pPr>
        <w:autoSpaceDE w:val="0"/>
        <w:autoSpaceDN w:val="0"/>
        <w:adjustRightInd w:val="0"/>
        <w:spacing w:line="480" w:lineRule="auto"/>
        <w:rPr>
          <w:rFonts w:ascii="Times" w:hAnsi="Times" w:cs="Times"/>
          <w:color w:val="000000"/>
        </w:rPr>
      </w:pPr>
      <w:r w:rsidRPr="003673EA">
        <w:rPr>
          <w:rFonts w:ascii="Arial" w:hAnsi="Arial" w:cs="Arial"/>
        </w:rPr>
        <w:t xml:space="preserve">The analyses conducted for this study were sponsored by the World Health Organization and the Bill </w:t>
      </w:r>
      <w:r w:rsidR="006E1954">
        <w:rPr>
          <w:rFonts w:ascii="Arial" w:hAnsi="Arial" w:cs="Arial"/>
        </w:rPr>
        <w:t>&amp;</w:t>
      </w:r>
      <w:r w:rsidR="006E1954" w:rsidRPr="003673EA">
        <w:rPr>
          <w:rFonts w:ascii="Arial" w:hAnsi="Arial" w:cs="Arial"/>
        </w:rPr>
        <w:t xml:space="preserve"> </w:t>
      </w:r>
      <w:r w:rsidRPr="003673EA">
        <w:rPr>
          <w:rFonts w:ascii="Arial" w:hAnsi="Arial" w:cs="Arial"/>
        </w:rPr>
        <w:t>Melinda Gates Foundation</w:t>
      </w:r>
      <w:r w:rsidR="00095A13">
        <w:rPr>
          <w:rFonts w:ascii="Arial" w:hAnsi="Arial" w:cs="Arial"/>
        </w:rPr>
        <w:t xml:space="preserve"> (A127340)</w:t>
      </w:r>
      <w:r w:rsidRPr="003673EA">
        <w:rPr>
          <w:rFonts w:ascii="Arial" w:hAnsi="Arial" w:cs="Arial"/>
        </w:rPr>
        <w:t>.</w:t>
      </w:r>
      <w:r w:rsidR="008B3EBE" w:rsidRPr="008B3EBE">
        <w:rPr>
          <w:rFonts w:ascii="Arial" w:hAnsi="Arial" w:cs="Arial"/>
        </w:rPr>
        <w:t xml:space="preserve"> </w:t>
      </w:r>
      <w:r w:rsidR="008B3EBE">
        <w:rPr>
          <w:rFonts w:ascii="Arial" w:hAnsi="Arial" w:cs="Arial"/>
        </w:rPr>
        <w:t xml:space="preserve">Partial support for </w:t>
      </w:r>
      <w:r w:rsidR="008B3EBE" w:rsidRPr="008B3EBE">
        <w:rPr>
          <w:rFonts w:ascii="Arial" w:hAnsi="Arial" w:cs="Arial"/>
        </w:rPr>
        <w:t>P</w:t>
      </w:r>
      <w:r w:rsidR="008B3EBE">
        <w:rPr>
          <w:rFonts w:ascii="Arial" w:hAnsi="Arial" w:cs="Arial"/>
        </w:rPr>
        <w:t>N and P</w:t>
      </w:r>
      <w:r w:rsidR="00134167">
        <w:rPr>
          <w:rFonts w:ascii="Arial" w:hAnsi="Arial" w:cs="Arial"/>
        </w:rPr>
        <w:t>P</w:t>
      </w:r>
      <w:r w:rsidR="008B3EBE">
        <w:rPr>
          <w:rFonts w:ascii="Arial" w:hAnsi="Arial" w:cs="Arial"/>
        </w:rPr>
        <w:t>JP was also received from NIH NIAID (1R01AI104589</w:t>
      </w:r>
      <w:r w:rsidR="008B3EBE" w:rsidRPr="008B3EBE">
        <w:rPr>
          <w:rFonts w:ascii="Arial" w:hAnsi="Arial" w:cs="Arial"/>
        </w:rPr>
        <w:t>)</w:t>
      </w:r>
      <w:r w:rsidR="008B3EBE">
        <w:rPr>
          <w:rFonts w:ascii="Arial" w:hAnsi="Arial" w:cs="Arial"/>
        </w:rPr>
        <w:t>.</w:t>
      </w:r>
      <w:r w:rsidR="000764D8" w:rsidRPr="003673EA">
        <w:rPr>
          <w:rFonts w:ascii="Arial" w:hAnsi="Arial" w:cs="Arial"/>
        </w:rPr>
        <w:t xml:space="preserve"> The authors alone ar</w:t>
      </w:r>
      <w:r w:rsidR="000764D8">
        <w:rPr>
          <w:rFonts w:ascii="Arial" w:hAnsi="Arial" w:cs="Arial"/>
        </w:rPr>
        <w:t>e responsible for the views ex</w:t>
      </w:r>
      <w:r w:rsidR="000764D8" w:rsidRPr="003673EA">
        <w:rPr>
          <w:rFonts w:ascii="Arial" w:hAnsi="Arial" w:cs="Arial"/>
        </w:rPr>
        <w:t>pressed in this publication, an</w:t>
      </w:r>
      <w:r w:rsidR="000764D8">
        <w:rPr>
          <w:rFonts w:ascii="Arial" w:hAnsi="Arial" w:cs="Arial"/>
        </w:rPr>
        <w:t>d they do not necessarily repre</w:t>
      </w:r>
      <w:r w:rsidR="000764D8" w:rsidRPr="003673EA">
        <w:rPr>
          <w:rFonts w:ascii="Arial" w:hAnsi="Arial" w:cs="Arial"/>
        </w:rPr>
        <w:t>sent the decisions, policy, or views of the WHO.</w:t>
      </w:r>
      <w:r w:rsidR="000764D8">
        <w:rPr>
          <w:rFonts w:ascii="Times" w:hAnsi="Times" w:cs="Times"/>
          <w:color w:val="000000"/>
          <w:sz w:val="18"/>
          <w:szCs w:val="18"/>
        </w:rPr>
        <w:t xml:space="preserve"> </w:t>
      </w:r>
      <w:r w:rsidRPr="003673EA">
        <w:rPr>
          <w:rFonts w:ascii="Arial" w:hAnsi="Arial" w:cs="Arial"/>
        </w:rPr>
        <w:t xml:space="preserve"> Data used in the preparation of this article were obtained from Platform for Aggregations of Clinical TB Studies (TB-PACTS; https://c-path.org/programs/tb-pacts/). The Platform for Aggregations of Clinical TB Studies is a public</w:t>
      </w:r>
      <w:r w:rsidRPr="003673EA">
        <w:rPr>
          <w:rFonts w:ascii="Arial" w:hAnsi="Arial" w:cs="Arial"/>
        </w:rPr>
        <w:softHyphen/>
        <w:t xml:space="preserve"> partnership launched in May 2015 by Critical Path Institute (C</w:t>
      </w:r>
      <w:r w:rsidRPr="003673EA">
        <w:rPr>
          <w:rFonts w:ascii="Arial" w:hAnsi="Arial" w:cs="Arial"/>
        </w:rPr>
        <w:noBreakHyphen/>
        <w:t xml:space="preserve">Path), the Special </w:t>
      </w:r>
      <w:proofErr w:type="spellStart"/>
      <w:r w:rsidRPr="003673EA">
        <w:rPr>
          <w:rFonts w:ascii="Arial" w:hAnsi="Arial" w:cs="Arial"/>
        </w:rPr>
        <w:t>Programme</w:t>
      </w:r>
      <w:proofErr w:type="spellEnd"/>
      <w:r w:rsidRPr="003673EA">
        <w:rPr>
          <w:rFonts w:ascii="Arial" w:hAnsi="Arial" w:cs="Arial"/>
        </w:rPr>
        <w:t xml:space="preserve"> for Research and Training in Tropical Diseases (TDR), the Global Alliance for TB Drug Development (TB Alliance), and St. George’s, University of London</w:t>
      </w:r>
      <w:r w:rsidR="000764D8">
        <w:rPr>
          <w:rFonts w:ascii="Arial" w:hAnsi="Arial" w:cs="Arial"/>
        </w:rPr>
        <w:t xml:space="preserve">. </w:t>
      </w:r>
    </w:p>
    <w:p w14:paraId="0FE4BCE5" w14:textId="77777777" w:rsidR="00102F03" w:rsidRPr="003673EA" w:rsidRDefault="00102F03" w:rsidP="00804CE5">
      <w:pPr>
        <w:spacing w:line="480" w:lineRule="auto"/>
        <w:rPr>
          <w:rFonts w:ascii="Arial" w:hAnsi="Arial" w:cs="Arial"/>
        </w:rPr>
      </w:pPr>
    </w:p>
    <w:p w14:paraId="46574466" w14:textId="7CDEBFD8" w:rsidR="00CD1A6D" w:rsidRDefault="00CD1A6D" w:rsidP="00804CE5">
      <w:pPr>
        <w:autoSpaceDE w:val="0"/>
        <w:autoSpaceDN w:val="0"/>
        <w:adjustRightInd w:val="0"/>
        <w:spacing w:line="480" w:lineRule="auto"/>
        <w:rPr>
          <w:rFonts w:ascii="Arial" w:hAnsi="Arial" w:cs="Arial"/>
        </w:rPr>
      </w:pPr>
      <w:r w:rsidRPr="003673EA">
        <w:rPr>
          <w:rFonts w:ascii="Arial" w:hAnsi="Arial" w:cs="Arial"/>
        </w:rPr>
        <w:t xml:space="preserve">We thank the study participants; the staff at clinical sites; all investigators for each </w:t>
      </w:r>
      <w:r w:rsidR="00AB054B">
        <w:rPr>
          <w:rFonts w:ascii="Arial" w:hAnsi="Arial" w:cs="Arial"/>
        </w:rPr>
        <w:t>of the four trials</w:t>
      </w:r>
      <w:r w:rsidRPr="003673EA">
        <w:rPr>
          <w:rFonts w:ascii="Arial" w:hAnsi="Arial" w:cs="Arial"/>
        </w:rPr>
        <w:t xml:space="preserve">; </w:t>
      </w:r>
      <w:r>
        <w:rPr>
          <w:rFonts w:ascii="Arial" w:hAnsi="Arial" w:cs="Arial"/>
        </w:rPr>
        <w:t xml:space="preserve">the data management team at </w:t>
      </w:r>
      <w:r w:rsidRPr="003673EA">
        <w:rPr>
          <w:rFonts w:ascii="Arial" w:hAnsi="Arial" w:cs="Arial"/>
        </w:rPr>
        <w:t xml:space="preserve">Critical Path Institute </w:t>
      </w:r>
      <w:r>
        <w:rPr>
          <w:rFonts w:ascii="Arial" w:hAnsi="Arial" w:cs="Arial"/>
        </w:rPr>
        <w:t>(</w:t>
      </w:r>
      <w:r w:rsidR="008F4B60">
        <w:rPr>
          <w:rFonts w:ascii="Arial" w:hAnsi="Arial" w:cs="Arial"/>
        </w:rPr>
        <w:t>K.</w:t>
      </w:r>
      <w:r w:rsidR="008F4B60" w:rsidRPr="0027434E">
        <w:rPr>
          <w:rFonts w:ascii="Arial" w:hAnsi="Arial" w:cs="Arial"/>
        </w:rPr>
        <w:t xml:space="preserve"> </w:t>
      </w:r>
      <w:r w:rsidRPr="0027434E">
        <w:rPr>
          <w:rFonts w:ascii="Arial" w:hAnsi="Arial" w:cs="Arial"/>
        </w:rPr>
        <w:t xml:space="preserve">Romero, </w:t>
      </w:r>
      <w:r w:rsidR="008F4B60">
        <w:rPr>
          <w:rFonts w:ascii="Arial" w:hAnsi="Arial" w:cs="Arial"/>
        </w:rPr>
        <w:t>B.</w:t>
      </w:r>
      <w:r w:rsidR="008F4B60" w:rsidRPr="0027434E">
        <w:rPr>
          <w:rFonts w:ascii="Arial" w:hAnsi="Arial" w:cs="Arial"/>
        </w:rPr>
        <w:t xml:space="preserve"> </w:t>
      </w:r>
      <w:r w:rsidRPr="0027434E">
        <w:rPr>
          <w:rFonts w:ascii="Arial" w:hAnsi="Arial" w:cs="Arial"/>
        </w:rPr>
        <w:t xml:space="preserve">Stafford, and </w:t>
      </w:r>
      <w:r w:rsidR="008F4B60">
        <w:rPr>
          <w:rFonts w:ascii="Arial" w:hAnsi="Arial" w:cs="Arial"/>
        </w:rPr>
        <w:t>D.</w:t>
      </w:r>
      <w:r w:rsidR="008F4B60" w:rsidRPr="0027434E">
        <w:rPr>
          <w:rFonts w:ascii="Arial" w:hAnsi="Arial" w:cs="Arial"/>
        </w:rPr>
        <w:t xml:space="preserve"> </w:t>
      </w:r>
      <w:r w:rsidRPr="0027434E">
        <w:rPr>
          <w:rFonts w:ascii="Arial" w:hAnsi="Arial" w:cs="Arial"/>
        </w:rPr>
        <w:t>Ha</w:t>
      </w:r>
      <w:r w:rsidR="00131456">
        <w:rPr>
          <w:rFonts w:ascii="Arial" w:hAnsi="Arial" w:cs="Arial"/>
        </w:rPr>
        <w:t xml:space="preserve">rtley); </w:t>
      </w:r>
      <w:r w:rsidR="008F4B60">
        <w:rPr>
          <w:rFonts w:ascii="Arial" w:hAnsi="Arial" w:cs="Arial"/>
        </w:rPr>
        <w:t xml:space="preserve">C. </w:t>
      </w:r>
      <w:r w:rsidR="00131456">
        <w:rPr>
          <w:rFonts w:ascii="Arial" w:hAnsi="Arial" w:cs="Arial"/>
        </w:rPr>
        <w:t xml:space="preserve">Mendel, </w:t>
      </w:r>
      <w:r w:rsidR="008F4B60">
        <w:rPr>
          <w:rFonts w:ascii="Arial" w:hAnsi="Arial" w:cs="Arial"/>
        </w:rPr>
        <w:t xml:space="preserve">J. </w:t>
      </w:r>
      <w:proofErr w:type="spellStart"/>
      <w:r w:rsidR="00131456">
        <w:rPr>
          <w:rFonts w:ascii="Arial" w:hAnsi="Arial" w:cs="Arial"/>
        </w:rPr>
        <w:t>Neaton</w:t>
      </w:r>
      <w:proofErr w:type="spellEnd"/>
      <w:r w:rsidR="00131456">
        <w:rPr>
          <w:rFonts w:ascii="Arial" w:hAnsi="Arial" w:cs="Arial"/>
        </w:rPr>
        <w:t xml:space="preserve">, and </w:t>
      </w:r>
      <w:r w:rsidR="008F4B60">
        <w:rPr>
          <w:rFonts w:ascii="Arial" w:hAnsi="Arial" w:cs="Arial"/>
        </w:rPr>
        <w:t xml:space="preserve">A. </w:t>
      </w:r>
      <w:r w:rsidR="00131456">
        <w:rPr>
          <w:rFonts w:ascii="Arial" w:hAnsi="Arial" w:cs="Arial"/>
        </w:rPr>
        <w:t xml:space="preserve">Vernon for their review of the manuscript; </w:t>
      </w:r>
      <w:r w:rsidR="00AB054B">
        <w:rPr>
          <w:rFonts w:ascii="Arial" w:hAnsi="Arial" w:cs="Arial"/>
        </w:rPr>
        <w:t xml:space="preserve">and </w:t>
      </w:r>
      <w:r>
        <w:rPr>
          <w:rFonts w:ascii="Arial" w:hAnsi="Arial" w:cs="Arial"/>
        </w:rPr>
        <w:t xml:space="preserve">the </w:t>
      </w:r>
      <w:proofErr w:type="spellStart"/>
      <w:r>
        <w:rPr>
          <w:rFonts w:ascii="Arial" w:hAnsi="Arial" w:cs="Arial"/>
        </w:rPr>
        <w:t>TBReFLECT</w:t>
      </w:r>
      <w:proofErr w:type="spellEnd"/>
      <w:r>
        <w:rPr>
          <w:rFonts w:ascii="Arial" w:hAnsi="Arial" w:cs="Arial"/>
        </w:rPr>
        <w:t xml:space="preserve"> Steering Committee. </w:t>
      </w:r>
    </w:p>
    <w:p w14:paraId="75710496" w14:textId="080019D4" w:rsidR="008F1E8F" w:rsidRDefault="008F1E8F" w:rsidP="00804CE5">
      <w:pPr>
        <w:autoSpaceDE w:val="0"/>
        <w:autoSpaceDN w:val="0"/>
        <w:adjustRightInd w:val="0"/>
        <w:spacing w:line="480" w:lineRule="auto"/>
        <w:rPr>
          <w:rFonts w:ascii="Arial" w:hAnsi="Arial" w:cs="Arial"/>
        </w:rPr>
      </w:pPr>
    </w:p>
    <w:p w14:paraId="06EB93B7" w14:textId="0E7EC655" w:rsidR="008F1E8F" w:rsidRPr="005D3EA2" w:rsidRDefault="008F1E8F" w:rsidP="00804CE5">
      <w:pPr>
        <w:autoSpaceDE w:val="0"/>
        <w:autoSpaceDN w:val="0"/>
        <w:adjustRightInd w:val="0"/>
        <w:spacing w:line="480" w:lineRule="auto"/>
        <w:rPr>
          <w:rFonts w:ascii="Arial" w:hAnsi="Arial" w:cs="Arial"/>
        </w:rPr>
      </w:pPr>
      <w:r w:rsidRPr="004B74B5">
        <w:rPr>
          <w:rFonts w:ascii="Arial" w:hAnsi="Arial" w:cs="Arial"/>
          <w:b/>
        </w:rPr>
        <w:t xml:space="preserve">Author contributions: </w:t>
      </w:r>
      <w:r w:rsidR="005B3CE2">
        <w:rPr>
          <w:rFonts w:ascii="Arial" w:hAnsi="Arial" w:cs="Arial"/>
        </w:rPr>
        <w:t xml:space="preserve"> </w:t>
      </w:r>
      <w:r w:rsidR="005D3EA2">
        <w:rPr>
          <w:rFonts w:ascii="Arial" w:hAnsi="Arial" w:cs="Arial"/>
        </w:rPr>
        <w:t>M.Z.I and R.</w:t>
      </w:r>
      <w:r w:rsidR="005B3CE2">
        <w:rPr>
          <w:rFonts w:ascii="Arial" w:hAnsi="Arial" w:cs="Arial"/>
        </w:rPr>
        <w:t>M.S designed and performed</w:t>
      </w:r>
      <w:r w:rsidR="006F2A5F">
        <w:rPr>
          <w:rFonts w:ascii="Arial" w:hAnsi="Arial" w:cs="Arial"/>
        </w:rPr>
        <w:t xml:space="preserve"> the</w:t>
      </w:r>
      <w:r w:rsidR="005B3CE2">
        <w:rPr>
          <w:rFonts w:ascii="Arial" w:hAnsi="Arial" w:cs="Arial"/>
        </w:rPr>
        <w:t xml:space="preserve"> ana</w:t>
      </w:r>
      <w:r w:rsidR="006F2A5F">
        <w:rPr>
          <w:rFonts w:ascii="Arial" w:hAnsi="Arial" w:cs="Arial"/>
        </w:rPr>
        <w:t>lysis. M.Z.I,</w:t>
      </w:r>
      <w:r w:rsidR="005B3CE2">
        <w:rPr>
          <w:rFonts w:ascii="Arial" w:hAnsi="Arial" w:cs="Arial"/>
        </w:rPr>
        <w:t xml:space="preserve"> P.N.</w:t>
      </w:r>
      <w:r w:rsidR="00CF0E38">
        <w:rPr>
          <w:rFonts w:ascii="Arial" w:hAnsi="Arial" w:cs="Arial"/>
        </w:rPr>
        <w:t>, P.</w:t>
      </w:r>
      <w:r w:rsidR="00134167">
        <w:rPr>
          <w:rFonts w:ascii="Arial" w:hAnsi="Arial" w:cs="Arial"/>
        </w:rPr>
        <w:t>P.</w:t>
      </w:r>
      <w:r w:rsidR="00CF0E38">
        <w:rPr>
          <w:rFonts w:ascii="Arial" w:hAnsi="Arial" w:cs="Arial"/>
        </w:rPr>
        <w:t>J.P</w:t>
      </w:r>
      <w:r w:rsidR="006F2A5F">
        <w:rPr>
          <w:rFonts w:ascii="Arial" w:hAnsi="Arial" w:cs="Arial"/>
        </w:rPr>
        <w:t xml:space="preserve"> and R.M.S</w:t>
      </w:r>
      <w:r w:rsidR="005B3CE2">
        <w:rPr>
          <w:rFonts w:ascii="Arial" w:hAnsi="Arial" w:cs="Arial"/>
        </w:rPr>
        <w:t xml:space="preserve"> </w:t>
      </w:r>
      <w:r w:rsidR="00CF0E38">
        <w:rPr>
          <w:rFonts w:ascii="Arial" w:hAnsi="Arial" w:cs="Arial"/>
        </w:rPr>
        <w:t xml:space="preserve">interpreted the results and </w:t>
      </w:r>
      <w:r w:rsidR="005B3CE2">
        <w:rPr>
          <w:rFonts w:ascii="Arial" w:hAnsi="Arial" w:cs="Arial"/>
        </w:rPr>
        <w:t xml:space="preserve">prepared the manuscript. </w:t>
      </w:r>
      <w:proofErr w:type="spellStart"/>
      <w:r w:rsidR="005B3CE2">
        <w:rPr>
          <w:rFonts w:ascii="Arial" w:hAnsi="Arial" w:cs="Arial"/>
        </w:rPr>
        <w:t>D.H</w:t>
      </w:r>
      <w:r w:rsidR="00B51087">
        <w:rPr>
          <w:rFonts w:ascii="Arial" w:hAnsi="Arial" w:cs="Arial"/>
        </w:rPr>
        <w:t>a</w:t>
      </w:r>
      <w:proofErr w:type="spellEnd"/>
      <w:r w:rsidR="005B3CE2">
        <w:rPr>
          <w:rFonts w:ascii="Arial" w:hAnsi="Arial" w:cs="Arial"/>
        </w:rPr>
        <w:t xml:space="preserve"> provided OFLOTUB, </w:t>
      </w:r>
      <w:proofErr w:type="spellStart"/>
      <w:r w:rsidR="005B3CE2">
        <w:rPr>
          <w:rFonts w:ascii="Arial" w:hAnsi="Arial" w:cs="Arial"/>
        </w:rPr>
        <w:t>REMoxTB</w:t>
      </w:r>
      <w:proofErr w:type="spellEnd"/>
      <w:r w:rsidR="005B3CE2">
        <w:rPr>
          <w:rFonts w:ascii="Arial" w:hAnsi="Arial" w:cs="Arial"/>
        </w:rPr>
        <w:t>, and RIFAQUIN data. J.L.J provided DMID 01-009 data. P.</w:t>
      </w:r>
      <w:r w:rsidR="00134167">
        <w:rPr>
          <w:rFonts w:ascii="Arial" w:hAnsi="Arial" w:cs="Arial"/>
        </w:rPr>
        <w:t>P.</w:t>
      </w:r>
      <w:r w:rsidR="005B3CE2">
        <w:rPr>
          <w:rFonts w:ascii="Arial" w:hAnsi="Arial" w:cs="Arial"/>
        </w:rPr>
        <w:t xml:space="preserve">J.P and K.F provided data management and statistical support. </w:t>
      </w:r>
      <w:r w:rsidR="003774E3">
        <w:rPr>
          <w:rFonts w:ascii="Arial" w:hAnsi="Arial" w:cs="Arial"/>
        </w:rPr>
        <w:t xml:space="preserve">All authors </w:t>
      </w:r>
      <w:r w:rsidR="00CF0E38">
        <w:rPr>
          <w:rFonts w:ascii="Arial" w:hAnsi="Arial" w:cs="Arial"/>
        </w:rPr>
        <w:t xml:space="preserve">discussed the results and implications and contributed to </w:t>
      </w:r>
      <w:r w:rsidR="006F2A5F">
        <w:rPr>
          <w:rFonts w:ascii="Arial" w:hAnsi="Arial" w:cs="Arial"/>
        </w:rPr>
        <w:t>the</w:t>
      </w:r>
      <w:r w:rsidR="003774E3">
        <w:rPr>
          <w:rFonts w:ascii="Arial" w:hAnsi="Arial" w:cs="Arial"/>
        </w:rPr>
        <w:t xml:space="preserve"> final manuscript.   </w:t>
      </w:r>
    </w:p>
    <w:p w14:paraId="2895D9D8" w14:textId="7D439810" w:rsidR="008F1E8F" w:rsidRDefault="008F1E8F" w:rsidP="00804CE5">
      <w:pPr>
        <w:autoSpaceDE w:val="0"/>
        <w:autoSpaceDN w:val="0"/>
        <w:adjustRightInd w:val="0"/>
        <w:spacing w:line="480" w:lineRule="auto"/>
        <w:rPr>
          <w:rFonts w:ascii="Arial" w:hAnsi="Arial" w:cs="Arial"/>
        </w:rPr>
      </w:pPr>
    </w:p>
    <w:p w14:paraId="252D9E17" w14:textId="1DAE5C9C" w:rsidR="008F1E8F" w:rsidRPr="00EA10C3" w:rsidRDefault="008F1E8F" w:rsidP="00804CE5">
      <w:pPr>
        <w:autoSpaceDE w:val="0"/>
        <w:autoSpaceDN w:val="0"/>
        <w:adjustRightInd w:val="0"/>
        <w:spacing w:line="480" w:lineRule="auto"/>
        <w:rPr>
          <w:rFonts w:ascii="Arial" w:hAnsi="Arial" w:cs="Arial"/>
        </w:rPr>
      </w:pPr>
      <w:r w:rsidRPr="004B74B5">
        <w:rPr>
          <w:rFonts w:ascii="Arial" w:hAnsi="Arial" w:cs="Arial"/>
          <w:b/>
        </w:rPr>
        <w:t xml:space="preserve">Competing Interests: </w:t>
      </w:r>
      <w:r w:rsidR="00EA10C3">
        <w:rPr>
          <w:rFonts w:ascii="Arial" w:hAnsi="Arial" w:cs="Arial"/>
        </w:rPr>
        <w:t xml:space="preserve">The authors declare no competing risks. </w:t>
      </w:r>
    </w:p>
    <w:p w14:paraId="2B828BCE" w14:textId="77777777" w:rsidR="00CD1A6D" w:rsidRPr="003673EA" w:rsidRDefault="00CD1A6D" w:rsidP="004F0C12">
      <w:pPr>
        <w:autoSpaceDE w:val="0"/>
        <w:autoSpaceDN w:val="0"/>
        <w:adjustRightInd w:val="0"/>
        <w:spacing w:line="480" w:lineRule="auto"/>
        <w:jc w:val="both"/>
        <w:rPr>
          <w:rFonts w:ascii="Arial" w:hAnsi="Arial" w:cs="Arial"/>
        </w:rPr>
      </w:pPr>
    </w:p>
    <w:p w14:paraId="0CCFC14F" w14:textId="07A38DA7" w:rsidR="00CC1D42" w:rsidRPr="003673EA" w:rsidRDefault="00126605">
      <w:pPr>
        <w:spacing w:line="480" w:lineRule="auto"/>
        <w:rPr>
          <w:rFonts w:ascii="Arial" w:hAnsi="Arial" w:cs="Arial"/>
        </w:rPr>
      </w:pPr>
      <w:r w:rsidRPr="003673EA">
        <w:rPr>
          <w:rFonts w:ascii="Arial" w:hAnsi="Arial" w:cs="Arial"/>
        </w:rPr>
        <w:br w:type="page"/>
      </w:r>
    </w:p>
    <w:p w14:paraId="1937BBB5" w14:textId="77777777" w:rsidR="00CC1D42" w:rsidRDefault="00126605">
      <w:pPr>
        <w:spacing w:line="480" w:lineRule="auto"/>
        <w:rPr>
          <w:rFonts w:ascii="Arial" w:hAnsi="Arial" w:cs="Arial"/>
          <w:b/>
        </w:rPr>
      </w:pPr>
      <w:r>
        <w:rPr>
          <w:rFonts w:ascii="Arial" w:hAnsi="Arial" w:cs="Arial"/>
          <w:b/>
        </w:rPr>
        <w:lastRenderedPageBreak/>
        <w:t xml:space="preserve">References: </w:t>
      </w:r>
    </w:p>
    <w:p w14:paraId="679E6B60" w14:textId="2C8D103D" w:rsidR="00282D2D" w:rsidRPr="00282D2D" w:rsidRDefault="00126605" w:rsidP="00282D2D">
      <w:pPr>
        <w:widowControl w:val="0"/>
        <w:autoSpaceDE w:val="0"/>
        <w:autoSpaceDN w:val="0"/>
        <w:adjustRightInd w:val="0"/>
        <w:spacing w:line="480" w:lineRule="auto"/>
        <w:ind w:left="640" w:hanging="640"/>
        <w:rPr>
          <w:rFonts w:ascii="Arial" w:hAnsi="Arial" w:cs="Arial"/>
          <w:noProof/>
        </w:rPr>
      </w:pPr>
      <w:r w:rsidRPr="00F00852">
        <w:rPr>
          <w:rFonts w:ascii="Arial" w:hAnsi="Arial"/>
          <w:b/>
        </w:rPr>
        <w:fldChar w:fldCharType="begin" w:fldLock="1"/>
      </w:r>
      <w:r>
        <w:instrText>ADDIN Mendeley Bibliography CSL_BIBLIOGRAPHY</w:instrText>
      </w:r>
      <w:r w:rsidRPr="00F00852">
        <w:rPr>
          <w:rFonts w:ascii="Arial" w:hAnsi="Arial"/>
          <w:b/>
        </w:rPr>
        <w:fldChar w:fldCharType="separate"/>
      </w:r>
      <w:bookmarkStart w:id="1" w:name="__Fieldmark__3044_3928254357"/>
      <w:r w:rsidR="00282D2D" w:rsidRPr="00282D2D">
        <w:rPr>
          <w:rFonts w:ascii="Arial" w:hAnsi="Arial" w:cs="Arial"/>
          <w:noProof/>
        </w:rPr>
        <w:t>1.</w:t>
      </w:r>
      <w:r w:rsidR="00282D2D" w:rsidRPr="00282D2D">
        <w:rPr>
          <w:rFonts w:ascii="Arial" w:hAnsi="Arial" w:cs="Arial"/>
          <w:noProof/>
        </w:rPr>
        <w:tab/>
        <w:t xml:space="preserve">Merle, C. S. </w:t>
      </w:r>
      <w:r w:rsidR="00282D2D" w:rsidRPr="00282D2D">
        <w:rPr>
          <w:rFonts w:ascii="Arial" w:hAnsi="Arial" w:cs="Arial"/>
          <w:i/>
          <w:iCs/>
          <w:noProof/>
        </w:rPr>
        <w:t>et al.</w:t>
      </w:r>
      <w:r w:rsidR="00282D2D" w:rsidRPr="00282D2D">
        <w:rPr>
          <w:rFonts w:ascii="Arial" w:hAnsi="Arial" w:cs="Arial"/>
          <w:noProof/>
        </w:rPr>
        <w:t xml:space="preserve"> A Four-Month Gatifloxacin-Containing Regimen for Treating Tuberculosis. </w:t>
      </w:r>
      <w:r w:rsidR="00282D2D" w:rsidRPr="00282D2D">
        <w:rPr>
          <w:rFonts w:ascii="Arial" w:hAnsi="Arial" w:cs="Arial"/>
          <w:i/>
          <w:iCs/>
          <w:noProof/>
        </w:rPr>
        <w:t>N. Engl. J. Med</w:t>
      </w:r>
      <w:r w:rsidR="00282D2D" w:rsidRPr="00282D2D">
        <w:rPr>
          <w:rFonts w:ascii="Arial" w:hAnsi="Arial" w:cs="Arial"/>
          <w:noProof/>
        </w:rPr>
        <w:t xml:space="preserve"> </w:t>
      </w:r>
      <w:r w:rsidR="00282D2D" w:rsidRPr="00282D2D">
        <w:rPr>
          <w:rFonts w:ascii="Arial" w:hAnsi="Arial" w:cs="Arial"/>
          <w:b/>
          <w:bCs/>
          <w:noProof/>
        </w:rPr>
        <w:t>371,</w:t>
      </w:r>
      <w:r w:rsidR="00282D2D" w:rsidRPr="00282D2D">
        <w:rPr>
          <w:rFonts w:ascii="Arial" w:hAnsi="Arial" w:cs="Arial"/>
          <w:noProof/>
        </w:rPr>
        <w:t xml:space="preserve"> 1588–1598 (2014).</w:t>
      </w:r>
    </w:p>
    <w:p w14:paraId="438A3ABC"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2.</w:t>
      </w:r>
      <w:r w:rsidRPr="00282D2D">
        <w:rPr>
          <w:rFonts w:ascii="Arial" w:hAnsi="Arial" w:cs="Arial"/>
          <w:noProof/>
        </w:rPr>
        <w:tab/>
        <w:t xml:space="preserve">Gillespie, S. H. </w:t>
      </w:r>
      <w:r w:rsidRPr="00282D2D">
        <w:rPr>
          <w:rFonts w:ascii="Arial" w:hAnsi="Arial" w:cs="Arial"/>
          <w:i/>
          <w:iCs/>
          <w:noProof/>
        </w:rPr>
        <w:t>et al.</w:t>
      </w:r>
      <w:r w:rsidRPr="00282D2D">
        <w:rPr>
          <w:rFonts w:ascii="Arial" w:hAnsi="Arial" w:cs="Arial"/>
          <w:noProof/>
        </w:rPr>
        <w:t xml:space="preserve"> Four-Month Moxifloxacin-Based Regimens for Drug-Sensitive Tuberculosis. </w:t>
      </w:r>
      <w:r w:rsidRPr="00282D2D">
        <w:rPr>
          <w:rFonts w:ascii="Arial" w:hAnsi="Arial" w:cs="Arial"/>
          <w:i/>
          <w:iCs/>
          <w:noProof/>
        </w:rPr>
        <w:t>N. Engl. J. Med.</w:t>
      </w:r>
      <w:r w:rsidRPr="00282D2D">
        <w:rPr>
          <w:rFonts w:ascii="Arial" w:hAnsi="Arial" w:cs="Arial"/>
          <w:noProof/>
        </w:rPr>
        <w:t xml:space="preserve"> </w:t>
      </w:r>
      <w:r w:rsidRPr="00282D2D">
        <w:rPr>
          <w:rFonts w:ascii="Arial" w:hAnsi="Arial" w:cs="Arial"/>
          <w:b/>
          <w:bCs/>
          <w:noProof/>
        </w:rPr>
        <w:t>371,</w:t>
      </w:r>
      <w:r w:rsidRPr="00282D2D">
        <w:rPr>
          <w:rFonts w:ascii="Arial" w:hAnsi="Arial" w:cs="Arial"/>
          <w:noProof/>
        </w:rPr>
        <w:t xml:space="preserve"> 1577–1587 (2014).</w:t>
      </w:r>
    </w:p>
    <w:p w14:paraId="28FC179D"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3.</w:t>
      </w:r>
      <w:r w:rsidRPr="00282D2D">
        <w:rPr>
          <w:rFonts w:ascii="Arial" w:hAnsi="Arial" w:cs="Arial"/>
          <w:noProof/>
        </w:rPr>
        <w:tab/>
        <w:t xml:space="preserve">Jindani, A. </w:t>
      </w:r>
      <w:r w:rsidRPr="00282D2D">
        <w:rPr>
          <w:rFonts w:ascii="Arial" w:hAnsi="Arial" w:cs="Arial"/>
          <w:i/>
          <w:iCs/>
          <w:noProof/>
        </w:rPr>
        <w:t>et al.</w:t>
      </w:r>
      <w:r w:rsidRPr="00282D2D">
        <w:rPr>
          <w:rFonts w:ascii="Arial" w:hAnsi="Arial" w:cs="Arial"/>
          <w:noProof/>
        </w:rPr>
        <w:t xml:space="preserve"> High-Dose Rifapentine with Moxifloxacin for Pulmonary Tuberculosis. </w:t>
      </w:r>
      <w:r w:rsidRPr="00282D2D">
        <w:rPr>
          <w:rFonts w:ascii="Arial" w:hAnsi="Arial" w:cs="Arial"/>
          <w:i/>
          <w:iCs/>
          <w:noProof/>
        </w:rPr>
        <w:t>N. Engl. J. Med.</w:t>
      </w:r>
      <w:r w:rsidRPr="00282D2D">
        <w:rPr>
          <w:rFonts w:ascii="Arial" w:hAnsi="Arial" w:cs="Arial"/>
          <w:noProof/>
        </w:rPr>
        <w:t xml:space="preserve"> </w:t>
      </w:r>
      <w:r w:rsidRPr="00282D2D">
        <w:rPr>
          <w:rFonts w:ascii="Arial" w:hAnsi="Arial" w:cs="Arial"/>
          <w:b/>
          <w:bCs/>
          <w:noProof/>
        </w:rPr>
        <w:t>371,</w:t>
      </w:r>
      <w:r w:rsidRPr="00282D2D">
        <w:rPr>
          <w:rFonts w:ascii="Arial" w:hAnsi="Arial" w:cs="Arial"/>
          <w:noProof/>
        </w:rPr>
        <w:t xml:space="preserve"> 1599–1608 (2014).</w:t>
      </w:r>
    </w:p>
    <w:p w14:paraId="6A22A94A"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4.</w:t>
      </w:r>
      <w:r w:rsidRPr="00282D2D">
        <w:rPr>
          <w:rFonts w:ascii="Arial" w:hAnsi="Arial" w:cs="Arial"/>
          <w:noProof/>
        </w:rPr>
        <w:tab/>
        <w:t xml:space="preserve">Geneva: World Health Organization. Guidelines for treatment of drug-susceptible tuberculosis and patient care, 2017 update. </w:t>
      </w:r>
      <w:r w:rsidRPr="00282D2D">
        <w:rPr>
          <w:rFonts w:ascii="Arial" w:hAnsi="Arial" w:cs="Arial"/>
          <w:i/>
          <w:iCs/>
          <w:noProof/>
        </w:rPr>
        <w:t>Licence CC BY-NC_SA 3.0 IGO</w:t>
      </w:r>
      <w:r w:rsidRPr="00282D2D">
        <w:rPr>
          <w:rFonts w:ascii="Arial" w:hAnsi="Arial" w:cs="Arial"/>
          <w:noProof/>
        </w:rPr>
        <w:t xml:space="preserve"> (2017).</w:t>
      </w:r>
    </w:p>
    <w:p w14:paraId="4EC5721E"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5.</w:t>
      </w:r>
      <w:r w:rsidRPr="00282D2D">
        <w:rPr>
          <w:rFonts w:ascii="Arial" w:hAnsi="Arial" w:cs="Arial"/>
          <w:noProof/>
        </w:rPr>
        <w:tab/>
        <w:t xml:space="preserve">Nahid, P. </w:t>
      </w:r>
      <w:r w:rsidRPr="00282D2D">
        <w:rPr>
          <w:rFonts w:ascii="Arial" w:hAnsi="Arial" w:cs="Arial"/>
          <w:i/>
          <w:iCs/>
          <w:noProof/>
        </w:rPr>
        <w:t>et al.</w:t>
      </w:r>
      <w:r w:rsidRPr="00282D2D">
        <w:rPr>
          <w:rFonts w:ascii="Arial" w:hAnsi="Arial" w:cs="Arial"/>
          <w:noProof/>
        </w:rPr>
        <w:t xml:space="preserve"> Official American Thoracic Society/Centers for Disease Control and Prevention/Infectious Diseases Society of America Clinical Practice Guidelines: Treatment of Drug-Susceptible Tuberculosis. </w:t>
      </w:r>
      <w:r w:rsidRPr="00282D2D">
        <w:rPr>
          <w:rFonts w:ascii="Arial" w:hAnsi="Arial" w:cs="Arial"/>
          <w:i/>
          <w:iCs/>
          <w:noProof/>
        </w:rPr>
        <w:t>Clin. Infect. Dis.</w:t>
      </w:r>
      <w:r w:rsidRPr="00282D2D">
        <w:rPr>
          <w:rFonts w:ascii="Arial" w:hAnsi="Arial" w:cs="Arial"/>
          <w:noProof/>
        </w:rPr>
        <w:t xml:space="preserve"> </w:t>
      </w:r>
      <w:r w:rsidRPr="00282D2D">
        <w:rPr>
          <w:rFonts w:ascii="Arial" w:hAnsi="Arial" w:cs="Arial"/>
          <w:b/>
          <w:bCs/>
          <w:noProof/>
        </w:rPr>
        <w:t>63,</w:t>
      </w:r>
      <w:r w:rsidRPr="00282D2D">
        <w:rPr>
          <w:rFonts w:ascii="Arial" w:hAnsi="Arial" w:cs="Arial"/>
          <w:noProof/>
        </w:rPr>
        <w:t xml:space="preserve"> e147–e195 (2016).</w:t>
      </w:r>
    </w:p>
    <w:p w14:paraId="07B7DADE"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6.</w:t>
      </w:r>
      <w:r w:rsidRPr="00282D2D">
        <w:rPr>
          <w:rFonts w:ascii="Arial" w:hAnsi="Arial" w:cs="Arial"/>
          <w:noProof/>
        </w:rPr>
        <w:tab/>
        <w:t xml:space="preserve">Jo, K.-W. </w:t>
      </w:r>
      <w:r w:rsidRPr="00282D2D">
        <w:rPr>
          <w:rFonts w:ascii="Arial" w:hAnsi="Arial" w:cs="Arial"/>
          <w:i/>
          <w:iCs/>
          <w:noProof/>
        </w:rPr>
        <w:t>et al.</w:t>
      </w:r>
      <w:r w:rsidRPr="00282D2D">
        <w:rPr>
          <w:rFonts w:ascii="Arial" w:hAnsi="Arial" w:cs="Arial"/>
          <w:noProof/>
        </w:rPr>
        <w:t xml:space="preserve"> Risk factors for 1-year relapse of pulmonary tuberculosis treated with a 6-month daily regimen. </w:t>
      </w:r>
      <w:r w:rsidRPr="00282D2D">
        <w:rPr>
          <w:rFonts w:ascii="Arial" w:hAnsi="Arial" w:cs="Arial"/>
          <w:i/>
          <w:iCs/>
          <w:noProof/>
        </w:rPr>
        <w:t>Respir. Med.</w:t>
      </w:r>
      <w:r w:rsidRPr="00282D2D">
        <w:rPr>
          <w:rFonts w:ascii="Arial" w:hAnsi="Arial" w:cs="Arial"/>
          <w:noProof/>
        </w:rPr>
        <w:t xml:space="preserve"> </w:t>
      </w:r>
      <w:r w:rsidRPr="00282D2D">
        <w:rPr>
          <w:rFonts w:ascii="Arial" w:hAnsi="Arial" w:cs="Arial"/>
          <w:b/>
          <w:bCs/>
          <w:noProof/>
        </w:rPr>
        <w:t>108,</w:t>
      </w:r>
      <w:r w:rsidRPr="00282D2D">
        <w:rPr>
          <w:rFonts w:ascii="Arial" w:hAnsi="Arial" w:cs="Arial"/>
          <w:noProof/>
        </w:rPr>
        <w:t xml:space="preserve"> 654–659 (2014).</w:t>
      </w:r>
    </w:p>
    <w:p w14:paraId="335434B1"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7.</w:t>
      </w:r>
      <w:r w:rsidRPr="00282D2D">
        <w:rPr>
          <w:rFonts w:ascii="Arial" w:hAnsi="Arial" w:cs="Arial"/>
          <w:noProof/>
        </w:rPr>
        <w:tab/>
        <w:t xml:space="preserve">Benator, D. </w:t>
      </w:r>
      <w:r w:rsidRPr="00282D2D">
        <w:rPr>
          <w:rFonts w:ascii="Arial" w:hAnsi="Arial" w:cs="Arial"/>
          <w:i/>
          <w:iCs/>
          <w:noProof/>
        </w:rPr>
        <w:t>et al.</w:t>
      </w:r>
      <w:r w:rsidRPr="00282D2D">
        <w:rPr>
          <w:rFonts w:ascii="Arial" w:hAnsi="Arial" w:cs="Arial"/>
          <w:noProof/>
        </w:rPr>
        <w:t xml:space="preserve"> Rifapentine and isoniazid once a week versus rifampicin and isoniazid twice a week for treatment of drug-susceptible pulmonary tuberculosis in HIV-negative patients: a randomised clinical trial. </w:t>
      </w:r>
      <w:r w:rsidRPr="00282D2D">
        <w:rPr>
          <w:rFonts w:ascii="Arial" w:hAnsi="Arial" w:cs="Arial"/>
          <w:i/>
          <w:iCs/>
          <w:noProof/>
        </w:rPr>
        <w:t>Lancet (London, England)</w:t>
      </w:r>
      <w:r w:rsidRPr="00282D2D">
        <w:rPr>
          <w:rFonts w:ascii="Arial" w:hAnsi="Arial" w:cs="Arial"/>
          <w:noProof/>
        </w:rPr>
        <w:t xml:space="preserve"> </w:t>
      </w:r>
      <w:r w:rsidRPr="00282D2D">
        <w:rPr>
          <w:rFonts w:ascii="Arial" w:hAnsi="Arial" w:cs="Arial"/>
          <w:b/>
          <w:bCs/>
          <w:noProof/>
        </w:rPr>
        <w:t>360,</w:t>
      </w:r>
      <w:r w:rsidRPr="00282D2D">
        <w:rPr>
          <w:rFonts w:ascii="Arial" w:hAnsi="Arial" w:cs="Arial"/>
          <w:noProof/>
        </w:rPr>
        <w:t xml:space="preserve"> 528–34 (2002).</w:t>
      </w:r>
    </w:p>
    <w:p w14:paraId="40762D10"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8.</w:t>
      </w:r>
      <w:r w:rsidRPr="00282D2D">
        <w:rPr>
          <w:rFonts w:ascii="Arial" w:hAnsi="Arial" w:cs="Arial"/>
          <w:noProof/>
        </w:rPr>
        <w:tab/>
        <w:t xml:space="preserve">TBTC Study 31: Rifapentine-containing Tuberculosis Treatment Shortening Regimens. Available at: https://clinicaltrials.gov/ct2/show/NCT02410772. </w:t>
      </w:r>
    </w:p>
    <w:p w14:paraId="10AB9296"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9.</w:t>
      </w:r>
      <w:r w:rsidRPr="00282D2D">
        <w:rPr>
          <w:rFonts w:ascii="Arial" w:hAnsi="Arial" w:cs="Arial"/>
          <w:noProof/>
        </w:rPr>
        <w:tab/>
        <w:t xml:space="preserve">Johnson, J. L. </w:t>
      </w:r>
      <w:r w:rsidRPr="00282D2D">
        <w:rPr>
          <w:rFonts w:ascii="Arial" w:hAnsi="Arial" w:cs="Arial"/>
          <w:i/>
          <w:iCs/>
          <w:noProof/>
        </w:rPr>
        <w:t>et al.</w:t>
      </w:r>
      <w:r w:rsidRPr="00282D2D">
        <w:rPr>
          <w:rFonts w:ascii="Arial" w:hAnsi="Arial" w:cs="Arial"/>
          <w:noProof/>
        </w:rPr>
        <w:t xml:space="preserve"> Shortening Treatment in Adults with Noncavitary Tuberculosis and 2-Month Culture Conversion. </w:t>
      </w:r>
      <w:r w:rsidRPr="00282D2D">
        <w:rPr>
          <w:rFonts w:ascii="Arial" w:hAnsi="Arial" w:cs="Arial"/>
          <w:i/>
          <w:iCs/>
          <w:noProof/>
        </w:rPr>
        <w:t>Am J Respir Crit Care Med</w:t>
      </w:r>
      <w:r w:rsidRPr="00282D2D">
        <w:rPr>
          <w:rFonts w:ascii="Arial" w:hAnsi="Arial" w:cs="Arial"/>
          <w:noProof/>
        </w:rPr>
        <w:t xml:space="preserve"> </w:t>
      </w:r>
      <w:r w:rsidRPr="00282D2D">
        <w:rPr>
          <w:rFonts w:ascii="Arial" w:hAnsi="Arial" w:cs="Arial"/>
          <w:b/>
          <w:bCs/>
          <w:noProof/>
        </w:rPr>
        <w:t>180,</w:t>
      </w:r>
      <w:r w:rsidRPr="00282D2D">
        <w:rPr>
          <w:rFonts w:ascii="Arial" w:hAnsi="Arial" w:cs="Arial"/>
          <w:noProof/>
        </w:rPr>
        <w:t xml:space="preserve"> 558–563 (2009).</w:t>
      </w:r>
    </w:p>
    <w:p w14:paraId="21233AD1"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10.</w:t>
      </w:r>
      <w:r w:rsidRPr="00282D2D">
        <w:rPr>
          <w:rFonts w:ascii="Arial" w:hAnsi="Arial" w:cs="Arial"/>
          <w:noProof/>
        </w:rPr>
        <w:tab/>
        <w:t xml:space="preserve">Savic, R. M. </w:t>
      </w:r>
      <w:r w:rsidRPr="00282D2D">
        <w:rPr>
          <w:rFonts w:ascii="Arial" w:hAnsi="Arial" w:cs="Arial"/>
          <w:i/>
          <w:iCs/>
          <w:noProof/>
        </w:rPr>
        <w:t>et al.</w:t>
      </w:r>
      <w:r w:rsidRPr="00282D2D">
        <w:rPr>
          <w:rFonts w:ascii="Arial" w:hAnsi="Arial" w:cs="Arial"/>
          <w:noProof/>
        </w:rPr>
        <w:t xml:space="preserve"> Defining the optimal dose of rifapentine for pulmonary tuberculosis: Exposure-response relations from two phase II clinical trials. </w:t>
      </w:r>
      <w:r w:rsidRPr="00282D2D">
        <w:rPr>
          <w:rFonts w:ascii="Arial" w:hAnsi="Arial" w:cs="Arial"/>
          <w:i/>
          <w:iCs/>
          <w:noProof/>
        </w:rPr>
        <w:t>Clin. Pharmacol. Ther.</w:t>
      </w:r>
      <w:r w:rsidRPr="00282D2D">
        <w:rPr>
          <w:rFonts w:ascii="Arial" w:hAnsi="Arial" w:cs="Arial"/>
          <w:noProof/>
        </w:rPr>
        <w:t xml:space="preserve"> </w:t>
      </w:r>
      <w:r w:rsidRPr="00282D2D">
        <w:rPr>
          <w:rFonts w:ascii="Arial" w:hAnsi="Arial" w:cs="Arial"/>
          <w:b/>
          <w:bCs/>
          <w:noProof/>
        </w:rPr>
        <w:t>102,</w:t>
      </w:r>
      <w:r w:rsidRPr="00282D2D">
        <w:rPr>
          <w:rFonts w:ascii="Arial" w:hAnsi="Arial" w:cs="Arial"/>
          <w:noProof/>
        </w:rPr>
        <w:t xml:space="preserve"> 321–331 (2017).</w:t>
      </w:r>
    </w:p>
    <w:p w14:paraId="5F9431D9"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11.</w:t>
      </w:r>
      <w:r w:rsidRPr="00282D2D">
        <w:rPr>
          <w:rFonts w:ascii="Arial" w:hAnsi="Arial" w:cs="Arial"/>
          <w:noProof/>
        </w:rPr>
        <w:tab/>
        <w:t xml:space="preserve">Alipanah, N. </w:t>
      </w:r>
      <w:r w:rsidRPr="00282D2D">
        <w:rPr>
          <w:rFonts w:ascii="Arial" w:hAnsi="Arial" w:cs="Arial"/>
          <w:i/>
          <w:iCs/>
          <w:noProof/>
        </w:rPr>
        <w:t>et al.</w:t>
      </w:r>
      <w:r w:rsidRPr="00282D2D">
        <w:rPr>
          <w:rFonts w:ascii="Arial" w:hAnsi="Arial" w:cs="Arial"/>
          <w:noProof/>
        </w:rPr>
        <w:t xml:space="preserve"> Treatment of non-cavitary pulmonary tuberculosis with shortened fluoroquinolone-based regimens: a meta-analysis. </w:t>
      </w:r>
      <w:r w:rsidRPr="00282D2D">
        <w:rPr>
          <w:rFonts w:ascii="Arial" w:hAnsi="Arial" w:cs="Arial"/>
          <w:i/>
          <w:iCs/>
          <w:noProof/>
        </w:rPr>
        <w:t>Int. J. Tuberc. Lung Dis.</w:t>
      </w:r>
      <w:r w:rsidRPr="00282D2D">
        <w:rPr>
          <w:rFonts w:ascii="Arial" w:hAnsi="Arial" w:cs="Arial"/>
          <w:noProof/>
        </w:rPr>
        <w:t xml:space="preserve"> </w:t>
      </w:r>
      <w:r w:rsidRPr="00282D2D">
        <w:rPr>
          <w:rFonts w:ascii="Arial" w:hAnsi="Arial" w:cs="Arial"/>
          <w:b/>
          <w:bCs/>
          <w:noProof/>
        </w:rPr>
        <w:t>20,</w:t>
      </w:r>
      <w:r w:rsidRPr="00282D2D">
        <w:rPr>
          <w:rFonts w:ascii="Arial" w:hAnsi="Arial" w:cs="Arial"/>
          <w:noProof/>
        </w:rPr>
        <w:t xml:space="preserve"> 1522–1528 </w:t>
      </w:r>
      <w:r w:rsidRPr="00282D2D">
        <w:rPr>
          <w:rFonts w:ascii="Arial" w:hAnsi="Arial" w:cs="Arial"/>
          <w:noProof/>
        </w:rPr>
        <w:lastRenderedPageBreak/>
        <w:t>(2016).</w:t>
      </w:r>
    </w:p>
    <w:p w14:paraId="53494E70"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12.</w:t>
      </w:r>
      <w:r w:rsidRPr="00282D2D">
        <w:rPr>
          <w:rFonts w:ascii="Arial" w:hAnsi="Arial" w:cs="Arial"/>
          <w:noProof/>
        </w:rPr>
        <w:tab/>
        <w:t xml:space="preserve">Vernon, A. A. &amp; Iademarco, M. F. In the Treatment of Tuberculosis, You Get What You Pay for…. </w:t>
      </w:r>
      <w:r w:rsidRPr="00282D2D">
        <w:rPr>
          <w:rFonts w:ascii="Arial" w:hAnsi="Arial" w:cs="Arial"/>
          <w:i/>
          <w:iCs/>
          <w:noProof/>
        </w:rPr>
        <w:t>Am. J. Respir. Crit. Care Med.</w:t>
      </w:r>
      <w:r w:rsidRPr="00282D2D">
        <w:rPr>
          <w:rFonts w:ascii="Arial" w:hAnsi="Arial" w:cs="Arial"/>
          <w:noProof/>
        </w:rPr>
        <w:t xml:space="preserve"> </w:t>
      </w:r>
      <w:r w:rsidRPr="00282D2D">
        <w:rPr>
          <w:rFonts w:ascii="Arial" w:hAnsi="Arial" w:cs="Arial"/>
          <w:b/>
          <w:bCs/>
          <w:noProof/>
        </w:rPr>
        <w:t>170,</w:t>
      </w:r>
      <w:r w:rsidRPr="00282D2D">
        <w:rPr>
          <w:rFonts w:ascii="Arial" w:hAnsi="Arial" w:cs="Arial"/>
          <w:noProof/>
        </w:rPr>
        <w:t xml:space="preserve"> 1040–1042 (2004).</w:t>
      </w:r>
    </w:p>
    <w:p w14:paraId="3E52FB26"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13.</w:t>
      </w:r>
      <w:r w:rsidRPr="00282D2D">
        <w:rPr>
          <w:rFonts w:ascii="Arial" w:hAnsi="Arial" w:cs="Arial"/>
          <w:noProof/>
        </w:rPr>
        <w:tab/>
        <w:t xml:space="preserve">Chang, K. C., Leung, C. C., Yew, W. W., Ho, S. C. &amp; Tam, C. M. A Nested Case–Control Study on Treatment-related Risk Factors for Early Relapse of Tuberculosis. </w:t>
      </w:r>
      <w:r w:rsidRPr="00282D2D">
        <w:rPr>
          <w:rFonts w:ascii="Arial" w:hAnsi="Arial" w:cs="Arial"/>
          <w:i/>
          <w:iCs/>
          <w:noProof/>
        </w:rPr>
        <w:t>Am. J. Respir. Crit. Care Med.</w:t>
      </w:r>
      <w:r w:rsidRPr="00282D2D">
        <w:rPr>
          <w:rFonts w:ascii="Arial" w:hAnsi="Arial" w:cs="Arial"/>
          <w:noProof/>
        </w:rPr>
        <w:t xml:space="preserve"> </w:t>
      </w:r>
      <w:r w:rsidRPr="00282D2D">
        <w:rPr>
          <w:rFonts w:ascii="Arial" w:hAnsi="Arial" w:cs="Arial"/>
          <w:b/>
          <w:bCs/>
          <w:noProof/>
        </w:rPr>
        <w:t>170,</w:t>
      </w:r>
      <w:r w:rsidRPr="00282D2D">
        <w:rPr>
          <w:rFonts w:ascii="Arial" w:hAnsi="Arial" w:cs="Arial"/>
          <w:noProof/>
        </w:rPr>
        <w:t xml:space="preserve"> 1124–1130 (2004).</w:t>
      </w:r>
    </w:p>
    <w:p w14:paraId="1079C031"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14.</w:t>
      </w:r>
      <w:r w:rsidRPr="00282D2D">
        <w:rPr>
          <w:rFonts w:ascii="Arial" w:hAnsi="Arial" w:cs="Arial"/>
          <w:noProof/>
        </w:rPr>
        <w:tab/>
        <w:t xml:space="preserve">Ngwatu, B. K. </w:t>
      </w:r>
      <w:r w:rsidRPr="00282D2D">
        <w:rPr>
          <w:rFonts w:ascii="Arial" w:hAnsi="Arial" w:cs="Arial"/>
          <w:i/>
          <w:iCs/>
          <w:noProof/>
        </w:rPr>
        <w:t>et al.</w:t>
      </w:r>
      <w:r w:rsidRPr="00282D2D">
        <w:rPr>
          <w:rFonts w:ascii="Arial" w:hAnsi="Arial" w:cs="Arial"/>
          <w:noProof/>
        </w:rPr>
        <w:t xml:space="preserve"> The impact of digital health technologies on tuberculosis treatment: a systematic review on behalf of the Collaborative group on the impact of digital technologies on TB. </w:t>
      </w:r>
      <w:r w:rsidRPr="00282D2D">
        <w:rPr>
          <w:rFonts w:ascii="Arial" w:hAnsi="Arial" w:cs="Arial"/>
          <w:i/>
          <w:iCs/>
          <w:noProof/>
        </w:rPr>
        <w:t>Eur Respir J</w:t>
      </w:r>
      <w:r w:rsidRPr="00282D2D">
        <w:rPr>
          <w:rFonts w:ascii="Arial" w:hAnsi="Arial" w:cs="Arial"/>
          <w:noProof/>
        </w:rPr>
        <w:t xml:space="preserve"> </w:t>
      </w:r>
      <w:r w:rsidRPr="00282D2D">
        <w:rPr>
          <w:rFonts w:ascii="Arial" w:hAnsi="Arial" w:cs="Arial"/>
          <w:b/>
          <w:bCs/>
          <w:noProof/>
        </w:rPr>
        <w:t>51,</w:t>
      </w:r>
      <w:r w:rsidRPr="00282D2D">
        <w:rPr>
          <w:rFonts w:ascii="Arial" w:hAnsi="Arial" w:cs="Arial"/>
          <w:noProof/>
        </w:rPr>
        <w:t xml:space="preserve"> (2018).</w:t>
      </w:r>
    </w:p>
    <w:p w14:paraId="29CED40B"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15.</w:t>
      </w:r>
      <w:r w:rsidRPr="00282D2D">
        <w:rPr>
          <w:rFonts w:ascii="Arial" w:hAnsi="Arial" w:cs="Arial"/>
          <w:noProof/>
        </w:rPr>
        <w:tab/>
        <w:t xml:space="preserve">DiStefano, M. J. &amp; Schmidt, H. mHealth for Tuberculosis Treatment Adherence: A Framework to Guide Ethical Planning, Implementation, and Evaluation. </w:t>
      </w:r>
      <w:r w:rsidRPr="00282D2D">
        <w:rPr>
          <w:rFonts w:ascii="Arial" w:hAnsi="Arial" w:cs="Arial"/>
          <w:i/>
          <w:iCs/>
          <w:noProof/>
        </w:rPr>
        <w:t>Glob. Heal. Sci. Pract.</w:t>
      </w:r>
      <w:r w:rsidRPr="00282D2D">
        <w:rPr>
          <w:rFonts w:ascii="Arial" w:hAnsi="Arial" w:cs="Arial"/>
          <w:noProof/>
        </w:rPr>
        <w:t xml:space="preserve"> </w:t>
      </w:r>
      <w:r w:rsidRPr="00282D2D">
        <w:rPr>
          <w:rFonts w:ascii="Arial" w:hAnsi="Arial" w:cs="Arial"/>
          <w:b/>
          <w:bCs/>
          <w:noProof/>
        </w:rPr>
        <w:t>4,</w:t>
      </w:r>
      <w:r w:rsidRPr="00282D2D">
        <w:rPr>
          <w:rFonts w:ascii="Arial" w:hAnsi="Arial" w:cs="Arial"/>
          <w:noProof/>
        </w:rPr>
        <w:t xml:space="preserve"> 211–221 (2016).</w:t>
      </w:r>
    </w:p>
    <w:p w14:paraId="7EA98555"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16.</w:t>
      </w:r>
      <w:r w:rsidRPr="00282D2D">
        <w:rPr>
          <w:rFonts w:ascii="Arial" w:hAnsi="Arial" w:cs="Arial"/>
          <w:noProof/>
        </w:rPr>
        <w:tab/>
        <w:t xml:space="preserve">Fox, W., Ellard, G. A. &amp; Mitchison, D. A. Studies on the treatment of tuberculosis undertaken by the British Medical Research Council tuberculosis units, 1946-1986, with relevant subsequent publications. </w:t>
      </w:r>
      <w:r w:rsidRPr="00282D2D">
        <w:rPr>
          <w:rFonts w:ascii="Arial" w:hAnsi="Arial" w:cs="Arial"/>
          <w:i/>
          <w:iCs/>
          <w:noProof/>
        </w:rPr>
        <w:t>Int. J. Tuberc. Lung Dis.</w:t>
      </w:r>
      <w:r w:rsidRPr="00282D2D">
        <w:rPr>
          <w:rFonts w:ascii="Arial" w:hAnsi="Arial" w:cs="Arial"/>
          <w:noProof/>
        </w:rPr>
        <w:t xml:space="preserve"> </w:t>
      </w:r>
      <w:r w:rsidRPr="00282D2D">
        <w:rPr>
          <w:rFonts w:ascii="Arial" w:hAnsi="Arial" w:cs="Arial"/>
          <w:b/>
          <w:bCs/>
          <w:noProof/>
        </w:rPr>
        <w:t>3,</w:t>
      </w:r>
      <w:r w:rsidRPr="00282D2D">
        <w:rPr>
          <w:rFonts w:ascii="Arial" w:hAnsi="Arial" w:cs="Arial"/>
          <w:noProof/>
        </w:rPr>
        <w:t xml:space="preserve"> S231-79 (1999).</w:t>
      </w:r>
    </w:p>
    <w:p w14:paraId="486CF7D4"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17.</w:t>
      </w:r>
      <w:r w:rsidRPr="00282D2D">
        <w:rPr>
          <w:rFonts w:ascii="Arial" w:hAnsi="Arial" w:cs="Arial"/>
          <w:noProof/>
        </w:rPr>
        <w:tab/>
        <w:t xml:space="preserve">Fox, W. Whither short-course chemotherapy? </w:t>
      </w:r>
      <w:r w:rsidRPr="00282D2D">
        <w:rPr>
          <w:rFonts w:ascii="Arial" w:hAnsi="Arial" w:cs="Arial"/>
          <w:i/>
          <w:iCs/>
          <w:noProof/>
        </w:rPr>
        <w:t>Br. J. Dis. Chest</w:t>
      </w:r>
      <w:r w:rsidRPr="00282D2D">
        <w:rPr>
          <w:rFonts w:ascii="Arial" w:hAnsi="Arial" w:cs="Arial"/>
          <w:noProof/>
        </w:rPr>
        <w:t xml:space="preserve"> </w:t>
      </w:r>
      <w:r w:rsidRPr="00282D2D">
        <w:rPr>
          <w:rFonts w:ascii="Arial" w:hAnsi="Arial" w:cs="Arial"/>
          <w:b/>
          <w:bCs/>
          <w:noProof/>
        </w:rPr>
        <w:t>75,</w:t>
      </w:r>
      <w:r w:rsidRPr="00282D2D">
        <w:rPr>
          <w:rFonts w:ascii="Arial" w:hAnsi="Arial" w:cs="Arial"/>
          <w:noProof/>
        </w:rPr>
        <w:t xml:space="preserve"> 331–57 (1981).</w:t>
      </w:r>
    </w:p>
    <w:p w14:paraId="176C53DD"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18.</w:t>
      </w:r>
      <w:r w:rsidRPr="00282D2D">
        <w:rPr>
          <w:rFonts w:ascii="Arial" w:hAnsi="Arial" w:cs="Arial"/>
          <w:noProof/>
        </w:rPr>
        <w:tab/>
        <w:t xml:space="preserve">Kendall, E. A. </w:t>
      </w:r>
      <w:r w:rsidRPr="00282D2D">
        <w:rPr>
          <w:rFonts w:ascii="Arial" w:hAnsi="Arial" w:cs="Arial"/>
          <w:i/>
          <w:iCs/>
          <w:noProof/>
        </w:rPr>
        <w:t>et al.</w:t>
      </w:r>
      <w:r w:rsidRPr="00282D2D">
        <w:rPr>
          <w:rFonts w:ascii="Arial" w:hAnsi="Arial" w:cs="Arial"/>
          <w:noProof/>
        </w:rPr>
        <w:t xml:space="preserve"> Priority-Setting for Novel Drug Regimens to Treat Tuberculosis: An Epidemiologic Model. </w:t>
      </w:r>
      <w:r w:rsidRPr="00282D2D">
        <w:rPr>
          <w:rFonts w:ascii="Arial" w:hAnsi="Arial" w:cs="Arial"/>
          <w:i/>
          <w:iCs/>
          <w:noProof/>
        </w:rPr>
        <w:t>PLOS Med.</w:t>
      </w:r>
      <w:r w:rsidRPr="00282D2D">
        <w:rPr>
          <w:rFonts w:ascii="Arial" w:hAnsi="Arial" w:cs="Arial"/>
          <w:noProof/>
        </w:rPr>
        <w:t xml:space="preserve"> </w:t>
      </w:r>
      <w:r w:rsidRPr="00282D2D">
        <w:rPr>
          <w:rFonts w:ascii="Arial" w:hAnsi="Arial" w:cs="Arial"/>
          <w:b/>
          <w:bCs/>
          <w:noProof/>
        </w:rPr>
        <w:t>14,</w:t>
      </w:r>
      <w:r w:rsidRPr="00282D2D">
        <w:rPr>
          <w:rFonts w:ascii="Arial" w:hAnsi="Arial" w:cs="Arial"/>
          <w:noProof/>
        </w:rPr>
        <w:t xml:space="preserve"> e1002202 (2017).</w:t>
      </w:r>
    </w:p>
    <w:p w14:paraId="31DA0294"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19.</w:t>
      </w:r>
      <w:r w:rsidRPr="00282D2D">
        <w:rPr>
          <w:rFonts w:ascii="Arial" w:hAnsi="Arial" w:cs="Arial"/>
          <w:noProof/>
        </w:rPr>
        <w:tab/>
        <w:t xml:space="preserve">CDISC-Tuberculosis Therapeutic Area User Guide v2.0. (2016). Available at: https://www.cdisc.org/standards/therapeutic-areas/tuberculosis. </w:t>
      </w:r>
    </w:p>
    <w:p w14:paraId="13A1B193" w14:textId="77777777" w:rsidR="00282D2D" w:rsidRPr="00282D2D" w:rsidRDefault="00282D2D" w:rsidP="00282D2D">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20.</w:t>
      </w:r>
      <w:r w:rsidRPr="00282D2D">
        <w:rPr>
          <w:rFonts w:ascii="Arial" w:hAnsi="Arial" w:cs="Arial"/>
          <w:noProof/>
        </w:rPr>
        <w:tab/>
        <w:t xml:space="preserve">Taichman, D. B. </w:t>
      </w:r>
      <w:r w:rsidRPr="00282D2D">
        <w:rPr>
          <w:rFonts w:ascii="Arial" w:hAnsi="Arial" w:cs="Arial"/>
          <w:i/>
          <w:iCs/>
          <w:noProof/>
        </w:rPr>
        <w:t>et al.</w:t>
      </w:r>
      <w:r w:rsidRPr="00282D2D">
        <w:rPr>
          <w:rFonts w:ascii="Arial" w:hAnsi="Arial" w:cs="Arial"/>
          <w:noProof/>
        </w:rPr>
        <w:t xml:space="preserve"> Sharing Clinical Trial Data — A Proposal from the International Committee of Medical Journal Editors. </w:t>
      </w:r>
      <w:r w:rsidRPr="00282D2D">
        <w:rPr>
          <w:rFonts w:ascii="Arial" w:hAnsi="Arial" w:cs="Arial"/>
          <w:i/>
          <w:iCs/>
          <w:noProof/>
        </w:rPr>
        <w:t>N. Engl. J. Med.</w:t>
      </w:r>
      <w:r w:rsidRPr="00282D2D">
        <w:rPr>
          <w:rFonts w:ascii="Arial" w:hAnsi="Arial" w:cs="Arial"/>
          <w:noProof/>
        </w:rPr>
        <w:t xml:space="preserve"> </w:t>
      </w:r>
      <w:r w:rsidRPr="00282D2D">
        <w:rPr>
          <w:rFonts w:ascii="Arial" w:hAnsi="Arial" w:cs="Arial"/>
          <w:b/>
          <w:bCs/>
          <w:noProof/>
        </w:rPr>
        <w:t>374,</w:t>
      </w:r>
      <w:r w:rsidRPr="00282D2D">
        <w:rPr>
          <w:rFonts w:ascii="Arial" w:hAnsi="Arial" w:cs="Arial"/>
          <w:noProof/>
        </w:rPr>
        <w:t xml:space="preserve"> 384–386 (2016).</w:t>
      </w:r>
    </w:p>
    <w:p w14:paraId="0A28D796" w14:textId="6704743B" w:rsidR="00CC1D42" w:rsidRDefault="00126605" w:rsidP="00282D2D">
      <w:pPr>
        <w:widowControl w:val="0"/>
        <w:autoSpaceDE w:val="0"/>
        <w:autoSpaceDN w:val="0"/>
        <w:adjustRightInd w:val="0"/>
        <w:spacing w:line="480" w:lineRule="auto"/>
        <w:ind w:left="640" w:hanging="640"/>
      </w:pPr>
      <w:r w:rsidRPr="00F00852">
        <w:rPr>
          <w:rFonts w:ascii="Arial" w:hAnsi="Arial"/>
          <w:b/>
        </w:rPr>
        <w:fldChar w:fldCharType="end"/>
      </w:r>
      <w:bookmarkEnd w:id="1"/>
    </w:p>
    <w:p w14:paraId="1F23C03F" w14:textId="02874487" w:rsidR="00CC1D42" w:rsidRDefault="00CC1D42" w:rsidP="003673EA">
      <w:pPr>
        <w:widowControl w:val="0"/>
        <w:rPr>
          <w:rFonts w:ascii="Arial" w:hAnsi="Arial" w:cs="Arial"/>
          <w:b/>
        </w:rPr>
      </w:pPr>
    </w:p>
    <w:p w14:paraId="195A1F0A" w14:textId="77777777" w:rsidR="00E66A58" w:rsidRDefault="00E66A58">
      <w:pPr>
        <w:rPr>
          <w:rFonts w:ascii="Arial" w:hAnsi="Arial" w:cs="Arial"/>
          <w:b/>
        </w:rPr>
      </w:pPr>
      <w:r>
        <w:rPr>
          <w:rFonts w:ascii="Arial" w:hAnsi="Arial" w:cs="Arial"/>
          <w:b/>
        </w:rPr>
        <w:br w:type="page"/>
      </w:r>
    </w:p>
    <w:p w14:paraId="64F9D1C4" w14:textId="694EA047" w:rsidR="00BE1F60" w:rsidRDefault="00BE1F60" w:rsidP="003673EA">
      <w:pPr>
        <w:spacing w:line="480" w:lineRule="auto"/>
        <w:outlineLvl w:val="0"/>
        <w:rPr>
          <w:rFonts w:ascii="Arial" w:hAnsi="Arial" w:cs="Arial"/>
          <w:b/>
        </w:rPr>
      </w:pPr>
      <w:r>
        <w:rPr>
          <w:rFonts w:ascii="Arial" w:hAnsi="Arial" w:cs="Arial"/>
          <w:b/>
        </w:rPr>
        <w:lastRenderedPageBreak/>
        <w:t xml:space="preserve">Figure legends </w:t>
      </w:r>
    </w:p>
    <w:p w14:paraId="54410A98" w14:textId="2B3C4699" w:rsidR="00CC1D42" w:rsidRDefault="00126605" w:rsidP="003673EA">
      <w:pPr>
        <w:spacing w:line="480" w:lineRule="auto"/>
        <w:outlineLvl w:val="0"/>
        <w:rPr>
          <w:rFonts w:ascii="Arial" w:hAnsi="Arial" w:cs="Arial"/>
          <w:b/>
        </w:rPr>
      </w:pPr>
      <w:r>
        <w:rPr>
          <w:rFonts w:ascii="Arial" w:hAnsi="Arial" w:cs="Arial"/>
          <w:b/>
        </w:rPr>
        <w:t xml:space="preserve">Figure 1 Analysis and Validation Populations </w:t>
      </w:r>
    </w:p>
    <w:p w14:paraId="4E28B2AC" w14:textId="176DC3E1" w:rsidR="00A92A12" w:rsidRDefault="00386CDA" w:rsidP="003673EA">
      <w:pPr>
        <w:spacing w:line="480" w:lineRule="auto"/>
        <w:outlineLvl w:val="0"/>
        <w:rPr>
          <w:rFonts w:ascii="Arial" w:hAnsi="Arial" w:cs="Arial"/>
        </w:rPr>
      </w:pPr>
      <w:r>
        <w:rPr>
          <w:rFonts w:ascii="Arial" w:hAnsi="Arial" w:cs="Arial"/>
        </w:rPr>
        <w:t>Individua</w:t>
      </w:r>
      <w:r>
        <w:rPr>
          <w:rFonts w:ascii="Arial" w:hAnsi="Arial" w:cs="Arial"/>
        </w:rPr>
        <w:t xml:space="preserve">l </w:t>
      </w:r>
      <w:r w:rsidR="00075704">
        <w:rPr>
          <w:rFonts w:ascii="Arial" w:hAnsi="Arial" w:cs="Arial"/>
        </w:rPr>
        <w:t>patient data from th</w:t>
      </w:r>
      <w:r w:rsidR="00075704">
        <w:rPr>
          <w:rFonts w:ascii="Arial" w:hAnsi="Arial" w:cs="Arial"/>
        </w:rPr>
        <w:t xml:space="preserve">ree </w:t>
      </w:r>
      <w:r w:rsidR="00075704">
        <w:rPr>
          <w:rFonts w:ascii="Arial" w:hAnsi="Arial" w:cs="Arial"/>
        </w:rPr>
        <w:t>trials were pooled for analysis</w:t>
      </w:r>
      <w:r w:rsidR="00075704">
        <w:rPr>
          <w:rFonts w:ascii="Arial" w:hAnsi="Arial" w:cs="Arial"/>
        </w:rPr>
        <w:t>. The o</w:t>
      </w:r>
      <w:r w:rsidR="00126605">
        <w:rPr>
          <w:rFonts w:ascii="Arial" w:hAnsi="Arial" w:cs="Arial"/>
        </w:rPr>
        <w:t xml:space="preserve">riginal results were published in </w:t>
      </w:r>
      <w:r w:rsidR="00183FF8">
        <w:rPr>
          <w:rFonts w:ascii="Arial" w:hAnsi="Arial" w:cs="Arial"/>
        </w:rPr>
        <w:t xml:space="preserve">Merle et al 2014 (OFLOTUB), </w:t>
      </w:r>
      <w:r w:rsidR="00126605">
        <w:rPr>
          <w:rFonts w:ascii="Arial" w:hAnsi="Arial" w:cs="Arial"/>
        </w:rPr>
        <w:t>Gillespie et al. 2014 (</w:t>
      </w:r>
      <w:proofErr w:type="spellStart"/>
      <w:r w:rsidR="00126605">
        <w:rPr>
          <w:rFonts w:ascii="Arial" w:hAnsi="Arial" w:cs="Arial"/>
        </w:rPr>
        <w:t>REMoxTB</w:t>
      </w:r>
      <w:proofErr w:type="spellEnd"/>
      <w:r w:rsidR="00126605">
        <w:rPr>
          <w:rFonts w:ascii="Arial" w:hAnsi="Arial" w:cs="Arial"/>
        </w:rPr>
        <w:t xml:space="preserve">), </w:t>
      </w:r>
      <w:r w:rsidR="00075704">
        <w:rPr>
          <w:rFonts w:ascii="Arial" w:hAnsi="Arial" w:cs="Arial"/>
        </w:rPr>
        <w:t xml:space="preserve">and </w:t>
      </w:r>
      <w:proofErr w:type="spellStart"/>
      <w:r w:rsidR="00126605">
        <w:rPr>
          <w:rFonts w:ascii="Arial" w:hAnsi="Arial" w:cs="Arial"/>
        </w:rPr>
        <w:t>Jindani</w:t>
      </w:r>
      <w:proofErr w:type="spellEnd"/>
      <w:r w:rsidR="00126605">
        <w:rPr>
          <w:rFonts w:ascii="Arial" w:hAnsi="Arial" w:cs="Arial"/>
        </w:rPr>
        <w:t xml:space="preserve"> et al 2014 (RIFAQUIN)</w:t>
      </w:r>
      <w:r w:rsidR="00075704">
        <w:rPr>
          <w:rFonts w:ascii="Arial" w:hAnsi="Arial" w:cs="Arial"/>
        </w:rPr>
        <w:t xml:space="preserve">. </w:t>
      </w:r>
      <w:r>
        <w:rPr>
          <w:rFonts w:ascii="Arial" w:hAnsi="Arial" w:cs="Arial"/>
        </w:rPr>
        <w:t>Data from a</w:t>
      </w:r>
      <w:r w:rsidR="00075704">
        <w:rPr>
          <w:rFonts w:ascii="Arial" w:hAnsi="Arial" w:cs="Arial"/>
        </w:rPr>
        <w:t xml:space="preserve"> fourth trial, DMID 01-009, was used for external validation and </w:t>
      </w:r>
      <w:r w:rsidR="00075704">
        <w:rPr>
          <w:rFonts w:ascii="Arial" w:hAnsi="Arial" w:cs="Arial"/>
        </w:rPr>
        <w:t xml:space="preserve">previously published </w:t>
      </w:r>
      <w:proofErr w:type="gramStart"/>
      <w:r w:rsidR="00075704">
        <w:rPr>
          <w:rFonts w:ascii="Arial" w:hAnsi="Arial" w:cs="Arial"/>
        </w:rPr>
        <w:t>in</w:t>
      </w:r>
      <w:r w:rsidR="00075704">
        <w:rPr>
          <w:rFonts w:ascii="Arial" w:hAnsi="Arial" w:cs="Arial"/>
        </w:rPr>
        <w:t xml:space="preserve"> </w:t>
      </w:r>
      <w:r w:rsidR="00126605">
        <w:rPr>
          <w:rFonts w:ascii="Arial" w:hAnsi="Arial" w:cs="Arial"/>
        </w:rPr>
        <w:t xml:space="preserve"> Johnson</w:t>
      </w:r>
      <w:proofErr w:type="gramEnd"/>
      <w:r w:rsidR="00126605">
        <w:rPr>
          <w:rFonts w:ascii="Arial" w:hAnsi="Arial" w:cs="Arial"/>
        </w:rPr>
        <w:t xml:space="preserve"> et al. 2009</w:t>
      </w:r>
      <w:r w:rsidR="00075704">
        <w:rPr>
          <w:rFonts w:ascii="Arial" w:hAnsi="Arial" w:cs="Arial"/>
        </w:rPr>
        <w:t xml:space="preserve">. The modified intent-to-treat population was used </w:t>
      </w:r>
      <w:r w:rsidR="00075704">
        <w:rPr>
          <w:rFonts w:ascii="Arial" w:hAnsi="Arial" w:cs="Arial"/>
        </w:rPr>
        <w:t xml:space="preserve">for the analysis. </w:t>
      </w:r>
      <w:r w:rsidR="00075704">
        <w:rPr>
          <w:rFonts w:ascii="Arial" w:hAnsi="Arial" w:cs="Arial"/>
        </w:rPr>
        <w:t>*</w:t>
      </w:r>
      <w:r w:rsidR="00075704">
        <w:rPr>
          <w:rFonts w:ascii="Arial" w:hAnsi="Arial" w:cs="Arial"/>
        </w:rPr>
        <w:t xml:space="preserve">For </w:t>
      </w:r>
      <w:r>
        <w:rPr>
          <w:rFonts w:ascii="Arial" w:hAnsi="Arial" w:cs="Arial"/>
        </w:rPr>
        <w:t xml:space="preserve">the </w:t>
      </w:r>
      <w:r w:rsidR="00075704">
        <w:rPr>
          <w:rFonts w:ascii="Arial" w:hAnsi="Arial" w:cs="Arial"/>
        </w:rPr>
        <w:t>validation</w:t>
      </w:r>
      <w:r>
        <w:rPr>
          <w:rFonts w:ascii="Arial" w:hAnsi="Arial" w:cs="Arial"/>
        </w:rPr>
        <w:t xml:space="preserve"> dataset</w:t>
      </w:r>
      <w:r w:rsidR="00075704">
        <w:rPr>
          <w:rFonts w:ascii="Arial" w:hAnsi="Arial" w:cs="Arial"/>
        </w:rPr>
        <w:t>, the</w:t>
      </w:r>
      <w:r w:rsidR="00126605">
        <w:rPr>
          <w:rFonts w:ascii="Arial" w:hAnsi="Arial" w:cs="Arial"/>
        </w:rPr>
        <w:t xml:space="preserve"> time to event analysis population </w:t>
      </w:r>
      <w:r w:rsidR="00075704">
        <w:rPr>
          <w:rFonts w:ascii="Arial" w:hAnsi="Arial" w:cs="Arial"/>
        </w:rPr>
        <w:t>in</w:t>
      </w:r>
      <w:r w:rsidR="00126605">
        <w:rPr>
          <w:rFonts w:ascii="Arial" w:hAnsi="Arial" w:cs="Arial"/>
        </w:rPr>
        <w:t xml:space="preserve"> the original publication</w:t>
      </w:r>
      <w:r w:rsidR="00075704">
        <w:rPr>
          <w:rFonts w:ascii="Arial" w:hAnsi="Arial" w:cs="Arial"/>
        </w:rPr>
        <w:t xml:space="preserve"> was used</w:t>
      </w:r>
      <w:r w:rsidR="00126605">
        <w:rPr>
          <w:rFonts w:ascii="Arial" w:hAnsi="Arial" w:cs="Arial"/>
        </w:rPr>
        <w:t>. †</w:t>
      </w:r>
      <w:proofErr w:type="spellStart"/>
      <w:r w:rsidR="00126605">
        <w:rPr>
          <w:rFonts w:ascii="Arial" w:hAnsi="Arial" w:cs="Arial"/>
        </w:rPr>
        <w:t>REMoxTB</w:t>
      </w:r>
      <w:proofErr w:type="spellEnd"/>
      <w:r w:rsidR="00126605">
        <w:rPr>
          <w:rFonts w:ascii="Arial" w:hAnsi="Arial" w:cs="Arial"/>
        </w:rPr>
        <w:t xml:space="preserve"> consisted of two 4-month experimental groups. </w:t>
      </w:r>
    </w:p>
    <w:p w14:paraId="5E4041B5" w14:textId="3352FB45" w:rsidR="00CC1D42" w:rsidRDefault="00CC1D42" w:rsidP="003673EA">
      <w:pPr>
        <w:spacing w:line="480" w:lineRule="auto"/>
        <w:outlineLvl w:val="0"/>
        <w:rPr>
          <w:rFonts w:ascii="Arial" w:hAnsi="Arial" w:cs="Arial"/>
        </w:rPr>
      </w:pPr>
    </w:p>
    <w:p w14:paraId="6225AA72" w14:textId="77777777" w:rsidR="00CC1D42" w:rsidRDefault="00CC1D42"/>
    <w:p w14:paraId="633349EC" w14:textId="47DC497E" w:rsidR="007210C5" w:rsidRPr="003D6A3A" w:rsidRDefault="007210C5" w:rsidP="008F1E8F">
      <w:pPr>
        <w:spacing w:line="480" w:lineRule="auto"/>
        <w:rPr>
          <w:rFonts w:ascii="Arial" w:hAnsi="Arial"/>
          <w:b/>
        </w:rPr>
      </w:pPr>
      <w:r w:rsidRPr="003D6A3A">
        <w:rPr>
          <w:rFonts w:ascii="Arial" w:hAnsi="Arial"/>
          <w:b/>
        </w:rPr>
        <w:t xml:space="preserve">Figure 2. Multivariate </w:t>
      </w:r>
      <w:r>
        <w:rPr>
          <w:rFonts w:ascii="Arial" w:hAnsi="Arial" w:cs="Arial"/>
          <w:b/>
        </w:rPr>
        <w:t>hazard ratios</w:t>
      </w:r>
      <w:r w:rsidRPr="003D6A3A">
        <w:rPr>
          <w:rFonts w:ascii="Arial" w:hAnsi="Arial"/>
          <w:b/>
        </w:rPr>
        <w:t xml:space="preserve"> for unfavorable outcomes</w:t>
      </w:r>
    </w:p>
    <w:p w14:paraId="41A7D41A" w14:textId="4B66193A" w:rsidR="007210C5" w:rsidRDefault="008F1E8F" w:rsidP="008F1E8F">
      <w:pPr>
        <w:spacing w:line="480" w:lineRule="auto"/>
        <w:rPr>
          <w:rFonts w:ascii="Arial" w:hAnsi="Arial" w:cs="Arial"/>
        </w:rPr>
      </w:pPr>
      <w:r w:rsidRPr="004B74B5">
        <w:rPr>
          <w:rFonts w:ascii="Arial" w:hAnsi="Arial" w:cs="Arial"/>
          <w:b/>
        </w:rPr>
        <w:t>a</w:t>
      </w:r>
      <w:r w:rsidR="007210C5" w:rsidRPr="004B74B5">
        <w:rPr>
          <w:rFonts w:ascii="Arial" w:hAnsi="Arial" w:cs="Arial"/>
          <w:b/>
        </w:rPr>
        <w:t>.</w:t>
      </w:r>
      <w:r w:rsidR="007210C5" w:rsidRPr="00757548">
        <w:rPr>
          <w:rFonts w:ascii="Arial" w:hAnsi="Arial" w:cs="Arial"/>
        </w:rPr>
        <w:t xml:space="preserve"> Multivariate analysis for </w:t>
      </w:r>
      <w:r w:rsidR="007210C5">
        <w:rPr>
          <w:rFonts w:ascii="Arial" w:hAnsi="Arial" w:cs="Arial"/>
        </w:rPr>
        <w:t>experimental</w:t>
      </w:r>
      <w:r w:rsidR="007210C5" w:rsidRPr="00757548">
        <w:rPr>
          <w:rFonts w:ascii="Arial" w:hAnsi="Arial" w:cs="Arial"/>
        </w:rPr>
        <w:t xml:space="preserve"> group with (top panel) baseline predictors and (bottom panel) baseline and on-treatment predictors. </w:t>
      </w:r>
      <w:r w:rsidRPr="004B74B5">
        <w:rPr>
          <w:rFonts w:ascii="Arial" w:hAnsi="Arial" w:cs="Arial"/>
          <w:b/>
        </w:rPr>
        <w:t>b</w:t>
      </w:r>
      <w:r w:rsidR="007210C5" w:rsidRPr="004B74B5">
        <w:rPr>
          <w:rFonts w:ascii="Arial" w:hAnsi="Arial" w:cs="Arial"/>
          <w:b/>
        </w:rPr>
        <w:t>.</w:t>
      </w:r>
      <w:r w:rsidR="007210C5" w:rsidRPr="00757548">
        <w:rPr>
          <w:rFonts w:ascii="Arial" w:hAnsi="Arial" w:cs="Arial"/>
        </w:rPr>
        <w:t xml:space="preserve"> Multivariate analysis for </w:t>
      </w:r>
      <w:r w:rsidR="007210C5">
        <w:rPr>
          <w:rFonts w:ascii="Arial" w:hAnsi="Arial" w:cs="Arial"/>
        </w:rPr>
        <w:t>control</w:t>
      </w:r>
      <w:r w:rsidR="007210C5" w:rsidRPr="00757548">
        <w:rPr>
          <w:rFonts w:ascii="Arial" w:hAnsi="Arial" w:cs="Arial"/>
        </w:rPr>
        <w:t xml:space="preserve"> group with (top panel) baseline predictors and (bottom panel) baseline and on-treatment predictors.</w:t>
      </w:r>
      <w:r w:rsidR="007210C5">
        <w:rPr>
          <w:rFonts w:ascii="Arial" w:hAnsi="Arial" w:cs="Arial"/>
        </w:rPr>
        <w:t xml:space="preserve"> All analyses were adjusted for country</w:t>
      </w:r>
      <w:r w:rsidR="00107463">
        <w:rPr>
          <w:rFonts w:ascii="Arial" w:hAnsi="Arial" w:cs="Arial"/>
        </w:rPr>
        <w:t xml:space="preserve"> and e</w:t>
      </w:r>
      <w:r w:rsidR="00485D45">
        <w:rPr>
          <w:rFonts w:ascii="Arial" w:hAnsi="Arial" w:cs="Arial"/>
        </w:rPr>
        <w:t>ffect size</w:t>
      </w:r>
      <w:r w:rsidR="00231F59">
        <w:rPr>
          <w:rFonts w:ascii="Arial" w:hAnsi="Arial" w:cs="Arial"/>
        </w:rPr>
        <w:t>s</w:t>
      </w:r>
      <w:r w:rsidR="00107463">
        <w:rPr>
          <w:rFonts w:ascii="Arial" w:hAnsi="Arial" w:cs="Arial"/>
        </w:rPr>
        <w:t xml:space="preserve"> are available in Supplementary Table </w:t>
      </w:r>
      <w:r w:rsidR="00AA3E1C">
        <w:rPr>
          <w:rFonts w:ascii="Arial" w:hAnsi="Arial" w:cs="Arial"/>
        </w:rPr>
        <w:t>4</w:t>
      </w:r>
      <w:r w:rsidR="00107463">
        <w:rPr>
          <w:rFonts w:ascii="Arial" w:hAnsi="Arial" w:cs="Arial"/>
        </w:rPr>
        <w:t xml:space="preserve"> and Supplementary Table </w:t>
      </w:r>
      <w:r w:rsidR="00AA3E1C">
        <w:rPr>
          <w:rFonts w:ascii="Arial" w:hAnsi="Arial" w:cs="Arial"/>
        </w:rPr>
        <w:t>5</w:t>
      </w:r>
      <w:r w:rsidR="007210C5">
        <w:rPr>
          <w:rFonts w:ascii="Arial" w:hAnsi="Arial" w:cs="Arial"/>
        </w:rPr>
        <w:t>.</w:t>
      </w:r>
      <w:r w:rsidR="00A92A12">
        <w:rPr>
          <w:rFonts w:ascii="Arial" w:hAnsi="Arial" w:cs="Arial"/>
        </w:rPr>
        <w:t xml:space="preserve"> </w:t>
      </w:r>
      <w:r w:rsidR="005E67DD">
        <w:rPr>
          <w:rFonts w:ascii="Arial" w:hAnsi="Arial" w:cs="Arial"/>
        </w:rPr>
        <w:t xml:space="preserve">Hazard ratios with 95% Wald confidence intervals </w:t>
      </w:r>
      <w:r w:rsidR="005E67DD">
        <w:rPr>
          <w:rFonts w:ascii="Arial" w:hAnsi="Arial" w:cs="Arial"/>
        </w:rPr>
        <w:t xml:space="preserve">are reported. </w:t>
      </w:r>
      <w:r w:rsidR="007210C5">
        <w:rPr>
          <w:rFonts w:ascii="Arial" w:hAnsi="Arial" w:cs="Arial"/>
        </w:rPr>
        <w:t xml:space="preserve">The size </w:t>
      </w:r>
      <w:r w:rsidR="007210C5" w:rsidRPr="00C428AD">
        <w:rPr>
          <w:rFonts w:ascii="Arial" w:hAnsi="Arial" w:cs="Arial"/>
        </w:rPr>
        <w:t xml:space="preserve">of the square denotes the relative sample size according to variable. </w:t>
      </w:r>
    </w:p>
    <w:p w14:paraId="7C4C9192" w14:textId="2C93BFBA" w:rsidR="007210C5" w:rsidRDefault="007210C5" w:rsidP="008F1E8F">
      <w:pPr>
        <w:spacing w:line="480" w:lineRule="auto"/>
        <w:rPr>
          <w:rFonts w:ascii="Arial" w:hAnsi="Arial" w:cs="Arial"/>
        </w:rPr>
      </w:pPr>
      <w:r w:rsidRPr="00C428AD">
        <w:rPr>
          <w:rFonts w:ascii="Arial" w:hAnsi="Arial" w:cs="Arial"/>
        </w:rPr>
        <w:t>*</w:t>
      </w:r>
      <w:r w:rsidRPr="00E03F35">
        <w:rPr>
          <w:rFonts w:ascii="Arial" w:hAnsi="Arial" w:cs="Arial"/>
        </w:rPr>
        <w:t xml:space="preserve"> </w:t>
      </w:r>
      <w:r w:rsidRPr="00C428AD">
        <w:rPr>
          <w:rFonts w:ascii="Arial" w:hAnsi="Arial" w:cs="Arial"/>
        </w:rPr>
        <w:t xml:space="preserve">Age </w:t>
      </w:r>
      <w:r>
        <w:rPr>
          <w:rFonts w:ascii="Arial" w:hAnsi="Arial" w:cs="Arial"/>
        </w:rPr>
        <w:t>&lt;</w:t>
      </w:r>
      <m:oMath>
        <m:r>
          <m:rPr>
            <m:sty m:val="p"/>
          </m:rPr>
          <w:rPr>
            <w:rFonts w:ascii="Cambria Math" w:hAnsi="Cambria Math" w:cs="Arial"/>
          </w:rPr>
          <m:t xml:space="preserve"> </m:t>
        </m:r>
      </m:oMath>
      <w:r w:rsidRPr="00C428AD">
        <w:rPr>
          <w:rFonts w:ascii="Arial" w:hAnsi="Arial" w:cs="Arial"/>
        </w:rPr>
        <w:t>30 years, 17</w:t>
      </w:r>
      <w:r>
        <w:rPr>
          <w:rFonts w:ascii="Arial" w:hAnsi="Arial" w:cs="Arial"/>
        </w:rPr>
        <w:t>9</w:t>
      </w:r>
      <w:r w:rsidRPr="00C428AD">
        <w:rPr>
          <w:rFonts w:ascii="Arial" w:hAnsi="Arial" w:cs="Arial"/>
        </w:rPr>
        <w:t>/</w:t>
      </w:r>
      <w:r>
        <w:rPr>
          <w:rFonts w:ascii="Arial" w:hAnsi="Arial" w:cs="Arial"/>
        </w:rPr>
        <w:t>916</w:t>
      </w:r>
      <w:r w:rsidRPr="00C428AD">
        <w:rPr>
          <w:rFonts w:ascii="Arial" w:hAnsi="Arial" w:cs="Arial"/>
        </w:rPr>
        <w:t xml:space="preserve"> (</w:t>
      </w:r>
      <w:r>
        <w:rPr>
          <w:rFonts w:ascii="Arial" w:hAnsi="Arial" w:cs="Arial"/>
        </w:rPr>
        <w:t>20</w:t>
      </w:r>
      <w:r w:rsidRPr="00C428AD">
        <w:rPr>
          <w:rFonts w:ascii="Arial" w:hAnsi="Arial" w:cs="Arial"/>
        </w:rPr>
        <w:t xml:space="preserve">%) unfavorable outcomes and Age </w:t>
      </w:r>
      <m:oMath>
        <m:r>
          <m:rPr>
            <m:sty m:val="p"/>
          </m:rPr>
          <w:rPr>
            <w:rFonts w:ascii="Cambria Math" w:hAnsi="Cambria Math" w:cs="Arial"/>
          </w:rPr>
          <m:t>≥</m:t>
        </m:r>
      </m:oMath>
      <w:r w:rsidRPr="00C428AD">
        <w:rPr>
          <w:rFonts w:ascii="Arial" w:hAnsi="Arial" w:cs="Arial"/>
        </w:rPr>
        <w:t xml:space="preserve"> 30 years, </w:t>
      </w:r>
      <w:r>
        <w:rPr>
          <w:rFonts w:ascii="Arial" w:hAnsi="Arial" w:cs="Arial"/>
        </w:rPr>
        <w:t>237/927</w:t>
      </w:r>
      <w:r w:rsidRPr="00C428AD">
        <w:rPr>
          <w:rFonts w:ascii="Arial" w:hAnsi="Arial" w:cs="Arial"/>
        </w:rPr>
        <w:t xml:space="preserve"> (</w:t>
      </w:r>
      <w:r>
        <w:rPr>
          <w:rFonts w:ascii="Arial" w:hAnsi="Arial" w:cs="Arial"/>
        </w:rPr>
        <w:t>26</w:t>
      </w:r>
      <w:r w:rsidRPr="00C428AD">
        <w:rPr>
          <w:rFonts w:ascii="Arial" w:hAnsi="Arial" w:cs="Arial"/>
        </w:rPr>
        <w:t>%) unfavorable outcomes</w:t>
      </w:r>
      <w:r>
        <w:rPr>
          <w:rFonts w:ascii="Arial" w:hAnsi="Arial" w:cs="Arial"/>
        </w:rPr>
        <w:t xml:space="preserve">. </w:t>
      </w:r>
      <w:r w:rsidRPr="00C428AD">
        <w:rPr>
          <w:rFonts w:ascii="Arial" w:hAnsi="Arial" w:cs="Arial"/>
        </w:rPr>
        <w:t xml:space="preserve">† Age </w:t>
      </w:r>
      <w:r>
        <w:rPr>
          <w:rFonts w:ascii="Arial" w:hAnsi="Arial" w:cs="Arial"/>
        </w:rPr>
        <w:t>&lt;</w:t>
      </w:r>
      <m:oMath>
        <m:r>
          <m:rPr>
            <m:sty m:val="p"/>
          </m:rPr>
          <w:rPr>
            <w:rFonts w:ascii="Cambria Math" w:hAnsi="Cambria Math" w:cs="Arial"/>
          </w:rPr>
          <m:t xml:space="preserve"> </m:t>
        </m:r>
      </m:oMath>
      <w:r w:rsidRPr="00C428AD">
        <w:rPr>
          <w:rFonts w:ascii="Arial" w:hAnsi="Arial" w:cs="Arial"/>
        </w:rPr>
        <w:t xml:space="preserve">30 years, </w:t>
      </w:r>
      <w:r>
        <w:rPr>
          <w:rFonts w:ascii="Arial" w:hAnsi="Arial" w:cs="Arial"/>
        </w:rPr>
        <w:t>136/830</w:t>
      </w:r>
      <w:r w:rsidRPr="00C428AD">
        <w:rPr>
          <w:rFonts w:ascii="Arial" w:hAnsi="Arial" w:cs="Arial"/>
        </w:rPr>
        <w:t xml:space="preserve"> (</w:t>
      </w:r>
      <w:r>
        <w:rPr>
          <w:rFonts w:ascii="Arial" w:hAnsi="Arial" w:cs="Arial"/>
        </w:rPr>
        <w:t>16</w:t>
      </w:r>
      <w:r w:rsidRPr="00C428AD">
        <w:rPr>
          <w:rFonts w:ascii="Arial" w:hAnsi="Arial" w:cs="Arial"/>
        </w:rPr>
        <w:t xml:space="preserve">%) unfavorable outcomes and Age </w:t>
      </w:r>
      <m:oMath>
        <m:r>
          <m:rPr>
            <m:sty m:val="p"/>
          </m:rPr>
          <w:rPr>
            <w:rFonts w:ascii="Cambria Math" w:hAnsi="Cambria Math" w:cs="Arial"/>
          </w:rPr>
          <m:t>≥</m:t>
        </m:r>
      </m:oMath>
      <w:r w:rsidRPr="00C428AD">
        <w:rPr>
          <w:rFonts w:ascii="Arial" w:hAnsi="Arial" w:cs="Arial"/>
        </w:rPr>
        <w:t xml:space="preserve"> 30 years, </w:t>
      </w:r>
      <w:r>
        <w:rPr>
          <w:rFonts w:ascii="Arial" w:hAnsi="Arial" w:cs="Arial"/>
        </w:rPr>
        <w:t>181/838</w:t>
      </w:r>
      <w:r w:rsidRPr="00C428AD">
        <w:rPr>
          <w:rFonts w:ascii="Arial" w:hAnsi="Arial" w:cs="Arial"/>
        </w:rPr>
        <w:t xml:space="preserve"> (</w:t>
      </w:r>
      <w:r>
        <w:rPr>
          <w:rFonts w:ascii="Arial" w:hAnsi="Arial" w:cs="Arial"/>
        </w:rPr>
        <w:t>22</w:t>
      </w:r>
      <w:r w:rsidRPr="00C428AD">
        <w:rPr>
          <w:rFonts w:ascii="Arial" w:hAnsi="Arial" w:cs="Arial"/>
        </w:rPr>
        <w:t xml:space="preserve">%) unfavorable outcomes; BMI </w:t>
      </w:r>
      <m:oMath>
        <m:r>
          <m:rPr>
            <m:sty m:val="p"/>
          </m:rPr>
          <w:rPr>
            <w:rFonts w:ascii="Cambria Math" w:hAnsi="Cambria Math" w:cs="Arial"/>
          </w:rPr>
          <m:t>≥</m:t>
        </m:r>
      </m:oMath>
      <w:r w:rsidRPr="00C428AD">
        <w:rPr>
          <w:rFonts w:ascii="Arial" w:hAnsi="Arial" w:cs="Arial"/>
        </w:rPr>
        <w:t xml:space="preserve"> </w:t>
      </w:r>
      <w:r>
        <w:rPr>
          <w:rFonts w:ascii="Arial" w:hAnsi="Arial" w:cs="Arial"/>
        </w:rPr>
        <w:t>17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226/1247</w:t>
      </w:r>
      <w:r w:rsidRPr="00C428AD">
        <w:rPr>
          <w:rFonts w:ascii="Arial" w:hAnsi="Arial" w:cs="Arial"/>
        </w:rPr>
        <w:t xml:space="preserve"> (</w:t>
      </w:r>
      <w:r>
        <w:rPr>
          <w:rFonts w:ascii="Arial" w:hAnsi="Arial" w:cs="Arial"/>
        </w:rPr>
        <w:t>18</w:t>
      </w:r>
      <w:r w:rsidRPr="00C428AD">
        <w:rPr>
          <w:rFonts w:ascii="Arial" w:hAnsi="Arial" w:cs="Arial"/>
        </w:rPr>
        <w:t xml:space="preserve">%) unfavorable outcomes and BMI </w:t>
      </w:r>
      <w:r>
        <w:rPr>
          <w:rFonts w:ascii="Arial" w:hAnsi="Arial" w:cs="Arial"/>
        </w:rPr>
        <w:t>&lt;</w:t>
      </w:r>
      <w:r w:rsidRPr="00C428AD">
        <w:rPr>
          <w:rFonts w:ascii="Arial" w:hAnsi="Arial" w:cs="Arial"/>
        </w:rPr>
        <w:t xml:space="preserve"> 1</w:t>
      </w:r>
      <w:r>
        <w:rPr>
          <w:rFonts w:ascii="Arial" w:hAnsi="Arial" w:cs="Arial"/>
        </w:rPr>
        <w:t>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91/421</w:t>
      </w:r>
      <w:r w:rsidRPr="00C428AD">
        <w:rPr>
          <w:rFonts w:ascii="Arial" w:hAnsi="Arial" w:cs="Arial"/>
        </w:rPr>
        <w:t xml:space="preserve"> (</w:t>
      </w:r>
      <w:r>
        <w:rPr>
          <w:rFonts w:ascii="Arial" w:hAnsi="Arial" w:cs="Arial"/>
        </w:rPr>
        <w:t>22</w:t>
      </w:r>
      <w:r w:rsidRPr="00C428AD">
        <w:rPr>
          <w:rFonts w:ascii="Arial" w:hAnsi="Arial" w:cs="Arial"/>
        </w:rPr>
        <w:t xml:space="preserve">%) unfavorable outcomes. ∫ Age </w:t>
      </w:r>
      <w:r>
        <w:rPr>
          <w:rFonts w:ascii="Arial" w:hAnsi="Arial" w:cs="Arial"/>
        </w:rPr>
        <w:t>&lt;</w:t>
      </w:r>
      <m:oMath>
        <m:r>
          <m:rPr>
            <m:sty m:val="p"/>
          </m:rPr>
          <w:rPr>
            <w:rFonts w:ascii="Cambria Math" w:hAnsi="Cambria Math" w:cs="Arial"/>
          </w:rPr>
          <m:t xml:space="preserve"> </m:t>
        </m:r>
      </m:oMath>
      <w:r w:rsidRPr="00C428AD">
        <w:rPr>
          <w:rFonts w:ascii="Arial" w:hAnsi="Arial" w:cs="Arial"/>
        </w:rPr>
        <w:t xml:space="preserve">30 years, </w:t>
      </w:r>
      <w:r>
        <w:rPr>
          <w:rFonts w:ascii="Arial" w:hAnsi="Arial" w:cs="Arial"/>
        </w:rPr>
        <w:t>92/657</w:t>
      </w:r>
      <w:r w:rsidRPr="00C428AD">
        <w:rPr>
          <w:rFonts w:ascii="Arial" w:hAnsi="Arial" w:cs="Arial"/>
        </w:rPr>
        <w:t xml:space="preserve"> (</w:t>
      </w:r>
      <w:r>
        <w:rPr>
          <w:rFonts w:ascii="Arial" w:hAnsi="Arial" w:cs="Arial"/>
        </w:rPr>
        <w:t>14</w:t>
      </w:r>
      <w:r w:rsidRPr="00C428AD">
        <w:rPr>
          <w:rFonts w:ascii="Arial" w:hAnsi="Arial" w:cs="Arial"/>
        </w:rPr>
        <w:t xml:space="preserve">%) unfavorable outcomes and Age </w:t>
      </w:r>
      <m:oMath>
        <m:r>
          <m:rPr>
            <m:sty m:val="p"/>
          </m:rPr>
          <w:rPr>
            <w:rFonts w:ascii="Cambria Math" w:hAnsi="Cambria Math" w:cs="Arial"/>
          </w:rPr>
          <m:t>≥</m:t>
        </m:r>
      </m:oMath>
      <w:r w:rsidRPr="00C428AD">
        <w:rPr>
          <w:rFonts w:ascii="Arial" w:hAnsi="Arial" w:cs="Arial"/>
        </w:rPr>
        <w:t xml:space="preserve"> 30 years, </w:t>
      </w:r>
      <w:r>
        <w:rPr>
          <w:rFonts w:ascii="Arial" w:hAnsi="Arial" w:cs="Arial"/>
        </w:rPr>
        <w:t>121/654</w:t>
      </w:r>
      <w:r w:rsidRPr="00C428AD">
        <w:rPr>
          <w:rFonts w:ascii="Arial" w:hAnsi="Arial" w:cs="Arial"/>
        </w:rPr>
        <w:t xml:space="preserve"> (</w:t>
      </w:r>
      <w:r>
        <w:rPr>
          <w:rFonts w:ascii="Arial" w:hAnsi="Arial" w:cs="Arial"/>
        </w:rPr>
        <w:t>19</w:t>
      </w:r>
      <w:r w:rsidRPr="00C428AD">
        <w:rPr>
          <w:rFonts w:ascii="Arial" w:hAnsi="Arial" w:cs="Arial"/>
        </w:rPr>
        <w:t xml:space="preserve">%) unfavorable outcomes; BMI </w:t>
      </w:r>
      <m:oMath>
        <m:r>
          <m:rPr>
            <m:sty m:val="p"/>
          </m:rPr>
          <w:rPr>
            <w:rFonts w:ascii="Cambria Math" w:hAnsi="Cambria Math" w:cs="Arial"/>
          </w:rPr>
          <m:t>≥</m:t>
        </m:r>
      </m:oMath>
      <w:r w:rsidRPr="00C428AD">
        <w:rPr>
          <w:rFonts w:ascii="Arial" w:hAnsi="Arial" w:cs="Arial"/>
        </w:rPr>
        <w:t xml:space="preserve"> </w:t>
      </w:r>
      <w:r>
        <w:rPr>
          <w:rFonts w:ascii="Arial" w:hAnsi="Arial" w:cs="Arial"/>
        </w:rPr>
        <w:t>17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156/989</w:t>
      </w:r>
      <w:r w:rsidRPr="00C428AD">
        <w:rPr>
          <w:rFonts w:ascii="Arial" w:hAnsi="Arial" w:cs="Arial"/>
        </w:rPr>
        <w:t xml:space="preserve"> (</w:t>
      </w:r>
      <w:r>
        <w:rPr>
          <w:rFonts w:ascii="Arial" w:hAnsi="Arial" w:cs="Arial"/>
        </w:rPr>
        <w:t>16</w:t>
      </w:r>
      <w:r w:rsidRPr="00C428AD">
        <w:rPr>
          <w:rFonts w:ascii="Arial" w:hAnsi="Arial" w:cs="Arial"/>
        </w:rPr>
        <w:t xml:space="preserve">%) unfavorable outcomes and BMI </w:t>
      </w:r>
      <w:r>
        <w:rPr>
          <w:rFonts w:ascii="Arial" w:hAnsi="Arial" w:cs="Arial"/>
        </w:rPr>
        <w:t>&lt;</w:t>
      </w:r>
      <w:r w:rsidRPr="00C428AD">
        <w:rPr>
          <w:rFonts w:ascii="Arial" w:hAnsi="Arial" w:cs="Arial"/>
        </w:rPr>
        <w:t xml:space="preserve"> 1</w:t>
      </w:r>
      <w:r>
        <w:rPr>
          <w:rFonts w:ascii="Arial" w:hAnsi="Arial" w:cs="Arial"/>
        </w:rPr>
        <w:t>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57/322</w:t>
      </w:r>
      <w:r w:rsidRPr="00C428AD">
        <w:rPr>
          <w:rFonts w:ascii="Arial" w:hAnsi="Arial" w:cs="Arial"/>
        </w:rPr>
        <w:t xml:space="preserve"> (</w:t>
      </w:r>
      <w:r>
        <w:rPr>
          <w:rFonts w:ascii="Arial" w:hAnsi="Arial" w:cs="Arial"/>
        </w:rPr>
        <w:t>18</w:t>
      </w:r>
      <w:r w:rsidRPr="00C428AD">
        <w:rPr>
          <w:rFonts w:ascii="Arial" w:hAnsi="Arial" w:cs="Arial"/>
        </w:rPr>
        <w:t xml:space="preserve">%) unfavorable outcomes. </w:t>
      </w:r>
      <w:r w:rsidRPr="0027434E">
        <w:rPr>
          <w:rFonts w:ascii="Arial" w:hAnsi="Arial" w:cs="Arial"/>
        </w:rPr>
        <w:t>¶</w:t>
      </w:r>
      <w:r w:rsidRPr="002E578B">
        <w:rPr>
          <w:rFonts w:ascii="Arial" w:hAnsi="Arial" w:cs="Arial"/>
        </w:rPr>
        <w:t xml:space="preserve"> </w:t>
      </w:r>
      <w:r w:rsidRPr="00C428AD">
        <w:rPr>
          <w:rFonts w:ascii="Arial" w:hAnsi="Arial" w:cs="Arial"/>
        </w:rPr>
        <w:t xml:space="preserve">BMI </w:t>
      </w:r>
      <m:oMath>
        <m:r>
          <m:rPr>
            <m:sty m:val="p"/>
          </m:rPr>
          <w:rPr>
            <w:rFonts w:ascii="Cambria Math" w:hAnsi="Cambria Math" w:cs="Arial"/>
          </w:rPr>
          <m:t>≥</m:t>
        </m:r>
      </m:oMath>
      <w:r w:rsidRPr="00C428AD">
        <w:rPr>
          <w:rFonts w:ascii="Arial" w:hAnsi="Arial" w:cs="Arial"/>
        </w:rPr>
        <w:t xml:space="preserve"> </w:t>
      </w:r>
      <w:r>
        <w:rPr>
          <w:rFonts w:ascii="Arial" w:hAnsi="Arial" w:cs="Arial"/>
        </w:rPr>
        <w:t>17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102/901</w:t>
      </w:r>
      <w:r w:rsidRPr="00C428AD">
        <w:rPr>
          <w:rFonts w:ascii="Arial" w:hAnsi="Arial" w:cs="Arial"/>
        </w:rPr>
        <w:t xml:space="preserve"> (</w:t>
      </w:r>
      <w:r>
        <w:rPr>
          <w:rFonts w:ascii="Arial" w:hAnsi="Arial" w:cs="Arial"/>
        </w:rPr>
        <w:t>11</w:t>
      </w:r>
      <w:r w:rsidRPr="00C428AD">
        <w:rPr>
          <w:rFonts w:ascii="Arial" w:hAnsi="Arial" w:cs="Arial"/>
        </w:rPr>
        <w:t xml:space="preserve">%) unfavorable outcomes and BMI </w:t>
      </w:r>
      <w:r>
        <w:rPr>
          <w:rFonts w:ascii="Arial" w:hAnsi="Arial" w:cs="Arial"/>
        </w:rPr>
        <w:t>&lt;</w:t>
      </w:r>
      <w:r w:rsidRPr="00C428AD">
        <w:rPr>
          <w:rFonts w:ascii="Arial" w:hAnsi="Arial" w:cs="Arial"/>
        </w:rPr>
        <w:t xml:space="preserve"> 1</w:t>
      </w:r>
      <w:r>
        <w:rPr>
          <w:rFonts w:ascii="Arial" w:hAnsi="Arial" w:cs="Arial"/>
        </w:rPr>
        <w:t>7</w:t>
      </w:r>
      <w:r w:rsidRPr="00C428AD">
        <w:rPr>
          <w:rFonts w:ascii="Arial" w:hAnsi="Arial" w:cs="Arial"/>
        </w:rPr>
        <w:t xml:space="preserve"> kg/m</w:t>
      </w:r>
      <w:r w:rsidRPr="00C428AD">
        <w:rPr>
          <w:rFonts w:ascii="Arial" w:hAnsi="Arial" w:cs="Arial"/>
          <w:vertAlign w:val="superscript"/>
        </w:rPr>
        <w:t>2</w:t>
      </w:r>
      <w:r w:rsidRPr="00C428AD">
        <w:rPr>
          <w:rFonts w:ascii="Arial" w:hAnsi="Arial" w:cs="Arial"/>
        </w:rPr>
        <w:t xml:space="preserve">, </w:t>
      </w:r>
      <w:r>
        <w:rPr>
          <w:rFonts w:ascii="Arial" w:hAnsi="Arial" w:cs="Arial"/>
        </w:rPr>
        <w:t>36/285</w:t>
      </w:r>
      <w:r w:rsidRPr="00C428AD">
        <w:rPr>
          <w:rFonts w:ascii="Arial" w:hAnsi="Arial" w:cs="Arial"/>
        </w:rPr>
        <w:t xml:space="preserve"> (</w:t>
      </w:r>
      <w:r>
        <w:rPr>
          <w:rFonts w:ascii="Arial" w:hAnsi="Arial" w:cs="Arial"/>
        </w:rPr>
        <w:t>13</w:t>
      </w:r>
      <w:r w:rsidRPr="00C428AD">
        <w:rPr>
          <w:rFonts w:ascii="Arial" w:hAnsi="Arial" w:cs="Arial"/>
        </w:rPr>
        <w:t xml:space="preserve">%) unfavorable outcomes. </w:t>
      </w:r>
    </w:p>
    <w:p w14:paraId="3B2F0D80" w14:textId="77777777" w:rsidR="00A33E49" w:rsidRDefault="00A33E49" w:rsidP="008F1E8F">
      <w:pPr>
        <w:spacing w:line="480" w:lineRule="auto"/>
        <w:rPr>
          <w:rFonts w:ascii="Arial" w:hAnsi="Arial" w:cs="Arial"/>
        </w:rPr>
      </w:pPr>
    </w:p>
    <w:p w14:paraId="739FEB4B" w14:textId="77777777" w:rsidR="00A33E49" w:rsidRDefault="00A33E49" w:rsidP="00A33E49">
      <w:pPr>
        <w:spacing w:line="480" w:lineRule="auto"/>
        <w:outlineLvl w:val="0"/>
        <w:rPr>
          <w:rFonts w:ascii="Arial" w:hAnsi="Arial" w:cs="Arial"/>
          <w:b/>
        </w:rPr>
      </w:pPr>
      <w:r>
        <w:rPr>
          <w:rFonts w:ascii="Arial" w:hAnsi="Arial"/>
          <w:b/>
        </w:rPr>
        <w:lastRenderedPageBreak/>
        <w:t xml:space="preserve">Figure 3. </w:t>
      </w:r>
      <w:r>
        <w:rPr>
          <w:rFonts w:ascii="Arial" w:hAnsi="Arial" w:cs="Arial"/>
          <w:b/>
        </w:rPr>
        <w:t xml:space="preserve">Difference in </w:t>
      </w:r>
      <w:proofErr w:type="spellStart"/>
      <w:r>
        <w:rPr>
          <w:rFonts w:ascii="Arial" w:hAnsi="Arial" w:cs="Arial"/>
          <w:b/>
        </w:rPr>
        <w:t>proprotion</w:t>
      </w:r>
      <w:proofErr w:type="spellEnd"/>
      <w:r>
        <w:rPr>
          <w:rFonts w:ascii="Arial" w:hAnsi="Arial" w:cs="Arial"/>
          <w:b/>
        </w:rPr>
        <w:t xml:space="preserve"> of unfavorable outcomes between the experimental group and control group, overall and according to subgroups. </w:t>
      </w:r>
    </w:p>
    <w:p w14:paraId="226FF22D" w14:textId="652E2C53" w:rsidR="00DB53D9" w:rsidRDefault="00A33E49" w:rsidP="00804CE5">
      <w:pPr>
        <w:spacing w:line="480" w:lineRule="auto"/>
        <w:outlineLvl w:val="0"/>
        <w:rPr>
          <w:rFonts w:ascii="Arial" w:hAnsi="Arial" w:cs="Arial"/>
        </w:rPr>
      </w:pPr>
      <w:r w:rsidRPr="00804CE5">
        <w:rPr>
          <w:rFonts w:ascii="Arial" w:hAnsi="Arial" w:cs="Arial"/>
          <w:b/>
        </w:rPr>
        <w:t>a.</w:t>
      </w:r>
      <w:r>
        <w:rPr>
          <w:rFonts w:ascii="Arial" w:hAnsi="Arial" w:cs="Arial"/>
        </w:rPr>
        <w:t xml:space="preserve"> Non-inferiority tests based on analysis dataset. </w:t>
      </w:r>
      <w:r w:rsidRPr="00804CE5">
        <w:rPr>
          <w:rFonts w:ascii="Arial" w:hAnsi="Arial" w:cs="Arial"/>
          <w:b/>
        </w:rPr>
        <w:t>b.</w:t>
      </w:r>
      <w:r>
        <w:rPr>
          <w:rFonts w:ascii="Arial" w:hAnsi="Arial" w:cs="Arial"/>
        </w:rPr>
        <w:t xml:space="preserve"> Validation of non-inferiority tests in panel a based on an independent validation dataset.</w:t>
      </w:r>
      <w:r w:rsidR="005E67DD">
        <w:rPr>
          <w:rFonts w:ascii="Arial" w:hAnsi="Arial" w:cs="Arial"/>
        </w:rPr>
        <w:t xml:space="preserve"> </w:t>
      </w:r>
      <w:r w:rsidR="00386CDA">
        <w:rPr>
          <w:rFonts w:ascii="Arial" w:hAnsi="Arial" w:cs="Arial"/>
        </w:rPr>
        <w:t>The</w:t>
      </w:r>
      <w:r w:rsidR="005E67DD">
        <w:rPr>
          <w:rFonts w:ascii="Arial" w:hAnsi="Arial" w:cs="Arial"/>
        </w:rPr>
        <w:t xml:space="preserve"> 90% confidence interval</w:t>
      </w:r>
      <w:r w:rsidR="00386CDA">
        <w:rPr>
          <w:rFonts w:ascii="Arial" w:hAnsi="Arial" w:cs="Arial"/>
        </w:rPr>
        <w:t xml:space="preserve"> of the difference in proportion of unfavorable outcomes </w:t>
      </w:r>
      <w:r w:rsidR="00386CDA">
        <w:rPr>
          <w:rFonts w:ascii="Arial" w:hAnsi="Arial" w:cs="Arial"/>
        </w:rPr>
        <w:t>were</w:t>
      </w:r>
      <w:r w:rsidR="005E67DD">
        <w:rPr>
          <w:rFonts w:ascii="Arial" w:hAnsi="Arial" w:cs="Arial"/>
        </w:rPr>
        <w:t xml:space="preserve"> </w:t>
      </w:r>
      <w:r w:rsidR="00386CDA">
        <w:rPr>
          <w:rFonts w:ascii="Arial" w:hAnsi="Arial" w:cs="Arial"/>
        </w:rPr>
        <w:t>determined by</w:t>
      </w:r>
      <w:r w:rsidR="005E67DD">
        <w:rPr>
          <w:rFonts w:ascii="Arial" w:hAnsi="Arial" w:cs="Arial"/>
        </w:rPr>
        <w:t xml:space="preserve"> bootstrapping</w:t>
      </w:r>
      <w:r w:rsidR="005E67DD">
        <w:rPr>
          <w:rFonts w:ascii="Arial" w:hAnsi="Arial" w:cs="Arial"/>
        </w:rPr>
        <w:t xml:space="preserve"> 500 samples</w:t>
      </w:r>
      <w:r w:rsidR="00386CDA">
        <w:rPr>
          <w:rFonts w:ascii="Arial" w:hAnsi="Arial" w:cs="Arial"/>
        </w:rPr>
        <w:t>.</w:t>
      </w:r>
      <w:r w:rsidR="005E67DD">
        <w:rPr>
          <w:rFonts w:ascii="Arial" w:hAnsi="Arial" w:cs="Arial"/>
        </w:rPr>
        <w:t xml:space="preserve"> </w:t>
      </w:r>
      <w:r>
        <w:rPr>
          <w:rFonts w:ascii="Arial" w:hAnsi="Arial" w:cs="Arial"/>
        </w:rPr>
        <w:t xml:space="preserve"> Red squares denote experimental subgroups that were non-inferior to the control subgroups and blue squares denote subgroups that did not show non-inferiority. *Study participants in the validation dataset were HIV-uninfected adults with non-cavitary disease and 2-month culture negative status. </w:t>
      </w:r>
    </w:p>
    <w:p w14:paraId="0A2DDD4D" w14:textId="77777777" w:rsidR="00A33E49" w:rsidRDefault="00A33E49" w:rsidP="00804CE5">
      <w:pPr>
        <w:spacing w:line="480" w:lineRule="auto"/>
        <w:outlineLvl w:val="0"/>
        <w:rPr>
          <w:rFonts w:ascii="Arial" w:hAnsi="Arial" w:cs="Arial"/>
        </w:rPr>
      </w:pPr>
    </w:p>
    <w:p w14:paraId="1EF3813D" w14:textId="1B258318" w:rsidR="00143586" w:rsidRDefault="00143586" w:rsidP="0079471D">
      <w:pPr>
        <w:outlineLvl w:val="0"/>
        <w:rPr>
          <w:rFonts w:ascii="Arial" w:hAnsi="Arial" w:cs="Arial"/>
        </w:rPr>
      </w:pPr>
    </w:p>
    <w:p w14:paraId="051B8DDC" w14:textId="68FC4C86" w:rsidR="00CC1D42" w:rsidRDefault="00126605" w:rsidP="003673EA">
      <w:pPr>
        <w:spacing w:line="480" w:lineRule="auto"/>
        <w:outlineLvl w:val="0"/>
        <w:rPr>
          <w:rFonts w:ascii="Arial" w:hAnsi="Arial"/>
          <w:b/>
        </w:rPr>
      </w:pPr>
      <w:r>
        <w:rPr>
          <w:rFonts w:ascii="Arial" w:hAnsi="Arial"/>
          <w:b/>
        </w:rPr>
        <w:t xml:space="preserve">Figure </w:t>
      </w:r>
      <w:r w:rsidR="00A33E49">
        <w:rPr>
          <w:rFonts w:ascii="Arial" w:hAnsi="Arial"/>
          <w:b/>
        </w:rPr>
        <w:t>4</w:t>
      </w:r>
      <w:r>
        <w:rPr>
          <w:rFonts w:ascii="Arial" w:hAnsi="Arial"/>
          <w:b/>
        </w:rPr>
        <w:t>. Analysis of 7/7 and 6/7 dosing strategies and impact of adherence in the control group.</w:t>
      </w:r>
    </w:p>
    <w:p w14:paraId="0D1DD0FF" w14:textId="05ADA2C1" w:rsidR="00CC1D42" w:rsidRPr="005244E7" w:rsidRDefault="00126605" w:rsidP="005244E7">
      <w:pPr>
        <w:pStyle w:val="ListParagraph"/>
        <w:numPr>
          <w:ilvl w:val="0"/>
          <w:numId w:val="17"/>
        </w:numPr>
        <w:spacing w:line="480" w:lineRule="auto"/>
        <w:outlineLvl w:val="0"/>
        <w:rPr>
          <w:rFonts w:ascii="Arial" w:hAnsi="Arial" w:cs="Arial"/>
        </w:rPr>
      </w:pPr>
      <w:r w:rsidRPr="005244E7">
        <w:rPr>
          <w:rFonts w:ascii="Arial" w:hAnsi="Arial" w:cs="Arial"/>
        </w:rPr>
        <w:t>Kaplan</w:t>
      </w:r>
      <w:r w:rsidR="006E1954" w:rsidRPr="005244E7">
        <w:rPr>
          <w:rFonts w:ascii="Arial" w:hAnsi="Arial" w:cs="Arial"/>
        </w:rPr>
        <w:t>-</w:t>
      </w:r>
      <w:r w:rsidRPr="005244E7">
        <w:rPr>
          <w:rFonts w:ascii="Arial" w:hAnsi="Arial" w:cs="Arial"/>
        </w:rPr>
        <w:t>Meier estimates for fully adherent study participants</w:t>
      </w:r>
      <w:r w:rsidR="004E6ADC" w:rsidRPr="005244E7">
        <w:rPr>
          <w:rFonts w:ascii="Arial" w:hAnsi="Arial" w:cs="Arial"/>
        </w:rPr>
        <w:t xml:space="preserve"> (N = 996)</w:t>
      </w:r>
      <w:r w:rsidRPr="005244E7">
        <w:rPr>
          <w:rFonts w:ascii="Arial" w:hAnsi="Arial" w:cs="Arial"/>
        </w:rPr>
        <w:t xml:space="preserve"> after treatment with 7/7 or 6/7 dosing strategies</w:t>
      </w:r>
      <w:r w:rsidR="00375E17" w:rsidRPr="005244E7">
        <w:rPr>
          <w:rFonts w:ascii="Arial" w:hAnsi="Arial" w:cs="Arial"/>
        </w:rPr>
        <w:t xml:space="preserve">. </w:t>
      </w:r>
      <w:r w:rsidR="00375E17" w:rsidRPr="005244E7">
        <w:rPr>
          <w:rFonts w:ascii="Arial" w:hAnsi="Arial" w:cs="Arial"/>
          <w:b/>
        </w:rPr>
        <w:t>b</w:t>
      </w:r>
      <w:r w:rsidRPr="005244E7">
        <w:rPr>
          <w:rFonts w:ascii="Arial" w:hAnsi="Arial" w:cs="Arial"/>
          <w:b/>
        </w:rPr>
        <w:t>.</w:t>
      </w:r>
      <w:r w:rsidRPr="005244E7">
        <w:rPr>
          <w:rFonts w:ascii="Arial" w:hAnsi="Arial" w:cs="Arial"/>
        </w:rPr>
        <w:t xml:space="preserve"> Multivariate analysis with total number of doses taken for study participants who took at least 4 months of treatment under 7/7 dosing strategies for 26 weeks (</w:t>
      </w:r>
      <w:proofErr w:type="spellStart"/>
      <w:r w:rsidRPr="005244E7">
        <w:rPr>
          <w:rFonts w:ascii="Arial" w:hAnsi="Arial" w:cs="Arial"/>
        </w:rPr>
        <w:t>REMoxTB</w:t>
      </w:r>
      <w:proofErr w:type="spellEnd"/>
      <w:r w:rsidRPr="005244E7">
        <w:rPr>
          <w:rFonts w:ascii="Arial" w:hAnsi="Arial" w:cs="Arial"/>
        </w:rPr>
        <w:t xml:space="preserve"> and RIFAQUIN trials), after adjustment for country and treatment duration. </w:t>
      </w:r>
      <w:r w:rsidR="00375E17" w:rsidRPr="005244E7">
        <w:rPr>
          <w:rFonts w:ascii="Arial" w:hAnsi="Arial" w:cs="Arial"/>
          <w:b/>
        </w:rPr>
        <w:t>c</w:t>
      </w:r>
      <w:r w:rsidRPr="005244E7">
        <w:rPr>
          <w:rFonts w:ascii="Arial" w:hAnsi="Arial" w:cs="Arial"/>
          <w:b/>
        </w:rPr>
        <w:t>.</w:t>
      </w:r>
      <w:r w:rsidRPr="005244E7">
        <w:rPr>
          <w:rFonts w:ascii="Arial" w:hAnsi="Arial" w:cs="Arial"/>
        </w:rPr>
        <w:t xml:space="preserve"> Multivariate analysis with total number of doses taken for study participants who took at least 4 months of treatment under 6/7 dosing strategies for 24 weeks (OFLOTUB trial), after adjustment for country and treatment duration.</w:t>
      </w:r>
      <w:r w:rsidR="00107463" w:rsidRPr="005244E7">
        <w:rPr>
          <w:rFonts w:ascii="Arial" w:hAnsi="Arial" w:cs="Arial"/>
        </w:rPr>
        <w:t xml:space="preserve"> </w:t>
      </w:r>
      <w:r w:rsidR="00485D45" w:rsidRPr="005244E7">
        <w:rPr>
          <w:rFonts w:ascii="Arial" w:hAnsi="Arial" w:cs="Arial"/>
        </w:rPr>
        <w:t>Effect size for country</w:t>
      </w:r>
      <w:r w:rsidR="00107463" w:rsidRPr="005244E7">
        <w:rPr>
          <w:rFonts w:ascii="Arial" w:hAnsi="Arial" w:cs="Arial"/>
        </w:rPr>
        <w:t xml:space="preserve"> are ava</w:t>
      </w:r>
      <w:r w:rsidR="00A33E49" w:rsidRPr="005244E7">
        <w:rPr>
          <w:rFonts w:ascii="Arial" w:hAnsi="Arial" w:cs="Arial"/>
        </w:rPr>
        <w:t xml:space="preserve">ilable in Supplementary Table </w:t>
      </w:r>
      <w:r w:rsidR="00AA3E1C" w:rsidRPr="005244E7">
        <w:rPr>
          <w:rFonts w:ascii="Arial" w:hAnsi="Arial" w:cs="Arial"/>
        </w:rPr>
        <w:t>7</w:t>
      </w:r>
      <w:r w:rsidR="00107463" w:rsidRPr="005244E7">
        <w:rPr>
          <w:rFonts w:ascii="Arial" w:hAnsi="Arial" w:cs="Arial"/>
        </w:rPr>
        <w:t xml:space="preserve">. </w:t>
      </w:r>
      <w:r w:rsidRPr="005244E7">
        <w:rPr>
          <w:rFonts w:ascii="Arial" w:hAnsi="Arial" w:cs="Arial"/>
        </w:rPr>
        <w:t xml:space="preserve"> </w:t>
      </w:r>
      <w:r w:rsidR="005E67DD" w:rsidRPr="005244E7">
        <w:rPr>
          <w:rFonts w:ascii="Arial" w:hAnsi="Arial" w:cs="Arial"/>
        </w:rPr>
        <w:t xml:space="preserve">In panels </w:t>
      </w:r>
      <w:r w:rsidR="005E67DD" w:rsidRPr="005244E7">
        <w:rPr>
          <w:rFonts w:ascii="Arial" w:hAnsi="Arial" w:cs="Arial"/>
        </w:rPr>
        <w:t>b</w:t>
      </w:r>
      <w:r w:rsidR="005E67DD" w:rsidRPr="005244E7">
        <w:rPr>
          <w:rFonts w:ascii="Arial" w:hAnsi="Arial" w:cs="Arial"/>
        </w:rPr>
        <w:t xml:space="preserve"> and </w:t>
      </w:r>
      <w:r w:rsidR="005E67DD" w:rsidRPr="005244E7">
        <w:rPr>
          <w:rFonts w:ascii="Arial" w:hAnsi="Arial" w:cs="Arial"/>
        </w:rPr>
        <w:t>c</w:t>
      </w:r>
      <w:r w:rsidR="005E67DD" w:rsidRPr="005244E7">
        <w:rPr>
          <w:rFonts w:ascii="Arial" w:hAnsi="Arial" w:cs="Arial"/>
        </w:rPr>
        <w:t xml:space="preserve">, the hazard ratios with 95% Wald confidence interval are reported. </w:t>
      </w:r>
      <w:r w:rsidRPr="005244E7">
        <w:rPr>
          <w:rFonts w:ascii="Arial" w:hAnsi="Arial" w:cs="Arial"/>
        </w:rPr>
        <w:t>*Hazard ratio</w:t>
      </w:r>
      <w:r w:rsidR="00A92A12" w:rsidRPr="005244E7">
        <w:rPr>
          <w:rFonts w:ascii="Arial" w:hAnsi="Arial" w:cs="Arial"/>
        </w:rPr>
        <w:t xml:space="preserve"> with 95% </w:t>
      </w:r>
      <w:r w:rsidR="005E67DD" w:rsidRPr="005244E7">
        <w:rPr>
          <w:rFonts w:ascii="Arial" w:hAnsi="Arial" w:cs="Arial"/>
        </w:rPr>
        <w:t xml:space="preserve">Wald </w:t>
      </w:r>
      <w:r w:rsidR="00A92A12" w:rsidRPr="005244E7">
        <w:rPr>
          <w:rFonts w:ascii="Arial" w:hAnsi="Arial" w:cs="Arial"/>
        </w:rPr>
        <w:t xml:space="preserve">confidence interval </w:t>
      </w:r>
      <w:r w:rsidRPr="005244E7">
        <w:rPr>
          <w:rFonts w:ascii="Arial" w:hAnsi="Arial" w:cs="Arial"/>
        </w:rPr>
        <w:t>for 6/7 dosing strategy relative to 7/7 dosing strategy</w:t>
      </w:r>
      <w:r w:rsidR="006546C1" w:rsidRPr="005244E7">
        <w:rPr>
          <w:rFonts w:ascii="Arial" w:hAnsi="Arial" w:cs="Arial"/>
        </w:rPr>
        <w:t xml:space="preserve"> for fully adherent population</w:t>
      </w:r>
      <w:r w:rsidRPr="005244E7">
        <w:rPr>
          <w:rFonts w:ascii="Arial" w:hAnsi="Arial" w:cs="Arial"/>
        </w:rPr>
        <w:t xml:space="preserve"> after adjustment for county and treatment duration. †Treatment Duration &lt; 182 days, 21/110 (19%) unfavorable outcomes and Treatment Duration ≥ 182 days, 40/577 (7%) unfavorable outcomes. ∫ Treatment Duration &lt; 169 days, 21/155 (14%) unfavorable outcomes and Treatment Duration ≥ 169 days, 42/443 (9%) unfavorable outcomes</w:t>
      </w:r>
      <w:r w:rsidR="00A92A12" w:rsidRPr="005244E7">
        <w:rPr>
          <w:rFonts w:ascii="Arial" w:hAnsi="Arial" w:cs="Arial"/>
        </w:rPr>
        <w:t>.</w:t>
      </w:r>
    </w:p>
    <w:p w14:paraId="473FE721" w14:textId="2689A3D5" w:rsidR="008F1E8F" w:rsidRDefault="008F1E8F">
      <w:pPr>
        <w:outlineLvl w:val="0"/>
        <w:rPr>
          <w:rFonts w:ascii="Arial" w:hAnsi="Arial"/>
        </w:rPr>
      </w:pPr>
      <w:bookmarkStart w:id="2" w:name="_GoBack"/>
      <w:bookmarkEnd w:id="2"/>
      <w:r w:rsidRPr="007210C5">
        <w:rPr>
          <w:rFonts w:ascii="Arial" w:eastAsia="Bradley Hand" w:hAnsi="Arial" w:cs="Arial"/>
          <w:b/>
          <w:color w:val="000000"/>
          <w:sz w:val="22"/>
          <w:szCs w:val="22"/>
        </w:rPr>
        <w:lastRenderedPageBreak/>
        <w:t>Table 1. Baseline Characteristics of Study Participants in the Modified Intent-to-Treat Analysis</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270"/>
        <w:gridCol w:w="2700"/>
        <w:gridCol w:w="1980"/>
        <w:gridCol w:w="1890"/>
        <w:gridCol w:w="1890"/>
        <w:gridCol w:w="1795"/>
      </w:tblGrid>
      <w:tr w:rsidR="008F1E8F" w:rsidRPr="009439D3" w14:paraId="48673FF9" w14:textId="77777777" w:rsidTr="00EA10C3">
        <w:trPr>
          <w:trHeight w:val="233"/>
        </w:trPr>
        <w:tc>
          <w:tcPr>
            <w:tcW w:w="10790" w:type="dxa"/>
            <w:gridSpan w:val="7"/>
            <w:tcBorders>
              <w:top w:val="single" w:sz="4" w:space="0" w:color="auto"/>
              <w:left w:val="single" w:sz="4" w:space="0" w:color="auto"/>
              <w:bottom w:val="single" w:sz="4" w:space="0" w:color="auto"/>
              <w:right w:val="single" w:sz="4" w:space="0" w:color="auto"/>
            </w:tcBorders>
            <w:shd w:val="clear" w:color="auto" w:fill="A6A6A6"/>
            <w:hideMark/>
          </w:tcPr>
          <w:p w14:paraId="0A646444" w14:textId="77777777" w:rsidR="008F1E8F" w:rsidRPr="007210C5" w:rsidRDefault="008F1E8F" w:rsidP="00EA10C3">
            <w:pPr>
              <w:rPr>
                <w:rFonts w:ascii="Arial" w:eastAsia="Bradley Hand" w:hAnsi="Arial" w:cs="Arial"/>
                <w:b/>
                <w:color w:val="000000"/>
                <w:sz w:val="22"/>
                <w:szCs w:val="22"/>
              </w:rPr>
            </w:pPr>
            <w:r w:rsidRPr="007210C5">
              <w:rPr>
                <w:rFonts w:ascii="Arial" w:eastAsia="Bradley Hand" w:hAnsi="Arial" w:cs="Arial"/>
                <w:b/>
                <w:color w:val="000000"/>
                <w:sz w:val="22"/>
                <w:szCs w:val="22"/>
              </w:rPr>
              <w:t>Table 1. Baseline Characteristics of Study Participants in the Modified Intent-to-Treat Analysis</w:t>
            </w:r>
          </w:p>
        </w:tc>
      </w:tr>
      <w:tr w:rsidR="008F1E8F" w:rsidRPr="009439D3" w14:paraId="4CEBA644" w14:textId="77777777" w:rsidTr="00804CE5">
        <w:trPr>
          <w:trHeight w:val="521"/>
        </w:trPr>
        <w:tc>
          <w:tcPr>
            <w:tcW w:w="265" w:type="dxa"/>
            <w:shd w:val="clear" w:color="auto" w:fill="FFFFFF"/>
            <w:noWrap/>
            <w:vAlign w:val="bottom"/>
          </w:tcPr>
          <w:p w14:paraId="3C0E00EF"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vAlign w:val="bottom"/>
          </w:tcPr>
          <w:p w14:paraId="0046A3A0" w14:textId="77777777" w:rsidR="008F1E8F" w:rsidRPr="009439D3" w:rsidRDefault="008F1E8F" w:rsidP="00EA10C3">
            <w:pPr>
              <w:rPr>
                <w:rFonts w:ascii="Arial" w:eastAsia="Times New Roman" w:hAnsi="Arial" w:cs="Arial"/>
                <w:color w:val="000000"/>
                <w:sz w:val="22"/>
                <w:szCs w:val="22"/>
              </w:rPr>
            </w:pPr>
          </w:p>
        </w:tc>
        <w:tc>
          <w:tcPr>
            <w:tcW w:w="3870" w:type="dxa"/>
            <w:gridSpan w:val="2"/>
            <w:shd w:val="clear" w:color="auto" w:fill="FFFFFF"/>
            <w:vAlign w:val="center"/>
          </w:tcPr>
          <w:p w14:paraId="30FFD996" w14:textId="77777777" w:rsidR="008F1E8F"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Analysis Dataset </w:t>
            </w:r>
          </w:p>
          <w:p w14:paraId="624B2CA1" w14:textId="77777777" w:rsidR="008F1E8F" w:rsidRPr="009439D3"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(OFLOTUB, </w:t>
            </w:r>
            <w:proofErr w:type="spellStart"/>
            <w:r>
              <w:rPr>
                <w:rFonts w:ascii="Arial" w:eastAsia="Times New Roman" w:hAnsi="Arial" w:cs="Arial"/>
                <w:b/>
                <w:bCs/>
                <w:color w:val="000000"/>
                <w:sz w:val="22"/>
                <w:szCs w:val="22"/>
              </w:rPr>
              <w:t>REMoxTB</w:t>
            </w:r>
            <w:proofErr w:type="spellEnd"/>
            <w:r>
              <w:rPr>
                <w:rFonts w:ascii="Arial" w:eastAsia="Times New Roman" w:hAnsi="Arial" w:cs="Arial"/>
                <w:b/>
                <w:bCs/>
                <w:color w:val="000000"/>
                <w:sz w:val="22"/>
                <w:szCs w:val="22"/>
              </w:rPr>
              <w:t>, RIFAQUIN)</w:t>
            </w:r>
          </w:p>
        </w:tc>
        <w:tc>
          <w:tcPr>
            <w:tcW w:w="3685" w:type="dxa"/>
            <w:gridSpan w:val="2"/>
            <w:shd w:val="clear" w:color="auto" w:fill="FFFFFF"/>
          </w:tcPr>
          <w:p w14:paraId="78FBFC3E" w14:textId="77777777" w:rsidR="008F1E8F"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Validation Dataset</w:t>
            </w:r>
          </w:p>
          <w:p w14:paraId="7608DBF8" w14:textId="77777777" w:rsidR="008F1E8F" w:rsidRPr="009439D3"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w:t>
            </w:r>
            <w:r w:rsidRPr="00D97431">
              <w:rPr>
                <w:rFonts w:ascii="Arial" w:eastAsia="Times New Roman" w:hAnsi="Arial" w:cs="Arial"/>
                <w:b/>
                <w:bCs/>
                <w:color w:val="000000"/>
                <w:sz w:val="22"/>
                <w:szCs w:val="22"/>
              </w:rPr>
              <w:t>DMID01-009</w:t>
            </w:r>
            <w:r>
              <w:rPr>
                <w:rFonts w:ascii="Arial" w:eastAsia="Times New Roman" w:hAnsi="Arial" w:cs="Arial"/>
                <w:b/>
                <w:bCs/>
                <w:color w:val="000000"/>
                <w:sz w:val="22"/>
                <w:szCs w:val="22"/>
              </w:rPr>
              <w:t>)</w:t>
            </w:r>
          </w:p>
        </w:tc>
      </w:tr>
      <w:tr w:rsidR="008F1E8F" w:rsidRPr="009439D3" w14:paraId="791A09EE" w14:textId="77777777" w:rsidTr="00804CE5">
        <w:trPr>
          <w:trHeight w:val="521"/>
        </w:trPr>
        <w:tc>
          <w:tcPr>
            <w:tcW w:w="265" w:type="dxa"/>
            <w:shd w:val="clear" w:color="auto" w:fill="FFFFFF"/>
            <w:noWrap/>
            <w:vAlign w:val="bottom"/>
            <w:hideMark/>
          </w:tcPr>
          <w:p w14:paraId="07564B35"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FFFFFF"/>
            <w:noWrap/>
            <w:vAlign w:val="bottom"/>
            <w:hideMark/>
          </w:tcPr>
          <w:p w14:paraId="148FF531"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980" w:type="dxa"/>
            <w:shd w:val="clear" w:color="auto" w:fill="FFFFFF"/>
            <w:vAlign w:val="center"/>
            <w:hideMark/>
          </w:tcPr>
          <w:p w14:paraId="71BE1078"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Experimental</w:t>
            </w:r>
          </w:p>
          <w:p w14:paraId="238ACA3A"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Group  </w:t>
            </w:r>
          </w:p>
        </w:tc>
        <w:tc>
          <w:tcPr>
            <w:tcW w:w="1890" w:type="dxa"/>
            <w:shd w:val="clear" w:color="auto" w:fill="FFFFFF"/>
            <w:vAlign w:val="center"/>
            <w:hideMark/>
          </w:tcPr>
          <w:p w14:paraId="1E7CC5A6"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Control </w:t>
            </w:r>
          </w:p>
          <w:p w14:paraId="33B73C16"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Group </w:t>
            </w:r>
          </w:p>
        </w:tc>
        <w:tc>
          <w:tcPr>
            <w:tcW w:w="1890" w:type="dxa"/>
            <w:shd w:val="clear" w:color="auto" w:fill="FFFFFF"/>
            <w:vAlign w:val="center"/>
          </w:tcPr>
          <w:p w14:paraId="1788D61C"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Experimental</w:t>
            </w:r>
          </w:p>
          <w:p w14:paraId="778AB9E6"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Group  </w:t>
            </w:r>
          </w:p>
        </w:tc>
        <w:tc>
          <w:tcPr>
            <w:tcW w:w="1795" w:type="dxa"/>
            <w:shd w:val="clear" w:color="auto" w:fill="FFFFFF"/>
            <w:vAlign w:val="center"/>
          </w:tcPr>
          <w:p w14:paraId="200AA292"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Control </w:t>
            </w:r>
          </w:p>
          <w:p w14:paraId="530B71D0"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Group </w:t>
            </w:r>
          </w:p>
        </w:tc>
      </w:tr>
      <w:tr w:rsidR="008F1E8F" w:rsidRPr="009439D3" w14:paraId="0799DA6D" w14:textId="77777777" w:rsidTr="00804CE5">
        <w:trPr>
          <w:trHeight w:val="279"/>
        </w:trPr>
        <w:tc>
          <w:tcPr>
            <w:tcW w:w="3235" w:type="dxa"/>
            <w:gridSpan w:val="3"/>
            <w:shd w:val="clear" w:color="auto" w:fill="FFFFFF"/>
            <w:noWrap/>
            <w:vAlign w:val="bottom"/>
            <w:hideMark/>
          </w:tcPr>
          <w:p w14:paraId="76FBF9B3" w14:textId="77777777" w:rsidR="008F1E8F" w:rsidRPr="009439D3" w:rsidRDefault="008F1E8F" w:rsidP="00EA10C3">
            <w:pP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 xml:space="preserve">Characteristic </w:t>
            </w:r>
          </w:p>
        </w:tc>
        <w:tc>
          <w:tcPr>
            <w:tcW w:w="1980" w:type="dxa"/>
            <w:shd w:val="clear" w:color="auto" w:fill="FFFFFF"/>
            <w:noWrap/>
            <w:vAlign w:val="center"/>
            <w:hideMark/>
          </w:tcPr>
          <w:p w14:paraId="3BA74D2D"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(N = 2001)</w:t>
            </w:r>
          </w:p>
        </w:tc>
        <w:tc>
          <w:tcPr>
            <w:tcW w:w="1890" w:type="dxa"/>
            <w:shd w:val="clear" w:color="auto" w:fill="FFFFFF"/>
            <w:noWrap/>
            <w:vAlign w:val="center"/>
            <w:hideMark/>
          </w:tcPr>
          <w:p w14:paraId="1C4888A6" w14:textId="77777777" w:rsidR="008F1E8F" w:rsidRPr="009439D3" w:rsidRDefault="008F1E8F" w:rsidP="00EA10C3">
            <w:pPr>
              <w:jc w:val="center"/>
              <w:rPr>
                <w:rFonts w:ascii="Arial" w:eastAsia="Times New Roman" w:hAnsi="Arial" w:cs="Arial"/>
                <w:b/>
                <w:bCs/>
                <w:color w:val="000000"/>
                <w:sz w:val="22"/>
                <w:szCs w:val="22"/>
              </w:rPr>
            </w:pPr>
            <w:r w:rsidRPr="009439D3">
              <w:rPr>
                <w:rFonts w:ascii="Arial" w:eastAsia="Times New Roman" w:hAnsi="Arial" w:cs="Arial"/>
                <w:b/>
                <w:bCs/>
                <w:color w:val="000000"/>
                <w:sz w:val="22"/>
                <w:szCs w:val="22"/>
              </w:rPr>
              <w:t>(N = 1404)</w:t>
            </w:r>
          </w:p>
        </w:tc>
        <w:tc>
          <w:tcPr>
            <w:tcW w:w="1890" w:type="dxa"/>
            <w:shd w:val="clear" w:color="auto" w:fill="FFFFFF"/>
          </w:tcPr>
          <w:p w14:paraId="25AEFEDB" w14:textId="77777777" w:rsidR="008F1E8F" w:rsidRPr="009439D3"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(N = 193)</w:t>
            </w:r>
          </w:p>
        </w:tc>
        <w:tc>
          <w:tcPr>
            <w:tcW w:w="1795" w:type="dxa"/>
            <w:shd w:val="clear" w:color="auto" w:fill="FFFFFF"/>
          </w:tcPr>
          <w:p w14:paraId="4573D407" w14:textId="77777777" w:rsidR="008F1E8F" w:rsidRPr="009439D3" w:rsidRDefault="008F1E8F" w:rsidP="00EA10C3">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(N=193)</w:t>
            </w:r>
          </w:p>
        </w:tc>
      </w:tr>
      <w:tr w:rsidR="008F1E8F" w:rsidRPr="009439D3" w14:paraId="5B3714F5" w14:textId="77777777" w:rsidTr="00804CE5">
        <w:trPr>
          <w:trHeight w:val="216"/>
        </w:trPr>
        <w:tc>
          <w:tcPr>
            <w:tcW w:w="3235" w:type="dxa"/>
            <w:gridSpan w:val="3"/>
            <w:shd w:val="clear" w:color="auto" w:fill="EDEDED"/>
            <w:noWrap/>
            <w:hideMark/>
          </w:tcPr>
          <w:p w14:paraId="345D3ED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Country - no. (%)</w:t>
            </w:r>
          </w:p>
        </w:tc>
        <w:tc>
          <w:tcPr>
            <w:tcW w:w="1980" w:type="dxa"/>
            <w:shd w:val="clear" w:color="auto" w:fill="EDEDED"/>
            <w:noWrap/>
            <w:hideMark/>
          </w:tcPr>
          <w:p w14:paraId="783FD31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DEDED"/>
            <w:noWrap/>
            <w:hideMark/>
          </w:tcPr>
          <w:p w14:paraId="4392A45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DEDED"/>
          </w:tcPr>
          <w:p w14:paraId="6BB6E52F"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EDEDED"/>
          </w:tcPr>
          <w:p w14:paraId="62831E87"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7FCE68B3" w14:textId="77777777" w:rsidTr="00804CE5">
        <w:trPr>
          <w:trHeight w:val="216"/>
        </w:trPr>
        <w:tc>
          <w:tcPr>
            <w:tcW w:w="265" w:type="dxa"/>
            <w:shd w:val="clear" w:color="auto" w:fill="FFFFFF"/>
            <w:noWrap/>
            <w:hideMark/>
          </w:tcPr>
          <w:p w14:paraId="6B2BD4C4"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FFFFFF"/>
            <w:noWrap/>
            <w:hideMark/>
          </w:tcPr>
          <w:p w14:paraId="0B8E544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Benin</w:t>
            </w:r>
          </w:p>
        </w:tc>
        <w:tc>
          <w:tcPr>
            <w:tcW w:w="1980" w:type="dxa"/>
            <w:shd w:val="clear" w:color="auto" w:fill="FFFFFF"/>
            <w:noWrap/>
            <w:hideMark/>
          </w:tcPr>
          <w:p w14:paraId="6E43B8A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122 (6)</w:t>
            </w:r>
          </w:p>
        </w:tc>
        <w:tc>
          <w:tcPr>
            <w:tcW w:w="1890" w:type="dxa"/>
            <w:shd w:val="clear" w:color="auto" w:fill="FFFFFF"/>
            <w:noWrap/>
            <w:hideMark/>
          </w:tcPr>
          <w:p w14:paraId="370FB37D"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108 (8)</w:t>
            </w:r>
          </w:p>
        </w:tc>
        <w:tc>
          <w:tcPr>
            <w:tcW w:w="1890" w:type="dxa"/>
            <w:shd w:val="clear" w:color="auto" w:fill="FFFFFF"/>
          </w:tcPr>
          <w:p w14:paraId="70658D90"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02F4AE46"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4820EBC6" w14:textId="77777777" w:rsidTr="00804CE5">
        <w:trPr>
          <w:trHeight w:val="216"/>
        </w:trPr>
        <w:tc>
          <w:tcPr>
            <w:tcW w:w="265" w:type="dxa"/>
            <w:shd w:val="clear" w:color="auto" w:fill="EDEDED"/>
            <w:noWrap/>
            <w:hideMark/>
          </w:tcPr>
          <w:p w14:paraId="2C93A0DA"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DEDED"/>
            <w:noWrap/>
            <w:hideMark/>
          </w:tcPr>
          <w:p w14:paraId="368EA57C"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Botswana</w:t>
            </w:r>
          </w:p>
        </w:tc>
        <w:tc>
          <w:tcPr>
            <w:tcW w:w="1980" w:type="dxa"/>
            <w:shd w:val="clear" w:color="auto" w:fill="EDEDED"/>
            <w:noWrap/>
            <w:hideMark/>
          </w:tcPr>
          <w:p w14:paraId="196F5B2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11 (&lt;1)</w:t>
            </w:r>
          </w:p>
        </w:tc>
        <w:tc>
          <w:tcPr>
            <w:tcW w:w="1890" w:type="dxa"/>
            <w:shd w:val="clear" w:color="auto" w:fill="EDEDED"/>
            <w:noWrap/>
            <w:hideMark/>
          </w:tcPr>
          <w:p w14:paraId="60094148"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 (&lt;1)</w:t>
            </w:r>
          </w:p>
        </w:tc>
        <w:tc>
          <w:tcPr>
            <w:tcW w:w="1890" w:type="dxa"/>
            <w:shd w:val="clear" w:color="auto" w:fill="EDEDED"/>
          </w:tcPr>
          <w:p w14:paraId="5E1A5DFE"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DEDED"/>
          </w:tcPr>
          <w:p w14:paraId="3494B64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3E029552" w14:textId="77777777" w:rsidTr="00804CE5">
        <w:trPr>
          <w:trHeight w:val="216"/>
        </w:trPr>
        <w:tc>
          <w:tcPr>
            <w:tcW w:w="265" w:type="dxa"/>
            <w:shd w:val="clear" w:color="auto" w:fill="FFFFFF"/>
            <w:noWrap/>
          </w:tcPr>
          <w:p w14:paraId="3201F70D"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106F8BB0"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China</w:t>
            </w:r>
          </w:p>
        </w:tc>
        <w:tc>
          <w:tcPr>
            <w:tcW w:w="1980" w:type="dxa"/>
            <w:shd w:val="clear" w:color="auto" w:fill="FFFFFF"/>
            <w:noWrap/>
          </w:tcPr>
          <w:p w14:paraId="224E89E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 (&lt;1)</w:t>
            </w:r>
          </w:p>
        </w:tc>
        <w:tc>
          <w:tcPr>
            <w:tcW w:w="1890" w:type="dxa"/>
            <w:shd w:val="clear" w:color="auto" w:fill="FFFFFF"/>
            <w:noWrap/>
          </w:tcPr>
          <w:p w14:paraId="3A0C0CEC"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8 (&lt;1)</w:t>
            </w:r>
          </w:p>
        </w:tc>
        <w:tc>
          <w:tcPr>
            <w:tcW w:w="1890" w:type="dxa"/>
            <w:shd w:val="clear" w:color="auto" w:fill="FFFFFF"/>
          </w:tcPr>
          <w:p w14:paraId="7B589C90"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117B308F"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25B5DE5A" w14:textId="77777777" w:rsidTr="00804CE5">
        <w:trPr>
          <w:trHeight w:val="216"/>
        </w:trPr>
        <w:tc>
          <w:tcPr>
            <w:tcW w:w="265" w:type="dxa"/>
            <w:shd w:val="clear" w:color="auto" w:fill="E7E6E6" w:themeFill="background2"/>
            <w:noWrap/>
          </w:tcPr>
          <w:p w14:paraId="04274D8C"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72D6B6C4"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Guinea</w:t>
            </w:r>
          </w:p>
        </w:tc>
        <w:tc>
          <w:tcPr>
            <w:tcW w:w="1980" w:type="dxa"/>
            <w:shd w:val="clear" w:color="auto" w:fill="E7E6E6" w:themeFill="background2"/>
            <w:noWrap/>
          </w:tcPr>
          <w:p w14:paraId="322E854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191 (10)</w:t>
            </w:r>
          </w:p>
        </w:tc>
        <w:tc>
          <w:tcPr>
            <w:tcW w:w="1890" w:type="dxa"/>
            <w:shd w:val="clear" w:color="auto" w:fill="E7E6E6" w:themeFill="background2"/>
            <w:noWrap/>
          </w:tcPr>
          <w:p w14:paraId="3DBBA2E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184 (13)</w:t>
            </w:r>
          </w:p>
        </w:tc>
        <w:tc>
          <w:tcPr>
            <w:tcW w:w="1890" w:type="dxa"/>
            <w:shd w:val="clear" w:color="auto" w:fill="E7E6E6" w:themeFill="background2"/>
          </w:tcPr>
          <w:p w14:paraId="62643A0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3A13D3E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04DBC5B3" w14:textId="77777777" w:rsidTr="00804CE5">
        <w:trPr>
          <w:trHeight w:val="216"/>
        </w:trPr>
        <w:tc>
          <w:tcPr>
            <w:tcW w:w="265" w:type="dxa"/>
            <w:shd w:val="clear" w:color="auto" w:fill="FFFFFF"/>
            <w:noWrap/>
          </w:tcPr>
          <w:p w14:paraId="4D1FDF76"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5ACC979E"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India</w:t>
            </w:r>
          </w:p>
        </w:tc>
        <w:tc>
          <w:tcPr>
            <w:tcW w:w="1980" w:type="dxa"/>
            <w:shd w:val="clear" w:color="auto" w:fill="FFFFFF"/>
            <w:noWrap/>
          </w:tcPr>
          <w:p w14:paraId="75E17BDC"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228 (11)</w:t>
            </w:r>
          </w:p>
        </w:tc>
        <w:tc>
          <w:tcPr>
            <w:tcW w:w="1890" w:type="dxa"/>
            <w:shd w:val="clear" w:color="auto" w:fill="FFFFFF"/>
            <w:noWrap/>
          </w:tcPr>
          <w:p w14:paraId="6659A39A"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114 (8)</w:t>
            </w:r>
          </w:p>
        </w:tc>
        <w:tc>
          <w:tcPr>
            <w:tcW w:w="1890" w:type="dxa"/>
            <w:shd w:val="clear" w:color="auto" w:fill="FFFFFF"/>
          </w:tcPr>
          <w:p w14:paraId="17E62E61"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748DF42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54B39FD4" w14:textId="77777777" w:rsidTr="00804CE5">
        <w:trPr>
          <w:trHeight w:val="216"/>
        </w:trPr>
        <w:tc>
          <w:tcPr>
            <w:tcW w:w="265" w:type="dxa"/>
            <w:shd w:val="clear" w:color="auto" w:fill="E7E6E6" w:themeFill="background2"/>
            <w:noWrap/>
          </w:tcPr>
          <w:p w14:paraId="7E3C158D"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6213C4E5"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Kenya</w:t>
            </w:r>
          </w:p>
        </w:tc>
        <w:tc>
          <w:tcPr>
            <w:tcW w:w="1980" w:type="dxa"/>
            <w:shd w:val="clear" w:color="auto" w:fill="E7E6E6" w:themeFill="background2"/>
            <w:noWrap/>
          </w:tcPr>
          <w:p w14:paraId="2B757D01"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165 (8)</w:t>
            </w:r>
          </w:p>
        </w:tc>
        <w:tc>
          <w:tcPr>
            <w:tcW w:w="1890" w:type="dxa"/>
            <w:shd w:val="clear" w:color="auto" w:fill="E7E6E6" w:themeFill="background2"/>
            <w:noWrap/>
          </w:tcPr>
          <w:p w14:paraId="554953D9"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122 (9)</w:t>
            </w:r>
          </w:p>
        </w:tc>
        <w:tc>
          <w:tcPr>
            <w:tcW w:w="1890" w:type="dxa"/>
            <w:shd w:val="clear" w:color="auto" w:fill="E7E6E6" w:themeFill="background2"/>
          </w:tcPr>
          <w:p w14:paraId="7922866B"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3C8BA7DD"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0551B66B" w14:textId="77777777" w:rsidTr="00804CE5">
        <w:trPr>
          <w:trHeight w:val="216"/>
        </w:trPr>
        <w:tc>
          <w:tcPr>
            <w:tcW w:w="265" w:type="dxa"/>
            <w:shd w:val="clear" w:color="auto" w:fill="FFFFFF"/>
            <w:noWrap/>
          </w:tcPr>
          <w:p w14:paraId="0A0759FE"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57140DCF"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Malaysia</w:t>
            </w:r>
          </w:p>
        </w:tc>
        <w:tc>
          <w:tcPr>
            <w:tcW w:w="1980" w:type="dxa"/>
            <w:shd w:val="clear" w:color="auto" w:fill="FFFFFF"/>
            <w:noWrap/>
          </w:tcPr>
          <w:p w14:paraId="3762A24E"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43 (2)</w:t>
            </w:r>
          </w:p>
        </w:tc>
        <w:tc>
          <w:tcPr>
            <w:tcW w:w="1890" w:type="dxa"/>
            <w:shd w:val="clear" w:color="auto" w:fill="FFFFFF"/>
            <w:noWrap/>
          </w:tcPr>
          <w:p w14:paraId="5DF9579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20 (1)</w:t>
            </w:r>
          </w:p>
        </w:tc>
        <w:tc>
          <w:tcPr>
            <w:tcW w:w="1890" w:type="dxa"/>
            <w:shd w:val="clear" w:color="auto" w:fill="FFFFFF"/>
          </w:tcPr>
          <w:p w14:paraId="41A1F9BF"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7DF6EF92"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4C7AABB2" w14:textId="77777777" w:rsidTr="00804CE5">
        <w:trPr>
          <w:trHeight w:val="216"/>
        </w:trPr>
        <w:tc>
          <w:tcPr>
            <w:tcW w:w="265" w:type="dxa"/>
            <w:shd w:val="clear" w:color="auto" w:fill="E7E6E6" w:themeFill="background2"/>
            <w:noWrap/>
          </w:tcPr>
          <w:p w14:paraId="2ACFDC72"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0348D663"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Senegal</w:t>
            </w:r>
          </w:p>
        </w:tc>
        <w:tc>
          <w:tcPr>
            <w:tcW w:w="1980" w:type="dxa"/>
            <w:shd w:val="clear" w:color="auto" w:fill="E7E6E6" w:themeFill="background2"/>
            <w:noWrap/>
          </w:tcPr>
          <w:p w14:paraId="1C5546B2"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129 (6)</w:t>
            </w:r>
          </w:p>
        </w:tc>
        <w:tc>
          <w:tcPr>
            <w:tcW w:w="1890" w:type="dxa"/>
            <w:shd w:val="clear" w:color="auto" w:fill="E7E6E6" w:themeFill="background2"/>
            <w:noWrap/>
          </w:tcPr>
          <w:p w14:paraId="0E85CD0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138 (10)</w:t>
            </w:r>
          </w:p>
        </w:tc>
        <w:tc>
          <w:tcPr>
            <w:tcW w:w="1890" w:type="dxa"/>
            <w:shd w:val="clear" w:color="auto" w:fill="E7E6E6" w:themeFill="background2"/>
          </w:tcPr>
          <w:p w14:paraId="3E1705B1"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14423F1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2A250276" w14:textId="77777777" w:rsidTr="00804CE5">
        <w:trPr>
          <w:trHeight w:val="216"/>
        </w:trPr>
        <w:tc>
          <w:tcPr>
            <w:tcW w:w="265" w:type="dxa"/>
            <w:shd w:val="clear" w:color="auto" w:fill="FFFFFF"/>
            <w:noWrap/>
          </w:tcPr>
          <w:p w14:paraId="1919A5CE"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07FA970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South Africa</w:t>
            </w:r>
          </w:p>
        </w:tc>
        <w:tc>
          <w:tcPr>
            <w:tcW w:w="1980" w:type="dxa"/>
            <w:shd w:val="clear" w:color="auto" w:fill="FFFFFF"/>
            <w:noWrap/>
          </w:tcPr>
          <w:p w14:paraId="338063B9"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811 (41)</w:t>
            </w:r>
          </w:p>
        </w:tc>
        <w:tc>
          <w:tcPr>
            <w:tcW w:w="1890" w:type="dxa"/>
            <w:shd w:val="clear" w:color="auto" w:fill="FFFFFF"/>
            <w:noWrap/>
          </w:tcPr>
          <w:p w14:paraId="5F7E7FEE"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516 (37)</w:t>
            </w:r>
          </w:p>
        </w:tc>
        <w:tc>
          <w:tcPr>
            <w:tcW w:w="1890" w:type="dxa"/>
            <w:shd w:val="clear" w:color="auto" w:fill="FFFFFF"/>
          </w:tcPr>
          <w:p w14:paraId="12FEB17E"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4FEBF50E"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039F5DEF" w14:textId="77777777" w:rsidTr="00804CE5">
        <w:trPr>
          <w:trHeight w:val="216"/>
        </w:trPr>
        <w:tc>
          <w:tcPr>
            <w:tcW w:w="265" w:type="dxa"/>
            <w:shd w:val="clear" w:color="auto" w:fill="E7E6E6" w:themeFill="background2"/>
            <w:noWrap/>
            <w:hideMark/>
          </w:tcPr>
          <w:p w14:paraId="68DC43AE"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651D49BE"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Tanzania</w:t>
            </w:r>
          </w:p>
        </w:tc>
        <w:tc>
          <w:tcPr>
            <w:tcW w:w="1980" w:type="dxa"/>
            <w:shd w:val="clear" w:color="auto" w:fill="E7E6E6" w:themeFill="background2"/>
            <w:noWrap/>
            <w:hideMark/>
          </w:tcPr>
          <w:p w14:paraId="2FA2EE91"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122 (6)</w:t>
            </w:r>
          </w:p>
        </w:tc>
        <w:tc>
          <w:tcPr>
            <w:tcW w:w="1890" w:type="dxa"/>
            <w:shd w:val="clear" w:color="auto" w:fill="E7E6E6" w:themeFill="background2"/>
            <w:noWrap/>
            <w:hideMark/>
          </w:tcPr>
          <w:p w14:paraId="18A703C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67 (5)</w:t>
            </w:r>
          </w:p>
        </w:tc>
        <w:tc>
          <w:tcPr>
            <w:tcW w:w="1890" w:type="dxa"/>
            <w:shd w:val="clear" w:color="auto" w:fill="E7E6E6" w:themeFill="background2"/>
          </w:tcPr>
          <w:p w14:paraId="5A48874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2B7A085B"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5A777C5E" w14:textId="77777777" w:rsidTr="00804CE5">
        <w:trPr>
          <w:trHeight w:val="216"/>
        </w:trPr>
        <w:tc>
          <w:tcPr>
            <w:tcW w:w="265" w:type="dxa"/>
            <w:shd w:val="clear" w:color="auto" w:fill="FFFFFF"/>
            <w:noWrap/>
          </w:tcPr>
          <w:p w14:paraId="13E34942"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117E1BA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Thailand</w:t>
            </w:r>
          </w:p>
        </w:tc>
        <w:tc>
          <w:tcPr>
            <w:tcW w:w="1980" w:type="dxa"/>
            <w:shd w:val="clear" w:color="auto" w:fill="FFFFFF"/>
            <w:noWrap/>
          </w:tcPr>
          <w:p w14:paraId="2DF6C13D"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65 (3)</w:t>
            </w:r>
          </w:p>
        </w:tc>
        <w:tc>
          <w:tcPr>
            <w:tcW w:w="1890" w:type="dxa"/>
            <w:shd w:val="clear" w:color="auto" w:fill="FFFFFF"/>
            <w:noWrap/>
          </w:tcPr>
          <w:p w14:paraId="6E5FFB27"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34 (2)</w:t>
            </w:r>
          </w:p>
        </w:tc>
        <w:tc>
          <w:tcPr>
            <w:tcW w:w="1890" w:type="dxa"/>
            <w:shd w:val="clear" w:color="auto" w:fill="FFFFFF"/>
          </w:tcPr>
          <w:p w14:paraId="7332F7A2"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0552F46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32DD2CF3" w14:textId="77777777" w:rsidTr="00804CE5">
        <w:trPr>
          <w:trHeight w:val="216"/>
        </w:trPr>
        <w:tc>
          <w:tcPr>
            <w:tcW w:w="265" w:type="dxa"/>
            <w:shd w:val="clear" w:color="auto" w:fill="E7E6E6" w:themeFill="background2"/>
            <w:noWrap/>
          </w:tcPr>
          <w:p w14:paraId="34EB17A3"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39F69ADD"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Z</w:t>
            </w:r>
            <w:r w:rsidRPr="00FE729D">
              <w:rPr>
                <w:rFonts w:ascii="Arial" w:eastAsia="Times New Roman" w:hAnsi="Arial" w:cs="Arial"/>
                <w:color w:val="000000"/>
                <w:sz w:val="22"/>
                <w:szCs w:val="22"/>
                <w:shd w:val="clear" w:color="auto" w:fill="E7E6E6" w:themeFill="background2"/>
              </w:rPr>
              <w:t>ambia</w:t>
            </w:r>
          </w:p>
        </w:tc>
        <w:tc>
          <w:tcPr>
            <w:tcW w:w="1980" w:type="dxa"/>
            <w:shd w:val="clear" w:color="auto" w:fill="E7E6E6" w:themeFill="background2"/>
            <w:noWrap/>
          </w:tcPr>
          <w:p w14:paraId="449FD12C"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35 (2)</w:t>
            </w:r>
          </w:p>
        </w:tc>
        <w:tc>
          <w:tcPr>
            <w:tcW w:w="1890" w:type="dxa"/>
            <w:shd w:val="clear" w:color="auto" w:fill="E7E6E6" w:themeFill="background2"/>
            <w:noWrap/>
          </w:tcPr>
          <w:p w14:paraId="42286A5D"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21 (1)</w:t>
            </w:r>
          </w:p>
        </w:tc>
        <w:tc>
          <w:tcPr>
            <w:tcW w:w="1890" w:type="dxa"/>
            <w:shd w:val="clear" w:color="auto" w:fill="E7E6E6" w:themeFill="background2"/>
          </w:tcPr>
          <w:p w14:paraId="23854269"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4A517AB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08600354" w14:textId="77777777" w:rsidTr="00804CE5">
        <w:trPr>
          <w:trHeight w:val="216"/>
        </w:trPr>
        <w:tc>
          <w:tcPr>
            <w:tcW w:w="265" w:type="dxa"/>
            <w:shd w:val="clear" w:color="auto" w:fill="FFFFFF"/>
            <w:noWrap/>
          </w:tcPr>
          <w:p w14:paraId="6A122CC8"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564CF1EF"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Zimbabwe</w:t>
            </w:r>
          </w:p>
        </w:tc>
        <w:tc>
          <w:tcPr>
            <w:tcW w:w="1980" w:type="dxa"/>
            <w:shd w:val="clear" w:color="auto" w:fill="FFFFFF"/>
            <w:noWrap/>
          </w:tcPr>
          <w:p w14:paraId="60EA52A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67 (3)</w:t>
            </w:r>
          </w:p>
        </w:tc>
        <w:tc>
          <w:tcPr>
            <w:tcW w:w="1890" w:type="dxa"/>
            <w:shd w:val="clear" w:color="auto" w:fill="FFFFFF"/>
            <w:noWrap/>
          </w:tcPr>
          <w:p w14:paraId="187117E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60 (4)</w:t>
            </w:r>
          </w:p>
        </w:tc>
        <w:tc>
          <w:tcPr>
            <w:tcW w:w="1890" w:type="dxa"/>
            <w:shd w:val="clear" w:color="auto" w:fill="FFFFFF"/>
          </w:tcPr>
          <w:p w14:paraId="45ADABFD"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FFFFFF"/>
          </w:tcPr>
          <w:p w14:paraId="32ABEAEB"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47C43736" w14:textId="77777777" w:rsidTr="00804CE5">
        <w:trPr>
          <w:trHeight w:val="216"/>
        </w:trPr>
        <w:tc>
          <w:tcPr>
            <w:tcW w:w="265" w:type="dxa"/>
            <w:shd w:val="clear" w:color="auto" w:fill="E7E6E6" w:themeFill="background2"/>
            <w:noWrap/>
          </w:tcPr>
          <w:p w14:paraId="666C6BB4"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686CCF73" w14:textId="77777777" w:rsidR="008F1E8F" w:rsidRPr="009439D3" w:rsidRDefault="008F1E8F" w:rsidP="00EA10C3">
            <w:pPr>
              <w:rPr>
                <w:rFonts w:ascii="Arial" w:eastAsia="Times New Roman" w:hAnsi="Arial" w:cs="Arial"/>
                <w:color w:val="000000"/>
                <w:sz w:val="22"/>
                <w:szCs w:val="22"/>
              </w:rPr>
            </w:pPr>
            <w:r>
              <w:rPr>
                <w:rFonts w:ascii="Arial" w:eastAsia="Times New Roman" w:hAnsi="Arial" w:cs="Arial"/>
                <w:color w:val="000000"/>
                <w:sz w:val="22"/>
                <w:szCs w:val="22"/>
              </w:rPr>
              <w:t>Brazil</w:t>
            </w:r>
          </w:p>
        </w:tc>
        <w:tc>
          <w:tcPr>
            <w:tcW w:w="1980" w:type="dxa"/>
            <w:shd w:val="clear" w:color="auto" w:fill="E7E6E6" w:themeFill="background2"/>
            <w:noWrap/>
          </w:tcPr>
          <w:p w14:paraId="315F60AB"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E7E6E6" w:themeFill="background2"/>
            <w:noWrap/>
          </w:tcPr>
          <w:p w14:paraId="330C5D8F"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E7E6E6" w:themeFill="background2"/>
          </w:tcPr>
          <w:p w14:paraId="7C6DFDD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67 (35)</w:t>
            </w:r>
          </w:p>
        </w:tc>
        <w:tc>
          <w:tcPr>
            <w:tcW w:w="1795" w:type="dxa"/>
            <w:shd w:val="clear" w:color="auto" w:fill="E7E6E6" w:themeFill="background2"/>
          </w:tcPr>
          <w:p w14:paraId="22AFA7C7"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68 (35)</w:t>
            </w:r>
          </w:p>
        </w:tc>
      </w:tr>
      <w:tr w:rsidR="008F1E8F" w:rsidRPr="009439D3" w14:paraId="6ED90FF3" w14:textId="77777777" w:rsidTr="00804CE5">
        <w:trPr>
          <w:trHeight w:val="216"/>
        </w:trPr>
        <w:tc>
          <w:tcPr>
            <w:tcW w:w="265" w:type="dxa"/>
            <w:shd w:val="clear" w:color="auto" w:fill="FFFFFF"/>
            <w:noWrap/>
          </w:tcPr>
          <w:p w14:paraId="4D86FC1E"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FFFFFF"/>
            <w:noWrap/>
          </w:tcPr>
          <w:p w14:paraId="4E82DB25" w14:textId="77777777" w:rsidR="008F1E8F" w:rsidRPr="009439D3" w:rsidRDefault="008F1E8F" w:rsidP="00EA10C3">
            <w:pPr>
              <w:rPr>
                <w:rFonts w:ascii="Arial" w:eastAsia="Times New Roman" w:hAnsi="Arial" w:cs="Arial"/>
                <w:color w:val="000000"/>
                <w:sz w:val="22"/>
                <w:szCs w:val="22"/>
              </w:rPr>
            </w:pPr>
            <w:r>
              <w:rPr>
                <w:rFonts w:ascii="Arial" w:eastAsia="Times New Roman" w:hAnsi="Arial" w:cs="Arial"/>
                <w:color w:val="000000"/>
                <w:sz w:val="22"/>
                <w:szCs w:val="22"/>
              </w:rPr>
              <w:t xml:space="preserve">Philippines </w:t>
            </w:r>
          </w:p>
        </w:tc>
        <w:tc>
          <w:tcPr>
            <w:tcW w:w="1980" w:type="dxa"/>
            <w:shd w:val="clear" w:color="auto" w:fill="FFFFFF"/>
            <w:noWrap/>
          </w:tcPr>
          <w:p w14:paraId="0D1E08E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FFFFFF"/>
            <w:noWrap/>
          </w:tcPr>
          <w:p w14:paraId="5447BC4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FFFFFF"/>
          </w:tcPr>
          <w:p w14:paraId="5F0E4156"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46 (24)</w:t>
            </w:r>
          </w:p>
        </w:tc>
        <w:tc>
          <w:tcPr>
            <w:tcW w:w="1795" w:type="dxa"/>
            <w:shd w:val="clear" w:color="auto" w:fill="FFFFFF"/>
          </w:tcPr>
          <w:p w14:paraId="40ED68C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46 (24)</w:t>
            </w:r>
          </w:p>
        </w:tc>
      </w:tr>
      <w:tr w:rsidR="008F1E8F" w:rsidRPr="009439D3" w14:paraId="416BC0CE" w14:textId="77777777" w:rsidTr="00804CE5">
        <w:trPr>
          <w:trHeight w:val="216"/>
        </w:trPr>
        <w:tc>
          <w:tcPr>
            <w:tcW w:w="265" w:type="dxa"/>
            <w:shd w:val="clear" w:color="auto" w:fill="E7E6E6" w:themeFill="background2"/>
            <w:noWrap/>
          </w:tcPr>
          <w:p w14:paraId="1845DAEF" w14:textId="77777777" w:rsidR="008F1E8F" w:rsidRPr="009439D3" w:rsidRDefault="008F1E8F" w:rsidP="00EA10C3">
            <w:pPr>
              <w:rPr>
                <w:rFonts w:ascii="Arial" w:eastAsia="Times New Roman" w:hAnsi="Arial" w:cs="Arial"/>
                <w:color w:val="000000"/>
                <w:sz w:val="22"/>
                <w:szCs w:val="22"/>
              </w:rPr>
            </w:pPr>
          </w:p>
        </w:tc>
        <w:tc>
          <w:tcPr>
            <w:tcW w:w="2970" w:type="dxa"/>
            <w:gridSpan w:val="2"/>
            <w:shd w:val="clear" w:color="auto" w:fill="E7E6E6" w:themeFill="background2"/>
            <w:noWrap/>
          </w:tcPr>
          <w:p w14:paraId="4AECCDD4" w14:textId="77777777" w:rsidR="008F1E8F" w:rsidRPr="009439D3" w:rsidRDefault="008F1E8F" w:rsidP="00EA10C3">
            <w:pPr>
              <w:rPr>
                <w:rFonts w:ascii="Arial" w:eastAsia="Times New Roman" w:hAnsi="Arial" w:cs="Arial"/>
                <w:color w:val="000000"/>
                <w:sz w:val="22"/>
                <w:szCs w:val="22"/>
              </w:rPr>
            </w:pPr>
            <w:r>
              <w:rPr>
                <w:rFonts w:ascii="Arial" w:eastAsia="Times New Roman" w:hAnsi="Arial" w:cs="Arial"/>
                <w:color w:val="000000"/>
                <w:sz w:val="22"/>
                <w:szCs w:val="22"/>
              </w:rPr>
              <w:t>Uganda</w:t>
            </w:r>
          </w:p>
        </w:tc>
        <w:tc>
          <w:tcPr>
            <w:tcW w:w="1980" w:type="dxa"/>
            <w:shd w:val="clear" w:color="auto" w:fill="E7E6E6" w:themeFill="background2"/>
            <w:noWrap/>
          </w:tcPr>
          <w:p w14:paraId="79A1110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E7E6E6" w:themeFill="background2"/>
            <w:noWrap/>
          </w:tcPr>
          <w:p w14:paraId="33176A00"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890" w:type="dxa"/>
            <w:shd w:val="clear" w:color="auto" w:fill="E7E6E6" w:themeFill="background2"/>
          </w:tcPr>
          <w:p w14:paraId="244A52DA"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80 (41)</w:t>
            </w:r>
          </w:p>
        </w:tc>
        <w:tc>
          <w:tcPr>
            <w:tcW w:w="1795" w:type="dxa"/>
            <w:shd w:val="clear" w:color="auto" w:fill="E7E6E6" w:themeFill="background2"/>
          </w:tcPr>
          <w:p w14:paraId="5259284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79 (41)</w:t>
            </w:r>
          </w:p>
        </w:tc>
      </w:tr>
      <w:tr w:rsidR="008F1E8F" w:rsidRPr="009439D3" w14:paraId="097F36E7" w14:textId="77777777" w:rsidTr="00804CE5">
        <w:trPr>
          <w:trHeight w:val="216"/>
        </w:trPr>
        <w:tc>
          <w:tcPr>
            <w:tcW w:w="3235" w:type="dxa"/>
            <w:gridSpan w:val="3"/>
            <w:shd w:val="clear" w:color="auto" w:fill="auto"/>
            <w:noWrap/>
            <w:hideMark/>
          </w:tcPr>
          <w:p w14:paraId="5DD06677"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Female sex - no. (%) </w:t>
            </w:r>
          </w:p>
        </w:tc>
        <w:tc>
          <w:tcPr>
            <w:tcW w:w="1980" w:type="dxa"/>
            <w:shd w:val="clear" w:color="auto" w:fill="auto"/>
            <w:noWrap/>
            <w:hideMark/>
          </w:tcPr>
          <w:p w14:paraId="1EF7D5F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592 (30)</w:t>
            </w:r>
          </w:p>
        </w:tc>
        <w:tc>
          <w:tcPr>
            <w:tcW w:w="1890" w:type="dxa"/>
            <w:shd w:val="clear" w:color="auto" w:fill="auto"/>
            <w:noWrap/>
            <w:hideMark/>
          </w:tcPr>
          <w:p w14:paraId="24D78247"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415 (30)</w:t>
            </w:r>
          </w:p>
        </w:tc>
        <w:tc>
          <w:tcPr>
            <w:tcW w:w="1890" w:type="dxa"/>
            <w:shd w:val="clear" w:color="auto" w:fill="auto"/>
          </w:tcPr>
          <w:p w14:paraId="7AAD9DB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76 (39)</w:t>
            </w:r>
          </w:p>
        </w:tc>
        <w:tc>
          <w:tcPr>
            <w:tcW w:w="1795" w:type="dxa"/>
            <w:shd w:val="clear" w:color="auto" w:fill="auto"/>
          </w:tcPr>
          <w:p w14:paraId="7188004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76 (39)</w:t>
            </w:r>
          </w:p>
        </w:tc>
      </w:tr>
      <w:tr w:rsidR="008F1E8F" w:rsidRPr="009439D3" w14:paraId="7EFE3EA4" w14:textId="77777777" w:rsidTr="00804CE5">
        <w:trPr>
          <w:trHeight w:val="216"/>
        </w:trPr>
        <w:tc>
          <w:tcPr>
            <w:tcW w:w="3235" w:type="dxa"/>
            <w:gridSpan w:val="3"/>
            <w:shd w:val="clear" w:color="auto" w:fill="E7E6E6" w:themeFill="background2"/>
            <w:noWrap/>
            <w:hideMark/>
          </w:tcPr>
          <w:p w14:paraId="7069FBAE"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Race - no. (</w:t>
            </w:r>
            <w:proofErr w:type="gramStart"/>
            <w:r w:rsidRPr="009439D3">
              <w:rPr>
                <w:rFonts w:ascii="Arial" w:eastAsia="Times New Roman" w:hAnsi="Arial" w:cs="Arial"/>
                <w:color w:val="000000"/>
                <w:sz w:val="22"/>
                <w:szCs w:val="22"/>
              </w:rPr>
              <w:t>%)*</w:t>
            </w:r>
            <w:proofErr w:type="gramEnd"/>
            <w:r w:rsidRPr="009439D3">
              <w:rPr>
                <w:rFonts w:ascii="Arial" w:eastAsia="Times New Roman" w:hAnsi="Arial" w:cs="Arial"/>
                <w:color w:val="000000"/>
                <w:sz w:val="22"/>
                <w:szCs w:val="22"/>
              </w:rPr>
              <w:t xml:space="preserve"> </w:t>
            </w:r>
          </w:p>
        </w:tc>
        <w:tc>
          <w:tcPr>
            <w:tcW w:w="1980" w:type="dxa"/>
            <w:shd w:val="clear" w:color="auto" w:fill="E7E6E6" w:themeFill="background2"/>
            <w:noWrap/>
            <w:hideMark/>
          </w:tcPr>
          <w:p w14:paraId="2CE93228"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7E6E6" w:themeFill="background2"/>
            <w:noWrap/>
            <w:hideMark/>
          </w:tcPr>
          <w:p w14:paraId="0935EA6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7E6E6" w:themeFill="background2"/>
          </w:tcPr>
          <w:p w14:paraId="746DF191"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E7E6E6" w:themeFill="background2"/>
          </w:tcPr>
          <w:p w14:paraId="38D92F74"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0AF3B322" w14:textId="77777777" w:rsidTr="00804CE5">
        <w:trPr>
          <w:trHeight w:val="216"/>
        </w:trPr>
        <w:tc>
          <w:tcPr>
            <w:tcW w:w="265" w:type="dxa"/>
            <w:shd w:val="clear" w:color="auto" w:fill="auto"/>
            <w:noWrap/>
            <w:hideMark/>
          </w:tcPr>
          <w:p w14:paraId="7AB6210C"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381EB2C9"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Black or African American </w:t>
            </w:r>
          </w:p>
        </w:tc>
        <w:tc>
          <w:tcPr>
            <w:tcW w:w="1980" w:type="dxa"/>
            <w:shd w:val="clear" w:color="auto" w:fill="auto"/>
            <w:noWrap/>
            <w:hideMark/>
          </w:tcPr>
          <w:p w14:paraId="0CBD9261"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1326 (66)</w:t>
            </w:r>
          </w:p>
        </w:tc>
        <w:tc>
          <w:tcPr>
            <w:tcW w:w="1890" w:type="dxa"/>
            <w:shd w:val="clear" w:color="auto" w:fill="auto"/>
            <w:noWrap/>
            <w:hideMark/>
          </w:tcPr>
          <w:p w14:paraId="5FA5400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1066 (76)</w:t>
            </w:r>
          </w:p>
        </w:tc>
        <w:tc>
          <w:tcPr>
            <w:tcW w:w="1890" w:type="dxa"/>
            <w:shd w:val="clear" w:color="auto" w:fill="auto"/>
          </w:tcPr>
          <w:p w14:paraId="6196D7A9"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auto"/>
          </w:tcPr>
          <w:p w14:paraId="72DC5D49"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23279BB8" w14:textId="77777777" w:rsidTr="00804CE5">
        <w:trPr>
          <w:trHeight w:val="216"/>
        </w:trPr>
        <w:tc>
          <w:tcPr>
            <w:tcW w:w="265" w:type="dxa"/>
            <w:shd w:val="clear" w:color="auto" w:fill="E7E6E6" w:themeFill="background2"/>
            <w:noWrap/>
            <w:hideMark/>
          </w:tcPr>
          <w:p w14:paraId="422BCB5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25246D9F"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Asian </w:t>
            </w:r>
          </w:p>
        </w:tc>
        <w:tc>
          <w:tcPr>
            <w:tcW w:w="1980" w:type="dxa"/>
            <w:shd w:val="clear" w:color="auto" w:fill="E7E6E6" w:themeFill="background2"/>
            <w:noWrap/>
            <w:hideMark/>
          </w:tcPr>
          <w:p w14:paraId="018E3C44"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349 (17)</w:t>
            </w:r>
          </w:p>
        </w:tc>
        <w:tc>
          <w:tcPr>
            <w:tcW w:w="1890" w:type="dxa"/>
            <w:shd w:val="clear" w:color="auto" w:fill="E7E6E6" w:themeFill="background2"/>
            <w:noWrap/>
            <w:hideMark/>
          </w:tcPr>
          <w:p w14:paraId="48AAA577"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178 (13)</w:t>
            </w:r>
          </w:p>
        </w:tc>
        <w:tc>
          <w:tcPr>
            <w:tcW w:w="1890" w:type="dxa"/>
            <w:shd w:val="clear" w:color="auto" w:fill="E7E6E6" w:themeFill="background2"/>
          </w:tcPr>
          <w:p w14:paraId="559A98E0"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26E7BC1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5A54272B" w14:textId="77777777" w:rsidTr="00804CE5">
        <w:trPr>
          <w:trHeight w:val="216"/>
        </w:trPr>
        <w:tc>
          <w:tcPr>
            <w:tcW w:w="265" w:type="dxa"/>
            <w:shd w:val="clear" w:color="auto" w:fill="auto"/>
            <w:noWrap/>
            <w:hideMark/>
          </w:tcPr>
          <w:p w14:paraId="418DA1C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718366FD"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Other </w:t>
            </w:r>
          </w:p>
        </w:tc>
        <w:tc>
          <w:tcPr>
            <w:tcW w:w="1980" w:type="dxa"/>
            <w:shd w:val="clear" w:color="auto" w:fill="auto"/>
            <w:noWrap/>
            <w:hideMark/>
          </w:tcPr>
          <w:p w14:paraId="5912FE1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326 (16)</w:t>
            </w:r>
          </w:p>
        </w:tc>
        <w:tc>
          <w:tcPr>
            <w:tcW w:w="1890" w:type="dxa"/>
            <w:shd w:val="clear" w:color="auto" w:fill="auto"/>
            <w:noWrap/>
            <w:hideMark/>
          </w:tcPr>
          <w:p w14:paraId="48AB37F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160 (11)</w:t>
            </w:r>
          </w:p>
        </w:tc>
        <w:tc>
          <w:tcPr>
            <w:tcW w:w="1890" w:type="dxa"/>
            <w:shd w:val="clear" w:color="auto" w:fill="auto"/>
          </w:tcPr>
          <w:p w14:paraId="6B8DBBC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auto"/>
          </w:tcPr>
          <w:p w14:paraId="3769364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2EAFC6A3" w14:textId="77777777" w:rsidTr="00804CE5">
        <w:trPr>
          <w:trHeight w:val="216"/>
        </w:trPr>
        <w:tc>
          <w:tcPr>
            <w:tcW w:w="3235" w:type="dxa"/>
            <w:gridSpan w:val="3"/>
            <w:shd w:val="clear" w:color="auto" w:fill="auto"/>
            <w:noWrap/>
            <w:hideMark/>
          </w:tcPr>
          <w:p w14:paraId="696F939B" w14:textId="77777777" w:rsidR="008F1E8F" w:rsidRPr="009439D3" w:rsidRDefault="008F1E8F" w:rsidP="00EA10C3">
            <w:pPr>
              <w:rPr>
                <w:rFonts w:ascii="Arial" w:hAnsi="Arial" w:cs="Arial"/>
                <w:sz w:val="22"/>
                <w:szCs w:val="22"/>
              </w:rPr>
            </w:pPr>
            <w:r w:rsidRPr="009439D3">
              <w:rPr>
                <w:rFonts w:ascii="Arial" w:eastAsia="Times New Roman" w:hAnsi="Arial" w:cs="Arial"/>
                <w:color w:val="000000"/>
                <w:sz w:val="22"/>
                <w:szCs w:val="22"/>
              </w:rPr>
              <w:t xml:space="preserve">Age- </w:t>
            </w:r>
            <w:proofErr w:type="spellStart"/>
            <w:r w:rsidRPr="009439D3">
              <w:rPr>
                <w:rFonts w:ascii="Arial" w:eastAsia="Times New Roman" w:hAnsi="Arial" w:cs="Arial"/>
                <w:color w:val="000000"/>
                <w:sz w:val="22"/>
                <w:szCs w:val="22"/>
              </w:rPr>
              <w:t>yrs</w:t>
            </w:r>
            <w:proofErr w:type="spellEnd"/>
            <w:r w:rsidRPr="009439D3">
              <w:rPr>
                <w:rFonts w:ascii="Arial" w:hAnsi="Arial" w:cs="Arial"/>
                <w:sz w:val="22"/>
                <w:szCs w:val="22"/>
              </w:rPr>
              <w:t>†</w:t>
            </w:r>
            <w:r w:rsidRPr="009439D3">
              <w:rPr>
                <w:rFonts w:ascii="Arial" w:eastAsia="Times New Roman" w:hAnsi="Arial" w:cs="Arial"/>
                <w:color w:val="000000"/>
                <w:sz w:val="22"/>
                <w:szCs w:val="22"/>
              </w:rPr>
              <w:t xml:space="preserve"> </w:t>
            </w:r>
          </w:p>
        </w:tc>
        <w:tc>
          <w:tcPr>
            <w:tcW w:w="1980" w:type="dxa"/>
            <w:shd w:val="clear" w:color="auto" w:fill="auto"/>
            <w:noWrap/>
            <w:hideMark/>
          </w:tcPr>
          <w:p w14:paraId="787E8C3A"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noWrap/>
            <w:hideMark/>
          </w:tcPr>
          <w:p w14:paraId="29D694FE"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tcPr>
          <w:p w14:paraId="281E9AEF"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auto"/>
          </w:tcPr>
          <w:p w14:paraId="392A8151"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26AD2299" w14:textId="77777777" w:rsidTr="00804CE5">
        <w:trPr>
          <w:trHeight w:val="216"/>
        </w:trPr>
        <w:tc>
          <w:tcPr>
            <w:tcW w:w="265" w:type="dxa"/>
            <w:shd w:val="clear" w:color="auto" w:fill="E7E6E6" w:themeFill="background2"/>
            <w:noWrap/>
            <w:hideMark/>
          </w:tcPr>
          <w:p w14:paraId="28641643"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22B6C0EA"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Median </w:t>
            </w:r>
          </w:p>
        </w:tc>
        <w:tc>
          <w:tcPr>
            <w:tcW w:w="1980" w:type="dxa"/>
            <w:shd w:val="clear" w:color="auto" w:fill="E7E6E6" w:themeFill="background2"/>
            <w:noWrap/>
            <w:hideMark/>
          </w:tcPr>
          <w:p w14:paraId="581389CD"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30</w:t>
            </w:r>
          </w:p>
        </w:tc>
        <w:tc>
          <w:tcPr>
            <w:tcW w:w="1890" w:type="dxa"/>
            <w:shd w:val="clear" w:color="auto" w:fill="E7E6E6" w:themeFill="background2"/>
            <w:noWrap/>
            <w:hideMark/>
          </w:tcPr>
          <w:p w14:paraId="009A718A"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29</w:t>
            </w:r>
          </w:p>
        </w:tc>
        <w:tc>
          <w:tcPr>
            <w:tcW w:w="1890" w:type="dxa"/>
            <w:shd w:val="clear" w:color="auto" w:fill="E7E6E6" w:themeFill="background2"/>
          </w:tcPr>
          <w:p w14:paraId="40027C7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29</w:t>
            </w:r>
          </w:p>
        </w:tc>
        <w:tc>
          <w:tcPr>
            <w:tcW w:w="1795" w:type="dxa"/>
            <w:shd w:val="clear" w:color="auto" w:fill="E7E6E6" w:themeFill="background2"/>
          </w:tcPr>
          <w:p w14:paraId="3A6DF06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27</w:t>
            </w:r>
          </w:p>
        </w:tc>
      </w:tr>
      <w:tr w:rsidR="008F1E8F" w:rsidRPr="009439D3" w14:paraId="072A7DEE" w14:textId="77777777" w:rsidTr="00804CE5">
        <w:trPr>
          <w:trHeight w:val="216"/>
        </w:trPr>
        <w:tc>
          <w:tcPr>
            <w:tcW w:w="265" w:type="dxa"/>
            <w:shd w:val="clear" w:color="auto" w:fill="auto"/>
            <w:noWrap/>
            <w:hideMark/>
          </w:tcPr>
          <w:p w14:paraId="5B15065F"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50A24C98"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Interquartile range </w:t>
            </w:r>
          </w:p>
        </w:tc>
        <w:tc>
          <w:tcPr>
            <w:tcW w:w="1980" w:type="dxa"/>
            <w:shd w:val="clear" w:color="auto" w:fill="auto"/>
            <w:noWrap/>
            <w:hideMark/>
          </w:tcPr>
          <w:p w14:paraId="7D61342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24-39</w:t>
            </w:r>
          </w:p>
        </w:tc>
        <w:tc>
          <w:tcPr>
            <w:tcW w:w="1890" w:type="dxa"/>
            <w:shd w:val="clear" w:color="auto" w:fill="auto"/>
            <w:noWrap/>
            <w:hideMark/>
          </w:tcPr>
          <w:p w14:paraId="151A2984"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24-38</w:t>
            </w:r>
          </w:p>
        </w:tc>
        <w:tc>
          <w:tcPr>
            <w:tcW w:w="1890" w:type="dxa"/>
            <w:shd w:val="clear" w:color="auto" w:fill="auto"/>
          </w:tcPr>
          <w:p w14:paraId="27B757BD"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23-38</w:t>
            </w:r>
          </w:p>
        </w:tc>
        <w:tc>
          <w:tcPr>
            <w:tcW w:w="1795" w:type="dxa"/>
            <w:shd w:val="clear" w:color="auto" w:fill="auto"/>
          </w:tcPr>
          <w:p w14:paraId="3FADBCA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22-36</w:t>
            </w:r>
          </w:p>
        </w:tc>
      </w:tr>
      <w:tr w:rsidR="008F1E8F" w:rsidRPr="009439D3" w14:paraId="6FE3F8ED" w14:textId="77777777" w:rsidTr="00804CE5">
        <w:trPr>
          <w:trHeight w:val="216"/>
        </w:trPr>
        <w:tc>
          <w:tcPr>
            <w:tcW w:w="3235" w:type="dxa"/>
            <w:gridSpan w:val="3"/>
            <w:shd w:val="clear" w:color="auto" w:fill="E7E6E6" w:themeFill="background2"/>
            <w:noWrap/>
            <w:hideMark/>
          </w:tcPr>
          <w:p w14:paraId="042DB63B"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Weight- kg </w:t>
            </w:r>
          </w:p>
        </w:tc>
        <w:tc>
          <w:tcPr>
            <w:tcW w:w="1980" w:type="dxa"/>
            <w:shd w:val="clear" w:color="auto" w:fill="E7E6E6" w:themeFill="background2"/>
            <w:noWrap/>
            <w:hideMark/>
          </w:tcPr>
          <w:p w14:paraId="68B4B3B2"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7E6E6" w:themeFill="background2"/>
            <w:noWrap/>
            <w:hideMark/>
          </w:tcPr>
          <w:p w14:paraId="775EB1B1"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E7E6E6" w:themeFill="background2"/>
          </w:tcPr>
          <w:p w14:paraId="06D3C113"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E7E6E6" w:themeFill="background2"/>
          </w:tcPr>
          <w:p w14:paraId="04A2AD6E"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24F8DE6B" w14:textId="77777777" w:rsidTr="00804CE5">
        <w:trPr>
          <w:trHeight w:val="216"/>
        </w:trPr>
        <w:tc>
          <w:tcPr>
            <w:tcW w:w="265" w:type="dxa"/>
            <w:shd w:val="clear" w:color="auto" w:fill="auto"/>
            <w:noWrap/>
            <w:hideMark/>
          </w:tcPr>
          <w:p w14:paraId="17D17D2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5ABA3D85"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Median </w:t>
            </w:r>
          </w:p>
        </w:tc>
        <w:tc>
          <w:tcPr>
            <w:tcW w:w="1980" w:type="dxa"/>
            <w:shd w:val="clear" w:color="auto" w:fill="auto"/>
            <w:noWrap/>
            <w:hideMark/>
          </w:tcPr>
          <w:p w14:paraId="35D6EBB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52</w:t>
            </w:r>
          </w:p>
        </w:tc>
        <w:tc>
          <w:tcPr>
            <w:tcW w:w="1890" w:type="dxa"/>
            <w:shd w:val="clear" w:color="auto" w:fill="auto"/>
            <w:noWrap/>
            <w:hideMark/>
          </w:tcPr>
          <w:p w14:paraId="111C86A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52</w:t>
            </w:r>
          </w:p>
        </w:tc>
        <w:tc>
          <w:tcPr>
            <w:tcW w:w="1890" w:type="dxa"/>
            <w:shd w:val="clear" w:color="auto" w:fill="auto"/>
          </w:tcPr>
          <w:p w14:paraId="0E663B4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54</w:t>
            </w:r>
          </w:p>
        </w:tc>
        <w:tc>
          <w:tcPr>
            <w:tcW w:w="1795" w:type="dxa"/>
            <w:shd w:val="clear" w:color="auto" w:fill="auto"/>
          </w:tcPr>
          <w:p w14:paraId="02FC5295"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55</w:t>
            </w:r>
          </w:p>
        </w:tc>
      </w:tr>
      <w:tr w:rsidR="008F1E8F" w:rsidRPr="009439D3" w14:paraId="4843C99E" w14:textId="77777777" w:rsidTr="00804CE5">
        <w:trPr>
          <w:trHeight w:val="216"/>
        </w:trPr>
        <w:tc>
          <w:tcPr>
            <w:tcW w:w="265" w:type="dxa"/>
            <w:shd w:val="clear" w:color="auto" w:fill="E7E6E6" w:themeFill="background2"/>
            <w:noWrap/>
            <w:hideMark/>
          </w:tcPr>
          <w:p w14:paraId="7A7982DD"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229E60E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Interquartile range  </w:t>
            </w:r>
          </w:p>
        </w:tc>
        <w:tc>
          <w:tcPr>
            <w:tcW w:w="1980" w:type="dxa"/>
            <w:shd w:val="clear" w:color="auto" w:fill="E7E6E6" w:themeFill="background2"/>
            <w:noWrap/>
            <w:hideMark/>
          </w:tcPr>
          <w:p w14:paraId="30F776AC"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46-58</w:t>
            </w:r>
          </w:p>
        </w:tc>
        <w:tc>
          <w:tcPr>
            <w:tcW w:w="1890" w:type="dxa"/>
            <w:shd w:val="clear" w:color="auto" w:fill="E7E6E6" w:themeFill="background2"/>
            <w:noWrap/>
            <w:hideMark/>
          </w:tcPr>
          <w:p w14:paraId="209083A5"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47-58</w:t>
            </w:r>
          </w:p>
        </w:tc>
        <w:tc>
          <w:tcPr>
            <w:tcW w:w="1890" w:type="dxa"/>
            <w:shd w:val="clear" w:color="auto" w:fill="E7E6E6" w:themeFill="background2"/>
          </w:tcPr>
          <w:p w14:paraId="63171EA4"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49-62</w:t>
            </w:r>
          </w:p>
        </w:tc>
        <w:tc>
          <w:tcPr>
            <w:tcW w:w="1795" w:type="dxa"/>
            <w:shd w:val="clear" w:color="auto" w:fill="E7E6E6" w:themeFill="background2"/>
          </w:tcPr>
          <w:p w14:paraId="08FF614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49-61</w:t>
            </w:r>
          </w:p>
        </w:tc>
      </w:tr>
      <w:tr w:rsidR="008F1E8F" w:rsidRPr="009439D3" w14:paraId="7BC05128" w14:textId="77777777" w:rsidTr="00804CE5">
        <w:trPr>
          <w:trHeight w:val="216"/>
        </w:trPr>
        <w:tc>
          <w:tcPr>
            <w:tcW w:w="3235" w:type="dxa"/>
            <w:gridSpan w:val="3"/>
            <w:shd w:val="clear" w:color="auto" w:fill="auto"/>
            <w:noWrap/>
            <w:hideMark/>
          </w:tcPr>
          <w:p w14:paraId="6B9A90A8"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Body mass index</w:t>
            </w:r>
            <w:r w:rsidRPr="009439D3">
              <w:rPr>
                <w:rFonts w:ascii="Arial" w:eastAsia="MS Mincho" w:hAnsi="Arial" w:cs="Arial"/>
                <w:color w:val="000000"/>
                <w:sz w:val="22"/>
                <w:szCs w:val="22"/>
              </w:rPr>
              <w:t>∫</w:t>
            </w:r>
          </w:p>
        </w:tc>
        <w:tc>
          <w:tcPr>
            <w:tcW w:w="1980" w:type="dxa"/>
            <w:shd w:val="clear" w:color="auto" w:fill="auto"/>
            <w:noWrap/>
            <w:hideMark/>
          </w:tcPr>
          <w:p w14:paraId="23AC6A34"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noWrap/>
            <w:hideMark/>
          </w:tcPr>
          <w:p w14:paraId="28731965"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tcPr>
          <w:p w14:paraId="62A1FCA0"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auto"/>
          </w:tcPr>
          <w:p w14:paraId="7B656428"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6A858EA8" w14:textId="77777777" w:rsidTr="00804CE5">
        <w:trPr>
          <w:trHeight w:val="225"/>
        </w:trPr>
        <w:tc>
          <w:tcPr>
            <w:tcW w:w="265" w:type="dxa"/>
            <w:shd w:val="clear" w:color="auto" w:fill="E7E6E6" w:themeFill="background2"/>
            <w:noWrap/>
            <w:hideMark/>
          </w:tcPr>
          <w:p w14:paraId="1BF66AD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576D5E98"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Median </w:t>
            </w:r>
          </w:p>
        </w:tc>
        <w:tc>
          <w:tcPr>
            <w:tcW w:w="1980" w:type="dxa"/>
            <w:shd w:val="clear" w:color="auto" w:fill="E7E6E6" w:themeFill="background2"/>
            <w:noWrap/>
            <w:hideMark/>
          </w:tcPr>
          <w:p w14:paraId="19D2D8A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18.4</w:t>
            </w:r>
          </w:p>
        </w:tc>
        <w:tc>
          <w:tcPr>
            <w:tcW w:w="1890" w:type="dxa"/>
            <w:shd w:val="clear" w:color="auto" w:fill="E7E6E6" w:themeFill="background2"/>
            <w:noWrap/>
            <w:hideMark/>
          </w:tcPr>
          <w:p w14:paraId="48CEDDB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18.3</w:t>
            </w:r>
          </w:p>
        </w:tc>
        <w:tc>
          <w:tcPr>
            <w:tcW w:w="1890" w:type="dxa"/>
            <w:shd w:val="clear" w:color="auto" w:fill="E7E6E6" w:themeFill="background2"/>
          </w:tcPr>
          <w:p w14:paraId="431D1EF5"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20.3</w:t>
            </w:r>
          </w:p>
        </w:tc>
        <w:tc>
          <w:tcPr>
            <w:tcW w:w="1795" w:type="dxa"/>
            <w:shd w:val="clear" w:color="auto" w:fill="E7E6E6" w:themeFill="background2"/>
          </w:tcPr>
          <w:p w14:paraId="4F39768B"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19.5</w:t>
            </w:r>
          </w:p>
        </w:tc>
      </w:tr>
      <w:tr w:rsidR="008F1E8F" w:rsidRPr="009439D3" w14:paraId="55192B13" w14:textId="77777777" w:rsidTr="00804CE5">
        <w:trPr>
          <w:trHeight w:val="216"/>
        </w:trPr>
        <w:tc>
          <w:tcPr>
            <w:tcW w:w="265" w:type="dxa"/>
            <w:shd w:val="clear" w:color="auto" w:fill="auto"/>
            <w:noWrap/>
            <w:hideMark/>
          </w:tcPr>
          <w:p w14:paraId="20BEACE8"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4DFC0D0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Interquartile range </w:t>
            </w:r>
          </w:p>
        </w:tc>
        <w:tc>
          <w:tcPr>
            <w:tcW w:w="1980" w:type="dxa"/>
            <w:shd w:val="clear" w:color="auto" w:fill="auto"/>
            <w:noWrap/>
            <w:hideMark/>
          </w:tcPr>
          <w:p w14:paraId="598BDF9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16.9-20.2</w:t>
            </w:r>
          </w:p>
        </w:tc>
        <w:tc>
          <w:tcPr>
            <w:tcW w:w="1890" w:type="dxa"/>
            <w:shd w:val="clear" w:color="auto" w:fill="auto"/>
            <w:noWrap/>
            <w:hideMark/>
          </w:tcPr>
          <w:p w14:paraId="660C8F58"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16.9-20.1</w:t>
            </w:r>
          </w:p>
        </w:tc>
        <w:tc>
          <w:tcPr>
            <w:tcW w:w="1890" w:type="dxa"/>
            <w:shd w:val="clear" w:color="auto" w:fill="auto"/>
          </w:tcPr>
          <w:p w14:paraId="0AE422BA"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18.7-22.2</w:t>
            </w:r>
          </w:p>
        </w:tc>
        <w:tc>
          <w:tcPr>
            <w:tcW w:w="1795" w:type="dxa"/>
            <w:shd w:val="clear" w:color="auto" w:fill="auto"/>
          </w:tcPr>
          <w:p w14:paraId="6D14E16E"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18.5-22.0</w:t>
            </w:r>
          </w:p>
        </w:tc>
      </w:tr>
      <w:tr w:rsidR="008F1E8F" w:rsidRPr="009439D3" w14:paraId="09B6E338" w14:textId="77777777" w:rsidTr="00804CE5">
        <w:trPr>
          <w:trHeight w:val="216"/>
        </w:trPr>
        <w:tc>
          <w:tcPr>
            <w:tcW w:w="3235" w:type="dxa"/>
            <w:gridSpan w:val="3"/>
            <w:shd w:val="clear" w:color="auto" w:fill="E7E6E6" w:themeFill="background2"/>
            <w:noWrap/>
            <w:hideMark/>
          </w:tcPr>
          <w:p w14:paraId="41966A51"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HIV positivity - no. (</w:t>
            </w:r>
            <w:proofErr w:type="gramStart"/>
            <w:r w:rsidRPr="009439D3">
              <w:rPr>
                <w:rFonts w:ascii="Arial" w:eastAsia="Times New Roman" w:hAnsi="Arial" w:cs="Arial"/>
                <w:color w:val="000000"/>
                <w:sz w:val="22"/>
                <w:szCs w:val="22"/>
              </w:rPr>
              <w:t>%)</w:t>
            </w:r>
            <w:r w:rsidRPr="009439D3">
              <w:rPr>
                <w:rFonts w:ascii="Arial" w:eastAsia="MS Mincho" w:hAnsi="Arial" w:cs="Arial"/>
                <w:color w:val="000000"/>
                <w:sz w:val="22"/>
                <w:szCs w:val="22"/>
              </w:rPr>
              <w:t>¶</w:t>
            </w:r>
            <w:proofErr w:type="gramEnd"/>
          </w:p>
        </w:tc>
        <w:tc>
          <w:tcPr>
            <w:tcW w:w="1980" w:type="dxa"/>
            <w:shd w:val="clear" w:color="auto" w:fill="E7E6E6" w:themeFill="background2"/>
            <w:noWrap/>
            <w:hideMark/>
          </w:tcPr>
          <w:p w14:paraId="42798D47"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248 (12)</w:t>
            </w:r>
          </w:p>
        </w:tc>
        <w:tc>
          <w:tcPr>
            <w:tcW w:w="1890" w:type="dxa"/>
            <w:shd w:val="clear" w:color="auto" w:fill="E7E6E6" w:themeFill="background2"/>
            <w:noWrap/>
            <w:hideMark/>
          </w:tcPr>
          <w:p w14:paraId="4C2DAD31"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220 (16)</w:t>
            </w:r>
          </w:p>
        </w:tc>
        <w:tc>
          <w:tcPr>
            <w:tcW w:w="1890" w:type="dxa"/>
            <w:shd w:val="clear" w:color="auto" w:fill="E7E6E6" w:themeFill="background2"/>
          </w:tcPr>
          <w:p w14:paraId="0F5A06D2"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0 (0)</w:t>
            </w:r>
          </w:p>
        </w:tc>
        <w:tc>
          <w:tcPr>
            <w:tcW w:w="1795" w:type="dxa"/>
            <w:shd w:val="clear" w:color="auto" w:fill="E7E6E6" w:themeFill="background2"/>
          </w:tcPr>
          <w:p w14:paraId="0BC46DD9"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0 (0)</w:t>
            </w:r>
          </w:p>
        </w:tc>
      </w:tr>
      <w:tr w:rsidR="0069122A" w:rsidRPr="009439D3" w14:paraId="43280DE0" w14:textId="77777777" w:rsidTr="00804CE5">
        <w:trPr>
          <w:trHeight w:val="216"/>
        </w:trPr>
        <w:tc>
          <w:tcPr>
            <w:tcW w:w="265" w:type="dxa"/>
            <w:shd w:val="clear" w:color="auto" w:fill="auto"/>
            <w:noWrap/>
            <w:hideMark/>
          </w:tcPr>
          <w:p w14:paraId="4BA775DD" w14:textId="288992A2" w:rsidR="0069122A" w:rsidRPr="009439D3" w:rsidRDefault="0069122A" w:rsidP="00EA10C3">
            <w:pPr>
              <w:rPr>
                <w:rFonts w:ascii="Arial" w:eastAsia="Times New Roman" w:hAnsi="Arial" w:cs="Arial"/>
                <w:color w:val="000000"/>
                <w:sz w:val="22"/>
                <w:szCs w:val="22"/>
              </w:rPr>
            </w:pPr>
          </w:p>
        </w:tc>
        <w:tc>
          <w:tcPr>
            <w:tcW w:w="2970" w:type="dxa"/>
            <w:gridSpan w:val="2"/>
            <w:shd w:val="clear" w:color="auto" w:fill="auto"/>
          </w:tcPr>
          <w:p w14:paraId="48379676" w14:textId="278D52E1" w:rsidR="0069122A" w:rsidRPr="009439D3" w:rsidRDefault="0069122A"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CD4 cell count</w:t>
            </w:r>
            <w:r>
              <w:rPr>
                <w:rFonts w:ascii="Arial" w:eastAsia="Times New Roman" w:hAnsi="Arial" w:cs="Arial"/>
                <w:color w:val="000000"/>
                <w:sz w:val="22"/>
                <w:szCs w:val="22"/>
              </w:rPr>
              <w:t xml:space="preserve"> </w:t>
            </w:r>
            <w:r w:rsidRPr="009439D3">
              <w:rPr>
                <w:rFonts w:ascii="Arial" w:eastAsia="MS Mincho" w:hAnsi="Arial" w:cs="Arial"/>
                <w:color w:val="000000"/>
                <w:sz w:val="22"/>
                <w:szCs w:val="22"/>
              </w:rPr>
              <w:t>‖</w:t>
            </w:r>
          </w:p>
        </w:tc>
        <w:tc>
          <w:tcPr>
            <w:tcW w:w="1980" w:type="dxa"/>
            <w:shd w:val="clear" w:color="auto" w:fill="auto"/>
            <w:noWrap/>
            <w:hideMark/>
          </w:tcPr>
          <w:p w14:paraId="179412C6" w14:textId="77777777" w:rsidR="0069122A" w:rsidRPr="009439D3" w:rsidRDefault="0069122A"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noWrap/>
            <w:hideMark/>
          </w:tcPr>
          <w:p w14:paraId="26A0EA9B" w14:textId="77777777" w:rsidR="0069122A" w:rsidRPr="009439D3" w:rsidRDefault="0069122A"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tcPr>
          <w:p w14:paraId="06550A63" w14:textId="77777777" w:rsidR="0069122A" w:rsidRPr="009439D3" w:rsidRDefault="0069122A" w:rsidP="00EA10C3">
            <w:pPr>
              <w:jc w:val="center"/>
              <w:rPr>
                <w:rFonts w:ascii="Arial" w:eastAsia="Times New Roman" w:hAnsi="Arial" w:cs="Arial"/>
                <w:color w:val="000000"/>
                <w:sz w:val="22"/>
                <w:szCs w:val="22"/>
              </w:rPr>
            </w:pPr>
          </w:p>
        </w:tc>
        <w:tc>
          <w:tcPr>
            <w:tcW w:w="1795" w:type="dxa"/>
            <w:shd w:val="clear" w:color="auto" w:fill="auto"/>
          </w:tcPr>
          <w:p w14:paraId="077C35C9" w14:textId="77777777" w:rsidR="0069122A" w:rsidRPr="009439D3" w:rsidRDefault="0069122A" w:rsidP="00EA10C3">
            <w:pPr>
              <w:jc w:val="center"/>
              <w:rPr>
                <w:rFonts w:ascii="Arial" w:eastAsia="Times New Roman" w:hAnsi="Arial" w:cs="Arial"/>
                <w:color w:val="000000"/>
                <w:sz w:val="22"/>
                <w:szCs w:val="22"/>
              </w:rPr>
            </w:pPr>
          </w:p>
        </w:tc>
      </w:tr>
      <w:tr w:rsidR="008F1E8F" w:rsidRPr="009439D3" w14:paraId="6067FD54" w14:textId="77777777" w:rsidTr="00804CE5">
        <w:trPr>
          <w:trHeight w:val="216"/>
        </w:trPr>
        <w:tc>
          <w:tcPr>
            <w:tcW w:w="535" w:type="dxa"/>
            <w:gridSpan w:val="2"/>
            <w:shd w:val="clear" w:color="auto" w:fill="E7E6E6" w:themeFill="background2"/>
            <w:noWrap/>
            <w:hideMark/>
          </w:tcPr>
          <w:p w14:paraId="72A92A81"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700" w:type="dxa"/>
            <w:shd w:val="clear" w:color="auto" w:fill="E7E6E6" w:themeFill="background2"/>
            <w:noWrap/>
            <w:hideMark/>
          </w:tcPr>
          <w:p w14:paraId="5ED098CA"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Median</w:t>
            </w:r>
          </w:p>
        </w:tc>
        <w:tc>
          <w:tcPr>
            <w:tcW w:w="1980" w:type="dxa"/>
            <w:shd w:val="clear" w:color="auto" w:fill="E7E6E6" w:themeFill="background2"/>
            <w:noWrap/>
            <w:hideMark/>
          </w:tcPr>
          <w:p w14:paraId="03825607"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363</w:t>
            </w:r>
          </w:p>
        </w:tc>
        <w:tc>
          <w:tcPr>
            <w:tcW w:w="1890" w:type="dxa"/>
            <w:shd w:val="clear" w:color="auto" w:fill="E7E6E6" w:themeFill="background2"/>
            <w:noWrap/>
            <w:hideMark/>
          </w:tcPr>
          <w:p w14:paraId="3A2AF97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317</w:t>
            </w:r>
          </w:p>
        </w:tc>
        <w:tc>
          <w:tcPr>
            <w:tcW w:w="1890" w:type="dxa"/>
            <w:shd w:val="clear" w:color="auto" w:fill="E7E6E6" w:themeFill="background2"/>
          </w:tcPr>
          <w:p w14:paraId="1DB07F61"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17137479"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16200484" w14:textId="77777777" w:rsidTr="00804CE5">
        <w:trPr>
          <w:trHeight w:val="216"/>
        </w:trPr>
        <w:tc>
          <w:tcPr>
            <w:tcW w:w="535" w:type="dxa"/>
            <w:gridSpan w:val="2"/>
            <w:shd w:val="clear" w:color="auto" w:fill="auto"/>
            <w:noWrap/>
            <w:hideMark/>
          </w:tcPr>
          <w:p w14:paraId="106E624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700" w:type="dxa"/>
            <w:shd w:val="clear" w:color="auto" w:fill="auto"/>
            <w:noWrap/>
            <w:hideMark/>
          </w:tcPr>
          <w:p w14:paraId="75BCDA56"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xml:space="preserve">Interquartile range </w:t>
            </w:r>
          </w:p>
        </w:tc>
        <w:tc>
          <w:tcPr>
            <w:tcW w:w="1980" w:type="dxa"/>
            <w:shd w:val="clear" w:color="auto" w:fill="auto"/>
            <w:noWrap/>
            <w:hideMark/>
          </w:tcPr>
          <w:p w14:paraId="69111D4F"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265-493</w:t>
            </w:r>
          </w:p>
        </w:tc>
        <w:tc>
          <w:tcPr>
            <w:tcW w:w="1890" w:type="dxa"/>
            <w:shd w:val="clear" w:color="auto" w:fill="auto"/>
            <w:noWrap/>
            <w:hideMark/>
          </w:tcPr>
          <w:p w14:paraId="509E5A82"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241-444</w:t>
            </w:r>
          </w:p>
        </w:tc>
        <w:tc>
          <w:tcPr>
            <w:tcW w:w="1890" w:type="dxa"/>
            <w:shd w:val="clear" w:color="auto" w:fill="auto"/>
          </w:tcPr>
          <w:p w14:paraId="6602FBE6"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auto"/>
          </w:tcPr>
          <w:p w14:paraId="1B869C1F"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69122A" w:rsidRPr="009439D3" w14:paraId="5E813ECD" w14:textId="77777777" w:rsidTr="00804CE5">
        <w:trPr>
          <w:trHeight w:val="216"/>
        </w:trPr>
        <w:tc>
          <w:tcPr>
            <w:tcW w:w="535" w:type="dxa"/>
            <w:gridSpan w:val="2"/>
            <w:shd w:val="clear" w:color="auto" w:fill="E7E6E6" w:themeFill="background2"/>
            <w:noWrap/>
          </w:tcPr>
          <w:p w14:paraId="23018422" w14:textId="77777777" w:rsidR="0069122A" w:rsidRPr="009439D3" w:rsidRDefault="0069122A" w:rsidP="0069122A">
            <w:pPr>
              <w:rPr>
                <w:rFonts w:ascii="Arial" w:eastAsia="Times New Roman" w:hAnsi="Arial" w:cs="Arial"/>
                <w:color w:val="000000"/>
                <w:sz w:val="22"/>
                <w:szCs w:val="22"/>
              </w:rPr>
            </w:pPr>
          </w:p>
        </w:tc>
        <w:tc>
          <w:tcPr>
            <w:tcW w:w="2700" w:type="dxa"/>
            <w:shd w:val="clear" w:color="auto" w:fill="E7E6E6" w:themeFill="background2"/>
            <w:noWrap/>
          </w:tcPr>
          <w:p w14:paraId="0C36CEBE" w14:textId="1A66CC86" w:rsidR="0069122A" w:rsidRPr="009439D3" w:rsidRDefault="0069122A" w:rsidP="0069122A">
            <w:pPr>
              <w:rPr>
                <w:rFonts w:ascii="Arial" w:eastAsia="Times New Roman" w:hAnsi="Arial" w:cs="Arial"/>
                <w:color w:val="000000"/>
                <w:sz w:val="22"/>
                <w:szCs w:val="22"/>
              </w:rPr>
            </w:pPr>
            <m:oMath>
              <m:r>
                <w:rPr>
                  <w:rFonts w:ascii="Cambria Math" w:eastAsia="Times New Roman" w:hAnsi="Cambria Math" w:cs="Arial"/>
                  <w:color w:val="000000"/>
                  <w:sz w:val="22"/>
                  <w:szCs w:val="22"/>
                </w:rPr>
                <m:t>≤</m:t>
              </m:r>
            </m:oMath>
            <w:r w:rsidRPr="0092593A">
              <w:rPr>
                <w:rFonts w:ascii="Arial" w:eastAsia="Times New Roman" w:hAnsi="Arial" w:cs="Arial"/>
                <w:color w:val="000000"/>
                <w:sz w:val="22"/>
                <w:szCs w:val="22"/>
              </w:rPr>
              <w:t xml:space="preserve"> 30</w:t>
            </w:r>
            <w:r>
              <w:rPr>
                <w:rFonts w:ascii="Arial" w:eastAsia="Times New Roman" w:hAnsi="Arial" w:cs="Arial"/>
                <w:color w:val="000000"/>
                <w:sz w:val="22"/>
                <w:szCs w:val="22"/>
              </w:rPr>
              <w:t xml:space="preserve">0 - no. (%) </w:t>
            </w:r>
          </w:p>
        </w:tc>
        <w:tc>
          <w:tcPr>
            <w:tcW w:w="1980" w:type="dxa"/>
            <w:shd w:val="clear" w:color="auto" w:fill="E7E6E6" w:themeFill="background2"/>
            <w:noWrap/>
          </w:tcPr>
          <w:p w14:paraId="2DA5FFF4" w14:textId="0EBE7CBD" w:rsidR="0069122A" w:rsidRPr="009439D3" w:rsidRDefault="004D0E4B"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74</w:t>
            </w:r>
          </w:p>
        </w:tc>
        <w:tc>
          <w:tcPr>
            <w:tcW w:w="1890" w:type="dxa"/>
            <w:shd w:val="clear" w:color="auto" w:fill="E7E6E6" w:themeFill="background2"/>
            <w:noWrap/>
          </w:tcPr>
          <w:p w14:paraId="5458FE91" w14:textId="582A10CF" w:rsidR="0069122A" w:rsidRPr="009439D3" w:rsidRDefault="002F7382"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81</w:t>
            </w:r>
          </w:p>
        </w:tc>
        <w:tc>
          <w:tcPr>
            <w:tcW w:w="1890" w:type="dxa"/>
            <w:shd w:val="clear" w:color="auto" w:fill="E7E6E6" w:themeFill="background2"/>
          </w:tcPr>
          <w:p w14:paraId="752AF317" w14:textId="33449F22" w:rsidR="0069122A" w:rsidRDefault="00786158"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E7E6E6" w:themeFill="background2"/>
          </w:tcPr>
          <w:p w14:paraId="0BBCA136" w14:textId="6A99A6F4" w:rsidR="0069122A" w:rsidRDefault="00786158"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69122A" w:rsidRPr="009439D3" w14:paraId="2216B0AB" w14:textId="77777777" w:rsidTr="0069122A">
        <w:trPr>
          <w:trHeight w:val="216"/>
        </w:trPr>
        <w:tc>
          <w:tcPr>
            <w:tcW w:w="535" w:type="dxa"/>
            <w:gridSpan w:val="2"/>
            <w:shd w:val="clear" w:color="auto" w:fill="auto"/>
            <w:noWrap/>
          </w:tcPr>
          <w:p w14:paraId="0832BCEA" w14:textId="77777777" w:rsidR="0069122A" w:rsidRPr="009439D3" w:rsidRDefault="0069122A" w:rsidP="0069122A">
            <w:pPr>
              <w:rPr>
                <w:rFonts w:ascii="Arial" w:eastAsia="Times New Roman" w:hAnsi="Arial" w:cs="Arial"/>
                <w:color w:val="000000"/>
                <w:sz w:val="22"/>
                <w:szCs w:val="22"/>
              </w:rPr>
            </w:pPr>
          </w:p>
        </w:tc>
        <w:tc>
          <w:tcPr>
            <w:tcW w:w="2700" w:type="dxa"/>
            <w:shd w:val="clear" w:color="auto" w:fill="auto"/>
            <w:noWrap/>
          </w:tcPr>
          <w:p w14:paraId="1D860C97" w14:textId="233E4DE0" w:rsidR="0069122A" w:rsidRPr="009439D3" w:rsidRDefault="0069122A" w:rsidP="0069122A">
            <w:pPr>
              <w:rPr>
                <w:rFonts w:ascii="Arial" w:eastAsia="Times New Roman" w:hAnsi="Arial" w:cs="Arial"/>
                <w:color w:val="000000"/>
                <w:sz w:val="22"/>
                <w:szCs w:val="22"/>
              </w:rPr>
            </w:pPr>
            <w:r>
              <w:rPr>
                <w:rFonts w:ascii="Arial" w:eastAsia="Times New Roman" w:hAnsi="Arial" w:cs="Arial"/>
                <w:color w:val="000000"/>
                <w:sz w:val="22"/>
                <w:szCs w:val="22"/>
              </w:rPr>
              <w:t xml:space="preserve">&gt; 300 - no (%) </w:t>
            </w:r>
          </w:p>
        </w:tc>
        <w:tc>
          <w:tcPr>
            <w:tcW w:w="1980" w:type="dxa"/>
            <w:shd w:val="clear" w:color="auto" w:fill="auto"/>
            <w:noWrap/>
          </w:tcPr>
          <w:p w14:paraId="3A9DBD72" w14:textId="2D8FA9CD" w:rsidR="0069122A" w:rsidRPr="009439D3" w:rsidRDefault="002F7382"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135</w:t>
            </w:r>
          </w:p>
        </w:tc>
        <w:tc>
          <w:tcPr>
            <w:tcW w:w="1890" w:type="dxa"/>
            <w:shd w:val="clear" w:color="auto" w:fill="auto"/>
            <w:noWrap/>
          </w:tcPr>
          <w:p w14:paraId="507987EB" w14:textId="5925E829" w:rsidR="0069122A" w:rsidRPr="009439D3" w:rsidRDefault="002F7382"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99</w:t>
            </w:r>
          </w:p>
        </w:tc>
        <w:tc>
          <w:tcPr>
            <w:tcW w:w="1890" w:type="dxa"/>
            <w:shd w:val="clear" w:color="auto" w:fill="auto"/>
          </w:tcPr>
          <w:p w14:paraId="6160237A" w14:textId="4F95661F" w:rsidR="0069122A" w:rsidRDefault="00786158"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c>
          <w:tcPr>
            <w:tcW w:w="1795" w:type="dxa"/>
            <w:shd w:val="clear" w:color="auto" w:fill="auto"/>
          </w:tcPr>
          <w:p w14:paraId="403DE8BF" w14:textId="23A6C30C" w:rsidR="0069122A" w:rsidRDefault="00786158" w:rsidP="0069122A">
            <w:pPr>
              <w:jc w:val="center"/>
              <w:rPr>
                <w:rFonts w:ascii="Arial" w:eastAsia="Times New Roman" w:hAnsi="Arial" w:cs="Arial"/>
                <w:color w:val="000000"/>
                <w:sz w:val="22"/>
                <w:szCs w:val="22"/>
              </w:rPr>
            </w:pPr>
            <w:r>
              <w:rPr>
                <w:rFonts w:ascii="Arial" w:eastAsia="Times New Roman" w:hAnsi="Arial" w:cs="Arial"/>
                <w:color w:val="000000"/>
                <w:sz w:val="22"/>
                <w:szCs w:val="22"/>
              </w:rPr>
              <w:t>-</w:t>
            </w:r>
          </w:p>
        </w:tc>
      </w:tr>
      <w:tr w:rsidR="008F1E8F" w:rsidRPr="009439D3" w14:paraId="79BFE53D" w14:textId="77777777" w:rsidTr="00804CE5">
        <w:trPr>
          <w:trHeight w:val="216"/>
        </w:trPr>
        <w:tc>
          <w:tcPr>
            <w:tcW w:w="3235" w:type="dxa"/>
            <w:gridSpan w:val="3"/>
            <w:shd w:val="clear" w:color="auto" w:fill="E7E6E6" w:themeFill="background2"/>
            <w:noWrap/>
            <w:hideMark/>
          </w:tcPr>
          <w:p w14:paraId="6559F8B8"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Cavitation- no. (</w:t>
            </w:r>
            <w:proofErr w:type="gramStart"/>
            <w:r w:rsidRPr="009439D3">
              <w:rPr>
                <w:rFonts w:ascii="Arial" w:eastAsia="Times New Roman" w:hAnsi="Arial" w:cs="Arial"/>
                <w:color w:val="000000"/>
                <w:sz w:val="22"/>
                <w:szCs w:val="22"/>
              </w:rPr>
              <w:t>%)</w:t>
            </w:r>
            <w:r w:rsidRPr="009439D3">
              <w:rPr>
                <w:rFonts w:ascii="Arial" w:eastAsia="Bradley Hand" w:hAnsi="Arial" w:cs="Arial"/>
                <w:color w:val="000000"/>
                <w:sz w:val="22"/>
                <w:szCs w:val="22"/>
              </w:rPr>
              <w:t>*</w:t>
            </w:r>
            <w:proofErr w:type="gramEnd"/>
            <w:r w:rsidRPr="009439D3">
              <w:rPr>
                <w:rFonts w:ascii="Arial" w:eastAsia="Bradley Hand" w:hAnsi="Arial" w:cs="Arial"/>
                <w:color w:val="000000"/>
                <w:sz w:val="22"/>
                <w:szCs w:val="22"/>
              </w:rPr>
              <w:t>*</w:t>
            </w:r>
          </w:p>
        </w:tc>
        <w:tc>
          <w:tcPr>
            <w:tcW w:w="1980" w:type="dxa"/>
            <w:shd w:val="clear" w:color="auto" w:fill="E7E6E6" w:themeFill="background2"/>
            <w:noWrap/>
            <w:hideMark/>
          </w:tcPr>
          <w:p w14:paraId="47A79099"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1247 (62)</w:t>
            </w:r>
          </w:p>
        </w:tc>
        <w:tc>
          <w:tcPr>
            <w:tcW w:w="1890" w:type="dxa"/>
            <w:shd w:val="clear" w:color="auto" w:fill="E7E6E6" w:themeFill="background2"/>
            <w:noWrap/>
            <w:hideMark/>
          </w:tcPr>
          <w:p w14:paraId="02630AB0"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847 (60)</w:t>
            </w:r>
          </w:p>
        </w:tc>
        <w:tc>
          <w:tcPr>
            <w:tcW w:w="1890" w:type="dxa"/>
            <w:shd w:val="clear" w:color="auto" w:fill="E7E6E6" w:themeFill="background2"/>
          </w:tcPr>
          <w:p w14:paraId="2C9DB1E5"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0 (0)</w:t>
            </w:r>
          </w:p>
        </w:tc>
        <w:tc>
          <w:tcPr>
            <w:tcW w:w="1795" w:type="dxa"/>
            <w:shd w:val="clear" w:color="auto" w:fill="E7E6E6" w:themeFill="background2"/>
          </w:tcPr>
          <w:p w14:paraId="38BE5B4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0 (0)</w:t>
            </w:r>
          </w:p>
        </w:tc>
      </w:tr>
      <w:tr w:rsidR="008F1E8F" w:rsidRPr="009439D3" w14:paraId="16F98B03" w14:textId="77777777" w:rsidTr="00804CE5">
        <w:trPr>
          <w:trHeight w:val="216"/>
        </w:trPr>
        <w:tc>
          <w:tcPr>
            <w:tcW w:w="3235" w:type="dxa"/>
            <w:gridSpan w:val="3"/>
            <w:shd w:val="clear" w:color="auto" w:fill="auto"/>
            <w:noWrap/>
            <w:hideMark/>
          </w:tcPr>
          <w:p w14:paraId="51CA5570"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Smear- no. (</w:t>
            </w:r>
            <w:proofErr w:type="gramStart"/>
            <w:r w:rsidRPr="009439D3">
              <w:rPr>
                <w:rFonts w:ascii="Arial" w:eastAsia="Times New Roman" w:hAnsi="Arial" w:cs="Arial"/>
                <w:color w:val="000000"/>
                <w:sz w:val="22"/>
                <w:szCs w:val="22"/>
              </w:rPr>
              <w:t>%)</w:t>
            </w:r>
            <w:r w:rsidRPr="009439D3">
              <w:rPr>
                <w:rFonts w:ascii="Arial" w:hAnsi="Arial" w:cs="Arial"/>
                <w:sz w:val="22"/>
                <w:szCs w:val="22"/>
              </w:rPr>
              <w:t>†</w:t>
            </w:r>
            <w:proofErr w:type="gramEnd"/>
            <w:r w:rsidRPr="009439D3">
              <w:rPr>
                <w:rFonts w:ascii="Arial" w:hAnsi="Arial" w:cs="Arial"/>
                <w:sz w:val="22"/>
                <w:szCs w:val="22"/>
              </w:rPr>
              <w:t>†</w:t>
            </w:r>
          </w:p>
        </w:tc>
        <w:tc>
          <w:tcPr>
            <w:tcW w:w="1980" w:type="dxa"/>
            <w:shd w:val="clear" w:color="auto" w:fill="auto"/>
            <w:noWrap/>
            <w:hideMark/>
          </w:tcPr>
          <w:p w14:paraId="5A3C8254"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noWrap/>
            <w:hideMark/>
          </w:tcPr>
          <w:p w14:paraId="5E60A5C8"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1890" w:type="dxa"/>
            <w:shd w:val="clear" w:color="auto" w:fill="auto"/>
          </w:tcPr>
          <w:p w14:paraId="3CC4DE9F" w14:textId="77777777" w:rsidR="008F1E8F" w:rsidRPr="009439D3" w:rsidRDefault="008F1E8F" w:rsidP="00EA10C3">
            <w:pPr>
              <w:jc w:val="center"/>
              <w:rPr>
                <w:rFonts w:ascii="Arial" w:eastAsia="Times New Roman" w:hAnsi="Arial" w:cs="Arial"/>
                <w:color w:val="000000"/>
                <w:sz w:val="22"/>
                <w:szCs w:val="22"/>
              </w:rPr>
            </w:pPr>
          </w:p>
        </w:tc>
        <w:tc>
          <w:tcPr>
            <w:tcW w:w="1795" w:type="dxa"/>
            <w:shd w:val="clear" w:color="auto" w:fill="auto"/>
          </w:tcPr>
          <w:p w14:paraId="679D41FE" w14:textId="77777777" w:rsidR="008F1E8F" w:rsidRPr="009439D3" w:rsidRDefault="008F1E8F" w:rsidP="00EA10C3">
            <w:pPr>
              <w:jc w:val="center"/>
              <w:rPr>
                <w:rFonts w:ascii="Arial" w:eastAsia="Times New Roman" w:hAnsi="Arial" w:cs="Arial"/>
                <w:color w:val="000000"/>
                <w:sz w:val="22"/>
                <w:szCs w:val="22"/>
              </w:rPr>
            </w:pPr>
          </w:p>
        </w:tc>
      </w:tr>
      <w:tr w:rsidR="008F1E8F" w:rsidRPr="009439D3" w14:paraId="366A2D28" w14:textId="77777777" w:rsidTr="00804CE5">
        <w:trPr>
          <w:trHeight w:val="216"/>
        </w:trPr>
        <w:tc>
          <w:tcPr>
            <w:tcW w:w="265" w:type="dxa"/>
            <w:shd w:val="clear" w:color="auto" w:fill="E7E6E6" w:themeFill="background2"/>
            <w:noWrap/>
            <w:hideMark/>
          </w:tcPr>
          <w:p w14:paraId="7E56AE7B"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5E708DF5" w14:textId="77777777" w:rsidR="008F1E8F" w:rsidRPr="009439D3" w:rsidRDefault="008F1E8F" w:rsidP="00EA10C3">
            <w:pPr>
              <w:rPr>
                <w:rFonts w:ascii="Arial" w:eastAsia="Times New Roman" w:hAnsi="Arial" w:cs="Arial"/>
                <w:color w:val="000000"/>
                <w:sz w:val="22"/>
                <w:szCs w:val="22"/>
              </w:rPr>
            </w:pPr>
            <w:r>
              <w:rPr>
                <w:rFonts w:ascii="Arial" w:eastAsia="Times New Roman" w:hAnsi="Arial" w:cs="Arial"/>
                <w:color w:val="000000"/>
                <w:sz w:val="22"/>
                <w:szCs w:val="22"/>
              </w:rPr>
              <w:t>Negative</w:t>
            </w:r>
          </w:p>
        </w:tc>
        <w:tc>
          <w:tcPr>
            <w:tcW w:w="1980" w:type="dxa"/>
            <w:shd w:val="clear" w:color="auto" w:fill="E7E6E6" w:themeFill="background2"/>
            <w:noWrap/>
            <w:hideMark/>
          </w:tcPr>
          <w:p w14:paraId="1F02D1CA"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151 (8)</w:t>
            </w:r>
          </w:p>
        </w:tc>
        <w:tc>
          <w:tcPr>
            <w:tcW w:w="1890" w:type="dxa"/>
            <w:shd w:val="clear" w:color="auto" w:fill="E7E6E6" w:themeFill="background2"/>
            <w:noWrap/>
            <w:hideMark/>
          </w:tcPr>
          <w:p w14:paraId="4A36E76F"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85 (6)</w:t>
            </w:r>
          </w:p>
        </w:tc>
        <w:tc>
          <w:tcPr>
            <w:tcW w:w="1890" w:type="dxa"/>
            <w:shd w:val="clear" w:color="auto" w:fill="E7E6E6" w:themeFill="background2"/>
          </w:tcPr>
          <w:p w14:paraId="375957E1"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85 (44)</w:t>
            </w:r>
          </w:p>
        </w:tc>
        <w:tc>
          <w:tcPr>
            <w:tcW w:w="1795" w:type="dxa"/>
            <w:shd w:val="clear" w:color="auto" w:fill="E7E6E6" w:themeFill="background2"/>
          </w:tcPr>
          <w:p w14:paraId="798D224F"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85 (44)</w:t>
            </w:r>
          </w:p>
        </w:tc>
      </w:tr>
      <w:tr w:rsidR="008F1E8F" w:rsidRPr="009439D3" w14:paraId="5D8EC38F" w14:textId="77777777" w:rsidTr="00804CE5">
        <w:trPr>
          <w:trHeight w:val="216"/>
        </w:trPr>
        <w:tc>
          <w:tcPr>
            <w:tcW w:w="265" w:type="dxa"/>
            <w:shd w:val="clear" w:color="auto" w:fill="auto"/>
            <w:noWrap/>
            <w:hideMark/>
          </w:tcPr>
          <w:p w14:paraId="2253262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6AEAAE95"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1+</w:t>
            </w:r>
          </w:p>
        </w:tc>
        <w:tc>
          <w:tcPr>
            <w:tcW w:w="1980" w:type="dxa"/>
            <w:shd w:val="clear" w:color="auto" w:fill="auto"/>
            <w:noWrap/>
            <w:hideMark/>
          </w:tcPr>
          <w:p w14:paraId="483867DD"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332 (17)</w:t>
            </w:r>
          </w:p>
        </w:tc>
        <w:tc>
          <w:tcPr>
            <w:tcW w:w="1890" w:type="dxa"/>
            <w:shd w:val="clear" w:color="auto" w:fill="auto"/>
            <w:noWrap/>
            <w:hideMark/>
          </w:tcPr>
          <w:p w14:paraId="36F56C1E"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232 (17)</w:t>
            </w:r>
          </w:p>
        </w:tc>
        <w:tc>
          <w:tcPr>
            <w:tcW w:w="1890" w:type="dxa"/>
            <w:shd w:val="clear" w:color="auto" w:fill="auto"/>
          </w:tcPr>
          <w:p w14:paraId="004184C8"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26 (14)</w:t>
            </w:r>
          </w:p>
        </w:tc>
        <w:tc>
          <w:tcPr>
            <w:tcW w:w="1795" w:type="dxa"/>
            <w:shd w:val="clear" w:color="auto" w:fill="auto"/>
          </w:tcPr>
          <w:p w14:paraId="6C8FA3E0"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30 (15)</w:t>
            </w:r>
          </w:p>
        </w:tc>
      </w:tr>
      <w:tr w:rsidR="008F1E8F" w:rsidRPr="009439D3" w14:paraId="3F05093A" w14:textId="77777777" w:rsidTr="00804CE5">
        <w:trPr>
          <w:trHeight w:val="216"/>
        </w:trPr>
        <w:tc>
          <w:tcPr>
            <w:tcW w:w="265" w:type="dxa"/>
            <w:shd w:val="clear" w:color="auto" w:fill="E7E6E6" w:themeFill="background2"/>
            <w:noWrap/>
            <w:hideMark/>
          </w:tcPr>
          <w:p w14:paraId="48F11E7D"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E7E6E6" w:themeFill="background2"/>
            <w:noWrap/>
            <w:hideMark/>
          </w:tcPr>
          <w:p w14:paraId="652B7D92"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2+</w:t>
            </w:r>
          </w:p>
        </w:tc>
        <w:tc>
          <w:tcPr>
            <w:tcW w:w="1980" w:type="dxa"/>
            <w:shd w:val="clear" w:color="auto" w:fill="E7E6E6" w:themeFill="background2"/>
            <w:noWrap/>
            <w:hideMark/>
          </w:tcPr>
          <w:p w14:paraId="507D33E9"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503 (25)</w:t>
            </w:r>
          </w:p>
        </w:tc>
        <w:tc>
          <w:tcPr>
            <w:tcW w:w="1890" w:type="dxa"/>
            <w:shd w:val="clear" w:color="auto" w:fill="E7E6E6" w:themeFill="background2"/>
            <w:noWrap/>
            <w:hideMark/>
          </w:tcPr>
          <w:p w14:paraId="6E3D64BB"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404 (29)</w:t>
            </w:r>
          </w:p>
        </w:tc>
        <w:tc>
          <w:tcPr>
            <w:tcW w:w="1890" w:type="dxa"/>
            <w:shd w:val="clear" w:color="auto" w:fill="E7E6E6" w:themeFill="background2"/>
          </w:tcPr>
          <w:p w14:paraId="444E5A23"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32 (17)</w:t>
            </w:r>
          </w:p>
        </w:tc>
        <w:tc>
          <w:tcPr>
            <w:tcW w:w="1795" w:type="dxa"/>
            <w:shd w:val="clear" w:color="auto" w:fill="E7E6E6" w:themeFill="background2"/>
          </w:tcPr>
          <w:p w14:paraId="0CE4C277"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36 (18)</w:t>
            </w:r>
          </w:p>
        </w:tc>
      </w:tr>
      <w:tr w:rsidR="008F1E8F" w:rsidRPr="009439D3" w14:paraId="6B031106" w14:textId="77777777" w:rsidTr="00804CE5">
        <w:trPr>
          <w:trHeight w:val="216"/>
        </w:trPr>
        <w:tc>
          <w:tcPr>
            <w:tcW w:w="265" w:type="dxa"/>
            <w:shd w:val="clear" w:color="auto" w:fill="auto"/>
            <w:noWrap/>
            <w:hideMark/>
          </w:tcPr>
          <w:p w14:paraId="3F3FC02D"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 </w:t>
            </w:r>
          </w:p>
        </w:tc>
        <w:tc>
          <w:tcPr>
            <w:tcW w:w="2970" w:type="dxa"/>
            <w:gridSpan w:val="2"/>
            <w:shd w:val="clear" w:color="auto" w:fill="auto"/>
            <w:noWrap/>
            <w:hideMark/>
          </w:tcPr>
          <w:p w14:paraId="0BBC4A7A" w14:textId="77777777" w:rsidR="008F1E8F" w:rsidRPr="009439D3" w:rsidRDefault="008F1E8F" w:rsidP="00EA10C3">
            <w:pPr>
              <w:rPr>
                <w:rFonts w:ascii="Arial" w:eastAsia="Times New Roman" w:hAnsi="Arial" w:cs="Arial"/>
                <w:color w:val="000000"/>
                <w:sz w:val="22"/>
                <w:szCs w:val="22"/>
              </w:rPr>
            </w:pPr>
            <w:r w:rsidRPr="009439D3">
              <w:rPr>
                <w:rFonts w:ascii="Arial" w:eastAsia="Times New Roman" w:hAnsi="Arial" w:cs="Arial"/>
                <w:color w:val="000000"/>
                <w:sz w:val="22"/>
                <w:szCs w:val="22"/>
              </w:rPr>
              <w:t>3+</w:t>
            </w:r>
          </w:p>
        </w:tc>
        <w:tc>
          <w:tcPr>
            <w:tcW w:w="1980" w:type="dxa"/>
            <w:shd w:val="clear" w:color="auto" w:fill="auto"/>
            <w:noWrap/>
            <w:hideMark/>
          </w:tcPr>
          <w:p w14:paraId="5181F2C6"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988 (49)</w:t>
            </w:r>
          </w:p>
        </w:tc>
        <w:tc>
          <w:tcPr>
            <w:tcW w:w="1890" w:type="dxa"/>
            <w:shd w:val="clear" w:color="auto" w:fill="auto"/>
            <w:noWrap/>
            <w:hideMark/>
          </w:tcPr>
          <w:p w14:paraId="014B8893" w14:textId="77777777" w:rsidR="008F1E8F" w:rsidRPr="009439D3" w:rsidRDefault="008F1E8F" w:rsidP="00EA10C3">
            <w:pPr>
              <w:jc w:val="center"/>
              <w:rPr>
                <w:rFonts w:ascii="Arial" w:eastAsia="Times New Roman" w:hAnsi="Arial" w:cs="Arial"/>
                <w:color w:val="000000"/>
                <w:sz w:val="22"/>
                <w:szCs w:val="22"/>
              </w:rPr>
            </w:pPr>
            <w:r w:rsidRPr="009439D3">
              <w:rPr>
                <w:rFonts w:ascii="Arial" w:eastAsia="Times New Roman" w:hAnsi="Arial" w:cs="Arial"/>
                <w:color w:val="000000"/>
                <w:sz w:val="22"/>
                <w:szCs w:val="22"/>
              </w:rPr>
              <w:t>667 (48)</w:t>
            </w:r>
          </w:p>
        </w:tc>
        <w:tc>
          <w:tcPr>
            <w:tcW w:w="1890" w:type="dxa"/>
            <w:shd w:val="clear" w:color="auto" w:fill="auto"/>
          </w:tcPr>
          <w:p w14:paraId="49C31F6E"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50 (26)</w:t>
            </w:r>
          </w:p>
        </w:tc>
        <w:tc>
          <w:tcPr>
            <w:tcW w:w="1795" w:type="dxa"/>
            <w:shd w:val="clear" w:color="auto" w:fill="auto"/>
          </w:tcPr>
          <w:p w14:paraId="5D99A95C" w14:textId="77777777" w:rsidR="008F1E8F" w:rsidRPr="009439D3" w:rsidRDefault="008F1E8F" w:rsidP="00EA10C3">
            <w:pPr>
              <w:jc w:val="center"/>
              <w:rPr>
                <w:rFonts w:ascii="Arial" w:eastAsia="Times New Roman" w:hAnsi="Arial" w:cs="Arial"/>
                <w:color w:val="000000"/>
                <w:sz w:val="22"/>
                <w:szCs w:val="22"/>
              </w:rPr>
            </w:pPr>
            <w:r>
              <w:rPr>
                <w:rFonts w:ascii="Arial" w:eastAsia="Times New Roman" w:hAnsi="Arial" w:cs="Arial"/>
                <w:color w:val="000000"/>
                <w:sz w:val="22"/>
                <w:szCs w:val="22"/>
              </w:rPr>
              <w:t>42 (22)</w:t>
            </w:r>
          </w:p>
        </w:tc>
      </w:tr>
      <w:tr w:rsidR="008F1E8F" w:rsidRPr="009439D3" w14:paraId="7D53AA52" w14:textId="77777777" w:rsidTr="00EA10C3">
        <w:trPr>
          <w:trHeight w:val="1728"/>
        </w:trPr>
        <w:tc>
          <w:tcPr>
            <w:tcW w:w="10790" w:type="dxa"/>
            <w:gridSpan w:val="7"/>
            <w:hideMark/>
          </w:tcPr>
          <w:p w14:paraId="6FB114E1" w14:textId="77777777" w:rsidR="008F1E8F" w:rsidRDefault="008F1E8F" w:rsidP="00EA10C3">
            <w:pPr>
              <w:spacing w:line="480" w:lineRule="auto"/>
              <w:rPr>
                <w:rFonts w:ascii="Arial" w:hAnsi="Arial" w:cs="Arial"/>
                <w:sz w:val="22"/>
                <w:szCs w:val="22"/>
              </w:rPr>
            </w:pPr>
            <w:r w:rsidRPr="009439D3">
              <w:rPr>
                <w:rFonts w:ascii="Arial" w:eastAsia="Bradley Hand" w:hAnsi="Arial" w:cs="Arial"/>
                <w:color w:val="000000"/>
                <w:sz w:val="22"/>
                <w:szCs w:val="22"/>
              </w:rPr>
              <w:lastRenderedPageBreak/>
              <w:t xml:space="preserve">* </w:t>
            </w:r>
            <w:r w:rsidRPr="009439D3">
              <w:rPr>
                <w:rFonts w:ascii="Arial" w:hAnsi="Arial" w:cs="Arial"/>
                <w:sz w:val="22"/>
                <w:szCs w:val="22"/>
              </w:rPr>
              <w:t xml:space="preserve">Race was missing for all OFLOTUB study participants, black race was assigned to all study participants given all OFLOTUB sites were in Africa. </w:t>
            </w:r>
          </w:p>
          <w:p w14:paraId="777AE5C2" w14:textId="77777777" w:rsidR="008F1E8F" w:rsidRPr="000A6607" w:rsidRDefault="008F1E8F" w:rsidP="00EA10C3">
            <w:pPr>
              <w:spacing w:line="480" w:lineRule="auto"/>
              <w:rPr>
                <w:rFonts w:ascii="Arial" w:hAnsi="Arial" w:cs="Arial"/>
                <w:sz w:val="22"/>
                <w:szCs w:val="22"/>
              </w:rPr>
            </w:pPr>
            <w:r w:rsidRPr="000A6607">
              <w:rPr>
                <w:rFonts w:ascii="Arial" w:hAnsi="Arial" w:cs="Arial"/>
                <w:sz w:val="22"/>
                <w:szCs w:val="22"/>
              </w:rPr>
              <w:t xml:space="preserve">†Age was missing for 5 study participants.   </w:t>
            </w:r>
          </w:p>
          <w:p w14:paraId="40CD4494" w14:textId="77777777" w:rsidR="008F1E8F" w:rsidRPr="009439D3" w:rsidRDefault="008F1E8F" w:rsidP="00EA10C3">
            <w:pPr>
              <w:spacing w:line="480" w:lineRule="auto"/>
              <w:rPr>
                <w:rFonts w:ascii="Arial" w:eastAsia="PMingLiU" w:hAnsi="Arial" w:cs="Arial"/>
                <w:color w:val="000000"/>
                <w:sz w:val="22"/>
                <w:szCs w:val="22"/>
              </w:rPr>
            </w:pPr>
            <w:r w:rsidRPr="009439D3">
              <w:rPr>
                <w:rFonts w:ascii="Arial" w:eastAsia="MS Mincho" w:hAnsi="Arial" w:cs="Arial"/>
                <w:color w:val="000000"/>
                <w:sz w:val="22"/>
                <w:szCs w:val="22"/>
              </w:rPr>
              <w:t>∫</w:t>
            </w:r>
            <w:r w:rsidRPr="009439D3">
              <w:rPr>
                <w:rFonts w:ascii="Arial" w:eastAsia="Times New Roman" w:hAnsi="Arial" w:cs="Arial"/>
                <w:color w:val="000000"/>
                <w:sz w:val="22"/>
                <w:szCs w:val="22"/>
              </w:rPr>
              <w:t xml:space="preserve"> Body mass index was defined as the weight in kilograms divided by the squared height in meters. Height was missing for 291 study participants, median height for females and males were used to calculate body mass index. </w:t>
            </w:r>
          </w:p>
          <w:p w14:paraId="1DCCBA69" w14:textId="77777777" w:rsidR="008F1E8F" w:rsidRPr="009439D3" w:rsidRDefault="008F1E8F" w:rsidP="00EA10C3">
            <w:pPr>
              <w:spacing w:line="480" w:lineRule="auto"/>
              <w:rPr>
                <w:rFonts w:ascii="Arial" w:eastAsia="PMingLiU" w:hAnsi="Arial" w:cs="Arial"/>
                <w:color w:val="000000"/>
                <w:sz w:val="22"/>
                <w:szCs w:val="22"/>
              </w:rPr>
            </w:pPr>
            <w:r w:rsidRPr="009439D3">
              <w:rPr>
                <w:rFonts w:ascii="Arial" w:eastAsia="MS Mincho" w:hAnsi="Arial" w:cs="Arial"/>
                <w:color w:val="000000"/>
                <w:sz w:val="22"/>
                <w:szCs w:val="22"/>
              </w:rPr>
              <w:t>¶</w:t>
            </w:r>
            <w:r w:rsidRPr="009439D3">
              <w:rPr>
                <w:rFonts w:ascii="Arial" w:eastAsia="Times New Roman" w:hAnsi="Arial" w:cs="Arial"/>
                <w:color w:val="000000"/>
                <w:sz w:val="22"/>
                <w:szCs w:val="22"/>
              </w:rPr>
              <w:t xml:space="preserve"> Human immunodeficiency virus (HIV) status was missing for 9 study participants.</w:t>
            </w:r>
          </w:p>
          <w:p w14:paraId="5217FD0D" w14:textId="5036D6B1" w:rsidR="008F1E8F" w:rsidRPr="009439D3" w:rsidRDefault="008F1E8F" w:rsidP="00EA10C3">
            <w:pPr>
              <w:spacing w:line="480" w:lineRule="auto"/>
              <w:rPr>
                <w:rFonts w:ascii="Arial" w:eastAsia="Bradley Hand" w:hAnsi="Arial" w:cs="Arial"/>
                <w:color w:val="000000"/>
                <w:sz w:val="22"/>
                <w:szCs w:val="22"/>
              </w:rPr>
            </w:pPr>
            <w:r w:rsidRPr="009439D3">
              <w:rPr>
                <w:rFonts w:ascii="Arial" w:eastAsia="MS Mincho" w:hAnsi="Arial" w:cs="Arial"/>
                <w:color w:val="000000"/>
                <w:sz w:val="22"/>
                <w:szCs w:val="22"/>
              </w:rPr>
              <w:t>‖</w:t>
            </w:r>
            <w:r w:rsidRPr="009439D3">
              <w:rPr>
                <w:rFonts w:ascii="Arial" w:eastAsia="Times New Roman" w:hAnsi="Arial" w:cs="Arial"/>
                <w:color w:val="000000"/>
                <w:sz w:val="22"/>
                <w:szCs w:val="22"/>
              </w:rPr>
              <w:t>CD4 cell count cutoff was variable across trials</w:t>
            </w:r>
            <w:r w:rsidR="00375E17">
              <w:rPr>
                <w:rFonts w:ascii="Arial" w:eastAsia="Times New Roman" w:hAnsi="Arial" w:cs="Arial"/>
                <w:color w:val="000000"/>
                <w:sz w:val="22"/>
                <w:szCs w:val="22"/>
              </w:rPr>
              <w:t xml:space="preserve"> (d</w:t>
            </w:r>
            <w:r>
              <w:rPr>
                <w:rFonts w:ascii="Arial" w:eastAsia="Times New Roman" w:hAnsi="Arial" w:cs="Arial"/>
                <w:color w:val="000000"/>
                <w:sz w:val="22"/>
                <w:szCs w:val="22"/>
              </w:rPr>
              <w:t xml:space="preserve">escribed in </w:t>
            </w:r>
            <w:r w:rsidR="00375E17">
              <w:rPr>
                <w:rFonts w:ascii="Arial" w:eastAsia="Times New Roman" w:hAnsi="Arial" w:cs="Arial"/>
                <w:color w:val="000000"/>
                <w:sz w:val="22"/>
                <w:szCs w:val="22"/>
              </w:rPr>
              <w:t>Supplementary Table 2</w:t>
            </w:r>
            <w:r>
              <w:rPr>
                <w:rFonts w:ascii="Arial" w:eastAsia="Times New Roman" w:hAnsi="Arial" w:cs="Arial"/>
                <w:color w:val="000000"/>
                <w:sz w:val="22"/>
                <w:szCs w:val="22"/>
              </w:rPr>
              <w:t>)</w:t>
            </w:r>
            <w:r w:rsidRPr="009439D3">
              <w:rPr>
                <w:rFonts w:ascii="Arial" w:eastAsia="Times New Roman" w:hAnsi="Arial" w:cs="Arial"/>
                <w:color w:val="000000"/>
                <w:sz w:val="22"/>
                <w:szCs w:val="22"/>
              </w:rPr>
              <w:t xml:space="preserve">. CD4 cell counts </w:t>
            </w:r>
            <w:r>
              <w:rPr>
                <w:rFonts w:ascii="Arial" w:eastAsia="Times New Roman" w:hAnsi="Arial" w:cs="Arial"/>
                <w:color w:val="000000"/>
                <w:sz w:val="22"/>
                <w:szCs w:val="22"/>
              </w:rPr>
              <w:t xml:space="preserve">summary statistics </w:t>
            </w:r>
            <w:r w:rsidRPr="009439D3">
              <w:rPr>
                <w:rFonts w:ascii="Arial" w:eastAsia="Times New Roman" w:hAnsi="Arial" w:cs="Arial"/>
                <w:color w:val="000000"/>
                <w:sz w:val="22"/>
                <w:szCs w:val="22"/>
              </w:rPr>
              <w:t>was based only on study participants co-infected with HIV, but were missing for 79 HIV co-infected study participants.</w:t>
            </w:r>
            <w:r w:rsidRPr="009439D3">
              <w:rPr>
                <w:rFonts w:ascii="Arial" w:eastAsia="Times New Roman" w:hAnsi="Arial" w:cs="Arial"/>
                <w:color w:val="000000"/>
                <w:sz w:val="22"/>
                <w:szCs w:val="22"/>
              </w:rPr>
              <w:br/>
            </w:r>
            <w:r w:rsidRPr="009439D3">
              <w:rPr>
                <w:rFonts w:ascii="Arial" w:eastAsia="Bradley Hand" w:hAnsi="Arial" w:cs="Arial"/>
                <w:color w:val="000000"/>
                <w:sz w:val="22"/>
                <w:szCs w:val="22"/>
              </w:rPr>
              <w:t xml:space="preserve">** </w:t>
            </w:r>
            <w:r w:rsidRPr="009439D3">
              <w:rPr>
                <w:rFonts w:ascii="Arial" w:eastAsia="Times New Roman" w:hAnsi="Arial" w:cs="Arial"/>
                <w:color w:val="000000"/>
                <w:sz w:val="22"/>
                <w:szCs w:val="22"/>
              </w:rPr>
              <w:t xml:space="preserve">Cavitation status was missing for 200 study participants. </w:t>
            </w:r>
            <w:r w:rsidRPr="009439D3">
              <w:rPr>
                <w:rFonts w:ascii="Arial" w:eastAsia="PMingLiU" w:hAnsi="Arial" w:cs="Arial"/>
                <w:color w:val="000000"/>
                <w:sz w:val="22"/>
                <w:szCs w:val="22"/>
              </w:rPr>
              <w:br/>
            </w:r>
            <w:r w:rsidRPr="009439D3">
              <w:rPr>
                <w:rFonts w:ascii="Arial" w:hAnsi="Arial" w:cs="Arial"/>
                <w:sz w:val="22"/>
                <w:szCs w:val="22"/>
              </w:rPr>
              <w:t>††</w:t>
            </w:r>
            <w:r w:rsidRPr="009439D3">
              <w:rPr>
                <w:rFonts w:ascii="Arial" w:eastAsia="PMingLiU" w:hAnsi="Arial" w:cs="Arial"/>
                <w:color w:val="000000"/>
                <w:sz w:val="22"/>
                <w:szCs w:val="22"/>
              </w:rPr>
              <w:t xml:space="preserve"> </w:t>
            </w:r>
            <w:r w:rsidRPr="009439D3">
              <w:rPr>
                <w:rFonts w:ascii="Arial" w:eastAsia="Times New Roman" w:hAnsi="Arial" w:cs="Arial"/>
                <w:color w:val="000000"/>
                <w:sz w:val="22"/>
                <w:szCs w:val="22"/>
              </w:rPr>
              <w:t xml:space="preserve">Smear </w:t>
            </w:r>
            <w:r>
              <w:rPr>
                <w:rFonts w:ascii="Arial" w:eastAsia="Times New Roman" w:hAnsi="Arial" w:cs="Arial"/>
                <w:color w:val="000000"/>
                <w:sz w:val="22"/>
                <w:szCs w:val="22"/>
              </w:rPr>
              <w:t>grade</w:t>
            </w:r>
            <w:r w:rsidRPr="009439D3">
              <w:rPr>
                <w:rFonts w:ascii="Arial" w:eastAsia="Times New Roman" w:hAnsi="Arial" w:cs="Arial"/>
                <w:color w:val="000000"/>
                <w:sz w:val="22"/>
                <w:szCs w:val="22"/>
              </w:rPr>
              <w:t xml:space="preserve"> was based on clinical trial defined grading</w:t>
            </w:r>
            <w:r>
              <w:rPr>
                <w:rFonts w:ascii="Arial" w:eastAsia="Times New Roman" w:hAnsi="Arial" w:cs="Arial"/>
                <w:color w:val="000000"/>
                <w:sz w:val="22"/>
                <w:szCs w:val="22"/>
              </w:rPr>
              <w:t>, but readjusted so all data was on the same scale</w:t>
            </w:r>
            <w:r w:rsidRPr="009439D3">
              <w:rPr>
                <w:rFonts w:ascii="Arial" w:eastAsia="Times New Roman" w:hAnsi="Arial" w:cs="Arial"/>
                <w:color w:val="000000"/>
                <w:sz w:val="22"/>
                <w:szCs w:val="22"/>
              </w:rPr>
              <w:t xml:space="preserve">. Smear </w:t>
            </w:r>
            <w:r>
              <w:rPr>
                <w:rFonts w:ascii="Arial" w:eastAsia="Times New Roman" w:hAnsi="Arial" w:cs="Arial"/>
                <w:color w:val="000000"/>
                <w:sz w:val="22"/>
                <w:szCs w:val="22"/>
              </w:rPr>
              <w:t>grade</w:t>
            </w:r>
            <w:r w:rsidRPr="009439D3">
              <w:rPr>
                <w:rFonts w:ascii="Arial" w:eastAsia="Times New Roman" w:hAnsi="Arial" w:cs="Arial"/>
                <w:color w:val="000000"/>
                <w:sz w:val="22"/>
                <w:szCs w:val="22"/>
              </w:rPr>
              <w:t xml:space="preserve"> was missing for 43 study participants.</w:t>
            </w:r>
          </w:p>
        </w:tc>
      </w:tr>
    </w:tbl>
    <w:p w14:paraId="1E6A9E1D" w14:textId="77777777" w:rsidR="00BE1F60" w:rsidRDefault="00BE1F60" w:rsidP="00BE1F60">
      <w:pPr>
        <w:spacing w:line="480" w:lineRule="auto"/>
        <w:outlineLvl w:val="0"/>
        <w:rPr>
          <w:rFonts w:ascii="Arial" w:hAnsi="Arial" w:cs="Arial"/>
          <w:b/>
        </w:rPr>
      </w:pPr>
    </w:p>
    <w:p w14:paraId="73514406" w14:textId="77777777" w:rsidR="00BE1F60" w:rsidRDefault="00BE1F60">
      <w:pPr>
        <w:rPr>
          <w:rFonts w:ascii="Arial" w:hAnsi="Arial" w:cs="Arial"/>
          <w:b/>
        </w:rPr>
      </w:pPr>
      <w:r>
        <w:rPr>
          <w:rFonts w:ascii="Arial" w:hAnsi="Arial" w:cs="Arial"/>
          <w:b/>
        </w:rPr>
        <w:br w:type="page"/>
      </w:r>
    </w:p>
    <w:p w14:paraId="47DB2C97" w14:textId="7B40783A" w:rsidR="00BE1F60" w:rsidRDefault="00BE1F60" w:rsidP="00BE1F60">
      <w:pPr>
        <w:spacing w:line="480" w:lineRule="auto"/>
        <w:outlineLvl w:val="0"/>
        <w:rPr>
          <w:rFonts w:ascii="Arial" w:hAnsi="Arial" w:cs="Arial"/>
        </w:rPr>
      </w:pPr>
      <w:r>
        <w:rPr>
          <w:rFonts w:ascii="Arial" w:hAnsi="Arial" w:cs="Arial"/>
          <w:b/>
        </w:rPr>
        <w:lastRenderedPageBreak/>
        <w:t>Methods</w:t>
      </w:r>
    </w:p>
    <w:p w14:paraId="3E4A67B6" w14:textId="77777777" w:rsidR="00BE1F60" w:rsidRDefault="00BE1F60" w:rsidP="00BE1F60">
      <w:pPr>
        <w:spacing w:line="480" w:lineRule="auto"/>
        <w:outlineLvl w:val="0"/>
        <w:rPr>
          <w:rFonts w:ascii="Arial" w:hAnsi="Arial" w:cs="Arial"/>
          <w:b/>
        </w:rPr>
      </w:pPr>
      <w:r>
        <w:rPr>
          <w:rFonts w:ascii="Arial" w:hAnsi="Arial" w:cs="Arial"/>
          <w:b/>
        </w:rPr>
        <w:t xml:space="preserve">Study Design </w:t>
      </w:r>
    </w:p>
    <w:p w14:paraId="47797633" w14:textId="48595676" w:rsidR="00BE1F60" w:rsidRPr="00FD0033" w:rsidRDefault="00BE1F60" w:rsidP="00BE1F60">
      <w:pPr>
        <w:spacing w:line="480" w:lineRule="auto"/>
        <w:outlineLvl w:val="0"/>
        <w:rPr>
          <w:rFonts w:ascii="Arial" w:hAnsi="Arial"/>
          <w:b/>
        </w:rPr>
      </w:pPr>
      <w:r>
        <w:rPr>
          <w:rFonts w:ascii="Arial" w:hAnsi="Arial" w:cs="Arial"/>
        </w:rPr>
        <w:t xml:space="preserve">This study utilized individual patient data from </w:t>
      </w:r>
      <w:r w:rsidRPr="0086393D">
        <w:rPr>
          <w:rFonts w:ascii="Arial" w:hAnsi="Arial" w:cs="Arial"/>
          <w:color w:val="000000" w:themeColor="text1"/>
        </w:rPr>
        <w:t xml:space="preserve">four recent, international, randomized phase 3 trials (OFLOTUB, </w:t>
      </w:r>
      <w:proofErr w:type="spellStart"/>
      <w:r w:rsidRPr="0086393D">
        <w:rPr>
          <w:rFonts w:ascii="Arial" w:hAnsi="Arial" w:cs="Arial"/>
          <w:color w:val="000000" w:themeColor="text1"/>
        </w:rPr>
        <w:t>ReMOXTB</w:t>
      </w:r>
      <w:proofErr w:type="spellEnd"/>
      <w:r w:rsidRPr="0086393D">
        <w:rPr>
          <w:rFonts w:ascii="Arial" w:hAnsi="Arial" w:cs="Arial"/>
          <w:color w:val="000000" w:themeColor="text1"/>
        </w:rPr>
        <w:t>, RIFAQUIN and DMID 01-009)</w:t>
      </w:r>
      <w:r>
        <w:rPr>
          <w:rFonts w:ascii="Arial" w:hAnsi="Arial" w:cs="Arial"/>
          <w:color w:val="000000" w:themeColor="text1"/>
        </w:rPr>
        <w:fldChar w:fldCharType="begin" w:fldLock="1"/>
      </w:r>
      <w:r>
        <w:rPr>
          <w:rFonts w:ascii="Arial" w:hAnsi="Arial" w:cs="Arial"/>
          <w:color w:val="000000" w:themeColor="text1"/>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"id" : "ITEM-2",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"ITEM-2", "issue" : "17", "issued" : { "date-parts" : [ [ "2014" ] ] }, "note" : "protocol", "page" : "1577-1587", "title" : "Four-Month Moxifloxacin-Based Regimens for Drug-Sensitive Tuberculosis", "type" : "article-journal", "volume" : "371" }, "uris" : [ "http://www.mendeley.com/documents/?uuid=17bfccc4-ae6c-4d94-8f68-f851bb5d6b42" ] }, { "id" : "ITEM-3",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"ITEM-3", "issue" : "17", "issued" : { "date-parts" : [ [ "2014" ] ] }, "note" : "supplementary", "page" : "1599-1608", "title" : "High-Dose Rifapentine with Moxifloxacin for Pulmonary Tuberculosis", "type" : "article-journal", "volume" : "371" }, "uris" : [ "http://www.mendeley.com/documents/?uuid=6e460265-06c7-4572-b217-3783f8a42ff5" ] }, { "id" : "ITEM-4",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"ITEM-4",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"&lt;sup&gt;1\u20133,9&lt;/sup&gt;", "plainTextFormattedCitation" : "1\u20133,9", "previouslyFormattedCitation" : "&lt;sup&gt;1\u20133,9&lt;/sup&gt;" }, "properties" : {  }, "schema" : "https://github.com/citation-style-language/schema/raw/master/csl-citation.json" }</w:instrText>
      </w:r>
      <w:r>
        <w:rPr>
          <w:rFonts w:ascii="Arial" w:hAnsi="Arial" w:cs="Arial"/>
          <w:color w:val="000000" w:themeColor="text1"/>
        </w:rPr>
        <w:fldChar w:fldCharType="separate"/>
      </w:r>
      <w:r w:rsidRPr="00B56E3B">
        <w:rPr>
          <w:rFonts w:ascii="Arial" w:hAnsi="Arial" w:cs="Arial"/>
          <w:noProof/>
          <w:color w:val="000000" w:themeColor="text1"/>
          <w:vertAlign w:val="superscript"/>
        </w:rPr>
        <w:t>1–3,9</w:t>
      </w:r>
      <w:r>
        <w:rPr>
          <w:rFonts w:ascii="Arial" w:hAnsi="Arial" w:cs="Arial"/>
          <w:color w:val="000000" w:themeColor="text1"/>
        </w:rPr>
        <w:fldChar w:fldCharType="end"/>
      </w:r>
      <w:r w:rsidRPr="0086393D">
        <w:rPr>
          <w:rFonts w:ascii="Arial" w:hAnsi="Arial" w:cs="Arial"/>
          <w:color w:val="000000" w:themeColor="text1"/>
        </w:rPr>
        <w:t xml:space="preserve"> that </w:t>
      </w:r>
      <w:r>
        <w:rPr>
          <w:rFonts w:ascii="Arial" w:hAnsi="Arial" w:cs="Arial"/>
        </w:rPr>
        <w:t>compared 4-month regimens to standard 6-month WHO and ATS/CDC/IDSA endorsed regimens for drug-susceptible pulmonary TB.</w:t>
      </w:r>
      <w:r>
        <w:rPr>
          <w:rFonts w:ascii="Arial" w:hAnsi="Arial" w:cs="Arial"/>
        </w:rPr>
        <w:fldChar w:fldCharType="begin" w:fldLock="1"/>
      </w:r>
      <w:r>
        <w:rPr>
          <w:rFonts w:ascii="Arial" w:hAnsi="Arial" w:cs="Arial"/>
        </w:rPr>
        <w:instrText>ADDIN CSL_CITATION { "citationItems" : [ { "id" : "ITEM-1", "itemData" : { "author" : [ { "dropping-particle" : "", "family" : "Geneva: World Health Organization", "given" : "", "non-dropping-particle" : "", "parse-names" : false, "suffix" : "" } ], "container-title" : "Licence: CC BY-NC_SA 3.0 IGO", "id" : "ITEM-1", "issued" : { "date-parts" : [ [ "2017" ] ] }, "title" : "Guidelines for treatment of drug-susceptible tuberculosis and patient care, 2017 update", "type" : "article-journal" }, "uris" : [ "http://www.mendeley.com/documents/?uuid=89c571ad-9e91-328b-bd6b-8b236fd55f9e" ] }, { "id" : "ITEM-2", "itemData" : { "DOI" : "10.1093/cid/ciw376", "abstract" : "Organization also participated in the development of the guideline. This guideline provides recommendations on the clinical and public health management of tuberculosis in children and adults in settings in which mycobacterial cultures, molecular and phe-notypic drug susceptibility tests, and radiographic studies, among other diagnostic tools, are available on a routine basis. For all recommendations, literature reviews were performed, followed by discussion by an expert committee according to the Grading of Recommendations, Assessment, Development and Evaluation methodology. Given the public health implications of prompt diag-nosis and effective management of tuberculosis, empiric multidrug treatment is initiated in almost all situations in which active tuberculosis is suspected. Additional characteristics such as presence of comorbidities, severity of disease, and response to treatment influence management decisions. Specific recommendations on the use of case management strategies (including directly observed therapy), regimen and dosing selection in adults and children (daily vs intermittent), treatment of tuberculosis in the presence of HIV infection (duration of tuberculosis treatment and timing of initiation of antiretroviral therapy), as well as treatment of extrap-ulmonary disease (central nervous system, pericardial among other sites) are provided. The development of more potent and better-tolerated drug regimens, optimization of drug exposure for the component drugs, optimal management of tuberculosis in special populations, identification of accurate biomarkers of treatment effect, and the assessment of new strategies for implementing regi-mens in the field remain key priority areas for research. See the full-text online version of the document for detailed discussion of the management of tuberculosis and recommendations for practice. These guidelines were endorsed by the European Respiratory Society (ERS) and the US Na-tional Tuberculosis Controllers Association (NTCA). It is important to realize that guidelines can-not always account for individual variation among patients. They are not intended to supplant physician judgment with respect to particular patients or special clinical situations. The spon-soring and endorsing societies consider adherence to these guidelines to be voluntary, with the ultimate determination regarding their application to be made by the physician in the light of each patient's individual circumstances.", "author" : [ { "dropping-particle" : "", "family" : "Nahid", "given" : "Payam", "non-dropping-particle" : "", "parse-names" : false, "suffix" : "" }, { "dropping-particle" : "", "family" : "Dorman", "given" : "Susan E", "non-dropping-particle" : "", "parse-names" : false, "suffix" : "" }, { "dropping-particle" : "", "family" : "Alipanah", "given" : "Narges", "non-dropping-particle" : "", "parse-names" : false, "suffix" : "" }, { "dropping-particle" : "", "family" : "Barry", "given" : "Pennan M", "non-dropping-particle" : "", "parse-names" : false, "suffix" : "" }, { "dropping-particle" : "", "family" : "Brozek", "given" : "Jan L", "non-dropping-particle" : "", "parse-names" : false, "suffix" : "" }, { "dropping-particle" : "", "family" : "Cattamanchi", "given" : "Adithya", "non-dropping-particle" : "", "parse-names" : false, "suffix" : "" }, { "dropping-particle" : "", "family" : "Chaisson", "given" : "Lelia H", "non-dropping-particle" : "", "parse-names" : false, "suffix" : "" }, { "dropping-particle" : "", "family" : "Chaisson", "given" : "Richard E", "non-dropping-particle" : "", "parse-names" : false, "suffix" : "" }, { "dropping-particle" : "", "family" : "Daley", "given" : "Charles L", "non-dropping-particle" : "", "parse-names" : false, "suffix" : "" }, { "dropping-particle" : "", "family" : "Grzemska", "given" : "Malgosia", "non-dropping-particle" : "", "parse-names" : false, "suffix" : "" }, { "dropping-particle" : "", "family" : "Higashi", "given" : "Julie M", "non-dropping-particle" : "", "parse-names" : false, "suffix" : "" }, { "dropping-particle" : "", "family" : "Ho", "given" : "Christine S", "non-dropping-particle" : "", "parse-names" : false, "suffix" : "" }, { "dropping-particle" : "", "family" : "Hopewell", "given" : "Philip C", "non-dropping-particle" : "", "parse-names" : false, "suffix" : "" }, { "dropping-particle" : "", "family" : "Keshavjee", "given" : "Salmaan A", "non-dropping-particle" : "", "parse-names" : false, "suffix" : "" }, { "dropping-particle" : "", "family" : "Lienhardt", "given" : "Christian", "non-dropping-particle" : "", "parse-names" : false, "suffix" : "" }, { "dropping-particle" : "", "family" : "Menzies", "given" : "Richard", "non-dropping-particle" : "", "parse-names" : false, "suffix" : "" }, { "dropping-particle" : "", "family" : "Merrifield", "given" : "Cynthia", "non-dropping-particle" : "", "parse-names" : false, "suffix" : "" }, { "dropping-particle" : "", "family" : "Sotgiu", "given" : "Giovanni", "non-dropping-particle" : "", "parse-names" : false, "suffix" : "" }, { "dropping-particle" : "", "family" : "Starke", "given" : "Jeffrey R", "non-dropping-particle" : "", "parse-names" : false, "suffix" : "" }, { "dropping-particle" : "", "family" : "Migliori", "given" : "Giovanni Battista", "non-dropping-particle" : "", "parse-names" : false, "suffix" : "" }, { "dropping-particle" : "", "family" : "Vernon", "given" : "Andrew", "non-dropping-particle" : "", "parse-names" : false, "suffix" : "" }, { "dropping-particle" : "", "family" : "Nahid", "given" : "P", "non-dropping-particle" : "", "parse-names" : false, "suffix" : "" } ], "container-title" : "Clinical Infectious Diseases", "id" : "ITEM-2", "issue" : "7", "issued" : { "date-parts" : [ [ "2016" ] ] }, "page" : "e147-e195", "title" : "Official American Thoracic Society/Centers for Disease Control and Prevention/Infectious Diseases Society of America Clinical Practice Guidelines: Treatment of Drug-Susceptible Tuberculosis", "type" : "article-journal", "volume" : "63" }, "uris" : [ "http://www.mendeley.com/documents/?uuid=41541d6a-5b99-369c-a1f9-e103b5f2f169" ] } ], "mendeley" : { "formattedCitation" : "&lt;sup&gt;4,5&lt;/sup&gt;", "plainTextFormattedCitation" : "4,5", "previouslyFormattedCitation" : "&lt;sup&gt;4,5&lt;/sup&gt;" }, "properties" : {  }, "schema" : "https://github.com/citation-style-language/schema/raw/master/csl-citation.json" }</w:instrText>
      </w:r>
      <w:r>
        <w:rPr>
          <w:rFonts w:ascii="Arial" w:hAnsi="Arial" w:cs="Arial"/>
        </w:rPr>
        <w:fldChar w:fldCharType="separate"/>
      </w:r>
      <w:r w:rsidRPr="001768ED">
        <w:rPr>
          <w:rFonts w:ascii="Arial" w:hAnsi="Arial" w:cs="Arial"/>
          <w:noProof/>
          <w:vertAlign w:val="superscript"/>
        </w:rPr>
        <w:t>4,5</w:t>
      </w:r>
      <w:r>
        <w:rPr>
          <w:rFonts w:ascii="Arial" w:hAnsi="Arial" w:cs="Arial"/>
        </w:rPr>
        <w:fldChar w:fldCharType="end"/>
      </w:r>
      <w:r>
        <w:rPr>
          <w:rFonts w:ascii="Arial" w:hAnsi="Arial" w:cs="Arial"/>
        </w:rPr>
        <w:t xml:space="preserve"> </w:t>
      </w:r>
      <w:r w:rsidRPr="00210D5C">
        <w:rPr>
          <w:rFonts w:ascii="Arial" w:hAnsi="Arial" w:cs="Arial"/>
        </w:rPr>
        <w:t xml:space="preserve">The OFLOTUB trial compared an experimental 4-month </w:t>
      </w:r>
      <w:proofErr w:type="spellStart"/>
      <w:r w:rsidRPr="00210D5C">
        <w:rPr>
          <w:rFonts w:ascii="Arial" w:hAnsi="Arial" w:cs="Arial"/>
        </w:rPr>
        <w:t>gatifloxacin</w:t>
      </w:r>
      <w:proofErr w:type="spellEnd"/>
      <w:r w:rsidRPr="00210D5C">
        <w:rPr>
          <w:rFonts w:ascii="Arial" w:hAnsi="Arial" w:cs="Arial"/>
        </w:rPr>
        <w:t xml:space="preserve"> based regimen to a 6-month standard regimen.</w:t>
      </w:r>
      <w:r w:rsidRPr="00210D5C">
        <w:rPr>
          <w:rFonts w:ascii="Arial" w:hAnsi="Arial" w:cs="Arial"/>
        </w:rPr>
        <w:fldChar w:fldCharType="begin" w:fldLock="1"/>
      </w:r>
      <w:r>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"mendeley" : { "formattedCitation" : "&lt;sup&gt;1&lt;/sup&gt;", "plainTextFormattedCitation" : "1", "previouslyFormattedCitation" : "&lt;sup&gt;1&lt;/sup&gt;" }, "properties" : {  }, "schema" : "https://github.com/citation-style-language/schema/raw/master/csl-citation.json" }</w:instrText>
      </w:r>
      <w:r w:rsidRPr="00210D5C">
        <w:rPr>
          <w:rFonts w:ascii="Arial" w:hAnsi="Arial" w:cs="Arial"/>
        </w:rPr>
        <w:fldChar w:fldCharType="separate"/>
      </w:r>
      <w:r w:rsidRPr="00210D5C">
        <w:rPr>
          <w:rFonts w:ascii="Arial" w:hAnsi="Arial" w:cs="Arial"/>
          <w:noProof/>
          <w:vertAlign w:val="superscript"/>
        </w:rPr>
        <w:t>1</w:t>
      </w:r>
      <w:r w:rsidRPr="00210D5C">
        <w:rPr>
          <w:rFonts w:ascii="Arial" w:hAnsi="Arial" w:cs="Arial"/>
        </w:rPr>
        <w:fldChar w:fldCharType="end"/>
      </w:r>
      <w:r w:rsidRPr="00210D5C">
        <w:rPr>
          <w:rFonts w:ascii="Arial" w:hAnsi="Arial" w:cs="Arial"/>
        </w:rPr>
        <w:t xml:space="preserve"> The </w:t>
      </w:r>
      <w:proofErr w:type="spellStart"/>
      <w:r w:rsidRPr="00210D5C">
        <w:rPr>
          <w:rFonts w:ascii="Arial" w:hAnsi="Arial" w:cs="Arial"/>
        </w:rPr>
        <w:t>REMoxTB</w:t>
      </w:r>
      <w:proofErr w:type="spellEnd"/>
      <w:r w:rsidRPr="00210D5C">
        <w:rPr>
          <w:rFonts w:ascii="Arial" w:hAnsi="Arial" w:cs="Arial"/>
        </w:rPr>
        <w:t xml:space="preserve"> trial compared two experimental 4-month moxifloxacin based regimens to a 6-month standard regimen.</w:t>
      </w:r>
      <w:r w:rsidRPr="00210D5C">
        <w:rPr>
          <w:rFonts w:ascii="Arial" w:hAnsi="Arial" w:cs="Arial"/>
        </w:rPr>
        <w:fldChar w:fldCharType="begin" w:fldLock="1"/>
      </w:r>
      <w:r w:rsidRPr="00210D5C">
        <w:rPr>
          <w:rFonts w:ascii="Arial" w:hAnsi="Arial" w:cs="Arial"/>
        </w:rPr>
        <w:instrText>ADDIN CSL_CITATION { "citationItems" : [ { "id" : "ITEM-1",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"ITEM-1", "issue" : "17", "issued" : { "date-parts" : [ [ "2014" ] ] }, "note" : "protocol", "page" : "1577-1587", "title" : "Four-Month Moxifloxacin-Based Regimens for Drug-Sensitive Tuberculosis", "type" : "article-journal", "volume" : "371" }, "uris" : [ "http://www.mendeley.com/documents/?uuid=17bfccc4-ae6c-4d94-8f68-f851bb5d6b42" ] } ], "mendeley" : { "formattedCitation" : "&lt;sup&gt;2&lt;/sup&gt;", "plainTextFormattedCitation" : "2", "previouslyFormattedCitation" : "&lt;sup&gt;2&lt;/sup&gt;" }, "properties" : {  }, "schema" : "https://github.com/citation-style-language/schema/raw/master/csl-citation.json" }</w:instrText>
      </w:r>
      <w:r w:rsidRPr="00210D5C">
        <w:rPr>
          <w:rFonts w:ascii="Arial" w:hAnsi="Arial" w:cs="Arial"/>
        </w:rPr>
        <w:fldChar w:fldCharType="separate"/>
      </w:r>
      <w:r w:rsidRPr="00210D5C">
        <w:rPr>
          <w:rFonts w:ascii="Arial" w:hAnsi="Arial" w:cs="Arial"/>
          <w:noProof/>
          <w:vertAlign w:val="superscript"/>
        </w:rPr>
        <w:t>2</w:t>
      </w:r>
      <w:r w:rsidRPr="00210D5C">
        <w:rPr>
          <w:rFonts w:ascii="Arial" w:hAnsi="Arial" w:cs="Arial"/>
        </w:rPr>
        <w:fldChar w:fldCharType="end"/>
      </w:r>
      <w:r w:rsidRPr="00210D5C">
        <w:rPr>
          <w:rFonts w:ascii="Arial" w:hAnsi="Arial" w:cs="Arial"/>
        </w:rPr>
        <w:t xml:space="preserve"> The RIFAQUIN trial compared experimental 4-month or 6-month moxifloxacin and high-dose rifapentine based intermittent regimens to a 6-month standard regimen.</w:t>
      </w:r>
      <w:r w:rsidRPr="00210D5C">
        <w:rPr>
          <w:rFonts w:ascii="Arial" w:hAnsi="Arial" w:cs="Arial"/>
        </w:rPr>
        <w:fldChar w:fldCharType="begin" w:fldLock="1"/>
      </w:r>
      <w:r w:rsidRPr="00210D5C">
        <w:rPr>
          <w:rFonts w:ascii="Arial" w:hAnsi="Arial" w:cs="Arial"/>
        </w:rPr>
        <w:instrText>ADDIN CSL_CITATION { "citationItems" : [ { "id" : "ITEM-1",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"ITEM-1", "issue" : "17", "issued" : { "date-parts" : [ [ "2014" ] ] }, "note" : "supplementary", "page" : "1599-1608", "title" : "High-Dose Rifapentine with Moxifloxacin for Pulmonary Tuberculosis", "type" : "article-journal", "volume" : "371" }, "uris" : [ "http://www.mendeley.com/documents/?uuid=6e460265-06c7-4572-b217-3783f8a42ff5" ] } ], "mendeley" : { "formattedCitation" : "&lt;sup&gt;3&lt;/sup&gt;", "plainTextFormattedCitation" : "3", "previouslyFormattedCitation" : "&lt;sup&gt;3&lt;/sup&gt;" }, "properties" : {  }, "schema" : "https://github.com/citation-style-language/schema/raw/master/csl-citation.json" }</w:instrText>
      </w:r>
      <w:r w:rsidRPr="00210D5C">
        <w:rPr>
          <w:rFonts w:ascii="Arial" w:hAnsi="Arial" w:cs="Arial"/>
        </w:rPr>
        <w:fldChar w:fldCharType="separate"/>
      </w:r>
      <w:r w:rsidRPr="00210D5C">
        <w:rPr>
          <w:rFonts w:ascii="Arial" w:hAnsi="Arial" w:cs="Arial"/>
          <w:noProof/>
          <w:vertAlign w:val="superscript"/>
        </w:rPr>
        <w:t>3</w:t>
      </w:r>
      <w:r w:rsidRPr="00210D5C">
        <w:rPr>
          <w:rFonts w:ascii="Arial" w:hAnsi="Arial" w:cs="Arial"/>
        </w:rPr>
        <w:fldChar w:fldCharType="end"/>
      </w:r>
      <w:r w:rsidRPr="00210D5C">
        <w:rPr>
          <w:rFonts w:ascii="Arial" w:hAnsi="Arial" w:cs="Arial"/>
        </w:rPr>
        <w:t xml:space="preserve"> A fourth independent TB treatment-shortening trial sponsored by the National Institute of Allergy and Infectious Diseases (NIAID) and conducted by the NIH-funded Tuberculosis Research Unit compared a 4-month standard regimen (with no fluoroquinolone) to a 6-month standard regimen in adults with non-cavitary disease and 2-month culture negative status (DMID 01-009, NCT00130247).</w:t>
      </w:r>
      <w:r w:rsidRPr="00210D5C">
        <w:rPr>
          <w:rFonts w:ascii="Arial" w:hAnsi="Arial" w:cs="Arial"/>
        </w:rPr>
        <w:fldChar w:fldCharType="begin" w:fldLock="1"/>
      </w:r>
      <w:r>
        <w:rPr>
          <w:rFonts w:ascii="Arial" w:hAnsi="Arial" w:cs="Arial"/>
        </w:rPr>
        <w:instrText>ADDIN CSL_CITATION { "citationItems" : [ { "id" : "ITEM-1",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"ITEM-1",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"&lt;sup&gt;9&lt;/sup&gt;", "plainTextFormattedCitation" : "9", "previouslyFormattedCitation" : "&lt;sup&gt;9&lt;/sup&gt;" }, "properties" : {  }, "schema" : "https://github.com/citation-style-language/schema/raw/master/csl-citation.json" }</w:instrText>
      </w:r>
      <w:r w:rsidRPr="00210D5C">
        <w:rPr>
          <w:rFonts w:ascii="Arial" w:hAnsi="Arial" w:cs="Arial"/>
        </w:rPr>
        <w:fldChar w:fldCharType="separate"/>
      </w:r>
      <w:r w:rsidRPr="0028371A">
        <w:rPr>
          <w:rFonts w:ascii="Arial" w:hAnsi="Arial" w:cs="Arial"/>
          <w:noProof/>
          <w:vertAlign w:val="superscript"/>
        </w:rPr>
        <w:t>9</w:t>
      </w:r>
      <w:r w:rsidRPr="00210D5C">
        <w:rPr>
          <w:rFonts w:ascii="Arial" w:hAnsi="Arial" w:cs="Arial"/>
        </w:rPr>
        <w:fldChar w:fldCharType="end"/>
      </w:r>
      <w:r w:rsidRPr="00210D5C">
        <w:rPr>
          <w:rFonts w:ascii="Arial" w:hAnsi="Arial" w:cs="Arial"/>
        </w:rPr>
        <w:t xml:space="preserve">  The pooled analyses are focused on data from participants receiving the 4-month experimental regimens and 6-month standard regimens, and do not include the once-weekly (in continuation phase) fluoroquinolone 6-month experimental regimen in the RIFAQUIN trial. </w:t>
      </w:r>
      <w:r>
        <w:rPr>
          <w:rFonts w:ascii="Arial" w:hAnsi="Arial" w:cs="Arial"/>
        </w:rPr>
        <w:t>The three trials that compared four fluoroquinolone-based tuberculosis regimens to a 6-month standard regimen provided data for identifying markers and models for risk stratification, while the DMID01-009 trial data were used for external validation.</w:t>
      </w:r>
      <w:r w:rsidRPr="0090442F">
        <w:rPr>
          <w:rFonts w:ascii="Arial" w:hAnsi="Arial" w:cs="Arial"/>
          <w:color w:val="FF0000"/>
        </w:rPr>
        <w:t xml:space="preserve"> </w:t>
      </w:r>
      <w:r>
        <w:rPr>
          <w:rFonts w:ascii="Arial" w:hAnsi="Arial" w:cs="Arial"/>
        </w:rPr>
        <w:t xml:space="preserve">We defined the experimental group as all study participants allocated to any of the 4-month experimental regimens and the control group as all study participants allocated to the 6-month standard regimen.  The protocol for each study was reviewed and approved by ethics </w:t>
      </w:r>
      <w:proofErr w:type="spellStart"/>
      <w:r>
        <w:rPr>
          <w:rFonts w:ascii="Arial" w:hAnsi="Arial" w:cs="Arial"/>
        </w:rPr>
        <w:t>committies</w:t>
      </w:r>
      <w:proofErr w:type="spellEnd"/>
      <w:r>
        <w:rPr>
          <w:rFonts w:ascii="Arial" w:hAnsi="Arial" w:cs="Arial"/>
        </w:rPr>
        <w:t xml:space="preserve"> and regulatory committees described in the original publications and all patients provided written informed consent.</w:t>
      </w:r>
      <w:r>
        <w:rPr>
          <w:rFonts w:ascii="Arial" w:hAnsi="Arial" w:cs="Arial"/>
        </w:rPr>
        <w:fldChar w:fldCharType="begin" w:fldLock="1"/>
      </w:r>
      <w:r>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"id" : "ITEM-2",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"ITEM-2", "issue" : "17", "issued" : { "date-parts" : [ [ "2014" ] ] }, "note" : "protocol", "page" : "1577-1587", "title" : "Four-Month Moxifloxacin-Based Regimens for Drug-Sensitive Tuberculosis", "type" : "article-journal", "volume" : "371" }, "uris" : [ "http://www.mendeley.com/documents/?uuid=17bfccc4-ae6c-4d94-8f68-f851bb5d6b42" ] }, { "id" : "ITEM-3",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"ITEM-3", "issue" : "17", "issued" : { "date-parts" : [ [ "2014" ] ] }, "note" : "supplementary", "page" : "1599-1608", "title" : "High-Dose Rifapentine with Moxifloxacin for Pulmonary Tuberculosis", "type" : "article-journal", "volume" : "371" }, "uris" : [ "http://www.mendeley.com/documents/?uuid=6e460265-06c7-4572-b217-3783f8a42ff5" ] }, { "id" : "ITEM-4",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"ITEM-4",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"&lt;sup&gt;1\u20133,9&lt;/sup&gt;", "plainTextFormattedCitation" : "1\u20133,9", "previouslyFormattedCitation" : "&lt;sup&gt;1\u20133,9&lt;/sup&gt;" }, "properties" : {  }, "schema" : "https://github.com/citation-style-language/schema/raw/master/csl-citation.json" }</w:instrText>
      </w:r>
      <w:r>
        <w:rPr>
          <w:rFonts w:ascii="Arial" w:hAnsi="Arial" w:cs="Arial"/>
        </w:rPr>
        <w:fldChar w:fldCharType="separate"/>
      </w:r>
      <w:r w:rsidRPr="006F06F6">
        <w:rPr>
          <w:rFonts w:ascii="Arial" w:hAnsi="Arial" w:cs="Arial"/>
          <w:noProof/>
          <w:vertAlign w:val="superscript"/>
        </w:rPr>
        <w:t>1–3,9</w:t>
      </w:r>
      <w:r>
        <w:rPr>
          <w:rFonts w:ascii="Arial" w:hAnsi="Arial" w:cs="Arial"/>
        </w:rPr>
        <w:fldChar w:fldCharType="end"/>
      </w:r>
      <w:r>
        <w:rPr>
          <w:rFonts w:ascii="Arial" w:hAnsi="Arial" w:cs="Arial"/>
        </w:rPr>
        <w:t xml:space="preserve"> </w:t>
      </w:r>
    </w:p>
    <w:p w14:paraId="19B86E80" w14:textId="77777777" w:rsidR="00BE1F60" w:rsidRDefault="00BE1F60" w:rsidP="00BE1F60">
      <w:pPr>
        <w:spacing w:line="480" w:lineRule="auto"/>
        <w:outlineLvl w:val="0"/>
        <w:rPr>
          <w:rFonts w:ascii="Arial" w:hAnsi="Arial" w:cs="Arial"/>
          <w:b/>
        </w:rPr>
      </w:pPr>
    </w:p>
    <w:p w14:paraId="5373F486" w14:textId="77777777" w:rsidR="00BE1F60" w:rsidRDefault="00BE1F60" w:rsidP="00BE1F60">
      <w:pPr>
        <w:spacing w:line="480" w:lineRule="auto"/>
        <w:outlineLvl w:val="0"/>
        <w:rPr>
          <w:rFonts w:ascii="Arial" w:hAnsi="Arial" w:cs="Arial"/>
          <w:b/>
        </w:rPr>
      </w:pPr>
      <w:r>
        <w:rPr>
          <w:rFonts w:ascii="Arial" w:hAnsi="Arial" w:cs="Arial"/>
          <w:b/>
        </w:rPr>
        <w:t xml:space="preserve">Data acquisition, management and harmonization </w:t>
      </w:r>
    </w:p>
    <w:p w14:paraId="22789239" w14:textId="77777777" w:rsidR="00BE1F60" w:rsidRDefault="00BE1F60" w:rsidP="00BE1F60">
      <w:pPr>
        <w:spacing w:line="480" w:lineRule="auto"/>
        <w:rPr>
          <w:rFonts w:ascii="Arial" w:hAnsi="Arial" w:cs="Arial"/>
        </w:rPr>
      </w:pPr>
      <w:r>
        <w:rPr>
          <w:rFonts w:ascii="Arial" w:hAnsi="Arial" w:cs="Arial"/>
        </w:rPr>
        <w:lastRenderedPageBreak/>
        <w:t xml:space="preserve">Integrated and </w:t>
      </w:r>
      <w:r w:rsidRPr="0086393D">
        <w:rPr>
          <w:rFonts w:ascii="Arial" w:hAnsi="Arial" w:cs="Arial"/>
          <w:color w:val="000000" w:themeColor="text1"/>
        </w:rPr>
        <w:t xml:space="preserve">standardized individual level data in each of the trials were obtained through the Platform for Aggregation of Clinical TB Studies (TB-PACTS; </w:t>
      </w:r>
      <w:hyperlink r:id="rId8" w:history="1">
        <w:r w:rsidRPr="00B4749C">
          <w:rPr>
            <w:rStyle w:val="Hyperlink"/>
            <w:rFonts w:ascii="Arial" w:hAnsi="Arial" w:cs="Arial"/>
          </w:rPr>
          <w:t>https://c-path.org/programs/tb-pacts/</w:t>
        </w:r>
      </w:hyperlink>
      <w:r w:rsidRPr="0086393D">
        <w:rPr>
          <w:rFonts w:ascii="Arial" w:hAnsi="Arial" w:cs="Arial"/>
          <w:color w:val="000000" w:themeColor="text1"/>
        </w:rPr>
        <w:t>)</w:t>
      </w:r>
      <w:r>
        <w:rPr>
          <w:rFonts w:ascii="Arial" w:hAnsi="Arial" w:cs="Arial"/>
          <w:color w:val="000000" w:themeColor="text1"/>
        </w:rPr>
        <w:t xml:space="preserve">. </w:t>
      </w:r>
      <w:r w:rsidRPr="006E573D">
        <w:rPr>
          <w:rFonts w:ascii="Arial" w:hAnsi="Arial" w:cs="Arial"/>
        </w:rPr>
        <w:t>Data</w:t>
      </w:r>
      <w:r w:rsidRPr="003D1073">
        <w:rPr>
          <w:rFonts w:ascii="Arial" w:hAnsi="Arial" w:cs="Arial"/>
        </w:rPr>
        <w:t xml:space="preserve"> sharing </w:t>
      </w:r>
      <w:r>
        <w:rPr>
          <w:rFonts w:ascii="Arial" w:hAnsi="Arial" w:cs="Arial"/>
        </w:rPr>
        <w:t>was directed</w:t>
      </w:r>
      <w:r w:rsidRPr="003D1073">
        <w:rPr>
          <w:rFonts w:ascii="Arial" w:hAnsi="Arial" w:cs="Arial"/>
        </w:rPr>
        <w:t xml:space="preserve"> by comprehensive Data Contribution Agreements with sponsors</w:t>
      </w:r>
      <w:r w:rsidRPr="0086393D">
        <w:rPr>
          <w:rFonts w:ascii="Arial" w:hAnsi="Arial" w:cs="Arial"/>
          <w:color w:val="000000" w:themeColor="text1"/>
        </w:rPr>
        <w:t>.</w:t>
      </w:r>
      <w:r>
        <w:rPr>
          <w:rFonts w:ascii="Arial" w:hAnsi="Arial" w:cs="Arial"/>
          <w:color w:val="000000" w:themeColor="text1"/>
        </w:rPr>
        <w:t xml:space="preserve"> </w:t>
      </w:r>
      <w:r w:rsidRPr="00AC62A7">
        <w:rPr>
          <w:rFonts w:ascii="Arial" w:hAnsi="Arial" w:cs="Arial"/>
        </w:rPr>
        <w:t xml:space="preserve">Before data were pooled, we compared trial protocols, case report forms, and data dictionaries to harmonize databases. Data queries were resolved through direct consultations with each trial team and Critical Path data managers. After pooling data, data inputs were checked for missing or duplicated values, for consistency and plausibility. Final dataset specification is available in Supplementary Table 1 and </w:t>
      </w:r>
      <w:r>
        <w:rPr>
          <w:rFonts w:ascii="Arial" w:hAnsi="Arial" w:cs="Arial"/>
        </w:rPr>
        <w:t xml:space="preserve">Supplementary </w:t>
      </w:r>
      <w:r w:rsidRPr="00AC62A7">
        <w:rPr>
          <w:rFonts w:ascii="Arial" w:hAnsi="Arial" w:cs="Arial"/>
        </w:rPr>
        <w:t xml:space="preserve">Table 2, and access to original databases is available through TB-PACTS.  </w:t>
      </w:r>
      <w:r w:rsidRPr="0086393D">
        <w:rPr>
          <w:rFonts w:ascii="Arial" w:hAnsi="Arial" w:cs="Arial"/>
          <w:color w:val="000000" w:themeColor="text1"/>
        </w:rPr>
        <w:t xml:space="preserve">Data from the DMID 01-009 were obtained </w:t>
      </w:r>
      <w:r>
        <w:rPr>
          <w:rFonts w:ascii="Arial" w:hAnsi="Arial" w:cs="Arial"/>
        </w:rPr>
        <w:t xml:space="preserve">directly from the sponsor. Further information on data acquisition and availability is described in the Life Sciences Reporting Summary. </w:t>
      </w:r>
    </w:p>
    <w:p w14:paraId="068E4A82" w14:textId="77777777" w:rsidR="00BE1F60" w:rsidRDefault="00BE1F60" w:rsidP="00BE1F60">
      <w:pPr>
        <w:spacing w:line="480" w:lineRule="auto"/>
        <w:outlineLvl w:val="0"/>
        <w:rPr>
          <w:rFonts w:ascii="Arial" w:hAnsi="Arial" w:cs="Arial"/>
          <w:b/>
        </w:rPr>
      </w:pPr>
    </w:p>
    <w:p w14:paraId="1BCD20BD" w14:textId="77777777" w:rsidR="00BE1F60" w:rsidRDefault="00BE1F60" w:rsidP="00BE1F60">
      <w:pPr>
        <w:spacing w:line="480" w:lineRule="auto"/>
        <w:outlineLvl w:val="0"/>
        <w:rPr>
          <w:rFonts w:ascii="Arial" w:hAnsi="Arial" w:cs="Arial"/>
          <w:b/>
        </w:rPr>
      </w:pPr>
      <w:r>
        <w:rPr>
          <w:rFonts w:ascii="Arial" w:hAnsi="Arial" w:cs="Arial"/>
          <w:b/>
        </w:rPr>
        <w:t>Efficacy outcomes</w:t>
      </w:r>
    </w:p>
    <w:p w14:paraId="276DBF63" w14:textId="2656D70B" w:rsidR="00BE1F60" w:rsidRDefault="00BE1F60" w:rsidP="00BE1F60">
      <w:pPr>
        <w:spacing w:line="480" w:lineRule="auto"/>
        <w:rPr>
          <w:rFonts w:ascii="Arial" w:hAnsi="Arial" w:cs="Arial"/>
        </w:rPr>
      </w:pPr>
      <w:r>
        <w:rPr>
          <w:rFonts w:ascii="Arial" w:hAnsi="Arial" w:cs="Arial"/>
        </w:rPr>
        <w:t xml:space="preserve">The primary efficacy endpoint of the pooled analysis was time to an unfavorable outcome for a maximum </w:t>
      </w:r>
      <w:proofErr w:type="gramStart"/>
      <w:r>
        <w:rPr>
          <w:rFonts w:ascii="Arial" w:hAnsi="Arial" w:cs="Arial"/>
        </w:rPr>
        <w:t>of  24</w:t>
      </w:r>
      <w:proofErr w:type="gramEnd"/>
      <w:r>
        <w:rPr>
          <w:rFonts w:ascii="Arial" w:hAnsi="Arial" w:cs="Arial"/>
        </w:rPr>
        <w:t xml:space="preserve"> months after start of treatment (participants in the OFLOTUB study were followed until 24 months after start of treatment and RIFAQUIN and </w:t>
      </w:r>
      <w:proofErr w:type="spellStart"/>
      <w:r>
        <w:rPr>
          <w:rFonts w:ascii="Arial" w:hAnsi="Arial" w:cs="Arial"/>
        </w:rPr>
        <w:t>REMox</w:t>
      </w:r>
      <w:proofErr w:type="spellEnd"/>
      <w:r>
        <w:rPr>
          <w:rFonts w:ascii="Arial" w:hAnsi="Arial" w:cs="Arial"/>
        </w:rPr>
        <w:t xml:space="preserve"> for 18 months), as defined according to each trial protocol and described in the original publications. </w:t>
      </w:r>
      <w:r w:rsidRPr="0025134E">
        <w:rPr>
          <w:rFonts w:ascii="Arial" w:hAnsi="Arial" w:cs="Arial"/>
        </w:rPr>
        <w:t>Trial-specific definitions of unfavorable outcome were broadly similar but included some dif</w:t>
      </w:r>
      <w:r>
        <w:rPr>
          <w:rFonts w:ascii="Arial" w:hAnsi="Arial" w:cs="Arial"/>
        </w:rPr>
        <w:t xml:space="preserve">ferences, which are outlined in Supplementary Table 1. </w:t>
      </w:r>
      <w:r w:rsidRPr="0025134E">
        <w:rPr>
          <w:rFonts w:ascii="Arial" w:hAnsi="Arial" w:cs="Arial"/>
        </w:rPr>
        <w:t xml:space="preserve"> </w:t>
      </w:r>
      <w:r w:rsidRPr="006675B2">
        <w:rPr>
          <w:rFonts w:ascii="Arial" w:hAnsi="Arial" w:cs="Arial"/>
        </w:rPr>
        <w:t xml:space="preserve">For example, reinfections confirmed by mycobacterial interspersed repetitive unit (MIRU) typing were excluded from the composite definition of unfavorable outcome in the primary analysis of the </w:t>
      </w:r>
      <w:proofErr w:type="spellStart"/>
      <w:r w:rsidRPr="006675B2">
        <w:rPr>
          <w:rFonts w:ascii="Arial" w:hAnsi="Arial" w:cs="Arial"/>
        </w:rPr>
        <w:t>REMoxTB</w:t>
      </w:r>
      <w:proofErr w:type="spellEnd"/>
      <w:r w:rsidRPr="006675B2">
        <w:rPr>
          <w:rFonts w:ascii="Arial" w:hAnsi="Arial" w:cs="Arial"/>
        </w:rPr>
        <w:t xml:space="preserve"> and RIFAQUIN trials, whereas they were included in the composite definition of unfavorable outcome in the primary analysis of the OFLOTUB trial. Sensitivity analyses were performed to evaluate the inclusion of all MIRU-confirmed reinfections, classified as unfavorable (</w:t>
      </w:r>
      <w:r>
        <w:rPr>
          <w:rFonts w:ascii="Arial" w:hAnsi="Arial" w:cs="Arial"/>
        </w:rPr>
        <w:t>Supplementary Table 11</w:t>
      </w:r>
      <w:r w:rsidRPr="006675B2">
        <w:rPr>
          <w:rFonts w:ascii="Arial" w:hAnsi="Arial" w:cs="Arial"/>
        </w:rPr>
        <w:t>) or favorable, or completely removed from the analysis.</w:t>
      </w:r>
      <w:r>
        <w:rPr>
          <w:rFonts w:ascii="Arial" w:hAnsi="Arial" w:cs="Arial"/>
        </w:rPr>
        <w:t xml:space="preserve"> The secondary efficacy outcome </w:t>
      </w:r>
      <w:r w:rsidRPr="0031708C">
        <w:rPr>
          <w:rFonts w:ascii="Arial" w:hAnsi="Arial" w:cs="Arial"/>
        </w:rPr>
        <w:t>was</w:t>
      </w:r>
      <w:r>
        <w:rPr>
          <w:rFonts w:ascii="Arial" w:hAnsi="Arial" w:cs="Arial"/>
        </w:rPr>
        <w:t xml:space="preserve"> the non-parametric Kaplan-Meier estimate of unfavorable outcome at 24 months after start of treatment. </w:t>
      </w:r>
    </w:p>
    <w:p w14:paraId="385412CE" w14:textId="77777777" w:rsidR="00BE1F60" w:rsidRDefault="00BE1F60" w:rsidP="00BE1F60">
      <w:pPr>
        <w:spacing w:line="480" w:lineRule="auto"/>
        <w:outlineLvl w:val="0"/>
        <w:rPr>
          <w:rFonts w:ascii="Arial" w:hAnsi="Arial" w:cs="Arial"/>
          <w:b/>
        </w:rPr>
      </w:pPr>
    </w:p>
    <w:p w14:paraId="0C623A83" w14:textId="77777777" w:rsidR="00BE1F60" w:rsidRDefault="00BE1F60" w:rsidP="00BE1F60">
      <w:pPr>
        <w:spacing w:line="480" w:lineRule="auto"/>
        <w:outlineLvl w:val="0"/>
        <w:rPr>
          <w:rFonts w:ascii="Arial" w:hAnsi="Arial" w:cs="Arial"/>
          <w:b/>
        </w:rPr>
      </w:pPr>
      <w:r>
        <w:rPr>
          <w:rFonts w:ascii="Arial" w:hAnsi="Arial" w:cs="Arial"/>
          <w:b/>
        </w:rPr>
        <w:lastRenderedPageBreak/>
        <w:t>Baseline Predictors</w:t>
      </w:r>
    </w:p>
    <w:p w14:paraId="2F6B669E" w14:textId="6C84833B" w:rsidR="00BE1F60" w:rsidRDefault="00BE1F60" w:rsidP="00BE1F60">
      <w:pPr>
        <w:spacing w:line="480" w:lineRule="auto"/>
        <w:rPr>
          <w:rFonts w:ascii="Arial" w:hAnsi="Arial" w:cs="Arial"/>
        </w:rPr>
      </w:pPr>
      <w:r>
        <w:rPr>
          <w:rFonts w:ascii="Arial" w:hAnsi="Arial" w:cs="Arial"/>
        </w:rPr>
        <w:t xml:space="preserve">The primary analysis set included baseline predictors, which were missing in no more than 10% of participants: age, race, body mass index (BMI), sex, presence of cavitation on chest radiograph and smear grade (Supplementary Table 2). </w:t>
      </w:r>
      <w:r w:rsidRPr="00AC62A7">
        <w:rPr>
          <w:rFonts w:ascii="Arial" w:hAnsi="Arial" w:cs="Arial"/>
        </w:rPr>
        <w:t xml:space="preserve">Weight was also considered for inclusion in the primary analysis but ultimately was not included due to its moderate correlation with body mass index (BMI, Spearman coefficient 0.74, Supplementary Figure </w:t>
      </w:r>
      <w:r>
        <w:rPr>
          <w:rFonts w:ascii="Arial" w:hAnsi="Arial" w:cs="Arial"/>
        </w:rPr>
        <w:t>3</w:t>
      </w:r>
      <w:r w:rsidRPr="00AC62A7">
        <w:rPr>
          <w:rFonts w:ascii="Arial" w:hAnsi="Arial" w:cs="Arial"/>
        </w:rPr>
        <w:t>)</w:t>
      </w:r>
      <w:r w:rsidRPr="00CA0C73">
        <w:rPr>
          <w:rFonts w:ascii="Arial" w:hAnsi="Arial" w:cs="Arial"/>
        </w:rPr>
        <w:t>.</w:t>
      </w:r>
      <w:r>
        <w:rPr>
          <w:rFonts w:ascii="Arial" w:hAnsi="Arial" w:cs="Arial"/>
        </w:rPr>
        <w:t xml:space="preserve"> No major covariate imputation was done,</w:t>
      </w:r>
      <w:r w:rsidRPr="009439D3">
        <w:rPr>
          <w:rFonts w:ascii="Arial" w:hAnsi="Arial" w:cs="Arial"/>
        </w:rPr>
        <w:t xml:space="preserve"> </w:t>
      </w:r>
      <w:r>
        <w:rPr>
          <w:rFonts w:ascii="Arial" w:hAnsi="Arial" w:cs="Arial"/>
        </w:rPr>
        <w:t>with two exceptions</w:t>
      </w:r>
      <w:r>
        <w:rPr>
          <w:rStyle w:val="CommentReference"/>
        </w:rPr>
        <w:t xml:space="preserve">, </w:t>
      </w:r>
      <w:r w:rsidRPr="00CA0C73">
        <w:rPr>
          <w:rFonts w:ascii="Arial" w:hAnsi="Arial" w:cs="Arial"/>
        </w:rPr>
        <w:t xml:space="preserve">: </w:t>
      </w:r>
      <w:r w:rsidRPr="00AC62A7">
        <w:rPr>
          <w:rFonts w:ascii="Arial" w:hAnsi="Arial" w:cs="Arial"/>
        </w:rPr>
        <w:t>(1) black race was assigned for all participants in the OFLOTUB trial, in which race information was not available, given that all OFLOTUB sites were in Africa and similar demographic characteristics were observed in other studies at their African sites (majority black);  (2) median height for females and males of available data was used for 291 participants with missing height to calculate BMI, defined as the weight in kilograms divided by the squared height in meters</w:t>
      </w:r>
      <w:r>
        <w:rPr>
          <w:rFonts w:ascii="Arial" w:hAnsi="Arial" w:cs="Arial"/>
        </w:rPr>
        <w:t xml:space="preserve"> (additional details available in Supplementary Table 2). </w:t>
      </w:r>
      <w:r w:rsidRPr="00CA0C73">
        <w:rPr>
          <w:rFonts w:ascii="Arial" w:hAnsi="Arial" w:cs="Arial"/>
        </w:rPr>
        <w:t>Smear grading  was specific</w:t>
      </w:r>
      <w:r w:rsidRPr="006675B2">
        <w:rPr>
          <w:rFonts w:ascii="Arial" w:hAnsi="Arial" w:cs="Arial"/>
        </w:rPr>
        <w:t xml:space="preserve"> for each microscopy method, each study, and, in the RIFAQUIN trial, each study center; described in study protocols and lab manuals</w:t>
      </w:r>
      <w:r>
        <w:rPr>
          <w:rFonts w:ascii="Arial" w:hAnsi="Arial" w:cs="Arial"/>
        </w:rPr>
        <w:t>.</w:t>
      </w:r>
      <w:r>
        <w:rPr>
          <w:rFonts w:ascii="Arial" w:hAnsi="Arial" w:cs="Arial"/>
        </w:rPr>
        <w:fldChar w:fldCharType="begin" w:fldLock="1"/>
      </w:r>
      <w:r>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"id" : "ITEM-2",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"ITEM-2", "issue" : "17", "issued" : { "date-parts" : [ [ "2014" ] ] }, "note" : "protocol", "page" : "1577-1587", "title" : "Four-Month Moxifloxacin-Based Regimens for Drug-Sensitive Tuberculosis", "type" : "article-journal", "volume" : "371" }, "uris" : [ "http://www.mendeley.com/documents/?uuid=17bfccc4-ae6c-4d94-8f68-f851bb5d6b42" ] }, { "id" : "ITEM-3",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"ITEM-3", "issue" : "17", "issued" : { "date-parts" : [ [ "2014" ] ] }, "note" : "supplementary", "page" : "1599-1608", "title" : "High-Dose Rifapentine with Moxifloxacin for Pulmonary Tuberculosis", "type" : "article-journal", "volume" : "371" }, "uris" : [ "http://www.mendeley.com/documents/?uuid=6e460265-06c7-4572-b217-3783f8a42ff5" ] }, { "id" : "ITEM-4",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"ITEM-4",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"&lt;sup&gt;1\u20133,9&lt;/sup&gt;", "plainTextFormattedCitation" : "1\u20133,9", "previouslyFormattedCitation" : "&lt;sup&gt;1\u20133,9&lt;/sup&gt;" }, "properties" : {  }, "schema" : "https://github.com/citation-style-language/schema/raw/master/csl-citation.json" }</w:instrText>
      </w:r>
      <w:r>
        <w:rPr>
          <w:rFonts w:ascii="Arial" w:hAnsi="Arial" w:cs="Arial"/>
        </w:rPr>
        <w:fldChar w:fldCharType="separate"/>
      </w:r>
      <w:r w:rsidRPr="0028371A">
        <w:rPr>
          <w:rFonts w:ascii="Arial" w:hAnsi="Arial" w:cs="Arial"/>
          <w:noProof/>
          <w:vertAlign w:val="superscript"/>
        </w:rPr>
        <w:t>1–3,9</w:t>
      </w:r>
      <w:r>
        <w:rPr>
          <w:rFonts w:ascii="Arial" w:hAnsi="Arial" w:cs="Arial"/>
        </w:rPr>
        <w:fldChar w:fldCharType="end"/>
      </w:r>
      <w:r>
        <w:rPr>
          <w:rFonts w:ascii="Arial" w:hAnsi="Arial" w:cs="Arial"/>
        </w:rPr>
        <w:t xml:space="preserve"> </w:t>
      </w:r>
      <w:r w:rsidRPr="00F8436B">
        <w:rPr>
          <w:rFonts w:ascii="Arial" w:hAnsi="Arial" w:cs="Arial"/>
        </w:rPr>
        <w:t xml:space="preserve">RIFAQUIN and OFLOTUB trials reported smear grade using a negative, 1+, 2+, and 3+ system, while </w:t>
      </w:r>
      <w:proofErr w:type="spellStart"/>
      <w:r w:rsidRPr="00F8436B">
        <w:rPr>
          <w:rFonts w:ascii="Arial" w:hAnsi="Arial" w:cs="Arial"/>
        </w:rPr>
        <w:t>REMoxTB</w:t>
      </w:r>
      <w:proofErr w:type="spellEnd"/>
      <w:r w:rsidRPr="00F8436B">
        <w:rPr>
          <w:rFonts w:ascii="Arial" w:hAnsi="Arial" w:cs="Arial"/>
        </w:rPr>
        <w:t xml:space="preserve"> and the validation study reported smear grade using a 1+, 2+, 3+ and 4+ system. A conversion chart available in the </w:t>
      </w:r>
      <w:proofErr w:type="spellStart"/>
      <w:r w:rsidRPr="00F8436B">
        <w:rPr>
          <w:rFonts w:ascii="Arial" w:hAnsi="Arial" w:cs="Arial"/>
        </w:rPr>
        <w:t>REMoxTB</w:t>
      </w:r>
      <w:proofErr w:type="spellEnd"/>
      <w:r w:rsidRPr="00F8436B">
        <w:rPr>
          <w:rFonts w:ascii="Arial" w:hAnsi="Arial" w:cs="Arial"/>
        </w:rPr>
        <w:t xml:space="preserve"> trial lab manual was used to </w:t>
      </w:r>
      <w:r>
        <w:rPr>
          <w:rFonts w:ascii="Arial" w:hAnsi="Arial" w:cs="Arial"/>
        </w:rPr>
        <w:t xml:space="preserve">synchronize </w:t>
      </w:r>
      <w:r w:rsidRPr="00F8436B">
        <w:rPr>
          <w:rFonts w:ascii="Arial" w:hAnsi="Arial" w:cs="Arial"/>
        </w:rPr>
        <w:t>all smear data to the same grading scale.</w:t>
      </w:r>
      <w:r>
        <w:rPr>
          <w:rFonts w:ascii="Arial" w:hAnsi="Arial" w:cs="Arial"/>
        </w:rPr>
        <w:fldChar w:fldCharType="begin" w:fldLock="1"/>
      </w:r>
      <w:r>
        <w:rPr>
          <w:rFonts w:ascii="Arial" w:hAnsi="Arial" w:cs="Arial"/>
        </w:rPr>
        <w:instrText>ADDIN CSL_CITATION { "citationItems" : [ { "id" : "ITEM-1",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"ITEM-1", "issue" : "17", "issued" : { "date-parts" : [ [ "2014" ] ] }, "note" : "protocol", "page" : "1577-1587", "title" : "Four-Month Moxifloxacin-Based Regimens for Drug-Sensitive Tuberculosis", "type" : "article-journal", "volume" : "371" }, "uris" : [ "http://www.mendeley.com/documents/?uuid=17bfccc4-ae6c-4d94-8f68-f851bb5d6b42" ] } ], "mendeley" : { "formattedCitation" : "&lt;sup&gt;2&lt;/sup&gt;", "plainTextFormattedCitation" : "2", "previouslyFormattedCitation" : "&lt;sup&gt;2&lt;/sup&gt;" }, "properties" : {  }, "schema" : "https://github.com/citation-style-language/schema/raw/master/csl-citation.json" }</w:instrText>
      </w:r>
      <w:r>
        <w:rPr>
          <w:rFonts w:ascii="Arial" w:hAnsi="Arial" w:cs="Arial"/>
        </w:rPr>
        <w:fldChar w:fldCharType="separate"/>
      </w:r>
      <w:r w:rsidRPr="00A23830">
        <w:rPr>
          <w:rFonts w:ascii="Arial" w:hAnsi="Arial" w:cs="Arial"/>
          <w:noProof/>
          <w:vertAlign w:val="superscript"/>
        </w:rPr>
        <w:t>2</w:t>
      </w:r>
      <w:r>
        <w:rPr>
          <w:rFonts w:ascii="Arial" w:hAnsi="Arial" w:cs="Arial"/>
        </w:rPr>
        <w:fldChar w:fldCharType="end"/>
      </w:r>
      <w:r w:rsidRPr="00F8436B">
        <w:rPr>
          <w:rFonts w:ascii="Arial" w:hAnsi="Arial" w:cs="Arial"/>
        </w:rPr>
        <w:t xml:space="preserve"> Additional patient characteristics (smoking, cough grade, other radiographic measures) were considered but not included in the primary analysis due to large proportions of missing data (&gt;10%, </w:t>
      </w:r>
      <w:r>
        <w:rPr>
          <w:rFonts w:ascii="Arial" w:hAnsi="Arial" w:cs="Arial"/>
        </w:rPr>
        <w:t>Supplementary Table 2</w:t>
      </w:r>
      <w:r w:rsidRPr="00F8436B">
        <w:rPr>
          <w:rFonts w:ascii="Arial" w:hAnsi="Arial" w:cs="Arial"/>
        </w:rPr>
        <w:t>).</w:t>
      </w:r>
    </w:p>
    <w:p w14:paraId="464C89A0" w14:textId="77777777" w:rsidR="00BE1F60" w:rsidRDefault="00BE1F60" w:rsidP="00BE1F60">
      <w:pPr>
        <w:spacing w:line="480" w:lineRule="auto"/>
        <w:outlineLvl w:val="0"/>
        <w:rPr>
          <w:rFonts w:ascii="Arial" w:hAnsi="Arial" w:cs="Arial"/>
          <w:b/>
        </w:rPr>
      </w:pPr>
    </w:p>
    <w:p w14:paraId="01488AE2" w14:textId="77777777" w:rsidR="00BE1F60" w:rsidRDefault="00BE1F60" w:rsidP="00BE1F60">
      <w:pPr>
        <w:spacing w:line="480" w:lineRule="auto"/>
        <w:outlineLvl w:val="0"/>
        <w:rPr>
          <w:rFonts w:ascii="Arial" w:hAnsi="Arial" w:cs="Arial"/>
          <w:b/>
        </w:rPr>
      </w:pPr>
      <w:r>
        <w:rPr>
          <w:rFonts w:ascii="Arial" w:hAnsi="Arial" w:cs="Arial"/>
          <w:b/>
        </w:rPr>
        <w:t>On-treatment predictors</w:t>
      </w:r>
    </w:p>
    <w:p w14:paraId="5704A5B7" w14:textId="32AB5E27" w:rsidR="00BE1F60" w:rsidRPr="00996D79" w:rsidRDefault="00BE1F60" w:rsidP="00BE1F60">
      <w:pPr>
        <w:spacing w:line="480" w:lineRule="auto"/>
        <w:rPr>
          <w:rFonts w:ascii="Arial" w:hAnsi="Arial" w:cs="Arial"/>
        </w:rPr>
      </w:pPr>
      <w:r>
        <w:rPr>
          <w:rFonts w:ascii="Arial" w:hAnsi="Arial" w:cs="Arial"/>
        </w:rPr>
        <w:t xml:space="preserve">On-treatment culture time-point universally applied in all trials was month-two culture status on Lowenstein-Jensen (LJ) solid medium or in liquid medium using the mycobacteria growth indicator tube (MGIT) system.  </w:t>
      </w:r>
      <w:r w:rsidRPr="00F8436B">
        <w:rPr>
          <w:rFonts w:ascii="Arial" w:hAnsi="Arial" w:cs="Arial"/>
        </w:rPr>
        <w:t>Culture positivity on either media was used for analyses</w:t>
      </w:r>
      <w:r>
        <w:rPr>
          <w:rFonts w:ascii="Arial" w:hAnsi="Arial" w:cs="Arial"/>
        </w:rPr>
        <w:t>,</w:t>
      </w:r>
      <w:r w:rsidRPr="00F8436B">
        <w:rPr>
          <w:rFonts w:ascii="Arial" w:hAnsi="Arial" w:cs="Arial"/>
        </w:rPr>
        <w:t xml:space="preserve"> with preference for solid culture if available. Univariate Cox proportional hazard analysis for merged MGIT and LJ culture data (as described above), MGIT data only, and LJ data only showed similar results in each treatment </w:t>
      </w:r>
      <w:r w:rsidRPr="00F8436B">
        <w:rPr>
          <w:rFonts w:ascii="Arial" w:hAnsi="Arial" w:cs="Arial"/>
        </w:rPr>
        <w:lastRenderedPageBreak/>
        <w:t>group (</w:t>
      </w:r>
      <w:r>
        <w:rPr>
          <w:rFonts w:ascii="Arial" w:hAnsi="Arial" w:cs="Arial"/>
        </w:rPr>
        <w:t>Supplemental Table 12</w:t>
      </w:r>
      <w:r w:rsidRPr="00F8436B">
        <w:rPr>
          <w:rFonts w:ascii="Arial" w:hAnsi="Arial" w:cs="Arial"/>
        </w:rPr>
        <w:t xml:space="preserve">). </w:t>
      </w:r>
      <w:r>
        <w:rPr>
          <w:rFonts w:ascii="Arial" w:hAnsi="Arial" w:cs="Arial"/>
        </w:rPr>
        <w:t xml:space="preserve">Treatment adherence was calculated as the number of days that doses were taken divided by the prescribed number of days. For participants with an unfavorable event during the treatment phase, the adherence calculation was adjusted for duration completed, </w:t>
      </w:r>
      <w:r w:rsidRPr="00F8436B">
        <w:rPr>
          <w:rFonts w:ascii="Arial" w:hAnsi="Arial" w:cs="Arial"/>
        </w:rPr>
        <w:t>e.g. full adherence was assigned for study participants who took all doses up to time of event, if the event appeared during treatment.</w:t>
      </w:r>
    </w:p>
    <w:p w14:paraId="68563E5D" w14:textId="77777777" w:rsidR="00BE1F60" w:rsidRDefault="00BE1F60" w:rsidP="00BE1F60">
      <w:pPr>
        <w:spacing w:line="480" w:lineRule="auto"/>
        <w:outlineLvl w:val="0"/>
        <w:rPr>
          <w:rFonts w:ascii="Arial" w:hAnsi="Arial" w:cs="Arial"/>
        </w:rPr>
      </w:pPr>
    </w:p>
    <w:p w14:paraId="4FA355C5" w14:textId="7347D169" w:rsidR="00BE1F60" w:rsidRDefault="00BE1F60" w:rsidP="00BE1F60">
      <w:pPr>
        <w:spacing w:line="480" w:lineRule="auto"/>
        <w:outlineLvl w:val="0"/>
        <w:rPr>
          <w:rFonts w:ascii="Arial" w:hAnsi="Arial" w:cs="Arial"/>
        </w:rPr>
      </w:pPr>
      <w:r w:rsidRPr="00AC62A7">
        <w:rPr>
          <w:rFonts w:ascii="Arial" w:hAnsi="Arial" w:cs="Arial"/>
        </w:rPr>
        <w:t xml:space="preserve">Individuals </w:t>
      </w:r>
      <w:r>
        <w:rPr>
          <w:rFonts w:ascii="Arial" w:hAnsi="Arial" w:cs="Arial"/>
        </w:rPr>
        <w:t xml:space="preserve">with </w:t>
      </w:r>
      <w:r w:rsidRPr="00AC62A7">
        <w:rPr>
          <w:rFonts w:ascii="Arial" w:hAnsi="Arial" w:cs="Arial"/>
        </w:rPr>
        <w:t xml:space="preserve">missing data </w:t>
      </w:r>
      <w:r>
        <w:rPr>
          <w:rFonts w:ascii="Arial" w:hAnsi="Arial" w:cs="Arial"/>
        </w:rPr>
        <w:t>between the predefined sets</w:t>
      </w:r>
      <w:r w:rsidRPr="00AC62A7">
        <w:rPr>
          <w:rFonts w:ascii="Arial" w:hAnsi="Arial" w:cs="Arial"/>
        </w:rPr>
        <w:t xml:space="preserve"> of predictors were excluded from the mult</w:t>
      </w:r>
      <w:r w:rsidRPr="00F8436B">
        <w:rPr>
          <w:rFonts w:ascii="Arial" w:hAnsi="Arial" w:cs="Arial"/>
        </w:rPr>
        <w:t>ivariate analysis (</w:t>
      </w:r>
      <w:r>
        <w:rPr>
          <w:rFonts w:ascii="Arial" w:hAnsi="Arial" w:cs="Arial"/>
        </w:rPr>
        <w:t>s</w:t>
      </w:r>
      <w:r w:rsidRPr="00AC62A7">
        <w:rPr>
          <w:rFonts w:ascii="Arial" w:hAnsi="Arial" w:cs="Arial"/>
        </w:rPr>
        <w:t>ummary on analysis populations available in</w:t>
      </w:r>
      <w:r>
        <w:rPr>
          <w:rFonts w:ascii="Arial" w:hAnsi="Arial" w:cs="Arial"/>
        </w:rPr>
        <w:t xml:space="preserve"> Supplemental</w:t>
      </w:r>
      <w:r w:rsidRPr="00F8436B">
        <w:rPr>
          <w:rFonts w:ascii="Arial" w:hAnsi="Arial" w:cs="Arial"/>
        </w:rPr>
        <w:t xml:space="preserve"> Table </w:t>
      </w:r>
      <w:r w:rsidRPr="00AC62A7">
        <w:rPr>
          <w:rFonts w:ascii="Arial" w:hAnsi="Arial" w:cs="Arial"/>
        </w:rPr>
        <w:t xml:space="preserve">3). </w:t>
      </w:r>
      <w:r>
        <w:rPr>
          <w:rFonts w:ascii="Arial" w:hAnsi="Arial" w:cs="Arial"/>
        </w:rPr>
        <w:t>There were no major correlations between predefined set of baseline and on-treatment predictors (Supplementary Figure 3)</w:t>
      </w:r>
    </w:p>
    <w:p w14:paraId="481E3431" w14:textId="77777777" w:rsidR="00BE1F60" w:rsidRDefault="00BE1F60" w:rsidP="00BE1F60">
      <w:pPr>
        <w:spacing w:line="480" w:lineRule="auto"/>
        <w:outlineLvl w:val="0"/>
        <w:rPr>
          <w:rFonts w:ascii="Arial" w:hAnsi="Arial" w:cs="Arial"/>
          <w:b/>
        </w:rPr>
      </w:pPr>
    </w:p>
    <w:p w14:paraId="49C51C88" w14:textId="77777777" w:rsidR="00BE1F60" w:rsidRDefault="00BE1F60" w:rsidP="00BE1F60">
      <w:pPr>
        <w:spacing w:line="480" w:lineRule="auto"/>
        <w:outlineLvl w:val="0"/>
        <w:rPr>
          <w:rFonts w:ascii="Arial" w:hAnsi="Arial" w:cs="Arial"/>
          <w:b/>
        </w:rPr>
      </w:pPr>
      <w:r>
        <w:rPr>
          <w:rFonts w:ascii="Arial" w:hAnsi="Arial" w:cs="Arial"/>
          <w:b/>
        </w:rPr>
        <w:t xml:space="preserve">Statistical analysis </w:t>
      </w:r>
    </w:p>
    <w:p w14:paraId="29E47A5B" w14:textId="2539A1C8" w:rsidR="00BE1F60" w:rsidRPr="00FD0033" w:rsidRDefault="00BE1F60" w:rsidP="00BE1F60">
      <w:pPr>
        <w:spacing w:line="480" w:lineRule="auto"/>
        <w:rPr>
          <w:rFonts w:ascii="Arial" w:hAnsi="Arial"/>
        </w:rPr>
      </w:pPr>
      <w:r>
        <w:rPr>
          <w:rFonts w:ascii="Arial" w:hAnsi="Arial" w:cs="Arial"/>
        </w:rPr>
        <w:t>All analyses were conducted using modified intent-to-treat (MITT) and per-protocol populations, with the former used for primary analysis (per-protocol results summarized in Supplementary Table 6). Definitions for analysis populations are provided in the clinical trial protocols.</w:t>
      </w:r>
      <w:r>
        <w:rPr>
          <w:rFonts w:ascii="Arial" w:hAnsi="Arial"/>
        </w:rPr>
        <w:fldChar w:fldCharType="begin" w:fldLock="1"/>
      </w:r>
      <w:r>
        <w:rPr>
          <w:rFonts w:ascii="Arial" w:hAnsi="Arial" w:cs="Arial"/>
        </w:rPr>
        <w:instrText>ADDIN CSL_CITATION { "citationItems" : [ { "id" : "ITEM-1",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"ITEM-1", "issue" : "17", "issued" : { "date-parts" : [ [ "2014" ] ] }, "note" : "protocol", "page" : "1577-1587", "title" : "Four-Month Moxifloxacin-Based Regimens for Drug-Sensitive Tuberculosis", "type" : "article-journal", "volume" : "371" }, "uris" : [ "http://www.mendeley.com/documents/?uuid=17bfccc4-ae6c-4d94-8f68-f851bb5d6b42" ] }, { "id" : "ITEM-2",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"ITEM-2", "issue" : "23", "issued" : { "date-parts" : [ [ "2014" ] ] }, "page" : "1588-1598", "title" : "A Four-Month Gatifloxacin-Containing Regimen for Treating Tuberculosis", "type" : "article-journal", "volume" : "371" }, "uris" : [ "http://www.mendeley.com/documents/?uuid=421f0d47-b349-3913-8b4a-d782d624da4e" ] }, { "id" : "ITEM-3",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"ITEM-3", "issue" : "17", "issued" : { "date-parts" : [ [ "2014" ] ] }, "note" : "supplementary", "page" : "1599-1608", "title" : "High-Dose Rifapentine with Moxifloxacin for Pulmonary Tuberculosis", "type" : "article-journal", "volume" : "371" }, "uris" : [ "http://www.mendeley.com/documents/?uuid=6e460265-06c7-4572-b217-3783f8a42ff5" ] }, { "id" : "ITEM-4", "itemData" : { "DOI" : "10.1164/rccm.200904-0536OC", "abstract" : "Rationale: Cavitary disease and delayed culture conversion have been associated with relapse. Combining patient characteristics and measures of bacteriologic response might allow treatment shortening with current drugs in some patients. Objectives: To assess whether treatment could be shortened from 6 to 4 months in patients with noncavitary tuberculosis whose sputum cultures converted to negative after 2 months. Methods: This study was a randomized, open-label equivalence trial. HIV-uninfected adults with noncavitary tuberculosis were treated daily with isoniazid, rifampin, pyrazinamide, and ethambutol for 2 months, followed by 2 months of isoniazid and rifampin. After 4 months, patients with drug-susceptible TB whose sputum cultures on solid media were negative after 8 weeks of treatment were randomly assigned to continue treatment for 2 more months or to stop treatment. Patients were followed for relapse for 30 months after beginning treatment. Measurements and Main Results: Enrollment was stopped by the safety monitoring committee after 394 patients were enrolled due to apparent increased risk for relapse in the 4-month arm. A total of 370 patients were eligible for per protocol analysis. Thirteen patients in the 4-month arm relapsed, compared with three subjects in the 6-month arm (7.0 vs. 1.6%; risk difference, 0.054; 95% confidence interval with Hauck-Anderson correction, 0.01\u20130.10). Conclusion: Shortening treatment from 6 to 4 months in adults with noncavitary disease and culture conversion after 2 months using current drugs resulted in a greater relapse rate. The combination of noncavitary disease and 2-month culture conversion was insufficient to identify patients with decreased risk for relapse.", "author" : [ { "dropping-particle" : "", "family" : "Johnson", "given" : "John L", "non-dropping-particle" : "", "parse-names" : false, "suffix" : "" }, { "dropping-particle" : "", "family" : "Hadad", "given" : "David Jamil", "non-dropping-particle" : "", "parse-names" : false, "suffix" : "" }, { "dropping-particle" : "", "family" : "Dietze", "given" : "Reynaldo", "non-dropping-particle" : "", "parse-names" : false, "suffix" : "" }, { "dropping-particle" : "", "family" : "Leonor", "given" : "Ethel", "non-dropping-particle" : "", "parse-names" : false, "suffix" : "" }, { "dropping-particle" : "", "family" : "Maciel", "given" : "Noia", "non-dropping-particle" : "", "parse-names" : false, "suffix" : "" }, { "dropping-particle" : "", "family" : "Sewali", "given" : "Barrett", "non-dropping-particle" : "", "parse-names" : false, "suffix" : "" }, { "dropping-particle" : "", "family" : "Gitta", "given" : "Phineas", "non-dropping-particle" : "", "parse-names" : false, "suffix" : "" }, { "dropping-particle" : "", "family" : "Okwera", "given" : "Alphonse", "non-dropping-particle" : "", "parse-names" : false, "suffix" : "" }, { "dropping-particle" : "", "family" : "Mugerwa", "given" : "Roy D", "non-dropping-particle" : "", "parse-names" : false, "suffix" : "" }, { "dropping-particle" : "", "family" : "Alcaneses", "given" : "Mary Rose", "non-dropping-particle" : "", "parse-names" : false, "suffix" : "" }, { "dropping-particle" : "", "family" : "Quelapio", "given" : "Maria Imelda", "non-dropping-particle" : "", "parse-names" : false, "suffix" : "" }, { "dropping-particle" : "", "family" : "Tupasi", "given" : "Thelma E", "non-dropping-particle" : "", "parse-names" : false, "suffix" : "" }, { "dropping-particle" : "", "family" : "Horter", "given" : "Libby", "non-dropping-particle" : "", "parse-names" : false, "suffix" : "" }, { "dropping-particle" : "", "family" : "Debanne", "given" : "Sara M", "non-dropping-particle" : "", "parse-names" : false, "suffix" : "" }, { "dropping-particle" : "", "family" : "Eisenach", "given" : "Kathleen D", "non-dropping-particle" : "", "parse-names" : false, "suffix" : "" }, { "dropping-particle" : "", "family" : "Boom", "given" : "W Henry", "non-dropping-particle" : "", "parse-names" : false, "suffix" : "" } ], "container-title" : "Am J Respir Crit Care Med", "id" : "ITEM-4", "issued" : { "date-parts" : [ [ "2009" ] ] }, "page" : "558-563", "title" : "Shortening Treatment in Adults with Noncavitary Tuberculosis and 2-Month Culture Conversion", "type" : "article-journal", "volume" : "180" }, "uris" : [ "http://www.mendeley.com/documents/?uuid=a80d47e8-5b7a-39a2-8138-c0b26566538a" ] } ], "mendeley" : { "formattedCitation" : "&lt;sup&gt;1\u20133,9&lt;/sup&gt;", "plainTextFormattedCitation" : "1\u20133,9", "previouslyFormattedCitation" : "&lt;sup&gt;1\u20133,9&lt;/sup&gt;" }, "properties" : {  }, "schema" : "https://github.com/citation-style-language/schema/raw/master/csl-citation.json" }</w:instrText>
      </w:r>
      <w:r>
        <w:rPr>
          <w:rFonts w:ascii="Arial" w:hAnsi="Arial" w:cs="Arial"/>
        </w:rPr>
        <w:fldChar w:fldCharType="separate"/>
      </w:r>
      <w:r w:rsidRPr="00B56E3B">
        <w:rPr>
          <w:rFonts w:ascii="Arial" w:hAnsi="Arial" w:cs="Arial"/>
          <w:noProof/>
          <w:vertAlign w:val="superscript"/>
        </w:rPr>
        <w:t>1–3,9</w:t>
      </w:r>
      <w:r>
        <w:rPr>
          <w:rFonts w:ascii="Arial" w:hAnsi="Arial" w:cs="Arial"/>
        </w:rPr>
        <w:fldChar w:fldCharType="end"/>
      </w:r>
      <w:r>
        <w:rPr>
          <w:rFonts w:ascii="Arial" w:hAnsi="Arial" w:cs="Arial"/>
        </w:rPr>
        <w:t xml:space="preserve"> </w:t>
      </w:r>
    </w:p>
    <w:p w14:paraId="3D36AC95" w14:textId="77777777" w:rsidR="00BE1F60" w:rsidRDefault="00BE1F60" w:rsidP="00BE1F60">
      <w:pPr>
        <w:spacing w:line="480" w:lineRule="auto"/>
        <w:rPr>
          <w:rFonts w:ascii="Arial" w:hAnsi="Arial" w:cs="Arial"/>
        </w:rPr>
      </w:pPr>
    </w:p>
    <w:p w14:paraId="6E3D5B89" w14:textId="53C6456C" w:rsidR="00BE1F60" w:rsidRDefault="00BE1F60" w:rsidP="00BE1F60">
      <w:pPr>
        <w:spacing w:line="480" w:lineRule="auto"/>
        <w:rPr>
          <w:rFonts w:ascii="Arial" w:hAnsi="Arial" w:cs="Arial"/>
        </w:rPr>
      </w:pPr>
      <w:r>
        <w:rPr>
          <w:rFonts w:ascii="Arial" w:hAnsi="Arial" w:cs="Arial"/>
        </w:rPr>
        <w:t>To identify risk factors of time to unfavorable outcomes, we performed multivariate Cox proportional hazards analysis.</w:t>
      </w:r>
      <w:r w:rsidRPr="00CA5E5F">
        <w:rPr>
          <w:rFonts w:ascii="Arial" w:hAnsi="Arial" w:cs="Arial"/>
        </w:rPr>
        <w:t xml:space="preserve"> </w:t>
      </w:r>
      <w:r>
        <w:rPr>
          <w:rFonts w:ascii="Arial" w:hAnsi="Arial" w:cs="Arial"/>
        </w:rPr>
        <w:t xml:space="preserve">Hazard ratios with 95% Wald confidence intervals were reported. Analyses were conducted separately for the experimental and control regimens as the hard-to-treat phenotypes </w:t>
      </w:r>
      <w:r w:rsidRPr="006E573D">
        <w:rPr>
          <w:rFonts w:ascii="Arial" w:hAnsi="Arial" w:cs="Arial"/>
        </w:rPr>
        <w:t>may</w:t>
      </w:r>
      <w:r>
        <w:rPr>
          <w:rFonts w:ascii="Arial" w:hAnsi="Arial" w:cs="Arial"/>
        </w:rPr>
        <w:t xml:space="preserve"> </w:t>
      </w:r>
      <w:r w:rsidRPr="006E573D">
        <w:rPr>
          <w:rFonts w:ascii="Arial" w:hAnsi="Arial" w:cs="Arial"/>
        </w:rPr>
        <w:t>be</w:t>
      </w:r>
      <w:r>
        <w:rPr>
          <w:rFonts w:ascii="Arial" w:hAnsi="Arial" w:cs="Arial"/>
        </w:rPr>
        <w:t xml:space="preserve"> different for different treatment durations.</w:t>
      </w:r>
      <w:r>
        <w:rPr>
          <w:rFonts w:ascii="Arial" w:hAnsi="Arial"/>
        </w:rPr>
        <w:t xml:space="preserve">  All multivariate analyses were adjusted for study country.  </w:t>
      </w:r>
      <w:r>
        <w:rPr>
          <w:rFonts w:ascii="Arial" w:hAnsi="Arial" w:cs="Arial"/>
        </w:rPr>
        <w:t xml:space="preserve">The proportional hazard assumption was tested using Schoenfeld residuals, with a p &lt;0.05 for non-proportionality. </w:t>
      </w:r>
      <w:r w:rsidRPr="00812DDE">
        <w:rPr>
          <w:rFonts w:ascii="Arial" w:hAnsi="Arial" w:cs="Arial"/>
        </w:rPr>
        <w:t xml:space="preserve">Model selection for multivariate </w:t>
      </w:r>
      <w:r>
        <w:rPr>
          <w:rFonts w:ascii="Arial" w:hAnsi="Arial" w:cs="Arial"/>
        </w:rPr>
        <w:t xml:space="preserve">Cox </w:t>
      </w:r>
      <w:r w:rsidRPr="00812DDE">
        <w:rPr>
          <w:rFonts w:ascii="Arial" w:hAnsi="Arial" w:cs="Arial"/>
        </w:rPr>
        <w:t xml:space="preserve">analysis started with a full model (included all </w:t>
      </w:r>
      <w:r>
        <w:rPr>
          <w:rFonts w:ascii="Arial" w:hAnsi="Arial" w:cs="Arial"/>
        </w:rPr>
        <w:t>predefined</w:t>
      </w:r>
      <w:r w:rsidRPr="00812DDE">
        <w:rPr>
          <w:rFonts w:ascii="Arial" w:hAnsi="Arial" w:cs="Arial"/>
        </w:rPr>
        <w:t xml:space="preserve"> predictors) that was followed by a backward stepwise approach (p &gt; 0.05 to remove) then a forward stepwise approach to test predictors that were removed in the backward step (p &lt; 0.01 to include). Predictors were included </w:t>
      </w:r>
      <w:r>
        <w:rPr>
          <w:rFonts w:ascii="Arial" w:hAnsi="Arial" w:cs="Arial"/>
        </w:rPr>
        <w:t>using</w:t>
      </w:r>
      <w:r w:rsidRPr="00812DDE">
        <w:rPr>
          <w:rFonts w:ascii="Arial" w:hAnsi="Arial" w:cs="Arial"/>
        </w:rPr>
        <w:t xml:space="preserve"> linear relationships</w:t>
      </w:r>
      <w:r>
        <w:rPr>
          <w:rFonts w:ascii="Arial" w:hAnsi="Arial" w:cs="Arial"/>
        </w:rPr>
        <w:t xml:space="preserve">. Non-inferiority analyses were performed in study participant subgroups, according to identified risk factors in the multivariate </w:t>
      </w:r>
      <w:r>
        <w:rPr>
          <w:rFonts w:ascii="Arial" w:hAnsi="Arial" w:cs="Arial"/>
        </w:rPr>
        <w:lastRenderedPageBreak/>
        <w:t>Cox analysis. The</w:t>
      </w:r>
      <w:r w:rsidRPr="003B146D">
        <w:rPr>
          <w:rFonts w:ascii="Arial" w:hAnsi="Arial" w:cs="Arial"/>
        </w:rPr>
        <w:t xml:space="preserve"> test for interaction for each subgroup</w:t>
      </w:r>
      <w:r>
        <w:rPr>
          <w:rFonts w:ascii="Arial" w:hAnsi="Arial" w:cs="Arial"/>
        </w:rPr>
        <w:t xml:space="preserve"> was performed prior to non-inferiority sub-group tests.</w:t>
      </w:r>
      <w:r>
        <w:rPr>
          <w:rFonts w:ascii="Arial" w:hAnsi="Arial" w:cs="Arial"/>
        </w:rPr>
        <w:fldChar w:fldCharType="begin" w:fldLock="1"/>
      </w:r>
      <w:r>
        <w:rPr>
          <w:rFonts w:ascii="Arial" w:hAnsi="Arial" w:cs="Arial"/>
        </w:rPr>
        <w:instrText>ADDIN CSL_CITATION { "citationItems" : [ { "id" : "ITEM-1", "itemData" : { "DOI" : "10.1056/NEJMSR077003", "abstract" : "The analysis of subgroups is often used as a way to glean additional information from data sets. The strengths and weaknesses of this approach and new Journal policies concerning the reporting of subgroup analyses are discussed in this article.", "author" : [ { "dropping-particle" : "", "family" : "Wang", "given" : "Rui", "non-dropping-particle" : "", "parse-names" : false, "suffix" : "" }, { "dropping-particle" : "", "family" : "Lagakos", "given" : "Stephen W.", "non-dropping-particle" : "", "parse-names" : false, "suffix" : "" }, { "dropping-particle" : "", "family" : "Ware", "given" : "James H.", "non-dropping-particle" : "", "parse-names" : false, "suffix" : "" }, { "dropping-particle" : "", "family" : "Hunter", "given" : "David J.", "non-dropping-particle" : "", "parse-names" : false, "suffix" : "" }, { "dropping-particle" : "", "family" : "Drazen", "given" : "Jeffrey M.", "non-dropping-particle" : "", "parse-names" : false, "suffix" : "" } ], "container-title" : "N. Engl. J. Med", "id" : "ITEM-1", "issued" : { "date-parts" : [ [ "2007", "10", "9" ] ] }, "page" : "2189-2194", "publisher" : "Massachusetts Medical Society", "title" : "Statistics in Medicine \u2014 Reporting of Subgroup Analyses in Clinical Trials", "type" : "article-journal", "volume" : "357" }, "uris" : [ "http://www.mendeley.com/documents/?uuid=59027ac7-f956-3ef9-b37c-a6e6814c82ab" ] } ], "mendeley" : { "formattedCitation" : "&lt;sup&gt;21&lt;/sup&gt;", "plainTextFormattedCitation" : "21", "previouslyFormattedCitation" : "&lt;sup&gt;21&lt;/sup&gt;" }, "properties" : {  }, "schema" : "https://github.com/citation-style-language/schema/raw/master/csl-citation.json" }</w:instrText>
      </w:r>
      <w:r>
        <w:rPr>
          <w:rFonts w:ascii="Arial" w:hAnsi="Arial" w:cs="Arial"/>
        </w:rPr>
        <w:fldChar w:fldCharType="separate"/>
      </w:r>
      <w:r w:rsidRPr="00282D2D">
        <w:rPr>
          <w:rFonts w:ascii="Arial" w:hAnsi="Arial" w:cs="Arial"/>
          <w:noProof/>
          <w:vertAlign w:val="superscript"/>
        </w:rPr>
        <w:t>21</w:t>
      </w:r>
      <w:r>
        <w:rPr>
          <w:rFonts w:ascii="Arial" w:hAnsi="Arial" w:cs="Arial"/>
        </w:rPr>
        <w:fldChar w:fldCharType="end"/>
      </w:r>
      <w:r>
        <w:rPr>
          <w:rFonts w:ascii="Arial" w:hAnsi="Arial" w:cs="Arial"/>
        </w:rPr>
        <w:t xml:space="preserve"> The absolute difference in proportion of unfavorable outcomes was calculated using inverse probability study weighted Kaplan-Meier estimates</w:t>
      </w:r>
      <w:r>
        <w:rPr>
          <w:rFonts w:ascii="Arial" w:hAnsi="Arial" w:cs="Arial"/>
        </w:rPr>
        <w:fldChar w:fldCharType="begin" w:fldLock="1"/>
      </w:r>
      <w:r>
        <w:rPr>
          <w:rFonts w:ascii="Arial" w:hAnsi="Arial" w:cs="Arial"/>
        </w:rPr>
        <w:instrText>ADDIN CSL_CITATION { "citationItems" : [ { "id" : "ITEM-1", "itemData" : { "DOI" : "10.1002/sim.2174", "ISSN" : "02776715", "author" : [ { "dropping-particle" : "", "family" : "Xie", "given" : "Jun", "non-dropping-particle" : "", "parse-names" : false, "suffix" : "" }, { "dropping-particle" : "", "family" : "Liu", "given" : "Chaofeng", "non-dropping-particle" : "", "parse-names" : false, "suffix" : "" } ], "container-title" : "Statistics in Medicine", "id" : "ITEM-1", "issue" : "20", "issued" : { "date-parts" : [ [ "2005", "10", "30" ] ] }, "page" : "3089-3110", "publisher" : "Wiley-Blackwell", "title" : "Adjusted Kaplan\u2013Meier estimator and log-rank test with inverse probability of treatment weighting for survival data", "type" : "article-journal", "volume" : "24" }, "uris" : [ "http://www.mendeley.com/documents/?uuid=225c4102-e1e6-32ad-b10b-a980222651ed" ] } ], "mendeley" : { "formattedCitation" : "&lt;sup&gt;22&lt;/sup&gt;", "plainTextFormattedCitation" : "22", "previouslyFormattedCitation" : "&lt;sup&gt;22&lt;/sup&gt;" }, "properties" : {  }, "schema" : "https://github.com/citation-style-language/schema/raw/master/csl-citation.json" }</w:instrText>
      </w:r>
      <w:r>
        <w:rPr>
          <w:rFonts w:ascii="Arial" w:hAnsi="Arial" w:cs="Arial"/>
        </w:rPr>
        <w:fldChar w:fldCharType="separate"/>
      </w:r>
      <w:r w:rsidRPr="00282D2D">
        <w:rPr>
          <w:rFonts w:ascii="Arial" w:hAnsi="Arial" w:cs="Arial"/>
          <w:noProof/>
          <w:vertAlign w:val="superscript"/>
        </w:rPr>
        <w:t>22</w:t>
      </w:r>
      <w:r>
        <w:rPr>
          <w:rFonts w:ascii="Arial" w:hAnsi="Arial" w:cs="Arial"/>
        </w:rPr>
        <w:fldChar w:fldCharType="end"/>
      </w:r>
      <w:r>
        <w:rPr>
          <w:rFonts w:ascii="Arial" w:hAnsi="Arial" w:cs="Arial"/>
        </w:rPr>
        <w:t xml:space="preserve"> at 24 months after start of treatment to include maximal patient-years of follow up and retain maximal data. Non-inferiority was assessed using the upper bound of the two-sided 90% confidence interval, determined by bootstrapping 500 samples, and a non-inferiority margin of 6 percentage points, which was used in all the parent trials.</w:t>
      </w:r>
      <w:r>
        <w:rPr>
          <w:rFonts w:ascii="Arial" w:hAnsi="Arial" w:cs="Arial"/>
        </w:rPr>
        <w:fldChar w:fldCharType="begin" w:fldLock="1"/>
      </w:r>
      <w:r>
        <w:rPr>
          <w:rFonts w:ascii="Arial" w:hAnsi="Arial" w:cs="Arial"/>
        </w:rPr>
        <w:instrText>ADDIN CSL_CITATION { "citationItems" : [ { "id" : "ITEM-1", "itemData" : { "DOI" : "10.1056/NEJMoa1315817", "author" : [ { "dropping-particle" : "", "family" : "Merle", "given" : "Corinne S", "non-dropping-particle" : "", "parse-names" : false, "suffix" : "" }, { "dropping-particle" : "", "family" : "Fielding", "given" : "Katherine", "non-dropping-particle" : "", "parse-names" : false, "suffix" : "" }, { "dropping-particle" : "", "family" : "Sow", "given" : "Omou Bah", "non-dropping-particle" : "", "parse-names" : false, "suffix" : "" }, { "dropping-particle" : "", "family" : "Gninafon", "given" : "Martin", "non-dropping-particle" : "", "parse-names" : false, "suffix" : "" }, { "dropping-particle" : "", "family" : "Lo", "given" : "Mame B", "non-dropping-particle" : "", "parse-names" : false, "suffix" : "" }, { "dropping-particle" : "", "family" : "Mthiyane", "given" : "Thuli", "non-dropping-particle" : "", "parse-names" : false, "suffix" : "" }, { "dropping-particle" : "", "family" : "Odhiambo", "given" : "Joseph", "non-dropping-particle" : "", "parse-names" : false, "suffix" : "" }, { "dropping-particle" : "", "family" : "Amukoye", "given" : "Evans", "non-dropping-particle" : "", "parse-names" : false, "suffix" : "" }, { "dropping-particle" : "", "family" : "Bah", "given" : "Boubacar", "non-dropping-particle" : "", "parse-names" : false, "suffix" : "" }, { "dropping-particle" : "", "family" : "Kassa", "given" : "Ferdinand", "non-dropping-particle" : "", "parse-names" : false, "suffix" : "" }, { "dropping-particle" : "", "family" : "Diaye", "given" : "Alimatou N '", "non-dropping-particle" : "", "parse-names" : false, "suffix" : "" }, { "dropping-particle" : "", "family" : "Rustomjee", "given" : "Roxana", "non-dropping-particle" : "", "parse-names" : false, "suffix" : "" }, { "dropping-particle" : "", "family" : "Jong", "given" : "Bouke C", "non-dropping-particle" : "De", "parse-names" : false, "suffix" : "" }, { "dropping-particle" : "", "family" : "Horton", "given" : "John", "non-dropping-particle" : "", "parse-names" : false, "suffix" : "" }, { "dropping-particle" : "", "family" : "Perronne", "given" : "Christian", "non-dropping-particle" : "", "parse-names" : false, "suffix" : "" }, { "dropping-particle" : "", "family" : "Sismanidis", "given" : "Charalambos", "non-dropping-particle" : "", "parse-names" : false, "suffix" : "" }, { "dropping-particle" : "", "family" : "Lapujade", "given" : "Olivier", "non-dropping-particle" : "", "parse-names" : false, "suffix" : "" }, { "dropping-particle" : "", "family" : "Olliaro", "given" : "Piero L", "non-dropping-particle" : "", "parse-names" : false, "suffix" : "" }, { "dropping-particle" : "", "family" : "Lienhardt", "given" : "Christian", "non-dropping-particle" : "", "parse-names" : false, "suffix" : "" } ], "container-title" : "N. Engl. J. Med", "id" : "ITEM-1", "issue" : "23", "issued" : { "date-parts" : [ [ "2014" ] ] }, "page" : "1588-1598", "title" : "A Four-Month Gatifloxacin-Containing Regimen for Treating Tuberculosis", "type" : "article-journal", "volume" : "371" }, "uris" : [ "http://www.mendeley.com/documents/?uuid=421f0d47-b349-3913-8b4a-d782d624da4e" ] }, { "id" : "ITEM-2", "itemData" : { "DOI" : "10.1056/NEJMoa1407426", "ISSN" : "0028-4793", "PMID" : "25196020", "author" : [ { "dropping-particle" : "", "family" : "Gillespie", "given" : "Stephen H.", "non-dropping-particle" : "", "parse-names" : false, "suffix" : "" }, { "dropping-particle" : "", "family" : "Crook", "given" : "Angela M.", "non-dropping-particle" : "", "parse-names" : false, "suffix" : "" }, { "dropping-particle" : "", "family" : "McHugh", "given" : "Timothy D.", "non-dropping-particle" : "", "parse-names" : false, "suffix" : "" }, { "dropping-particle" : "", "family" : "Mendel", "given" : "Carl M.", "non-dropping-particle" : "", "parse-names" : false, "suffix" : "" }, { "dropping-particle" : "", "family" : "Meredith", "given" : "Sarah K.", "non-dropping-particle" : "", "parse-names" : false, "suffix" : "" }, { "dropping-particle" : "", "family" : "Murray", "given" : "Stephen R.", "non-dropping-particle" : "", "parse-names" : false, "suffix" : "" }, { "dropping-particle" : "", "family" : "Pappas", "given" : "Frances", "non-dropping-particle" : "", "parse-names" : false, "suffix" : "" }, { "dropping-particle" : "", "family" : "Phillips", "given" : "Patrick P.J.", "non-dropping-particle" : "", "parse-names" : false, "suffix" : "" }, { "dropping-particle" : "", "family" : "Nunn", "given" : "Andrew J.", "non-dropping-particle" : "", "parse-names" : false, "suffix" : "" } ], "container-title" : "New England Journal of Medicine", "id" : "ITEM-2", "issue" : "17", "issued" : { "date-parts" : [ [ "2014" ] ] }, "note" : "protocol", "page" : "1577-1587", "title" : "Four-Month Moxifloxacin-Based Regimens for Drug-Sensitive Tuberculosis", "type" : "article-journal", "volume" : "371" }, "uris" : [ "http://www.mendeley.com/documents/?uuid=17bfccc4-ae6c-4d94-8f68-f851bb5d6b42" ] }, { "id" : "ITEM-3", "itemData" : { "DOI" : "10.1056/NEJMoa1314210", "ISBN" : "1533-4406", "ISSN" : "0028-4793", "PMID" : "25337749", "abstract" : "\u80cc\u666f\u7d50\u6838\u6cbb\u7642\u306b\u73fe\u5728\u7528\u3044\u3089\u308c\u3066\u3044\u308b\u30ec\u30b8\u30e1\u30f3\u306f 6 \u30f5\u6708\u9593\u306e\u9023\u65e5\u6295\u4e0e\u3067\u3042\u308b\u304c\uff0c\u305d\u308c\u3088\u308a\u3082\u77ed\u304f\uff0c\u7c21\u7565\u5316\u3055\u308c\u305f\u30ec\u30b8\u30e1\u30f3\u304c\u5fc5\u8981\u3068\u3055\u308c\u3066\u3044\u308b\uff0e \u65b9 \u6cd5 \u65b0\u305f\u306b\u8a3a\u65ad\u3055\u308c\u305f\u5580\u75f0\u5857\u62b9\u967d\u6027\u306e\u85ac\u5264\u611f\u53d7\u6027\u7d50\u6838\u60a3\u8005\u3092\u6b21\u306e 3 \u3064\u306e\u30ec\u30b8\u30e1\u30f3\u306e\u3044\u305a\u308c\u304b\u306b\u5272\u308a\u4ed8\u3051\u305f\uff1a\u30a8\u30bf\u30f3\u30d6\u30c8\u30fc\u30eb\uff0c\u30a4\u30bd\u30cb\u30a2\u30b8\u30c9\uff0c\u30ea\u30d5\u30a1\u30f3\u30d4\u30b7\u30f3\uff0c\u30d4\u30e9\u30b8\u30ca\u30df\u30c9\u3092 2 \u30f5\u6708\u9593\u9023\u65e5\u6295\u4e0e\u3057\u305f\u5f8c\uff0c\u30a4\u30bd\u30cb\u30a2\u30b8\u30c9\u3068\u30ea\u30d5\u30a1\u30f3\u30d4\u30b7\u30f3\u3092 4 \u30f5\u6708\u9593\u9023\u65e5\u6295\u4e0e\u3059\u308b\u5bfe\u7167\u30ec\u30b8\u30e1\u30f3\uff1b\u5bfe\u7167\u30ec\u30b8\u30e1\u30f3\u306e\u30a4\u30bd\u30cb\u30a2\u30b8\u30c9\u3092\u30e2\u30ad\u30b7\u30d5\u30ed\u30ad\u30b5\u30b7\u30f3\u306b\u66ff\u3048\u3066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\u30f5\u6708\u9593\u9023\u65e5\u6295\u4e0e\u3057\u305f\u5f8c\uff0c\u30e2\u30ad\u30b7\u30d5\u30ed\u30ad\u30b5\u30b7\u30f3\u3068\u30ea\u30d5\u30a1\u30da\u30f3\u30c1\u30f3\uff08rifapentine\uff09900 mg \u3092\u9031 2 \u56de\uff0c2 \u30f5\u6708\u9593\u6295\u4e0e\u3059\u308b 4 \u30f5\u6708\u30ec\u30b8\u30e1\u30f3\uff1b\u5bfe\u7167\u30ec\u30b8\u30e1\u30f3\u306e\u30a4\u30bd\u30cb\u30a2\u30b8\u30c9\u3092\u30e2\u30ad\u30b7\u30d5\u30ed\u30ad\u30b5\u30b7\u30f3\u306b\u66ff\u3048\u3066 2 \u30f5\u6708\u9593\u9023\u65e5\u6295\u4e0e\u3057\u305f\u5f8c\uff0c\u30e2\u30ad\u30b7\u30d5\u30ed\u30ad\u30b5\u30b7\u30f3\u3068\u30ea\u30d5\u30a1\u30da\u30f3\u30c1\u30f3 1,200 mg \u3092\u9031 1 \u56de\uff0c4 \u30f5\u6708\u9593\u6295\u4e0e\u3059\u308b 6 \u30f5\u6708\u30ec\u30b8\u30e1\u30f3\uff0e\u5b9a\u671f\u7684\u306b\u5580\u75f0\u691c\u4f53\u3092\u9855\u5fae\u93e1\u691c\u67fb\u3068\u57f9\u990a\u306b\u3088\u308a\u8a55\u4fa1\u3057\u305f\uff0e\u4e3b\u8981\u8a55\u4fa1\u9805\u76ee\u306f\u6cbb\u7642\u5931\u6557\u3068\u518d\u767a\u306e\u8907\u5408\u3068\u3057\uff0c\u975e\u52a3\u6027\u30de\u30fc\u30b8\u30f3 6 \u30d1\u30fc\u30bb\u30f3\u30c8\u30dd\u30a4\u30f3\u30c8\uff0c90%\u4fe1\u983c\u533a\u9593\u3067\u975e\u52a3\u6027\u3092\u691c\u8a3c\u3057\u305f\uff0e \u7d50 \u679c \u5357\u30a2\u30d5\u30ea\u30ab\uff0c\u30b8\u30f3\u30d0\u30d6\u30a8\uff0c\u30dc\u30c4\u30ef\u30ca\uff0c\u30b6\u30f3\u30d3\u30a2\u304b\u3089 827 \u4f8b\u3092\u767b\u9332\u3057\u305f\uff0e\u60a3\u8005\u306e 28%\u306f\u30d2\u30c8\u514d\u75ab\u4e0d\u5168\u30a6\u30a4\u30eb\u30b9\uff08HIV\uff09\u3068\u306e\u91cd\u8907\u611f\u67d3\u3067\u3042\u3063\u305f\uff0eper-protocol \u89e3\u6790\u306b\u304a\u3044\u3066\uff0c\u6cbb\u7642\u52b9\u679c\u304c\u4e0d\u826f\u3067\u3042\u3063\u305f\u60a3\u8005\u306e\u5272\u5408\u306f\uff0c\u5bfe\u7167\u7fa4\u304c 4.9%\uff0c6 \u30f5\u6708\u7fa4\u304c 3.2%\uff08\u88dc\u6b63\u5f8c\u306e\u5bfe\u7167\u7fa4\u3068\u306e\u5dee \uff0d1.8 \u30d1\u30fc\u30bb\u30f3\u30c8\u30dd\u30a4\u30f3\u30c8\uff0c90%\u4fe1\u983c\u533a\u9593 [CI]\uff0d6.1\uff5e2.4\uff09\uff0c4 \u30f5\u6708\u7fa4\u304c 18.2%\uff08\u88dc\u6b63\u5f8c\u306e\u5bfe\u7167\u7fa4\u3068\u306e\u5dee 13.6 \u30d1\u30fc\u30bb\u30f3\u30c8\u30dd\u30a4\u30f3\u30c8\uff0c90% CI 8.1\uff5e19.1\uff09\u3067\u3042\u3063\u305f\uff0e\u4fee\u6b63 intention-to-treat \u89e3\u6790\u306b\u304a\u3044\u3066\uff0c\u6cbb\u7642\u52b9\u679c\u304c\u4e0d\u826f\u3067\u3042\u3063\u305f\u60a3\u8005\u306e\u5272\u5408\u306f\uff0c\u5bfe\u7167\u7fa4\u304c 14.4%\uff0c6 \u30f5\u6708\u7fa4\u304c 13.7%\uff08\u88dc\u6b63\u5f8c\u306e\u5bfe\u7167\u7fa4\u3068\u306e\u5dee 0.4 \u30d1\u30fc\u30bb\u30f3\u30c8\u30dd\u30a4\u30f3\u30c8\uff0c90% CI \uff0d4.7\uff5e5.6\uff09\uff0c4 \u30f5\u6708\u7fa4\u304c 26.9%\uff08\u88dc\u6b63\u5f8c\u306e\u5bfe\u7167\u7fa4\u3068\u306e\u5dee 13.1 \u30d1\u30fc\u30bb\u30f3\u30c8\u30dd\u30a4\u30f3\u30c8\uff0c90% CI 6.8\uff5e19.4\uff09\u3067\u3042\u3063\u305f\uff0e \u7d50 \u8ad6 \u9ad8\u7528\u91cf\u30ea\u30d5\u30a1\u30da\u30f3\u30c1\u30f3\u3068\u30e2\u30ad\u30b7\u30d5\u30ed\u30ad\u30b5\u30b7\u30f3\u306e\u9031 1 \u56de\u6295\u4e0e\u3092\u542b\u3080 6 \u30f5\u6708\u30ec\u30b8\u30e1\u30f3\u306b\uff0c\u5bfe\u7167\u30ec\u30b8\u30e1\u30f3\u3068\u540c\u7a0b\u5ea6\u306e\u6709\u52b9\u6027\u304c\u8a8d\u3081\u3089\u308c\u305f\uff0e4 \u30f5\u6708\u30ec\u30b8\u30e1\u30f3\u306b\u306f\u5bfe\u7167\u30ec\u30b8\u30e1\u30f3\u306b\u5bfe\u3059\u308b\u975e\u52a3\u6027\u306f\u8a8d\u3081\u3089\u308c\u306a\u304b\u3063\u305f\uff0e\uff08\u6b27\u5dde\u30fb\u767a\u5c55\u9014\u4e0a\u56fd\u81e8\u5e8a\u8a66\u9a13\u30d1\u30fc\u30c8\u30ca\u30fc\u30b7\u30c3\u30d7\uff0c\u30a6\u30a7\u30eb\u30ab\u30e0\u30fb\u30c8\u30e9\u30b9\u30c8\u304b\u3089\u7814\u7a76\u52a9\u6210\u3092\u53d7\u3051\u305f\uff0eRIFAQUIN \u8a66\u9a13\uff1aCurrent Controlled Trials \u767b\u9332\u756a\u53f7 ISRCTN44153044\uff09", "author" : [ { "dropping-particle" : "", "family" : "Jindani", "given" : "Amina", "non-dropping-particle" : "", "parse-names" : false, "suffix" : "" }, { "dropping-particle" : "", "family" : "Harrison", "given" : "Thomas S", "non-dropping-particle" : "", "parse-names" : false, "suffix" : "" }, { "dropping-particle" : "", "family" : "Nunn", "given" : "Andrew J", "non-dropping-particle" : "", "parse-names" : false, "suffix" : "" }, { "dropping-particle" : "", "family" : "Phillips", "given" : "Patrick P J", "non-dropping-particle" : "", "parse-names" : false, "suffix" : "" }, { "dropping-particle" : "", "family" : "Churchyard", "given" : "Gavin J", "non-dropping-particle" : "", "parse-names" : false, "suffix" : "" }, { "dropping-particle" : "", "family" : "Charalambous", "given" : "Salome",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"Mcilleron", "given" : "Helen M", "non-dropping-particle" : "", "parse-names" : false, "suffix" : "" }, { "dropping-particle" : "", "family" : "Zvada", "given" : "Simbarashe P", "non-dropping-particle" : "", "parse-names" : false, "suffix" : "" }, { "dropping-particle" : "", "family" : "Mungofa", "given" : "Stanley", "non-dropping-particle" : "", "parse-names" : false, "suffix" : "" }, { "dropping-particle" : "", "family" : "Shah", "given" : "Nasir A", "non-dropping-particle" : "", "parse-names" : false, "suffix" : "" }, { "dropping-particle" : "", "family" : "Zizhou", "given" : "Simukai", "non-dropping-particle" : "", "parse-names" : false, "suffix" : "" }, { "dropping-particle" : "", "family" : "Magweta", "given" : "Lloyd", "non-dropping-particle" : "", "parse-names" : false, "suffix" : "" }, { "dropping-particle" : "", "family" : "Shepherd", "given" : "James", "non-dropping-particle" : "", "parse-names" : false, "suffix" : "" }, { "dropping-particle" : "", "family" : "Nyirenda", "given" : "Sambayawo", "non-dropping-particle" : "", "parse-names" : false, "suffix" : "" }, { "dropping-particle" : "", "family" : "Dijk", "given" : "Janneke H", "non-dropping-particle" : "van", "parse-names" : false, "suffix" : "" }, { "dropping-particle" : "", "family" : "Clouting", "given" : "Heather E", "non-dropping-particle" : "", "parse-names" : false, "suffix" : "" }, { "dropping-particle" : "", "family" : "Coleman", "given" : "David", "non-dropping-particle" : "", "parse-names" : false, "suffix" : "" }, { "dropping-particle" : "", "family" : "Bateson", "given" : "Anna L E", "non-dropping-particle" : "", "parse-names" : false, "suffix" : "" }, { "dropping-particle" : "", "family" : "McHugh", "given" : "Timothy D", "non-dropping-particle" : "", "parse-names" : false, "suffix" : "" }, { "dropping-particle" : "", "family" : "Butcher", "given" : "Philip D", "non-dropping-particle" : "", "parse-names" : false, "suffix" : "" }, { "dropping-particle" : "", "family" : "Mitchison", "given" : "Denny A", "non-dropping-particle" : "", "parse-names" : false, "suffix" : "" }, { "dropping-particle" : "", "family" : "Ph", "given" : "D", "non-dropping-particle" : "", "parse-names" : false, "suffix" : "" }, { "dropping-particle" : "", "family" : "Churchyard", "given" : "Gavin J", "non-dropping-particle" : "", "parse-names" : false, "suffix" : "" }, { "dropping-particle" : "", "family" : "Ph", "given" : "D", "non-dropping-particle" : "", "parse-names" : false, "suffix" : "" }, { "dropping-particle" : "", "family" : "Charalambous", "given" : "Salome", "non-dropping-particle" : "", "parse-names" : false, "suffix" : "" }, { "dropping-particle" : "", "family" : "Ph", "given" : "D", "non-dropping-particle" : "", "parse-names" : false, "suffix" : "" }, { "dropping-particle" : "", "family" : "Hatherill", "given" : "Mark", "non-dropping-particle" : "", "parse-names" : false, "suffix" : "" }, { "dropping-particle" : "", "family" : "Geldenhuys", "given" : "Hennie", "non-dropping-particle" : "", "parse-names" : false, "suffix" : "" }, { "dropping-particle" : "", "family" : "Ch", "given" : "B", "non-dropping-particle" : "", "parse-names" : false, "suffix" : "" }, { "dropping-particle" : "", "family" : "Mcilleron", "given" : "Helen M", "non-dropping-particle" : "", "parse-names" : false, "suffix" : "" }, { "dropping-particle" : "", "family" : "Ph", "given" : "D", "non-dropping-particle" : "", "parse-names" : false, "suffix" : "" }, { "dropping-particle" : "", "family" : "Zizhou", "given" : "Simukai", "non-dropping-particle" : "", "parse-names" : false, "suffix" : "" }, { "dropping-particle" : "", "family" : "Ch", "given" : "B", "non-dropping-particle" : "", "parse-names" : false, "suffix" : "" }, { "dropping-particle" : "", "family" : "Magweta", "given" : "Lloyd", "non-dropping-particle" : "", "parse-names" : false, "suffix" : "" }, { "dropping-particle" : "", "family" : "Ch", "given" : "B", "non-dropping-particle" : "", "parse-names" : false, "suffix" : "" }, { "dropping-particle" : "", "family" : "Shepherd", "given" : "James", "non-dropping-particle" : "", "parse-names" : false, "suffix" : "" }, { "dropping-particle" : "", "family" : "Ph", "given" : "D", "non-dropping-particle" : "", "parse-names" : false, "suffix" : "" }, { "dropping-particle" : "", "family" : "Butcher", "given" : "Philip D", "non-dropping-particle" : "", "parse-names" : false, "suffix" : "" }, { "dropping-particle" : "", "family" : "Ph", "given" : "D", "non-dropping-particle" : "", "parse-names" : false, "suffix" : "" }, { "dropping-particle" : "", "family" : "Mitchison", "given" : "Denny A", "non-dropping-particle" : "", "parse-names" : false, "suffix" : "" } ], "container-title" : "New England Journal of Medicine", "id" : "ITEM-3", "issue" : "17", "issued" : { "date-parts" : [ [ "2014" ] ] }, "note" : "supplementary", "page" : "1599-1608", "title" : "High-Dose Rifapentine with Moxifloxacin for Pulmonary Tuberculosis", "type" : "article-journal", "volume" : "371" }, "uris" : [ "http://www.mendeley.com/documents/?uuid=6e460265-06c7-4572-b217-3783f8a42ff5" ] } ], "mendeley" : { "formattedCitation" : "&lt;sup&gt;1\u20133&lt;/sup&gt;", "plainTextFormattedCitation" : "1\u20133", "previouslyFormattedCitation" : "&lt;sup&gt;1\u20133&lt;/sup&gt;" }, "properties" : {  }, "schema" : "https://github.com/citation-style-language/schema/raw/master/csl-citation.json" }</w:instrText>
      </w:r>
      <w:r>
        <w:rPr>
          <w:rFonts w:ascii="Arial" w:hAnsi="Arial" w:cs="Arial"/>
        </w:rPr>
        <w:fldChar w:fldCharType="separate"/>
      </w:r>
      <w:r w:rsidRPr="000F28A0">
        <w:rPr>
          <w:rFonts w:ascii="Arial" w:hAnsi="Arial" w:cs="Arial"/>
          <w:noProof/>
          <w:vertAlign w:val="superscript"/>
        </w:rPr>
        <w:t>1–3</w:t>
      </w:r>
      <w:r>
        <w:rPr>
          <w:rFonts w:ascii="Arial" w:hAnsi="Arial" w:cs="Arial"/>
        </w:rPr>
        <w:fldChar w:fldCharType="end"/>
      </w:r>
      <w:r>
        <w:rPr>
          <w:rFonts w:ascii="Arial" w:hAnsi="Arial" w:cs="Arial"/>
        </w:rPr>
        <w:t xml:space="preserve"> </w:t>
      </w:r>
    </w:p>
    <w:p w14:paraId="78622BFA" w14:textId="77777777" w:rsidR="00BE1F60" w:rsidRDefault="00BE1F60" w:rsidP="00BE1F60">
      <w:pPr>
        <w:spacing w:line="480" w:lineRule="auto"/>
        <w:rPr>
          <w:rFonts w:ascii="Arial" w:hAnsi="Arial" w:cs="Arial"/>
        </w:rPr>
      </w:pPr>
    </w:p>
    <w:p w14:paraId="42ED794D" w14:textId="77777777" w:rsidR="00BE1F60" w:rsidRDefault="00BE1F60" w:rsidP="00BE1F60">
      <w:pPr>
        <w:spacing w:line="480" w:lineRule="auto"/>
        <w:rPr>
          <w:rFonts w:ascii="Arial" w:hAnsi="Arial" w:cs="Arial"/>
        </w:rPr>
      </w:pPr>
      <w:r w:rsidRPr="00CA0C73">
        <w:rPr>
          <w:rFonts w:ascii="Arial" w:hAnsi="Arial" w:cs="Arial"/>
        </w:rPr>
        <w:t>Further analyses were performed to assess impact of 7/7 (</w:t>
      </w:r>
      <w:proofErr w:type="spellStart"/>
      <w:r w:rsidRPr="00CA0C73">
        <w:rPr>
          <w:rFonts w:ascii="Arial" w:hAnsi="Arial" w:cs="Arial"/>
        </w:rPr>
        <w:t>REMoxTB</w:t>
      </w:r>
      <w:proofErr w:type="spellEnd"/>
      <w:r w:rsidRPr="00CA0C73">
        <w:rPr>
          <w:rFonts w:ascii="Arial" w:hAnsi="Arial" w:cs="Arial"/>
        </w:rPr>
        <w:t xml:space="preserve"> and RIFAQUIN) and 6/7 weekly (OFLOTUB) dosing strategies on outcomes. First, we compared Kaplan</w:t>
      </w:r>
      <w:r>
        <w:rPr>
          <w:rFonts w:ascii="Arial" w:hAnsi="Arial" w:cs="Arial"/>
        </w:rPr>
        <w:t>-</w:t>
      </w:r>
      <w:r w:rsidRPr="00CA0C73">
        <w:rPr>
          <w:rFonts w:ascii="Arial" w:hAnsi="Arial" w:cs="Arial"/>
        </w:rPr>
        <w:t xml:space="preserve">Meier estimates for 7/7 and 6/7 weekly dosing strategies in study participants who completed their prescribed treatment.  Second, we performed separate Cox proportional hazards analyses for trials with different weekly dosing strategies and assessed total number of days that the drugs were taken (total doses) and treatment duration (time between first and last dose dates) as predictors of treatment outcomes. To allow for pragmatic interpretation, hazard ratios were reported for total doses of 156 to 181 (on average 6/7 doses per week) and 112 to 155 (on average 5/7 doses per week) relative to 182 (on average 7/7 doses per week) for the </w:t>
      </w:r>
      <w:proofErr w:type="spellStart"/>
      <w:r w:rsidRPr="00CA0C73">
        <w:rPr>
          <w:rFonts w:ascii="Arial" w:hAnsi="Arial" w:cs="Arial"/>
        </w:rPr>
        <w:t>REMoxTB</w:t>
      </w:r>
      <w:proofErr w:type="spellEnd"/>
      <w:r w:rsidRPr="00CA0C73">
        <w:rPr>
          <w:rFonts w:ascii="Arial" w:hAnsi="Arial" w:cs="Arial"/>
        </w:rPr>
        <w:t xml:space="preserve"> and RIFAQUIN analysis (7/7 weekly dosing strategies for 26 weeks). For the OFLOTUB analysis (6/7 weekly dosing strategy for 24 weeks), hazard ratios were reported for total doses of 112 to 143 (on average 5/7 doses per week) relative to 144 (on average 6/7 doses per week). We have used an arbitrarily lower cutoff of 112 total doses as it coincides with 4 months of treatment on 7/7 dosing strategy and most of the data were clustered above this cutoff point. We have performed sensitivity analysis with cutoffs of at least 130 (exact number of doses if participant took 5/7 doses for 26 weeks) for the </w:t>
      </w:r>
      <w:proofErr w:type="spellStart"/>
      <w:r w:rsidRPr="00CA0C73">
        <w:rPr>
          <w:rFonts w:ascii="Arial" w:hAnsi="Arial" w:cs="Arial"/>
        </w:rPr>
        <w:t>REMoxTB</w:t>
      </w:r>
      <w:proofErr w:type="spellEnd"/>
      <w:r w:rsidRPr="00CA0C73">
        <w:rPr>
          <w:rFonts w:ascii="Arial" w:hAnsi="Arial" w:cs="Arial"/>
        </w:rPr>
        <w:t xml:space="preserve"> and RIFAQUIN analysis and 120 (exact number of doses if participant took 5/7 doses for 24 weeks) for the OFLOTUB analysis.  Each analysis was adjusted for study country.  </w:t>
      </w:r>
    </w:p>
    <w:p w14:paraId="2B53536B" w14:textId="77777777" w:rsidR="00BE1F60" w:rsidRDefault="00BE1F60" w:rsidP="00BE1F60">
      <w:pPr>
        <w:spacing w:line="480" w:lineRule="auto"/>
        <w:rPr>
          <w:rFonts w:ascii="Arial" w:hAnsi="Arial" w:cs="Arial"/>
        </w:rPr>
      </w:pPr>
    </w:p>
    <w:p w14:paraId="36B3FE8C" w14:textId="0F9EBBA3" w:rsidR="00BE1F60" w:rsidRDefault="00BE1F60" w:rsidP="00BE1F60">
      <w:pPr>
        <w:spacing w:line="480" w:lineRule="auto"/>
        <w:rPr>
          <w:rFonts w:ascii="Arial" w:hAnsi="Arial" w:cs="Arial"/>
        </w:rPr>
      </w:pPr>
      <w:r>
        <w:rPr>
          <w:rFonts w:ascii="Arial" w:hAnsi="Arial" w:cs="Arial"/>
        </w:rPr>
        <w:lastRenderedPageBreak/>
        <w:t xml:space="preserve">All data management, analyses and visualization were performed using R Statistical Software (version 3.4.3, </w:t>
      </w:r>
      <w:hyperlink r:id="rId9" w:history="1">
        <w:r w:rsidRPr="000B1797">
          <w:rPr>
            <w:rStyle w:val="Hyperlink"/>
            <w:rFonts w:ascii="Arial" w:hAnsi="Arial" w:cs="Arial"/>
            <w:noProof/>
          </w:rPr>
          <w:t>https://www.r-project.org/</w:t>
        </w:r>
      </w:hyperlink>
      <w:r w:rsidRPr="009439D3">
        <w:rPr>
          <w:rFonts w:ascii="Arial" w:hAnsi="Arial" w:cs="Arial"/>
        </w:rPr>
        <w:t>)</w:t>
      </w:r>
      <w:r>
        <w:rPr>
          <w:rFonts w:ascii="Arial" w:hAnsi="Arial" w:cs="Arial"/>
        </w:rPr>
        <w:t>.</w:t>
      </w:r>
      <w:r w:rsidDel="008F1E8F">
        <w:rPr>
          <w:rFonts w:ascii="Arial" w:hAnsi="Arial" w:cs="Arial"/>
        </w:rPr>
        <w:t xml:space="preserve"> </w:t>
      </w:r>
    </w:p>
    <w:p w14:paraId="5136DB80" w14:textId="3D9F656F" w:rsidR="00BE1F60" w:rsidRDefault="00BE1F60" w:rsidP="00BE1F60">
      <w:pPr>
        <w:spacing w:line="480" w:lineRule="auto"/>
        <w:rPr>
          <w:rFonts w:ascii="Arial" w:hAnsi="Arial" w:cs="Arial"/>
        </w:rPr>
      </w:pPr>
    </w:p>
    <w:p w14:paraId="2703394E" w14:textId="39021FD1" w:rsidR="00BE1F60" w:rsidRDefault="00BE1F60" w:rsidP="00BE1F60">
      <w:pPr>
        <w:spacing w:line="480" w:lineRule="auto"/>
        <w:rPr>
          <w:rFonts w:ascii="Arial" w:hAnsi="Arial" w:cs="Arial"/>
          <w:b/>
        </w:rPr>
      </w:pPr>
      <w:r>
        <w:rPr>
          <w:rFonts w:ascii="Arial" w:hAnsi="Arial" w:cs="Arial"/>
          <w:b/>
        </w:rPr>
        <w:t xml:space="preserve">Data Availability </w:t>
      </w:r>
    </w:p>
    <w:p w14:paraId="218B73B7" w14:textId="25E81E85" w:rsidR="00BE1F60" w:rsidRPr="00BE1F60" w:rsidRDefault="00BE1F60" w:rsidP="00BE1F60">
      <w:pPr>
        <w:spacing w:line="480" w:lineRule="auto"/>
        <w:rPr>
          <w:rFonts w:ascii="Arial" w:hAnsi="Arial" w:cs="Arial"/>
        </w:rPr>
      </w:pPr>
      <w:r>
        <w:rPr>
          <w:rFonts w:ascii="Arial" w:hAnsi="Arial" w:cs="Arial"/>
        </w:rPr>
        <w:t>The s</w:t>
      </w:r>
      <w:r w:rsidRPr="00FA6B06">
        <w:rPr>
          <w:rFonts w:ascii="Arial" w:hAnsi="Arial" w:cs="Arial"/>
        </w:rPr>
        <w:t>tandardized data for the OFLOTUB (ClinicalTrials.gov number, NCT00216385</w:t>
      </w:r>
      <w:proofErr w:type="gramStart"/>
      <w:r w:rsidRPr="00FA6B06">
        <w:rPr>
          <w:rFonts w:ascii="Arial" w:hAnsi="Arial" w:cs="Arial"/>
        </w:rPr>
        <w:t>) ,</w:t>
      </w:r>
      <w:proofErr w:type="gramEnd"/>
      <w:r w:rsidRPr="00FA6B06">
        <w:rPr>
          <w:rFonts w:ascii="Arial" w:hAnsi="Arial" w:cs="Arial"/>
        </w:rPr>
        <w:t xml:space="preserve"> </w:t>
      </w:r>
      <w:proofErr w:type="spellStart"/>
      <w:r w:rsidRPr="00FA6B06">
        <w:rPr>
          <w:rFonts w:ascii="Arial" w:hAnsi="Arial" w:cs="Arial"/>
        </w:rPr>
        <w:t>REMoxTB</w:t>
      </w:r>
      <w:proofErr w:type="spellEnd"/>
      <w:r w:rsidRPr="00FA6B06">
        <w:rPr>
          <w:rFonts w:ascii="Arial" w:hAnsi="Arial" w:cs="Arial"/>
        </w:rPr>
        <w:t xml:space="preserve"> (NCT00864383), and RIFAQUIN (ISRCTN number, 44153044) trials </w:t>
      </w:r>
      <w:r>
        <w:rPr>
          <w:rFonts w:ascii="Arial" w:hAnsi="Arial" w:cs="Arial"/>
        </w:rPr>
        <w:t>that support the findings of this study are</w:t>
      </w:r>
      <w:r w:rsidRPr="00FA6B06">
        <w:rPr>
          <w:rFonts w:ascii="Arial" w:hAnsi="Arial" w:cs="Arial"/>
        </w:rPr>
        <w:t xml:space="preserve"> </w:t>
      </w:r>
      <w:r>
        <w:rPr>
          <w:rFonts w:ascii="Arial" w:hAnsi="Arial" w:cs="Arial"/>
        </w:rPr>
        <w:t>available through the</w:t>
      </w:r>
      <w:r w:rsidRPr="00FA6B06">
        <w:rPr>
          <w:rFonts w:ascii="Arial" w:hAnsi="Arial" w:cs="Arial"/>
        </w:rPr>
        <w:t xml:space="preserve"> Platform for Aggregation of Clinical TB Studies (TB-PACTS, https://c-path.org/programs/tb-pacts/). DMID-009 trial data </w:t>
      </w:r>
      <w:r>
        <w:rPr>
          <w:rFonts w:ascii="Arial" w:hAnsi="Arial" w:cs="Arial"/>
        </w:rPr>
        <w:t>is available</w:t>
      </w:r>
      <w:r w:rsidRPr="00FA6B06">
        <w:rPr>
          <w:rFonts w:ascii="Arial" w:hAnsi="Arial" w:cs="Arial"/>
        </w:rPr>
        <w:t xml:space="preserve"> from the sponsor (John L. Johnson, Tuberculosis Research Unit</w:t>
      </w:r>
      <w:r>
        <w:rPr>
          <w:rFonts w:ascii="Arial" w:hAnsi="Arial" w:cs="Arial"/>
        </w:rPr>
        <w:t>)</w:t>
      </w:r>
      <w:r>
        <w:rPr>
          <w:rFonts w:ascii="Arial" w:hAnsi="Arial" w:cs="Arial"/>
        </w:rPr>
        <w:t xml:space="preserve">. </w:t>
      </w:r>
    </w:p>
    <w:p w14:paraId="3239100F" w14:textId="2AE50DA2" w:rsidR="00BE1F60" w:rsidRDefault="00BE1F60" w:rsidP="00BE1F60">
      <w:pPr>
        <w:spacing w:line="480" w:lineRule="auto"/>
        <w:rPr>
          <w:rFonts w:ascii="Arial" w:hAnsi="Arial" w:cs="Arial"/>
        </w:rPr>
      </w:pPr>
    </w:p>
    <w:p w14:paraId="5229E910" w14:textId="77777777" w:rsidR="00BE1F60" w:rsidRDefault="00BE1F60" w:rsidP="00BE1F60">
      <w:pPr>
        <w:spacing w:line="480" w:lineRule="auto"/>
        <w:rPr>
          <w:rFonts w:ascii="Arial" w:hAnsi="Arial" w:cs="Arial"/>
          <w:b/>
        </w:rPr>
      </w:pPr>
      <w:r>
        <w:rPr>
          <w:rFonts w:ascii="Arial" w:hAnsi="Arial" w:cs="Arial"/>
          <w:b/>
        </w:rPr>
        <w:t xml:space="preserve">References </w:t>
      </w:r>
    </w:p>
    <w:p w14:paraId="2CDEEDF2" w14:textId="77777777" w:rsidR="00BE1F60" w:rsidRPr="00282D2D" w:rsidRDefault="00BE1F60" w:rsidP="00BE1F60">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21.</w:t>
      </w:r>
      <w:r w:rsidRPr="00282D2D">
        <w:rPr>
          <w:rFonts w:ascii="Arial" w:hAnsi="Arial" w:cs="Arial"/>
          <w:noProof/>
        </w:rPr>
        <w:tab/>
        <w:t xml:space="preserve">Wang, R., Lagakos, S. W., Ware, J. H., Hunter, D. J. &amp; Drazen, J. M. Statistics in Medicine — Reporting of Subgroup Analyses in Clinical Trials. </w:t>
      </w:r>
      <w:r w:rsidRPr="00282D2D">
        <w:rPr>
          <w:rFonts w:ascii="Arial" w:hAnsi="Arial" w:cs="Arial"/>
          <w:i/>
          <w:iCs/>
          <w:noProof/>
        </w:rPr>
        <w:t>N. Engl. J. Med</w:t>
      </w:r>
      <w:r w:rsidRPr="00282D2D">
        <w:rPr>
          <w:rFonts w:ascii="Arial" w:hAnsi="Arial" w:cs="Arial"/>
          <w:noProof/>
        </w:rPr>
        <w:t xml:space="preserve"> </w:t>
      </w:r>
      <w:r w:rsidRPr="00282D2D">
        <w:rPr>
          <w:rFonts w:ascii="Arial" w:hAnsi="Arial" w:cs="Arial"/>
          <w:b/>
          <w:bCs/>
          <w:noProof/>
        </w:rPr>
        <w:t>357,</w:t>
      </w:r>
      <w:r w:rsidRPr="00282D2D">
        <w:rPr>
          <w:rFonts w:ascii="Arial" w:hAnsi="Arial" w:cs="Arial"/>
          <w:noProof/>
        </w:rPr>
        <w:t xml:space="preserve"> 2189–2194 (2007).</w:t>
      </w:r>
    </w:p>
    <w:p w14:paraId="7F5B1C4D" w14:textId="77777777" w:rsidR="00BE1F60" w:rsidRPr="00282D2D" w:rsidRDefault="00BE1F60" w:rsidP="00BE1F60">
      <w:pPr>
        <w:widowControl w:val="0"/>
        <w:autoSpaceDE w:val="0"/>
        <w:autoSpaceDN w:val="0"/>
        <w:adjustRightInd w:val="0"/>
        <w:spacing w:line="480" w:lineRule="auto"/>
        <w:ind w:left="640" w:hanging="640"/>
        <w:rPr>
          <w:rFonts w:ascii="Arial" w:hAnsi="Arial" w:cs="Arial"/>
          <w:noProof/>
        </w:rPr>
      </w:pPr>
      <w:r w:rsidRPr="00282D2D">
        <w:rPr>
          <w:rFonts w:ascii="Arial" w:hAnsi="Arial" w:cs="Arial"/>
          <w:noProof/>
        </w:rPr>
        <w:t>22.</w:t>
      </w:r>
      <w:r w:rsidRPr="00282D2D">
        <w:rPr>
          <w:rFonts w:ascii="Arial" w:hAnsi="Arial" w:cs="Arial"/>
          <w:noProof/>
        </w:rPr>
        <w:tab/>
        <w:t xml:space="preserve">Xie, J. &amp; Liu, C. Adjusted Kaplan–Meier estimator and log-rank test with inverse probability of treatment weighting for survival data. </w:t>
      </w:r>
      <w:r w:rsidRPr="00282D2D">
        <w:rPr>
          <w:rFonts w:ascii="Arial" w:hAnsi="Arial" w:cs="Arial"/>
          <w:i/>
          <w:iCs/>
          <w:noProof/>
        </w:rPr>
        <w:t>Stat. Med.</w:t>
      </w:r>
      <w:r w:rsidRPr="00282D2D">
        <w:rPr>
          <w:rFonts w:ascii="Arial" w:hAnsi="Arial" w:cs="Arial"/>
          <w:noProof/>
        </w:rPr>
        <w:t xml:space="preserve"> </w:t>
      </w:r>
      <w:r w:rsidRPr="00282D2D">
        <w:rPr>
          <w:rFonts w:ascii="Arial" w:hAnsi="Arial" w:cs="Arial"/>
          <w:b/>
          <w:bCs/>
          <w:noProof/>
        </w:rPr>
        <w:t>24,</w:t>
      </w:r>
      <w:r w:rsidRPr="00282D2D">
        <w:rPr>
          <w:rFonts w:ascii="Arial" w:hAnsi="Arial" w:cs="Arial"/>
          <w:noProof/>
        </w:rPr>
        <w:t xml:space="preserve"> 3089–3110 (2005).</w:t>
      </w:r>
    </w:p>
    <w:p w14:paraId="6559A96F" w14:textId="77777777" w:rsidR="00BE1F60" w:rsidRPr="00FA6B06" w:rsidRDefault="00BE1F60" w:rsidP="00BE1F60">
      <w:pPr>
        <w:spacing w:line="480" w:lineRule="auto"/>
        <w:rPr>
          <w:rFonts w:ascii="Arial" w:hAnsi="Arial" w:cs="Arial"/>
          <w:b/>
        </w:rPr>
      </w:pPr>
    </w:p>
    <w:p w14:paraId="3BC60415" w14:textId="77777777" w:rsidR="00BE1F60" w:rsidRDefault="00BE1F60" w:rsidP="00BE1F60">
      <w:pPr>
        <w:spacing w:line="480" w:lineRule="auto"/>
        <w:rPr>
          <w:rFonts w:ascii="Arial" w:hAnsi="Arial" w:cs="Arial"/>
        </w:rPr>
      </w:pPr>
      <w:r w:rsidRPr="00F00852">
        <w:rPr>
          <w:rFonts w:ascii="Arial" w:hAnsi="Arial"/>
        </w:rPr>
        <w:br w:type="page"/>
      </w:r>
    </w:p>
    <w:p w14:paraId="598A2275" w14:textId="77777777" w:rsidR="008F1E8F" w:rsidRPr="00F00852" w:rsidRDefault="008F1E8F">
      <w:pPr>
        <w:outlineLvl w:val="0"/>
        <w:rPr>
          <w:rFonts w:ascii="Arial" w:hAnsi="Arial"/>
        </w:rPr>
      </w:pPr>
    </w:p>
    <w:sectPr w:rsidR="008F1E8F" w:rsidRPr="00F00852" w:rsidSect="00FD0033">
      <w:footerReference w:type="even" r:id="rId10"/>
      <w:footerReference w:type="default" r:id="rId11"/>
      <w:pgSz w:w="12240" w:h="15840"/>
      <w:pgMar w:top="720" w:right="720" w:bottom="720" w:left="72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10DC1" w14:textId="77777777" w:rsidR="00803CE9" w:rsidRDefault="00803CE9">
      <w:r>
        <w:separator/>
      </w:r>
    </w:p>
  </w:endnote>
  <w:endnote w:type="continuationSeparator" w:id="0">
    <w:p w14:paraId="5A03C8E7" w14:textId="77777777" w:rsidR="00803CE9" w:rsidRDefault="00803CE9">
      <w:r>
        <w:continuationSeparator/>
      </w:r>
    </w:p>
  </w:endnote>
  <w:endnote w:type="continuationNotice" w:id="1">
    <w:p w14:paraId="37086345" w14:textId="77777777" w:rsidR="00803CE9" w:rsidRDefault="00803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w:panose1 w:val="00000000000000000000"/>
    <w:charset w:val="00"/>
    <w:family w:val="auto"/>
    <w:pitch w:val="variable"/>
    <w:sig w:usb0="00000003" w:usb1="00000000" w:usb2="00000000" w:usb3="00000000" w:csb0="00000007" w:csb1="00000000"/>
  </w:font>
  <w:font w:name="Bradley Hand">
    <w:panose1 w:val="00000700000000000000"/>
    <w:charset w:val="4D"/>
    <w:family w:val="auto"/>
    <w:pitch w:val="variable"/>
    <w:sig w:usb0="800000FF" w:usb1="50002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004272"/>
      <w:docPartObj>
        <w:docPartGallery w:val="Page Numbers (Bottom of Page)"/>
        <w:docPartUnique/>
      </w:docPartObj>
    </w:sdtPr>
    <w:sdtContent>
      <w:p w14:paraId="55700533" w14:textId="77777777" w:rsidR="00773AE1" w:rsidRDefault="00773AE1" w:rsidP="004E1A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7545D3" w14:textId="6BA93556" w:rsidR="00773AE1" w:rsidRDefault="00773AE1" w:rsidP="001575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5099894"/>
      <w:docPartObj>
        <w:docPartGallery w:val="Page Numbers (Bottom of Page)"/>
        <w:docPartUnique/>
      </w:docPartObj>
    </w:sdtPr>
    <w:sdtContent>
      <w:p w14:paraId="55DFD7CD" w14:textId="2B19FA25" w:rsidR="00773AE1" w:rsidRPr="00FD0033" w:rsidRDefault="00773AE1" w:rsidP="00FD0033">
        <w:pPr>
          <w:pStyle w:val="Footer"/>
          <w:framePr w:wrap="none" w:vAnchor="text" w:hAnchor="margin" w:xAlign="right" w:y="1"/>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25</w:t>
        </w:r>
        <w:r>
          <w:rPr>
            <w:rStyle w:val="PageNumber"/>
          </w:rPr>
          <w:fldChar w:fldCharType="end"/>
        </w:r>
      </w:p>
    </w:sdtContent>
  </w:sdt>
  <w:p w14:paraId="0766AA51" w14:textId="77777777" w:rsidR="00773AE1" w:rsidRDefault="00773A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4B0F" w14:textId="77777777" w:rsidR="00803CE9" w:rsidRDefault="00803CE9">
      <w:r>
        <w:separator/>
      </w:r>
    </w:p>
  </w:footnote>
  <w:footnote w:type="continuationSeparator" w:id="0">
    <w:p w14:paraId="4FDB8EE5" w14:textId="77777777" w:rsidR="00803CE9" w:rsidRDefault="00803CE9">
      <w:r>
        <w:continuationSeparator/>
      </w:r>
    </w:p>
  </w:footnote>
  <w:footnote w:type="continuationNotice" w:id="1">
    <w:p w14:paraId="3A662F16" w14:textId="77777777" w:rsidR="00803CE9" w:rsidRDefault="00803C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7B0"/>
    <w:multiLevelType w:val="hybridMultilevel"/>
    <w:tmpl w:val="3E40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D462C"/>
    <w:multiLevelType w:val="hybridMultilevel"/>
    <w:tmpl w:val="30AC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0A7A"/>
    <w:multiLevelType w:val="hybridMultilevel"/>
    <w:tmpl w:val="4F224E36"/>
    <w:lvl w:ilvl="0" w:tplc="D570A042">
      <w:start w:val="1"/>
      <w:numFmt w:val="bullet"/>
      <w:lvlText w:val=""/>
      <w:lvlJc w:val="left"/>
      <w:pPr>
        <w:tabs>
          <w:tab w:val="num" w:pos="720"/>
        </w:tabs>
        <w:ind w:left="720" w:hanging="360"/>
      </w:pPr>
      <w:rPr>
        <w:rFonts w:ascii="Wingdings" w:hAnsi="Wingdings" w:hint="default"/>
      </w:rPr>
    </w:lvl>
    <w:lvl w:ilvl="1" w:tplc="77B4CF3A">
      <w:numFmt w:val="bullet"/>
      <w:lvlText w:val="•"/>
      <w:lvlJc w:val="left"/>
      <w:pPr>
        <w:tabs>
          <w:tab w:val="num" w:pos="1440"/>
        </w:tabs>
        <w:ind w:left="1440" w:hanging="360"/>
      </w:pPr>
      <w:rPr>
        <w:rFonts w:ascii="Arial" w:hAnsi="Arial" w:hint="default"/>
      </w:rPr>
    </w:lvl>
    <w:lvl w:ilvl="2" w:tplc="7F7C428C" w:tentative="1">
      <w:start w:val="1"/>
      <w:numFmt w:val="bullet"/>
      <w:lvlText w:val=""/>
      <w:lvlJc w:val="left"/>
      <w:pPr>
        <w:tabs>
          <w:tab w:val="num" w:pos="2160"/>
        </w:tabs>
        <w:ind w:left="2160" w:hanging="360"/>
      </w:pPr>
      <w:rPr>
        <w:rFonts w:ascii="Wingdings" w:hAnsi="Wingdings" w:hint="default"/>
      </w:rPr>
    </w:lvl>
    <w:lvl w:ilvl="3" w:tplc="4844B72A" w:tentative="1">
      <w:start w:val="1"/>
      <w:numFmt w:val="bullet"/>
      <w:lvlText w:val=""/>
      <w:lvlJc w:val="left"/>
      <w:pPr>
        <w:tabs>
          <w:tab w:val="num" w:pos="2880"/>
        </w:tabs>
        <w:ind w:left="2880" w:hanging="360"/>
      </w:pPr>
      <w:rPr>
        <w:rFonts w:ascii="Wingdings" w:hAnsi="Wingdings" w:hint="default"/>
      </w:rPr>
    </w:lvl>
    <w:lvl w:ilvl="4" w:tplc="78C0BFCA" w:tentative="1">
      <w:start w:val="1"/>
      <w:numFmt w:val="bullet"/>
      <w:lvlText w:val=""/>
      <w:lvlJc w:val="left"/>
      <w:pPr>
        <w:tabs>
          <w:tab w:val="num" w:pos="3600"/>
        </w:tabs>
        <w:ind w:left="3600" w:hanging="360"/>
      </w:pPr>
      <w:rPr>
        <w:rFonts w:ascii="Wingdings" w:hAnsi="Wingdings" w:hint="default"/>
      </w:rPr>
    </w:lvl>
    <w:lvl w:ilvl="5" w:tplc="3AB21E42" w:tentative="1">
      <w:start w:val="1"/>
      <w:numFmt w:val="bullet"/>
      <w:lvlText w:val=""/>
      <w:lvlJc w:val="left"/>
      <w:pPr>
        <w:tabs>
          <w:tab w:val="num" w:pos="4320"/>
        </w:tabs>
        <w:ind w:left="4320" w:hanging="360"/>
      </w:pPr>
      <w:rPr>
        <w:rFonts w:ascii="Wingdings" w:hAnsi="Wingdings" w:hint="default"/>
      </w:rPr>
    </w:lvl>
    <w:lvl w:ilvl="6" w:tplc="1D5CD0DC" w:tentative="1">
      <w:start w:val="1"/>
      <w:numFmt w:val="bullet"/>
      <w:lvlText w:val=""/>
      <w:lvlJc w:val="left"/>
      <w:pPr>
        <w:tabs>
          <w:tab w:val="num" w:pos="5040"/>
        </w:tabs>
        <w:ind w:left="5040" w:hanging="360"/>
      </w:pPr>
      <w:rPr>
        <w:rFonts w:ascii="Wingdings" w:hAnsi="Wingdings" w:hint="default"/>
      </w:rPr>
    </w:lvl>
    <w:lvl w:ilvl="7" w:tplc="2410EF56" w:tentative="1">
      <w:start w:val="1"/>
      <w:numFmt w:val="bullet"/>
      <w:lvlText w:val=""/>
      <w:lvlJc w:val="left"/>
      <w:pPr>
        <w:tabs>
          <w:tab w:val="num" w:pos="5760"/>
        </w:tabs>
        <w:ind w:left="5760" w:hanging="360"/>
      </w:pPr>
      <w:rPr>
        <w:rFonts w:ascii="Wingdings" w:hAnsi="Wingdings" w:hint="default"/>
      </w:rPr>
    </w:lvl>
    <w:lvl w:ilvl="8" w:tplc="3FAE47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A6CD1"/>
    <w:multiLevelType w:val="hybridMultilevel"/>
    <w:tmpl w:val="C8CA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4C75"/>
    <w:multiLevelType w:val="hybridMultilevel"/>
    <w:tmpl w:val="BAD4F01C"/>
    <w:lvl w:ilvl="0" w:tplc="0B8EB112">
      <w:start w:val="1"/>
      <w:numFmt w:val="bullet"/>
      <w:lvlText w:val=""/>
      <w:lvlJc w:val="left"/>
      <w:pPr>
        <w:tabs>
          <w:tab w:val="num" w:pos="720"/>
        </w:tabs>
        <w:ind w:left="720" w:hanging="360"/>
      </w:pPr>
      <w:rPr>
        <w:rFonts w:ascii="Wingdings" w:hAnsi="Wingdings" w:hint="default"/>
      </w:rPr>
    </w:lvl>
    <w:lvl w:ilvl="1" w:tplc="8416A040" w:tentative="1">
      <w:start w:val="1"/>
      <w:numFmt w:val="bullet"/>
      <w:lvlText w:val=""/>
      <w:lvlJc w:val="left"/>
      <w:pPr>
        <w:tabs>
          <w:tab w:val="num" w:pos="1440"/>
        </w:tabs>
        <w:ind w:left="1440" w:hanging="360"/>
      </w:pPr>
      <w:rPr>
        <w:rFonts w:ascii="Wingdings" w:hAnsi="Wingdings" w:hint="default"/>
      </w:rPr>
    </w:lvl>
    <w:lvl w:ilvl="2" w:tplc="3F7A8B34" w:tentative="1">
      <w:start w:val="1"/>
      <w:numFmt w:val="bullet"/>
      <w:lvlText w:val=""/>
      <w:lvlJc w:val="left"/>
      <w:pPr>
        <w:tabs>
          <w:tab w:val="num" w:pos="2160"/>
        </w:tabs>
        <w:ind w:left="2160" w:hanging="360"/>
      </w:pPr>
      <w:rPr>
        <w:rFonts w:ascii="Wingdings" w:hAnsi="Wingdings" w:hint="default"/>
      </w:rPr>
    </w:lvl>
    <w:lvl w:ilvl="3" w:tplc="C3E4A81E" w:tentative="1">
      <w:start w:val="1"/>
      <w:numFmt w:val="bullet"/>
      <w:lvlText w:val=""/>
      <w:lvlJc w:val="left"/>
      <w:pPr>
        <w:tabs>
          <w:tab w:val="num" w:pos="2880"/>
        </w:tabs>
        <w:ind w:left="2880" w:hanging="360"/>
      </w:pPr>
      <w:rPr>
        <w:rFonts w:ascii="Wingdings" w:hAnsi="Wingdings" w:hint="default"/>
      </w:rPr>
    </w:lvl>
    <w:lvl w:ilvl="4" w:tplc="10887628" w:tentative="1">
      <w:start w:val="1"/>
      <w:numFmt w:val="bullet"/>
      <w:lvlText w:val=""/>
      <w:lvlJc w:val="left"/>
      <w:pPr>
        <w:tabs>
          <w:tab w:val="num" w:pos="3600"/>
        </w:tabs>
        <w:ind w:left="3600" w:hanging="360"/>
      </w:pPr>
      <w:rPr>
        <w:rFonts w:ascii="Wingdings" w:hAnsi="Wingdings" w:hint="default"/>
      </w:rPr>
    </w:lvl>
    <w:lvl w:ilvl="5" w:tplc="779E4C86" w:tentative="1">
      <w:start w:val="1"/>
      <w:numFmt w:val="bullet"/>
      <w:lvlText w:val=""/>
      <w:lvlJc w:val="left"/>
      <w:pPr>
        <w:tabs>
          <w:tab w:val="num" w:pos="4320"/>
        </w:tabs>
        <w:ind w:left="4320" w:hanging="360"/>
      </w:pPr>
      <w:rPr>
        <w:rFonts w:ascii="Wingdings" w:hAnsi="Wingdings" w:hint="default"/>
      </w:rPr>
    </w:lvl>
    <w:lvl w:ilvl="6" w:tplc="0C265202" w:tentative="1">
      <w:start w:val="1"/>
      <w:numFmt w:val="bullet"/>
      <w:lvlText w:val=""/>
      <w:lvlJc w:val="left"/>
      <w:pPr>
        <w:tabs>
          <w:tab w:val="num" w:pos="5040"/>
        </w:tabs>
        <w:ind w:left="5040" w:hanging="360"/>
      </w:pPr>
      <w:rPr>
        <w:rFonts w:ascii="Wingdings" w:hAnsi="Wingdings" w:hint="default"/>
      </w:rPr>
    </w:lvl>
    <w:lvl w:ilvl="7" w:tplc="8536E584" w:tentative="1">
      <w:start w:val="1"/>
      <w:numFmt w:val="bullet"/>
      <w:lvlText w:val=""/>
      <w:lvlJc w:val="left"/>
      <w:pPr>
        <w:tabs>
          <w:tab w:val="num" w:pos="5760"/>
        </w:tabs>
        <w:ind w:left="5760" w:hanging="360"/>
      </w:pPr>
      <w:rPr>
        <w:rFonts w:ascii="Wingdings" w:hAnsi="Wingdings" w:hint="default"/>
      </w:rPr>
    </w:lvl>
    <w:lvl w:ilvl="8" w:tplc="8646CF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02674"/>
    <w:multiLevelType w:val="hybridMultilevel"/>
    <w:tmpl w:val="E37A5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200B9"/>
    <w:multiLevelType w:val="hybridMultilevel"/>
    <w:tmpl w:val="CF36D6EC"/>
    <w:lvl w:ilvl="0" w:tplc="CA2EFEB0">
      <w:start w:val="1"/>
      <w:numFmt w:val="bullet"/>
      <w:lvlText w:val=""/>
      <w:lvlJc w:val="left"/>
      <w:pPr>
        <w:tabs>
          <w:tab w:val="num" w:pos="720"/>
        </w:tabs>
        <w:ind w:left="720" w:hanging="360"/>
      </w:pPr>
      <w:rPr>
        <w:rFonts w:ascii="Wingdings" w:hAnsi="Wingdings" w:hint="default"/>
      </w:rPr>
    </w:lvl>
    <w:lvl w:ilvl="1" w:tplc="68C25D62">
      <w:numFmt w:val="bullet"/>
      <w:lvlText w:val="•"/>
      <w:lvlJc w:val="left"/>
      <w:pPr>
        <w:tabs>
          <w:tab w:val="num" w:pos="1440"/>
        </w:tabs>
        <w:ind w:left="1440" w:hanging="360"/>
      </w:pPr>
      <w:rPr>
        <w:rFonts w:ascii="Arial" w:hAnsi="Arial" w:hint="default"/>
      </w:rPr>
    </w:lvl>
    <w:lvl w:ilvl="2" w:tplc="CC14D32A" w:tentative="1">
      <w:start w:val="1"/>
      <w:numFmt w:val="bullet"/>
      <w:lvlText w:val=""/>
      <w:lvlJc w:val="left"/>
      <w:pPr>
        <w:tabs>
          <w:tab w:val="num" w:pos="2160"/>
        </w:tabs>
        <w:ind w:left="2160" w:hanging="360"/>
      </w:pPr>
      <w:rPr>
        <w:rFonts w:ascii="Wingdings" w:hAnsi="Wingdings" w:hint="default"/>
      </w:rPr>
    </w:lvl>
    <w:lvl w:ilvl="3" w:tplc="A13AADA2" w:tentative="1">
      <w:start w:val="1"/>
      <w:numFmt w:val="bullet"/>
      <w:lvlText w:val=""/>
      <w:lvlJc w:val="left"/>
      <w:pPr>
        <w:tabs>
          <w:tab w:val="num" w:pos="2880"/>
        </w:tabs>
        <w:ind w:left="2880" w:hanging="360"/>
      </w:pPr>
      <w:rPr>
        <w:rFonts w:ascii="Wingdings" w:hAnsi="Wingdings" w:hint="default"/>
      </w:rPr>
    </w:lvl>
    <w:lvl w:ilvl="4" w:tplc="C616C120" w:tentative="1">
      <w:start w:val="1"/>
      <w:numFmt w:val="bullet"/>
      <w:lvlText w:val=""/>
      <w:lvlJc w:val="left"/>
      <w:pPr>
        <w:tabs>
          <w:tab w:val="num" w:pos="3600"/>
        </w:tabs>
        <w:ind w:left="3600" w:hanging="360"/>
      </w:pPr>
      <w:rPr>
        <w:rFonts w:ascii="Wingdings" w:hAnsi="Wingdings" w:hint="default"/>
      </w:rPr>
    </w:lvl>
    <w:lvl w:ilvl="5" w:tplc="A176A6E4" w:tentative="1">
      <w:start w:val="1"/>
      <w:numFmt w:val="bullet"/>
      <w:lvlText w:val=""/>
      <w:lvlJc w:val="left"/>
      <w:pPr>
        <w:tabs>
          <w:tab w:val="num" w:pos="4320"/>
        </w:tabs>
        <w:ind w:left="4320" w:hanging="360"/>
      </w:pPr>
      <w:rPr>
        <w:rFonts w:ascii="Wingdings" w:hAnsi="Wingdings" w:hint="default"/>
      </w:rPr>
    </w:lvl>
    <w:lvl w:ilvl="6" w:tplc="05C01420" w:tentative="1">
      <w:start w:val="1"/>
      <w:numFmt w:val="bullet"/>
      <w:lvlText w:val=""/>
      <w:lvlJc w:val="left"/>
      <w:pPr>
        <w:tabs>
          <w:tab w:val="num" w:pos="5040"/>
        </w:tabs>
        <w:ind w:left="5040" w:hanging="360"/>
      </w:pPr>
      <w:rPr>
        <w:rFonts w:ascii="Wingdings" w:hAnsi="Wingdings" w:hint="default"/>
      </w:rPr>
    </w:lvl>
    <w:lvl w:ilvl="7" w:tplc="777A0540" w:tentative="1">
      <w:start w:val="1"/>
      <w:numFmt w:val="bullet"/>
      <w:lvlText w:val=""/>
      <w:lvlJc w:val="left"/>
      <w:pPr>
        <w:tabs>
          <w:tab w:val="num" w:pos="5760"/>
        </w:tabs>
        <w:ind w:left="5760" w:hanging="360"/>
      </w:pPr>
      <w:rPr>
        <w:rFonts w:ascii="Wingdings" w:hAnsi="Wingdings" w:hint="default"/>
      </w:rPr>
    </w:lvl>
    <w:lvl w:ilvl="8" w:tplc="B04613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31F13"/>
    <w:multiLevelType w:val="hybridMultilevel"/>
    <w:tmpl w:val="99C48B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941FC"/>
    <w:multiLevelType w:val="hybridMultilevel"/>
    <w:tmpl w:val="7C2AE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E262F3"/>
    <w:multiLevelType w:val="hybridMultilevel"/>
    <w:tmpl w:val="5798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A6D04"/>
    <w:multiLevelType w:val="hybridMultilevel"/>
    <w:tmpl w:val="F522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E247D"/>
    <w:multiLevelType w:val="hybridMultilevel"/>
    <w:tmpl w:val="2B36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9748E"/>
    <w:multiLevelType w:val="hybridMultilevel"/>
    <w:tmpl w:val="9538EAE8"/>
    <w:lvl w:ilvl="0" w:tplc="82B4B00A">
      <w:start w:val="1"/>
      <w:numFmt w:val="bullet"/>
      <w:lvlText w:val=""/>
      <w:lvlJc w:val="left"/>
      <w:pPr>
        <w:tabs>
          <w:tab w:val="num" w:pos="720"/>
        </w:tabs>
        <w:ind w:left="720" w:hanging="360"/>
      </w:pPr>
      <w:rPr>
        <w:rFonts w:ascii="Wingdings" w:hAnsi="Wingdings" w:hint="default"/>
      </w:rPr>
    </w:lvl>
    <w:lvl w:ilvl="1" w:tplc="0E52E452">
      <w:numFmt w:val="bullet"/>
      <w:lvlText w:val="•"/>
      <w:lvlJc w:val="left"/>
      <w:pPr>
        <w:tabs>
          <w:tab w:val="num" w:pos="1440"/>
        </w:tabs>
        <w:ind w:left="1440" w:hanging="360"/>
      </w:pPr>
      <w:rPr>
        <w:rFonts w:ascii="Arial" w:hAnsi="Arial" w:hint="default"/>
      </w:rPr>
    </w:lvl>
    <w:lvl w:ilvl="2" w:tplc="A64C20A4" w:tentative="1">
      <w:start w:val="1"/>
      <w:numFmt w:val="bullet"/>
      <w:lvlText w:val=""/>
      <w:lvlJc w:val="left"/>
      <w:pPr>
        <w:tabs>
          <w:tab w:val="num" w:pos="2160"/>
        </w:tabs>
        <w:ind w:left="2160" w:hanging="360"/>
      </w:pPr>
      <w:rPr>
        <w:rFonts w:ascii="Wingdings" w:hAnsi="Wingdings" w:hint="default"/>
      </w:rPr>
    </w:lvl>
    <w:lvl w:ilvl="3" w:tplc="89060DC4" w:tentative="1">
      <w:start w:val="1"/>
      <w:numFmt w:val="bullet"/>
      <w:lvlText w:val=""/>
      <w:lvlJc w:val="left"/>
      <w:pPr>
        <w:tabs>
          <w:tab w:val="num" w:pos="2880"/>
        </w:tabs>
        <w:ind w:left="2880" w:hanging="360"/>
      </w:pPr>
      <w:rPr>
        <w:rFonts w:ascii="Wingdings" w:hAnsi="Wingdings" w:hint="default"/>
      </w:rPr>
    </w:lvl>
    <w:lvl w:ilvl="4" w:tplc="78082F90" w:tentative="1">
      <w:start w:val="1"/>
      <w:numFmt w:val="bullet"/>
      <w:lvlText w:val=""/>
      <w:lvlJc w:val="left"/>
      <w:pPr>
        <w:tabs>
          <w:tab w:val="num" w:pos="3600"/>
        </w:tabs>
        <w:ind w:left="3600" w:hanging="360"/>
      </w:pPr>
      <w:rPr>
        <w:rFonts w:ascii="Wingdings" w:hAnsi="Wingdings" w:hint="default"/>
      </w:rPr>
    </w:lvl>
    <w:lvl w:ilvl="5" w:tplc="FC10854C" w:tentative="1">
      <w:start w:val="1"/>
      <w:numFmt w:val="bullet"/>
      <w:lvlText w:val=""/>
      <w:lvlJc w:val="left"/>
      <w:pPr>
        <w:tabs>
          <w:tab w:val="num" w:pos="4320"/>
        </w:tabs>
        <w:ind w:left="4320" w:hanging="360"/>
      </w:pPr>
      <w:rPr>
        <w:rFonts w:ascii="Wingdings" w:hAnsi="Wingdings" w:hint="default"/>
      </w:rPr>
    </w:lvl>
    <w:lvl w:ilvl="6" w:tplc="157A7232" w:tentative="1">
      <w:start w:val="1"/>
      <w:numFmt w:val="bullet"/>
      <w:lvlText w:val=""/>
      <w:lvlJc w:val="left"/>
      <w:pPr>
        <w:tabs>
          <w:tab w:val="num" w:pos="5040"/>
        </w:tabs>
        <w:ind w:left="5040" w:hanging="360"/>
      </w:pPr>
      <w:rPr>
        <w:rFonts w:ascii="Wingdings" w:hAnsi="Wingdings" w:hint="default"/>
      </w:rPr>
    </w:lvl>
    <w:lvl w:ilvl="7" w:tplc="89DAD7F2" w:tentative="1">
      <w:start w:val="1"/>
      <w:numFmt w:val="bullet"/>
      <w:lvlText w:val=""/>
      <w:lvlJc w:val="left"/>
      <w:pPr>
        <w:tabs>
          <w:tab w:val="num" w:pos="5760"/>
        </w:tabs>
        <w:ind w:left="5760" w:hanging="360"/>
      </w:pPr>
      <w:rPr>
        <w:rFonts w:ascii="Wingdings" w:hAnsi="Wingdings" w:hint="default"/>
      </w:rPr>
    </w:lvl>
    <w:lvl w:ilvl="8" w:tplc="F9D8914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A40A9"/>
    <w:multiLevelType w:val="hybridMultilevel"/>
    <w:tmpl w:val="E93C4D34"/>
    <w:lvl w:ilvl="0" w:tplc="023031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756C3"/>
    <w:multiLevelType w:val="hybridMultilevel"/>
    <w:tmpl w:val="79F4188C"/>
    <w:lvl w:ilvl="0" w:tplc="26168ABC">
      <w:start w:val="1"/>
      <w:numFmt w:val="bullet"/>
      <w:lvlText w:val=""/>
      <w:lvlJc w:val="left"/>
      <w:pPr>
        <w:tabs>
          <w:tab w:val="num" w:pos="720"/>
        </w:tabs>
        <w:ind w:left="720" w:hanging="360"/>
      </w:pPr>
      <w:rPr>
        <w:rFonts w:ascii="Wingdings" w:hAnsi="Wingdings" w:hint="default"/>
      </w:rPr>
    </w:lvl>
    <w:lvl w:ilvl="1" w:tplc="C616CB54">
      <w:numFmt w:val="bullet"/>
      <w:lvlText w:val="•"/>
      <w:lvlJc w:val="left"/>
      <w:pPr>
        <w:tabs>
          <w:tab w:val="num" w:pos="1440"/>
        </w:tabs>
        <w:ind w:left="1440" w:hanging="360"/>
      </w:pPr>
      <w:rPr>
        <w:rFonts w:ascii="Arial" w:hAnsi="Arial" w:hint="default"/>
      </w:rPr>
    </w:lvl>
    <w:lvl w:ilvl="2" w:tplc="D00847AE" w:tentative="1">
      <w:start w:val="1"/>
      <w:numFmt w:val="bullet"/>
      <w:lvlText w:val=""/>
      <w:lvlJc w:val="left"/>
      <w:pPr>
        <w:tabs>
          <w:tab w:val="num" w:pos="2160"/>
        </w:tabs>
        <w:ind w:left="2160" w:hanging="360"/>
      </w:pPr>
      <w:rPr>
        <w:rFonts w:ascii="Wingdings" w:hAnsi="Wingdings" w:hint="default"/>
      </w:rPr>
    </w:lvl>
    <w:lvl w:ilvl="3" w:tplc="3EAA7056" w:tentative="1">
      <w:start w:val="1"/>
      <w:numFmt w:val="bullet"/>
      <w:lvlText w:val=""/>
      <w:lvlJc w:val="left"/>
      <w:pPr>
        <w:tabs>
          <w:tab w:val="num" w:pos="2880"/>
        </w:tabs>
        <w:ind w:left="2880" w:hanging="360"/>
      </w:pPr>
      <w:rPr>
        <w:rFonts w:ascii="Wingdings" w:hAnsi="Wingdings" w:hint="default"/>
      </w:rPr>
    </w:lvl>
    <w:lvl w:ilvl="4" w:tplc="FD424F6A" w:tentative="1">
      <w:start w:val="1"/>
      <w:numFmt w:val="bullet"/>
      <w:lvlText w:val=""/>
      <w:lvlJc w:val="left"/>
      <w:pPr>
        <w:tabs>
          <w:tab w:val="num" w:pos="3600"/>
        </w:tabs>
        <w:ind w:left="3600" w:hanging="360"/>
      </w:pPr>
      <w:rPr>
        <w:rFonts w:ascii="Wingdings" w:hAnsi="Wingdings" w:hint="default"/>
      </w:rPr>
    </w:lvl>
    <w:lvl w:ilvl="5" w:tplc="EACE9096" w:tentative="1">
      <w:start w:val="1"/>
      <w:numFmt w:val="bullet"/>
      <w:lvlText w:val=""/>
      <w:lvlJc w:val="left"/>
      <w:pPr>
        <w:tabs>
          <w:tab w:val="num" w:pos="4320"/>
        </w:tabs>
        <w:ind w:left="4320" w:hanging="360"/>
      </w:pPr>
      <w:rPr>
        <w:rFonts w:ascii="Wingdings" w:hAnsi="Wingdings" w:hint="default"/>
      </w:rPr>
    </w:lvl>
    <w:lvl w:ilvl="6" w:tplc="71E6F19E" w:tentative="1">
      <w:start w:val="1"/>
      <w:numFmt w:val="bullet"/>
      <w:lvlText w:val=""/>
      <w:lvlJc w:val="left"/>
      <w:pPr>
        <w:tabs>
          <w:tab w:val="num" w:pos="5040"/>
        </w:tabs>
        <w:ind w:left="5040" w:hanging="360"/>
      </w:pPr>
      <w:rPr>
        <w:rFonts w:ascii="Wingdings" w:hAnsi="Wingdings" w:hint="default"/>
      </w:rPr>
    </w:lvl>
    <w:lvl w:ilvl="7" w:tplc="D1A43738" w:tentative="1">
      <w:start w:val="1"/>
      <w:numFmt w:val="bullet"/>
      <w:lvlText w:val=""/>
      <w:lvlJc w:val="left"/>
      <w:pPr>
        <w:tabs>
          <w:tab w:val="num" w:pos="5760"/>
        </w:tabs>
        <w:ind w:left="5760" w:hanging="360"/>
      </w:pPr>
      <w:rPr>
        <w:rFonts w:ascii="Wingdings" w:hAnsi="Wingdings" w:hint="default"/>
      </w:rPr>
    </w:lvl>
    <w:lvl w:ilvl="8" w:tplc="B7A4A7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133AF8"/>
    <w:multiLevelType w:val="hybridMultilevel"/>
    <w:tmpl w:val="1D2EC0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ABB29BB"/>
    <w:multiLevelType w:val="hybridMultilevel"/>
    <w:tmpl w:val="26A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8"/>
  </w:num>
  <w:num w:numId="4">
    <w:abstractNumId w:val="1"/>
  </w:num>
  <w:num w:numId="5">
    <w:abstractNumId w:val="0"/>
  </w:num>
  <w:num w:numId="6">
    <w:abstractNumId w:val="9"/>
  </w:num>
  <w:num w:numId="7">
    <w:abstractNumId w:val="10"/>
  </w:num>
  <w:num w:numId="8">
    <w:abstractNumId w:val="11"/>
  </w:num>
  <w:num w:numId="9">
    <w:abstractNumId w:val="5"/>
  </w:num>
  <w:num w:numId="10">
    <w:abstractNumId w:val="7"/>
  </w:num>
  <w:num w:numId="11">
    <w:abstractNumId w:val="4"/>
  </w:num>
  <w:num w:numId="12">
    <w:abstractNumId w:val="12"/>
  </w:num>
  <w:num w:numId="13">
    <w:abstractNumId w:val="14"/>
  </w:num>
  <w:num w:numId="14">
    <w:abstractNumId w:val="2"/>
  </w:num>
  <w:num w:numId="15">
    <w:abstractNumId w:val="6"/>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42"/>
    <w:rsid w:val="00001118"/>
    <w:rsid w:val="00002E6A"/>
    <w:rsid w:val="00003A4D"/>
    <w:rsid w:val="0000440A"/>
    <w:rsid w:val="000118EE"/>
    <w:rsid w:val="0001242D"/>
    <w:rsid w:val="00015B41"/>
    <w:rsid w:val="00017071"/>
    <w:rsid w:val="000204CA"/>
    <w:rsid w:val="00020C31"/>
    <w:rsid w:val="000218F7"/>
    <w:rsid w:val="00021DB5"/>
    <w:rsid w:val="00022674"/>
    <w:rsid w:val="0002571A"/>
    <w:rsid w:val="000264A9"/>
    <w:rsid w:val="000276C6"/>
    <w:rsid w:val="0002780C"/>
    <w:rsid w:val="00030CD2"/>
    <w:rsid w:val="00037FAA"/>
    <w:rsid w:val="000403D0"/>
    <w:rsid w:val="0004067A"/>
    <w:rsid w:val="00041F9E"/>
    <w:rsid w:val="00047521"/>
    <w:rsid w:val="00050270"/>
    <w:rsid w:val="00052709"/>
    <w:rsid w:val="00052793"/>
    <w:rsid w:val="00056C2E"/>
    <w:rsid w:val="00060B9C"/>
    <w:rsid w:val="00060CF5"/>
    <w:rsid w:val="00061C9B"/>
    <w:rsid w:val="00062D75"/>
    <w:rsid w:val="00064314"/>
    <w:rsid w:val="0006596E"/>
    <w:rsid w:val="000706E3"/>
    <w:rsid w:val="000738FB"/>
    <w:rsid w:val="000751E3"/>
    <w:rsid w:val="00075704"/>
    <w:rsid w:val="000760D4"/>
    <w:rsid w:val="000764D8"/>
    <w:rsid w:val="00080A1A"/>
    <w:rsid w:val="00080A6B"/>
    <w:rsid w:val="00081BCB"/>
    <w:rsid w:val="00084534"/>
    <w:rsid w:val="00084818"/>
    <w:rsid w:val="0008549A"/>
    <w:rsid w:val="00087B57"/>
    <w:rsid w:val="00094BF1"/>
    <w:rsid w:val="00095A13"/>
    <w:rsid w:val="000A1F4E"/>
    <w:rsid w:val="000A28FC"/>
    <w:rsid w:val="000A2E8A"/>
    <w:rsid w:val="000A4F9F"/>
    <w:rsid w:val="000A5541"/>
    <w:rsid w:val="000A5AA8"/>
    <w:rsid w:val="000A7754"/>
    <w:rsid w:val="000A7BA0"/>
    <w:rsid w:val="000B5174"/>
    <w:rsid w:val="000B648B"/>
    <w:rsid w:val="000B6F9B"/>
    <w:rsid w:val="000C07CE"/>
    <w:rsid w:val="000C3C01"/>
    <w:rsid w:val="000C509F"/>
    <w:rsid w:val="000C6200"/>
    <w:rsid w:val="000C674E"/>
    <w:rsid w:val="000C6BFB"/>
    <w:rsid w:val="000D04FB"/>
    <w:rsid w:val="000D062A"/>
    <w:rsid w:val="000D1228"/>
    <w:rsid w:val="000D4A39"/>
    <w:rsid w:val="000D70B1"/>
    <w:rsid w:val="000D7F65"/>
    <w:rsid w:val="000E204A"/>
    <w:rsid w:val="000F10D7"/>
    <w:rsid w:val="000F1C5F"/>
    <w:rsid w:val="000F28A0"/>
    <w:rsid w:val="000F4BF8"/>
    <w:rsid w:val="000F4F96"/>
    <w:rsid w:val="000F623C"/>
    <w:rsid w:val="000F627F"/>
    <w:rsid w:val="000F7840"/>
    <w:rsid w:val="00101E45"/>
    <w:rsid w:val="001028C1"/>
    <w:rsid w:val="00102F03"/>
    <w:rsid w:val="00107463"/>
    <w:rsid w:val="00107D69"/>
    <w:rsid w:val="0011037E"/>
    <w:rsid w:val="001217C9"/>
    <w:rsid w:val="00121FA3"/>
    <w:rsid w:val="0012228B"/>
    <w:rsid w:val="001234B2"/>
    <w:rsid w:val="00125769"/>
    <w:rsid w:val="00126605"/>
    <w:rsid w:val="00126FED"/>
    <w:rsid w:val="001300DE"/>
    <w:rsid w:val="00131456"/>
    <w:rsid w:val="00131D3C"/>
    <w:rsid w:val="00133D85"/>
    <w:rsid w:val="00133F3B"/>
    <w:rsid w:val="00134167"/>
    <w:rsid w:val="001351AC"/>
    <w:rsid w:val="001354B2"/>
    <w:rsid w:val="0013715D"/>
    <w:rsid w:val="001406F1"/>
    <w:rsid w:val="00141703"/>
    <w:rsid w:val="00143586"/>
    <w:rsid w:val="0014469D"/>
    <w:rsid w:val="001515CC"/>
    <w:rsid w:val="0015407A"/>
    <w:rsid w:val="0015571D"/>
    <w:rsid w:val="00156677"/>
    <w:rsid w:val="00156D98"/>
    <w:rsid w:val="001575DA"/>
    <w:rsid w:val="001618AE"/>
    <w:rsid w:val="00161A32"/>
    <w:rsid w:val="0016285C"/>
    <w:rsid w:val="0016456E"/>
    <w:rsid w:val="001712C4"/>
    <w:rsid w:val="001768ED"/>
    <w:rsid w:val="00176973"/>
    <w:rsid w:val="00182328"/>
    <w:rsid w:val="001835B6"/>
    <w:rsid w:val="00183FF8"/>
    <w:rsid w:val="00184F48"/>
    <w:rsid w:val="00185A24"/>
    <w:rsid w:val="00190717"/>
    <w:rsid w:val="00190BBB"/>
    <w:rsid w:val="00190E22"/>
    <w:rsid w:val="00190E28"/>
    <w:rsid w:val="00193A32"/>
    <w:rsid w:val="001A01AC"/>
    <w:rsid w:val="001A30EC"/>
    <w:rsid w:val="001B2603"/>
    <w:rsid w:val="001B44ED"/>
    <w:rsid w:val="001B5036"/>
    <w:rsid w:val="001B5B01"/>
    <w:rsid w:val="001B7A97"/>
    <w:rsid w:val="001C3112"/>
    <w:rsid w:val="001C61CF"/>
    <w:rsid w:val="001C7173"/>
    <w:rsid w:val="001D67B6"/>
    <w:rsid w:val="001E0C94"/>
    <w:rsid w:val="001E59CD"/>
    <w:rsid w:val="001F06FE"/>
    <w:rsid w:val="001F0D2B"/>
    <w:rsid w:val="001F20C2"/>
    <w:rsid w:val="001F7569"/>
    <w:rsid w:val="001F7D2C"/>
    <w:rsid w:val="0020239A"/>
    <w:rsid w:val="002053F6"/>
    <w:rsid w:val="00205E9D"/>
    <w:rsid w:val="0021272C"/>
    <w:rsid w:val="00214B7F"/>
    <w:rsid w:val="002158DB"/>
    <w:rsid w:val="00216C72"/>
    <w:rsid w:val="00216F25"/>
    <w:rsid w:val="00221278"/>
    <w:rsid w:val="0022232B"/>
    <w:rsid w:val="002244A9"/>
    <w:rsid w:val="0022619B"/>
    <w:rsid w:val="00226D99"/>
    <w:rsid w:val="0022708E"/>
    <w:rsid w:val="00231F59"/>
    <w:rsid w:val="00234718"/>
    <w:rsid w:val="00234E8A"/>
    <w:rsid w:val="00240A2B"/>
    <w:rsid w:val="00241E2D"/>
    <w:rsid w:val="00244D07"/>
    <w:rsid w:val="00247BA0"/>
    <w:rsid w:val="00251E5A"/>
    <w:rsid w:val="0026079C"/>
    <w:rsid w:val="00261A96"/>
    <w:rsid w:val="0026236D"/>
    <w:rsid w:val="00264ED5"/>
    <w:rsid w:val="002670BE"/>
    <w:rsid w:val="00270132"/>
    <w:rsid w:val="0027319B"/>
    <w:rsid w:val="00273357"/>
    <w:rsid w:val="002752C2"/>
    <w:rsid w:val="002763D2"/>
    <w:rsid w:val="00276B94"/>
    <w:rsid w:val="00280EF1"/>
    <w:rsid w:val="00282A5F"/>
    <w:rsid w:val="00282D2D"/>
    <w:rsid w:val="002A20A4"/>
    <w:rsid w:val="002A2324"/>
    <w:rsid w:val="002A2347"/>
    <w:rsid w:val="002A37DF"/>
    <w:rsid w:val="002A3872"/>
    <w:rsid w:val="002A3F3F"/>
    <w:rsid w:val="002A426A"/>
    <w:rsid w:val="002A48A2"/>
    <w:rsid w:val="002B13F7"/>
    <w:rsid w:val="002B3309"/>
    <w:rsid w:val="002B6185"/>
    <w:rsid w:val="002B6BFA"/>
    <w:rsid w:val="002C1BC5"/>
    <w:rsid w:val="002C31EE"/>
    <w:rsid w:val="002C6ECC"/>
    <w:rsid w:val="002C6F6E"/>
    <w:rsid w:val="002C7B66"/>
    <w:rsid w:val="002D11E0"/>
    <w:rsid w:val="002D49DA"/>
    <w:rsid w:val="002D5230"/>
    <w:rsid w:val="002D6477"/>
    <w:rsid w:val="002D785A"/>
    <w:rsid w:val="002E021A"/>
    <w:rsid w:val="002E06AA"/>
    <w:rsid w:val="002E1347"/>
    <w:rsid w:val="002E2886"/>
    <w:rsid w:val="002E47BC"/>
    <w:rsid w:val="002E5254"/>
    <w:rsid w:val="002F19CC"/>
    <w:rsid w:val="002F222A"/>
    <w:rsid w:val="002F2D13"/>
    <w:rsid w:val="002F4F21"/>
    <w:rsid w:val="002F52D7"/>
    <w:rsid w:val="002F7382"/>
    <w:rsid w:val="002F75CF"/>
    <w:rsid w:val="002F7D16"/>
    <w:rsid w:val="00300835"/>
    <w:rsid w:val="003032D0"/>
    <w:rsid w:val="0030503D"/>
    <w:rsid w:val="003113E0"/>
    <w:rsid w:val="003116A6"/>
    <w:rsid w:val="00312F15"/>
    <w:rsid w:val="00315981"/>
    <w:rsid w:val="0031708C"/>
    <w:rsid w:val="00321E33"/>
    <w:rsid w:val="00322B44"/>
    <w:rsid w:val="00323671"/>
    <w:rsid w:val="003271AE"/>
    <w:rsid w:val="003276AA"/>
    <w:rsid w:val="00327EDC"/>
    <w:rsid w:val="003301BD"/>
    <w:rsid w:val="00332ADC"/>
    <w:rsid w:val="00332B24"/>
    <w:rsid w:val="00332CE8"/>
    <w:rsid w:val="00333BCC"/>
    <w:rsid w:val="00335760"/>
    <w:rsid w:val="003362B2"/>
    <w:rsid w:val="00337194"/>
    <w:rsid w:val="00342DFE"/>
    <w:rsid w:val="003432E1"/>
    <w:rsid w:val="003436D8"/>
    <w:rsid w:val="00346337"/>
    <w:rsid w:val="00347EBB"/>
    <w:rsid w:val="0035512C"/>
    <w:rsid w:val="00355B49"/>
    <w:rsid w:val="00357208"/>
    <w:rsid w:val="003607F2"/>
    <w:rsid w:val="00360F35"/>
    <w:rsid w:val="00361598"/>
    <w:rsid w:val="00361C85"/>
    <w:rsid w:val="003623EE"/>
    <w:rsid w:val="0036247E"/>
    <w:rsid w:val="0036371F"/>
    <w:rsid w:val="00363F38"/>
    <w:rsid w:val="00364E4B"/>
    <w:rsid w:val="003673EA"/>
    <w:rsid w:val="00370305"/>
    <w:rsid w:val="00370A6F"/>
    <w:rsid w:val="00373784"/>
    <w:rsid w:val="0037464C"/>
    <w:rsid w:val="00375E17"/>
    <w:rsid w:val="003760C6"/>
    <w:rsid w:val="003774E3"/>
    <w:rsid w:val="003823D1"/>
    <w:rsid w:val="0038290D"/>
    <w:rsid w:val="00383A2E"/>
    <w:rsid w:val="0038424F"/>
    <w:rsid w:val="003848C9"/>
    <w:rsid w:val="00385479"/>
    <w:rsid w:val="00385C5A"/>
    <w:rsid w:val="0038600B"/>
    <w:rsid w:val="00386CDA"/>
    <w:rsid w:val="00387235"/>
    <w:rsid w:val="003877D7"/>
    <w:rsid w:val="0039253D"/>
    <w:rsid w:val="00394012"/>
    <w:rsid w:val="00394898"/>
    <w:rsid w:val="003A185F"/>
    <w:rsid w:val="003A6943"/>
    <w:rsid w:val="003A77D4"/>
    <w:rsid w:val="003A7D3B"/>
    <w:rsid w:val="003B02B6"/>
    <w:rsid w:val="003B0C6E"/>
    <w:rsid w:val="003B146D"/>
    <w:rsid w:val="003B2F44"/>
    <w:rsid w:val="003C0129"/>
    <w:rsid w:val="003C1290"/>
    <w:rsid w:val="003C1309"/>
    <w:rsid w:val="003C194E"/>
    <w:rsid w:val="003C5A8F"/>
    <w:rsid w:val="003C6F2D"/>
    <w:rsid w:val="003D08F9"/>
    <w:rsid w:val="003D1073"/>
    <w:rsid w:val="003D30D7"/>
    <w:rsid w:val="003D49C3"/>
    <w:rsid w:val="003D63C2"/>
    <w:rsid w:val="003D6A3A"/>
    <w:rsid w:val="003E692C"/>
    <w:rsid w:val="003F3938"/>
    <w:rsid w:val="003F5974"/>
    <w:rsid w:val="003F6185"/>
    <w:rsid w:val="003F6CE0"/>
    <w:rsid w:val="003F7543"/>
    <w:rsid w:val="00402486"/>
    <w:rsid w:val="00402493"/>
    <w:rsid w:val="0040436A"/>
    <w:rsid w:val="004046D3"/>
    <w:rsid w:val="00407546"/>
    <w:rsid w:val="00411B59"/>
    <w:rsid w:val="00413696"/>
    <w:rsid w:val="00413D05"/>
    <w:rsid w:val="00421C3C"/>
    <w:rsid w:val="00424ACA"/>
    <w:rsid w:val="00427B8C"/>
    <w:rsid w:val="00427E35"/>
    <w:rsid w:val="0043072E"/>
    <w:rsid w:val="00431B8E"/>
    <w:rsid w:val="00434AFA"/>
    <w:rsid w:val="00435D76"/>
    <w:rsid w:val="0043664E"/>
    <w:rsid w:val="00443038"/>
    <w:rsid w:val="00443913"/>
    <w:rsid w:val="0044606D"/>
    <w:rsid w:val="0044692C"/>
    <w:rsid w:val="00447288"/>
    <w:rsid w:val="00447EF2"/>
    <w:rsid w:val="00450A08"/>
    <w:rsid w:val="00450F2E"/>
    <w:rsid w:val="00451383"/>
    <w:rsid w:val="00452F05"/>
    <w:rsid w:val="00456080"/>
    <w:rsid w:val="00456E46"/>
    <w:rsid w:val="00457D37"/>
    <w:rsid w:val="0046176F"/>
    <w:rsid w:val="00461E42"/>
    <w:rsid w:val="004678EE"/>
    <w:rsid w:val="004708CC"/>
    <w:rsid w:val="004709D9"/>
    <w:rsid w:val="0047118F"/>
    <w:rsid w:val="00474459"/>
    <w:rsid w:val="0047599C"/>
    <w:rsid w:val="00481301"/>
    <w:rsid w:val="004827FB"/>
    <w:rsid w:val="004829A9"/>
    <w:rsid w:val="00482A16"/>
    <w:rsid w:val="00483F02"/>
    <w:rsid w:val="0048476E"/>
    <w:rsid w:val="00485D45"/>
    <w:rsid w:val="00492046"/>
    <w:rsid w:val="00496E79"/>
    <w:rsid w:val="004A0152"/>
    <w:rsid w:val="004A1C44"/>
    <w:rsid w:val="004A4B15"/>
    <w:rsid w:val="004A7950"/>
    <w:rsid w:val="004B2081"/>
    <w:rsid w:val="004B4914"/>
    <w:rsid w:val="004B6285"/>
    <w:rsid w:val="004B7469"/>
    <w:rsid w:val="004B74B5"/>
    <w:rsid w:val="004C2468"/>
    <w:rsid w:val="004C25F1"/>
    <w:rsid w:val="004C3E18"/>
    <w:rsid w:val="004C5634"/>
    <w:rsid w:val="004C5D65"/>
    <w:rsid w:val="004D025B"/>
    <w:rsid w:val="004D0E4B"/>
    <w:rsid w:val="004D2488"/>
    <w:rsid w:val="004D25DB"/>
    <w:rsid w:val="004D417A"/>
    <w:rsid w:val="004D4C96"/>
    <w:rsid w:val="004D63BB"/>
    <w:rsid w:val="004D6935"/>
    <w:rsid w:val="004D6A1A"/>
    <w:rsid w:val="004E1A84"/>
    <w:rsid w:val="004E1C1B"/>
    <w:rsid w:val="004E1DC3"/>
    <w:rsid w:val="004E32CF"/>
    <w:rsid w:val="004E6ADC"/>
    <w:rsid w:val="004E6B00"/>
    <w:rsid w:val="004F0377"/>
    <w:rsid w:val="004F0A1E"/>
    <w:rsid w:val="004F0C12"/>
    <w:rsid w:val="004F151C"/>
    <w:rsid w:val="004F273A"/>
    <w:rsid w:val="004F3B94"/>
    <w:rsid w:val="004F3CAF"/>
    <w:rsid w:val="004F47A2"/>
    <w:rsid w:val="004F5B5C"/>
    <w:rsid w:val="00500346"/>
    <w:rsid w:val="005017C4"/>
    <w:rsid w:val="00502D64"/>
    <w:rsid w:val="00507929"/>
    <w:rsid w:val="00511C34"/>
    <w:rsid w:val="00511C84"/>
    <w:rsid w:val="0051351C"/>
    <w:rsid w:val="00515951"/>
    <w:rsid w:val="00515EF8"/>
    <w:rsid w:val="00516406"/>
    <w:rsid w:val="00517A3B"/>
    <w:rsid w:val="00520824"/>
    <w:rsid w:val="005243A6"/>
    <w:rsid w:val="005244E7"/>
    <w:rsid w:val="00526E25"/>
    <w:rsid w:val="005301AD"/>
    <w:rsid w:val="00530DE3"/>
    <w:rsid w:val="00533109"/>
    <w:rsid w:val="005331AB"/>
    <w:rsid w:val="00533EBA"/>
    <w:rsid w:val="00535324"/>
    <w:rsid w:val="00535B72"/>
    <w:rsid w:val="005374DA"/>
    <w:rsid w:val="005414AE"/>
    <w:rsid w:val="00541974"/>
    <w:rsid w:val="005449DA"/>
    <w:rsid w:val="00547EEE"/>
    <w:rsid w:val="00550088"/>
    <w:rsid w:val="00551567"/>
    <w:rsid w:val="00551FDA"/>
    <w:rsid w:val="00552581"/>
    <w:rsid w:val="005549BA"/>
    <w:rsid w:val="00555FCC"/>
    <w:rsid w:val="00556599"/>
    <w:rsid w:val="00557E36"/>
    <w:rsid w:val="00574D2A"/>
    <w:rsid w:val="00577509"/>
    <w:rsid w:val="00581D0F"/>
    <w:rsid w:val="00583AD7"/>
    <w:rsid w:val="00584670"/>
    <w:rsid w:val="00590F6F"/>
    <w:rsid w:val="00591032"/>
    <w:rsid w:val="00591D13"/>
    <w:rsid w:val="00592931"/>
    <w:rsid w:val="005938E7"/>
    <w:rsid w:val="00593E47"/>
    <w:rsid w:val="00595665"/>
    <w:rsid w:val="00596E9A"/>
    <w:rsid w:val="005A5725"/>
    <w:rsid w:val="005A61CF"/>
    <w:rsid w:val="005B10C5"/>
    <w:rsid w:val="005B3CE2"/>
    <w:rsid w:val="005B4BF9"/>
    <w:rsid w:val="005B50F2"/>
    <w:rsid w:val="005B58AD"/>
    <w:rsid w:val="005B7823"/>
    <w:rsid w:val="005C3C45"/>
    <w:rsid w:val="005C5A51"/>
    <w:rsid w:val="005D0861"/>
    <w:rsid w:val="005D2123"/>
    <w:rsid w:val="005D2537"/>
    <w:rsid w:val="005D2A3D"/>
    <w:rsid w:val="005D3EA2"/>
    <w:rsid w:val="005D6945"/>
    <w:rsid w:val="005D7097"/>
    <w:rsid w:val="005D77AB"/>
    <w:rsid w:val="005D791B"/>
    <w:rsid w:val="005E32C5"/>
    <w:rsid w:val="005E6712"/>
    <w:rsid w:val="005E67DD"/>
    <w:rsid w:val="005E7655"/>
    <w:rsid w:val="005F410B"/>
    <w:rsid w:val="005F563E"/>
    <w:rsid w:val="0060042C"/>
    <w:rsid w:val="00600E56"/>
    <w:rsid w:val="00602A04"/>
    <w:rsid w:val="006076A4"/>
    <w:rsid w:val="006112F3"/>
    <w:rsid w:val="006135AA"/>
    <w:rsid w:val="00614259"/>
    <w:rsid w:val="00614D99"/>
    <w:rsid w:val="00615F2A"/>
    <w:rsid w:val="006171AE"/>
    <w:rsid w:val="006174A7"/>
    <w:rsid w:val="00617CA6"/>
    <w:rsid w:val="0062078B"/>
    <w:rsid w:val="00624481"/>
    <w:rsid w:val="006263FC"/>
    <w:rsid w:val="006269B5"/>
    <w:rsid w:val="00630795"/>
    <w:rsid w:val="00632BCD"/>
    <w:rsid w:val="006339E1"/>
    <w:rsid w:val="00637254"/>
    <w:rsid w:val="00641897"/>
    <w:rsid w:val="00643EEC"/>
    <w:rsid w:val="00644F4A"/>
    <w:rsid w:val="00645FDD"/>
    <w:rsid w:val="00646C39"/>
    <w:rsid w:val="0064728E"/>
    <w:rsid w:val="0064784B"/>
    <w:rsid w:val="006546C1"/>
    <w:rsid w:val="00656C01"/>
    <w:rsid w:val="00660720"/>
    <w:rsid w:val="00664E5E"/>
    <w:rsid w:val="006668D6"/>
    <w:rsid w:val="00671FB6"/>
    <w:rsid w:val="0067284C"/>
    <w:rsid w:val="00677D28"/>
    <w:rsid w:val="00680FE2"/>
    <w:rsid w:val="0068164E"/>
    <w:rsid w:val="0068209D"/>
    <w:rsid w:val="006848AB"/>
    <w:rsid w:val="00685DC5"/>
    <w:rsid w:val="00687277"/>
    <w:rsid w:val="006874DA"/>
    <w:rsid w:val="00690AC3"/>
    <w:rsid w:val="0069122A"/>
    <w:rsid w:val="0069378F"/>
    <w:rsid w:val="00694052"/>
    <w:rsid w:val="00694E49"/>
    <w:rsid w:val="006A09BB"/>
    <w:rsid w:val="006A1375"/>
    <w:rsid w:val="006A1DED"/>
    <w:rsid w:val="006A26C8"/>
    <w:rsid w:val="006B007E"/>
    <w:rsid w:val="006B04A2"/>
    <w:rsid w:val="006B2540"/>
    <w:rsid w:val="006B6B6B"/>
    <w:rsid w:val="006B73C6"/>
    <w:rsid w:val="006C0B03"/>
    <w:rsid w:val="006C4506"/>
    <w:rsid w:val="006C5AFE"/>
    <w:rsid w:val="006D00EB"/>
    <w:rsid w:val="006D062F"/>
    <w:rsid w:val="006D1A8E"/>
    <w:rsid w:val="006D1C73"/>
    <w:rsid w:val="006D3859"/>
    <w:rsid w:val="006D4158"/>
    <w:rsid w:val="006D6DDF"/>
    <w:rsid w:val="006E1954"/>
    <w:rsid w:val="006E2D7F"/>
    <w:rsid w:val="006E48B6"/>
    <w:rsid w:val="006E573D"/>
    <w:rsid w:val="006F06F6"/>
    <w:rsid w:val="006F217C"/>
    <w:rsid w:val="006F2A5F"/>
    <w:rsid w:val="006F44A1"/>
    <w:rsid w:val="006F590A"/>
    <w:rsid w:val="006F5B13"/>
    <w:rsid w:val="006F7570"/>
    <w:rsid w:val="00700D51"/>
    <w:rsid w:val="0070656A"/>
    <w:rsid w:val="00706C61"/>
    <w:rsid w:val="007115BA"/>
    <w:rsid w:val="00712447"/>
    <w:rsid w:val="00712E75"/>
    <w:rsid w:val="00713F57"/>
    <w:rsid w:val="007154A3"/>
    <w:rsid w:val="00715665"/>
    <w:rsid w:val="00717033"/>
    <w:rsid w:val="00717D22"/>
    <w:rsid w:val="0072067D"/>
    <w:rsid w:val="007210C5"/>
    <w:rsid w:val="007218CD"/>
    <w:rsid w:val="00721E65"/>
    <w:rsid w:val="00722581"/>
    <w:rsid w:val="0072675F"/>
    <w:rsid w:val="007277B5"/>
    <w:rsid w:val="00727B6A"/>
    <w:rsid w:val="00734242"/>
    <w:rsid w:val="00734E07"/>
    <w:rsid w:val="0073592B"/>
    <w:rsid w:val="007374B0"/>
    <w:rsid w:val="007409F7"/>
    <w:rsid w:val="00741E36"/>
    <w:rsid w:val="007420B3"/>
    <w:rsid w:val="00742471"/>
    <w:rsid w:val="00747C39"/>
    <w:rsid w:val="00751B92"/>
    <w:rsid w:val="00752401"/>
    <w:rsid w:val="00757896"/>
    <w:rsid w:val="00757F36"/>
    <w:rsid w:val="007619FD"/>
    <w:rsid w:val="007641C3"/>
    <w:rsid w:val="00765B3D"/>
    <w:rsid w:val="00770498"/>
    <w:rsid w:val="00771217"/>
    <w:rsid w:val="00771B0E"/>
    <w:rsid w:val="00771DD5"/>
    <w:rsid w:val="00771E04"/>
    <w:rsid w:val="00772610"/>
    <w:rsid w:val="00773AE1"/>
    <w:rsid w:val="00782887"/>
    <w:rsid w:val="00784B04"/>
    <w:rsid w:val="00786158"/>
    <w:rsid w:val="00786AC9"/>
    <w:rsid w:val="0078763E"/>
    <w:rsid w:val="00792713"/>
    <w:rsid w:val="0079290F"/>
    <w:rsid w:val="0079471D"/>
    <w:rsid w:val="00794D78"/>
    <w:rsid w:val="0079520D"/>
    <w:rsid w:val="007A2980"/>
    <w:rsid w:val="007A29C0"/>
    <w:rsid w:val="007A5383"/>
    <w:rsid w:val="007A709C"/>
    <w:rsid w:val="007A7AD2"/>
    <w:rsid w:val="007A7B4F"/>
    <w:rsid w:val="007A7E07"/>
    <w:rsid w:val="007B0471"/>
    <w:rsid w:val="007B0523"/>
    <w:rsid w:val="007B2019"/>
    <w:rsid w:val="007B2C5A"/>
    <w:rsid w:val="007B3033"/>
    <w:rsid w:val="007B3ECD"/>
    <w:rsid w:val="007B6BFA"/>
    <w:rsid w:val="007B7F9A"/>
    <w:rsid w:val="007C1DF4"/>
    <w:rsid w:val="007C22DD"/>
    <w:rsid w:val="007C4D7C"/>
    <w:rsid w:val="007C7881"/>
    <w:rsid w:val="007D08EE"/>
    <w:rsid w:val="007D6A6D"/>
    <w:rsid w:val="007E0E3D"/>
    <w:rsid w:val="007E1625"/>
    <w:rsid w:val="007E37A8"/>
    <w:rsid w:val="007E4870"/>
    <w:rsid w:val="007E5F66"/>
    <w:rsid w:val="007F2B0D"/>
    <w:rsid w:val="007F4F64"/>
    <w:rsid w:val="007F51CD"/>
    <w:rsid w:val="007F61E5"/>
    <w:rsid w:val="008002DA"/>
    <w:rsid w:val="008007DC"/>
    <w:rsid w:val="008013F8"/>
    <w:rsid w:val="00802229"/>
    <w:rsid w:val="00802C44"/>
    <w:rsid w:val="008031C2"/>
    <w:rsid w:val="00803CE9"/>
    <w:rsid w:val="00804836"/>
    <w:rsid w:val="00804CE5"/>
    <w:rsid w:val="00806543"/>
    <w:rsid w:val="008076FF"/>
    <w:rsid w:val="00812DDE"/>
    <w:rsid w:val="008142B6"/>
    <w:rsid w:val="00814DBC"/>
    <w:rsid w:val="0081775B"/>
    <w:rsid w:val="00817A17"/>
    <w:rsid w:val="008276DA"/>
    <w:rsid w:val="008307C5"/>
    <w:rsid w:val="00832EE8"/>
    <w:rsid w:val="00835BE9"/>
    <w:rsid w:val="008412E6"/>
    <w:rsid w:val="0084291F"/>
    <w:rsid w:val="0085435E"/>
    <w:rsid w:val="0086057C"/>
    <w:rsid w:val="008622B9"/>
    <w:rsid w:val="00863806"/>
    <w:rsid w:val="0086393D"/>
    <w:rsid w:val="0086511D"/>
    <w:rsid w:val="008660DD"/>
    <w:rsid w:val="0086736A"/>
    <w:rsid w:val="00871140"/>
    <w:rsid w:val="0087370D"/>
    <w:rsid w:val="008738BF"/>
    <w:rsid w:val="00877927"/>
    <w:rsid w:val="0088380C"/>
    <w:rsid w:val="00885912"/>
    <w:rsid w:val="00885D88"/>
    <w:rsid w:val="0088662B"/>
    <w:rsid w:val="0089099F"/>
    <w:rsid w:val="00890B05"/>
    <w:rsid w:val="00891A52"/>
    <w:rsid w:val="008931C4"/>
    <w:rsid w:val="00893BDA"/>
    <w:rsid w:val="00894674"/>
    <w:rsid w:val="00894697"/>
    <w:rsid w:val="0089552E"/>
    <w:rsid w:val="00896BF6"/>
    <w:rsid w:val="008972BE"/>
    <w:rsid w:val="008974DB"/>
    <w:rsid w:val="008A0996"/>
    <w:rsid w:val="008A24FD"/>
    <w:rsid w:val="008A5702"/>
    <w:rsid w:val="008A5CBB"/>
    <w:rsid w:val="008B0A78"/>
    <w:rsid w:val="008B3EBE"/>
    <w:rsid w:val="008B4D64"/>
    <w:rsid w:val="008B6753"/>
    <w:rsid w:val="008B6A78"/>
    <w:rsid w:val="008C00A7"/>
    <w:rsid w:val="008C1183"/>
    <w:rsid w:val="008C33C1"/>
    <w:rsid w:val="008C33E7"/>
    <w:rsid w:val="008C4CD8"/>
    <w:rsid w:val="008C6F2B"/>
    <w:rsid w:val="008C792C"/>
    <w:rsid w:val="008D3452"/>
    <w:rsid w:val="008D3860"/>
    <w:rsid w:val="008D3C41"/>
    <w:rsid w:val="008D51AF"/>
    <w:rsid w:val="008D6A51"/>
    <w:rsid w:val="008E5089"/>
    <w:rsid w:val="008E7EA4"/>
    <w:rsid w:val="008F004B"/>
    <w:rsid w:val="008F1E8F"/>
    <w:rsid w:val="008F3399"/>
    <w:rsid w:val="008F35C5"/>
    <w:rsid w:val="008F3885"/>
    <w:rsid w:val="008F4B60"/>
    <w:rsid w:val="008F5185"/>
    <w:rsid w:val="009006BF"/>
    <w:rsid w:val="00901DC1"/>
    <w:rsid w:val="00902391"/>
    <w:rsid w:val="00902FAA"/>
    <w:rsid w:val="009035EE"/>
    <w:rsid w:val="0090442F"/>
    <w:rsid w:val="00904592"/>
    <w:rsid w:val="0090488C"/>
    <w:rsid w:val="00904B42"/>
    <w:rsid w:val="009052F7"/>
    <w:rsid w:val="00906599"/>
    <w:rsid w:val="009109AE"/>
    <w:rsid w:val="009112D1"/>
    <w:rsid w:val="00912439"/>
    <w:rsid w:val="009153F0"/>
    <w:rsid w:val="00916E3F"/>
    <w:rsid w:val="00920111"/>
    <w:rsid w:val="00922BF8"/>
    <w:rsid w:val="0092380F"/>
    <w:rsid w:val="00927C48"/>
    <w:rsid w:val="00930BF5"/>
    <w:rsid w:val="00931E0A"/>
    <w:rsid w:val="009329BB"/>
    <w:rsid w:val="009341F7"/>
    <w:rsid w:val="00934A4D"/>
    <w:rsid w:val="00936C1E"/>
    <w:rsid w:val="009402F9"/>
    <w:rsid w:val="0094058A"/>
    <w:rsid w:val="00940F20"/>
    <w:rsid w:val="009435DD"/>
    <w:rsid w:val="009439D3"/>
    <w:rsid w:val="00943EC4"/>
    <w:rsid w:val="0094628C"/>
    <w:rsid w:val="009518AD"/>
    <w:rsid w:val="009567F8"/>
    <w:rsid w:val="00956AD5"/>
    <w:rsid w:val="0095752B"/>
    <w:rsid w:val="0096399B"/>
    <w:rsid w:val="00963C26"/>
    <w:rsid w:val="00964710"/>
    <w:rsid w:val="0096741C"/>
    <w:rsid w:val="00972407"/>
    <w:rsid w:val="00973A42"/>
    <w:rsid w:val="00974117"/>
    <w:rsid w:val="0097482E"/>
    <w:rsid w:val="00983BBA"/>
    <w:rsid w:val="0098437B"/>
    <w:rsid w:val="00990CCC"/>
    <w:rsid w:val="00991E29"/>
    <w:rsid w:val="009921B8"/>
    <w:rsid w:val="00993933"/>
    <w:rsid w:val="00995A1B"/>
    <w:rsid w:val="00996D79"/>
    <w:rsid w:val="009A649C"/>
    <w:rsid w:val="009B0FE2"/>
    <w:rsid w:val="009B252D"/>
    <w:rsid w:val="009B2BB4"/>
    <w:rsid w:val="009B6DAD"/>
    <w:rsid w:val="009C2C6A"/>
    <w:rsid w:val="009C41EF"/>
    <w:rsid w:val="009D0CE9"/>
    <w:rsid w:val="009D34F1"/>
    <w:rsid w:val="009D65B0"/>
    <w:rsid w:val="009D67AF"/>
    <w:rsid w:val="009E1387"/>
    <w:rsid w:val="009E1D55"/>
    <w:rsid w:val="009E2238"/>
    <w:rsid w:val="009E2919"/>
    <w:rsid w:val="009E5939"/>
    <w:rsid w:val="009E6956"/>
    <w:rsid w:val="009F0A39"/>
    <w:rsid w:val="009F133B"/>
    <w:rsid w:val="009F1B7D"/>
    <w:rsid w:val="009F2169"/>
    <w:rsid w:val="009F32C8"/>
    <w:rsid w:val="00A03942"/>
    <w:rsid w:val="00A03C9A"/>
    <w:rsid w:val="00A0688B"/>
    <w:rsid w:val="00A069C6"/>
    <w:rsid w:val="00A06D5A"/>
    <w:rsid w:val="00A16078"/>
    <w:rsid w:val="00A17904"/>
    <w:rsid w:val="00A23830"/>
    <w:rsid w:val="00A23D1B"/>
    <w:rsid w:val="00A32ECD"/>
    <w:rsid w:val="00A33E49"/>
    <w:rsid w:val="00A35B79"/>
    <w:rsid w:val="00A35F8E"/>
    <w:rsid w:val="00A368C7"/>
    <w:rsid w:val="00A410B3"/>
    <w:rsid w:val="00A418F4"/>
    <w:rsid w:val="00A43C7F"/>
    <w:rsid w:val="00A46C91"/>
    <w:rsid w:val="00A46E07"/>
    <w:rsid w:val="00A46F56"/>
    <w:rsid w:val="00A52E44"/>
    <w:rsid w:val="00A53309"/>
    <w:rsid w:val="00A56BE8"/>
    <w:rsid w:val="00A56FCB"/>
    <w:rsid w:val="00A57045"/>
    <w:rsid w:val="00A57D1C"/>
    <w:rsid w:val="00A631F3"/>
    <w:rsid w:val="00A63A1A"/>
    <w:rsid w:val="00A642DD"/>
    <w:rsid w:val="00A7034C"/>
    <w:rsid w:val="00A708CB"/>
    <w:rsid w:val="00A71519"/>
    <w:rsid w:val="00A71DDB"/>
    <w:rsid w:val="00A75731"/>
    <w:rsid w:val="00A759F6"/>
    <w:rsid w:val="00A75BCA"/>
    <w:rsid w:val="00A77AE5"/>
    <w:rsid w:val="00A82162"/>
    <w:rsid w:val="00A82DCE"/>
    <w:rsid w:val="00A834D2"/>
    <w:rsid w:val="00A85AA6"/>
    <w:rsid w:val="00A85FC1"/>
    <w:rsid w:val="00A9056A"/>
    <w:rsid w:val="00A91691"/>
    <w:rsid w:val="00A91BE6"/>
    <w:rsid w:val="00A92A12"/>
    <w:rsid w:val="00A93885"/>
    <w:rsid w:val="00A94BE1"/>
    <w:rsid w:val="00AA011C"/>
    <w:rsid w:val="00AA037B"/>
    <w:rsid w:val="00AA2393"/>
    <w:rsid w:val="00AA261C"/>
    <w:rsid w:val="00AA3E1C"/>
    <w:rsid w:val="00AA541E"/>
    <w:rsid w:val="00AA58A0"/>
    <w:rsid w:val="00AB054B"/>
    <w:rsid w:val="00AC140F"/>
    <w:rsid w:val="00AC15DB"/>
    <w:rsid w:val="00AC18A8"/>
    <w:rsid w:val="00AC50B2"/>
    <w:rsid w:val="00AC73EF"/>
    <w:rsid w:val="00AC7454"/>
    <w:rsid w:val="00AD1CE6"/>
    <w:rsid w:val="00AD3CCD"/>
    <w:rsid w:val="00AD5FCB"/>
    <w:rsid w:val="00AD6949"/>
    <w:rsid w:val="00AD6D37"/>
    <w:rsid w:val="00AE0135"/>
    <w:rsid w:val="00AE5DFF"/>
    <w:rsid w:val="00AE638A"/>
    <w:rsid w:val="00AF4BB4"/>
    <w:rsid w:val="00AF5512"/>
    <w:rsid w:val="00AF70B7"/>
    <w:rsid w:val="00AF70D1"/>
    <w:rsid w:val="00AF756E"/>
    <w:rsid w:val="00B00740"/>
    <w:rsid w:val="00B03110"/>
    <w:rsid w:val="00B047A9"/>
    <w:rsid w:val="00B05021"/>
    <w:rsid w:val="00B05686"/>
    <w:rsid w:val="00B06980"/>
    <w:rsid w:val="00B07D00"/>
    <w:rsid w:val="00B1088D"/>
    <w:rsid w:val="00B121F7"/>
    <w:rsid w:val="00B13F4E"/>
    <w:rsid w:val="00B14DCD"/>
    <w:rsid w:val="00B1733A"/>
    <w:rsid w:val="00B17687"/>
    <w:rsid w:val="00B17E03"/>
    <w:rsid w:val="00B2155F"/>
    <w:rsid w:val="00B22DA7"/>
    <w:rsid w:val="00B22F70"/>
    <w:rsid w:val="00B2321D"/>
    <w:rsid w:val="00B25452"/>
    <w:rsid w:val="00B27CAA"/>
    <w:rsid w:val="00B3158C"/>
    <w:rsid w:val="00B3375D"/>
    <w:rsid w:val="00B34012"/>
    <w:rsid w:val="00B4234E"/>
    <w:rsid w:val="00B43C5E"/>
    <w:rsid w:val="00B440BF"/>
    <w:rsid w:val="00B46A12"/>
    <w:rsid w:val="00B47CCF"/>
    <w:rsid w:val="00B50F16"/>
    <w:rsid w:val="00B51087"/>
    <w:rsid w:val="00B51129"/>
    <w:rsid w:val="00B52AF8"/>
    <w:rsid w:val="00B54357"/>
    <w:rsid w:val="00B551AD"/>
    <w:rsid w:val="00B55DCC"/>
    <w:rsid w:val="00B56E3B"/>
    <w:rsid w:val="00B60B6E"/>
    <w:rsid w:val="00B62A6D"/>
    <w:rsid w:val="00B62C70"/>
    <w:rsid w:val="00B6529D"/>
    <w:rsid w:val="00B6623C"/>
    <w:rsid w:val="00B74520"/>
    <w:rsid w:val="00B75657"/>
    <w:rsid w:val="00B80622"/>
    <w:rsid w:val="00B836AC"/>
    <w:rsid w:val="00B84168"/>
    <w:rsid w:val="00B86167"/>
    <w:rsid w:val="00B87F7E"/>
    <w:rsid w:val="00B9167E"/>
    <w:rsid w:val="00B91FE1"/>
    <w:rsid w:val="00B938BD"/>
    <w:rsid w:val="00B93C5E"/>
    <w:rsid w:val="00BA2EF2"/>
    <w:rsid w:val="00BA412A"/>
    <w:rsid w:val="00BA486F"/>
    <w:rsid w:val="00BA5638"/>
    <w:rsid w:val="00BA6291"/>
    <w:rsid w:val="00BA7618"/>
    <w:rsid w:val="00BB04F2"/>
    <w:rsid w:val="00BB0933"/>
    <w:rsid w:val="00BB0E68"/>
    <w:rsid w:val="00BB39F7"/>
    <w:rsid w:val="00BB4CA4"/>
    <w:rsid w:val="00BB4DF1"/>
    <w:rsid w:val="00BB55AE"/>
    <w:rsid w:val="00BB5A1D"/>
    <w:rsid w:val="00BB60CA"/>
    <w:rsid w:val="00BB740F"/>
    <w:rsid w:val="00BB7441"/>
    <w:rsid w:val="00BB7D44"/>
    <w:rsid w:val="00BC2541"/>
    <w:rsid w:val="00BC3287"/>
    <w:rsid w:val="00BC4F83"/>
    <w:rsid w:val="00BC5616"/>
    <w:rsid w:val="00BC6779"/>
    <w:rsid w:val="00BC749F"/>
    <w:rsid w:val="00BC7570"/>
    <w:rsid w:val="00BD1E7C"/>
    <w:rsid w:val="00BD2986"/>
    <w:rsid w:val="00BD4564"/>
    <w:rsid w:val="00BD62B4"/>
    <w:rsid w:val="00BD6B7E"/>
    <w:rsid w:val="00BE0037"/>
    <w:rsid w:val="00BE1F60"/>
    <w:rsid w:val="00BE2EFB"/>
    <w:rsid w:val="00BF0B66"/>
    <w:rsid w:val="00BF21B9"/>
    <w:rsid w:val="00BF32D2"/>
    <w:rsid w:val="00BF5A23"/>
    <w:rsid w:val="00BF7CF6"/>
    <w:rsid w:val="00C0229D"/>
    <w:rsid w:val="00C02BCF"/>
    <w:rsid w:val="00C032D2"/>
    <w:rsid w:val="00C03776"/>
    <w:rsid w:val="00C04D3E"/>
    <w:rsid w:val="00C05894"/>
    <w:rsid w:val="00C07061"/>
    <w:rsid w:val="00C078B5"/>
    <w:rsid w:val="00C07A75"/>
    <w:rsid w:val="00C07DC4"/>
    <w:rsid w:val="00C11040"/>
    <w:rsid w:val="00C1287A"/>
    <w:rsid w:val="00C1622A"/>
    <w:rsid w:val="00C21C41"/>
    <w:rsid w:val="00C22D23"/>
    <w:rsid w:val="00C24277"/>
    <w:rsid w:val="00C2648A"/>
    <w:rsid w:val="00C312B7"/>
    <w:rsid w:val="00C3141A"/>
    <w:rsid w:val="00C3355C"/>
    <w:rsid w:val="00C33C3C"/>
    <w:rsid w:val="00C34CBE"/>
    <w:rsid w:val="00C41389"/>
    <w:rsid w:val="00C429C8"/>
    <w:rsid w:val="00C47F4F"/>
    <w:rsid w:val="00C5016E"/>
    <w:rsid w:val="00C504E8"/>
    <w:rsid w:val="00C52030"/>
    <w:rsid w:val="00C52D30"/>
    <w:rsid w:val="00C5321A"/>
    <w:rsid w:val="00C55C98"/>
    <w:rsid w:val="00C5751C"/>
    <w:rsid w:val="00C616C1"/>
    <w:rsid w:val="00C66447"/>
    <w:rsid w:val="00C72108"/>
    <w:rsid w:val="00C7679B"/>
    <w:rsid w:val="00C801F5"/>
    <w:rsid w:val="00C8059B"/>
    <w:rsid w:val="00C806DC"/>
    <w:rsid w:val="00C83374"/>
    <w:rsid w:val="00C836A9"/>
    <w:rsid w:val="00C8771E"/>
    <w:rsid w:val="00C91073"/>
    <w:rsid w:val="00C92F7C"/>
    <w:rsid w:val="00C93C71"/>
    <w:rsid w:val="00C96F2A"/>
    <w:rsid w:val="00CA0C6E"/>
    <w:rsid w:val="00CA2161"/>
    <w:rsid w:val="00CA5E5F"/>
    <w:rsid w:val="00CA6F43"/>
    <w:rsid w:val="00CB0320"/>
    <w:rsid w:val="00CB0AC9"/>
    <w:rsid w:val="00CB1319"/>
    <w:rsid w:val="00CB2160"/>
    <w:rsid w:val="00CB3CCE"/>
    <w:rsid w:val="00CC0ACC"/>
    <w:rsid w:val="00CC1D42"/>
    <w:rsid w:val="00CC3178"/>
    <w:rsid w:val="00CC4804"/>
    <w:rsid w:val="00CC6BDC"/>
    <w:rsid w:val="00CC7512"/>
    <w:rsid w:val="00CD092C"/>
    <w:rsid w:val="00CD17A0"/>
    <w:rsid w:val="00CD1981"/>
    <w:rsid w:val="00CD1A6D"/>
    <w:rsid w:val="00CD2FB8"/>
    <w:rsid w:val="00CD3539"/>
    <w:rsid w:val="00CD39E1"/>
    <w:rsid w:val="00CD4107"/>
    <w:rsid w:val="00CE63B0"/>
    <w:rsid w:val="00CF0E38"/>
    <w:rsid w:val="00CF26FE"/>
    <w:rsid w:val="00CF33DB"/>
    <w:rsid w:val="00CF38F5"/>
    <w:rsid w:val="00CF3F89"/>
    <w:rsid w:val="00CF5BCD"/>
    <w:rsid w:val="00CF7C65"/>
    <w:rsid w:val="00D0037E"/>
    <w:rsid w:val="00D02706"/>
    <w:rsid w:val="00D06D78"/>
    <w:rsid w:val="00D12A54"/>
    <w:rsid w:val="00D15DBA"/>
    <w:rsid w:val="00D20DF2"/>
    <w:rsid w:val="00D2159E"/>
    <w:rsid w:val="00D2286F"/>
    <w:rsid w:val="00D237C2"/>
    <w:rsid w:val="00D243D0"/>
    <w:rsid w:val="00D320D6"/>
    <w:rsid w:val="00D32C3F"/>
    <w:rsid w:val="00D335CF"/>
    <w:rsid w:val="00D33F7C"/>
    <w:rsid w:val="00D408ED"/>
    <w:rsid w:val="00D41B5B"/>
    <w:rsid w:val="00D41E65"/>
    <w:rsid w:val="00D4603C"/>
    <w:rsid w:val="00D4604A"/>
    <w:rsid w:val="00D477CE"/>
    <w:rsid w:val="00D5098B"/>
    <w:rsid w:val="00D53DA2"/>
    <w:rsid w:val="00D5519F"/>
    <w:rsid w:val="00D55314"/>
    <w:rsid w:val="00D606E7"/>
    <w:rsid w:val="00D60A63"/>
    <w:rsid w:val="00D6149F"/>
    <w:rsid w:val="00D62021"/>
    <w:rsid w:val="00D654BB"/>
    <w:rsid w:val="00D675A0"/>
    <w:rsid w:val="00D67F13"/>
    <w:rsid w:val="00D7173E"/>
    <w:rsid w:val="00D75EDC"/>
    <w:rsid w:val="00D76688"/>
    <w:rsid w:val="00D80AD0"/>
    <w:rsid w:val="00D81BA2"/>
    <w:rsid w:val="00D8364E"/>
    <w:rsid w:val="00D84EFD"/>
    <w:rsid w:val="00D85CA2"/>
    <w:rsid w:val="00D86C6D"/>
    <w:rsid w:val="00D87E6B"/>
    <w:rsid w:val="00D94A41"/>
    <w:rsid w:val="00D96BA2"/>
    <w:rsid w:val="00D97431"/>
    <w:rsid w:val="00DA16E4"/>
    <w:rsid w:val="00DA1AD3"/>
    <w:rsid w:val="00DA237B"/>
    <w:rsid w:val="00DA33FF"/>
    <w:rsid w:val="00DA34AC"/>
    <w:rsid w:val="00DA36D1"/>
    <w:rsid w:val="00DA4A70"/>
    <w:rsid w:val="00DA4F49"/>
    <w:rsid w:val="00DA56B0"/>
    <w:rsid w:val="00DA6489"/>
    <w:rsid w:val="00DB0517"/>
    <w:rsid w:val="00DB0C00"/>
    <w:rsid w:val="00DB18D6"/>
    <w:rsid w:val="00DB2A53"/>
    <w:rsid w:val="00DB53D9"/>
    <w:rsid w:val="00DB7F02"/>
    <w:rsid w:val="00DC1699"/>
    <w:rsid w:val="00DC33A6"/>
    <w:rsid w:val="00DC533F"/>
    <w:rsid w:val="00DC6AE9"/>
    <w:rsid w:val="00DD0D1E"/>
    <w:rsid w:val="00DD0DDA"/>
    <w:rsid w:val="00DD1333"/>
    <w:rsid w:val="00DD17AE"/>
    <w:rsid w:val="00DD4E74"/>
    <w:rsid w:val="00DD543E"/>
    <w:rsid w:val="00DD5443"/>
    <w:rsid w:val="00DD6DFB"/>
    <w:rsid w:val="00DE0BFC"/>
    <w:rsid w:val="00DE0D52"/>
    <w:rsid w:val="00DE18CB"/>
    <w:rsid w:val="00DE1C45"/>
    <w:rsid w:val="00DE68C4"/>
    <w:rsid w:val="00DF156E"/>
    <w:rsid w:val="00E0007C"/>
    <w:rsid w:val="00E004C8"/>
    <w:rsid w:val="00E011A2"/>
    <w:rsid w:val="00E0227E"/>
    <w:rsid w:val="00E041E9"/>
    <w:rsid w:val="00E05E62"/>
    <w:rsid w:val="00E07256"/>
    <w:rsid w:val="00E1050E"/>
    <w:rsid w:val="00E116AE"/>
    <w:rsid w:val="00E11BE0"/>
    <w:rsid w:val="00E12437"/>
    <w:rsid w:val="00E13C07"/>
    <w:rsid w:val="00E1715B"/>
    <w:rsid w:val="00E21AF8"/>
    <w:rsid w:val="00E22F81"/>
    <w:rsid w:val="00E242D8"/>
    <w:rsid w:val="00E26EF6"/>
    <w:rsid w:val="00E30776"/>
    <w:rsid w:val="00E33B93"/>
    <w:rsid w:val="00E34B7D"/>
    <w:rsid w:val="00E35202"/>
    <w:rsid w:val="00E35555"/>
    <w:rsid w:val="00E3564C"/>
    <w:rsid w:val="00E36DBE"/>
    <w:rsid w:val="00E37812"/>
    <w:rsid w:val="00E44A6A"/>
    <w:rsid w:val="00E4702D"/>
    <w:rsid w:val="00E511F2"/>
    <w:rsid w:val="00E52D76"/>
    <w:rsid w:val="00E53553"/>
    <w:rsid w:val="00E54080"/>
    <w:rsid w:val="00E542E5"/>
    <w:rsid w:val="00E54B64"/>
    <w:rsid w:val="00E5506B"/>
    <w:rsid w:val="00E61896"/>
    <w:rsid w:val="00E61F47"/>
    <w:rsid w:val="00E62355"/>
    <w:rsid w:val="00E63284"/>
    <w:rsid w:val="00E640FC"/>
    <w:rsid w:val="00E6467F"/>
    <w:rsid w:val="00E66243"/>
    <w:rsid w:val="00E66A58"/>
    <w:rsid w:val="00E66F24"/>
    <w:rsid w:val="00E700F3"/>
    <w:rsid w:val="00E709CB"/>
    <w:rsid w:val="00E74F25"/>
    <w:rsid w:val="00E77365"/>
    <w:rsid w:val="00E821C2"/>
    <w:rsid w:val="00E868BB"/>
    <w:rsid w:val="00E90238"/>
    <w:rsid w:val="00E9095D"/>
    <w:rsid w:val="00E9528E"/>
    <w:rsid w:val="00E9735A"/>
    <w:rsid w:val="00E9791D"/>
    <w:rsid w:val="00EA0BE2"/>
    <w:rsid w:val="00EA10C3"/>
    <w:rsid w:val="00EA3D71"/>
    <w:rsid w:val="00EA4A30"/>
    <w:rsid w:val="00EA6F78"/>
    <w:rsid w:val="00EB2A91"/>
    <w:rsid w:val="00EB44CB"/>
    <w:rsid w:val="00EB486B"/>
    <w:rsid w:val="00EB56FD"/>
    <w:rsid w:val="00EB6C71"/>
    <w:rsid w:val="00EB74C5"/>
    <w:rsid w:val="00EB799C"/>
    <w:rsid w:val="00EC01A9"/>
    <w:rsid w:val="00EC26B6"/>
    <w:rsid w:val="00EC4AAA"/>
    <w:rsid w:val="00EC68F7"/>
    <w:rsid w:val="00ED3AAB"/>
    <w:rsid w:val="00ED40EA"/>
    <w:rsid w:val="00ED4F47"/>
    <w:rsid w:val="00ED6621"/>
    <w:rsid w:val="00ED725E"/>
    <w:rsid w:val="00ED7E3A"/>
    <w:rsid w:val="00EE00C2"/>
    <w:rsid w:val="00EE5FD0"/>
    <w:rsid w:val="00EE7296"/>
    <w:rsid w:val="00EF0613"/>
    <w:rsid w:val="00EF0E45"/>
    <w:rsid w:val="00EF501B"/>
    <w:rsid w:val="00EF7573"/>
    <w:rsid w:val="00EF7F18"/>
    <w:rsid w:val="00F00852"/>
    <w:rsid w:val="00F021A4"/>
    <w:rsid w:val="00F027DB"/>
    <w:rsid w:val="00F03AEF"/>
    <w:rsid w:val="00F04DF3"/>
    <w:rsid w:val="00F10C2F"/>
    <w:rsid w:val="00F21C5E"/>
    <w:rsid w:val="00F232D3"/>
    <w:rsid w:val="00F24372"/>
    <w:rsid w:val="00F26C1A"/>
    <w:rsid w:val="00F27CD5"/>
    <w:rsid w:val="00F34DC7"/>
    <w:rsid w:val="00F35C7E"/>
    <w:rsid w:val="00F40EC6"/>
    <w:rsid w:val="00F425CB"/>
    <w:rsid w:val="00F443C1"/>
    <w:rsid w:val="00F45FCB"/>
    <w:rsid w:val="00F53AD7"/>
    <w:rsid w:val="00F570AC"/>
    <w:rsid w:val="00F57579"/>
    <w:rsid w:val="00F60173"/>
    <w:rsid w:val="00F603CD"/>
    <w:rsid w:val="00F626D9"/>
    <w:rsid w:val="00F6452F"/>
    <w:rsid w:val="00F65DE3"/>
    <w:rsid w:val="00F65EB4"/>
    <w:rsid w:val="00F6705D"/>
    <w:rsid w:val="00F670EA"/>
    <w:rsid w:val="00F74079"/>
    <w:rsid w:val="00F74907"/>
    <w:rsid w:val="00F7562A"/>
    <w:rsid w:val="00F761EB"/>
    <w:rsid w:val="00F77548"/>
    <w:rsid w:val="00F81E16"/>
    <w:rsid w:val="00F82434"/>
    <w:rsid w:val="00F835ED"/>
    <w:rsid w:val="00F83DBE"/>
    <w:rsid w:val="00F83E1B"/>
    <w:rsid w:val="00F84108"/>
    <w:rsid w:val="00F865C5"/>
    <w:rsid w:val="00F903B0"/>
    <w:rsid w:val="00F91EAA"/>
    <w:rsid w:val="00F94224"/>
    <w:rsid w:val="00F9451D"/>
    <w:rsid w:val="00F94782"/>
    <w:rsid w:val="00F9652E"/>
    <w:rsid w:val="00F97F28"/>
    <w:rsid w:val="00FA441A"/>
    <w:rsid w:val="00FA5259"/>
    <w:rsid w:val="00FA598C"/>
    <w:rsid w:val="00FA6B06"/>
    <w:rsid w:val="00FA76E6"/>
    <w:rsid w:val="00FB0854"/>
    <w:rsid w:val="00FB0D3C"/>
    <w:rsid w:val="00FB20F5"/>
    <w:rsid w:val="00FB262E"/>
    <w:rsid w:val="00FB39C1"/>
    <w:rsid w:val="00FB4708"/>
    <w:rsid w:val="00FB55BB"/>
    <w:rsid w:val="00FB75DB"/>
    <w:rsid w:val="00FB7FFD"/>
    <w:rsid w:val="00FC0305"/>
    <w:rsid w:val="00FC2955"/>
    <w:rsid w:val="00FC6264"/>
    <w:rsid w:val="00FC64F9"/>
    <w:rsid w:val="00FC6E5C"/>
    <w:rsid w:val="00FC7CA8"/>
    <w:rsid w:val="00FD0033"/>
    <w:rsid w:val="00FD020E"/>
    <w:rsid w:val="00FD1306"/>
    <w:rsid w:val="00FD3D19"/>
    <w:rsid w:val="00FD6E40"/>
    <w:rsid w:val="00FE0873"/>
    <w:rsid w:val="00FE1C18"/>
    <w:rsid w:val="00FE2E5E"/>
    <w:rsid w:val="00FE3D3E"/>
    <w:rsid w:val="00FE47BB"/>
    <w:rsid w:val="00FE4970"/>
    <w:rsid w:val="00FE4F51"/>
    <w:rsid w:val="00FF1200"/>
    <w:rsid w:val="00FF1CF0"/>
    <w:rsid w:val="00FF4A20"/>
    <w:rsid w:val="00FF701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AEDBB"/>
  <w15:docId w15:val="{0D9D54B1-2AE2-8445-8E6C-5F8D5637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9056A"/>
  </w:style>
  <w:style w:type="character" w:customStyle="1" w:styleId="FooterChar">
    <w:name w:val="Footer Char"/>
    <w:basedOn w:val="DefaultParagraphFont"/>
    <w:link w:val="Footer"/>
    <w:uiPriority w:val="99"/>
    <w:qFormat/>
    <w:rsid w:val="00A9056A"/>
  </w:style>
  <w:style w:type="character" w:customStyle="1" w:styleId="BalloonTextChar">
    <w:name w:val="Balloon Text Char"/>
    <w:basedOn w:val="DefaultParagraphFont"/>
    <w:link w:val="BalloonText"/>
    <w:uiPriority w:val="99"/>
    <w:semiHidden/>
    <w:qFormat/>
    <w:rsid w:val="00D2159E"/>
    <w:rPr>
      <w:rFonts w:ascii="Times New Roman" w:hAnsi="Times New Roman"/>
      <w:sz w:val="18"/>
      <w:szCs w:val="18"/>
    </w:rPr>
  </w:style>
  <w:style w:type="character" w:styleId="CommentReference">
    <w:name w:val="annotation reference"/>
    <w:basedOn w:val="DefaultParagraphFont"/>
    <w:uiPriority w:val="99"/>
    <w:semiHidden/>
    <w:unhideWhenUsed/>
    <w:rsid w:val="00B05021"/>
    <w:rPr>
      <w:sz w:val="18"/>
      <w:szCs w:val="18"/>
    </w:rPr>
  </w:style>
  <w:style w:type="character" w:customStyle="1" w:styleId="CommentTextChar">
    <w:name w:val="Comment Text Char"/>
    <w:basedOn w:val="DefaultParagraphFont"/>
    <w:link w:val="CommentText"/>
    <w:uiPriority w:val="99"/>
    <w:semiHidden/>
    <w:qFormat/>
    <w:rsid w:val="00B05021"/>
  </w:style>
  <w:style w:type="character" w:customStyle="1" w:styleId="CommentSubjectChar">
    <w:name w:val="Comment Subject Char"/>
    <w:basedOn w:val="CommentTextChar"/>
    <w:link w:val="CommentSubject"/>
    <w:uiPriority w:val="99"/>
    <w:semiHidden/>
    <w:qFormat/>
    <w:rsid w:val="00B05021"/>
    <w:rPr>
      <w:b/>
      <w:bCs/>
      <w:sz w:val="20"/>
      <w:szCs w:val="20"/>
    </w:rPr>
  </w:style>
  <w:style w:type="character" w:customStyle="1" w:styleId="InternetLink">
    <w:name w:val="Internet Link"/>
    <w:basedOn w:val="DefaultParagraphFont"/>
    <w:uiPriority w:val="99"/>
    <w:semiHidden/>
    <w:unhideWhenUsed/>
    <w:rsid w:val="00717033"/>
    <w:rPr>
      <w:color w:val="0000FF"/>
      <w:u w:val="single"/>
    </w:rPr>
  </w:style>
  <w:style w:type="character" w:customStyle="1" w:styleId="apple-converted-space">
    <w:name w:val="apple-converted-space"/>
    <w:basedOn w:val="DefaultParagraphFont"/>
    <w:rsid w:val="00717033"/>
  </w:style>
  <w:style w:type="character" w:customStyle="1" w:styleId="jrnl">
    <w:name w:val="jrnl"/>
    <w:basedOn w:val="DefaultParagraphFont"/>
    <w:rsid w:val="00717033"/>
  </w:style>
  <w:style w:type="character" w:styleId="PlaceholderText">
    <w:name w:val="Placeholder Text"/>
    <w:basedOn w:val="DefaultParagraphFont"/>
    <w:uiPriority w:val="99"/>
    <w:semiHidden/>
    <w:rsid w:val="00D654BB"/>
    <w:rPr>
      <w:color w:val="808080"/>
    </w:rPr>
  </w:style>
  <w:style w:type="character" w:styleId="PageNumber">
    <w:name w:val="page number"/>
    <w:basedOn w:val="DefaultParagraphFont"/>
    <w:uiPriority w:val="99"/>
    <w:semiHidden/>
    <w:unhideWhenUsed/>
    <w:rsid w:val="0031708C"/>
  </w:style>
  <w:style w:type="character" w:styleId="LineNumber">
    <w:name w:val="line number"/>
    <w:basedOn w:val="DefaultParagraphFont"/>
    <w:uiPriority w:val="99"/>
    <w:semiHidden/>
    <w:unhideWhenUsed/>
    <w:rsid w:val="0031708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A9056A"/>
    <w:pPr>
      <w:tabs>
        <w:tab w:val="center" w:pos="4680"/>
        <w:tab w:val="right" w:pos="9360"/>
      </w:tabs>
    </w:pPr>
  </w:style>
  <w:style w:type="paragraph" w:styleId="Footer">
    <w:name w:val="footer"/>
    <w:basedOn w:val="Normal"/>
    <w:link w:val="FooterChar"/>
    <w:uiPriority w:val="99"/>
    <w:unhideWhenUsed/>
    <w:rsid w:val="00A9056A"/>
    <w:pPr>
      <w:tabs>
        <w:tab w:val="center" w:pos="4680"/>
        <w:tab w:val="right" w:pos="9360"/>
      </w:tabs>
    </w:pPr>
  </w:style>
  <w:style w:type="paragraph" w:styleId="ListParagraph">
    <w:name w:val="List Paragraph"/>
    <w:basedOn w:val="Normal"/>
    <w:uiPriority w:val="34"/>
    <w:qFormat/>
    <w:rsid w:val="00B46A12"/>
    <w:pPr>
      <w:ind w:left="720"/>
      <w:contextualSpacing/>
    </w:pPr>
  </w:style>
  <w:style w:type="paragraph" w:styleId="BalloonText">
    <w:name w:val="Balloon Text"/>
    <w:basedOn w:val="Normal"/>
    <w:link w:val="BalloonTextChar"/>
    <w:uiPriority w:val="99"/>
    <w:semiHidden/>
    <w:unhideWhenUsed/>
    <w:rsid w:val="00D2159E"/>
    <w:rPr>
      <w:rFonts w:ascii="Times New Roman" w:hAnsi="Times New Roman"/>
      <w:sz w:val="18"/>
      <w:szCs w:val="18"/>
    </w:rPr>
  </w:style>
  <w:style w:type="paragraph" w:styleId="CommentText">
    <w:name w:val="annotation text"/>
    <w:basedOn w:val="Normal"/>
    <w:link w:val="CommentTextChar"/>
    <w:uiPriority w:val="99"/>
    <w:semiHidden/>
    <w:unhideWhenUsed/>
    <w:rsid w:val="00B05021"/>
  </w:style>
  <w:style w:type="paragraph" w:styleId="CommentSubject">
    <w:name w:val="annotation subject"/>
    <w:basedOn w:val="CommentText"/>
    <w:next w:val="CommentText"/>
    <w:link w:val="CommentSubjectChar"/>
    <w:uiPriority w:val="99"/>
    <w:semiHidden/>
    <w:unhideWhenUsed/>
    <w:rsid w:val="00B05021"/>
    <w:rPr>
      <w:b/>
      <w:bCs/>
      <w:sz w:val="20"/>
      <w:szCs w:val="20"/>
    </w:rPr>
  </w:style>
  <w:style w:type="paragraph" w:styleId="Revision">
    <w:name w:val="Revision"/>
    <w:hidden/>
    <w:uiPriority w:val="99"/>
    <w:semiHidden/>
    <w:rsid w:val="00893BDA"/>
  </w:style>
  <w:style w:type="paragraph" w:customStyle="1" w:styleId="Title1">
    <w:name w:val="Title1"/>
    <w:basedOn w:val="Normal"/>
    <w:rsid w:val="00717033"/>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717033"/>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7170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1037E"/>
    <w:rPr>
      <w:color w:val="0000FF"/>
      <w:u w:val="single"/>
    </w:rPr>
  </w:style>
  <w:style w:type="paragraph" w:styleId="FootnoteText">
    <w:name w:val="footnote text"/>
    <w:basedOn w:val="Normal"/>
    <w:link w:val="FootnoteTextChar"/>
    <w:uiPriority w:val="99"/>
    <w:semiHidden/>
    <w:unhideWhenUsed/>
    <w:rsid w:val="0014469D"/>
    <w:rPr>
      <w:sz w:val="20"/>
      <w:szCs w:val="20"/>
    </w:rPr>
  </w:style>
  <w:style w:type="character" w:customStyle="1" w:styleId="FootnoteTextChar">
    <w:name w:val="Footnote Text Char"/>
    <w:basedOn w:val="DefaultParagraphFont"/>
    <w:link w:val="FootnoteText"/>
    <w:uiPriority w:val="99"/>
    <w:semiHidden/>
    <w:rsid w:val="0014469D"/>
    <w:rPr>
      <w:sz w:val="20"/>
      <w:szCs w:val="20"/>
    </w:rPr>
  </w:style>
  <w:style w:type="character" w:styleId="FootnoteReference">
    <w:name w:val="footnote reference"/>
    <w:basedOn w:val="DefaultParagraphFont"/>
    <w:uiPriority w:val="99"/>
    <w:semiHidden/>
    <w:unhideWhenUsed/>
    <w:rsid w:val="0014469D"/>
    <w:rPr>
      <w:vertAlign w:val="superscript"/>
    </w:rPr>
  </w:style>
  <w:style w:type="character" w:customStyle="1" w:styleId="UnresolvedMention1">
    <w:name w:val="Unresolved Mention1"/>
    <w:basedOn w:val="DefaultParagraphFont"/>
    <w:uiPriority w:val="99"/>
    <w:rsid w:val="00131D3C"/>
    <w:rPr>
      <w:color w:val="808080"/>
      <w:shd w:val="clear" w:color="auto" w:fill="E6E6E6"/>
    </w:rPr>
  </w:style>
  <w:style w:type="character" w:styleId="UnresolvedMention">
    <w:name w:val="Unresolved Mention"/>
    <w:basedOn w:val="DefaultParagraphFont"/>
    <w:uiPriority w:val="99"/>
    <w:semiHidden/>
    <w:unhideWhenUsed/>
    <w:rsid w:val="00BE1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86">
      <w:bodyDiv w:val="1"/>
      <w:marLeft w:val="0"/>
      <w:marRight w:val="0"/>
      <w:marTop w:val="0"/>
      <w:marBottom w:val="0"/>
      <w:divBdr>
        <w:top w:val="none" w:sz="0" w:space="0" w:color="auto"/>
        <w:left w:val="none" w:sz="0" w:space="0" w:color="auto"/>
        <w:bottom w:val="none" w:sz="0" w:space="0" w:color="auto"/>
        <w:right w:val="none" w:sz="0" w:space="0" w:color="auto"/>
      </w:divBdr>
    </w:div>
    <w:div w:id="181014313">
      <w:bodyDiv w:val="1"/>
      <w:marLeft w:val="0"/>
      <w:marRight w:val="0"/>
      <w:marTop w:val="0"/>
      <w:marBottom w:val="0"/>
      <w:divBdr>
        <w:top w:val="none" w:sz="0" w:space="0" w:color="auto"/>
        <w:left w:val="none" w:sz="0" w:space="0" w:color="auto"/>
        <w:bottom w:val="none" w:sz="0" w:space="0" w:color="auto"/>
        <w:right w:val="none" w:sz="0" w:space="0" w:color="auto"/>
      </w:divBdr>
      <w:divsChild>
        <w:div w:id="322898403">
          <w:marLeft w:val="259"/>
          <w:marRight w:val="0"/>
          <w:marTop w:val="240"/>
          <w:marBottom w:val="0"/>
          <w:divBdr>
            <w:top w:val="none" w:sz="0" w:space="0" w:color="auto"/>
            <w:left w:val="none" w:sz="0" w:space="0" w:color="auto"/>
            <w:bottom w:val="none" w:sz="0" w:space="0" w:color="auto"/>
            <w:right w:val="none" w:sz="0" w:space="0" w:color="auto"/>
          </w:divBdr>
        </w:div>
        <w:div w:id="768475937">
          <w:marLeft w:val="259"/>
          <w:marRight w:val="0"/>
          <w:marTop w:val="240"/>
          <w:marBottom w:val="0"/>
          <w:divBdr>
            <w:top w:val="none" w:sz="0" w:space="0" w:color="auto"/>
            <w:left w:val="none" w:sz="0" w:space="0" w:color="auto"/>
            <w:bottom w:val="none" w:sz="0" w:space="0" w:color="auto"/>
            <w:right w:val="none" w:sz="0" w:space="0" w:color="auto"/>
          </w:divBdr>
        </w:div>
        <w:div w:id="1075401237">
          <w:marLeft w:val="259"/>
          <w:marRight w:val="0"/>
          <w:marTop w:val="240"/>
          <w:marBottom w:val="0"/>
          <w:divBdr>
            <w:top w:val="none" w:sz="0" w:space="0" w:color="auto"/>
            <w:left w:val="none" w:sz="0" w:space="0" w:color="auto"/>
            <w:bottom w:val="none" w:sz="0" w:space="0" w:color="auto"/>
            <w:right w:val="none" w:sz="0" w:space="0" w:color="auto"/>
          </w:divBdr>
        </w:div>
        <w:div w:id="1276253497">
          <w:marLeft w:val="259"/>
          <w:marRight w:val="0"/>
          <w:marTop w:val="240"/>
          <w:marBottom w:val="0"/>
          <w:divBdr>
            <w:top w:val="none" w:sz="0" w:space="0" w:color="auto"/>
            <w:left w:val="none" w:sz="0" w:space="0" w:color="auto"/>
            <w:bottom w:val="none" w:sz="0" w:space="0" w:color="auto"/>
            <w:right w:val="none" w:sz="0" w:space="0" w:color="auto"/>
          </w:divBdr>
        </w:div>
        <w:div w:id="1830442620">
          <w:marLeft w:val="720"/>
          <w:marRight w:val="0"/>
          <w:marTop w:val="240"/>
          <w:marBottom w:val="0"/>
          <w:divBdr>
            <w:top w:val="none" w:sz="0" w:space="0" w:color="auto"/>
            <w:left w:val="none" w:sz="0" w:space="0" w:color="auto"/>
            <w:bottom w:val="none" w:sz="0" w:space="0" w:color="auto"/>
            <w:right w:val="none" w:sz="0" w:space="0" w:color="auto"/>
          </w:divBdr>
        </w:div>
      </w:divsChild>
    </w:div>
    <w:div w:id="442463820">
      <w:bodyDiv w:val="1"/>
      <w:marLeft w:val="0"/>
      <w:marRight w:val="0"/>
      <w:marTop w:val="0"/>
      <w:marBottom w:val="0"/>
      <w:divBdr>
        <w:top w:val="none" w:sz="0" w:space="0" w:color="auto"/>
        <w:left w:val="none" w:sz="0" w:space="0" w:color="auto"/>
        <w:bottom w:val="none" w:sz="0" w:space="0" w:color="auto"/>
        <w:right w:val="none" w:sz="0" w:space="0" w:color="auto"/>
      </w:divBdr>
    </w:div>
    <w:div w:id="455373796">
      <w:bodyDiv w:val="1"/>
      <w:marLeft w:val="0"/>
      <w:marRight w:val="0"/>
      <w:marTop w:val="0"/>
      <w:marBottom w:val="0"/>
      <w:divBdr>
        <w:top w:val="none" w:sz="0" w:space="0" w:color="auto"/>
        <w:left w:val="none" w:sz="0" w:space="0" w:color="auto"/>
        <w:bottom w:val="none" w:sz="0" w:space="0" w:color="auto"/>
        <w:right w:val="none" w:sz="0" w:space="0" w:color="auto"/>
      </w:divBdr>
    </w:div>
    <w:div w:id="462576594">
      <w:bodyDiv w:val="1"/>
      <w:marLeft w:val="0"/>
      <w:marRight w:val="0"/>
      <w:marTop w:val="0"/>
      <w:marBottom w:val="0"/>
      <w:divBdr>
        <w:top w:val="none" w:sz="0" w:space="0" w:color="auto"/>
        <w:left w:val="none" w:sz="0" w:space="0" w:color="auto"/>
        <w:bottom w:val="none" w:sz="0" w:space="0" w:color="auto"/>
        <w:right w:val="none" w:sz="0" w:space="0" w:color="auto"/>
      </w:divBdr>
    </w:div>
    <w:div w:id="464354461">
      <w:bodyDiv w:val="1"/>
      <w:marLeft w:val="0"/>
      <w:marRight w:val="0"/>
      <w:marTop w:val="0"/>
      <w:marBottom w:val="0"/>
      <w:divBdr>
        <w:top w:val="none" w:sz="0" w:space="0" w:color="auto"/>
        <w:left w:val="none" w:sz="0" w:space="0" w:color="auto"/>
        <w:bottom w:val="none" w:sz="0" w:space="0" w:color="auto"/>
        <w:right w:val="none" w:sz="0" w:space="0" w:color="auto"/>
      </w:divBdr>
      <w:divsChild>
        <w:div w:id="439490536">
          <w:marLeft w:val="720"/>
          <w:marRight w:val="0"/>
          <w:marTop w:val="240"/>
          <w:marBottom w:val="0"/>
          <w:divBdr>
            <w:top w:val="none" w:sz="0" w:space="0" w:color="auto"/>
            <w:left w:val="none" w:sz="0" w:space="0" w:color="auto"/>
            <w:bottom w:val="none" w:sz="0" w:space="0" w:color="auto"/>
            <w:right w:val="none" w:sz="0" w:space="0" w:color="auto"/>
          </w:divBdr>
        </w:div>
        <w:div w:id="530265753">
          <w:marLeft w:val="720"/>
          <w:marRight w:val="0"/>
          <w:marTop w:val="240"/>
          <w:marBottom w:val="0"/>
          <w:divBdr>
            <w:top w:val="none" w:sz="0" w:space="0" w:color="auto"/>
            <w:left w:val="none" w:sz="0" w:space="0" w:color="auto"/>
            <w:bottom w:val="none" w:sz="0" w:space="0" w:color="auto"/>
            <w:right w:val="none" w:sz="0" w:space="0" w:color="auto"/>
          </w:divBdr>
        </w:div>
        <w:div w:id="655914493">
          <w:marLeft w:val="259"/>
          <w:marRight w:val="0"/>
          <w:marTop w:val="240"/>
          <w:marBottom w:val="0"/>
          <w:divBdr>
            <w:top w:val="none" w:sz="0" w:space="0" w:color="auto"/>
            <w:left w:val="none" w:sz="0" w:space="0" w:color="auto"/>
            <w:bottom w:val="none" w:sz="0" w:space="0" w:color="auto"/>
            <w:right w:val="none" w:sz="0" w:space="0" w:color="auto"/>
          </w:divBdr>
        </w:div>
        <w:div w:id="1158837290">
          <w:marLeft w:val="720"/>
          <w:marRight w:val="0"/>
          <w:marTop w:val="240"/>
          <w:marBottom w:val="0"/>
          <w:divBdr>
            <w:top w:val="none" w:sz="0" w:space="0" w:color="auto"/>
            <w:left w:val="none" w:sz="0" w:space="0" w:color="auto"/>
            <w:bottom w:val="none" w:sz="0" w:space="0" w:color="auto"/>
            <w:right w:val="none" w:sz="0" w:space="0" w:color="auto"/>
          </w:divBdr>
        </w:div>
        <w:div w:id="1198809316">
          <w:marLeft w:val="720"/>
          <w:marRight w:val="0"/>
          <w:marTop w:val="240"/>
          <w:marBottom w:val="0"/>
          <w:divBdr>
            <w:top w:val="none" w:sz="0" w:space="0" w:color="auto"/>
            <w:left w:val="none" w:sz="0" w:space="0" w:color="auto"/>
            <w:bottom w:val="none" w:sz="0" w:space="0" w:color="auto"/>
            <w:right w:val="none" w:sz="0" w:space="0" w:color="auto"/>
          </w:divBdr>
        </w:div>
        <w:div w:id="1678000291">
          <w:marLeft w:val="259"/>
          <w:marRight w:val="0"/>
          <w:marTop w:val="240"/>
          <w:marBottom w:val="0"/>
          <w:divBdr>
            <w:top w:val="none" w:sz="0" w:space="0" w:color="auto"/>
            <w:left w:val="none" w:sz="0" w:space="0" w:color="auto"/>
            <w:bottom w:val="none" w:sz="0" w:space="0" w:color="auto"/>
            <w:right w:val="none" w:sz="0" w:space="0" w:color="auto"/>
          </w:divBdr>
        </w:div>
        <w:div w:id="1708336274">
          <w:marLeft w:val="720"/>
          <w:marRight w:val="0"/>
          <w:marTop w:val="240"/>
          <w:marBottom w:val="0"/>
          <w:divBdr>
            <w:top w:val="none" w:sz="0" w:space="0" w:color="auto"/>
            <w:left w:val="none" w:sz="0" w:space="0" w:color="auto"/>
            <w:bottom w:val="none" w:sz="0" w:space="0" w:color="auto"/>
            <w:right w:val="none" w:sz="0" w:space="0" w:color="auto"/>
          </w:divBdr>
        </w:div>
        <w:div w:id="2015259015">
          <w:marLeft w:val="720"/>
          <w:marRight w:val="0"/>
          <w:marTop w:val="240"/>
          <w:marBottom w:val="0"/>
          <w:divBdr>
            <w:top w:val="none" w:sz="0" w:space="0" w:color="auto"/>
            <w:left w:val="none" w:sz="0" w:space="0" w:color="auto"/>
            <w:bottom w:val="none" w:sz="0" w:space="0" w:color="auto"/>
            <w:right w:val="none" w:sz="0" w:space="0" w:color="auto"/>
          </w:divBdr>
        </w:div>
      </w:divsChild>
    </w:div>
    <w:div w:id="496849214">
      <w:bodyDiv w:val="1"/>
      <w:marLeft w:val="0"/>
      <w:marRight w:val="0"/>
      <w:marTop w:val="0"/>
      <w:marBottom w:val="0"/>
      <w:divBdr>
        <w:top w:val="none" w:sz="0" w:space="0" w:color="auto"/>
        <w:left w:val="none" w:sz="0" w:space="0" w:color="auto"/>
        <w:bottom w:val="none" w:sz="0" w:space="0" w:color="auto"/>
        <w:right w:val="none" w:sz="0" w:space="0" w:color="auto"/>
      </w:divBdr>
    </w:div>
    <w:div w:id="500897528">
      <w:bodyDiv w:val="1"/>
      <w:marLeft w:val="0"/>
      <w:marRight w:val="0"/>
      <w:marTop w:val="0"/>
      <w:marBottom w:val="0"/>
      <w:divBdr>
        <w:top w:val="none" w:sz="0" w:space="0" w:color="auto"/>
        <w:left w:val="none" w:sz="0" w:space="0" w:color="auto"/>
        <w:bottom w:val="none" w:sz="0" w:space="0" w:color="auto"/>
        <w:right w:val="none" w:sz="0" w:space="0" w:color="auto"/>
      </w:divBdr>
    </w:div>
    <w:div w:id="516583875">
      <w:bodyDiv w:val="1"/>
      <w:marLeft w:val="0"/>
      <w:marRight w:val="0"/>
      <w:marTop w:val="0"/>
      <w:marBottom w:val="0"/>
      <w:divBdr>
        <w:top w:val="none" w:sz="0" w:space="0" w:color="auto"/>
        <w:left w:val="none" w:sz="0" w:space="0" w:color="auto"/>
        <w:bottom w:val="none" w:sz="0" w:space="0" w:color="auto"/>
        <w:right w:val="none" w:sz="0" w:space="0" w:color="auto"/>
      </w:divBdr>
    </w:div>
    <w:div w:id="753402932">
      <w:bodyDiv w:val="1"/>
      <w:marLeft w:val="0"/>
      <w:marRight w:val="0"/>
      <w:marTop w:val="0"/>
      <w:marBottom w:val="0"/>
      <w:divBdr>
        <w:top w:val="none" w:sz="0" w:space="0" w:color="auto"/>
        <w:left w:val="none" w:sz="0" w:space="0" w:color="auto"/>
        <w:bottom w:val="none" w:sz="0" w:space="0" w:color="auto"/>
        <w:right w:val="none" w:sz="0" w:space="0" w:color="auto"/>
      </w:divBdr>
      <w:divsChild>
        <w:div w:id="28990212">
          <w:marLeft w:val="259"/>
          <w:marRight w:val="0"/>
          <w:marTop w:val="200"/>
          <w:marBottom w:val="0"/>
          <w:divBdr>
            <w:top w:val="none" w:sz="0" w:space="0" w:color="auto"/>
            <w:left w:val="none" w:sz="0" w:space="0" w:color="auto"/>
            <w:bottom w:val="none" w:sz="0" w:space="0" w:color="auto"/>
            <w:right w:val="none" w:sz="0" w:space="0" w:color="auto"/>
          </w:divBdr>
        </w:div>
        <w:div w:id="857818324">
          <w:marLeft w:val="259"/>
          <w:marRight w:val="0"/>
          <w:marTop w:val="200"/>
          <w:marBottom w:val="0"/>
          <w:divBdr>
            <w:top w:val="none" w:sz="0" w:space="0" w:color="auto"/>
            <w:left w:val="none" w:sz="0" w:space="0" w:color="auto"/>
            <w:bottom w:val="none" w:sz="0" w:space="0" w:color="auto"/>
            <w:right w:val="none" w:sz="0" w:space="0" w:color="auto"/>
          </w:divBdr>
        </w:div>
        <w:div w:id="897860624">
          <w:marLeft w:val="259"/>
          <w:marRight w:val="0"/>
          <w:marTop w:val="200"/>
          <w:marBottom w:val="0"/>
          <w:divBdr>
            <w:top w:val="none" w:sz="0" w:space="0" w:color="auto"/>
            <w:left w:val="none" w:sz="0" w:space="0" w:color="auto"/>
            <w:bottom w:val="none" w:sz="0" w:space="0" w:color="auto"/>
            <w:right w:val="none" w:sz="0" w:space="0" w:color="auto"/>
          </w:divBdr>
        </w:div>
        <w:div w:id="932519402">
          <w:marLeft w:val="259"/>
          <w:marRight w:val="0"/>
          <w:marTop w:val="200"/>
          <w:marBottom w:val="0"/>
          <w:divBdr>
            <w:top w:val="none" w:sz="0" w:space="0" w:color="auto"/>
            <w:left w:val="none" w:sz="0" w:space="0" w:color="auto"/>
            <w:bottom w:val="none" w:sz="0" w:space="0" w:color="auto"/>
            <w:right w:val="none" w:sz="0" w:space="0" w:color="auto"/>
          </w:divBdr>
        </w:div>
        <w:div w:id="985009474">
          <w:marLeft w:val="259"/>
          <w:marRight w:val="0"/>
          <w:marTop w:val="200"/>
          <w:marBottom w:val="0"/>
          <w:divBdr>
            <w:top w:val="none" w:sz="0" w:space="0" w:color="auto"/>
            <w:left w:val="none" w:sz="0" w:space="0" w:color="auto"/>
            <w:bottom w:val="none" w:sz="0" w:space="0" w:color="auto"/>
            <w:right w:val="none" w:sz="0" w:space="0" w:color="auto"/>
          </w:divBdr>
        </w:div>
        <w:div w:id="1147435725">
          <w:marLeft w:val="259"/>
          <w:marRight w:val="0"/>
          <w:marTop w:val="200"/>
          <w:marBottom w:val="0"/>
          <w:divBdr>
            <w:top w:val="none" w:sz="0" w:space="0" w:color="auto"/>
            <w:left w:val="none" w:sz="0" w:space="0" w:color="auto"/>
            <w:bottom w:val="none" w:sz="0" w:space="0" w:color="auto"/>
            <w:right w:val="none" w:sz="0" w:space="0" w:color="auto"/>
          </w:divBdr>
        </w:div>
        <w:div w:id="1234857768">
          <w:marLeft w:val="259"/>
          <w:marRight w:val="0"/>
          <w:marTop w:val="200"/>
          <w:marBottom w:val="0"/>
          <w:divBdr>
            <w:top w:val="none" w:sz="0" w:space="0" w:color="auto"/>
            <w:left w:val="none" w:sz="0" w:space="0" w:color="auto"/>
            <w:bottom w:val="none" w:sz="0" w:space="0" w:color="auto"/>
            <w:right w:val="none" w:sz="0" w:space="0" w:color="auto"/>
          </w:divBdr>
        </w:div>
        <w:div w:id="1945964424">
          <w:marLeft w:val="259"/>
          <w:marRight w:val="0"/>
          <w:marTop w:val="200"/>
          <w:marBottom w:val="0"/>
          <w:divBdr>
            <w:top w:val="none" w:sz="0" w:space="0" w:color="auto"/>
            <w:left w:val="none" w:sz="0" w:space="0" w:color="auto"/>
            <w:bottom w:val="none" w:sz="0" w:space="0" w:color="auto"/>
            <w:right w:val="none" w:sz="0" w:space="0" w:color="auto"/>
          </w:divBdr>
        </w:div>
        <w:div w:id="2081558324">
          <w:marLeft w:val="259"/>
          <w:marRight w:val="0"/>
          <w:marTop w:val="200"/>
          <w:marBottom w:val="0"/>
          <w:divBdr>
            <w:top w:val="none" w:sz="0" w:space="0" w:color="auto"/>
            <w:left w:val="none" w:sz="0" w:space="0" w:color="auto"/>
            <w:bottom w:val="none" w:sz="0" w:space="0" w:color="auto"/>
            <w:right w:val="none" w:sz="0" w:space="0" w:color="auto"/>
          </w:divBdr>
        </w:div>
      </w:divsChild>
    </w:div>
    <w:div w:id="768083632">
      <w:bodyDiv w:val="1"/>
      <w:marLeft w:val="0"/>
      <w:marRight w:val="0"/>
      <w:marTop w:val="0"/>
      <w:marBottom w:val="0"/>
      <w:divBdr>
        <w:top w:val="none" w:sz="0" w:space="0" w:color="auto"/>
        <w:left w:val="none" w:sz="0" w:space="0" w:color="auto"/>
        <w:bottom w:val="none" w:sz="0" w:space="0" w:color="auto"/>
        <w:right w:val="none" w:sz="0" w:space="0" w:color="auto"/>
      </w:divBdr>
    </w:div>
    <w:div w:id="905408894">
      <w:bodyDiv w:val="1"/>
      <w:marLeft w:val="0"/>
      <w:marRight w:val="0"/>
      <w:marTop w:val="0"/>
      <w:marBottom w:val="0"/>
      <w:divBdr>
        <w:top w:val="none" w:sz="0" w:space="0" w:color="auto"/>
        <w:left w:val="none" w:sz="0" w:space="0" w:color="auto"/>
        <w:bottom w:val="none" w:sz="0" w:space="0" w:color="auto"/>
        <w:right w:val="none" w:sz="0" w:space="0" w:color="auto"/>
      </w:divBdr>
    </w:div>
    <w:div w:id="993337456">
      <w:bodyDiv w:val="1"/>
      <w:marLeft w:val="0"/>
      <w:marRight w:val="0"/>
      <w:marTop w:val="0"/>
      <w:marBottom w:val="0"/>
      <w:divBdr>
        <w:top w:val="none" w:sz="0" w:space="0" w:color="auto"/>
        <w:left w:val="none" w:sz="0" w:space="0" w:color="auto"/>
        <w:bottom w:val="none" w:sz="0" w:space="0" w:color="auto"/>
        <w:right w:val="none" w:sz="0" w:space="0" w:color="auto"/>
      </w:divBdr>
    </w:div>
    <w:div w:id="1026367686">
      <w:bodyDiv w:val="1"/>
      <w:marLeft w:val="0"/>
      <w:marRight w:val="0"/>
      <w:marTop w:val="0"/>
      <w:marBottom w:val="0"/>
      <w:divBdr>
        <w:top w:val="none" w:sz="0" w:space="0" w:color="auto"/>
        <w:left w:val="none" w:sz="0" w:space="0" w:color="auto"/>
        <w:bottom w:val="none" w:sz="0" w:space="0" w:color="auto"/>
        <w:right w:val="none" w:sz="0" w:space="0" w:color="auto"/>
      </w:divBdr>
    </w:div>
    <w:div w:id="1131249104">
      <w:bodyDiv w:val="1"/>
      <w:marLeft w:val="0"/>
      <w:marRight w:val="0"/>
      <w:marTop w:val="0"/>
      <w:marBottom w:val="0"/>
      <w:divBdr>
        <w:top w:val="none" w:sz="0" w:space="0" w:color="auto"/>
        <w:left w:val="none" w:sz="0" w:space="0" w:color="auto"/>
        <w:bottom w:val="none" w:sz="0" w:space="0" w:color="auto"/>
        <w:right w:val="none" w:sz="0" w:space="0" w:color="auto"/>
      </w:divBdr>
    </w:div>
    <w:div w:id="1235778821">
      <w:bodyDiv w:val="1"/>
      <w:marLeft w:val="0"/>
      <w:marRight w:val="0"/>
      <w:marTop w:val="0"/>
      <w:marBottom w:val="0"/>
      <w:divBdr>
        <w:top w:val="none" w:sz="0" w:space="0" w:color="auto"/>
        <w:left w:val="none" w:sz="0" w:space="0" w:color="auto"/>
        <w:bottom w:val="none" w:sz="0" w:space="0" w:color="auto"/>
        <w:right w:val="none" w:sz="0" w:space="0" w:color="auto"/>
      </w:divBdr>
    </w:div>
    <w:div w:id="1258513800">
      <w:bodyDiv w:val="1"/>
      <w:marLeft w:val="0"/>
      <w:marRight w:val="0"/>
      <w:marTop w:val="0"/>
      <w:marBottom w:val="0"/>
      <w:divBdr>
        <w:top w:val="none" w:sz="0" w:space="0" w:color="auto"/>
        <w:left w:val="none" w:sz="0" w:space="0" w:color="auto"/>
        <w:bottom w:val="none" w:sz="0" w:space="0" w:color="auto"/>
        <w:right w:val="none" w:sz="0" w:space="0" w:color="auto"/>
      </w:divBdr>
    </w:div>
    <w:div w:id="1297032216">
      <w:bodyDiv w:val="1"/>
      <w:marLeft w:val="0"/>
      <w:marRight w:val="0"/>
      <w:marTop w:val="0"/>
      <w:marBottom w:val="0"/>
      <w:divBdr>
        <w:top w:val="none" w:sz="0" w:space="0" w:color="auto"/>
        <w:left w:val="none" w:sz="0" w:space="0" w:color="auto"/>
        <w:bottom w:val="none" w:sz="0" w:space="0" w:color="auto"/>
        <w:right w:val="none" w:sz="0" w:space="0" w:color="auto"/>
      </w:divBdr>
    </w:div>
    <w:div w:id="1592855639">
      <w:bodyDiv w:val="1"/>
      <w:marLeft w:val="0"/>
      <w:marRight w:val="0"/>
      <w:marTop w:val="0"/>
      <w:marBottom w:val="0"/>
      <w:divBdr>
        <w:top w:val="none" w:sz="0" w:space="0" w:color="auto"/>
        <w:left w:val="none" w:sz="0" w:space="0" w:color="auto"/>
        <w:bottom w:val="none" w:sz="0" w:space="0" w:color="auto"/>
        <w:right w:val="none" w:sz="0" w:space="0" w:color="auto"/>
      </w:divBdr>
      <w:divsChild>
        <w:div w:id="288557229">
          <w:marLeft w:val="259"/>
          <w:marRight w:val="0"/>
          <w:marTop w:val="240"/>
          <w:marBottom w:val="0"/>
          <w:divBdr>
            <w:top w:val="none" w:sz="0" w:space="0" w:color="auto"/>
            <w:left w:val="none" w:sz="0" w:space="0" w:color="auto"/>
            <w:bottom w:val="none" w:sz="0" w:space="0" w:color="auto"/>
            <w:right w:val="none" w:sz="0" w:space="0" w:color="auto"/>
          </w:divBdr>
        </w:div>
        <w:div w:id="378433117">
          <w:marLeft w:val="259"/>
          <w:marRight w:val="0"/>
          <w:marTop w:val="240"/>
          <w:marBottom w:val="0"/>
          <w:divBdr>
            <w:top w:val="none" w:sz="0" w:space="0" w:color="auto"/>
            <w:left w:val="none" w:sz="0" w:space="0" w:color="auto"/>
            <w:bottom w:val="none" w:sz="0" w:space="0" w:color="auto"/>
            <w:right w:val="none" w:sz="0" w:space="0" w:color="auto"/>
          </w:divBdr>
        </w:div>
        <w:div w:id="1110277154">
          <w:marLeft w:val="259"/>
          <w:marRight w:val="0"/>
          <w:marTop w:val="240"/>
          <w:marBottom w:val="0"/>
          <w:divBdr>
            <w:top w:val="none" w:sz="0" w:space="0" w:color="auto"/>
            <w:left w:val="none" w:sz="0" w:space="0" w:color="auto"/>
            <w:bottom w:val="none" w:sz="0" w:space="0" w:color="auto"/>
            <w:right w:val="none" w:sz="0" w:space="0" w:color="auto"/>
          </w:divBdr>
        </w:div>
        <w:div w:id="1603563900">
          <w:marLeft w:val="720"/>
          <w:marRight w:val="0"/>
          <w:marTop w:val="240"/>
          <w:marBottom w:val="0"/>
          <w:divBdr>
            <w:top w:val="none" w:sz="0" w:space="0" w:color="auto"/>
            <w:left w:val="none" w:sz="0" w:space="0" w:color="auto"/>
            <w:bottom w:val="none" w:sz="0" w:space="0" w:color="auto"/>
            <w:right w:val="none" w:sz="0" w:space="0" w:color="auto"/>
          </w:divBdr>
        </w:div>
        <w:div w:id="1964651653">
          <w:marLeft w:val="259"/>
          <w:marRight w:val="0"/>
          <w:marTop w:val="240"/>
          <w:marBottom w:val="0"/>
          <w:divBdr>
            <w:top w:val="none" w:sz="0" w:space="0" w:color="auto"/>
            <w:left w:val="none" w:sz="0" w:space="0" w:color="auto"/>
            <w:bottom w:val="none" w:sz="0" w:space="0" w:color="auto"/>
            <w:right w:val="none" w:sz="0" w:space="0" w:color="auto"/>
          </w:divBdr>
        </w:div>
        <w:div w:id="2122141457">
          <w:marLeft w:val="259"/>
          <w:marRight w:val="0"/>
          <w:marTop w:val="240"/>
          <w:marBottom w:val="0"/>
          <w:divBdr>
            <w:top w:val="none" w:sz="0" w:space="0" w:color="auto"/>
            <w:left w:val="none" w:sz="0" w:space="0" w:color="auto"/>
            <w:bottom w:val="none" w:sz="0" w:space="0" w:color="auto"/>
            <w:right w:val="none" w:sz="0" w:space="0" w:color="auto"/>
          </w:divBdr>
        </w:div>
      </w:divsChild>
    </w:div>
    <w:div w:id="1597783246">
      <w:bodyDiv w:val="1"/>
      <w:marLeft w:val="0"/>
      <w:marRight w:val="0"/>
      <w:marTop w:val="0"/>
      <w:marBottom w:val="0"/>
      <w:divBdr>
        <w:top w:val="none" w:sz="0" w:space="0" w:color="auto"/>
        <w:left w:val="none" w:sz="0" w:space="0" w:color="auto"/>
        <w:bottom w:val="none" w:sz="0" w:space="0" w:color="auto"/>
        <w:right w:val="none" w:sz="0" w:space="0" w:color="auto"/>
      </w:divBdr>
      <w:divsChild>
        <w:div w:id="1659728740">
          <w:marLeft w:val="0"/>
          <w:marRight w:val="0"/>
          <w:marTop w:val="0"/>
          <w:marBottom w:val="0"/>
          <w:divBdr>
            <w:top w:val="none" w:sz="0" w:space="0" w:color="auto"/>
            <w:left w:val="none" w:sz="0" w:space="0" w:color="auto"/>
            <w:bottom w:val="none" w:sz="0" w:space="0" w:color="auto"/>
            <w:right w:val="none" w:sz="0" w:space="0" w:color="auto"/>
          </w:divBdr>
          <w:divsChild>
            <w:div w:id="1487627197">
              <w:marLeft w:val="0"/>
              <w:marRight w:val="0"/>
              <w:marTop w:val="0"/>
              <w:marBottom w:val="0"/>
              <w:divBdr>
                <w:top w:val="none" w:sz="0" w:space="0" w:color="auto"/>
                <w:left w:val="none" w:sz="0" w:space="0" w:color="auto"/>
                <w:bottom w:val="none" w:sz="0" w:space="0" w:color="auto"/>
                <w:right w:val="none" w:sz="0" w:space="0" w:color="auto"/>
              </w:divBdr>
              <w:divsChild>
                <w:div w:id="21324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83">
      <w:bodyDiv w:val="1"/>
      <w:marLeft w:val="0"/>
      <w:marRight w:val="0"/>
      <w:marTop w:val="0"/>
      <w:marBottom w:val="0"/>
      <w:divBdr>
        <w:top w:val="none" w:sz="0" w:space="0" w:color="auto"/>
        <w:left w:val="none" w:sz="0" w:space="0" w:color="auto"/>
        <w:bottom w:val="none" w:sz="0" w:space="0" w:color="auto"/>
        <w:right w:val="none" w:sz="0" w:space="0" w:color="auto"/>
      </w:divBdr>
    </w:div>
    <w:div w:id="1781222283">
      <w:bodyDiv w:val="1"/>
      <w:marLeft w:val="0"/>
      <w:marRight w:val="0"/>
      <w:marTop w:val="0"/>
      <w:marBottom w:val="0"/>
      <w:divBdr>
        <w:top w:val="none" w:sz="0" w:space="0" w:color="auto"/>
        <w:left w:val="none" w:sz="0" w:space="0" w:color="auto"/>
        <w:bottom w:val="none" w:sz="0" w:space="0" w:color="auto"/>
        <w:right w:val="none" w:sz="0" w:space="0" w:color="auto"/>
      </w:divBdr>
      <w:divsChild>
        <w:div w:id="22632717">
          <w:marLeft w:val="0"/>
          <w:marRight w:val="0"/>
          <w:marTop w:val="34"/>
          <w:marBottom w:val="34"/>
          <w:divBdr>
            <w:top w:val="none" w:sz="0" w:space="0" w:color="auto"/>
            <w:left w:val="none" w:sz="0" w:space="0" w:color="auto"/>
            <w:bottom w:val="none" w:sz="0" w:space="0" w:color="auto"/>
            <w:right w:val="none" w:sz="0" w:space="0" w:color="auto"/>
          </w:divBdr>
        </w:div>
      </w:divsChild>
    </w:div>
    <w:div w:id="1899704635">
      <w:bodyDiv w:val="1"/>
      <w:marLeft w:val="0"/>
      <w:marRight w:val="0"/>
      <w:marTop w:val="0"/>
      <w:marBottom w:val="0"/>
      <w:divBdr>
        <w:top w:val="none" w:sz="0" w:space="0" w:color="auto"/>
        <w:left w:val="none" w:sz="0" w:space="0" w:color="auto"/>
        <w:bottom w:val="none" w:sz="0" w:space="0" w:color="auto"/>
        <w:right w:val="none" w:sz="0" w:space="0" w:color="auto"/>
      </w:divBdr>
      <w:divsChild>
        <w:div w:id="909927885">
          <w:marLeft w:val="720"/>
          <w:marRight w:val="0"/>
          <w:marTop w:val="240"/>
          <w:marBottom w:val="0"/>
          <w:divBdr>
            <w:top w:val="none" w:sz="0" w:space="0" w:color="auto"/>
            <w:left w:val="none" w:sz="0" w:space="0" w:color="auto"/>
            <w:bottom w:val="none" w:sz="0" w:space="0" w:color="auto"/>
            <w:right w:val="none" w:sz="0" w:space="0" w:color="auto"/>
          </w:divBdr>
        </w:div>
        <w:div w:id="1143349540">
          <w:marLeft w:val="259"/>
          <w:marRight w:val="0"/>
          <w:marTop w:val="240"/>
          <w:marBottom w:val="0"/>
          <w:divBdr>
            <w:top w:val="none" w:sz="0" w:space="0" w:color="auto"/>
            <w:left w:val="none" w:sz="0" w:space="0" w:color="auto"/>
            <w:bottom w:val="none" w:sz="0" w:space="0" w:color="auto"/>
            <w:right w:val="none" w:sz="0" w:space="0" w:color="auto"/>
          </w:divBdr>
        </w:div>
        <w:div w:id="1271278841">
          <w:marLeft w:val="720"/>
          <w:marRight w:val="0"/>
          <w:marTop w:val="240"/>
          <w:marBottom w:val="0"/>
          <w:divBdr>
            <w:top w:val="none" w:sz="0" w:space="0" w:color="auto"/>
            <w:left w:val="none" w:sz="0" w:space="0" w:color="auto"/>
            <w:bottom w:val="none" w:sz="0" w:space="0" w:color="auto"/>
            <w:right w:val="none" w:sz="0" w:space="0" w:color="auto"/>
          </w:divBdr>
        </w:div>
        <w:div w:id="1337153982">
          <w:marLeft w:val="720"/>
          <w:marRight w:val="0"/>
          <w:marTop w:val="240"/>
          <w:marBottom w:val="0"/>
          <w:divBdr>
            <w:top w:val="none" w:sz="0" w:space="0" w:color="auto"/>
            <w:left w:val="none" w:sz="0" w:space="0" w:color="auto"/>
            <w:bottom w:val="none" w:sz="0" w:space="0" w:color="auto"/>
            <w:right w:val="none" w:sz="0" w:space="0" w:color="auto"/>
          </w:divBdr>
        </w:div>
        <w:div w:id="1800489960">
          <w:marLeft w:val="259"/>
          <w:marRight w:val="0"/>
          <w:marTop w:val="240"/>
          <w:marBottom w:val="0"/>
          <w:divBdr>
            <w:top w:val="none" w:sz="0" w:space="0" w:color="auto"/>
            <w:left w:val="none" w:sz="0" w:space="0" w:color="auto"/>
            <w:bottom w:val="none" w:sz="0" w:space="0" w:color="auto"/>
            <w:right w:val="none" w:sz="0" w:space="0" w:color="auto"/>
          </w:divBdr>
        </w:div>
        <w:div w:id="1892692070">
          <w:marLeft w:val="259"/>
          <w:marRight w:val="0"/>
          <w:marTop w:val="240"/>
          <w:marBottom w:val="0"/>
          <w:divBdr>
            <w:top w:val="none" w:sz="0" w:space="0" w:color="auto"/>
            <w:left w:val="none" w:sz="0" w:space="0" w:color="auto"/>
            <w:bottom w:val="none" w:sz="0" w:space="0" w:color="auto"/>
            <w:right w:val="none" w:sz="0" w:space="0" w:color="auto"/>
          </w:divBdr>
        </w:div>
        <w:div w:id="2018269934">
          <w:marLeft w:val="720"/>
          <w:marRight w:val="0"/>
          <w:marTop w:val="240"/>
          <w:marBottom w:val="0"/>
          <w:divBdr>
            <w:top w:val="none" w:sz="0" w:space="0" w:color="auto"/>
            <w:left w:val="none" w:sz="0" w:space="0" w:color="auto"/>
            <w:bottom w:val="none" w:sz="0" w:space="0" w:color="auto"/>
            <w:right w:val="none" w:sz="0" w:space="0" w:color="auto"/>
          </w:divBdr>
        </w:div>
      </w:divsChild>
    </w:div>
    <w:div w:id="2047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path.org/programs/tb-pa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52C5A7F8-4EEC-714A-89A2-FF51C040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46320</Words>
  <Characters>264026</Characters>
  <Application>Microsoft Office Word</Application>
  <DocSecurity>0</DocSecurity>
  <Lines>2200</Lines>
  <Paragraphs>619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309727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Imperial</dc:creator>
  <cp:lastModifiedBy>Microsoft Office User</cp:lastModifiedBy>
  <cp:revision>3</cp:revision>
  <dcterms:created xsi:type="dcterms:W3CDTF">2018-08-23T16:32:00Z</dcterms:created>
  <dcterms:modified xsi:type="dcterms:W3CDTF">2018-08-23T16:45:00Z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http://www.zotero.org/styles/nature</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http://www.zotero.org/styles/american-sociological-association</vt:lpwstr>
  </property>
  <property fmtid="{D5CDD505-2E9C-101B-9397-08002B2CF9AE}" pid="11" name="Mendeley Recent Style Id 3_1">
    <vt:lpwstr>http://www.zotero.org/styles/chicago-author-date</vt:lpwstr>
  </property>
  <property fmtid="{D5CDD505-2E9C-101B-9397-08002B2CF9AE}" pid="12" name="Mendeley Recent Style Id 4_1">
    <vt:lpwstr>http://www.zotero.org/styles/chicago-fullnote-bibliography</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vt:lpwstr>
  </property>
  <property fmtid="{D5CDD505-2E9C-101B-9397-08002B2CF9AE}" pid="19" name="Mendeley Recent Style Name 1_1">
    <vt:lpwstr>American Psychological Association 6th edition</vt:lpwstr>
  </property>
  <property fmtid="{D5CDD505-2E9C-101B-9397-08002B2CF9AE}" pid="20" name="Mendeley Recent Style Name 2_1">
    <vt:lpwstr>American Sociological Association</vt:lpwstr>
  </property>
  <property fmtid="{D5CDD505-2E9C-101B-9397-08002B2CF9AE}" pid="21" name="Mendeley Recent Style Name 3_1">
    <vt:lpwstr>Chicago Manual of Style 17th edition (author-date)</vt:lpwstr>
  </property>
  <property fmtid="{D5CDD505-2E9C-101B-9397-08002B2CF9AE}" pid="22" name="Mendeley Recent Style Name 4_1">
    <vt:lpwstr>Chicago Manual of Style 17th edition (full note)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f490abfe-f06a-31fa-83e2-2b2ef8337988</vt:lpwstr>
  </property>
  <property fmtid="{D5CDD505-2E9C-101B-9397-08002B2CF9AE}" pid="29" name="ScaleCrop">
    <vt:bool>false</vt:bool>
  </property>
  <property fmtid="{D5CDD505-2E9C-101B-9397-08002B2CF9AE}" pid="30" name="ShareDoc">
    <vt:bool>false</vt:bool>
  </property>
</Properties>
</file>