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5FACE" w14:textId="079B8B64" w:rsidR="001D5459" w:rsidRPr="001D5459" w:rsidRDefault="001412A1" w:rsidP="001D5459">
      <w:pPr>
        <w:spacing w:line="360" w:lineRule="auto"/>
        <w:jc w:val="both"/>
        <w:rPr>
          <w:rFonts w:ascii="Times New Roman" w:hAnsi="Times New Roman" w:cs="Times New Roman"/>
          <w:b/>
          <w:sz w:val="28"/>
          <w:szCs w:val="28"/>
        </w:rPr>
      </w:pPr>
      <w:r w:rsidRPr="001412A1">
        <w:rPr>
          <w:rFonts w:ascii="Times New Roman" w:hAnsi="Times New Roman" w:cs="Times New Roman"/>
          <w:b/>
          <w:sz w:val="28"/>
          <w:szCs w:val="28"/>
        </w:rPr>
        <w:t>The relationship between European consensus, the margin of appreciation and the legitimacy of the Strasbourg Court</w:t>
      </w:r>
      <w:r>
        <w:rPr>
          <w:rFonts w:ascii="Times New Roman" w:hAnsi="Times New Roman" w:cs="Times New Roman"/>
          <w:b/>
          <w:sz w:val="28"/>
          <w:szCs w:val="28"/>
        </w:rPr>
        <w:t xml:space="preserve"> </w:t>
      </w:r>
    </w:p>
    <w:p w14:paraId="66B05045" w14:textId="61DEA8FD" w:rsidR="00FF7244" w:rsidRDefault="00FF7244" w:rsidP="001C0C22">
      <w:pPr>
        <w:jc w:val="center"/>
        <w:rPr>
          <w:rFonts w:ascii="Times New Roman" w:hAnsi="Times New Roman" w:cs="Times New Roman"/>
          <w:sz w:val="24"/>
          <w:szCs w:val="24"/>
        </w:rPr>
      </w:pPr>
      <w:r>
        <w:rPr>
          <w:rFonts w:ascii="Times New Roman" w:hAnsi="Times New Roman" w:cs="Times New Roman"/>
          <w:sz w:val="24"/>
          <w:szCs w:val="24"/>
        </w:rPr>
        <w:t>Nikos Vogiatzis</w:t>
      </w:r>
      <w:r>
        <w:rPr>
          <w:rStyle w:val="FootnoteReference"/>
          <w:rFonts w:cs="Times New Roman"/>
          <w:sz w:val="24"/>
          <w:szCs w:val="24"/>
        </w:rPr>
        <w:footnoteReference w:customMarkFollows="1" w:id="1"/>
        <w:sym w:font="Symbol" w:char="F02A"/>
      </w:r>
    </w:p>
    <w:p w14:paraId="7ECD3369" w14:textId="77777777" w:rsidR="00732A9B" w:rsidRDefault="00732A9B" w:rsidP="00732A9B">
      <w:pPr>
        <w:jc w:val="both"/>
        <w:rPr>
          <w:rFonts w:ascii="Times New Roman" w:hAnsi="Times New Roman" w:cs="Times New Roman"/>
          <w:i/>
          <w:sz w:val="24"/>
          <w:szCs w:val="24"/>
        </w:rPr>
      </w:pPr>
      <w:r>
        <w:rPr>
          <w:rFonts w:ascii="Times New Roman" w:hAnsi="Times New Roman" w:cs="Times New Roman"/>
          <w:i/>
          <w:sz w:val="24"/>
          <w:szCs w:val="24"/>
        </w:rPr>
        <w:t>When determining whether a state should be granted the margin of appreciation, often the European Court of Hu</w:t>
      </w:r>
      <w:bookmarkStart w:id="0" w:name="_GoBack"/>
      <w:bookmarkEnd w:id="0"/>
      <w:r>
        <w:rPr>
          <w:rFonts w:ascii="Times New Roman" w:hAnsi="Times New Roman" w:cs="Times New Roman"/>
          <w:i/>
          <w:sz w:val="24"/>
          <w:szCs w:val="24"/>
        </w:rPr>
        <w:t xml:space="preserve">man Rights (ECtHR, the Strasbourg Court or the Court) resorts to the method of European consensus. However, important issues remain unclarified concerning the relationship between the two notions, and how such relationship in linked to the legitimacy of the Strasbourg Court. This article firstly shows that the two notions are often, but not </w:t>
      </w:r>
      <w:r w:rsidRPr="00915360">
        <w:rPr>
          <w:rFonts w:ascii="Times New Roman" w:hAnsi="Times New Roman" w:cs="Times New Roman"/>
          <w:sz w:val="24"/>
          <w:szCs w:val="24"/>
        </w:rPr>
        <w:t>always</w:t>
      </w:r>
      <w:r w:rsidR="002C0168">
        <w:rPr>
          <w:rFonts w:ascii="Times New Roman" w:hAnsi="Times New Roman" w:cs="Times New Roman"/>
          <w:sz w:val="24"/>
          <w:szCs w:val="24"/>
        </w:rPr>
        <w:t>,</w:t>
      </w:r>
      <w:r>
        <w:rPr>
          <w:rFonts w:ascii="Times New Roman" w:hAnsi="Times New Roman" w:cs="Times New Roman"/>
          <w:i/>
          <w:sz w:val="24"/>
          <w:szCs w:val="24"/>
        </w:rPr>
        <w:t xml:space="preserve"> inter-dependent: there have been cases where the decision on the margin of appreciation points in a different direction than the outcome of the comparative exercise; </w:t>
      </w:r>
      <w:r w:rsidR="002C0168">
        <w:rPr>
          <w:rFonts w:ascii="Times New Roman" w:hAnsi="Times New Roman" w:cs="Times New Roman"/>
          <w:i/>
          <w:sz w:val="24"/>
          <w:szCs w:val="24"/>
        </w:rPr>
        <w:t>and</w:t>
      </w:r>
      <w:r>
        <w:rPr>
          <w:rFonts w:ascii="Times New Roman" w:hAnsi="Times New Roman" w:cs="Times New Roman"/>
          <w:i/>
          <w:sz w:val="24"/>
          <w:szCs w:val="24"/>
        </w:rPr>
        <w:t xml:space="preserve"> in further cases</w:t>
      </w:r>
      <w:r w:rsidR="002C0168">
        <w:rPr>
          <w:rFonts w:ascii="Times New Roman" w:hAnsi="Times New Roman" w:cs="Times New Roman"/>
          <w:i/>
          <w:sz w:val="24"/>
          <w:szCs w:val="24"/>
        </w:rPr>
        <w:t>,</w:t>
      </w:r>
      <w:r>
        <w:rPr>
          <w:rFonts w:ascii="Times New Roman" w:hAnsi="Times New Roman" w:cs="Times New Roman"/>
          <w:i/>
          <w:sz w:val="24"/>
          <w:szCs w:val="24"/>
        </w:rPr>
        <w:t xml:space="preserve"> consensus was not the crucial factor to be taken into consideration by the Strasbourg Court.</w:t>
      </w:r>
      <w:r w:rsidRPr="00915360">
        <w:t xml:space="preserve"> </w:t>
      </w:r>
      <w:r w:rsidRPr="00915360">
        <w:rPr>
          <w:rFonts w:ascii="Times New Roman" w:hAnsi="Times New Roman" w:cs="Times New Roman"/>
          <w:i/>
          <w:sz w:val="24"/>
          <w:szCs w:val="24"/>
        </w:rPr>
        <w:t xml:space="preserve">Thus, consensus is </w:t>
      </w:r>
      <w:r w:rsidRPr="00915360">
        <w:rPr>
          <w:rFonts w:ascii="Times New Roman" w:hAnsi="Times New Roman" w:cs="Times New Roman"/>
          <w:sz w:val="24"/>
          <w:szCs w:val="24"/>
        </w:rPr>
        <w:t>one of the methods</w:t>
      </w:r>
      <w:r w:rsidRPr="00915360">
        <w:rPr>
          <w:rFonts w:ascii="Times New Roman" w:hAnsi="Times New Roman" w:cs="Times New Roman"/>
          <w:i/>
          <w:sz w:val="24"/>
          <w:szCs w:val="24"/>
        </w:rPr>
        <w:t xml:space="preserve"> used by the Court in its application of the proportionality test, in order to decide on the scope of the margin of appreciation that the contracting parties enjoy. Next, the article explains why clarifying the relationship between consensus and the margin of appreciation will have implications for the Court’s interpretative practice once Protocols 15 and 16 ECHR enter into force. The multi-dimensional legitimacy of the Strasbourg Court is considered afterwards.</w:t>
      </w:r>
      <w:r>
        <w:rPr>
          <w:rFonts w:ascii="Times New Roman" w:hAnsi="Times New Roman" w:cs="Times New Roman"/>
          <w:i/>
          <w:sz w:val="24"/>
          <w:szCs w:val="24"/>
        </w:rPr>
        <w:t xml:space="preserve"> The article then submits that the way European consensus is </w:t>
      </w:r>
      <w:r>
        <w:rPr>
          <w:rFonts w:ascii="Times New Roman" w:hAnsi="Times New Roman" w:cs="Times New Roman"/>
          <w:sz w:val="24"/>
          <w:szCs w:val="24"/>
        </w:rPr>
        <w:t xml:space="preserve">generally </w:t>
      </w:r>
      <w:r>
        <w:rPr>
          <w:rFonts w:ascii="Times New Roman" w:hAnsi="Times New Roman" w:cs="Times New Roman"/>
          <w:i/>
          <w:sz w:val="24"/>
          <w:szCs w:val="24"/>
        </w:rPr>
        <w:t xml:space="preserve">being used (i.e. as a factor which is obviously </w:t>
      </w:r>
      <w:r>
        <w:rPr>
          <w:rFonts w:ascii="Times New Roman" w:hAnsi="Times New Roman" w:cs="Times New Roman"/>
          <w:sz w:val="24"/>
          <w:szCs w:val="24"/>
        </w:rPr>
        <w:t>not irrelevant</w:t>
      </w:r>
      <w:r>
        <w:rPr>
          <w:rFonts w:ascii="Times New Roman" w:hAnsi="Times New Roman" w:cs="Times New Roman"/>
          <w:i/>
          <w:sz w:val="24"/>
          <w:szCs w:val="24"/>
        </w:rPr>
        <w:t xml:space="preserve"> but also </w:t>
      </w:r>
      <w:r>
        <w:rPr>
          <w:rFonts w:ascii="Times New Roman" w:hAnsi="Times New Roman" w:cs="Times New Roman"/>
          <w:sz w:val="24"/>
          <w:szCs w:val="24"/>
        </w:rPr>
        <w:t>not always decisive</w:t>
      </w:r>
      <w:r>
        <w:rPr>
          <w:rFonts w:ascii="Times New Roman" w:hAnsi="Times New Roman" w:cs="Times New Roman"/>
          <w:i/>
          <w:sz w:val="24"/>
          <w:szCs w:val="24"/>
        </w:rPr>
        <w:t xml:space="preserve"> for the outcome on the margin of appreciation) supports the multi-dimensional legitimacy of the Court. Nonetheless,</w:t>
      </w:r>
      <w:r w:rsidR="002C0168">
        <w:rPr>
          <w:rFonts w:ascii="Times New Roman" w:hAnsi="Times New Roman" w:cs="Times New Roman"/>
          <w:i/>
          <w:sz w:val="24"/>
          <w:szCs w:val="24"/>
        </w:rPr>
        <w:t xml:space="preserve"> it</w:t>
      </w:r>
      <w:r>
        <w:rPr>
          <w:rFonts w:ascii="Times New Roman" w:hAnsi="Times New Roman" w:cs="Times New Roman"/>
          <w:i/>
          <w:sz w:val="24"/>
          <w:szCs w:val="24"/>
        </w:rPr>
        <w:t xml:space="preserve"> concludes</w:t>
      </w:r>
      <w:r w:rsidR="00BE642A">
        <w:rPr>
          <w:rFonts w:ascii="Times New Roman" w:hAnsi="Times New Roman" w:cs="Times New Roman"/>
          <w:i/>
          <w:sz w:val="24"/>
          <w:szCs w:val="24"/>
        </w:rPr>
        <w:t xml:space="preserve"> by identifying inconsistency</w:t>
      </w:r>
      <w:r>
        <w:rPr>
          <w:rFonts w:ascii="Times New Roman" w:hAnsi="Times New Roman" w:cs="Times New Roman"/>
          <w:i/>
          <w:sz w:val="24"/>
          <w:szCs w:val="24"/>
        </w:rPr>
        <w:t xml:space="preserve"> in the formulation of the relationship between the two notions in the ECtHR’s jurisprudence, and encourages the Court to codify in a more coherent way that relationship.</w:t>
      </w:r>
    </w:p>
    <w:p w14:paraId="213A3E2E" w14:textId="77777777" w:rsidR="001D5459" w:rsidRPr="001D5459" w:rsidRDefault="001D5459" w:rsidP="001D5459">
      <w:pPr>
        <w:spacing w:line="360" w:lineRule="auto"/>
        <w:jc w:val="both"/>
        <w:rPr>
          <w:rFonts w:ascii="Times New Roman" w:hAnsi="Times New Roman" w:cs="Times New Roman"/>
          <w:sz w:val="24"/>
          <w:szCs w:val="24"/>
        </w:rPr>
      </w:pPr>
      <w:r w:rsidRPr="001D5459">
        <w:rPr>
          <w:rFonts w:ascii="Times New Roman" w:hAnsi="Times New Roman" w:cs="Times New Roman"/>
          <w:sz w:val="24"/>
          <w:szCs w:val="24"/>
        </w:rPr>
        <w:lastRenderedPageBreak/>
        <w:t>Keywords: European Court of Human Rights; margin of appreciation; European consensus; legitimacy; proportionality; Protocol 15 ECHR; Protocol 16 ECHR.</w:t>
      </w:r>
    </w:p>
    <w:p w14:paraId="52702814" w14:textId="77777777" w:rsidR="001D5459" w:rsidRPr="001D5459" w:rsidRDefault="001D5459" w:rsidP="001D5459">
      <w:pPr>
        <w:spacing w:line="360" w:lineRule="auto"/>
        <w:jc w:val="both"/>
        <w:rPr>
          <w:rFonts w:ascii="Times New Roman" w:hAnsi="Times New Roman" w:cs="Times New Roman"/>
          <w:b/>
          <w:sz w:val="24"/>
          <w:szCs w:val="24"/>
        </w:rPr>
      </w:pPr>
      <w:r w:rsidRPr="001D5459">
        <w:rPr>
          <w:rFonts w:ascii="Times New Roman" w:hAnsi="Times New Roman" w:cs="Times New Roman"/>
          <w:b/>
          <w:sz w:val="24"/>
          <w:szCs w:val="24"/>
        </w:rPr>
        <w:t>Introduction</w:t>
      </w:r>
    </w:p>
    <w:p w14:paraId="33BE580A" w14:textId="64B9ED7C" w:rsidR="001D5459" w:rsidRPr="00F46D92" w:rsidRDefault="001D5459" w:rsidP="007665E1">
      <w:pPr>
        <w:spacing w:line="360" w:lineRule="auto"/>
        <w:jc w:val="both"/>
        <w:rPr>
          <w:rFonts w:ascii="Times New Roman" w:hAnsi="Times New Roman" w:cs="Times New Roman"/>
          <w:sz w:val="24"/>
          <w:szCs w:val="24"/>
        </w:rPr>
      </w:pPr>
      <w:r w:rsidRPr="001D5459">
        <w:rPr>
          <w:rFonts w:ascii="Times New Roman" w:hAnsi="Times New Roman" w:cs="Times New Roman"/>
          <w:sz w:val="24"/>
          <w:szCs w:val="24"/>
        </w:rPr>
        <w:t xml:space="preserve">The European Court of Human Rights (ECtHR, </w:t>
      </w:r>
      <w:r w:rsidR="00FF0928">
        <w:rPr>
          <w:rFonts w:ascii="Times New Roman" w:hAnsi="Times New Roman" w:cs="Times New Roman"/>
          <w:sz w:val="24"/>
          <w:szCs w:val="24"/>
        </w:rPr>
        <w:t xml:space="preserve">the </w:t>
      </w:r>
      <w:r w:rsidRPr="001D5459">
        <w:rPr>
          <w:rFonts w:ascii="Times New Roman" w:hAnsi="Times New Roman" w:cs="Times New Roman"/>
          <w:sz w:val="24"/>
          <w:szCs w:val="24"/>
        </w:rPr>
        <w:t>S</w:t>
      </w:r>
      <w:r w:rsidR="00FF0928">
        <w:rPr>
          <w:rFonts w:ascii="Times New Roman" w:hAnsi="Times New Roman" w:cs="Times New Roman"/>
          <w:sz w:val="24"/>
          <w:szCs w:val="24"/>
        </w:rPr>
        <w:t>trasbourg Court or</w:t>
      </w:r>
      <w:r w:rsidR="00D56E33">
        <w:rPr>
          <w:rFonts w:ascii="Times New Roman" w:hAnsi="Times New Roman" w:cs="Times New Roman"/>
          <w:sz w:val="24"/>
          <w:szCs w:val="24"/>
        </w:rPr>
        <w:t xml:space="preserve"> the Court) has been facing over the last years </w:t>
      </w:r>
      <w:r w:rsidRPr="001D5459">
        <w:rPr>
          <w:rFonts w:ascii="Times New Roman" w:hAnsi="Times New Roman" w:cs="Times New Roman"/>
          <w:sz w:val="24"/>
          <w:szCs w:val="24"/>
        </w:rPr>
        <w:t>significant criticism for its allegedly activist approach to the scope of the rights guaranteed by the European Convention on Human Rights (ECHR, the Convention). Often, such criticism centers on the tenet that the Strasbourg Court should grant states a broader margin of appreciation.</w:t>
      </w:r>
      <w:r w:rsidRPr="001D5459">
        <w:rPr>
          <w:rFonts w:ascii="Times New Roman" w:hAnsi="Times New Roman"/>
          <w:sz w:val="24"/>
          <w:szCs w:val="24"/>
          <w:vertAlign w:val="superscript"/>
        </w:rPr>
        <w:footnoteReference w:id="2"/>
      </w:r>
      <w:r w:rsidRPr="001D5459">
        <w:rPr>
          <w:rFonts w:ascii="Times New Roman" w:hAnsi="Times New Roman" w:cs="Times New Roman"/>
          <w:sz w:val="24"/>
          <w:szCs w:val="24"/>
        </w:rPr>
        <w:t xml:space="preserve"> The adoption of Protocol 15 ECHR </w:t>
      </w:r>
      <w:r w:rsidR="00AC6699">
        <w:rPr>
          <w:rFonts w:ascii="Times New Roman" w:hAnsi="Times New Roman" w:cs="Times New Roman"/>
          <w:sz w:val="24"/>
          <w:szCs w:val="24"/>
        </w:rPr>
        <w:t>partly reflects</w:t>
      </w:r>
      <w:r w:rsidRPr="001D5459">
        <w:rPr>
          <w:rFonts w:ascii="Times New Roman" w:hAnsi="Times New Roman" w:cs="Times New Roman"/>
          <w:sz w:val="24"/>
          <w:szCs w:val="24"/>
        </w:rPr>
        <w:t xml:space="preserve"> these vi</w:t>
      </w:r>
      <w:r w:rsidR="00AC6699">
        <w:rPr>
          <w:rFonts w:ascii="Times New Roman" w:hAnsi="Times New Roman" w:cs="Times New Roman"/>
          <w:sz w:val="24"/>
          <w:szCs w:val="24"/>
        </w:rPr>
        <w:t>ews:</w:t>
      </w:r>
      <w:r w:rsidRPr="001D5459">
        <w:rPr>
          <w:rFonts w:ascii="Times New Roman" w:hAnsi="Times New Roman" w:cs="Times New Roman"/>
          <w:sz w:val="24"/>
          <w:szCs w:val="24"/>
        </w:rPr>
        <w:t xml:space="preserve"> </w:t>
      </w:r>
      <w:r w:rsidR="00732A9B">
        <w:rPr>
          <w:rFonts w:ascii="Times New Roman" w:hAnsi="Times New Roman" w:cs="Times New Roman"/>
          <w:sz w:val="24"/>
          <w:szCs w:val="24"/>
        </w:rPr>
        <w:t xml:space="preserve">a </w:t>
      </w:r>
      <w:r w:rsidRPr="001D5459">
        <w:rPr>
          <w:rFonts w:ascii="Times New Roman" w:hAnsi="Times New Roman" w:cs="Times New Roman"/>
          <w:sz w:val="24"/>
          <w:szCs w:val="24"/>
        </w:rPr>
        <w:t>product of laborious high-level conferences and especially the Brighton Declaration,</w:t>
      </w:r>
      <w:r w:rsidRPr="001D5459">
        <w:rPr>
          <w:rFonts w:ascii="Times New Roman" w:hAnsi="Times New Roman"/>
          <w:sz w:val="24"/>
          <w:szCs w:val="24"/>
          <w:vertAlign w:val="superscript"/>
        </w:rPr>
        <w:footnoteReference w:id="3"/>
      </w:r>
      <w:r w:rsidRPr="001D5459">
        <w:rPr>
          <w:rFonts w:ascii="Times New Roman" w:hAnsi="Times New Roman" w:cs="Times New Roman"/>
          <w:sz w:val="24"/>
          <w:szCs w:val="24"/>
        </w:rPr>
        <w:t xml:space="preserve"> </w:t>
      </w:r>
      <w:r w:rsidR="0073437C">
        <w:rPr>
          <w:rFonts w:ascii="Times New Roman" w:hAnsi="Times New Roman" w:cs="Times New Roman"/>
          <w:sz w:val="24"/>
          <w:szCs w:val="24"/>
        </w:rPr>
        <w:t>when</w:t>
      </w:r>
      <w:r w:rsidRPr="001D5459">
        <w:rPr>
          <w:rFonts w:ascii="Times New Roman" w:hAnsi="Times New Roman" w:cs="Times New Roman"/>
          <w:sz w:val="24"/>
          <w:szCs w:val="24"/>
        </w:rPr>
        <w:t xml:space="preserve"> Protocol 15 enters into force it will amend the Convention’s preamble with a view to including a reference to the margin of appreciation doctrine and the principle of subsidiarity.</w:t>
      </w:r>
      <w:r w:rsidRPr="001D5459">
        <w:rPr>
          <w:rFonts w:ascii="Times New Roman" w:hAnsi="Times New Roman"/>
          <w:sz w:val="24"/>
          <w:szCs w:val="24"/>
          <w:vertAlign w:val="superscript"/>
        </w:rPr>
        <w:footnoteReference w:id="4"/>
      </w:r>
      <w:r w:rsidR="0073437C">
        <w:rPr>
          <w:rFonts w:ascii="Times New Roman" w:hAnsi="Times New Roman" w:cs="Times New Roman"/>
          <w:sz w:val="24"/>
          <w:szCs w:val="24"/>
        </w:rPr>
        <w:t xml:space="preserve"> More recent developments include the adoption of the ‘Copenhagen Declaration’ </w:t>
      </w:r>
      <w:r w:rsidR="00F46D92" w:rsidRPr="00F46D92">
        <w:rPr>
          <w:rFonts w:ascii="Times New Roman" w:hAnsi="Times New Roman" w:cs="Times New Roman"/>
          <w:sz w:val="24"/>
          <w:szCs w:val="24"/>
        </w:rPr>
        <w:t>in April 2018</w:t>
      </w:r>
      <w:r w:rsidR="00F46D92">
        <w:rPr>
          <w:rFonts w:ascii="Times New Roman" w:hAnsi="Times New Roman" w:cs="Times New Roman"/>
          <w:sz w:val="24"/>
          <w:szCs w:val="24"/>
        </w:rPr>
        <w:t xml:space="preserve">, </w:t>
      </w:r>
      <w:r w:rsidR="0073437C">
        <w:rPr>
          <w:rFonts w:ascii="Times New Roman" w:hAnsi="Times New Roman" w:cs="Times New Roman"/>
          <w:sz w:val="24"/>
          <w:szCs w:val="24"/>
        </w:rPr>
        <w:t xml:space="preserve">which makes several references to the </w:t>
      </w:r>
      <w:r w:rsidR="0073437C" w:rsidRPr="0073437C">
        <w:rPr>
          <w:rFonts w:ascii="Times New Roman" w:hAnsi="Times New Roman" w:cs="Times New Roman"/>
          <w:sz w:val="24"/>
          <w:szCs w:val="24"/>
        </w:rPr>
        <w:t>subsidiarity principle</w:t>
      </w:r>
      <w:r w:rsidR="004C0488">
        <w:rPr>
          <w:rFonts w:ascii="Times New Roman" w:hAnsi="Times New Roman" w:cs="Times New Roman"/>
          <w:sz w:val="24"/>
          <w:szCs w:val="24"/>
        </w:rPr>
        <w:t>,</w:t>
      </w:r>
      <w:r w:rsidR="0073437C" w:rsidRPr="0073437C">
        <w:rPr>
          <w:rFonts w:ascii="Times New Roman" w:hAnsi="Times New Roman" w:cs="Times New Roman"/>
          <w:sz w:val="24"/>
          <w:szCs w:val="24"/>
        </w:rPr>
        <w:t xml:space="preserve"> the </w:t>
      </w:r>
      <w:r w:rsidR="0073437C" w:rsidRPr="00F46D92">
        <w:rPr>
          <w:rFonts w:ascii="Times New Roman" w:hAnsi="Times New Roman" w:cs="Times New Roman"/>
          <w:sz w:val="24"/>
          <w:szCs w:val="24"/>
        </w:rPr>
        <w:t>margin of appreciation</w:t>
      </w:r>
      <w:r w:rsidR="004C0488" w:rsidRPr="00F46D92">
        <w:rPr>
          <w:rFonts w:ascii="Times New Roman" w:hAnsi="Times New Roman" w:cs="Times New Roman"/>
          <w:sz w:val="24"/>
          <w:szCs w:val="24"/>
        </w:rPr>
        <w:t xml:space="preserve"> and dialogue</w:t>
      </w:r>
      <w:r w:rsidR="0073437C" w:rsidRPr="00F46D92">
        <w:rPr>
          <w:rFonts w:ascii="Times New Roman" w:hAnsi="Times New Roman" w:cs="Times New Roman"/>
          <w:sz w:val="24"/>
          <w:szCs w:val="24"/>
        </w:rPr>
        <w:t>.</w:t>
      </w:r>
      <w:r w:rsidR="0073437C" w:rsidRPr="00F46D92">
        <w:rPr>
          <w:rStyle w:val="FootnoteReference"/>
          <w:rFonts w:cs="Times New Roman"/>
          <w:sz w:val="24"/>
          <w:szCs w:val="24"/>
        </w:rPr>
        <w:footnoteReference w:id="5"/>
      </w:r>
    </w:p>
    <w:p w14:paraId="28444A21" w14:textId="77777777" w:rsidR="001D5459" w:rsidRDefault="001D5459" w:rsidP="001D5459">
      <w:pPr>
        <w:spacing w:line="360" w:lineRule="auto"/>
        <w:jc w:val="both"/>
        <w:rPr>
          <w:rFonts w:ascii="Times New Roman" w:hAnsi="Times New Roman" w:cs="Times New Roman"/>
          <w:sz w:val="24"/>
          <w:szCs w:val="24"/>
        </w:rPr>
      </w:pPr>
      <w:r w:rsidRPr="001D5459">
        <w:rPr>
          <w:rFonts w:ascii="Times New Roman" w:hAnsi="Times New Roman" w:cs="Times New Roman"/>
          <w:sz w:val="24"/>
          <w:szCs w:val="24"/>
        </w:rPr>
        <w:lastRenderedPageBreak/>
        <w:t>The margin of appreciation doctrine generally entails that since the ECHR guarantees minimum standards of protection, the Strasbourg Court – depending of course on the circumstances of the case and the right in question - may leave the standard of protection of th</w:t>
      </w:r>
      <w:r w:rsidR="00732A9B">
        <w:rPr>
          <w:rFonts w:ascii="Times New Roman" w:hAnsi="Times New Roman" w:cs="Times New Roman"/>
          <w:sz w:val="24"/>
          <w:szCs w:val="24"/>
        </w:rPr>
        <w:t>at</w:t>
      </w:r>
      <w:r w:rsidRPr="001D5459">
        <w:rPr>
          <w:rFonts w:ascii="Times New Roman" w:hAnsi="Times New Roman" w:cs="Times New Roman"/>
          <w:sz w:val="24"/>
          <w:szCs w:val="24"/>
        </w:rPr>
        <w:t xml:space="preserve"> human right to the respondent state. When the Court examines the breadth of the margin of appreciation, often it seeks to </w:t>
      </w:r>
      <w:r w:rsidR="00003CFA">
        <w:rPr>
          <w:rFonts w:ascii="Times New Roman" w:hAnsi="Times New Roman" w:cs="Times New Roman"/>
          <w:sz w:val="24"/>
          <w:szCs w:val="24"/>
        </w:rPr>
        <w:t>establish</w:t>
      </w:r>
      <w:r w:rsidRPr="001D5459">
        <w:rPr>
          <w:rFonts w:ascii="Times New Roman" w:hAnsi="Times New Roman" w:cs="Times New Roman"/>
          <w:sz w:val="24"/>
          <w:szCs w:val="24"/>
        </w:rPr>
        <w:t xml:space="preserve"> </w:t>
      </w:r>
      <w:r w:rsidR="00003CFA">
        <w:rPr>
          <w:rFonts w:ascii="Times New Roman" w:hAnsi="Times New Roman" w:cs="Times New Roman"/>
          <w:sz w:val="24"/>
          <w:szCs w:val="24"/>
        </w:rPr>
        <w:t>the existence of</w:t>
      </w:r>
      <w:r w:rsidRPr="001D5459">
        <w:rPr>
          <w:rFonts w:ascii="Times New Roman" w:hAnsi="Times New Roman" w:cs="Times New Roman"/>
          <w:sz w:val="24"/>
          <w:szCs w:val="24"/>
        </w:rPr>
        <w:t xml:space="preserve"> ‘European consensus’</w:t>
      </w:r>
      <w:r w:rsidR="00003CFA">
        <w:rPr>
          <w:rFonts w:ascii="Times New Roman" w:hAnsi="Times New Roman" w:cs="Times New Roman"/>
          <w:sz w:val="24"/>
          <w:szCs w:val="24"/>
        </w:rPr>
        <w:t>.</w:t>
      </w:r>
      <w:r w:rsidRPr="001D5459">
        <w:rPr>
          <w:rFonts w:ascii="Times New Roman" w:hAnsi="Times New Roman" w:cs="Times New Roman"/>
          <w:sz w:val="24"/>
          <w:szCs w:val="24"/>
        </w:rPr>
        <w:t xml:space="preserve"> European consensus is effectively a comparative exercise across the members of the Council of Europe to identify broad, but not necessarily unanimous, agreement/ convergence (or disagreement) on a legal issue, with a view to potentially increasing the scope of the human right in question.</w:t>
      </w:r>
    </w:p>
    <w:p w14:paraId="5EDCAD4D" w14:textId="77777777" w:rsidR="00732A9B" w:rsidRDefault="00732A9B" w:rsidP="00732A9B">
      <w:pPr>
        <w:spacing w:line="360" w:lineRule="auto"/>
        <w:jc w:val="both"/>
        <w:rPr>
          <w:rFonts w:ascii="Times New Roman" w:hAnsi="Times New Roman" w:cs="Times New Roman"/>
          <w:sz w:val="24"/>
          <w:szCs w:val="24"/>
        </w:rPr>
      </w:pPr>
      <w:r w:rsidRPr="001002A9">
        <w:rPr>
          <w:rFonts w:ascii="Times New Roman" w:hAnsi="Times New Roman" w:cs="Times New Roman"/>
          <w:sz w:val="24"/>
          <w:szCs w:val="24"/>
        </w:rPr>
        <w:t>The</w:t>
      </w:r>
      <w:r>
        <w:rPr>
          <w:rFonts w:ascii="Times New Roman" w:hAnsi="Times New Roman" w:cs="Times New Roman"/>
          <w:sz w:val="24"/>
          <w:szCs w:val="24"/>
        </w:rPr>
        <w:t xml:space="preserve"> (seemingly interrelated)</w:t>
      </w:r>
      <w:r w:rsidRPr="001002A9">
        <w:rPr>
          <w:rFonts w:ascii="Times New Roman" w:hAnsi="Times New Roman" w:cs="Times New Roman"/>
          <w:sz w:val="24"/>
          <w:szCs w:val="24"/>
        </w:rPr>
        <w:t xml:space="preserve"> concepts </w:t>
      </w:r>
      <w:r>
        <w:rPr>
          <w:rFonts w:ascii="Times New Roman" w:hAnsi="Times New Roman" w:cs="Times New Roman"/>
          <w:sz w:val="24"/>
          <w:szCs w:val="24"/>
        </w:rPr>
        <w:t xml:space="preserve">of consensus and the margin of appreciation </w:t>
      </w:r>
      <w:r w:rsidRPr="001002A9">
        <w:rPr>
          <w:rFonts w:ascii="Times New Roman" w:hAnsi="Times New Roman" w:cs="Times New Roman"/>
          <w:sz w:val="24"/>
          <w:szCs w:val="24"/>
        </w:rPr>
        <w:t>have emerged as central to the work of the EC</w:t>
      </w:r>
      <w:r>
        <w:rPr>
          <w:rFonts w:ascii="Times New Roman" w:hAnsi="Times New Roman" w:cs="Times New Roman"/>
          <w:sz w:val="24"/>
          <w:szCs w:val="24"/>
        </w:rPr>
        <w:t>t</w:t>
      </w:r>
      <w:r w:rsidRPr="001002A9">
        <w:rPr>
          <w:rFonts w:ascii="Times New Roman" w:hAnsi="Times New Roman" w:cs="Times New Roman"/>
          <w:sz w:val="24"/>
          <w:szCs w:val="24"/>
        </w:rPr>
        <w:t xml:space="preserve">HR. </w:t>
      </w:r>
      <w:r>
        <w:rPr>
          <w:rFonts w:ascii="Times New Roman" w:hAnsi="Times New Roman" w:cs="Times New Roman"/>
          <w:sz w:val="24"/>
          <w:szCs w:val="24"/>
        </w:rPr>
        <w:t>Simultaneously, t</w:t>
      </w:r>
      <w:r w:rsidRPr="001002A9">
        <w:rPr>
          <w:rFonts w:ascii="Times New Roman" w:hAnsi="Times New Roman" w:cs="Times New Roman"/>
          <w:sz w:val="24"/>
          <w:szCs w:val="24"/>
        </w:rPr>
        <w:t>hey are politically contested</w:t>
      </w:r>
      <w:r>
        <w:rPr>
          <w:rFonts w:ascii="Times New Roman" w:hAnsi="Times New Roman" w:cs="Times New Roman"/>
          <w:sz w:val="24"/>
          <w:szCs w:val="24"/>
        </w:rPr>
        <w:t>; the adoption of Protocol 15 and the debate surrounding the Copenhagen Declaration clearly confirm this.</w:t>
      </w:r>
      <w:r w:rsidRPr="001002A9">
        <w:rPr>
          <w:rFonts w:ascii="Times New Roman" w:hAnsi="Times New Roman" w:cs="Times New Roman"/>
          <w:sz w:val="24"/>
          <w:szCs w:val="24"/>
        </w:rPr>
        <w:t xml:space="preserve"> </w:t>
      </w:r>
      <w:r>
        <w:rPr>
          <w:rFonts w:ascii="Times New Roman" w:hAnsi="Times New Roman" w:cs="Times New Roman"/>
          <w:sz w:val="24"/>
          <w:szCs w:val="24"/>
        </w:rPr>
        <w:t>B</w:t>
      </w:r>
      <w:r w:rsidRPr="001002A9">
        <w:rPr>
          <w:rFonts w:ascii="Times New Roman" w:hAnsi="Times New Roman" w:cs="Times New Roman"/>
          <w:sz w:val="24"/>
          <w:szCs w:val="24"/>
        </w:rPr>
        <w:t>ut, crucially, the precise nature of their relationship has been inadequately set out by the Court.</w:t>
      </w:r>
      <w:r>
        <w:rPr>
          <w:rFonts w:ascii="Times New Roman" w:hAnsi="Times New Roman" w:cs="Times New Roman"/>
          <w:sz w:val="24"/>
          <w:szCs w:val="24"/>
        </w:rPr>
        <w:t xml:space="preserve"> Indeed, m</w:t>
      </w:r>
      <w:r w:rsidRPr="00E91E60">
        <w:rPr>
          <w:rFonts w:ascii="Times New Roman" w:hAnsi="Times New Roman" w:cs="Times New Roman"/>
          <w:sz w:val="24"/>
          <w:szCs w:val="24"/>
        </w:rPr>
        <w:t xml:space="preserve">uch of the confusion surrounding the two terms stems from the Court’s own case-law, and its general reluctance </w:t>
      </w:r>
      <w:r>
        <w:rPr>
          <w:rFonts w:ascii="Times New Roman" w:hAnsi="Times New Roman" w:cs="Times New Roman"/>
          <w:sz w:val="24"/>
          <w:szCs w:val="24"/>
        </w:rPr>
        <w:t xml:space="preserve">not only </w:t>
      </w:r>
      <w:r w:rsidRPr="00E91E60">
        <w:rPr>
          <w:rFonts w:ascii="Times New Roman" w:hAnsi="Times New Roman" w:cs="Times New Roman"/>
          <w:sz w:val="24"/>
          <w:szCs w:val="24"/>
        </w:rPr>
        <w:t>to provide sufficiently precise definitions when interpreting the Convention</w:t>
      </w:r>
      <w:r>
        <w:rPr>
          <w:rFonts w:ascii="Times New Roman" w:hAnsi="Times New Roman" w:cs="Times New Roman"/>
          <w:sz w:val="24"/>
          <w:szCs w:val="24"/>
        </w:rPr>
        <w:t>, but also (as this article will show) to articulate in clear terms the relationship between key concepts, such as the one between consensus and the margin of appreciation</w:t>
      </w:r>
      <w:r w:rsidRPr="00E91E60">
        <w:rPr>
          <w:rFonts w:ascii="Times New Roman" w:hAnsi="Times New Roman" w:cs="Times New Roman"/>
          <w:sz w:val="24"/>
          <w:szCs w:val="24"/>
        </w:rPr>
        <w:t>.</w:t>
      </w:r>
      <w:r>
        <w:rPr>
          <w:rFonts w:ascii="Times New Roman" w:hAnsi="Times New Roman" w:cs="Times New Roman"/>
          <w:sz w:val="24"/>
          <w:szCs w:val="24"/>
        </w:rPr>
        <w:t xml:space="preserve"> And yet whether and to what extent reliance on consensus will inform the Court’s outcome on the margin of appreciation is </w:t>
      </w:r>
      <w:r w:rsidR="00606835">
        <w:rPr>
          <w:rFonts w:ascii="Times New Roman" w:hAnsi="Times New Roman" w:cs="Times New Roman"/>
          <w:sz w:val="24"/>
          <w:szCs w:val="24"/>
        </w:rPr>
        <w:t xml:space="preserve">a matter directly related to the overall </w:t>
      </w:r>
      <w:r w:rsidRPr="00606835">
        <w:rPr>
          <w:rFonts w:ascii="Times New Roman" w:hAnsi="Times New Roman" w:cs="Times New Roman"/>
          <w:sz w:val="24"/>
          <w:szCs w:val="24"/>
        </w:rPr>
        <w:t>legitimacy</w:t>
      </w:r>
      <w:r w:rsidRPr="001002A9">
        <w:rPr>
          <w:rFonts w:ascii="Times New Roman" w:hAnsi="Times New Roman" w:cs="Times New Roman"/>
          <w:sz w:val="24"/>
          <w:szCs w:val="24"/>
        </w:rPr>
        <w:t xml:space="preserve"> of the </w:t>
      </w:r>
      <w:r>
        <w:rPr>
          <w:rFonts w:ascii="Times New Roman" w:hAnsi="Times New Roman" w:cs="Times New Roman"/>
          <w:sz w:val="24"/>
          <w:szCs w:val="24"/>
        </w:rPr>
        <w:t xml:space="preserve">Strasbourg </w:t>
      </w:r>
      <w:r w:rsidR="00606835">
        <w:rPr>
          <w:rFonts w:ascii="Times New Roman" w:hAnsi="Times New Roman" w:cs="Times New Roman"/>
          <w:sz w:val="24"/>
          <w:szCs w:val="24"/>
        </w:rPr>
        <w:t>Court.</w:t>
      </w:r>
    </w:p>
    <w:p w14:paraId="52F15098" w14:textId="77777777" w:rsidR="00732A9B" w:rsidRDefault="00732A9B" w:rsidP="001D5459">
      <w:pPr>
        <w:spacing w:line="360" w:lineRule="auto"/>
        <w:jc w:val="both"/>
        <w:rPr>
          <w:rFonts w:ascii="Times New Roman" w:hAnsi="Times New Roman" w:cs="Times New Roman"/>
          <w:sz w:val="24"/>
          <w:szCs w:val="24"/>
        </w:rPr>
      </w:pPr>
      <w:r>
        <w:rPr>
          <w:rFonts w:ascii="Times New Roman" w:hAnsi="Times New Roman" w:cs="Times New Roman"/>
          <w:sz w:val="24"/>
          <w:szCs w:val="24"/>
        </w:rPr>
        <w:t>Moreover, t</w:t>
      </w:r>
      <w:r w:rsidR="001D5459" w:rsidRPr="001D5459">
        <w:rPr>
          <w:rFonts w:ascii="Times New Roman" w:hAnsi="Times New Roman" w:cs="Times New Roman"/>
          <w:sz w:val="24"/>
          <w:szCs w:val="24"/>
        </w:rPr>
        <w:t xml:space="preserve">he development of consensus analysis by the ECtHR has had significant implications for the argumentation of the parties before the Strasbourg Court. The respondent states are inclined to argue that the lack of consensus entails that states should be granted the margin </w:t>
      </w:r>
      <w:r w:rsidR="001D5459" w:rsidRPr="001D5459">
        <w:rPr>
          <w:rFonts w:ascii="Times New Roman" w:hAnsi="Times New Roman" w:cs="Times New Roman"/>
          <w:sz w:val="24"/>
          <w:szCs w:val="24"/>
        </w:rPr>
        <w:lastRenderedPageBreak/>
        <w:t xml:space="preserve">of appreciation; conversely, individuals advance the claim that there </w:t>
      </w:r>
      <w:r w:rsidR="001D5459" w:rsidRPr="001D5459">
        <w:rPr>
          <w:rFonts w:ascii="Times New Roman" w:hAnsi="Times New Roman" w:cs="Times New Roman"/>
          <w:i/>
          <w:sz w:val="24"/>
          <w:szCs w:val="24"/>
        </w:rPr>
        <w:t xml:space="preserve">is </w:t>
      </w:r>
      <w:r w:rsidR="001D5459" w:rsidRPr="001D5459">
        <w:rPr>
          <w:rFonts w:ascii="Times New Roman" w:hAnsi="Times New Roman" w:cs="Times New Roman"/>
          <w:sz w:val="24"/>
          <w:szCs w:val="24"/>
        </w:rPr>
        <w:t xml:space="preserve">European consensus on a matter falling under the scope of the Convention, and therefore that the Strasbourg Court should not grant the respondent the margin of appreciation. </w:t>
      </w:r>
    </w:p>
    <w:p w14:paraId="0EADA718" w14:textId="77777777" w:rsidR="00732A9B" w:rsidRDefault="00732A9B" w:rsidP="00732A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context, </w:t>
      </w:r>
      <w:r w:rsidR="00973969">
        <w:rPr>
          <w:rFonts w:ascii="Times New Roman" w:hAnsi="Times New Roman" w:cs="Times New Roman"/>
          <w:sz w:val="24"/>
          <w:szCs w:val="24"/>
        </w:rPr>
        <w:t>this</w:t>
      </w:r>
      <w:r w:rsidR="00973969" w:rsidRPr="00973969">
        <w:rPr>
          <w:rFonts w:ascii="Times New Roman" w:hAnsi="Times New Roman" w:cs="Times New Roman"/>
          <w:sz w:val="24"/>
          <w:szCs w:val="24"/>
        </w:rPr>
        <w:t xml:space="preserve"> article rejects the presumption that the decision on the margin of appreciation will always depend on the identification (or not) of European consensus: this refers not only to cases where the outcome of the comparative exercise did not correspond to the Court’s decision on the margin of appreciation, but also to cases where consensus was not necessarily the most important factor in determining the margin of appreciation. </w:t>
      </w:r>
      <w:r w:rsidR="009D1669">
        <w:rPr>
          <w:rFonts w:ascii="Times New Roman" w:hAnsi="Times New Roman" w:cs="Times New Roman"/>
          <w:sz w:val="24"/>
          <w:szCs w:val="24"/>
        </w:rPr>
        <w:t>Moreover</w:t>
      </w:r>
      <w:r w:rsidR="00973969">
        <w:rPr>
          <w:rFonts w:ascii="Times New Roman" w:hAnsi="Times New Roman" w:cs="Times New Roman"/>
          <w:sz w:val="24"/>
          <w:szCs w:val="24"/>
        </w:rPr>
        <w:t xml:space="preserve">, </w:t>
      </w:r>
      <w:r>
        <w:rPr>
          <w:rFonts w:ascii="Times New Roman" w:hAnsi="Times New Roman" w:cs="Times New Roman"/>
          <w:sz w:val="24"/>
          <w:szCs w:val="24"/>
        </w:rPr>
        <w:t xml:space="preserve">this contribution argues that the way European consensus is </w:t>
      </w:r>
      <w:r>
        <w:rPr>
          <w:rFonts w:ascii="Times New Roman" w:hAnsi="Times New Roman" w:cs="Times New Roman"/>
          <w:i/>
          <w:sz w:val="24"/>
          <w:szCs w:val="24"/>
        </w:rPr>
        <w:t>generally</w:t>
      </w:r>
      <w:r>
        <w:rPr>
          <w:rFonts w:ascii="Times New Roman" w:hAnsi="Times New Roman" w:cs="Times New Roman"/>
          <w:sz w:val="24"/>
          <w:szCs w:val="24"/>
        </w:rPr>
        <w:t xml:space="preserve"> being used by the </w:t>
      </w:r>
      <w:r w:rsidRPr="008D2530">
        <w:rPr>
          <w:rFonts w:ascii="Times New Roman" w:hAnsi="Times New Roman" w:cs="Times New Roman"/>
          <w:sz w:val="24"/>
          <w:szCs w:val="24"/>
        </w:rPr>
        <w:t>ECtHR in order to decide on the margin of appreciation supports the multi-dimensional</w:t>
      </w:r>
      <w:r w:rsidR="00973969" w:rsidRPr="008D2530">
        <w:rPr>
          <w:rStyle w:val="FootnoteReference"/>
          <w:rFonts w:cs="Times New Roman"/>
          <w:sz w:val="24"/>
          <w:szCs w:val="24"/>
        </w:rPr>
        <w:footnoteReference w:id="6"/>
      </w:r>
      <w:r>
        <w:rPr>
          <w:rFonts w:ascii="Times New Roman" w:hAnsi="Times New Roman" w:cs="Times New Roman"/>
          <w:sz w:val="24"/>
          <w:szCs w:val="24"/>
        </w:rPr>
        <w:t xml:space="preserve"> leg</w:t>
      </w:r>
      <w:r w:rsidR="008D2530">
        <w:rPr>
          <w:rFonts w:ascii="Times New Roman" w:hAnsi="Times New Roman" w:cs="Times New Roman"/>
          <w:sz w:val="24"/>
          <w:szCs w:val="24"/>
        </w:rPr>
        <w:t xml:space="preserve">itimacy of the Strasbourg Court, which has to strike a (no doubt difficult) balance between the development of human rights in Europe and its role as jurisdiction of last resort, in </w:t>
      </w:r>
      <w:r w:rsidR="003E7DEF">
        <w:rPr>
          <w:rFonts w:ascii="Times New Roman" w:hAnsi="Times New Roman" w:cs="Times New Roman"/>
          <w:sz w:val="24"/>
          <w:szCs w:val="24"/>
        </w:rPr>
        <w:t>accordance with</w:t>
      </w:r>
      <w:r w:rsidR="008D2530">
        <w:rPr>
          <w:rFonts w:ascii="Times New Roman" w:hAnsi="Times New Roman" w:cs="Times New Roman"/>
          <w:sz w:val="24"/>
          <w:szCs w:val="24"/>
        </w:rPr>
        <w:t xml:space="preserve"> the subsidiarity principle. Taking this further, it is submitted that the ECtHR should disentangle the </w:t>
      </w:r>
      <w:r w:rsidR="008D2530" w:rsidRPr="008D2530">
        <w:rPr>
          <w:rFonts w:ascii="Times New Roman" w:hAnsi="Times New Roman" w:cs="Times New Roman"/>
          <w:i/>
          <w:sz w:val="24"/>
          <w:szCs w:val="24"/>
        </w:rPr>
        <w:t>majoritarian dimension</w:t>
      </w:r>
      <w:r w:rsidR="008D2530">
        <w:rPr>
          <w:rFonts w:ascii="Times New Roman" w:hAnsi="Times New Roman" w:cs="Times New Roman"/>
          <w:sz w:val="24"/>
          <w:szCs w:val="24"/>
        </w:rPr>
        <w:t xml:space="preserve"> of consensus from the application of the margin of appreciation, and elaborate more on the </w:t>
      </w:r>
      <w:r w:rsidR="008D2530" w:rsidRPr="008D2530">
        <w:rPr>
          <w:rFonts w:ascii="Times New Roman" w:hAnsi="Times New Roman" w:cs="Times New Roman"/>
          <w:i/>
          <w:sz w:val="24"/>
          <w:szCs w:val="24"/>
        </w:rPr>
        <w:t>nature and scope of convergence</w:t>
      </w:r>
      <w:r w:rsidR="008D2530">
        <w:rPr>
          <w:rFonts w:ascii="Times New Roman" w:hAnsi="Times New Roman" w:cs="Times New Roman"/>
          <w:sz w:val="24"/>
          <w:szCs w:val="24"/>
        </w:rPr>
        <w:t xml:space="preserve"> across Europe in its jurisprudence. Lastly</w:t>
      </w:r>
      <w:r>
        <w:rPr>
          <w:rFonts w:ascii="Times New Roman" w:hAnsi="Times New Roman" w:cs="Times New Roman"/>
          <w:sz w:val="24"/>
          <w:szCs w:val="24"/>
        </w:rPr>
        <w:t xml:space="preserve">, the article </w:t>
      </w:r>
      <w:r w:rsidR="00D5411A">
        <w:rPr>
          <w:rFonts w:ascii="Times New Roman" w:hAnsi="Times New Roman" w:cs="Times New Roman"/>
          <w:sz w:val="24"/>
          <w:szCs w:val="24"/>
        </w:rPr>
        <w:t>claims that</w:t>
      </w:r>
      <w:r>
        <w:rPr>
          <w:rFonts w:ascii="Times New Roman" w:hAnsi="Times New Roman" w:cs="Times New Roman"/>
          <w:sz w:val="24"/>
          <w:szCs w:val="24"/>
        </w:rPr>
        <w:t xml:space="preserve"> the Strasbourg Court </w:t>
      </w:r>
      <w:r w:rsidR="00D5411A">
        <w:rPr>
          <w:rFonts w:ascii="Times New Roman" w:hAnsi="Times New Roman" w:cs="Times New Roman"/>
          <w:sz w:val="24"/>
          <w:szCs w:val="24"/>
        </w:rPr>
        <w:t>should</w:t>
      </w:r>
      <w:r>
        <w:rPr>
          <w:rFonts w:ascii="Times New Roman" w:hAnsi="Times New Roman" w:cs="Times New Roman"/>
          <w:sz w:val="24"/>
          <w:szCs w:val="24"/>
        </w:rPr>
        <w:t xml:space="preserve"> formulate in clearer terms and codify </w:t>
      </w:r>
      <w:r w:rsidRPr="009B0643">
        <w:rPr>
          <w:rFonts w:ascii="Times New Roman" w:hAnsi="Times New Roman" w:cs="Times New Roman"/>
          <w:sz w:val="24"/>
          <w:szCs w:val="24"/>
        </w:rPr>
        <w:t xml:space="preserve">in its case-law </w:t>
      </w:r>
      <w:r>
        <w:rPr>
          <w:rFonts w:ascii="Times New Roman" w:hAnsi="Times New Roman" w:cs="Times New Roman"/>
          <w:sz w:val="24"/>
          <w:szCs w:val="24"/>
        </w:rPr>
        <w:t xml:space="preserve">the interplay between the two notions. </w:t>
      </w:r>
    </w:p>
    <w:p w14:paraId="36F00F53" w14:textId="77777777" w:rsidR="00732A9B" w:rsidRDefault="00732A9B" w:rsidP="00732A9B">
      <w:pPr>
        <w:spacing w:line="360" w:lineRule="auto"/>
        <w:jc w:val="both"/>
        <w:rPr>
          <w:rFonts w:ascii="Times New Roman" w:hAnsi="Times New Roman" w:cs="Times New Roman"/>
          <w:sz w:val="24"/>
          <w:szCs w:val="24"/>
        </w:rPr>
      </w:pPr>
      <w:r>
        <w:rPr>
          <w:rFonts w:ascii="Times New Roman" w:hAnsi="Times New Roman" w:cs="Times New Roman"/>
          <w:sz w:val="24"/>
          <w:szCs w:val="24"/>
        </w:rPr>
        <w:t>Thus, the article makes a significant contribution to the debates on the legitimacy of the Court</w:t>
      </w:r>
      <w:r w:rsidR="00940EF2">
        <w:rPr>
          <w:rFonts w:ascii="Times New Roman" w:hAnsi="Times New Roman" w:cs="Times New Roman"/>
          <w:sz w:val="24"/>
          <w:szCs w:val="24"/>
        </w:rPr>
        <w:t>,</w:t>
      </w:r>
      <w:r>
        <w:rPr>
          <w:rFonts w:ascii="Times New Roman" w:hAnsi="Times New Roman" w:cs="Times New Roman"/>
          <w:sz w:val="24"/>
          <w:szCs w:val="24"/>
        </w:rPr>
        <w:t xml:space="preserve"> given that, since the Court’s legitimacy is multi-dimensional, it cannot solely depend on consensus; and the occasional tensions between the two notions (e.g. when there is lack of consensus and yet the Court decides that it should not grant the respondent the margin of appreciation) </w:t>
      </w:r>
      <w:r>
        <w:rPr>
          <w:rFonts w:ascii="Times New Roman" w:hAnsi="Times New Roman" w:cs="Times New Roman"/>
          <w:sz w:val="24"/>
          <w:szCs w:val="24"/>
        </w:rPr>
        <w:lastRenderedPageBreak/>
        <w:t xml:space="preserve">do not, </w:t>
      </w:r>
      <w:r w:rsidRPr="00FA649B">
        <w:rPr>
          <w:rFonts w:ascii="Times New Roman" w:hAnsi="Times New Roman" w:cs="Times New Roman"/>
          <w:i/>
          <w:sz w:val="24"/>
          <w:szCs w:val="24"/>
        </w:rPr>
        <w:t>for this reason alone</w:t>
      </w:r>
      <w:r>
        <w:rPr>
          <w:rFonts w:ascii="Times New Roman" w:hAnsi="Times New Roman" w:cs="Times New Roman"/>
          <w:sz w:val="24"/>
          <w:szCs w:val="24"/>
        </w:rPr>
        <w:t xml:space="preserve">, suggest that the ECtHR’s legitimacy is undermined. By examining the implications post-Protocols 15 and 16 ECHR, the paper also </w:t>
      </w:r>
      <w:r w:rsidR="00FD3558">
        <w:rPr>
          <w:rFonts w:ascii="Times New Roman" w:hAnsi="Times New Roman" w:cs="Times New Roman"/>
          <w:sz w:val="24"/>
          <w:szCs w:val="24"/>
        </w:rPr>
        <w:t>contributes</w:t>
      </w:r>
      <w:r>
        <w:rPr>
          <w:rFonts w:ascii="Times New Roman" w:hAnsi="Times New Roman" w:cs="Times New Roman"/>
          <w:sz w:val="24"/>
          <w:szCs w:val="24"/>
        </w:rPr>
        <w:t xml:space="preserve"> to </w:t>
      </w:r>
      <w:r w:rsidRPr="00FA649B">
        <w:rPr>
          <w:rFonts w:ascii="Times New Roman" w:hAnsi="Times New Roman" w:cs="Times New Roman"/>
          <w:sz w:val="24"/>
          <w:szCs w:val="24"/>
        </w:rPr>
        <w:t xml:space="preserve">the ongoing </w:t>
      </w:r>
      <w:r>
        <w:rPr>
          <w:rFonts w:ascii="Times New Roman" w:hAnsi="Times New Roman" w:cs="Times New Roman"/>
          <w:sz w:val="24"/>
          <w:szCs w:val="24"/>
        </w:rPr>
        <w:t xml:space="preserve">(as the Copenhagen Declaration aptly verifies) </w:t>
      </w:r>
      <w:r w:rsidRPr="00FA649B">
        <w:rPr>
          <w:rFonts w:ascii="Times New Roman" w:hAnsi="Times New Roman" w:cs="Times New Roman"/>
          <w:sz w:val="24"/>
          <w:szCs w:val="24"/>
        </w:rPr>
        <w:t>process of reform of the Convention machinery</w:t>
      </w:r>
      <w:r>
        <w:rPr>
          <w:rFonts w:ascii="Times New Roman" w:hAnsi="Times New Roman" w:cs="Times New Roman"/>
          <w:sz w:val="24"/>
          <w:szCs w:val="24"/>
        </w:rPr>
        <w:t>. Lastly, by clarifying the precise interplay between the two concepts, the article informs the debate on how the ECtHR’s reasoning can be improved.</w:t>
      </w:r>
    </w:p>
    <w:p w14:paraId="3288A132" w14:textId="4BD89CF1" w:rsidR="00873ECE" w:rsidRDefault="001D5459" w:rsidP="001D5459">
      <w:pPr>
        <w:spacing w:line="360" w:lineRule="auto"/>
        <w:jc w:val="both"/>
        <w:rPr>
          <w:rFonts w:ascii="Times New Roman" w:hAnsi="Times New Roman" w:cs="Times New Roman"/>
          <w:sz w:val="24"/>
          <w:szCs w:val="24"/>
        </w:rPr>
      </w:pPr>
      <w:r w:rsidRPr="001D5459">
        <w:rPr>
          <w:rFonts w:ascii="Times New Roman" w:hAnsi="Times New Roman" w:cs="Times New Roman"/>
          <w:sz w:val="24"/>
          <w:szCs w:val="24"/>
        </w:rPr>
        <w:t xml:space="preserve">The argument is advanced as follows. First, some preliminary remarks are offered on the two concepts and their relationship. Next, the article rejects the presumption that the decision on the margin of appreciation will always depend on the identification </w:t>
      </w:r>
      <w:r w:rsidR="005259EA">
        <w:rPr>
          <w:rFonts w:ascii="Times New Roman" w:hAnsi="Times New Roman" w:cs="Times New Roman"/>
          <w:sz w:val="24"/>
          <w:szCs w:val="24"/>
        </w:rPr>
        <w:t>(</w:t>
      </w:r>
      <w:r w:rsidRPr="001D5459">
        <w:rPr>
          <w:rFonts w:ascii="Times New Roman" w:hAnsi="Times New Roman" w:cs="Times New Roman"/>
          <w:sz w:val="24"/>
          <w:szCs w:val="24"/>
        </w:rPr>
        <w:t>or not</w:t>
      </w:r>
      <w:r w:rsidR="005259EA">
        <w:rPr>
          <w:rFonts w:ascii="Times New Roman" w:hAnsi="Times New Roman" w:cs="Times New Roman"/>
          <w:sz w:val="24"/>
          <w:szCs w:val="24"/>
        </w:rPr>
        <w:t>)</w:t>
      </w:r>
      <w:r w:rsidRPr="001D5459">
        <w:rPr>
          <w:rFonts w:ascii="Times New Roman" w:hAnsi="Times New Roman" w:cs="Times New Roman"/>
          <w:sz w:val="24"/>
          <w:szCs w:val="24"/>
        </w:rPr>
        <w:t xml:space="preserve"> of European consensus. Undeniably, the Strasbourg Court often follows the guidance of its Europe-wide comparative exercise – often, </w:t>
      </w:r>
      <w:r w:rsidRPr="001D5459">
        <w:rPr>
          <w:rFonts w:ascii="Times New Roman" w:hAnsi="Times New Roman" w:cs="Times New Roman"/>
          <w:i/>
          <w:sz w:val="24"/>
          <w:szCs w:val="24"/>
        </w:rPr>
        <w:t>but not always</w:t>
      </w:r>
      <w:r w:rsidRPr="001D5459">
        <w:rPr>
          <w:rFonts w:ascii="Times New Roman" w:hAnsi="Times New Roman" w:cs="Times New Roman"/>
          <w:sz w:val="24"/>
          <w:szCs w:val="24"/>
        </w:rPr>
        <w:t xml:space="preserve">. </w:t>
      </w:r>
      <w:r w:rsidR="005259EA">
        <w:rPr>
          <w:rFonts w:ascii="Times New Roman" w:hAnsi="Times New Roman" w:cs="Times New Roman"/>
          <w:sz w:val="24"/>
          <w:szCs w:val="24"/>
        </w:rPr>
        <w:t>S</w:t>
      </w:r>
      <w:r w:rsidRPr="001D5459">
        <w:rPr>
          <w:rFonts w:ascii="Times New Roman" w:hAnsi="Times New Roman" w:cs="Times New Roman"/>
          <w:sz w:val="24"/>
          <w:szCs w:val="24"/>
        </w:rPr>
        <w:t xml:space="preserve">pecific categories of cases where this absence of dependency (in other words, cases where the doctrine of European consensus is not always used by the Court as the </w:t>
      </w:r>
      <w:r w:rsidRPr="001D5459">
        <w:rPr>
          <w:rFonts w:ascii="Times New Roman" w:hAnsi="Times New Roman" w:cs="Times New Roman"/>
          <w:i/>
          <w:sz w:val="24"/>
          <w:szCs w:val="24"/>
        </w:rPr>
        <w:t>altera pars</w:t>
      </w:r>
      <w:r w:rsidRPr="001D5459">
        <w:rPr>
          <w:rFonts w:ascii="Times New Roman" w:hAnsi="Times New Roman" w:cs="Times New Roman"/>
          <w:sz w:val="24"/>
          <w:szCs w:val="24"/>
        </w:rPr>
        <w:t xml:space="preserve"> of the margin of appreciation)</w:t>
      </w:r>
      <w:r w:rsidRPr="001D5459">
        <w:t xml:space="preserve"> </w:t>
      </w:r>
      <w:r w:rsidRPr="001D5459">
        <w:rPr>
          <w:rFonts w:ascii="Times New Roman" w:hAnsi="Times New Roman" w:cs="Times New Roman"/>
          <w:sz w:val="24"/>
          <w:szCs w:val="24"/>
        </w:rPr>
        <w:t>can be identified</w:t>
      </w:r>
      <w:r w:rsidR="005259EA">
        <w:rPr>
          <w:rFonts w:ascii="Times New Roman" w:hAnsi="Times New Roman" w:cs="Times New Roman"/>
          <w:sz w:val="24"/>
          <w:szCs w:val="24"/>
        </w:rPr>
        <w:t xml:space="preserve"> are explored</w:t>
      </w:r>
      <w:r w:rsidRPr="001D5459">
        <w:rPr>
          <w:rFonts w:ascii="Times New Roman" w:hAnsi="Times New Roman" w:cs="Times New Roman"/>
          <w:sz w:val="24"/>
          <w:szCs w:val="24"/>
        </w:rPr>
        <w:t>. Taking this</w:t>
      </w:r>
      <w:r w:rsidR="00984949">
        <w:rPr>
          <w:rFonts w:ascii="Times New Roman" w:hAnsi="Times New Roman" w:cs="Times New Roman"/>
          <w:sz w:val="24"/>
          <w:szCs w:val="24"/>
        </w:rPr>
        <w:t xml:space="preserve"> path of</w:t>
      </w:r>
      <w:r w:rsidR="00D56E33">
        <w:rPr>
          <w:rFonts w:ascii="Times New Roman" w:hAnsi="Times New Roman" w:cs="Times New Roman"/>
          <w:sz w:val="24"/>
          <w:szCs w:val="24"/>
        </w:rPr>
        <w:t xml:space="preserve"> enquiry further, it is shown</w:t>
      </w:r>
      <w:r w:rsidRPr="001D5459">
        <w:rPr>
          <w:rFonts w:ascii="Times New Roman" w:hAnsi="Times New Roman" w:cs="Times New Roman"/>
          <w:sz w:val="24"/>
          <w:szCs w:val="24"/>
        </w:rPr>
        <w:t xml:space="preserve"> that European consensus is </w:t>
      </w:r>
      <w:r w:rsidRPr="001D5459">
        <w:rPr>
          <w:rFonts w:ascii="Times New Roman" w:hAnsi="Times New Roman" w:cs="Times New Roman"/>
          <w:i/>
          <w:sz w:val="24"/>
          <w:szCs w:val="24"/>
        </w:rPr>
        <w:t>one</w:t>
      </w:r>
      <w:r w:rsidRPr="001D5459">
        <w:rPr>
          <w:rFonts w:ascii="Times New Roman" w:hAnsi="Times New Roman" w:cs="Times New Roman"/>
          <w:sz w:val="24"/>
          <w:szCs w:val="24"/>
        </w:rPr>
        <w:t xml:space="preserve"> </w:t>
      </w:r>
      <w:r w:rsidRPr="001D5459">
        <w:rPr>
          <w:rFonts w:ascii="Times New Roman" w:hAnsi="Times New Roman" w:cs="Times New Roman"/>
          <w:i/>
          <w:sz w:val="24"/>
          <w:szCs w:val="24"/>
        </w:rPr>
        <w:t>of the methods</w:t>
      </w:r>
      <w:r w:rsidRPr="001D5459">
        <w:rPr>
          <w:rFonts w:ascii="Times New Roman" w:hAnsi="Times New Roman" w:cs="Times New Roman"/>
          <w:sz w:val="24"/>
          <w:szCs w:val="24"/>
        </w:rPr>
        <w:t xml:space="preserve"> used by the Court in the context of its application of the </w:t>
      </w:r>
      <w:r w:rsidRPr="001D5459">
        <w:rPr>
          <w:rFonts w:ascii="Times New Roman" w:hAnsi="Times New Roman" w:cs="Times New Roman"/>
          <w:i/>
          <w:sz w:val="24"/>
          <w:szCs w:val="24"/>
        </w:rPr>
        <w:t>proportionality test</w:t>
      </w:r>
      <w:r w:rsidRPr="001D5459">
        <w:rPr>
          <w:rFonts w:ascii="Times New Roman" w:hAnsi="Times New Roman" w:cs="Times New Roman"/>
          <w:sz w:val="24"/>
          <w:szCs w:val="24"/>
        </w:rPr>
        <w:t xml:space="preserve">, in order to decide on the scope of the margin of appreciation that </w:t>
      </w:r>
      <w:r w:rsidR="005259EA">
        <w:rPr>
          <w:rFonts w:ascii="Times New Roman" w:hAnsi="Times New Roman" w:cs="Times New Roman"/>
          <w:sz w:val="24"/>
          <w:szCs w:val="24"/>
        </w:rPr>
        <w:t xml:space="preserve">the </w:t>
      </w:r>
      <w:r w:rsidRPr="001D5459">
        <w:rPr>
          <w:rFonts w:ascii="Times New Roman" w:hAnsi="Times New Roman" w:cs="Times New Roman"/>
          <w:sz w:val="24"/>
          <w:szCs w:val="24"/>
        </w:rPr>
        <w:t xml:space="preserve">contracting parties enjoy. </w:t>
      </w:r>
    </w:p>
    <w:p w14:paraId="3E9CBDED" w14:textId="77777777" w:rsidR="001D5459" w:rsidRPr="001D5459" w:rsidRDefault="001D5459" w:rsidP="001D5459">
      <w:pPr>
        <w:spacing w:line="360" w:lineRule="auto"/>
        <w:jc w:val="both"/>
        <w:rPr>
          <w:rFonts w:ascii="Times New Roman" w:hAnsi="Times New Roman" w:cs="Times New Roman"/>
          <w:sz w:val="24"/>
          <w:szCs w:val="24"/>
        </w:rPr>
      </w:pPr>
      <w:r w:rsidRPr="001D5459">
        <w:rPr>
          <w:rFonts w:ascii="Times New Roman" w:hAnsi="Times New Roman" w:cs="Times New Roman"/>
          <w:sz w:val="24"/>
          <w:szCs w:val="24"/>
        </w:rPr>
        <w:t xml:space="preserve">The next section explains how defining the interplay between the margin of appreciation and European consensus has implications which also pertain to the Court’s interpretative practice once Protocols 15 and 16 ECHR enter into force. </w:t>
      </w:r>
      <w:r w:rsidR="005259EA">
        <w:rPr>
          <w:rFonts w:ascii="Times New Roman" w:hAnsi="Times New Roman" w:cs="Times New Roman"/>
          <w:sz w:val="24"/>
          <w:szCs w:val="24"/>
        </w:rPr>
        <w:t>T</w:t>
      </w:r>
      <w:r w:rsidRPr="001D5459">
        <w:rPr>
          <w:rFonts w:ascii="Times New Roman" w:hAnsi="Times New Roman" w:cs="Times New Roman"/>
          <w:sz w:val="24"/>
          <w:szCs w:val="24"/>
        </w:rPr>
        <w:t xml:space="preserve">he </w:t>
      </w:r>
      <w:r w:rsidR="005259EA">
        <w:rPr>
          <w:rFonts w:ascii="Times New Roman" w:hAnsi="Times New Roman" w:cs="Times New Roman"/>
          <w:sz w:val="24"/>
          <w:szCs w:val="24"/>
        </w:rPr>
        <w:t>penultimate</w:t>
      </w:r>
      <w:r w:rsidRPr="001D5459">
        <w:rPr>
          <w:rFonts w:ascii="Times New Roman" w:hAnsi="Times New Roman" w:cs="Times New Roman"/>
          <w:sz w:val="24"/>
          <w:szCs w:val="24"/>
        </w:rPr>
        <w:t xml:space="preserve"> </w:t>
      </w:r>
      <w:r w:rsidR="005259EA">
        <w:rPr>
          <w:rFonts w:ascii="Times New Roman" w:hAnsi="Times New Roman" w:cs="Times New Roman"/>
          <w:sz w:val="24"/>
          <w:szCs w:val="24"/>
        </w:rPr>
        <w:t>part</w:t>
      </w:r>
      <w:r w:rsidRPr="001D5459">
        <w:rPr>
          <w:rFonts w:ascii="Times New Roman" w:hAnsi="Times New Roman" w:cs="Times New Roman"/>
          <w:sz w:val="24"/>
          <w:szCs w:val="24"/>
        </w:rPr>
        <w:t xml:space="preserve"> of the article demonstrates how the broader approach of the Court (namely that European consensus is not an irrelevant factor for the outcome on the margin of appreciation, but simultaneously it is not always the decisive factor) </w:t>
      </w:r>
      <w:r w:rsidR="00873ECE">
        <w:rPr>
          <w:rFonts w:ascii="Times New Roman" w:hAnsi="Times New Roman" w:cs="Times New Roman"/>
          <w:sz w:val="24"/>
          <w:szCs w:val="24"/>
        </w:rPr>
        <w:t>supports</w:t>
      </w:r>
      <w:r w:rsidR="008E54F6">
        <w:rPr>
          <w:rFonts w:ascii="Times New Roman" w:hAnsi="Times New Roman" w:cs="Times New Roman"/>
          <w:sz w:val="24"/>
          <w:szCs w:val="24"/>
        </w:rPr>
        <w:t xml:space="preserve"> </w:t>
      </w:r>
      <w:r w:rsidR="005259EA">
        <w:rPr>
          <w:rFonts w:ascii="Times New Roman" w:hAnsi="Times New Roman" w:cs="Times New Roman"/>
          <w:sz w:val="24"/>
          <w:szCs w:val="24"/>
        </w:rPr>
        <w:t>its</w:t>
      </w:r>
      <w:r w:rsidRPr="001D5459">
        <w:rPr>
          <w:rFonts w:ascii="Times New Roman" w:hAnsi="Times New Roman" w:cs="Times New Roman"/>
          <w:sz w:val="24"/>
          <w:szCs w:val="24"/>
        </w:rPr>
        <w:t xml:space="preserve"> multi-dimensional </w:t>
      </w:r>
      <w:r w:rsidR="008E54F6">
        <w:rPr>
          <w:rFonts w:ascii="Times New Roman" w:hAnsi="Times New Roman" w:cs="Times New Roman"/>
          <w:sz w:val="24"/>
          <w:szCs w:val="24"/>
        </w:rPr>
        <w:t>legitimacy</w:t>
      </w:r>
      <w:r w:rsidRPr="001D5459">
        <w:rPr>
          <w:rFonts w:ascii="Times New Roman" w:hAnsi="Times New Roman" w:cs="Times New Roman"/>
          <w:sz w:val="24"/>
          <w:szCs w:val="24"/>
        </w:rPr>
        <w:t xml:space="preserve">. </w:t>
      </w:r>
      <w:r w:rsidR="008E54F6">
        <w:rPr>
          <w:rFonts w:ascii="Times New Roman" w:hAnsi="Times New Roman" w:cs="Times New Roman"/>
          <w:sz w:val="24"/>
          <w:szCs w:val="24"/>
        </w:rPr>
        <w:t>Nonetheless, the Court</w:t>
      </w:r>
      <w:r w:rsidR="008E54F6" w:rsidRPr="008E54F6">
        <w:rPr>
          <w:rFonts w:ascii="Times New Roman" w:hAnsi="Times New Roman" w:cs="Times New Roman"/>
          <w:sz w:val="24"/>
          <w:szCs w:val="24"/>
        </w:rPr>
        <w:t xml:space="preserve"> has used varying formulations in its case-law to delineate th</w:t>
      </w:r>
      <w:r w:rsidR="008E54F6">
        <w:rPr>
          <w:rFonts w:ascii="Times New Roman" w:hAnsi="Times New Roman" w:cs="Times New Roman"/>
          <w:sz w:val="24"/>
          <w:szCs w:val="24"/>
        </w:rPr>
        <w:t>e</w:t>
      </w:r>
      <w:r w:rsidR="008E54F6" w:rsidRPr="008E54F6">
        <w:rPr>
          <w:rFonts w:ascii="Times New Roman" w:hAnsi="Times New Roman" w:cs="Times New Roman"/>
          <w:sz w:val="24"/>
          <w:szCs w:val="24"/>
        </w:rPr>
        <w:t xml:space="preserve"> relationship</w:t>
      </w:r>
      <w:r w:rsidR="008E54F6">
        <w:rPr>
          <w:rFonts w:ascii="Times New Roman" w:hAnsi="Times New Roman" w:cs="Times New Roman"/>
          <w:sz w:val="24"/>
          <w:szCs w:val="24"/>
        </w:rPr>
        <w:t xml:space="preserve"> between the two notions</w:t>
      </w:r>
      <w:r w:rsidR="008E54F6" w:rsidRPr="008E54F6">
        <w:rPr>
          <w:rFonts w:ascii="Times New Roman" w:hAnsi="Times New Roman" w:cs="Times New Roman"/>
          <w:sz w:val="24"/>
          <w:szCs w:val="24"/>
        </w:rPr>
        <w:t xml:space="preserve">. On </w:t>
      </w:r>
      <w:r w:rsidR="008E54F6" w:rsidRPr="008E54F6">
        <w:rPr>
          <w:rFonts w:ascii="Times New Roman" w:hAnsi="Times New Roman" w:cs="Times New Roman"/>
          <w:sz w:val="24"/>
          <w:szCs w:val="24"/>
        </w:rPr>
        <w:lastRenderedPageBreak/>
        <w:t xml:space="preserve">this point, the article </w:t>
      </w:r>
      <w:r w:rsidR="005259EA">
        <w:rPr>
          <w:rFonts w:ascii="Times New Roman" w:hAnsi="Times New Roman" w:cs="Times New Roman"/>
          <w:sz w:val="24"/>
          <w:szCs w:val="24"/>
        </w:rPr>
        <w:t xml:space="preserve">concludes by </w:t>
      </w:r>
      <w:r w:rsidR="005C31F8">
        <w:rPr>
          <w:rFonts w:ascii="Times New Roman" w:hAnsi="Times New Roman" w:cs="Times New Roman"/>
          <w:sz w:val="24"/>
          <w:szCs w:val="24"/>
        </w:rPr>
        <w:t xml:space="preserve">explaining that </w:t>
      </w:r>
      <w:r w:rsidR="008E54F6" w:rsidRPr="008E54F6">
        <w:rPr>
          <w:rFonts w:ascii="Times New Roman" w:hAnsi="Times New Roman" w:cs="Times New Roman"/>
          <w:sz w:val="24"/>
          <w:szCs w:val="24"/>
        </w:rPr>
        <w:t xml:space="preserve">the Strasbourg Court </w:t>
      </w:r>
      <w:r w:rsidR="005C31F8">
        <w:rPr>
          <w:rFonts w:ascii="Times New Roman" w:hAnsi="Times New Roman" w:cs="Times New Roman"/>
          <w:sz w:val="24"/>
          <w:szCs w:val="24"/>
        </w:rPr>
        <w:t>should</w:t>
      </w:r>
      <w:r w:rsidR="008E54F6">
        <w:rPr>
          <w:rFonts w:ascii="Times New Roman" w:hAnsi="Times New Roman" w:cs="Times New Roman"/>
          <w:sz w:val="24"/>
          <w:szCs w:val="24"/>
        </w:rPr>
        <w:t xml:space="preserve"> </w:t>
      </w:r>
      <w:r w:rsidR="005259EA">
        <w:rPr>
          <w:rFonts w:ascii="Times New Roman" w:hAnsi="Times New Roman" w:cs="Times New Roman"/>
          <w:sz w:val="24"/>
          <w:szCs w:val="24"/>
        </w:rPr>
        <w:t xml:space="preserve">be more coherent when </w:t>
      </w:r>
      <w:r w:rsidR="008E54F6">
        <w:rPr>
          <w:rFonts w:ascii="Times New Roman" w:hAnsi="Times New Roman" w:cs="Times New Roman"/>
          <w:sz w:val="24"/>
          <w:szCs w:val="24"/>
        </w:rPr>
        <w:t>articulat</w:t>
      </w:r>
      <w:r w:rsidR="005259EA">
        <w:rPr>
          <w:rFonts w:ascii="Times New Roman" w:hAnsi="Times New Roman" w:cs="Times New Roman"/>
          <w:sz w:val="24"/>
          <w:szCs w:val="24"/>
        </w:rPr>
        <w:t>ing</w:t>
      </w:r>
      <w:r w:rsidR="008E54F6">
        <w:rPr>
          <w:rFonts w:ascii="Times New Roman" w:hAnsi="Times New Roman" w:cs="Times New Roman"/>
          <w:sz w:val="24"/>
          <w:szCs w:val="24"/>
        </w:rPr>
        <w:t xml:space="preserve"> </w:t>
      </w:r>
      <w:r w:rsidR="005259EA">
        <w:rPr>
          <w:rFonts w:ascii="Times New Roman" w:hAnsi="Times New Roman" w:cs="Times New Roman"/>
          <w:sz w:val="24"/>
          <w:szCs w:val="24"/>
        </w:rPr>
        <w:t>this</w:t>
      </w:r>
      <w:r w:rsidR="008E54F6" w:rsidRPr="008E54F6">
        <w:rPr>
          <w:rFonts w:ascii="Times New Roman" w:hAnsi="Times New Roman" w:cs="Times New Roman"/>
          <w:sz w:val="24"/>
          <w:szCs w:val="24"/>
        </w:rPr>
        <w:t xml:space="preserve"> relationship. </w:t>
      </w:r>
    </w:p>
    <w:p w14:paraId="1E2F00DF" w14:textId="77777777" w:rsidR="001D5459" w:rsidRPr="001D5459" w:rsidRDefault="001D5459" w:rsidP="001D5459">
      <w:pPr>
        <w:spacing w:line="360" w:lineRule="auto"/>
        <w:jc w:val="both"/>
        <w:rPr>
          <w:rFonts w:ascii="Times New Roman" w:hAnsi="Times New Roman" w:cs="Times New Roman"/>
          <w:sz w:val="24"/>
          <w:szCs w:val="24"/>
        </w:rPr>
      </w:pPr>
      <w:r w:rsidRPr="001D5459">
        <w:rPr>
          <w:rFonts w:ascii="Times New Roman" w:hAnsi="Times New Roman" w:cs="Times New Roman"/>
          <w:sz w:val="24"/>
          <w:szCs w:val="24"/>
        </w:rPr>
        <w:t xml:space="preserve">It is appropriate at this juncture to clarify the scope of this paper. </w:t>
      </w:r>
      <w:r w:rsidR="00A14B01">
        <w:rPr>
          <w:rFonts w:ascii="Times New Roman" w:hAnsi="Times New Roman" w:cs="Times New Roman"/>
          <w:sz w:val="24"/>
          <w:szCs w:val="24"/>
        </w:rPr>
        <w:t>To begin with</w:t>
      </w:r>
      <w:r w:rsidR="008E54F6">
        <w:rPr>
          <w:rFonts w:ascii="Times New Roman" w:hAnsi="Times New Roman" w:cs="Times New Roman"/>
          <w:sz w:val="24"/>
          <w:szCs w:val="24"/>
        </w:rPr>
        <w:t xml:space="preserve">, </w:t>
      </w:r>
      <w:r w:rsidRPr="001D5459">
        <w:rPr>
          <w:rFonts w:ascii="Times New Roman" w:hAnsi="Times New Roman" w:cs="Times New Roman"/>
          <w:sz w:val="24"/>
          <w:szCs w:val="24"/>
        </w:rPr>
        <w:t xml:space="preserve">the article deals with </w:t>
      </w:r>
      <w:r w:rsidR="00984949">
        <w:rPr>
          <w:rFonts w:ascii="Times New Roman" w:hAnsi="Times New Roman" w:cs="Times New Roman"/>
          <w:sz w:val="24"/>
          <w:szCs w:val="24"/>
        </w:rPr>
        <w:t>‘</w:t>
      </w:r>
      <w:r w:rsidRPr="001D5459">
        <w:rPr>
          <w:rFonts w:ascii="Times New Roman" w:hAnsi="Times New Roman" w:cs="Times New Roman"/>
          <w:sz w:val="24"/>
          <w:szCs w:val="24"/>
        </w:rPr>
        <w:t xml:space="preserve">the </w:t>
      </w:r>
      <w:r w:rsidR="00984949" w:rsidRPr="00984949">
        <w:rPr>
          <w:rFonts w:ascii="Times New Roman" w:hAnsi="Times New Roman" w:cs="Times New Roman"/>
          <w:i/>
          <w:sz w:val="24"/>
          <w:szCs w:val="24"/>
        </w:rPr>
        <w:t>how</w:t>
      </w:r>
      <w:r w:rsidR="00984949">
        <w:rPr>
          <w:rFonts w:ascii="Times New Roman" w:hAnsi="Times New Roman" w:cs="Times New Roman"/>
          <w:sz w:val="24"/>
          <w:szCs w:val="24"/>
        </w:rPr>
        <w:t xml:space="preserve"> question’, </w:t>
      </w:r>
      <w:r w:rsidR="00A14B01">
        <w:rPr>
          <w:rFonts w:ascii="Times New Roman" w:hAnsi="Times New Roman" w:cs="Times New Roman"/>
          <w:sz w:val="24"/>
          <w:szCs w:val="24"/>
        </w:rPr>
        <w:t>namely</w:t>
      </w:r>
      <w:r w:rsidR="00984949">
        <w:rPr>
          <w:rFonts w:ascii="Times New Roman" w:hAnsi="Times New Roman" w:cs="Times New Roman"/>
          <w:sz w:val="24"/>
          <w:szCs w:val="24"/>
        </w:rPr>
        <w:t xml:space="preserve"> how consensus generally relates to the margin of appreciation in the jurisprudence of the Court. </w:t>
      </w:r>
      <w:r w:rsidRPr="001D5459">
        <w:rPr>
          <w:rFonts w:ascii="Times New Roman" w:hAnsi="Times New Roman" w:cs="Times New Roman"/>
          <w:sz w:val="24"/>
          <w:szCs w:val="24"/>
        </w:rPr>
        <w:t xml:space="preserve">It is beyond its aims to elaborate on exactly </w:t>
      </w:r>
      <w:r w:rsidRPr="001D5459">
        <w:rPr>
          <w:rFonts w:ascii="Times New Roman" w:hAnsi="Times New Roman" w:cs="Times New Roman"/>
          <w:i/>
          <w:sz w:val="24"/>
          <w:szCs w:val="24"/>
        </w:rPr>
        <w:t>when</w:t>
      </w:r>
      <w:r w:rsidRPr="001D5459">
        <w:rPr>
          <w:rFonts w:ascii="Times New Roman" w:hAnsi="Times New Roman" w:cs="Times New Roman"/>
          <w:sz w:val="24"/>
          <w:szCs w:val="24"/>
        </w:rPr>
        <w:t xml:space="preserve"> European consensus </w:t>
      </w:r>
      <w:r w:rsidRPr="00715D7A">
        <w:rPr>
          <w:rFonts w:ascii="Times New Roman" w:hAnsi="Times New Roman" w:cs="Times New Roman"/>
          <w:i/>
          <w:sz w:val="24"/>
          <w:szCs w:val="24"/>
        </w:rPr>
        <w:t>should</w:t>
      </w:r>
      <w:r w:rsidRPr="001D5459">
        <w:rPr>
          <w:rFonts w:ascii="Times New Roman" w:hAnsi="Times New Roman" w:cs="Times New Roman"/>
          <w:sz w:val="24"/>
          <w:szCs w:val="24"/>
        </w:rPr>
        <w:t xml:space="preserve"> be used by the Strasbourg Court </w:t>
      </w:r>
      <w:r w:rsidR="00984949">
        <w:rPr>
          <w:rFonts w:ascii="Times New Roman" w:hAnsi="Times New Roman" w:cs="Times New Roman"/>
          <w:sz w:val="24"/>
          <w:szCs w:val="24"/>
        </w:rPr>
        <w:t>(</w:t>
      </w:r>
      <w:r w:rsidRPr="001D5459">
        <w:rPr>
          <w:rFonts w:ascii="Times New Roman" w:hAnsi="Times New Roman" w:cs="Times New Roman"/>
          <w:sz w:val="24"/>
          <w:szCs w:val="24"/>
        </w:rPr>
        <w:t xml:space="preserve">e.g. in which Convention rights </w:t>
      </w:r>
      <w:r w:rsidR="00984949">
        <w:rPr>
          <w:rFonts w:ascii="Times New Roman" w:hAnsi="Times New Roman" w:cs="Times New Roman"/>
          <w:sz w:val="24"/>
          <w:szCs w:val="24"/>
        </w:rPr>
        <w:t>or issues under examination)</w:t>
      </w:r>
      <w:r w:rsidRPr="001D5459">
        <w:rPr>
          <w:rFonts w:ascii="Times New Roman" w:hAnsi="Times New Roman" w:cs="Times New Roman"/>
          <w:sz w:val="24"/>
          <w:szCs w:val="24"/>
        </w:rPr>
        <w:t xml:space="preserve">. Thus, the judgments under consideration in this article </w:t>
      </w:r>
      <w:r w:rsidRPr="001D5459">
        <w:rPr>
          <w:rFonts w:ascii="Times New Roman" w:hAnsi="Times New Roman" w:cs="Times New Roman"/>
          <w:i/>
          <w:sz w:val="24"/>
          <w:szCs w:val="24"/>
        </w:rPr>
        <w:t>have actually involved</w:t>
      </w:r>
      <w:r w:rsidRPr="001D5459">
        <w:rPr>
          <w:rFonts w:ascii="Times New Roman" w:hAnsi="Times New Roman" w:cs="Times New Roman"/>
          <w:sz w:val="24"/>
          <w:szCs w:val="24"/>
        </w:rPr>
        <w:t xml:space="preserve"> the use of consensus by the Court. Moreover, by emphasising that </w:t>
      </w:r>
      <w:r w:rsidR="00F458A6">
        <w:rPr>
          <w:rFonts w:ascii="Times New Roman" w:hAnsi="Times New Roman" w:cs="Times New Roman"/>
          <w:sz w:val="24"/>
          <w:szCs w:val="24"/>
        </w:rPr>
        <w:t xml:space="preserve">what is compatible with the legitimacy of the Court is </w:t>
      </w:r>
      <w:r w:rsidRPr="001D5459">
        <w:rPr>
          <w:rFonts w:ascii="Times New Roman" w:hAnsi="Times New Roman" w:cs="Times New Roman"/>
          <w:sz w:val="24"/>
          <w:szCs w:val="24"/>
        </w:rPr>
        <w:t xml:space="preserve">the way European consensus is </w:t>
      </w:r>
      <w:r w:rsidRPr="001D5459">
        <w:rPr>
          <w:rFonts w:ascii="Times New Roman" w:hAnsi="Times New Roman" w:cs="Times New Roman"/>
          <w:i/>
          <w:sz w:val="24"/>
          <w:szCs w:val="24"/>
        </w:rPr>
        <w:t>generally</w:t>
      </w:r>
      <w:r w:rsidRPr="001D5459">
        <w:rPr>
          <w:rFonts w:ascii="Times New Roman" w:hAnsi="Times New Roman" w:cs="Times New Roman"/>
          <w:sz w:val="24"/>
          <w:szCs w:val="24"/>
        </w:rPr>
        <w:t xml:space="preserve"> (</w:t>
      </w:r>
      <w:r w:rsidR="00A14B01">
        <w:rPr>
          <w:rFonts w:ascii="Times New Roman" w:hAnsi="Times New Roman" w:cs="Times New Roman"/>
          <w:sz w:val="24"/>
          <w:szCs w:val="24"/>
        </w:rPr>
        <w:t xml:space="preserve">and </w:t>
      </w:r>
      <w:r w:rsidRPr="001D5459">
        <w:rPr>
          <w:rFonts w:ascii="Times New Roman" w:hAnsi="Times New Roman" w:cs="Times New Roman"/>
          <w:sz w:val="24"/>
          <w:szCs w:val="24"/>
        </w:rPr>
        <w:t xml:space="preserve">therefore </w:t>
      </w:r>
      <w:r w:rsidRPr="001D5459">
        <w:rPr>
          <w:rFonts w:ascii="Times New Roman" w:hAnsi="Times New Roman" w:cs="Times New Roman"/>
          <w:i/>
          <w:sz w:val="24"/>
          <w:szCs w:val="24"/>
        </w:rPr>
        <w:t>not specifically</w:t>
      </w:r>
      <w:r w:rsidRPr="001D5459">
        <w:rPr>
          <w:rFonts w:ascii="Times New Roman" w:hAnsi="Times New Roman" w:cs="Times New Roman"/>
          <w:sz w:val="24"/>
          <w:szCs w:val="24"/>
        </w:rPr>
        <w:t xml:space="preserve">, i.e. in a specific case </w:t>
      </w:r>
      <w:r w:rsidR="00A14B01">
        <w:rPr>
          <w:rFonts w:ascii="Times New Roman" w:hAnsi="Times New Roman" w:cs="Times New Roman"/>
          <w:sz w:val="24"/>
          <w:szCs w:val="24"/>
        </w:rPr>
        <w:t>discussed</w:t>
      </w:r>
      <w:r w:rsidRPr="001D5459">
        <w:rPr>
          <w:rFonts w:ascii="Times New Roman" w:hAnsi="Times New Roman" w:cs="Times New Roman"/>
          <w:sz w:val="24"/>
          <w:szCs w:val="24"/>
        </w:rPr>
        <w:t xml:space="preserve"> here) being used by the ECtHR in order to decide on the margin of appreciation, the present article does not adopt a position </w:t>
      </w:r>
      <w:r w:rsidR="00873ECE">
        <w:rPr>
          <w:rFonts w:ascii="Times New Roman" w:hAnsi="Times New Roman" w:cs="Times New Roman"/>
          <w:sz w:val="24"/>
          <w:szCs w:val="24"/>
        </w:rPr>
        <w:t>either</w:t>
      </w:r>
      <w:r w:rsidR="00A14B01">
        <w:rPr>
          <w:rFonts w:ascii="Times New Roman" w:hAnsi="Times New Roman" w:cs="Times New Roman"/>
          <w:sz w:val="24"/>
          <w:szCs w:val="24"/>
        </w:rPr>
        <w:t xml:space="preserve"> </w:t>
      </w:r>
      <w:r w:rsidRPr="001D5459">
        <w:rPr>
          <w:rFonts w:ascii="Times New Roman" w:hAnsi="Times New Roman" w:cs="Times New Roman"/>
          <w:sz w:val="24"/>
          <w:szCs w:val="24"/>
        </w:rPr>
        <w:t xml:space="preserve">on the </w:t>
      </w:r>
      <w:r w:rsidR="00F458A6">
        <w:rPr>
          <w:rFonts w:ascii="Times New Roman" w:hAnsi="Times New Roman" w:cs="Times New Roman"/>
          <w:sz w:val="24"/>
          <w:szCs w:val="24"/>
        </w:rPr>
        <w:t xml:space="preserve">overall </w:t>
      </w:r>
      <w:r w:rsidRPr="001D5459">
        <w:rPr>
          <w:rFonts w:ascii="Times New Roman" w:hAnsi="Times New Roman" w:cs="Times New Roman"/>
          <w:sz w:val="24"/>
          <w:szCs w:val="24"/>
        </w:rPr>
        <w:t xml:space="preserve">outcome or the legitimacy of </w:t>
      </w:r>
      <w:r w:rsidR="00A14B01">
        <w:rPr>
          <w:rFonts w:ascii="Times New Roman" w:hAnsi="Times New Roman" w:cs="Times New Roman"/>
          <w:sz w:val="24"/>
          <w:szCs w:val="24"/>
        </w:rPr>
        <w:t>the</w:t>
      </w:r>
      <w:r w:rsidRPr="001D5459">
        <w:rPr>
          <w:rFonts w:ascii="Times New Roman" w:hAnsi="Times New Roman" w:cs="Times New Roman"/>
          <w:sz w:val="24"/>
          <w:szCs w:val="24"/>
        </w:rPr>
        <w:t xml:space="preserve"> judgments under examination. </w:t>
      </w:r>
    </w:p>
    <w:p w14:paraId="39A8AE2B" w14:textId="77777777" w:rsidR="001D5459" w:rsidRPr="001D5459" w:rsidRDefault="001D5459" w:rsidP="001D5459">
      <w:pPr>
        <w:spacing w:line="360" w:lineRule="auto"/>
        <w:jc w:val="both"/>
        <w:rPr>
          <w:rFonts w:ascii="Times New Roman" w:hAnsi="Times New Roman" w:cs="Times New Roman"/>
          <w:b/>
          <w:sz w:val="24"/>
          <w:szCs w:val="24"/>
          <w:lang w:val="en-GB"/>
        </w:rPr>
      </w:pPr>
      <w:r w:rsidRPr="001D5459">
        <w:rPr>
          <w:rFonts w:ascii="Times New Roman" w:hAnsi="Times New Roman" w:cs="Times New Roman"/>
          <w:b/>
          <w:sz w:val="24"/>
          <w:szCs w:val="24"/>
          <w:lang w:val="en-GB"/>
        </w:rPr>
        <w:t>On the margin of appreciation, European consensus and their relationship: Conceptual and definitional issues</w:t>
      </w:r>
    </w:p>
    <w:p w14:paraId="172E7DDE" w14:textId="3EAE9C3D" w:rsidR="001D5459" w:rsidRPr="00124CBF" w:rsidRDefault="001D5459" w:rsidP="001D5459">
      <w:pPr>
        <w:spacing w:line="360" w:lineRule="auto"/>
        <w:jc w:val="both"/>
        <w:rPr>
          <w:rFonts w:ascii="Times New Roman" w:hAnsi="Times New Roman" w:cs="Times New Roman"/>
          <w:sz w:val="24"/>
          <w:szCs w:val="24"/>
          <w:lang w:val="en-GB"/>
        </w:rPr>
      </w:pPr>
      <w:r w:rsidRPr="00124CBF">
        <w:rPr>
          <w:rFonts w:ascii="Times New Roman" w:hAnsi="Times New Roman" w:cs="Times New Roman"/>
          <w:sz w:val="24"/>
          <w:szCs w:val="24"/>
          <w:lang w:val="en-GB"/>
        </w:rPr>
        <w:t xml:space="preserve">In the </w:t>
      </w:r>
      <w:r w:rsidR="00124CBF" w:rsidRPr="00124CBF">
        <w:rPr>
          <w:rFonts w:ascii="Times New Roman" w:hAnsi="Times New Roman" w:cs="Times New Roman"/>
          <w:sz w:val="24"/>
          <w:szCs w:val="24"/>
          <w:lang w:val="en-GB"/>
        </w:rPr>
        <w:t>well-known</w:t>
      </w:r>
      <w:r w:rsidRPr="00124CBF">
        <w:rPr>
          <w:rFonts w:ascii="Times New Roman" w:hAnsi="Times New Roman" w:cs="Times New Roman"/>
          <w:sz w:val="24"/>
          <w:szCs w:val="24"/>
          <w:lang w:val="en-GB"/>
        </w:rPr>
        <w:t xml:space="preserve"> </w:t>
      </w:r>
      <w:r w:rsidRPr="00124CBF">
        <w:rPr>
          <w:rFonts w:ascii="Times New Roman" w:hAnsi="Times New Roman" w:cs="Times New Roman"/>
          <w:i/>
          <w:sz w:val="24"/>
          <w:szCs w:val="24"/>
          <w:lang w:val="en-GB"/>
        </w:rPr>
        <w:t>Handyside</w:t>
      </w:r>
      <w:r w:rsidRPr="00124CBF">
        <w:rPr>
          <w:rFonts w:ascii="Times New Roman" w:hAnsi="Times New Roman" w:cs="Times New Roman"/>
          <w:sz w:val="24"/>
          <w:szCs w:val="24"/>
          <w:lang w:val="en-GB"/>
        </w:rPr>
        <w:t xml:space="preserve"> case, the ECtHR sought to clarify a </w:t>
      </w:r>
      <w:r w:rsidR="00D87B58">
        <w:rPr>
          <w:rFonts w:ascii="Times New Roman" w:hAnsi="Times New Roman" w:cs="Times New Roman"/>
          <w:sz w:val="24"/>
          <w:szCs w:val="24"/>
          <w:lang w:val="en-GB"/>
        </w:rPr>
        <w:t>few</w:t>
      </w:r>
      <w:r w:rsidRPr="00124CBF">
        <w:rPr>
          <w:rFonts w:ascii="Times New Roman" w:hAnsi="Times New Roman" w:cs="Times New Roman"/>
          <w:sz w:val="24"/>
          <w:szCs w:val="24"/>
          <w:lang w:val="en-GB"/>
        </w:rPr>
        <w:t xml:space="preserve"> issues </w:t>
      </w:r>
      <w:r w:rsidR="00D87B58">
        <w:rPr>
          <w:rFonts w:ascii="Times New Roman" w:hAnsi="Times New Roman" w:cs="Times New Roman"/>
          <w:sz w:val="24"/>
          <w:szCs w:val="24"/>
          <w:lang w:val="en-GB"/>
        </w:rPr>
        <w:t>regarding t</w:t>
      </w:r>
      <w:r w:rsidRPr="00124CBF">
        <w:rPr>
          <w:rFonts w:ascii="Times New Roman" w:hAnsi="Times New Roman" w:cs="Times New Roman"/>
          <w:sz w:val="24"/>
          <w:szCs w:val="24"/>
          <w:lang w:val="en-GB"/>
        </w:rPr>
        <w:t xml:space="preserve">he margin of appreciation. Firstly, the margin </w:t>
      </w:r>
      <w:r w:rsidR="00AB2B7C">
        <w:rPr>
          <w:rFonts w:ascii="Times New Roman" w:hAnsi="Times New Roman" w:cs="Times New Roman"/>
          <w:sz w:val="24"/>
          <w:szCs w:val="24"/>
          <w:lang w:val="en-GB"/>
        </w:rPr>
        <w:t>was linked with subsidiarity; second, the Court</w:t>
      </w:r>
      <w:r w:rsidRPr="00124CBF">
        <w:rPr>
          <w:rFonts w:ascii="Times New Roman" w:hAnsi="Times New Roman" w:cs="Times New Roman"/>
          <w:sz w:val="24"/>
          <w:szCs w:val="24"/>
          <w:lang w:val="en-GB"/>
        </w:rPr>
        <w:t xml:space="preserve"> stated that the margin is granted both to the legislature and the domestic judiciary or other organs interpreting the law; but – third - this margin is not unlimited as it is ultimately shaped by European supervision.</w:t>
      </w:r>
      <w:r w:rsidRPr="00124CBF">
        <w:rPr>
          <w:rFonts w:ascii="Times New Roman" w:hAnsi="Times New Roman" w:cs="Times New Roman"/>
          <w:sz w:val="24"/>
          <w:szCs w:val="24"/>
          <w:vertAlign w:val="superscript"/>
          <w:lang w:val="en-GB"/>
        </w:rPr>
        <w:footnoteReference w:id="7"/>
      </w:r>
      <w:r w:rsidRPr="00124CBF">
        <w:rPr>
          <w:rFonts w:ascii="Times New Roman" w:hAnsi="Times New Roman" w:cs="Times New Roman"/>
          <w:sz w:val="24"/>
          <w:szCs w:val="24"/>
          <w:lang w:val="en-GB"/>
        </w:rPr>
        <w:t xml:space="preserve"> </w:t>
      </w:r>
    </w:p>
    <w:p w14:paraId="6D9F63BF" w14:textId="77777777" w:rsidR="001D5459" w:rsidRPr="0059034D" w:rsidRDefault="00363593" w:rsidP="001D545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As Legg observed, one</w:t>
      </w:r>
      <w:r w:rsidR="001D5459" w:rsidRPr="00124CBF">
        <w:rPr>
          <w:rFonts w:ascii="Times New Roman" w:hAnsi="Times New Roman" w:cs="Times New Roman"/>
          <w:sz w:val="24"/>
          <w:szCs w:val="24"/>
          <w:lang w:val="en-GB"/>
        </w:rPr>
        <w:t xml:space="preserve"> of the reasons behind the use of the margin of appreciation in international human rights law is ‘democracy’, in that tribunals are likely to take into account the legislature’s weighting of competing interests or the extent of public participation.</w:t>
      </w:r>
      <w:r w:rsidR="001D5459" w:rsidRPr="00124CBF">
        <w:rPr>
          <w:rFonts w:ascii="Times New Roman" w:hAnsi="Times New Roman" w:cs="Times New Roman"/>
          <w:sz w:val="24"/>
          <w:szCs w:val="24"/>
          <w:vertAlign w:val="superscript"/>
          <w:lang w:val="en-GB"/>
        </w:rPr>
        <w:footnoteReference w:id="8"/>
      </w:r>
      <w:r w:rsidR="001D5459" w:rsidRPr="00124CBF">
        <w:rPr>
          <w:rFonts w:ascii="Times New Roman" w:hAnsi="Times New Roman" w:cs="Times New Roman"/>
          <w:sz w:val="24"/>
          <w:szCs w:val="24"/>
          <w:lang w:val="en-GB"/>
        </w:rPr>
        <w:t xml:space="preserve"> The difficulty here – and this is acknowledged by Legg – is that judicial deference in </w:t>
      </w:r>
      <w:r w:rsidR="001D5459" w:rsidRPr="00124CBF">
        <w:rPr>
          <w:rFonts w:ascii="Times New Roman" w:hAnsi="Times New Roman" w:cs="Times New Roman"/>
          <w:i/>
          <w:sz w:val="24"/>
          <w:szCs w:val="24"/>
          <w:lang w:val="en-GB"/>
        </w:rPr>
        <w:t>international</w:t>
      </w:r>
      <w:r w:rsidR="001D5459" w:rsidRPr="00124CBF">
        <w:rPr>
          <w:rFonts w:ascii="Times New Roman" w:hAnsi="Times New Roman" w:cs="Times New Roman"/>
          <w:sz w:val="24"/>
          <w:szCs w:val="24"/>
          <w:lang w:val="en-GB"/>
        </w:rPr>
        <w:t xml:space="preserve"> adjudication can be grounded in different reasons than those emerging within a domestic constitutional framework. Thus, when the Strasbourg Court assesses the </w:t>
      </w:r>
      <w:r w:rsidR="001D5459" w:rsidRPr="00124CBF">
        <w:rPr>
          <w:rFonts w:ascii="Times New Roman" w:hAnsi="Times New Roman" w:cs="Times New Roman"/>
          <w:i/>
          <w:sz w:val="24"/>
          <w:szCs w:val="24"/>
          <w:lang w:val="en-GB"/>
        </w:rPr>
        <w:t>quality</w:t>
      </w:r>
      <w:r w:rsidR="001D5459" w:rsidRPr="00124CBF">
        <w:rPr>
          <w:rFonts w:ascii="Times New Roman" w:hAnsi="Times New Roman" w:cs="Times New Roman"/>
          <w:sz w:val="24"/>
          <w:szCs w:val="24"/>
          <w:lang w:val="en-GB"/>
        </w:rPr>
        <w:t xml:space="preserve"> of debate within the domestic legislature,</w:t>
      </w:r>
      <w:r w:rsidR="001D5459" w:rsidRPr="00124CBF">
        <w:rPr>
          <w:rFonts w:ascii="Times New Roman" w:hAnsi="Times New Roman" w:cs="Times New Roman"/>
          <w:sz w:val="24"/>
          <w:szCs w:val="24"/>
          <w:vertAlign w:val="superscript"/>
          <w:lang w:val="en-GB"/>
        </w:rPr>
        <w:footnoteReference w:id="9"/>
      </w:r>
      <w:r w:rsidR="001D5459" w:rsidRPr="00124CBF">
        <w:rPr>
          <w:rFonts w:ascii="Times New Roman" w:hAnsi="Times New Roman" w:cs="Times New Roman"/>
          <w:sz w:val="24"/>
          <w:szCs w:val="24"/>
          <w:lang w:val="en-GB"/>
        </w:rPr>
        <w:t xml:space="preserve"> </w:t>
      </w:r>
      <w:r w:rsidR="00B21855">
        <w:rPr>
          <w:rFonts w:ascii="Times New Roman" w:hAnsi="Times New Roman" w:cs="Times New Roman"/>
          <w:sz w:val="24"/>
          <w:szCs w:val="24"/>
          <w:lang w:val="en-GB"/>
        </w:rPr>
        <w:t xml:space="preserve">for example, </w:t>
      </w:r>
      <w:r w:rsidR="000C2E30" w:rsidRPr="00124CBF">
        <w:rPr>
          <w:rFonts w:ascii="Times New Roman" w:hAnsi="Times New Roman" w:cs="Times New Roman"/>
          <w:sz w:val="24"/>
          <w:szCs w:val="24"/>
          <w:lang w:val="en-GB"/>
        </w:rPr>
        <w:t xml:space="preserve">it should proceed with caution, </w:t>
      </w:r>
      <w:r w:rsidR="001D5459" w:rsidRPr="00124CBF">
        <w:rPr>
          <w:rFonts w:ascii="Times New Roman" w:hAnsi="Times New Roman" w:cs="Times New Roman"/>
          <w:sz w:val="24"/>
          <w:szCs w:val="24"/>
          <w:lang w:val="en-GB"/>
        </w:rPr>
        <w:t>even if this may result in a decision to g</w:t>
      </w:r>
      <w:r w:rsidR="000C2E30" w:rsidRPr="00124CBF">
        <w:rPr>
          <w:rFonts w:ascii="Times New Roman" w:hAnsi="Times New Roman" w:cs="Times New Roman"/>
          <w:sz w:val="24"/>
          <w:szCs w:val="24"/>
          <w:lang w:val="en-GB"/>
        </w:rPr>
        <w:t xml:space="preserve">rant the </w:t>
      </w:r>
      <w:r w:rsidR="00B21855">
        <w:rPr>
          <w:rFonts w:ascii="Times New Roman" w:hAnsi="Times New Roman" w:cs="Times New Roman"/>
          <w:sz w:val="24"/>
          <w:szCs w:val="24"/>
          <w:lang w:val="en-GB"/>
        </w:rPr>
        <w:t xml:space="preserve">respondent the </w:t>
      </w:r>
      <w:r w:rsidR="000C2E30" w:rsidRPr="00124CBF">
        <w:rPr>
          <w:rFonts w:ascii="Times New Roman" w:hAnsi="Times New Roman" w:cs="Times New Roman"/>
          <w:sz w:val="24"/>
          <w:szCs w:val="24"/>
          <w:lang w:val="en-GB"/>
        </w:rPr>
        <w:t>margin of appreciation.</w:t>
      </w:r>
      <w:r w:rsidR="001D5459" w:rsidRPr="00124CBF">
        <w:rPr>
          <w:rFonts w:ascii="Times New Roman" w:hAnsi="Times New Roman" w:cs="Times New Roman"/>
          <w:sz w:val="24"/>
          <w:szCs w:val="24"/>
          <w:vertAlign w:val="superscript"/>
          <w:lang w:val="en-GB"/>
        </w:rPr>
        <w:footnoteReference w:id="10"/>
      </w:r>
      <w:r w:rsidR="000C2E30" w:rsidRPr="00124CBF">
        <w:rPr>
          <w:rFonts w:ascii="Times New Roman" w:hAnsi="Times New Roman" w:cs="Times New Roman"/>
          <w:sz w:val="24"/>
          <w:szCs w:val="24"/>
          <w:lang w:val="en-GB"/>
        </w:rPr>
        <w:t xml:space="preserve"> S</w:t>
      </w:r>
      <w:r w:rsidR="001D5459" w:rsidRPr="00124CBF">
        <w:rPr>
          <w:rFonts w:ascii="Times New Roman" w:hAnsi="Times New Roman" w:cs="Times New Roman"/>
          <w:sz w:val="24"/>
          <w:szCs w:val="24"/>
          <w:lang w:val="en-GB"/>
        </w:rPr>
        <w:t xml:space="preserve">uch level of scrutiny by the Strasbourg Court </w:t>
      </w:r>
      <w:r w:rsidR="0059034D">
        <w:rPr>
          <w:rFonts w:ascii="Times New Roman" w:hAnsi="Times New Roman" w:cs="Times New Roman"/>
          <w:sz w:val="24"/>
          <w:szCs w:val="24"/>
          <w:lang w:val="en-GB"/>
        </w:rPr>
        <w:t>may</w:t>
      </w:r>
      <w:r w:rsidR="001D5459" w:rsidRPr="00124CBF">
        <w:rPr>
          <w:rFonts w:ascii="Times New Roman" w:hAnsi="Times New Roman" w:cs="Times New Roman"/>
          <w:sz w:val="24"/>
          <w:szCs w:val="24"/>
          <w:lang w:val="en-GB"/>
        </w:rPr>
        <w:t xml:space="preserve"> be viewed as an instance of </w:t>
      </w:r>
      <w:r w:rsidR="0059034D">
        <w:rPr>
          <w:rFonts w:ascii="Times New Roman" w:hAnsi="Times New Roman" w:cs="Times New Roman"/>
          <w:sz w:val="24"/>
          <w:szCs w:val="24"/>
          <w:lang w:val="en-GB"/>
        </w:rPr>
        <w:t>a</w:t>
      </w:r>
      <w:r w:rsidR="001D5459" w:rsidRPr="00124CBF">
        <w:rPr>
          <w:rFonts w:ascii="Times New Roman" w:hAnsi="Times New Roman" w:cs="Times New Roman"/>
          <w:sz w:val="24"/>
          <w:szCs w:val="24"/>
          <w:lang w:val="en-GB"/>
        </w:rPr>
        <w:t xml:space="preserve"> Court exceeding its powers</w:t>
      </w:r>
      <w:r w:rsidR="000C2E30" w:rsidRPr="00124CBF">
        <w:rPr>
          <w:rFonts w:ascii="Times New Roman" w:hAnsi="Times New Roman" w:cs="Times New Roman"/>
          <w:sz w:val="24"/>
          <w:szCs w:val="24"/>
          <w:lang w:val="en-GB"/>
        </w:rPr>
        <w:t>:</w:t>
      </w:r>
      <w:r w:rsidR="001D5459" w:rsidRPr="00124CBF">
        <w:rPr>
          <w:rFonts w:ascii="Times New Roman" w:hAnsi="Times New Roman" w:cs="Times New Roman"/>
          <w:sz w:val="24"/>
          <w:szCs w:val="24"/>
          <w:lang w:val="en-GB"/>
        </w:rPr>
        <w:t xml:space="preserve"> one might wonder whether the Court was established to be involved </w:t>
      </w:r>
      <w:r w:rsidR="001D5459" w:rsidRPr="00124CBF">
        <w:rPr>
          <w:rFonts w:ascii="Times New Roman" w:hAnsi="Times New Roman" w:cs="Times New Roman"/>
          <w:i/>
          <w:sz w:val="24"/>
          <w:szCs w:val="24"/>
          <w:lang w:val="en-GB"/>
        </w:rPr>
        <w:t>to that degree</w:t>
      </w:r>
      <w:r w:rsidR="001D5459" w:rsidRPr="00124CBF">
        <w:rPr>
          <w:rFonts w:ascii="Times New Roman" w:hAnsi="Times New Roman" w:cs="Times New Roman"/>
          <w:sz w:val="24"/>
          <w:szCs w:val="24"/>
          <w:lang w:val="en-GB"/>
        </w:rPr>
        <w:t xml:space="preserve"> in </w:t>
      </w:r>
      <w:r w:rsidR="001D5459" w:rsidRPr="0059034D">
        <w:rPr>
          <w:rFonts w:ascii="Times New Roman" w:hAnsi="Times New Roman" w:cs="Times New Roman"/>
          <w:sz w:val="24"/>
          <w:szCs w:val="24"/>
          <w:lang w:val="en-GB"/>
        </w:rPr>
        <w:t xml:space="preserve">developments within the domestic democratic process. </w:t>
      </w:r>
      <w:r w:rsidR="001D5459" w:rsidRPr="0059034D">
        <w:rPr>
          <w:rFonts w:ascii="Times New Roman" w:hAnsi="Times New Roman" w:cs="Times New Roman"/>
          <w:sz w:val="24"/>
          <w:szCs w:val="24"/>
        </w:rPr>
        <w:t>Other (</w:t>
      </w:r>
      <w:r w:rsidR="0059034D" w:rsidRPr="0059034D">
        <w:rPr>
          <w:rFonts w:ascii="Times New Roman" w:hAnsi="Times New Roman" w:cs="Times New Roman"/>
          <w:sz w:val="24"/>
          <w:szCs w:val="24"/>
        </w:rPr>
        <w:t>perhaps</w:t>
      </w:r>
      <w:r w:rsidR="001D5459" w:rsidRPr="0059034D">
        <w:rPr>
          <w:rFonts w:ascii="Times New Roman" w:hAnsi="Times New Roman" w:cs="Times New Roman"/>
          <w:sz w:val="24"/>
          <w:szCs w:val="24"/>
        </w:rPr>
        <w:t xml:space="preserve"> pragmatic) justifications for deference include the extreme possibility of withdrawal from the ECHR or significant delays in the implementation of the ECtHR’s judgments.</w:t>
      </w:r>
      <w:r w:rsidR="001D5459" w:rsidRPr="0059034D">
        <w:rPr>
          <w:rFonts w:ascii="Times New Roman" w:hAnsi="Times New Roman" w:cs="Times New Roman"/>
          <w:sz w:val="24"/>
          <w:szCs w:val="24"/>
          <w:vertAlign w:val="superscript"/>
        </w:rPr>
        <w:footnoteReference w:id="11"/>
      </w:r>
      <w:r w:rsidR="001D5459" w:rsidRPr="0059034D">
        <w:rPr>
          <w:rFonts w:ascii="Times New Roman" w:hAnsi="Times New Roman" w:cs="Times New Roman"/>
          <w:sz w:val="24"/>
          <w:szCs w:val="24"/>
        </w:rPr>
        <w:t xml:space="preserve"> </w:t>
      </w:r>
      <w:r w:rsidR="000C661A" w:rsidRPr="000C661A">
        <w:rPr>
          <w:rFonts w:ascii="Times New Roman" w:hAnsi="Times New Roman" w:cs="Times New Roman"/>
          <w:sz w:val="24"/>
          <w:szCs w:val="24"/>
          <w:lang w:val="en-GB"/>
        </w:rPr>
        <w:t xml:space="preserve">Letsas distinguished between the substantive use of the margin of appreciation, namely whether applicants can enjoy a certain right as a matter of human rights </w:t>
      </w:r>
      <w:r w:rsidR="000C661A" w:rsidRPr="000C661A">
        <w:rPr>
          <w:rFonts w:ascii="Times New Roman" w:hAnsi="Times New Roman" w:cs="Times New Roman"/>
          <w:sz w:val="24"/>
          <w:szCs w:val="24"/>
          <w:lang w:val="en-GB"/>
        </w:rPr>
        <w:lastRenderedPageBreak/>
        <w:t xml:space="preserve">law, and the structural one, based on the idea that the Strasbourg Court is an international tribunal and therefore it has to defer to </w:t>
      </w:r>
      <w:r w:rsidR="000C661A">
        <w:rPr>
          <w:rFonts w:ascii="Times New Roman" w:hAnsi="Times New Roman" w:cs="Times New Roman"/>
          <w:sz w:val="24"/>
          <w:szCs w:val="24"/>
          <w:lang w:val="en-GB"/>
        </w:rPr>
        <w:t xml:space="preserve">the </w:t>
      </w:r>
      <w:r w:rsidR="000C661A" w:rsidRPr="000C661A">
        <w:rPr>
          <w:rFonts w:ascii="Times New Roman" w:hAnsi="Times New Roman" w:cs="Times New Roman"/>
          <w:sz w:val="24"/>
          <w:szCs w:val="24"/>
          <w:lang w:val="en-GB"/>
        </w:rPr>
        <w:t xml:space="preserve">contracting parties as they are </w:t>
      </w:r>
      <w:r w:rsidR="000C661A" w:rsidRPr="000C661A">
        <w:rPr>
          <w:rFonts w:ascii="Times New Roman" w:hAnsi="Times New Roman" w:cs="Times New Roman"/>
          <w:i/>
          <w:sz w:val="24"/>
          <w:szCs w:val="24"/>
          <w:lang w:val="en-GB"/>
        </w:rPr>
        <w:t>better placed</w:t>
      </w:r>
      <w:r w:rsidR="000C661A" w:rsidRPr="000C661A">
        <w:rPr>
          <w:rFonts w:ascii="Times New Roman" w:hAnsi="Times New Roman" w:cs="Times New Roman"/>
          <w:sz w:val="24"/>
          <w:szCs w:val="24"/>
          <w:lang w:val="en-GB"/>
        </w:rPr>
        <w:t xml:space="preserve"> to decide on the issue that is being put before it.</w:t>
      </w:r>
      <w:r w:rsidR="000C661A" w:rsidRPr="000C661A">
        <w:rPr>
          <w:rFonts w:ascii="Times New Roman" w:hAnsi="Times New Roman" w:cs="Times New Roman"/>
          <w:sz w:val="24"/>
          <w:szCs w:val="24"/>
          <w:vertAlign w:val="superscript"/>
          <w:lang w:val="en-GB"/>
        </w:rPr>
        <w:footnoteReference w:id="12"/>
      </w:r>
      <w:r w:rsidR="000C661A">
        <w:rPr>
          <w:rFonts w:ascii="Times New Roman" w:hAnsi="Times New Roman" w:cs="Times New Roman"/>
          <w:sz w:val="24"/>
          <w:szCs w:val="24"/>
          <w:lang w:val="en-GB"/>
        </w:rPr>
        <w:t xml:space="preserve"> It is under this</w:t>
      </w:r>
      <w:r w:rsidR="000C661A" w:rsidRPr="000C661A">
        <w:rPr>
          <w:rFonts w:ascii="Times New Roman" w:hAnsi="Times New Roman" w:cs="Times New Roman"/>
          <w:sz w:val="24"/>
          <w:szCs w:val="24"/>
          <w:lang w:val="en-GB"/>
        </w:rPr>
        <w:t xml:space="preserve"> latter dimension that the lack of consensus among contracting states becomes primarily relevant, according to Letsas.</w:t>
      </w:r>
      <w:r w:rsidR="000C661A" w:rsidRPr="000C661A">
        <w:rPr>
          <w:rFonts w:ascii="Times New Roman" w:hAnsi="Times New Roman" w:cs="Times New Roman"/>
          <w:sz w:val="24"/>
          <w:szCs w:val="24"/>
          <w:vertAlign w:val="superscript"/>
          <w:lang w:val="en-GB"/>
        </w:rPr>
        <w:footnoteReference w:id="13"/>
      </w:r>
      <w:r w:rsidR="000C661A" w:rsidRPr="000C661A">
        <w:rPr>
          <w:rFonts w:ascii="Times New Roman" w:hAnsi="Times New Roman" w:cs="Times New Roman"/>
          <w:sz w:val="24"/>
          <w:szCs w:val="24"/>
          <w:lang w:val="en-GB"/>
        </w:rPr>
        <w:t xml:space="preserve"> </w:t>
      </w:r>
      <w:r w:rsidR="000C661A">
        <w:rPr>
          <w:rFonts w:ascii="Times New Roman" w:hAnsi="Times New Roman" w:cs="Times New Roman"/>
          <w:sz w:val="24"/>
          <w:szCs w:val="24"/>
          <w:lang w:val="en-GB"/>
        </w:rPr>
        <w:t xml:space="preserve">More generally, it </w:t>
      </w:r>
      <w:r w:rsidR="000C661A">
        <w:rPr>
          <w:rFonts w:ascii="Times New Roman" w:hAnsi="Times New Roman" w:cs="Times New Roman"/>
          <w:sz w:val="24"/>
          <w:szCs w:val="24"/>
        </w:rPr>
        <w:t>is no secret</w:t>
      </w:r>
      <w:r w:rsidR="001D5459" w:rsidRPr="0059034D">
        <w:rPr>
          <w:rFonts w:ascii="Times New Roman" w:hAnsi="Times New Roman" w:cs="Times New Roman"/>
          <w:sz w:val="24"/>
          <w:szCs w:val="24"/>
        </w:rPr>
        <w:t xml:space="preserve"> </w:t>
      </w:r>
      <w:r w:rsidR="001D5459" w:rsidRPr="001D5459">
        <w:rPr>
          <w:rFonts w:ascii="Times New Roman" w:hAnsi="Times New Roman" w:cs="Times New Roman"/>
          <w:sz w:val="24"/>
          <w:szCs w:val="24"/>
        </w:rPr>
        <w:t xml:space="preserve">that the ECtHR’s methodology regarding the margin of appreciation has attracted </w:t>
      </w:r>
      <w:r w:rsidR="000C661A">
        <w:rPr>
          <w:rFonts w:ascii="Times New Roman" w:hAnsi="Times New Roman" w:cs="Times New Roman"/>
          <w:sz w:val="24"/>
          <w:szCs w:val="24"/>
        </w:rPr>
        <w:t xml:space="preserve">varied </w:t>
      </w:r>
      <w:r w:rsidR="001D5459" w:rsidRPr="001D5459">
        <w:rPr>
          <w:rFonts w:ascii="Times New Roman" w:hAnsi="Times New Roman" w:cs="Times New Roman"/>
          <w:sz w:val="24"/>
          <w:szCs w:val="24"/>
        </w:rPr>
        <w:t>criticism</w:t>
      </w:r>
      <w:r w:rsidR="001D5459" w:rsidRPr="0059034D">
        <w:rPr>
          <w:rFonts w:ascii="Times New Roman" w:hAnsi="Times New Roman" w:cs="Times New Roman"/>
          <w:sz w:val="24"/>
          <w:szCs w:val="24"/>
        </w:rPr>
        <w:t>.</w:t>
      </w:r>
      <w:r w:rsidR="001D5459" w:rsidRPr="0059034D">
        <w:rPr>
          <w:rFonts w:ascii="Times New Roman" w:hAnsi="Times New Roman" w:cs="Times New Roman"/>
          <w:sz w:val="24"/>
          <w:szCs w:val="24"/>
          <w:vertAlign w:val="superscript"/>
        </w:rPr>
        <w:footnoteReference w:id="14"/>
      </w:r>
    </w:p>
    <w:p w14:paraId="16C275C6" w14:textId="70413814" w:rsidR="001D5459" w:rsidRPr="001D5459" w:rsidRDefault="001D5459" w:rsidP="001D5459">
      <w:pPr>
        <w:spacing w:line="360" w:lineRule="auto"/>
        <w:jc w:val="both"/>
        <w:rPr>
          <w:rFonts w:ascii="Times New Roman" w:hAnsi="Times New Roman" w:cs="Times New Roman"/>
          <w:sz w:val="24"/>
          <w:szCs w:val="24"/>
          <w:lang w:val="en-GB"/>
        </w:rPr>
      </w:pPr>
      <w:r w:rsidRPr="001D5459">
        <w:rPr>
          <w:rFonts w:ascii="Times New Roman" w:hAnsi="Times New Roman" w:cs="Times New Roman"/>
          <w:sz w:val="24"/>
          <w:szCs w:val="24"/>
          <w:lang w:val="en-GB"/>
        </w:rPr>
        <w:t>At this point th</w:t>
      </w:r>
      <w:r w:rsidR="000C661A">
        <w:rPr>
          <w:rFonts w:ascii="Times New Roman" w:hAnsi="Times New Roman" w:cs="Times New Roman"/>
          <w:sz w:val="24"/>
          <w:szCs w:val="24"/>
          <w:lang w:val="en-GB"/>
        </w:rPr>
        <w:t xml:space="preserve">e use of </w:t>
      </w:r>
      <w:r w:rsidR="00EF69FD">
        <w:rPr>
          <w:rFonts w:ascii="Times New Roman" w:hAnsi="Times New Roman" w:cs="Times New Roman"/>
          <w:sz w:val="24"/>
          <w:szCs w:val="24"/>
          <w:lang w:val="en-GB"/>
        </w:rPr>
        <w:t xml:space="preserve">European </w:t>
      </w:r>
      <w:r w:rsidR="000C661A">
        <w:rPr>
          <w:rFonts w:ascii="Times New Roman" w:hAnsi="Times New Roman" w:cs="Times New Roman"/>
          <w:sz w:val="24"/>
          <w:szCs w:val="24"/>
          <w:lang w:val="en-GB"/>
        </w:rPr>
        <w:t>consensus by the Court can</w:t>
      </w:r>
      <w:r w:rsidRPr="001D5459">
        <w:rPr>
          <w:rFonts w:ascii="Times New Roman" w:hAnsi="Times New Roman" w:cs="Times New Roman"/>
          <w:sz w:val="24"/>
          <w:szCs w:val="24"/>
          <w:lang w:val="en-GB"/>
        </w:rPr>
        <w:t xml:space="preserve"> be considered. </w:t>
      </w:r>
      <w:r w:rsidRPr="001D5459">
        <w:rPr>
          <w:rFonts w:ascii="Times New Roman" w:hAnsi="Times New Roman" w:cs="Times New Roman"/>
          <w:sz w:val="24"/>
          <w:szCs w:val="24"/>
        </w:rPr>
        <w:t xml:space="preserve">While it is indeed possible to understand the term ‘consensus’ as encompassing ‘consensus based on international treaties, internal consensus in the respondent Contracting Party, [and] expert consensus’, only the identification of ‘consensus based on comparative analysis of the laws and practices of the </w:t>
      </w:r>
      <w:r w:rsidRPr="001D5459">
        <w:rPr>
          <w:rFonts w:ascii="Times New Roman" w:hAnsi="Times New Roman" w:cs="Times New Roman"/>
          <w:sz w:val="24"/>
          <w:szCs w:val="24"/>
        </w:rPr>
        <w:lastRenderedPageBreak/>
        <w:t>Contracting Parties’ can truly be viewed as European consensus.</w:t>
      </w:r>
      <w:r w:rsidRPr="001D5459">
        <w:rPr>
          <w:rFonts w:ascii="Times New Roman" w:hAnsi="Times New Roman" w:cs="Times New Roman"/>
          <w:sz w:val="24"/>
          <w:szCs w:val="24"/>
          <w:vertAlign w:val="superscript"/>
        </w:rPr>
        <w:footnoteReference w:id="15"/>
      </w:r>
      <w:r w:rsidRPr="001D5459">
        <w:rPr>
          <w:rFonts w:ascii="Times New Roman" w:hAnsi="Times New Roman" w:cs="Times New Roman"/>
          <w:sz w:val="24"/>
          <w:szCs w:val="24"/>
        </w:rPr>
        <w:t xml:space="preserve"> On this basis, the present contribution refers </w:t>
      </w:r>
      <w:r w:rsidRPr="001D5459">
        <w:rPr>
          <w:rFonts w:ascii="Times New Roman" w:hAnsi="Times New Roman" w:cs="Times New Roman"/>
          <w:i/>
          <w:sz w:val="24"/>
          <w:szCs w:val="24"/>
        </w:rPr>
        <w:t>only</w:t>
      </w:r>
      <w:r w:rsidRPr="001D5459">
        <w:rPr>
          <w:rFonts w:ascii="Times New Roman" w:hAnsi="Times New Roman" w:cs="Times New Roman"/>
          <w:sz w:val="24"/>
          <w:szCs w:val="24"/>
        </w:rPr>
        <w:t xml:space="preserve"> to the latter use of consensus by the ECtHR. Indeed, European consensus analysis </w:t>
      </w:r>
      <w:r w:rsidR="00EF69FD">
        <w:rPr>
          <w:rFonts w:ascii="Times New Roman" w:hAnsi="Times New Roman" w:cs="Times New Roman"/>
          <w:sz w:val="24"/>
          <w:szCs w:val="24"/>
        </w:rPr>
        <w:t>can</w:t>
      </w:r>
      <w:r w:rsidRPr="001D5459">
        <w:rPr>
          <w:rFonts w:ascii="Times New Roman" w:hAnsi="Times New Roman" w:cs="Times New Roman"/>
          <w:sz w:val="24"/>
          <w:szCs w:val="24"/>
        </w:rPr>
        <w:t xml:space="preserve"> occupy its distinct place in the ECtHR’s reasoning only if it is dissociated from other interpretative practices used by the Court. To that end, European consensus is inevitably linked to this </w:t>
      </w:r>
      <w:r w:rsidR="00EF69FD">
        <w:rPr>
          <w:rFonts w:ascii="Times New Roman" w:hAnsi="Times New Roman" w:cs="Times New Roman"/>
          <w:sz w:val="24"/>
          <w:szCs w:val="24"/>
        </w:rPr>
        <w:t>seemingly</w:t>
      </w:r>
      <w:r w:rsidRPr="001D5459">
        <w:rPr>
          <w:rFonts w:ascii="Times New Roman" w:hAnsi="Times New Roman" w:cs="Times New Roman"/>
          <w:sz w:val="24"/>
          <w:szCs w:val="24"/>
        </w:rPr>
        <w:t xml:space="preserve"> straightforward question: what is the position (or perhaps ‘the trend’</w:t>
      </w:r>
      <w:r w:rsidRPr="001D5459">
        <w:rPr>
          <w:rFonts w:ascii="Times New Roman" w:hAnsi="Times New Roman" w:cs="Times New Roman"/>
          <w:sz w:val="24"/>
          <w:szCs w:val="24"/>
          <w:vertAlign w:val="superscript"/>
        </w:rPr>
        <w:footnoteReference w:id="16"/>
      </w:r>
      <w:r w:rsidRPr="001D5459">
        <w:rPr>
          <w:rFonts w:ascii="Times New Roman" w:hAnsi="Times New Roman" w:cs="Times New Roman"/>
          <w:sz w:val="24"/>
          <w:szCs w:val="24"/>
        </w:rPr>
        <w:t xml:space="preserve">) in the broad </w:t>
      </w:r>
      <w:r w:rsidRPr="001D5459">
        <w:rPr>
          <w:rFonts w:ascii="Times New Roman" w:hAnsi="Times New Roman" w:cs="Times New Roman"/>
          <w:i/>
          <w:sz w:val="24"/>
          <w:szCs w:val="24"/>
        </w:rPr>
        <w:t>majority</w:t>
      </w:r>
      <w:r w:rsidRPr="001D5459">
        <w:rPr>
          <w:rFonts w:ascii="Times New Roman" w:hAnsi="Times New Roman" w:cs="Times New Roman"/>
          <w:sz w:val="24"/>
          <w:szCs w:val="24"/>
        </w:rPr>
        <w:t xml:space="preserve"> of domestic legal orders? It is this ‘supermajoritarian’ tendency (for lack of a better term) within Europe that consists the essence of consensus analysis and, by consequence, its distinctive contribution to the Court’s methodology.</w:t>
      </w:r>
      <w:r w:rsidR="00D87B58">
        <w:rPr>
          <w:rFonts w:ascii="Times New Roman" w:hAnsi="Times New Roman" w:cs="Times New Roman"/>
          <w:sz w:val="24"/>
          <w:szCs w:val="24"/>
        </w:rPr>
        <w:t xml:space="preserve"> </w:t>
      </w:r>
      <w:r w:rsidRPr="001D5459">
        <w:rPr>
          <w:rFonts w:ascii="Times New Roman" w:hAnsi="Times New Roman" w:cs="Times New Roman"/>
          <w:sz w:val="24"/>
          <w:szCs w:val="24"/>
        </w:rPr>
        <w:t xml:space="preserve">The Research Division of the Court undertakes the task of conducting this </w:t>
      </w:r>
      <w:r w:rsidRPr="00D87B58">
        <w:rPr>
          <w:rFonts w:ascii="Times New Roman" w:hAnsi="Times New Roman" w:cs="Times New Roman"/>
          <w:sz w:val="24"/>
          <w:szCs w:val="24"/>
        </w:rPr>
        <w:t>comparative exercise.</w:t>
      </w:r>
      <w:r w:rsidRPr="00D87B58">
        <w:rPr>
          <w:rFonts w:ascii="Times New Roman" w:hAnsi="Times New Roman" w:cs="Times New Roman"/>
          <w:sz w:val="24"/>
          <w:szCs w:val="24"/>
          <w:vertAlign w:val="superscript"/>
        </w:rPr>
        <w:footnoteReference w:id="17"/>
      </w:r>
      <w:r w:rsidRPr="00D87B58">
        <w:rPr>
          <w:rFonts w:ascii="Times New Roman" w:hAnsi="Times New Roman" w:cs="Times New Roman"/>
          <w:sz w:val="24"/>
          <w:szCs w:val="24"/>
        </w:rPr>
        <w:t xml:space="preserve"> </w:t>
      </w:r>
      <w:r w:rsidR="00EC5EBD" w:rsidRPr="00D87B58">
        <w:rPr>
          <w:rFonts w:ascii="Times New Roman" w:hAnsi="Times New Roman" w:cs="Times New Roman"/>
          <w:sz w:val="24"/>
          <w:szCs w:val="24"/>
        </w:rPr>
        <w:t>T</w:t>
      </w:r>
      <w:r w:rsidR="00EE4286" w:rsidRPr="00D87B58">
        <w:rPr>
          <w:rFonts w:ascii="Times New Roman" w:hAnsi="Times New Roman" w:cs="Times New Roman"/>
          <w:sz w:val="24"/>
          <w:szCs w:val="24"/>
        </w:rPr>
        <w:t xml:space="preserve">he use of </w:t>
      </w:r>
      <w:r w:rsidRPr="00D87B58">
        <w:rPr>
          <w:rFonts w:ascii="Times New Roman" w:hAnsi="Times New Roman" w:cs="Times New Roman"/>
          <w:sz w:val="24"/>
          <w:szCs w:val="24"/>
        </w:rPr>
        <w:t xml:space="preserve">such comparative method </w:t>
      </w:r>
      <w:r w:rsidR="00EE4286" w:rsidRPr="00D87B58">
        <w:rPr>
          <w:rFonts w:ascii="Times New Roman" w:hAnsi="Times New Roman" w:cs="Times New Roman"/>
          <w:sz w:val="24"/>
          <w:szCs w:val="24"/>
        </w:rPr>
        <w:t>can be explained</w:t>
      </w:r>
      <w:r w:rsidRPr="00D87B58">
        <w:rPr>
          <w:rFonts w:ascii="Times New Roman" w:hAnsi="Times New Roman" w:cs="Times New Roman"/>
          <w:sz w:val="24"/>
          <w:szCs w:val="24"/>
        </w:rPr>
        <w:t xml:space="preserve"> by the fact that</w:t>
      </w:r>
      <w:r w:rsidRPr="001D5459">
        <w:rPr>
          <w:rFonts w:ascii="Times New Roman" w:hAnsi="Times New Roman" w:cs="Times New Roman"/>
          <w:sz w:val="24"/>
          <w:szCs w:val="24"/>
        </w:rPr>
        <w:t xml:space="preserve"> the ECHR stems from the domestic systems, and this is confirmed by the Convention’s Preamble, which refers to the ‘common heritage of political traditions, ideals, freedom and the rule of law’.</w:t>
      </w:r>
      <w:r w:rsidRPr="001D5459">
        <w:rPr>
          <w:rFonts w:ascii="Times New Roman" w:hAnsi="Times New Roman" w:cs="Times New Roman"/>
          <w:sz w:val="24"/>
          <w:szCs w:val="24"/>
          <w:vertAlign w:val="superscript"/>
        </w:rPr>
        <w:footnoteReference w:id="18"/>
      </w:r>
      <w:r w:rsidRPr="001D5459">
        <w:rPr>
          <w:rFonts w:ascii="Times New Roman" w:hAnsi="Times New Roman" w:cs="Times New Roman"/>
          <w:sz w:val="24"/>
          <w:szCs w:val="24"/>
        </w:rPr>
        <w:t xml:space="preserve"> </w:t>
      </w:r>
    </w:p>
    <w:p w14:paraId="3D2CE93F" w14:textId="760B5253" w:rsidR="001D5459" w:rsidRPr="00543170" w:rsidRDefault="001D5459" w:rsidP="001D5459">
      <w:pPr>
        <w:spacing w:line="360" w:lineRule="auto"/>
        <w:jc w:val="both"/>
        <w:rPr>
          <w:rFonts w:ascii="Times New Roman" w:hAnsi="Times New Roman" w:cs="Times New Roman"/>
          <w:sz w:val="24"/>
          <w:szCs w:val="24"/>
        </w:rPr>
      </w:pPr>
      <w:r w:rsidRPr="001D5459">
        <w:rPr>
          <w:rFonts w:ascii="Times New Roman" w:hAnsi="Times New Roman" w:cs="Times New Roman"/>
          <w:sz w:val="24"/>
          <w:szCs w:val="24"/>
          <w:lang w:val="en-GB"/>
        </w:rPr>
        <w:t>The consensus</w:t>
      </w:r>
      <w:r w:rsidRPr="001D5459">
        <w:rPr>
          <w:rFonts w:ascii="Times New Roman" w:hAnsi="Times New Roman" w:cs="Times New Roman"/>
          <w:sz w:val="24"/>
          <w:szCs w:val="24"/>
        </w:rPr>
        <w:t xml:space="preserve"> method </w:t>
      </w:r>
      <w:r w:rsidR="00EF69FD">
        <w:rPr>
          <w:rFonts w:ascii="Times New Roman" w:hAnsi="Times New Roman" w:cs="Times New Roman"/>
          <w:sz w:val="24"/>
          <w:szCs w:val="24"/>
        </w:rPr>
        <w:t xml:space="preserve">can appear appealing (to some) </w:t>
      </w:r>
      <w:r w:rsidR="00E554FF">
        <w:rPr>
          <w:rFonts w:ascii="Times New Roman" w:hAnsi="Times New Roman" w:cs="Times New Roman"/>
          <w:sz w:val="24"/>
          <w:szCs w:val="24"/>
        </w:rPr>
        <w:t>or</w:t>
      </w:r>
      <w:r w:rsidR="00EF69FD">
        <w:rPr>
          <w:rFonts w:ascii="Times New Roman" w:hAnsi="Times New Roman" w:cs="Times New Roman"/>
          <w:sz w:val="24"/>
          <w:szCs w:val="24"/>
        </w:rPr>
        <w:t xml:space="preserve"> unattractive (to others); or perhaps it has the potential to be both, as this contribution will argue, thereby distinguishing itself from </w:t>
      </w:r>
      <w:r w:rsidR="00E554FF">
        <w:rPr>
          <w:rFonts w:ascii="Times New Roman" w:hAnsi="Times New Roman" w:cs="Times New Roman"/>
          <w:sz w:val="24"/>
          <w:szCs w:val="24"/>
        </w:rPr>
        <w:t>accounts</w:t>
      </w:r>
      <w:r w:rsidR="00EF69FD">
        <w:rPr>
          <w:rFonts w:ascii="Times New Roman" w:hAnsi="Times New Roman" w:cs="Times New Roman"/>
          <w:sz w:val="24"/>
          <w:szCs w:val="24"/>
        </w:rPr>
        <w:t xml:space="preserve"> severely criticizing or wholeheartedly endorsing this form of reasoning. Indeed, t</w:t>
      </w:r>
      <w:r w:rsidRPr="001D5459">
        <w:rPr>
          <w:rFonts w:ascii="Times New Roman" w:hAnsi="Times New Roman" w:cs="Times New Roman"/>
          <w:sz w:val="24"/>
          <w:szCs w:val="24"/>
        </w:rPr>
        <w:t xml:space="preserve">his type of comparative ‘majoritarian’ exercise may be viewed by some as acknowledgment of </w:t>
      </w:r>
      <w:r w:rsidR="00E554FF">
        <w:rPr>
          <w:rFonts w:ascii="Times New Roman" w:hAnsi="Times New Roman" w:cs="Times New Roman"/>
          <w:sz w:val="24"/>
          <w:szCs w:val="24"/>
        </w:rPr>
        <w:t>the Court’s</w:t>
      </w:r>
      <w:r w:rsidRPr="001D5459">
        <w:rPr>
          <w:rFonts w:ascii="Times New Roman" w:hAnsi="Times New Roman" w:cs="Times New Roman"/>
          <w:sz w:val="24"/>
          <w:szCs w:val="24"/>
        </w:rPr>
        <w:t xml:space="preserve"> position to guarantee minimum standards of protection, while by others as reluctance </w:t>
      </w:r>
      <w:r w:rsidRPr="001D5459">
        <w:rPr>
          <w:rFonts w:ascii="Times New Roman" w:hAnsi="Times New Roman" w:cs="Times New Roman"/>
          <w:sz w:val="24"/>
          <w:szCs w:val="24"/>
        </w:rPr>
        <w:lastRenderedPageBreak/>
        <w:t>to adjudicate. Moreover, the Court’s level of consistency when relying on consensus analysis has been far from satisfactory</w:t>
      </w:r>
      <w:r w:rsidRPr="00543170">
        <w:rPr>
          <w:rFonts w:ascii="Times New Roman" w:hAnsi="Times New Roman" w:cs="Times New Roman"/>
          <w:sz w:val="24"/>
          <w:szCs w:val="24"/>
        </w:rPr>
        <w:t>.</w:t>
      </w:r>
      <w:r w:rsidRPr="00543170">
        <w:rPr>
          <w:rFonts w:ascii="Times New Roman" w:hAnsi="Times New Roman" w:cs="Times New Roman"/>
          <w:sz w:val="24"/>
          <w:szCs w:val="24"/>
          <w:vertAlign w:val="superscript"/>
        </w:rPr>
        <w:footnoteReference w:id="19"/>
      </w:r>
      <w:r w:rsidRPr="00543170">
        <w:rPr>
          <w:rFonts w:ascii="Times New Roman" w:hAnsi="Times New Roman" w:cs="Times New Roman"/>
          <w:sz w:val="24"/>
          <w:szCs w:val="24"/>
        </w:rPr>
        <w:t xml:space="preserve"> </w:t>
      </w:r>
    </w:p>
    <w:p w14:paraId="7EFCF830" w14:textId="77777777" w:rsidR="001D5459" w:rsidRPr="001D5459" w:rsidRDefault="001D5459" w:rsidP="001D5459">
      <w:pPr>
        <w:spacing w:line="360" w:lineRule="auto"/>
        <w:jc w:val="both"/>
        <w:rPr>
          <w:rFonts w:ascii="Times New Roman" w:hAnsi="Times New Roman" w:cs="Times New Roman"/>
          <w:sz w:val="24"/>
          <w:szCs w:val="24"/>
        </w:rPr>
      </w:pPr>
      <w:r w:rsidRPr="001D5459">
        <w:rPr>
          <w:rFonts w:ascii="Times New Roman" w:hAnsi="Times New Roman" w:cs="Times New Roman"/>
          <w:sz w:val="24"/>
          <w:szCs w:val="24"/>
          <w:lang w:val="en-GB"/>
        </w:rPr>
        <w:t xml:space="preserve">But how is the use of consensus related to the margin of appreciation? Commentators </w:t>
      </w:r>
      <w:r w:rsidRPr="001D5459">
        <w:rPr>
          <w:rFonts w:ascii="Times New Roman" w:hAnsi="Times New Roman" w:cs="Times New Roman"/>
          <w:sz w:val="24"/>
          <w:szCs w:val="24"/>
        </w:rPr>
        <w:t>accept that European consensus is not the only method used by the Court,</w:t>
      </w:r>
      <w:r w:rsidRPr="001D5459">
        <w:rPr>
          <w:rFonts w:ascii="Times New Roman" w:hAnsi="Times New Roman" w:cs="Times New Roman"/>
          <w:sz w:val="24"/>
          <w:szCs w:val="24"/>
          <w:vertAlign w:val="superscript"/>
        </w:rPr>
        <w:footnoteReference w:id="20"/>
      </w:r>
      <w:r w:rsidRPr="001D5459">
        <w:rPr>
          <w:rFonts w:ascii="Times New Roman" w:hAnsi="Times New Roman" w:cs="Times New Roman"/>
          <w:sz w:val="24"/>
          <w:szCs w:val="24"/>
        </w:rPr>
        <w:t xml:space="preserve"> and as ‘</w:t>
      </w:r>
      <w:r w:rsidRPr="001D5459">
        <w:rPr>
          <w:rFonts w:ascii="Times New Roman" w:hAnsi="Times New Roman" w:cs="Times New Roman"/>
          <w:i/>
          <w:sz w:val="24"/>
          <w:szCs w:val="24"/>
        </w:rPr>
        <w:t>a</w:t>
      </w:r>
      <w:r w:rsidRPr="001D5459">
        <w:rPr>
          <w:rFonts w:ascii="Times New Roman" w:hAnsi="Times New Roman" w:cs="Times New Roman"/>
          <w:sz w:val="24"/>
          <w:szCs w:val="24"/>
        </w:rPr>
        <w:t xml:space="preserve"> </w:t>
      </w:r>
      <w:r w:rsidRPr="001D5459">
        <w:rPr>
          <w:rFonts w:ascii="Times New Roman" w:hAnsi="Times New Roman" w:cs="Times New Roman"/>
          <w:i/>
          <w:sz w:val="24"/>
          <w:szCs w:val="24"/>
        </w:rPr>
        <w:t>factor</w:t>
      </w:r>
      <w:r w:rsidRPr="001D5459">
        <w:rPr>
          <w:rFonts w:ascii="Times New Roman" w:hAnsi="Times New Roman" w:cs="Times New Roman"/>
          <w:sz w:val="24"/>
          <w:szCs w:val="24"/>
        </w:rPr>
        <w:t xml:space="preserve"> determining whether a wider or narrower margin of appreciation ought to apply’ it is not binding.</w:t>
      </w:r>
      <w:r w:rsidRPr="001D5459">
        <w:rPr>
          <w:rFonts w:ascii="Times New Roman" w:hAnsi="Times New Roman" w:cs="Times New Roman"/>
          <w:sz w:val="24"/>
          <w:szCs w:val="24"/>
          <w:vertAlign w:val="superscript"/>
        </w:rPr>
        <w:footnoteReference w:id="21"/>
      </w:r>
      <w:r w:rsidRPr="001D5459">
        <w:rPr>
          <w:rFonts w:ascii="Times New Roman" w:hAnsi="Times New Roman" w:cs="Times New Roman"/>
          <w:sz w:val="24"/>
          <w:szCs w:val="24"/>
        </w:rPr>
        <w:t xml:space="preserve"> </w:t>
      </w:r>
      <w:r w:rsidR="00E566B2">
        <w:rPr>
          <w:rFonts w:ascii="Times New Roman" w:hAnsi="Times New Roman" w:cs="Times New Roman"/>
          <w:sz w:val="24"/>
          <w:szCs w:val="24"/>
        </w:rPr>
        <w:t>A</w:t>
      </w:r>
      <w:r w:rsidRPr="001D5459">
        <w:rPr>
          <w:rFonts w:ascii="Times New Roman" w:hAnsi="Times New Roman" w:cs="Times New Roman"/>
          <w:sz w:val="24"/>
          <w:szCs w:val="24"/>
        </w:rPr>
        <w:t xml:space="preserve"> properly applied consensus ‘is a criterion that determines the breadth of the margin of appreciation in a more objective, transparent and predictable manner than achieved through the application of other criteria’.</w:t>
      </w:r>
      <w:r w:rsidRPr="001D5459">
        <w:rPr>
          <w:rFonts w:ascii="Times New Roman" w:hAnsi="Times New Roman" w:cs="Times New Roman"/>
          <w:sz w:val="24"/>
          <w:szCs w:val="24"/>
          <w:vertAlign w:val="superscript"/>
        </w:rPr>
        <w:footnoteReference w:id="22"/>
      </w:r>
      <w:r w:rsidRPr="001D5459">
        <w:rPr>
          <w:rFonts w:ascii="Times New Roman" w:hAnsi="Times New Roman" w:cs="Times New Roman"/>
          <w:sz w:val="24"/>
          <w:szCs w:val="24"/>
        </w:rPr>
        <w:t xml:space="preserve"> The comparative advantage of consensus, according to that author, is that it enhances the legitimacy of the Court’s decisions. Because of this link with legitimacy, Dzehtsiarou grants consensus some type of primacy over other methods used by the Court in such cases. Thus, in the same contribution he argues:</w:t>
      </w:r>
    </w:p>
    <w:p w14:paraId="49CA55A1" w14:textId="77777777" w:rsidR="001D5459" w:rsidRPr="008324F3" w:rsidRDefault="001D5459" w:rsidP="001D5459">
      <w:pPr>
        <w:spacing w:line="360" w:lineRule="auto"/>
        <w:ind w:left="284" w:right="284"/>
        <w:jc w:val="both"/>
        <w:rPr>
          <w:rFonts w:ascii="Times New Roman" w:hAnsi="Times New Roman" w:cs="Times New Roman"/>
          <w:sz w:val="24"/>
          <w:szCs w:val="24"/>
        </w:rPr>
      </w:pPr>
      <w:r w:rsidRPr="008324F3">
        <w:rPr>
          <w:rFonts w:ascii="Times New Roman" w:hAnsi="Times New Roman" w:cs="Times New Roman"/>
          <w:sz w:val="24"/>
          <w:szCs w:val="24"/>
        </w:rPr>
        <w:lastRenderedPageBreak/>
        <w:t xml:space="preserve">‘European consensus can be conceptualized as a </w:t>
      </w:r>
      <w:r w:rsidRPr="008324F3">
        <w:rPr>
          <w:rFonts w:ascii="Times New Roman" w:hAnsi="Times New Roman" w:cs="Times New Roman"/>
          <w:i/>
          <w:sz w:val="24"/>
          <w:szCs w:val="24"/>
        </w:rPr>
        <w:t>way of mediating</w:t>
      </w:r>
      <w:r w:rsidRPr="008324F3">
        <w:rPr>
          <w:rFonts w:ascii="Times New Roman" w:hAnsi="Times New Roman" w:cs="Times New Roman"/>
          <w:sz w:val="24"/>
          <w:szCs w:val="24"/>
        </w:rPr>
        <w:t xml:space="preserve"> between the margin of appreciation and evolutive interpretation. If there is no European consensus, the issue will fall in the area of the margin of appreciation, and as soon as consensus is established, the ECtHR can apply evolutive interpretation and wrest this issue from state discretion.’</w:t>
      </w:r>
      <w:r w:rsidRPr="008324F3">
        <w:rPr>
          <w:rFonts w:ascii="Times New Roman" w:hAnsi="Times New Roman" w:cs="Times New Roman"/>
          <w:sz w:val="24"/>
          <w:szCs w:val="24"/>
          <w:vertAlign w:val="superscript"/>
        </w:rPr>
        <w:footnoteReference w:id="23"/>
      </w:r>
    </w:p>
    <w:p w14:paraId="7243D5A1" w14:textId="77777777" w:rsidR="001D5459" w:rsidRPr="008324F3" w:rsidRDefault="001D5459" w:rsidP="001D5459">
      <w:pPr>
        <w:spacing w:line="360" w:lineRule="auto"/>
        <w:jc w:val="both"/>
        <w:rPr>
          <w:rFonts w:ascii="Times New Roman" w:hAnsi="Times New Roman" w:cs="Times New Roman"/>
          <w:sz w:val="24"/>
          <w:szCs w:val="24"/>
        </w:rPr>
      </w:pPr>
      <w:r w:rsidRPr="008324F3">
        <w:rPr>
          <w:rFonts w:ascii="Times New Roman" w:hAnsi="Times New Roman" w:cs="Times New Roman"/>
          <w:sz w:val="24"/>
          <w:szCs w:val="24"/>
        </w:rPr>
        <w:t>To be sure, Dzehtsiarou accepts that consensus is a ‘rebuttable presumption’; or that its nature/ application is ‘non-absolute and non-automatic’.</w:t>
      </w:r>
      <w:r w:rsidRPr="008324F3">
        <w:rPr>
          <w:rFonts w:ascii="Times New Roman" w:hAnsi="Times New Roman" w:cs="Times New Roman"/>
          <w:sz w:val="24"/>
          <w:szCs w:val="24"/>
          <w:vertAlign w:val="superscript"/>
        </w:rPr>
        <w:footnoteReference w:id="24"/>
      </w:r>
    </w:p>
    <w:p w14:paraId="2F678105" w14:textId="77777777" w:rsidR="001D5459" w:rsidRPr="001D5459" w:rsidRDefault="001D5459" w:rsidP="001D5459">
      <w:pPr>
        <w:spacing w:line="360" w:lineRule="auto"/>
        <w:jc w:val="both"/>
        <w:rPr>
          <w:rFonts w:ascii="Times New Roman" w:hAnsi="Times New Roman" w:cs="Times New Roman"/>
          <w:sz w:val="24"/>
          <w:szCs w:val="24"/>
        </w:rPr>
      </w:pPr>
      <w:r w:rsidRPr="001D5459">
        <w:rPr>
          <w:rFonts w:ascii="Times New Roman" w:hAnsi="Times New Roman" w:cs="Times New Roman"/>
          <w:sz w:val="24"/>
          <w:szCs w:val="24"/>
        </w:rPr>
        <w:t>In a concurring opinion Judge Rozakis argued:</w:t>
      </w:r>
    </w:p>
    <w:p w14:paraId="30CD564A" w14:textId="77777777" w:rsidR="001D5459" w:rsidRPr="008324F3" w:rsidRDefault="001D5459" w:rsidP="001D5459">
      <w:pPr>
        <w:spacing w:line="360" w:lineRule="auto"/>
        <w:ind w:left="284" w:right="284"/>
        <w:jc w:val="both"/>
        <w:rPr>
          <w:rFonts w:ascii="Times New Roman" w:hAnsi="Times New Roman" w:cs="Times New Roman"/>
          <w:sz w:val="24"/>
          <w:szCs w:val="24"/>
        </w:rPr>
      </w:pPr>
      <w:r w:rsidRPr="001D5459">
        <w:rPr>
          <w:rFonts w:ascii="Times New Roman" w:hAnsi="Times New Roman" w:cs="Times New Roman"/>
          <w:sz w:val="24"/>
          <w:szCs w:val="24"/>
        </w:rPr>
        <w:t xml:space="preserve">‘[I]t is my opinion that the mere absence of a wide consensus among European States concerning the taking of photographs of charged or convicted persons in connection with court proceedings does not suffice to justify the application of the margin of appreciation. This ground is only a </w:t>
      </w:r>
      <w:r w:rsidRPr="001D5459">
        <w:rPr>
          <w:rFonts w:ascii="Times New Roman" w:hAnsi="Times New Roman" w:cs="Times New Roman"/>
          <w:i/>
          <w:sz w:val="24"/>
          <w:szCs w:val="24"/>
        </w:rPr>
        <w:t>subordinate</w:t>
      </w:r>
      <w:r w:rsidRPr="001D5459">
        <w:rPr>
          <w:rFonts w:ascii="Times New Roman" w:hAnsi="Times New Roman" w:cs="Times New Roman"/>
          <w:sz w:val="24"/>
          <w:szCs w:val="24"/>
        </w:rPr>
        <w:t xml:space="preserve"> basis for the application of the concept, if and when the Court first finds that the national authorities are better placed than the Strasbourg Court to deal effectively with the matter. If the Court so finds, the next step would be to ascertain whether </w:t>
      </w:r>
      <w:r w:rsidRPr="001D5459">
        <w:rPr>
          <w:rFonts w:ascii="Times New Roman" w:hAnsi="Times New Roman" w:cs="Times New Roman"/>
          <w:sz w:val="24"/>
          <w:szCs w:val="24"/>
        </w:rPr>
        <w:lastRenderedPageBreak/>
        <w:t xml:space="preserve">the presence or absence of a common approach of </w:t>
      </w:r>
      <w:r w:rsidRPr="008324F3">
        <w:rPr>
          <w:rFonts w:ascii="Times New Roman" w:hAnsi="Times New Roman" w:cs="Times New Roman"/>
          <w:sz w:val="24"/>
          <w:szCs w:val="24"/>
        </w:rPr>
        <w:t xml:space="preserve">European States to a matter </w:t>
      </w:r>
      <w:r w:rsidRPr="008324F3">
        <w:rPr>
          <w:rFonts w:ascii="Times New Roman" w:hAnsi="Times New Roman" w:cs="Times New Roman"/>
          <w:i/>
          <w:sz w:val="24"/>
          <w:szCs w:val="24"/>
        </w:rPr>
        <w:t>sub judice</w:t>
      </w:r>
      <w:r w:rsidRPr="008324F3">
        <w:rPr>
          <w:rFonts w:ascii="Times New Roman" w:hAnsi="Times New Roman" w:cs="Times New Roman"/>
          <w:sz w:val="24"/>
          <w:szCs w:val="24"/>
        </w:rPr>
        <w:t xml:space="preserve"> does or does not allow the application of the concept.’</w:t>
      </w:r>
      <w:r w:rsidRPr="008324F3">
        <w:rPr>
          <w:rFonts w:ascii="Times New Roman" w:hAnsi="Times New Roman" w:cs="Times New Roman"/>
          <w:sz w:val="24"/>
          <w:szCs w:val="24"/>
          <w:vertAlign w:val="superscript"/>
        </w:rPr>
        <w:footnoteReference w:id="25"/>
      </w:r>
    </w:p>
    <w:p w14:paraId="50741492" w14:textId="77777777" w:rsidR="001D5459" w:rsidRPr="008324F3" w:rsidRDefault="001D5459" w:rsidP="001D5459">
      <w:pPr>
        <w:spacing w:line="360" w:lineRule="auto"/>
        <w:jc w:val="both"/>
        <w:rPr>
          <w:rFonts w:ascii="Times New Roman" w:hAnsi="Times New Roman" w:cs="Times New Roman"/>
          <w:sz w:val="24"/>
          <w:szCs w:val="24"/>
        </w:rPr>
      </w:pPr>
      <w:r w:rsidRPr="008324F3">
        <w:rPr>
          <w:rFonts w:ascii="Times New Roman" w:hAnsi="Times New Roman" w:cs="Times New Roman"/>
          <w:sz w:val="24"/>
          <w:szCs w:val="24"/>
        </w:rPr>
        <w:t xml:space="preserve">Writing extra-judicially, he </w:t>
      </w:r>
      <w:r w:rsidR="00A92AB1" w:rsidRPr="008324F3">
        <w:rPr>
          <w:rFonts w:ascii="Times New Roman" w:hAnsi="Times New Roman" w:cs="Times New Roman"/>
          <w:sz w:val="24"/>
          <w:szCs w:val="24"/>
        </w:rPr>
        <w:t>claimed elsewhere</w:t>
      </w:r>
      <w:r w:rsidRPr="008324F3">
        <w:rPr>
          <w:rFonts w:ascii="Times New Roman" w:hAnsi="Times New Roman" w:cs="Times New Roman"/>
          <w:sz w:val="24"/>
          <w:szCs w:val="24"/>
        </w:rPr>
        <w:t xml:space="preserve"> that ‘the time has come where this Court should disentangle the “consensus” factor from the application of the margin of appreciation’.</w:t>
      </w:r>
      <w:r w:rsidRPr="008324F3">
        <w:rPr>
          <w:rFonts w:ascii="Times New Roman" w:hAnsi="Times New Roman" w:cs="Times New Roman"/>
          <w:sz w:val="24"/>
          <w:szCs w:val="24"/>
          <w:vertAlign w:val="superscript"/>
        </w:rPr>
        <w:footnoteReference w:id="26"/>
      </w:r>
      <w:r w:rsidRPr="008324F3">
        <w:rPr>
          <w:rFonts w:ascii="Times New Roman" w:hAnsi="Times New Roman" w:cs="Times New Roman"/>
          <w:sz w:val="24"/>
          <w:szCs w:val="24"/>
        </w:rPr>
        <w:t xml:space="preserve"> Explaining this position, he observed that ‘even in situations where there is no consensus, the Court is free to undertake its own assessment of the facts and produce its own reasoning – not necessarily leading to a violation – which, after all, may be of assistance to European states’ whenever they may have to adjudicate on a similar situation.</w:t>
      </w:r>
      <w:r w:rsidRPr="008324F3">
        <w:rPr>
          <w:rFonts w:ascii="Times New Roman" w:hAnsi="Times New Roman" w:cs="Times New Roman"/>
          <w:sz w:val="24"/>
          <w:szCs w:val="24"/>
          <w:vertAlign w:val="superscript"/>
        </w:rPr>
        <w:footnoteReference w:id="27"/>
      </w:r>
      <w:r w:rsidRPr="008324F3">
        <w:rPr>
          <w:rFonts w:ascii="Times New Roman" w:hAnsi="Times New Roman" w:cs="Times New Roman"/>
          <w:sz w:val="24"/>
          <w:szCs w:val="24"/>
        </w:rPr>
        <w:t xml:space="preserve"> For Wildhaber and colleagues, ‘consensus informs the content of the treaty obligations contained in the ECHR’.</w:t>
      </w:r>
      <w:r w:rsidRPr="008324F3">
        <w:rPr>
          <w:rFonts w:ascii="Times New Roman" w:hAnsi="Times New Roman" w:cs="Times New Roman"/>
          <w:sz w:val="24"/>
          <w:szCs w:val="24"/>
          <w:vertAlign w:val="superscript"/>
        </w:rPr>
        <w:footnoteReference w:id="28"/>
      </w:r>
      <w:r w:rsidRPr="008324F3">
        <w:rPr>
          <w:rFonts w:ascii="Times New Roman" w:hAnsi="Times New Roman" w:cs="Times New Roman"/>
          <w:sz w:val="24"/>
          <w:szCs w:val="24"/>
        </w:rPr>
        <w:t xml:space="preserve"> Thus, consensus ‘is a factor or element in defining the margin of appreciation, in proportionality balancing and generally in interpreting the ECHR, of indicative, persuasive, in some cases probably decisive value’.</w:t>
      </w:r>
      <w:r w:rsidRPr="008324F3">
        <w:rPr>
          <w:rFonts w:ascii="Times New Roman" w:hAnsi="Times New Roman" w:cs="Times New Roman"/>
          <w:sz w:val="24"/>
          <w:szCs w:val="24"/>
          <w:vertAlign w:val="superscript"/>
        </w:rPr>
        <w:footnoteReference w:id="29"/>
      </w:r>
    </w:p>
    <w:p w14:paraId="10460E04" w14:textId="77777777" w:rsidR="001D5459" w:rsidRPr="001D5459" w:rsidRDefault="001D5459" w:rsidP="001D5459">
      <w:pPr>
        <w:spacing w:line="360" w:lineRule="auto"/>
        <w:jc w:val="both"/>
        <w:rPr>
          <w:rFonts w:ascii="Times New Roman" w:hAnsi="Times New Roman" w:cs="Times New Roman"/>
          <w:sz w:val="24"/>
          <w:szCs w:val="24"/>
        </w:rPr>
      </w:pPr>
      <w:r w:rsidRPr="008324F3">
        <w:rPr>
          <w:rFonts w:ascii="Times New Roman" w:hAnsi="Times New Roman" w:cs="Times New Roman"/>
          <w:sz w:val="24"/>
          <w:szCs w:val="24"/>
          <w:lang w:val="en-GB"/>
        </w:rPr>
        <w:t xml:space="preserve">How the Court itself has attempted to delineate in its case-law the relationship between consensus analysis and the margin of appreciation will be critically examined </w:t>
      </w:r>
      <w:r w:rsidR="007B7AD7">
        <w:rPr>
          <w:rFonts w:ascii="Times New Roman" w:hAnsi="Times New Roman" w:cs="Times New Roman"/>
          <w:sz w:val="24"/>
          <w:szCs w:val="24"/>
          <w:lang w:val="en-GB"/>
        </w:rPr>
        <w:t>in the last section of the paper</w:t>
      </w:r>
      <w:r w:rsidRPr="008324F3">
        <w:rPr>
          <w:rFonts w:ascii="Times New Roman" w:hAnsi="Times New Roman" w:cs="Times New Roman"/>
          <w:sz w:val="24"/>
          <w:szCs w:val="24"/>
          <w:lang w:val="en-GB"/>
        </w:rPr>
        <w:t xml:space="preserve">. </w:t>
      </w:r>
      <w:r w:rsidRPr="008324F3">
        <w:rPr>
          <w:rFonts w:ascii="Times New Roman" w:hAnsi="Times New Roman" w:cs="Times New Roman"/>
          <w:sz w:val="24"/>
          <w:szCs w:val="24"/>
        </w:rPr>
        <w:t xml:space="preserve">In order to take this path of enquiry further, though, it is possible to think of a number of scenarios with regard to the link between the two doctrines. First, the Court identifies European consensus (existing or growing/emerging) in a direction different from that of the domestic legislation or practice in question, and then narrows the margin of appreciation of the state; this </w:t>
      </w:r>
      <w:r w:rsidRPr="008324F3">
        <w:rPr>
          <w:rFonts w:ascii="Times New Roman" w:hAnsi="Times New Roman" w:cs="Times New Roman"/>
          <w:sz w:val="24"/>
          <w:szCs w:val="24"/>
        </w:rPr>
        <w:lastRenderedPageBreak/>
        <w:t>is a fairly common application of European consensus.</w:t>
      </w:r>
      <w:r w:rsidRPr="008324F3">
        <w:rPr>
          <w:rFonts w:ascii="Times New Roman" w:hAnsi="Times New Roman" w:cs="Times New Roman"/>
          <w:sz w:val="24"/>
          <w:szCs w:val="24"/>
          <w:vertAlign w:val="superscript"/>
        </w:rPr>
        <w:footnoteReference w:id="30"/>
      </w:r>
      <w:r w:rsidRPr="008324F3">
        <w:rPr>
          <w:rFonts w:ascii="Times New Roman" w:hAnsi="Times New Roman" w:cs="Times New Roman"/>
          <w:sz w:val="24"/>
          <w:szCs w:val="24"/>
        </w:rPr>
        <w:t xml:space="preserve"> Second, </w:t>
      </w:r>
      <w:r w:rsidR="00C16572" w:rsidRPr="00C16572">
        <w:rPr>
          <w:rFonts w:ascii="Times New Roman" w:hAnsi="Times New Roman" w:cs="Times New Roman"/>
          <w:sz w:val="24"/>
          <w:szCs w:val="24"/>
        </w:rPr>
        <w:t>conversely</w:t>
      </w:r>
      <w:r w:rsidRPr="008324F3">
        <w:rPr>
          <w:rFonts w:ascii="Times New Roman" w:hAnsi="Times New Roman" w:cs="Times New Roman"/>
          <w:sz w:val="24"/>
          <w:szCs w:val="24"/>
        </w:rPr>
        <w:t>, the Court finds lack of European consensus and grants the respondent the margin of appreciation.</w:t>
      </w:r>
      <w:r w:rsidRPr="008324F3">
        <w:rPr>
          <w:rFonts w:ascii="Times New Roman" w:hAnsi="Times New Roman" w:cs="Times New Roman"/>
          <w:sz w:val="24"/>
          <w:szCs w:val="24"/>
          <w:vertAlign w:val="superscript"/>
        </w:rPr>
        <w:footnoteReference w:id="31"/>
      </w:r>
      <w:r w:rsidRPr="008324F3">
        <w:rPr>
          <w:rFonts w:ascii="Times New Roman" w:hAnsi="Times New Roman" w:cs="Times New Roman"/>
          <w:sz w:val="24"/>
          <w:szCs w:val="24"/>
        </w:rPr>
        <w:t xml:space="preserve"> Both scenarios effectively align with the widely shared practice of respondent states or applicants to argue that the identification or not of European consensus should determine the</w:t>
      </w:r>
      <w:r w:rsidRPr="001D5459">
        <w:rPr>
          <w:rFonts w:ascii="Times New Roman" w:hAnsi="Times New Roman" w:cs="Times New Roman"/>
          <w:sz w:val="24"/>
          <w:szCs w:val="24"/>
        </w:rPr>
        <w:t xml:space="preserve"> Court’s decision on the margin of appreciation. Third, there have been instances where the Court, despite identifying the existence of (almost) pan-European agreement on a particular issue, </w:t>
      </w:r>
      <w:r w:rsidRPr="001D5459">
        <w:rPr>
          <w:rFonts w:ascii="Times New Roman" w:hAnsi="Times New Roman" w:cs="Times New Roman"/>
          <w:i/>
          <w:sz w:val="24"/>
          <w:szCs w:val="24"/>
        </w:rPr>
        <w:t>contrary to the practice and/or legislation of the respondent</w:t>
      </w:r>
      <w:r w:rsidRPr="001D5459">
        <w:rPr>
          <w:rFonts w:ascii="Times New Roman" w:hAnsi="Times New Roman" w:cs="Times New Roman"/>
          <w:sz w:val="24"/>
          <w:szCs w:val="24"/>
        </w:rPr>
        <w:t>, it decided, nonetheless, to grant the respondent the margin of appreciation. This leads to the fourth (and inverse) scenario, namely cases where, despite the lack of European consensus, the ECtHR did not grant the respondent the margin of appreciation. The focus of the arti</w:t>
      </w:r>
      <w:r w:rsidR="00721367">
        <w:rPr>
          <w:rFonts w:ascii="Times New Roman" w:hAnsi="Times New Roman" w:cs="Times New Roman"/>
          <w:sz w:val="24"/>
          <w:szCs w:val="24"/>
        </w:rPr>
        <w:t>cle will now shift to the third and</w:t>
      </w:r>
      <w:r w:rsidRPr="001D5459">
        <w:rPr>
          <w:rFonts w:ascii="Times New Roman" w:hAnsi="Times New Roman" w:cs="Times New Roman"/>
          <w:sz w:val="24"/>
          <w:szCs w:val="24"/>
        </w:rPr>
        <w:t xml:space="preserve"> fourth categories, for they can provide us with further insights into the interplay between the two terms. In all of the cases discussed </w:t>
      </w:r>
      <w:r w:rsidR="00647BFA">
        <w:rPr>
          <w:rFonts w:ascii="Times New Roman" w:hAnsi="Times New Roman" w:cs="Times New Roman"/>
          <w:sz w:val="24"/>
          <w:szCs w:val="24"/>
        </w:rPr>
        <w:t>in the following two sections</w:t>
      </w:r>
      <w:r w:rsidRPr="001D5459">
        <w:rPr>
          <w:rFonts w:ascii="Times New Roman" w:hAnsi="Times New Roman" w:cs="Times New Roman"/>
          <w:sz w:val="24"/>
          <w:szCs w:val="24"/>
        </w:rPr>
        <w:t xml:space="preserve">, European consensus </w:t>
      </w:r>
      <w:r w:rsidRPr="00647BFA">
        <w:rPr>
          <w:rFonts w:ascii="Times New Roman" w:hAnsi="Times New Roman" w:cs="Times New Roman"/>
          <w:i/>
          <w:sz w:val="24"/>
          <w:szCs w:val="24"/>
        </w:rPr>
        <w:t>was</w:t>
      </w:r>
      <w:r w:rsidRPr="001D5459">
        <w:rPr>
          <w:rFonts w:ascii="Times New Roman" w:hAnsi="Times New Roman" w:cs="Times New Roman"/>
          <w:sz w:val="24"/>
          <w:szCs w:val="24"/>
        </w:rPr>
        <w:t xml:space="preserve"> </w:t>
      </w:r>
      <w:r w:rsidRPr="001D5459">
        <w:rPr>
          <w:rFonts w:ascii="Times New Roman" w:hAnsi="Times New Roman" w:cs="Times New Roman"/>
          <w:i/>
          <w:sz w:val="24"/>
          <w:szCs w:val="24"/>
        </w:rPr>
        <w:t>not</w:t>
      </w:r>
      <w:r w:rsidRPr="001D5459">
        <w:rPr>
          <w:rFonts w:ascii="Times New Roman" w:hAnsi="Times New Roman" w:cs="Times New Roman"/>
          <w:sz w:val="24"/>
          <w:szCs w:val="24"/>
        </w:rPr>
        <w:t xml:space="preserve"> the catalyst in determining the Court’s position on the margin of appreciation. </w:t>
      </w:r>
    </w:p>
    <w:p w14:paraId="6A947549" w14:textId="77777777" w:rsidR="001D5459" w:rsidRPr="001D5459" w:rsidRDefault="001D5459" w:rsidP="001D5459">
      <w:pPr>
        <w:spacing w:line="360" w:lineRule="auto"/>
        <w:jc w:val="both"/>
        <w:rPr>
          <w:rFonts w:ascii="Times New Roman" w:hAnsi="Times New Roman" w:cs="Times New Roman"/>
          <w:b/>
          <w:sz w:val="24"/>
          <w:szCs w:val="24"/>
        </w:rPr>
      </w:pPr>
      <w:r w:rsidRPr="001D5459">
        <w:rPr>
          <w:rFonts w:ascii="Times New Roman" w:hAnsi="Times New Roman" w:cs="Times New Roman"/>
          <w:b/>
          <w:sz w:val="24"/>
          <w:szCs w:val="24"/>
        </w:rPr>
        <w:t xml:space="preserve">Cases where the Strasbourg Court </w:t>
      </w:r>
      <w:r w:rsidRPr="001D5459">
        <w:rPr>
          <w:rFonts w:ascii="Times New Roman" w:hAnsi="Times New Roman" w:cs="Times New Roman"/>
          <w:b/>
          <w:i/>
          <w:sz w:val="24"/>
          <w:szCs w:val="24"/>
        </w:rPr>
        <w:t>was</w:t>
      </w:r>
      <w:r w:rsidRPr="001D5459">
        <w:rPr>
          <w:rFonts w:ascii="Times New Roman" w:hAnsi="Times New Roman" w:cs="Times New Roman"/>
          <w:b/>
          <w:sz w:val="24"/>
          <w:szCs w:val="24"/>
        </w:rPr>
        <w:t xml:space="preserve"> deferential despite the </w:t>
      </w:r>
      <w:r w:rsidRPr="001D5459">
        <w:rPr>
          <w:rFonts w:ascii="Times New Roman" w:hAnsi="Times New Roman" w:cs="Times New Roman"/>
          <w:b/>
          <w:i/>
          <w:sz w:val="24"/>
          <w:szCs w:val="24"/>
        </w:rPr>
        <w:t>presence</w:t>
      </w:r>
      <w:r w:rsidRPr="001D5459">
        <w:rPr>
          <w:rFonts w:ascii="Times New Roman" w:hAnsi="Times New Roman" w:cs="Times New Roman"/>
          <w:b/>
          <w:sz w:val="24"/>
          <w:szCs w:val="24"/>
        </w:rPr>
        <w:t xml:space="preserve"> of European consensus</w:t>
      </w:r>
    </w:p>
    <w:p w14:paraId="5C645672" w14:textId="4C78DA87" w:rsidR="001D5459" w:rsidRPr="00B1020A" w:rsidRDefault="001D5459" w:rsidP="001D5459">
      <w:pPr>
        <w:spacing w:line="360" w:lineRule="auto"/>
        <w:jc w:val="both"/>
        <w:rPr>
          <w:rFonts w:ascii="Times New Roman" w:hAnsi="Times New Roman" w:cs="Times New Roman"/>
          <w:sz w:val="24"/>
          <w:szCs w:val="24"/>
        </w:rPr>
      </w:pPr>
      <w:r w:rsidRPr="00B1020A">
        <w:rPr>
          <w:rFonts w:ascii="Times New Roman" w:hAnsi="Times New Roman" w:cs="Times New Roman"/>
          <w:sz w:val="24"/>
          <w:szCs w:val="24"/>
        </w:rPr>
        <w:t xml:space="preserve">In the </w:t>
      </w:r>
      <w:r w:rsidR="00AB01D6">
        <w:rPr>
          <w:rFonts w:ascii="Times New Roman" w:hAnsi="Times New Roman" w:cs="Times New Roman"/>
          <w:sz w:val="24"/>
          <w:szCs w:val="24"/>
        </w:rPr>
        <w:t>Chamber</w:t>
      </w:r>
      <w:r w:rsidRPr="00B1020A">
        <w:rPr>
          <w:rFonts w:ascii="Times New Roman" w:hAnsi="Times New Roman" w:cs="Times New Roman"/>
          <w:sz w:val="24"/>
          <w:szCs w:val="24"/>
        </w:rPr>
        <w:t xml:space="preserve"> </w:t>
      </w:r>
      <w:r w:rsidRPr="00B1020A">
        <w:rPr>
          <w:rFonts w:ascii="Times New Roman" w:hAnsi="Times New Roman" w:cs="Times New Roman"/>
          <w:i/>
          <w:sz w:val="24"/>
          <w:szCs w:val="24"/>
        </w:rPr>
        <w:t>Sitaropoulos</w:t>
      </w:r>
      <w:r w:rsidR="00B1020A" w:rsidRPr="00B1020A">
        <w:rPr>
          <w:rFonts w:ascii="Times New Roman" w:hAnsi="Times New Roman" w:cs="Times New Roman"/>
          <w:sz w:val="24"/>
          <w:szCs w:val="24"/>
        </w:rPr>
        <w:t xml:space="preserve"> judgment,</w:t>
      </w:r>
      <w:r w:rsidRPr="00B1020A">
        <w:rPr>
          <w:rFonts w:ascii="Times New Roman" w:hAnsi="Times New Roman" w:cs="Times New Roman"/>
          <w:sz w:val="24"/>
          <w:szCs w:val="24"/>
        </w:rPr>
        <w:t xml:space="preserve"> the Court dealt with the question as to whether Greece did not meet its obligations under Article 3 of Protocol 1 </w:t>
      </w:r>
      <w:r w:rsidR="00B1020A" w:rsidRPr="00B1020A">
        <w:rPr>
          <w:rFonts w:ascii="Times New Roman" w:hAnsi="Times New Roman" w:cs="Times New Roman"/>
          <w:sz w:val="24"/>
          <w:szCs w:val="24"/>
        </w:rPr>
        <w:t>when</w:t>
      </w:r>
      <w:r w:rsidRPr="00B1020A">
        <w:rPr>
          <w:rFonts w:ascii="Times New Roman" w:hAnsi="Times New Roman" w:cs="Times New Roman"/>
          <w:sz w:val="24"/>
          <w:szCs w:val="24"/>
        </w:rPr>
        <w:t xml:space="preserve"> failing to implement legislation with a view to securing expatriates’ right to vote.</w:t>
      </w:r>
      <w:r w:rsidRPr="00B1020A">
        <w:rPr>
          <w:rFonts w:ascii="Times New Roman" w:hAnsi="Times New Roman" w:cs="Times New Roman"/>
          <w:sz w:val="24"/>
          <w:szCs w:val="24"/>
          <w:vertAlign w:val="superscript"/>
        </w:rPr>
        <w:footnoteReference w:id="32"/>
      </w:r>
      <w:r w:rsidRPr="00B1020A">
        <w:rPr>
          <w:rFonts w:ascii="Times New Roman" w:hAnsi="Times New Roman" w:cs="Times New Roman"/>
          <w:sz w:val="24"/>
          <w:szCs w:val="24"/>
        </w:rPr>
        <w:t xml:space="preserve"> The </w:t>
      </w:r>
      <w:r w:rsidR="00B1020A" w:rsidRPr="00B1020A">
        <w:rPr>
          <w:rFonts w:ascii="Times New Roman" w:hAnsi="Times New Roman" w:cs="Times New Roman"/>
          <w:sz w:val="24"/>
          <w:szCs w:val="24"/>
        </w:rPr>
        <w:t>Court</w:t>
      </w:r>
      <w:r w:rsidRPr="00B1020A">
        <w:rPr>
          <w:rFonts w:ascii="Times New Roman" w:hAnsi="Times New Roman" w:cs="Times New Roman"/>
          <w:sz w:val="24"/>
          <w:szCs w:val="24"/>
        </w:rPr>
        <w:t xml:space="preserve"> relied considerably on the fact </w:t>
      </w:r>
      <w:r w:rsidRPr="00B1020A">
        <w:rPr>
          <w:rFonts w:ascii="Times New Roman" w:hAnsi="Times New Roman" w:cs="Times New Roman"/>
          <w:sz w:val="24"/>
          <w:szCs w:val="24"/>
        </w:rPr>
        <w:lastRenderedPageBreak/>
        <w:t>that Greece ‘clearly [fell] short of the common denominator among Contracting States as regards the effective exercise of voting rights by expatriates’; moreover, the Convention should guarantee rights that are practical and effective.</w:t>
      </w:r>
      <w:r w:rsidRPr="00B1020A">
        <w:rPr>
          <w:rFonts w:ascii="Times New Roman" w:hAnsi="Times New Roman" w:cs="Times New Roman"/>
          <w:sz w:val="24"/>
          <w:szCs w:val="24"/>
          <w:vertAlign w:val="superscript"/>
        </w:rPr>
        <w:footnoteReference w:id="33"/>
      </w:r>
      <w:r w:rsidRPr="00B1020A">
        <w:rPr>
          <w:rFonts w:ascii="Times New Roman" w:hAnsi="Times New Roman" w:cs="Times New Roman"/>
          <w:sz w:val="24"/>
          <w:szCs w:val="24"/>
        </w:rPr>
        <w:t xml:space="preserve"> Thus, Greece could not rely on the otherwise wide margin of appreciation that the Strasbourg Court generally tends to grant states under Article 3 of Protocol 1. Despite the above, the Grand Chamber, while acknowledging that the ‘great majority’ of states had implemented legislation enabling citizens to vote from abroad, it nonetheless found that their arrangements and criteria for this right differed.</w:t>
      </w:r>
      <w:r w:rsidRPr="00B1020A">
        <w:rPr>
          <w:rFonts w:ascii="Times New Roman" w:hAnsi="Times New Roman" w:cs="Times New Roman"/>
          <w:sz w:val="24"/>
          <w:szCs w:val="24"/>
          <w:vertAlign w:val="superscript"/>
        </w:rPr>
        <w:footnoteReference w:id="34"/>
      </w:r>
      <w:r w:rsidRPr="00B1020A">
        <w:rPr>
          <w:rFonts w:ascii="Times New Roman" w:hAnsi="Times New Roman" w:cs="Times New Roman"/>
          <w:sz w:val="24"/>
          <w:szCs w:val="24"/>
        </w:rPr>
        <w:t xml:space="preserve"> The </w:t>
      </w:r>
      <w:r w:rsidR="00B1020A">
        <w:rPr>
          <w:rFonts w:ascii="Times New Roman" w:hAnsi="Times New Roman" w:cs="Times New Roman"/>
          <w:sz w:val="24"/>
          <w:szCs w:val="24"/>
        </w:rPr>
        <w:t>Grand Chamber</w:t>
      </w:r>
      <w:r w:rsidRPr="00B1020A">
        <w:rPr>
          <w:rFonts w:ascii="Times New Roman" w:hAnsi="Times New Roman" w:cs="Times New Roman"/>
          <w:sz w:val="24"/>
          <w:szCs w:val="24"/>
        </w:rPr>
        <w:t xml:space="preserve"> also took into account </w:t>
      </w:r>
      <w:r w:rsidR="00B1020A">
        <w:rPr>
          <w:rFonts w:ascii="Times New Roman" w:hAnsi="Times New Roman" w:cs="Times New Roman"/>
          <w:sz w:val="24"/>
          <w:szCs w:val="24"/>
        </w:rPr>
        <w:t xml:space="preserve">the fact </w:t>
      </w:r>
      <w:r w:rsidRPr="00B1020A">
        <w:rPr>
          <w:rFonts w:ascii="Times New Roman" w:hAnsi="Times New Roman" w:cs="Times New Roman"/>
          <w:sz w:val="24"/>
          <w:szCs w:val="24"/>
        </w:rPr>
        <w:t xml:space="preserve">that several international human rights treaties (and their interpretation by international tribunals) did not provide for such right, and furthermore observed that instruments adopted by the Parliamentary Assembly and the Venice Commission simply invited, </w:t>
      </w:r>
      <w:r w:rsidR="00B1020A">
        <w:rPr>
          <w:rFonts w:ascii="Times New Roman" w:hAnsi="Times New Roman" w:cs="Times New Roman"/>
          <w:sz w:val="24"/>
          <w:szCs w:val="24"/>
        </w:rPr>
        <w:t>without obliging</w:t>
      </w:r>
      <w:r w:rsidRPr="00B1020A">
        <w:rPr>
          <w:rFonts w:ascii="Times New Roman" w:hAnsi="Times New Roman" w:cs="Times New Roman"/>
          <w:sz w:val="24"/>
          <w:szCs w:val="24"/>
        </w:rPr>
        <w:t>, states to consider extending the right to vote for expatriates.</w:t>
      </w:r>
      <w:r w:rsidRPr="00B1020A">
        <w:rPr>
          <w:rFonts w:ascii="Times New Roman" w:hAnsi="Times New Roman" w:cs="Times New Roman"/>
          <w:sz w:val="24"/>
          <w:szCs w:val="24"/>
          <w:vertAlign w:val="superscript"/>
        </w:rPr>
        <w:footnoteReference w:id="35"/>
      </w:r>
      <w:r w:rsidRPr="00B1020A">
        <w:rPr>
          <w:rFonts w:ascii="Times New Roman" w:hAnsi="Times New Roman" w:cs="Times New Roman"/>
          <w:sz w:val="24"/>
          <w:szCs w:val="24"/>
        </w:rPr>
        <w:t xml:space="preserve"> Thus, the Grand Chamber held that ‘none of the legal instruments examined above forms a basis for concluding that, as the law currently stands, States are under an obligation to enable citizens living abroad to exercise the right to vote’.</w:t>
      </w:r>
      <w:r w:rsidRPr="00B1020A">
        <w:rPr>
          <w:rFonts w:ascii="Times New Roman" w:hAnsi="Times New Roman" w:cs="Times New Roman"/>
          <w:sz w:val="24"/>
          <w:szCs w:val="24"/>
          <w:vertAlign w:val="superscript"/>
        </w:rPr>
        <w:footnoteReference w:id="36"/>
      </w:r>
      <w:r w:rsidRPr="00B1020A">
        <w:rPr>
          <w:rFonts w:ascii="Times New Roman" w:hAnsi="Times New Roman" w:cs="Times New Roman"/>
          <w:sz w:val="24"/>
          <w:szCs w:val="24"/>
        </w:rPr>
        <w:t xml:space="preserve"> The Grand Chamber appeared to conflate the question as to whether, in principle, nationals living abroad have the right to vote (on which it did underline the emergence of European consensus) with the question as to </w:t>
      </w:r>
      <w:r w:rsidRPr="00B1020A">
        <w:rPr>
          <w:rFonts w:ascii="Times New Roman" w:hAnsi="Times New Roman" w:cs="Times New Roman"/>
          <w:i/>
          <w:sz w:val="24"/>
          <w:szCs w:val="24"/>
        </w:rPr>
        <w:t>how</w:t>
      </w:r>
      <w:r w:rsidRPr="00B1020A">
        <w:rPr>
          <w:rFonts w:ascii="Times New Roman" w:hAnsi="Times New Roman" w:cs="Times New Roman"/>
          <w:sz w:val="24"/>
          <w:szCs w:val="24"/>
        </w:rPr>
        <w:t xml:space="preserve"> such right should be guaranteed, on which it identified ‘a wide variety of approaches’</w:t>
      </w:r>
      <w:r w:rsidRPr="00B1020A">
        <w:rPr>
          <w:rFonts w:ascii="Times New Roman" w:hAnsi="Times New Roman" w:cs="Times New Roman"/>
          <w:sz w:val="24"/>
          <w:szCs w:val="24"/>
          <w:vertAlign w:val="superscript"/>
        </w:rPr>
        <w:footnoteReference w:id="37"/>
      </w:r>
      <w:r w:rsidRPr="00B1020A">
        <w:rPr>
          <w:rFonts w:ascii="Times New Roman" w:hAnsi="Times New Roman" w:cs="Times New Roman"/>
          <w:sz w:val="24"/>
          <w:szCs w:val="24"/>
        </w:rPr>
        <w:t xml:space="preserve"> (and therefore absence of consensus).</w:t>
      </w:r>
    </w:p>
    <w:p w14:paraId="105546F5" w14:textId="73703AC8" w:rsidR="001D5459" w:rsidRPr="00B1020A" w:rsidRDefault="001D5459" w:rsidP="001D5459">
      <w:pPr>
        <w:spacing w:line="360" w:lineRule="auto"/>
        <w:jc w:val="both"/>
        <w:rPr>
          <w:rFonts w:ascii="Times New Roman" w:hAnsi="Times New Roman" w:cs="Times New Roman"/>
          <w:sz w:val="24"/>
          <w:szCs w:val="24"/>
        </w:rPr>
      </w:pPr>
      <w:r w:rsidRPr="00B1020A">
        <w:rPr>
          <w:rFonts w:ascii="Times New Roman" w:hAnsi="Times New Roman" w:cs="Times New Roman"/>
          <w:sz w:val="24"/>
          <w:szCs w:val="24"/>
        </w:rPr>
        <w:lastRenderedPageBreak/>
        <w:t xml:space="preserve">Turning to Article 8 ECHR, in </w:t>
      </w:r>
      <w:r w:rsidRPr="00B1020A">
        <w:rPr>
          <w:rFonts w:ascii="Times New Roman" w:hAnsi="Times New Roman" w:cs="Times New Roman"/>
          <w:i/>
          <w:sz w:val="24"/>
          <w:szCs w:val="24"/>
        </w:rPr>
        <w:t>A, B and C</w:t>
      </w:r>
      <w:r w:rsidRPr="00B1020A">
        <w:rPr>
          <w:rFonts w:ascii="Times New Roman" w:hAnsi="Times New Roman" w:cs="Times New Roman"/>
          <w:sz w:val="24"/>
          <w:szCs w:val="24"/>
        </w:rPr>
        <w:t xml:space="preserve"> v </w:t>
      </w:r>
      <w:r w:rsidRPr="00B1020A">
        <w:rPr>
          <w:rFonts w:ascii="Times New Roman" w:hAnsi="Times New Roman" w:cs="Times New Roman"/>
          <w:i/>
          <w:sz w:val="24"/>
          <w:szCs w:val="24"/>
        </w:rPr>
        <w:t>Ireland</w:t>
      </w:r>
      <w:r w:rsidRPr="00B1020A">
        <w:rPr>
          <w:rFonts w:ascii="Times New Roman" w:hAnsi="Times New Roman" w:cs="Times New Roman"/>
          <w:sz w:val="24"/>
          <w:szCs w:val="24"/>
        </w:rPr>
        <w:t xml:space="preserve"> the Court dealt with the pro</w:t>
      </w:r>
      <w:r w:rsidR="00D07AFF" w:rsidRPr="00B1020A">
        <w:rPr>
          <w:rFonts w:ascii="Times New Roman" w:hAnsi="Times New Roman" w:cs="Times New Roman"/>
          <w:sz w:val="24"/>
          <w:szCs w:val="24"/>
        </w:rPr>
        <w:t>hibition of abortion in Ireland</w:t>
      </w:r>
      <w:r w:rsidRPr="00B1020A">
        <w:rPr>
          <w:rFonts w:ascii="Times New Roman" w:hAnsi="Times New Roman" w:cs="Times New Roman"/>
          <w:sz w:val="24"/>
          <w:szCs w:val="24"/>
        </w:rPr>
        <w:t>.</w:t>
      </w:r>
      <w:r w:rsidRPr="00B1020A">
        <w:rPr>
          <w:rFonts w:ascii="Times New Roman" w:hAnsi="Times New Roman" w:cs="Times New Roman"/>
          <w:sz w:val="24"/>
          <w:szCs w:val="24"/>
          <w:vertAlign w:val="superscript"/>
        </w:rPr>
        <w:footnoteReference w:id="38"/>
      </w:r>
      <w:r w:rsidRPr="00B1020A">
        <w:rPr>
          <w:rFonts w:ascii="Times New Roman" w:hAnsi="Times New Roman" w:cs="Times New Roman"/>
          <w:sz w:val="24"/>
          <w:szCs w:val="24"/>
        </w:rPr>
        <w:t xml:space="preserve"> The three applicants had travelled to England for abortion for reasons related to their health and well-being </w:t>
      </w:r>
      <w:r w:rsidR="00DA4075" w:rsidRPr="00B1020A">
        <w:rPr>
          <w:rFonts w:ascii="Times New Roman" w:hAnsi="Times New Roman" w:cs="Times New Roman"/>
          <w:sz w:val="24"/>
          <w:szCs w:val="24"/>
        </w:rPr>
        <w:t xml:space="preserve">(the two first applicants) </w:t>
      </w:r>
      <w:r w:rsidRPr="00B1020A">
        <w:rPr>
          <w:rFonts w:ascii="Times New Roman" w:hAnsi="Times New Roman" w:cs="Times New Roman"/>
          <w:sz w:val="24"/>
          <w:szCs w:val="24"/>
        </w:rPr>
        <w:t>or fear that pregnancy was a risk to their lives</w:t>
      </w:r>
      <w:r w:rsidR="00DA4075" w:rsidRPr="00B1020A">
        <w:rPr>
          <w:rFonts w:ascii="Times New Roman" w:hAnsi="Times New Roman" w:cs="Times New Roman"/>
          <w:sz w:val="24"/>
          <w:szCs w:val="24"/>
        </w:rPr>
        <w:t xml:space="preserve"> (the third applicant)</w:t>
      </w:r>
      <w:r w:rsidRPr="00B1020A">
        <w:rPr>
          <w:rFonts w:ascii="Times New Roman" w:hAnsi="Times New Roman" w:cs="Times New Roman"/>
          <w:sz w:val="24"/>
          <w:szCs w:val="24"/>
        </w:rPr>
        <w:t>. They submitted that the restrictions on lawful abortion in Ireland constituted a violation of their right to private life. To substantiate their claim, they relied, among others, on the clear ‘European consensus’ pointing to the extension of the right to abortion in Ireland.</w:t>
      </w:r>
      <w:r w:rsidRPr="00B1020A">
        <w:rPr>
          <w:rFonts w:ascii="Times New Roman" w:hAnsi="Times New Roman" w:cs="Times New Roman"/>
          <w:sz w:val="24"/>
          <w:szCs w:val="24"/>
          <w:vertAlign w:val="superscript"/>
        </w:rPr>
        <w:footnoteReference w:id="39"/>
      </w:r>
      <w:r w:rsidRPr="00B1020A">
        <w:rPr>
          <w:rFonts w:ascii="Times New Roman" w:hAnsi="Times New Roman" w:cs="Times New Roman"/>
          <w:sz w:val="24"/>
          <w:szCs w:val="24"/>
        </w:rPr>
        <w:t xml:space="preserve"> The Court found that ‘contrary to the Government’s submission, … there [was] indeed a consensus amongst a substantial majority of the Contracting States … towards allowing abortion on broader grounds than accorded under Irish law’.</w:t>
      </w:r>
      <w:r w:rsidRPr="00B1020A">
        <w:rPr>
          <w:rFonts w:ascii="Times New Roman" w:hAnsi="Times New Roman" w:cs="Times New Roman"/>
          <w:sz w:val="24"/>
          <w:szCs w:val="24"/>
          <w:vertAlign w:val="superscript"/>
        </w:rPr>
        <w:footnoteReference w:id="40"/>
      </w:r>
      <w:r w:rsidR="00B1020A">
        <w:rPr>
          <w:rFonts w:ascii="Times New Roman" w:hAnsi="Times New Roman" w:cs="Times New Roman"/>
          <w:sz w:val="24"/>
          <w:szCs w:val="24"/>
        </w:rPr>
        <w:t xml:space="preserve"> Nonetheless, that was not sufficient </w:t>
      </w:r>
      <w:r w:rsidRPr="00B1020A">
        <w:rPr>
          <w:rFonts w:ascii="Times New Roman" w:hAnsi="Times New Roman" w:cs="Times New Roman"/>
          <w:sz w:val="24"/>
          <w:szCs w:val="24"/>
        </w:rPr>
        <w:t>for the Strasbourg Court in order for Ireland’s margin of appreciation to be restricted.</w:t>
      </w:r>
      <w:r w:rsidRPr="00B1020A">
        <w:rPr>
          <w:rFonts w:ascii="Times New Roman" w:hAnsi="Times New Roman" w:cs="Times New Roman"/>
          <w:sz w:val="24"/>
          <w:szCs w:val="24"/>
          <w:vertAlign w:val="superscript"/>
        </w:rPr>
        <w:footnoteReference w:id="41"/>
      </w:r>
      <w:r w:rsidRPr="00B1020A">
        <w:rPr>
          <w:rFonts w:ascii="Times New Roman" w:hAnsi="Times New Roman" w:cs="Times New Roman"/>
          <w:sz w:val="24"/>
          <w:szCs w:val="24"/>
        </w:rPr>
        <w:t xml:space="preserve"> In that case, the Court </w:t>
      </w:r>
      <w:r w:rsidR="00D87B58">
        <w:rPr>
          <w:rFonts w:ascii="Times New Roman" w:hAnsi="Times New Roman" w:cs="Times New Roman"/>
          <w:sz w:val="24"/>
          <w:szCs w:val="24"/>
        </w:rPr>
        <w:t>relied</w:t>
      </w:r>
      <w:r w:rsidRPr="00B1020A">
        <w:rPr>
          <w:rFonts w:ascii="Times New Roman" w:hAnsi="Times New Roman" w:cs="Times New Roman"/>
          <w:sz w:val="24"/>
          <w:szCs w:val="24"/>
        </w:rPr>
        <w:t xml:space="preserve"> on the fair balance between the protection of public interest (</w:t>
      </w:r>
      <w:r w:rsidR="00DA4075" w:rsidRPr="00B1020A">
        <w:rPr>
          <w:rFonts w:ascii="Times New Roman" w:hAnsi="Times New Roman" w:cs="Times New Roman"/>
          <w:sz w:val="24"/>
          <w:szCs w:val="24"/>
        </w:rPr>
        <w:t xml:space="preserve">framed as </w:t>
      </w:r>
      <w:r w:rsidRPr="00B1020A">
        <w:rPr>
          <w:rFonts w:ascii="Times New Roman" w:hAnsi="Times New Roman" w:cs="Times New Roman"/>
          <w:sz w:val="24"/>
          <w:szCs w:val="24"/>
        </w:rPr>
        <w:t xml:space="preserve">‘the acute sensitivity of the moral and ethical issues raised by the question of abortion’) and the need to respect </w:t>
      </w:r>
      <w:r w:rsidR="00CF3DBF">
        <w:rPr>
          <w:rFonts w:ascii="Times New Roman" w:hAnsi="Times New Roman" w:cs="Times New Roman"/>
          <w:sz w:val="24"/>
          <w:szCs w:val="24"/>
        </w:rPr>
        <w:t xml:space="preserve">the </w:t>
      </w:r>
      <w:r w:rsidRPr="00B1020A">
        <w:rPr>
          <w:rFonts w:ascii="Times New Roman" w:hAnsi="Times New Roman" w:cs="Times New Roman"/>
          <w:sz w:val="24"/>
          <w:szCs w:val="24"/>
        </w:rPr>
        <w:t>applicants’ right to private life under Article 8 ECHR.</w:t>
      </w:r>
      <w:r w:rsidRPr="00B1020A">
        <w:rPr>
          <w:rFonts w:ascii="Times New Roman" w:hAnsi="Times New Roman" w:cs="Times New Roman"/>
          <w:sz w:val="24"/>
          <w:szCs w:val="24"/>
          <w:vertAlign w:val="superscript"/>
        </w:rPr>
        <w:footnoteReference w:id="42"/>
      </w:r>
      <w:r w:rsidRPr="00B1020A">
        <w:rPr>
          <w:rFonts w:ascii="Times New Roman" w:hAnsi="Times New Roman" w:cs="Times New Roman"/>
          <w:sz w:val="24"/>
          <w:szCs w:val="24"/>
        </w:rPr>
        <w:t xml:space="preserve"> Methodologically questionable was the Court’s reference to the lack of consensus as to when life begins, for the purposes of Article 2 ECHR</w:t>
      </w:r>
      <w:r w:rsidRPr="00B1020A">
        <w:rPr>
          <w:rFonts w:ascii="Times New Roman" w:hAnsi="Times New Roman" w:cs="Times New Roman"/>
          <w:sz w:val="24"/>
          <w:szCs w:val="24"/>
          <w:vertAlign w:val="superscript"/>
        </w:rPr>
        <w:footnoteReference w:id="43"/>
      </w:r>
      <w:r w:rsidRPr="00B1020A">
        <w:rPr>
          <w:rFonts w:ascii="Times New Roman" w:hAnsi="Times New Roman" w:cs="Times New Roman"/>
          <w:sz w:val="24"/>
          <w:szCs w:val="24"/>
        </w:rPr>
        <w:t xml:space="preserve"> – although </w:t>
      </w:r>
      <w:r w:rsidR="00DA4075" w:rsidRPr="00B1020A">
        <w:rPr>
          <w:rFonts w:ascii="Times New Roman" w:hAnsi="Times New Roman" w:cs="Times New Roman"/>
          <w:sz w:val="24"/>
          <w:szCs w:val="24"/>
        </w:rPr>
        <w:t>there is an obvious connection</w:t>
      </w:r>
      <w:r w:rsidRPr="00B1020A">
        <w:rPr>
          <w:rFonts w:ascii="Times New Roman" w:hAnsi="Times New Roman" w:cs="Times New Roman"/>
          <w:sz w:val="24"/>
          <w:szCs w:val="24"/>
        </w:rPr>
        <w:t xml:space="preserve">, the ECtHR in </w:t>
      </w:r>
      <w:r w:rsidRPr="00B1020A">
        <w:rPr>
          <w:rFonts w:ascii="Times New Roman" w:hAnsi="Times New Roman" w:cs="Times New Roman"/>
          <w:i/>
          <w:sz w:val="24"/>
          <w:szCs w:val="24"/>
        </w:rPr>
        <w:t>A, B, and C</w:t>
      </w:r>
      <w:r w:rsidRPr="00B1020A">
        <w:rPr>
          <w:rFonts w:ascii="Times New Roman" w:hAnsi="Times New Roman" w:cs="Times New Roman"/>
          <w:sz w:val="24"/>
          <w:szCs w:val="24"/>
        </w:rPr>
        <w:t xml:space="preserve"> v </w:t>
      </w:r>
      <w:r w:rsidRPr="00B1020A">
        <w:rPr>
          <w:rFonts w:ascii="Times New Roman" w:hAnsi="Times New Roman" w:cs="Times New Roman"/>
          <w:i/>
          <w:sz w:val="24"/>
          <w:szCs w:val="24"/>
        </w:rPr>
        <w:t>Ireland</w:t>
      </w:r>
      <w:r w:rsidRPr="00B1020A">
        <w:rPr>
          <w:rFonts w:ascii="Times New Roman" w:hAnsi="Times New Roman" w:cs="Times New Roman"/>
          <w:sz w:val="24"/>
          <w:szCs w:val="24"/>
        </w:rPr>
        <w:t xml:space="preserve"> examined the prohibition of abortion in light of Article 8, not 2, ECHR.</w:t>
      </w:r>
      <w:r w:rsidR="00D16E4C" w:rsidRPr="00B1020A">
        <w:rPr>
          <w:rStyle w:val="FootnoteReference"/>
          <w:rFonts w:cs="Times New Roman"/>
          <w:sz w:val="24"/>
          <w:szCs w:val="24"/>
        </w:rPr>
        <w:footnoteReference w:id="44"/>
      </w:r>
      <w:r w:rsidRPr="00B1020A">
        <w:rPr>
          <w:rFonts w:ascii="Times New Roman" w:hAnsi="Times New Roman" w:cs="Times New Roman"/>
          <w:sz w:val="24"/>
          <w:szCs w:val="24"/>
        </w:rPr>
        <w:t xml:space="preserve"> In any event, crucial in the Court’s conclusion on the margin of appreciation was </w:t>
      </w:r>
      <w:r w:rsidRPr="00B1020A">
        <w:rPr>
          <w:rFonts w:ascii="Times New Roman" w:hAnsi="Times New Roman" w:cs="Times New Roman"/>
          <w:sz w:val="24"/>
          <w:szCs w:val="24"/>
        </w:rPr>
        <w:lastRenderedPageBreak/>
        <w:t>perhaps the aforementioned fair balance test, re-formulated later in the judgment by the Court as the need to examine ‘whether the interference constitute[d] a proportionate balancing of the competing interests involved’.</w:t>
      </w:r>
      <w:r w:rsidRPr="00B1020A">
        <w:rPr>
          <w:rFonts w:ascii="Times New Roman" w:hAnsi="Times New Roman" w:cs="Times New Roman"/>
          <w:sz w:val="24"/>
          <w:szCs w:val="24"/>
          <w:vertAlign w:val="superscript"/>
        </w:rPr>
        <w:footnoteReference w:id="45"/>
      </w:r>
      <w:r w:rsidRPr="00B1020A">
        <w:rPr>
          <w:rFonts w:ascii="Times New Roman" w:hAnsi="Times New Roman" w:cs="Times New Roman"/>
          <w:sz w:val="24"/>
          <w:szCs w:val="24"/>
        </w:rPr>
        <w:t xml:space="preserve"> In that case, despite the presence of European consensus pointing in a different direction, the Strasbourg Court gave weight to ‘the profound moral views of the Irish people as to the nature of life’.</w:t>
      </w:r>
      <w:r w:rsidRPr="00B1020A">
        <w:rPr>
          <w:rFonts w:ascii="Times New Roman" w:hAnsi="Times New Roman" w:cs="Times New Roman"/>
          <w:sz w:val="24"/>
          <w:szCs w:val="24"/>
          <w:vertAlign w:val="superscript"/>
        </w:rPr>
        <w:footnoteReference w:id="46"/>
      </w:r>
      <w:r w:rsidR="00D16E4C" w:rsidRPr="00B1020A">
        <w:rPr>
          <w:rFonts w:ascii="Times New Roman" w:hAnsi="Times New Roman" w:cs="Times New Roman"/>
          <w:sz w:val="24"/>
          <w:szCs w:val="24"/>
        </w:rPr>
        <w:t xml:space="preserve"> The Court refused to acknowledge (as requested by the applicants) that the views of the Irish people had changed significantly since the 1983 referendum</w:t>
      </w:r>
      <w:r w:rsidR="00D16E4C" w:rsidRPr="00B1020A">
        <w:rPr>
          <w:rStyle w:val="FootnoteReference"/>
          <w:rFonts w:cs="Times New Roman"/>
          <w:sz w:val="24"/>
          <w:szCs w:val="24"/>
        </w:rPr>
        <w:footnoteReference w:id="47"/>
      </w:r>
      <w:r w:rsidR="00D16E4C" w:rsidRPr="00B1020A">
        <w:rPr>
          <w:rFonts w:ascii="Times New Roman" w:hAnsi="Times New Roman" w:cs="Times New Roman"/>
          <w:sz w:val="24"/>
          <w:szCs w:val="24"/>
        </w:rPr>
        <w:t xml:space="preserve"> – the result of the recent </w:t>
      </w:r>
      <w:r w:rsidR="00D16E4C" w:rsidRPr="003B38A9">
        <w:rPr>
          <w:rFonts w:ascii="Times New Roman" w:hAnsi="Times New Roman" w:cs="Times New Roman"/>
          <w:sz w:val="24"/>
          <w:szCs w:val="24"/>
        </w:rPr>
        <w:t>referendum of May 2018</w:t>
      </w:r>
      <w:r w:rsidR="00B1020A" w:rsidRPr="003B38A9">
        <w:rPr>
          <w:rStyle w:val="FootnoteReference"/>
          <w:rFonts w:cs="Times New Roman"/>
          <w:sz w:val="24"/>
          <w:szCs w:val="24"/>
        </w:rPr>
        <w:footnoteReference w:id="48"/>
      </w:r>
      <w:r w:rsidR="00D16E4C" w:rsidRPr="003B38A9">
        <w:rPr>
          <w:rFonts w:ascii="Times New Roman" w:hAnsi="Times New Roman" w:cs="Times New Roman"/>
          <w:sz w:val="24"/>
          <w:szCs w:val="24"/>
        </w:rPr>
        <w:t xml:space="preserve"> </w:t>
      </w:r>
      <w:r w:rsidR="00B1020A" w:rsidRPr="003B38A9">
        <w:rPr>
          <w:rFonts w:ascii="Times New Roman" w:hAnsi="Times New Roman" w:cs="Times New Roman"/>
          <w:sz w:val="24"/>
          <w:szCs w:val="24"/>
        </w:rPr>
        <w:t>evidently</w:t>
      </w:r>
      <w:r w:rsidR="00D16E4C" w:rsidRPr="003B38A9">
        <w:rPr>
          <w:rFonts w:ascii="Times New Roman" w:hAnsi="Times New Roman" w:cs="Times New Roman"/>
          <w:sz w:val="24"/>
          <w:szCs w:val="24"/>
        </w:rPr>
        <w:t xml:space="preserve"> demonstrates</w:t>
      </w:r>
      <w:r w:rsidR="00D16E4C" w:rsidRPr="00B1020A">
        <w:rPr>
          <w:rFonts w:ascii="Times New Roman" w:hAnsi="Times New Roman" w:cs="Times New Roman"/>
          <w:sz w:val="24"/>
          <w:szCs w:val="24"/>
        </w:rPr>
        <w:t xml:space="preserve"> that the Court’s analysis of the legitimate aim in that case was </w:t>
      </w:r>
      <w:r w:rsidR="00B1020A">
        <w:rPr>
          <w:rFonts w:ascii="Times New Roman" w:hAnsi="Times New Roman" w:cs="Times New Roman"/>
          <w:sz w:val="24"/>
          <w:szCs w:val="24"/>
        </w:rPr>
        <w:t>rather shallow</w:t>
      </w:r>
      <w:r w:rsidR="00D16E4C" w:rsidRPr="00B1020A">
        <w:rPr>
          <w:rFonts w:ascii="Times New Roman" w:hAnsi="Times New Roman" w:cs="Times New Roman"/>
          <w:sz w:val="24"/>
          <w:szCs w:val="24"/>
        </w:rPr>
        <w:t>.</w:t>
      </w:r>
    </w:p>
    <w:p w14:paraId="328FDBED" w14:textId="77777777" w:rsidR="001D5459" w:rsidRPr="001D5459" w:rsidRDefault="00CF3DBF" w:rsidP="001D5459">
      <w:pPr>
        <w:spacing w:line="360" w:lineRule="auto"/>
        <w:jc w:val="both"/>
        <w:rPr>
          <w:rFonts w:ascii="Times New Roman" w:hAnsi="Times New Roman" w:cs="Times New Roman"/>
          <w:sz w:val="24"/>
          <w:szCs w:val="24"/>
        </w:rPr>
      </w:pPr>
      <w:r>
        <w:rPr>
          <w:rFonts w:ascii="Times New Roman" w:hAnsi="Times New Roman" w:cs="Times New Roman"/>
          <w:sz w:val="24"/>
          <w:szCs w:val="24"/>
          <w:lang w:val="en-GB"/>
        </w:rPr>
        <w:t>Elsewhere</w:t>
      </w:r>
      <w:r w:rsidR="005274F5" w:rsidRPr="002241DD">
        <w:rPr>
          <w:rFonts w:ascii="Times New Roman" w:hAnsi="Times New Roman" w:cs="Times New Roman"/>
          <w:sz w:val="24"/>
          <w:szCs w:val="24"/>
          <w:lang w:val="en-GB"/>
        </w:rPr>
        <w:t xml:space="preserve">, the Court </w:t>
      </w:r>
      <w:r w:rsidR="00601EF8">
        <w:rPr>
          <w:rFonts w:ascii="Times New Roman" w:hAnsi="Times New Roman" w:cs="Times New Roman"/>
          <w:sz w:val="24"/>
          <w:szCs w:val="24"/>
          <w:lang w:val="en-GB"/>
        </w:rPr>
        <w:t>had to decide</w:t>
      </w:r>
      <w:r w:rsidR="001D5459" w:rsidRPr="002241DD">
        <w:rPr>
          <w:rFonts w:ascii="Times New Roman" w:hAnsi="Times New Roman" w:cs="Times New Roman"/>
          <w:sz w:val="24"/>
          <w:szCs w:val="24"/>
          <w:lang w:val="en-GB"/>
        </w:rPr>
        <w:t xml:space="preserve"> whether a ban on ‘secondary action’, namely strike action in support of the initial – lawful – strike, is compatible with Article 11 ECHR.</w:t>
      </w:r>
      <w:r w:rsidR="001D5459" w:rsidRPr="002241DD">
        <w:rPr>
          <w:rFonts w:ascii="Times New Roman" w:hAnsi="Times New Roman" w:cs="Times New Roman"/>
          <w:sz w:val="24"/>
          <w:szCs w:val="24"/>
          <w:vertAlign w:val="superscript"/>
          <w:lang w:val="en-GB"/>
        </w:rPr>
        <w:footnoteReference w:id="49"/>
      </w:r>
      <w:r w:rsidR="001D5459" w:rsidRPr="002241DD">
        <w:rPr>
          <w:rFonts w:ascii="Times New Roman" w:hAnsi="Times New Roman" w:cs="Times New Roman"/>
          <w:sz w:val="24"/>
          <w:szCs w:val="24"/>
          <w:lang w:val="en-GB"/>
        </w:rPr>
        <w:t xml:space="preserve"> </w:t>
      </w:r>
      <w:r w:rsidR="00EB7DFD" w:rsidRPr="002241DD">
        <w:rPr>
          <w:rFonts w:ascii="Times New Roman" w:hAnsi="Times New Roman" w:cs="Times New Roman"/>
          <w:sz w:val="24"/>
          <w:szCs w:val="24"/>
          <w:lang w:val="en-GB"/>
        </w:rPr>
        <w:t>In order to determine whether the interference was necessary in a democratic society, t</w:t>
      </w:r>
      <w:r w:rsidR="001D5459" w:rsidRPr="002241DD">
        <w:rPr>
          <w:rFonts w:ascii="Times New Roman" w:hAnsi="Times New Roman" w:cs="Times New Roman"/>
          <w:sz w:val="24"/>
          <w:szCs w:val="24"/>
          <w:lang w:val="en-GB"/>
        </w:rPr>
        <w:t xml:space="preserve">he ECtHR </w:t>
      </w:r>
      <w:r w:rsidR="00EB7DFD" w:rsidRPr="002241DD">
        <w:rPr>
          <w:rFonts w:ascii="Times New Roman" w:hAnsi="Times New Roman" w:cs="Times New Roman"/>
          <w:sz w:val="24"/>
          <w:szCs w:val="24"/>
          <w:lang w:val="en-GB"/>
        </w:rPr>
        <w:t>took into account</w:t>
      </w:r>
      <w:r w:rsidR="001D5459" w:rsidRPr="002241DD">
        <w:rPr>
          <w:rFonts w:ascii="Times New Roman" w:hAnsi="Times New Roman" w:cs="Times New Roman"/>
          <w:sz w:val="24"/>
          <w:szCs w:val="24"/>
          <w:lang w:val="en-GB"/>
        </w:rPr>
        <w:t xml:space="preserve"> </w:t>
      </w:r>
      <w:r w:rsidR="00EB7DFD" w:rsidRPr="002241DD">
        <w:rPr>
          <w:rFonts w:ascii="Times New Roman" w:hAnsi="Times New Roman" w:cs="Times New Roman"/>
          <w:sz w:val="24"/>
          <w:szCs w:val="24"/>
          <w:lang w:val="en-GB"/>
        </w:rPr>
        <w:t xml:space="preserve">– among others - </w:t>
      </w:r>
      <w:r w:rsidR="001D5459" w:rsidRPr="002241DD">
        <w:rPr>
          <w:rFonts w:ascii="Times New Roman" w:hAnsi="Times New Roman" w:cs="Times New Roman"/>
          <w:sz w:val="24"/>
          <w:szCs w:val="24"/>
          <w:lang w:val="en-GB"/>
        </w:rPr>
        <w:t>comparative studies by the European Committee on Social Rights, demonstrating that ‘with its outright ban on secondary action the [UK stood] at one end of the comparative spectrum, being one of a small group of European States to adopt such a categorical stance on the matter’.</w:t>
      </w:r>
      <w:r w:rsidR="001D5459" w:rsidRPr="002241DD">
        <w:rPr>
          <w:rFonts w:ascii="Times New Roman" w:hAnsi="Times New Roman" w:cs="Times New Roman"/>
          <w:sz w:val="24"/>
          <w:szCs w:val="24"/>
          <w:vertAlign w:val="superscript"/>
          <w:lang w:val="en-GB"/>
        </w:rPr>
        <w:footnoteReference w:id="50"/>
      </w:r>
      <w:r w:rsidR="001D5459" w:rsidRPr="002241DD">
        <w:rPr>
          <w:rFonts w:ascii="Times New Roman" w:hAnsi="Times New Roman" w:cs="Times New Roman"/>
          <w:sz w:val="24"/>
          <w:szCs w:val="24"/>
          <w:lang w:val="en-GB"/>
        </w:rPr>
        <w:t xml:space="preserve"> </w:t>
      </w:r>
      <w:r w:rsidR="0017446D" w:rsidRPr="002241DD">
        <w:rPr>
          <w:rFonts w:ascii="Times New Roman" w:hAnsi="Times New Roman" w:cs="Times New Roman"/>
          <w:sz w:val="24"/>
          <w:szCs w:val="24"/>
          <w:lang w:val="en-GB"/>
        </w:rPr>
        <w:t xml:space="preserve">Looking at the international level, the </w:t>
      </w:r>
      <w:r w:rsidR="00FB4F52" w:rsidRPr="002241DD">
        <w:rPr>
          <w:rFonts w:ascii="Times New Roman" w:hAnsi="Times New Roman" w:cs="Times New Roman"/>
          <w:sz w:val="24"/>
          <w:szCs w:val="24"/>
          <w:lang w:val="en-GB"/>
        </w:rPr>
        <w:t>ECtHR furthermore added that the UK was ‘</w:t>
      </w:r>
      <w:r w:rsidR="0017446D" w:rsidRPr="002241DD">
        <w:rPr>
          <w:rFonts w:ascii="Times New Roman" w:hAnsi="Times New Roman" w:cs="Times New Roman"/>
          <w:sz w:val="24"/>
          <w:szCs w:val="24"/>
          <w:lang w:val="en-GB"/>
        </w:rPr>
        <w:t xml:space="preserve">out of line with a discernible international trend calling for a less restrictive </w:t>
      </w:r>
      <w:r w:rsidR="0017446D" w:rsidRPr="002241DD">
        <w:rPr>
          <w:rFonts w:ascii="Times New Roman" w:hAnsi="Times New Roman" w:cs="Times New Roman"/>
          <w:sz w:val="24"/>
          <w:szCs w:val="24"/>
          <w:lang w:val="en-GB"/>
        </w:rPr>
        <w:lastRenderedPageBreak/>
        <w:t>approach</w:t>
      </w:r>
      <w:r w:rsidR="00FB4F52" w:rsidRPr="002241DD">
        <w:rPr>
          <w:rFonts w:ascii="Times New Roman" w:hAnsi="Times New Roman" w:cs="Times New Roman"/>
          <w:sz w:val="24"/>
          <w:szCs w:val="24"/>
          <w:lang w:val="en-GB"/>
        </w:rPr>
        <w:t>’.</w:t>
      </w:r>
      <w:r w:rsidR="00FB4F52" w:rsidRPr="002241DD">
        <w:rPr>
          <w:rStyle w:val="FootnoteReference"/>
          <w:rFonts w:cs="Times New Roman"/>
          <w:sz w:val="24"/>
          <w:szCs w:val="24"/>
          <w:lang w:val="en-GB"/>
        </w:rPr>
        <w:footnoteReference w:id="51"/>
      </w:r>
      <w:r w:rsidR="00FB4F52" w:rsidRPr="002241DD">
        <w:rPr>
          <w:rFonts w:ascii="Times New Roman" w:hAnsi="Times New Roman" w:cs="Times New Roman"/>
          <w:sz w:val="24"/>
          <w:szCs w:val="24"/>
          <w:lang w:val="en-GB"/>
        </w:rPr>
        <w:t xml:space="preserve"> </w:t>
      </w:r>
      <w:r w:rsidR="001D5459" w:rsidRPr="002241DD">
        <w:rPr>
          <w:rFonts w:ascii="Times New Roman" w:hAnsi="Times New Roman" w:cs="Times New Roman"/>
          <w:sz w:val="24"/>
          <w:szCs w:val="24"/>
          <w:lang w:val="en-GB"/>
        </w:rPr>
        <w:t xml:space="preserve">Interestingly, the Strasbourg Court </w:t>
      </w:r>
      <w:r w:rsidR="00EB7DFD" w:rsidRPr="002241DD">
        <w:rPr>
          <w:rFonts w:ascii="Times New Roman" w:hAnsi="Times New Roman" w:cs="Times New Roman"/>
          <w:sz w:val="24"/>
          <w:szCs w:val="24"/>
          <w:lang w:val="en-GB"/>
        </w:rPr>
        <w:t>underlined</w:t>
      </w:r>
      <w:r w:rsidR="001D5459" w:rsidRPr="002241DD">
        <w:rPr>
          <w:rFonts w:ascii="Times New Roman" w:hAnsi="Times New Roman" w:cs="Times New Roman"/>
          <w:sz w:val="24"/>
          <w:szCs w:val="24"/>
          <w:lang w:val="en-GB"/>
        </w:rPr>
        <w:t xml:space="preserve"> that the UK government ‘played down the significance of the comparative perspective, emphasising the deep structural and cultural differences among European States in the field of industrial relations’.</w:t>
      </w:r>
      <w:r w:rsidR="001D5459" w:rsidRPr="002241DD">
        <w:rPr>
          <w:rFonts w:ascii="Times New Roman" w:hAnsi="Times New Roman" w:cs="Times New Roman"/>
          <w:sz w:val="24"/>
          <w:szCs w:val="24"/>
          <w:vertAlign w:val="superscript"/>
          <w:lang w:val="en-GB"/>
        </w:rPr>
        <w:footnoteReference w:id="52"/>
      </w:r>
      <w:r w:rsidR="001D5459" w:rsidRPr="002241DD">
        <w:rPr>
          <w:rFonts w:ascii="Times New Roman" w:hAnsi="Times New Roman" w:cs="Times New Roman"/>
          <w:sz w:val="24"/>
          <w:szCs w:val="24"/>
          <w:lang w:val="en-GB"/>
        </w:rPr>
        <w:t xml:space="preserve"> </w:t>
      </w:r>
      <w:r w:rsidR="00EB7DFD" w:rsidRPr="002241DD">
        <w:rPr>
          <w:rFonts w:ascii="Times New Roman" w:hAnsi="Times New Roman" w:cs="Times New Roman"/>
          <w:sz w:val="24"/>
          <w:szCs w:val="24"/>
          <w:lang w:val="en-GB"/>
        </w:rPr>
        <w:t xml:space="preserve">Eventually, the Court decided to </w:t>
      </w:r>
      <w:r w:rsidR="00D849A2" w:rsidRPr="002241DD">
        <w:rPr>
          <w:rFonts w:ascii="Times New Roman" w:hAnsi="Times New Roman" w:cs="Times New Roman"/>
          <w:sz w:val="24"/>
          <w:szCs w:val="24"/>
          <w:lang w:val="en-GB"/>
        </w:rPr>
        <w:t>grant the UK the margin of appreciation, prioritising a number of other considerations:</w:t>
      </w:r>
      <w:r w:rsidR="00EB7DFD" w:rsidRPr="002241DD">
        <w:rPr>
          <w:rFonts w:ascii="Times New Roman" w:hAnsi="Times New Roman" w:cs="Times New Roman"/>
          <w:sz w:val="24"/>
          <w:szCs w:val="24"/>
          <w:lang w:val="en-GB"/>
        </w:rPr>
        <w:t xml:space="preserve"> </w:t>
      </w:r>
      <w:r w:rsidR="0017446D" w:rsidRPr="002241DD">
        <w:rPr>
          <w:rFonts w:ascii="Times New Roman" w:hAnsi="Times New Roman" w:cs="Times New Roman"/>
          <w:sz w:val="24"/>
          <w:szCs w:val="24"/>
          <w:lang w:val="en-GB"/>
        </w:rPr>
        <w:t>the need to strike a fair balance between ‘the competing interests of the individual and of the community as a whole’;</w:t>
      </w:r>
      <w:r w:rsidR="0017446D" w:rsidRPr="002241DD">
        <w:rPr>
          <w:rStyle w:val="FootnoteReference"/>
          <w:rFonts w:cs="Times New Roman"/>
          <w:sz w:val="24"/>
          <w:szCs w:val="24"/>
          <w:lang w:val="en-GB"/>
        </w:rPr>
        <w:footnoteReference w:id="53"/>
      </w:r>
      <w:r w:rsidR="0017446D" w:rsidRPr="002241DD">
        <w:rPr>
          <w:rFonts w:ascii="Times New Roman" w:hAnsi="Times New Roman" w:cs="Times New Roman"/>
          <w:sz w:val="24"/>
          <w:szCs w:val="24"/>
          <w:lang w:val="en-GB"/>
        </w:rPr>
        <w:t xml:space="preserve"> that the interference in the exercise of the applicant’s trade-union freedom was not as ‘invasive’ as the applicant had argued, given that ‘the effect of the ban on secondary action [did not strike] at the very substance of the applicant union’s freedom of association’ under Article 11 ECHR, which meant that a wider margin of appreciation had to be granted to the respondent state;</w:t>
      </w:r>
      <w:r w:rsidR="0017446D" w:rsidRPr="002241DD">
        <w:rPr>
          <w:rStyle w:val="FootnoteReference"/>
          <w:rFonts w:cs="Times New Roman"/>
          <w:sz w:val="24"/>
          <w:szCs w:val="24"/>
          <w:lang w:val="en-GB"/>
        </w:rPr>
        <w:footnoteReference w:id="54"/>
      </w:r>
      <w:r w:rsidR="00D849A2" w:rsidRPr="002241DD">
        <w:rPr>
          <w:rFonts w:ascii="Times New Roman" w:hAnsi="Times New Roman" w:cs="Times New Roman"/>
          <w:sz w:val="24"/>
          <w:szCs w:val="24"/>
          <w:lang w:val="en-GB"/>
        </w:rPr>
        <w:t xml:space="preserve"> that in the sphere of social and economic policy ‘the Court will generally respect the legislature’s policy choice unless it is “manifestly without reasonable foundation”’;</w:t>
      </w:r>
      <w:r w:rsidR="00D849A2" w:rsidRPr="002241DD">
        <w:rPr>
          <w:rStyle w:val="FootnoteReference"/>
          <w:rFonts w:cs="Times New Roman"/>
          <w:sz w:val="24"/>
          <w:szCs w:val="24"/>
          <w:lang w:val="en-GB"/>
        </w:rPr>
        <w:footnoteReference w:id="55"/>
      </w:r>
      <w:r w:rsidR="00D849A2" w:rsidRPr="002241DD">
        <w:rPr>
          <w:rFonts w:ascii="Times New Roman" w:hAnsi="Times New Roman" w:cs="Times New Roman"/>
          <w:sz w:val="24"/>
          <w:szCs w:val="24"/>
          <w:lang w:val="en-GB"/>
        </w:rPr>
        <w:t xml:space="preserve"> and also</w:t>
      </w:r>
      <w:r w:rsidR="00D849A2">
        <w:rPr>
          <w:rFonts w:ascii="Times New Roman" w:hAnsi="Times New Roman" w:cs="Times New Roman"/>
          <w:sz w:val="24"/>
          <w:szCs w:val="24"/>
          <w:lang w:val="en-GB"/>
        </w:rPr>
        <w:t xml:space="preserve"> </w:t>
      </w:r>
      <w:r w:rsidR="00D849A2" w:rsidRPr="002241DD">
        <w:rPr>
          <w:rFonts w:ascii="Times New Roman" w:hAnsi="Times New Roman" w:cs="Times New Roman"/>
          <w:sz w:val="24"/>
          <w:szCs w:val="24"/>
          <w:lang w:val="en-GB"/>
        </w:rPr>
        <w:t xml:space="preserve">that there was a </w:t>
      </w:r>
      <w:r w:rsidR="00D849A2" w:rsidRPr="002241DD">
        <w:rPr>
          <w:rFonts w:ascii="Times New Roman" w:hAnsi="Times New Roman" w:cs="Times New Roman"/>
          <w:i/>
          <w:sz w:val="24"/>
          <w:szCs w:val="24"/>
          <w:lang w:val="en-GB"/>
        </w:rPr>
        <w:t>domestic</w:t>
      </w:r>
      <w:r w:rsidR="00D849A2" w:rsidRPr="002241DD">
        <w:rPr>
          <w:rFonts w:ascii="Times New Roman" w:hAnsi="Times New Roman" w:cs="Times New Roman"/>
          <w:sz w:val="24"/>
          <w:szCs w:val="24"/>
          <w:lang w:val="en-GB"/>
        </w:rPr>
        <w:t xml:space="preserve"> consensus </w:t>
      </w:r>
      <w:r w:rsidR="001D5459" w:rsidRPr="002241DD">
        <w:rPr>
          <w:rFonts w:ascii="Times New Roman" w:hAnsi="Times New Roman" w:cs="Times New Roman"/>
          <w:sz w:val="24"/>
          <w:szCs w:val="24"/>
          <w:lang w:val="en-GB"/>
        </w:rPr>
        <w:t>on the scope o</w:t>
      </w:r>
      <w:r w:rsidR="00D849A2" w:rsidRPr="002241DD">
        <w:rPr>
          <w:rFonts w:ascii="Times New Roman" w:hAnsi="Times New Roman" w:cs="Times New Roman"/>
          <w:sz w:val="24"/>
          <w:szCs w:val="24"/>
          <w:lang w:val="en-GB"/>
        </w:rPr>
        <w:t>f permissible industrial action.</w:t>
      </w:r>
      <w:r w:rsidR="00D849A2" w:rsidRPr="002241DD">
        <w:rPr>
          <w:rStyle w:val="FootnoteReference"/>
          <w:rFonts w:cs="Times New Roman"/>
          <w:sz w:val="24"/>
          <w:szCs w:val="24"/>
          <w:lang w:val="en-GB"/>
        </w:rPr>
        <w:footnoteReference w:id="56"/>
      </w:r>
      <w:r w:rsidR="001D5459" w:rsidRPr="002241DD">
        <w:rPr>
          <w:rFonts w:ascii="Times New Roman" w:hAnsi="Times New Roman" w:cs="Times New Roman"/>
          <w:sz w:val="24"/>
          <w:szCs w:val="24"/>
          <w:lang w:val="en-GB"/>
        </w:rPr>
        <w:t xml:space="preserve"> </w:t>
      </w:r>
      <w:r w:rsidR="00D849A2" w:rsidRPr="002241DD">
        <w:rPr>
          <w:rFonts w:ascii="Times New Roman" w:hAnsi="Times New Roman" w:cs="Times New Roman"/>
          <w:sz w:val="24"/>
          <w:szCs w:val="24"/>
          <w:lang w:val="en-GB"/>
        </w:rPr>
        <w:t xml:space="preserve">On this basis, the Court </w:t>
      </w:r>
      <w:r w:rsidR="00BD3DEB">
        <w:rPr>
          <w:rFonts w:ascii="Times New Roman" w:hAnsi="Times New Roman" w:cs="Times New Roman"/>
          <w:sz w:val="24"/>
          <w:szCs w:val="24"/>
          <w:lang w:val="en-GB"/>
        </w:rPr>
        <w:t xml:space="preserve">ultimately </w:t>
      </w:r>
      <w:r w:rsidR="00D849A2" w:rsidRPr="002241DD">
        <w:rPr>
          <w:rFonts w:ascii="Times New Roman" w:hAnsi="Times New Roman" w:cs="Times New Roman"/>
          <w:sz w:val="24"/>
          <w:szCs w:val="24"/>
          <w:lang w:val="en-GB"/>
        </w:rPr>
        <w:t xml:space="preserve">found that </w:t>
      </w:r>
      <w:r w:rsidR="001D5459" w:rsidRPr="002241DD">
        <w:rPr>
          <w:rFonts w:ascii="Times New Roman" w:hAnsi="Times New Roman" w:cs="Times New Roman"/>
          <w:sz w:val="24"/>
          <w:szCs w:val="24"/>
          <w:lang w:val="en-GB"/>
        </w:rPr>
        <w:t>the UK had not violated Article 11 ECHR.</w:t>
      </w:r>
    </w:p>
    <w:p w14:paraId="53F4F268" w14:textId="77777777" w:rsidR="001D5459" w:rsidRPr="001D5459" w:rsidRDefault="001D5459" w:rsidP="001D5459">
      <w:pPr>
        <w:spacing w:line="360" w:lineRule="auto"/>
        <w:jc w:val="both"/>
        <w:rPr>
          <w:rFonts w:ascii="Times New Roman" w:hAnsi="Times New Roman" w:cs="Times New Roman"/>
          <w:b/>
          <w:sz w:val="24"/>
          <w:szCs w:val="24"/>
        </w:rPr>
      </w:pPr>
      <w:r w:rsidRPr="001D5459">
        <w:rPr>
          <w:rFonts w:ascii="Times New Roman" w:hAnsi="Times New Roman" w:cs="Times New Roman"/>
          <w:b/>
          <w:sz w:val="24"/>
          <w:szCs w:val="24"/>
        </w:rPr>
        <w:t xml:space="preserve">Cases where the Strasbourg Court was </w:t>
      </w:r>
      <w:r w:rsidRPr="001D5459">
        <w:rPr>
          <w:rFonts w:ascii="Times New Roman" w:hAnsi="Times New Roman" w:cs="Times New Roman"/>
          <w:b/>
          <w:i/>
          <w:sz w:val="24"/>
          <w:szCs w:val="24"/>
        </w:rPr>
        <w:t>not</w:t>
      </w:r>
      <w:r w:rsidRPr="001D5459">
        <w:rPr>
          <w:rFonts w:ascii="Times New Roman" w:hAnsi="Times New Roman" w:cs="Times New Roman"/>
          <w:b/>
          <w:sz w:val="24"/>
          <w:szCs w:val="24"/>
        </w:rPr>
        <w:t xml:space="preserve"> deferential despite the </w:t>
      </w:r>
      <w:r w:rsidRPr="001D5459">
        <w:rPr>
          <w:rFonts w:ascii="Times New Roman" w:hAnsi="Times New Roman" w:cs="Times New Roman"/>
          <w:b/>
          <w:i/>
          <w:sz w:val="24"/>
          <w:szCs w:val="24"/>
        </w:rPr>
        <w:t>lack</w:t>
      </w:r>
      <w:r w:rsidRPr="001D5459">
        <w:rPr>
          <w:rFonts w:ascii="Times New Roman" w:hAnsi="Times New Roman" w:cs="Times New Roman"/>
          <w:b/>
          <w:sz w:val="24"/>
          <w:szCs w:val="24"/>
        </w:rPr>
        <w:t xml:space="preserve"> of European consensus</w:t>
      </w:r>
    </w:p>
    <w:p w14:paraId="77045B6A" w14:textId="1F135193" w:rsidR="006C5661" w:rsidRPr="00917206" w:rsidRDefault="006C5661" w:rsidP="006C5661">
      <w:pPr>
        <w:spacing w:line="360" w:lineRule="auto"/>
        <w:jc w:val="both"/>
        <w:rPr>
          <w:rFonts w:ascii="Times New Roman" w:hAnsi="Times New Roman" w:cs="Times New Roman"/>
          <w:sz w:val="24"/>
          <w:szCs w:val="24"/>
        </w:rPr>
      </w:pPr>
      <w:r w:rsidRPr="003841B8">
        <w:rPr>
          <w:rFonts w:ascii="Times New Roman" w:hAnsi="Times New Roman" w:cs="Times New Roman"/>
          <w:sz w:val="24"/>
          <w:szCs w:val="24"/>
        </w:rPr>
        <w:t xml:space="preserve">In </w:t>
      </w:r>
      <w:r w:rsidRPr="003841B8">
        <w:rPr>
          <w:rFonts w:ascii="Times New Roman" w:hAnsi="Times New Roman" w:cs="Times New Roman"/>
          <w:i/>
          <w:sz w:val="24"/>
          <w:szCs w:val="24"/>
        </w:rPr>
        <w:t>Goodwin</w:t>
      </w:r>
      <w:r w:rsidRPr="003841B8">
        <w:rPr>
          <w:rFonts w:ascii="Times New Roman" w:hAnsi="Times New Roman" w:cs="Times New Roman"/>
          <w:sz w:val="24"/>
          <w:szCs w:val="24"/>
        </w:rPr>
        <w:t>, the Court found a violation of Article 8 ECHR,</w:t>
      </w:r>
      <w:r w:rsidRPr="003841B8">
        <w:rPr>
          <w:rFonts w:ascii="Times New Roman" w:hAnsi="Times New Roman" w:cs="Times New Roman"/>
          <w:sz w:val="24"/>
          <w:szCs w:val="24"/>
          <w:lang w:val="en-GB"/>
        </w:rPr>
        <w:t xml:space="preserve"> due to the </w:t>
      </w:r>
      <w:r w:rsidRPr="003841B8">
        <w:rPr>
          <w:rFonts w:ascii="Times New Roman" w:hAnsi="Times New Roman" w:cs="Times New Roman"/>
          <w:sz w:val="24"/>
          <w:szCs w:val="24"/>
        </w:rPr>
        <w:t xml:space="preserve">lack of </w:t>
      </w:r>
      <w:r w:rsidR="003841B8">
        <w:rPr>
          <w:rFonts w:ascii="Times New Roman" w:hAnsi="Times New Roman" w:cs="Times New Roman"/>
          <w:sz w:val="24"/>
          <w:szCs w:val="24"/>
        </w:rPr>
        <w:t xml:space="preserve">legal </w:t>
      </w:r>
      <w:r w:rsidRPr="003841B8">
        <w:rPr>
          <w:rFonts w:ascii="Times New Roman" w:hAnsi="Times New Roman" w:cs="Times New Roman"/>
          <w:sz w:val="24"/>
          <w:szCs w:val="24"/>
        </w:rPr>
        <w:t xml:space="preserve">recognition in </w:t>
      </w:r>
      <w:r w:rsidRPr="001D5459">
        <w:rPr>
          <w:rFonts w:ascii="Times New Roman" w:hAnsi="Times New Roman" w:cs="Times New Roman"/>
          <w:sz w:val="24"/>
          <w:szCs w:val="24"/>
        </w:rPr>
        <w:t xml:space="preserve">the United </w:t>
      </w:r>
      <w:r w:rsidR="003841B8">
        <w:rPr>
          <w:rFonts w:ascii="Times New Roman" w:hAnsi="Times New Roman" w:cs="Times New Roman"/>
          <w:sz w:val="24"/>
          <w:szCs w:val="24"/>
        </w:rPr>
        <w:t>Kingdom of gender reassignment</w:t>
      </w:r>
      <w:r w:rsidRPr="001D5459">
        <w:rPr>
          <w:rFonts w:ascii="Times New Roman" w:hAnsi="Times New Roman" w:cs="Times New Roman"/>
          <w:sz w:val="24"/>
          <w:szCs w:val="24"/>
        </w:rPr>
        <w:t>.</w:t>
      </w:r>
      <w:r w:rsidRPr="001D5459">
        <w:rPr>
          <w:rFonts w:ascii="Times New Roman" w:hAnsi="Times New Roman" w:cs="Times New Roman"/>
          <w:sz w:val="24"/>
          <w:szCs w:val="24"/>
          <w:vertAlign w:val="superscript"/>
        </w:rPr>
        <w:footnoteReference w:id="57"/>
      </w:r>
      <w:r w:rsidRPr="001D5459">
        <w:rPr>
          <w:rFonts w:ascii="Times New Roman" w:hAnsi="Times New Roman" w:cs="Times New Roman"/>
          <w:sz w:val="24"/>
          <w:szCs w:val="24"/>
        </w:rPr>
        <w:t xml:space="preserve"> The Court took into account the ‘continuing </w:t>
      </w:r>
      <w:r w:rsidRPr="001D5459">
        <w:rPr>
          <w:rFonts w:ascii="Times New Roman" w:hAnsi="Times New Roman" w:cs="Times New Roman"/>
          <w:sz w:val="24"/>
          <w:szCs w:val="24"/>
        </w:rPr>
        <w:lastRenderedPageBreak/>
        <w:t>international trend in favour not only of increased social acceptance of transsexuals but of legal recognition of the new sexual identity of post-operative transsexuals’,</w:t>
      </w:r>
      <w:r w:rsidRPr="001D5459">
        <w:rPr>
          <w:rFonts w:ascii="Times New Roman" w:hAnsi="Times New Roman" w:cs="Times New Roman"/>
          <w:sz w:val="24"/>
          <w:szCs w:val="24"/>
          <w:vertAlign w:val="superscript"/>
        </w:rPr>
        <w:footnoteReference w:id="58"/>
      </w:r>
      <w:r w:rsidRPr="001D5459">
        <w:rPr>
          <w:rFonts w:ascii="Times New Roman" w:hAnsi="Times New Roman" w:cs="Times New Roman"/>
          <w:sz w:val="24"/>
          <w:szCs w:val="24"/>
        </w:rPr>
        <w:t xml:space="preserve"> and attached less importance to the missing common European approach </w:t>
      </w:r>
      <w:r w:rsidR="003B38A9">
        <w:rPr>
          <w:rFonts w:ascii="Times New Roman" w:hAnsi="Times New Roman" w:cs="Times New Roman"/>
          <w:sz w:val="24"/>
          <w:szCs w:val="24"/>
        </w:rPr>
        <w:t>to</w:t>
      </w:r>
      <w:r w:rsidRPr="001D5459">
        <w:rPr>
          <w:rFonts w:ascii="Times New Roman" w:hAnsi="Times New Roman" w:cs="Times New Roman"/>
          <w:sz w:val="24"/>
          <w:szCs w:val="24"/>
        </w:rPr>
        <w:t xml:space="preserve"> the matter. The ECtHR underlined that ‘the notion of personal autonomy is an important principle underlying the </w:t>
      </w:r>
      <w:r w:rsidRPr="003B38A9">
        <w:rPr>
          <w:rFonts w:ascii="Times New Roman" w:hAnsi="Times New Roman" w:cs="Times New Roman"/>
          <w:sz w:val="24"/>
          <w:szCs w:val="24"/>
        </w:rPr>
        <w:t>interpretation of [the] g</w:t>
      </w:r>
      <w:r w:rsidR="00990406" w:rsidRPr="003B38A9">
        <w:rPr>
          <w:rFonts w:ascii="Times New Roman" w:hAnsi="Times New Roman" w:cs="Times New Roman"/>
          <w:sz w:val="24"/>
          <w:szCs w:val="24"/>
        </w:rPr>
        <w:t>uarantees’ under Article 8 ECHR,</w:t>
      </w:r>
      <w:r w:rsidRPr="003B38A9">
        <w:rPr>
          <w:rFonts w:ascii="Times New Roman" w:hAnsi="Times New Roman" w:cs="Times New Roman"/>
          <w:sz w:val="24"/>
          <w:szCs w:val="24"/>
          <w:vertAlign w:val="superscript"/>
        </w:rPr>
        <w:footnoteReference w:id="59"/>
      </w:r>
      <w:r w:rsidR="00990406" w:rsidRPr="003B38A9">
        <w:rPr>
          <w:rFonts w:ascii="Times New Roman" w:hAnsi="Times New Roman" w:cs="Times New Roman"/>
          <w:sz w:val="24"/>
          <w:szCs w:val="24"/>
        </w:rPr>
        <w:t xml:space="preserve"> and also that ‘serious interference with private life can arise where the state of domestic law conflicts with an important aspect of personal identity’.</w:t>
      </w:r>
      <w:r w:rsidR="00990406" w:rsidRPr="003B38A9">
        <w:rPr>
          <w:rStyle w:val="FootnoteReference"/>
          <w:rFonts w:cs="Times New Roman"/>
          <w:sz w:val="24"/>
          <w:szCs w:val="24"/>
        </w:rPr>
        <w:footnoteReference w:id="60"/>
      </w:r>
      <w:r w:rsidR="00990406" w:rsidRPr="003B38A9">
        <w:rPr>
          <w:rFonts w:ascii="Times New Roman" w:hAnsi="Times New Roman" w:cs="Times New Roman"/>
          <w:sz w:val="24"/>
          <w:szCs w:val="24"/>
        </w:rPr>
        <w:t xml:space="preserve"> O</w:t>
      </w:r>
      <w:r w:rsidRPr="003B38A9">
        <w:rPr>
          <w:rFonts w:ascii="Times New Roman" w:hAnsi="Times New Roman" w:cs="Times New Roman"/>
          <w:sz w:val="24"/>
          <w:szCs w:val="24"/>
        </w:rPr>
        <w:t>n the ba</w:t>
      </w:r>
      <w:r w:rsidR="00990406" w:rsidRPr="003B38A9">
        <w:rPr>
          <w:rFonts w:ascii="Times New Roman" w:hAnsi="Times New Roman" w:cs="Times New Roman"/>
          <w:sz w:val="24"/>
          <w:szCs w:val="24"/>
        </w:rPr>
        <w:t>sis of the fair balance test, the Strasbourg Court concluded</w:t>
      </w:r>
      <w:r w:rsidRPr="003B38A9">
        <w:rPr>
          <w:rFonts w:ascii="Times New Roman" w:hAnsi="Times New Roman" w:cs="Times New Roman"/>
          <w:sz w:val="24"/>
          <w:szCs w:val="24"/>
        </w:rPr>
        <w:t xml:space="preserve"> that </w:t>
      </w:r>
      <w:r w:rsidR="00990406" w:rsidRPr="003B38A9">
        <w:rPr>
          <w:rFonts w:ascii="Times New Roman" w:hAnsi="Times New Roman" w:cs="Times New Roman"/>
          <w:sz w:val="24"/>
          <w:szCs w:val="24"/>
        </w:rPr>
        <w:t>‘</w:t>
      </w:r>
      <w:r w:rsidR="0005094C">
        <w:rPr>
          <w:rFonts w:ascii="Times New Roman" w:hAnsi="Times New Roman" w:cs="Times New Roman"/>
          <w:sz w:val="24"/>
          <w:szCs w:val="24"/>
        </w:rPr>
        <w:t>there [were]</w:t>
      </w:r>
      <w:r w:rsidR="0005094C" w:rsidRPr="0005094C">
        <w:rPr>
          <w:rFonts w:ascii="Times New Roman" w:hAnsi="Times New Roman" w:cs="Times New Roman"/>
          <w:sz w:val="24"/>
          <w:szCs w:val="24"/>
        </w:rPr>
        <w:t xml:space="preserve"> no significant factors of public interest to weigh against the interest of this individual applicant in obtaining legal recognition of her gender reassignment</w:t>
      </w:r>
      <w:r w:rsidR="0005094C">
        <w:rPr>
          <w:rFonts w:ascii="Times New Roman" w:hAnsi="Times New Roman" w:cs="Times New Roman"/>
          <w:sz w:val="24"/>
          <w:szCs w:val="24"/>
        </w:rPr>
        <w:t>’</w:t>
      </w:r>
      <w:r w:rsidR="00990406" w:rsidRPr="003B38A9">
        <w:rPr>
          <w:rFonts w:ascii="Times New Roman" w:hAnsi="Times New Roman" w:cs="Times New Roman"/>
          <w:sz w:val="24"/>
          <w:szCs w:val="24"/>
        </w:rPr>
        <w:t xml:space="preserve">, and therefore </w:t>
      </w:r>
      <w:r w:rsidRPr="003B38A9">
        <w:rPr>
          <w:rFonts w:ascii="Times New Roman" w:hAnsi="Times New Roman" w:cs="Times New Roman"/>
          <w:sz w:val="24"/>
          <w:szCs w:val="24"/>
        </w:rPr>
        <w:t xml:space="preserve">the respondent </w:t>
      </w:r>
      <w:r w:rsidR="00990406" w:rsidRPr="003B38A9">
        <w:rPr>
          <w:rFonts w:ascii="Times New Roman" w:hAnsi="Times New Roman" w:cs="Times New Roman"/>
          <w:sz w:val="24"/>
          <w:szCs w:val="24"/>
        </w:rPr>
        <w:t xml:space="preserve">state </w:t>
      </w:r>
      <w:r w:rsidRPr="003B38A9">
        <w:rPr>
          <w:rFonts w:ascii="Times New Roman" w:hAnsi="Times New Roman" w:cs="Times New Roman"/>
          <w:sz w:val="24"/>
          <w:szCs w:val="24"/>
        </w:rPr>
        <w:t>could ‘no longer claim that the matter [fell] within their margin of appreciation, save as regards the appropriate means of achieving recognition of the right [to private life] protected under the Convention.’</w:t>
      </w:r>
      <w:r w:rsidRPr="003B38A9">
        <w:rPr>
          <w:rFonts w:ascii="Times New Roman" w:hAnsi="Times New Roman" w:cs="Times New Roman"/>
          <w:sz w:val="24"/>
          <w:szCs w:val="24"/>
          <w:vertAlign w:val="superscript"/>
        </w:rPr>
        <w:footnoteReference w:id="61"/>
      </w:r>
      <w:r w:rsidR="006249D4">
        <w:rPr>
          <w:rFonts w:ascii="Times New Roman" w:hAnsi="Times New Roman" w:cs="Times New Roman"/>
          <w:sz w:val="24"/>
          <w:szCs w:val="24"/>
        </w:rPr>
        <w:t xml:space="preserve"> Moreover, the Court found a violation of the right to marry under Article 12 ECHR. </w:t>
      </w:r>
      <w:r w:rsidR="007736EF">
        <w:rPr>
          <w:rFonts w:ascii="Times New Roman" w:hAnsi="Times New Roman" w:cs="Times New Roman"/>
          <w:sz w:val="24"/>
          <w:szCs w:val="24"/>
        </w:rPr>
        <w:t>T</w:t>
      </w:r>
      <w:r w:rsidR="006249D4">
        <w:rPr>
          <w:rFonts w:ascii="Times New Roman" w:hAnsi="Times New Roman" w:cs="Times New Roman"/>
          <w:sz w:val="24"/>
          <w:szCs w:val="24"/>
        </w:rPr>
        <w:t xml:space="preserve">he Court </w:t>
      </w:r>
      <w:r w:rsidR="007736EF">
        <w:rPr>
          <w:rFonts w:ascii="Times New Roman" w:hAnsi="Times New Roman" w:cs="Times New Roman"/>
          <w:sz w:val="24"/>
          <w:szCs w:val="24"/>
        </w:rPr>
        <w:t xml:space="preserve">inferred from comparative material submitted to it </w:t>
      </w:r>
      <w:r w:rsidR="006249D4">
        <w:rPr>
          <w:rFonts w:ascii="Times New Roman" w:hAnsi="Times New Roman" w:cs="Times New Roman"/>
          <w:sz w:val="24"/>
          <w:szCs w:val="24"/>
        </w:rPr>
        <w:t>that ‘</w:t>
      </w:r>
      <w:r w:rsidR="006249D4" w:rsidRPr="006249D4">
        <w:rPr>
          <w:rFonts w:ascii="Times New Roman" w:hAnsi="Times New Roman" w:cs="Times New Roman"/>
          <w:sz w:val="24"/>
          <w:szCs w:val="24"/>
        </w:rPr>
        <w:t>fewer countries permit</w:t>
      </w:r>
      <w:r w:rsidR="006249D4">
        <w:rPr>
          <w:rFonts w:ascii="Times New Roman" w:hAnsi="Times New Roman" w:cs="Times New Roman"/>
          <w:sz w:val="24"/>
          <w:szCs w:val="24"/>
        </w:rPr>
        <w:t>[ted]</w:t>
      </w:r>
      <w:r w:rsidR="006249D4" w:rsidRPr="006249D4">
        <w:rPr>
          <w:rFonts w:ascii="Times New Roman" w:hAnsi="Times New Roman" w:cs="Times New Roman"/>
          <w:sz w:val="24"/>
          <w:szCs w:val="24"/>
        </w:rPr>
        <w:t xml:space="preserve"> the marriage of transsexuals in their </w:t>
      </w:r>
      <w:r w:rsidR="006249D4" w:rsidRPr="00E61FEF">
        <w:rPr>
          <w:rFonts w:ascii="Times New Roman" w:hAnsi="Times New Roman" w:cs="Times New Roman"/>
          <w:sz w:val="24"/>
          <w:szCs w:val="24"/>
        </w:rPr>
        <w:t>assigned gender than recogni</w:t>
      </w:r>
      <w:r w:rsidR="007736EF">
        <w:rPr>
          <w:rFonts w:ascii="Times New Roman" w:hAnsi="Times New Roman" w:cs="Times New Roman"/>
          <w:sz w:val="24"/>
          <w:szCs w:val="24"/>
        </w:rPr>
        <w:t>s</w:t>
      </w:r>
      <w:r w:rsidR="006249D4" w:rsidRPr="00E61FEF">
        <w:rPr>
          <w:rFonts w:ascii="Times New Roman" w:hAnsi="Times New Roman" w:cs="Times New Roman"/>
          <w:sz w:val="24"/>
          <w:szCs w:val="24"/>
        </w:rPr>
        <w:t>e[d] the change of gender itself’.</w:t>
      </w:r>
      <w:r w:rsidR="006249D4" w:rsidRPr="00E61FEF">
        <w:rPr>
          <w:rStyle w:val="FootnoteReference"/>
          <w:rFonts w:cs="Times New Roman"/>
          <w:sz w:val="24"/>
          <w:szCs w:val="24"/>
        </w:rPr>
        <w:footnoteReference w:id="62"/>
      </w:r>
      <w:r w:rsidR="006249D4" w:rsidRPr="00E61FEF">
        <w:rPr>
          <w:rFonts w:ascii="Times New Roman" w:hAnsi="Times New Roman" w:cs="Times New Roman"/>
          <w:sz w:val="24"/>
          <w:szCs w:val="24"/>
        </w:rPr>
        <w:t xml:space="preserve"> </w:t>
      </w:r>
      <w:r w:rsidR="00E61FEF">
        <w:rPr>
          <w:rFonts w:ascii="Times New Roman" w:hAnsi="Times New Roman" w:cs="Times New Roman"/>
          <w:sz w:val="24"/>
          <w:szCs w:val="24"/>
        </w:rPr>
        <w:t>Still, the ECtHR pointed out that the margin of appreciation could not ‘extend so far’ as to find that ‘</w:t>
      </w:r>
      <w:r w:rsidR="00E61FEF" w:rsidRPr="00E61FEF">
        <w:rPr>
          <w:rFonts w:ascii="Times New Roman" w:hAnsi="Times New Roman" w:cs="Times New Roman"/>
          <w:sz w:val="24"/>
          <w:szCs w:val="24"/>
        </w:rPr>
        <w:t>the range of options open to a Contracting State included an effective bar on any exercise of the right to marry</w:t>
      </w:r>
      <w:r w:rsidR="00E61FEF">
        <w:rPr>
          <w:rFonts w:ascii="Times New Roman" w:hAnsi="Times New Roman" w:cs="Times New Roman"/>
          <w:sz w:val="24"/>
          <w:szCs w:val="24"/>
        </w:rPr>
        <w:t xml:space="preserve">’; </w:t>
      </w:r>
      <w:r w:rsidR="00E61FEF" w:rsidRPr="00917206">
        <w:rPr>
          <w:rFonts w:ascii="Times New Roman" w:hAnsi="Times New Roman" w:cs="Times New Roman"/>
          <w:sz w:val="24"/>
          <w:szCs w:val="24"/>
        </w:rPr>
        <w:t>the ‘very essence’ of the applicant’s right to marry had been infringed.</w:t>
      </w:r>
      <w:r w:rsidR="00E61FEF" w:rsidRPr="00917206">
        <w:rPr>
          <w:rStyle w:val="FootnoteReference"/>
          <w:rFonts w:cs="Times New Roman"/>
          <w:sz w:val="24"/>
          <w:szCs w:val="24"/>
        </w:rPr>
        <w:footnoteReference w:id="63"/>
      </w:r>
    </w:p>
    <w:p w14:paraId="7D33F754" w14:textId="77777777" w:rsidR="001D5459" w:rsidRPr="003B38A9" w:rsidRDefault="001D5459" w:rsidP="001D5459">
      <w:pPr>
        <w:spacing w:line="360" w:lineRule="auto"/>
        <w:jc w:val="both"/>
        <w:rPr>
          <w:rFonts w:ascii="Times New Roman" w:hAnsi="Times New Roman" w:cs="Times New Roman"/>
          <w:sz w:val="24"/>
          <w:szCs w:val="24"/>
        </w:rPr>
      </w:pPr>
      <w:r w:rsidRPr="003B38A9">
        <w:rPr>
          <w:rFonts w:ascii="Times New Roman" w:hAnsi="Times New Roman" w:cs="Times New Roman"/>
          <w:sz w:val="24"/>
          <w:szCs w:val="24"/>
        </w:rPr>
        <w:lastRenderedPageBreak/>
        <w:t xml:space="preserve">In the case of </w:t>
      </w:r>
      <w:r w:rsidRPr="003B38A9">
        <w:rPr>
          <w:rFonts w:ascii="Times New Roman" w:hAnsi="Times New Roman" w:cs="Times New Roman"/>
          <w:i/>
          <w:sz w:val="24"/>
          <w:szCs w:val="24"/>
        </w:rPr>
        <w:t>Hirst (No 2)</w:t>
      </w:r>
      <w:r w:rsidRPr="003B38A9">
        <w:rPr>
          <w:rFonts w:ascii="Times New Roman" w:hAnsi="Times New Roman" w:cs="Times New Roman"/>
          <w:sz w:val="24"/>
          <w:szCs w:val="24"/>
        </w:rPr>
        <w:t xml:space="preserve">, the Strasbourg Court had to adjudicate on the compatibility of the ban on prisoners’ </w:t>
      </w:r>
      <w:r w:rsidR="00F6332C" w:rsidRPr="003B38A9">
        <w:rPr>
          <w:rFonts w:ascii="Times New Roman" w:hAnsi="Times New Roman" w:cs="Times New Roman"/>
          <w:sz w:val="24"/>
          <w:szCs w:val="24"/>
        </w:rPr>
        <w:t>right to vote</w:t>
      </w:r>
      <w:r w:rsidRPr="003B38A9">
        <w:rPr>
          <w:rFonts w:ascii="Times New Roman" w:hAnsi="Times New Roman" w:cs="Times New Roman"/>
          <w:sz w:val="24"/>
          <w:szCs w:val="24"/>
        </w:rPr>
        <w:t xml:space="preserve"> with </w:t>
      </w:r>
      <w:r w:rsidR="00F6332C" w:rsidRPr="003B38A9">
        <w:rPr>
          <w:rFonts w:ascii="Times New Roman" w:hAnsi="Times New Roman" w:cs="Times New Roman"/>
          <w:sz w:val="24"/>
          <w:szCs w:val="24"/>
        </w:rPr>
        <w:t xml:space="preserve">the requirements of </w:t>
      </w:r>
      <w:r w:rsidRPr="003B38A9">
        <w:rPr>
          <w:rFonts w:ascii="Times New Roman" w:hAnsi="Times New Roman" w:cs="Times New Roman"/>
          <w:sz w:val="24"/>
          <w:szCs w:val="24"/>
        </w:rPr>
        <w:t>Article 3 of Protocol 1 ECHR.</w:t>
      </w:r>
      <w:r w:rsidRPr="003B38A9">
        <w:rPr>
          <w:rFonts w:ascii="Times New Roman" w:hAnsi="Times New Roman" w:cs="Times New Roman"/>
          <w:sz w:val="24"/>
          <w:szCs w:val="24"/>
          <w:vertAlign w:val="superscript"/>
        </w:rPr>
        <w:footnoteReference w:id="64"/>
      </w:r>
      <w:r w:rsidRPr="003B38A9">
        <w:rPr>
          <w:rFonts w:ascii="Times New Roman" w:hAnsi="Times New Roman" w:cs="Times New Roman"/>
          <w:sz w:val="24"/>
          <w:szCs w:val="24"/>
        </w:rPr>
        <w:t xml:space="preserve"> The UK essentially argued that the lack of European consensus on the matter (a point accepted by the Court</w:t>
      </w:r>
      <w:r w:rsidRPr="003B38A9">
        <w:rPr>
          <w:rFonts w:ascii="Times New Roman" w:hAnsi="Times New Roman" w:cs="Times New Roman"/>
          <w:sz w:val="24"/>
          <w:szCs w:val="24"/>
          <w:vertAlign w:val="superscript"/>
        </w:rPr>
        <w:footnoteReference w:id="65"/>
      </w:r>
      <w:r w:rsidRPr="003B38A9">
        <w:rPr>
          <w:rFonts w:ascii="Times New Roman" w:hAnsi="Times New Roman" w:cs="Times New Roman"/>
          <w:sz w:val="24"/>
          <w:szCs w:val="24"/>
        </w:rPr>
        <w:t xml:space="preserve">) entailed that it should be granted the margin of appreciation. Nonetheless, the outcome of the comparative exercise was not sufficient for the Court to conclude </w:t>
      </w:r>
      <w:r w:rsidR="006C5661" w:rsidRPr="003B38A9">
        <w:rPr>
          <w:rFonts w:ascii="Times New Roman" w:hAnsi="Times New Roman" w:cs="Times New Roman"/>
          <w:sz w:val="24"/>
          <w:szCs w:val="24"/>
        </w:rPr>
        <w:t xml:space="preserve">that the restriction in question was proportionate. Among others, the ECtHR underlined the lack of sufficient debate within the UK parliament (discussed above); the point that </w:t>
      </w:r>
      <w:r w:rsidRPr="003B38A9">
        <w:rPr>
          <w:rFonts w:ascii="Times New Roman" w:hAnsi="Times New Roman" w:cs="Times New Roman"/>
          <w:sz w:val="24"/>
          <w:szCs w:val="24"/>
        </w:rPr>
        <w:t>‘even if no common European approach to the problem can be discerned, this cannot in itself be determinative of the issue’</w:t>
      </w:r>
      <w:r w:rsidR="006C5661" w:rsidRPr="003B38A9">
        <w:rPr>
          <w:rFonts w:ascii="Times New Roman" w:hAnsi="Times New Roman" w:cs="Times New Roman"/>
          <w:sz w:val="24"/>
          <w:szCs w:val="24"/>
        </w:rPr>
        <w:t xml:space="preserve"> as the wide margin of appreciation under the abovementioned Convention article is not ‘all embracing’;</w:t>
      </w:r>
      <w:r w:rsidRPr="003B38A9">
        <w:rPr>
          <w:rFonts w:ascii="Times New Roman" w:hAnsi="Times New Roman" w:cs="Times New Roman"/>
          <w:sz w:val="24"/>
          <w:szCs w:val="24"/>
          <w:vertAlign w:val="superscript"/>
        </w:rPr>
        <w:footnoteReference w:id="66"/>
      </w:r>
      <w:r w:rsidRPr="003B38A9">
        <w:rPr>
          <w:rFonts w:ascii="Times New Roman" w:hAnsi="Times New Roman" w:cs="Times New Roman"/>
          <w:sz w:val="24"/>
          <w:szCs w:val="24"/>
        </w:rPr>
        <w:t xml:space="preserve"> </w:t>
      </w:r>
      <w:r w:rsidR="006C5661" w:rsidRPr="003B38A9">
        <w:rPr>
          <w:rFonts w:ascii="Times New Roman" w:hAnsi="Times New Roman" w:cs="Times New Roman"/>
          <w:sz w:val="24"/>
          <w:szCs w:val="24"/>
        </w:rPr>
        <w:t xml:space="preserve">and </w:t>
      </w:r>
      <w:r w:rsidR="003B38A9">
        <w:rPr>
          <w:rFonts w:ascii="Times New Roman" w:hAnsi="Times New Roman" w:cs="Times New Roman"/>
          <w:sz w:val="24"/>
          <w:szCs w:val="24"/>
        </w:rPr>
        <w:t>t</w:t>
      </w:r>
      <w:r w:rsidR="006C5661" w:rsidRPr="003B38A9">
        <w:rPr>
          <w:rFonts w:ascii="Times New Roman" w:hAnsi="Times New Roman" w:cs="Times New Roman"/>
          <w:sz w:val="24"/>
          <w:szCs w:val="24"/>
        </w:rPr>
        <w:t>hat this was a ‘blanket restriction on all convicted prisoners in prison’</w:t>
      </w:r>
      <w:r w:rsidR="003B38A9">
        <w:rPr>
          <w:rFonts w:ascii="Times New Roman" w:hAnsi="Times New Roman" w:cs="Times New Roman"/>
          <w:sz w:val="24"/>
          <w:szCs w:val="24"/>
        </w:rPr>
        <w:t>,</w:t>
      </w:r>
      <w:r w:rsidR="006C5661" w:rsidRPr="003B38A9">
        <w:rPr>
          <w:rFonts w:ascii="Times New Roman" w:hAnsi="Times New Roman" w:cs="Times New Roman"/>
          <w:sz w:val="24"/>
          <w:szCs w:val="24"/>
        </w:rPr>
        <w:t xml:space="preserve"> which did not take into account the individual circumstances of the prisoners, the nature of the office, the length of service, etc.</w:t>
      </w:r>
      <w:r w:rsidR="006C5661" w:rsidRPr="003B38A9">
        <w:rPr>
          <w:rStyle w:val="FootnoteReference"/>
          <w:rFonts w:cs="Times New Roman"/>
          <w:sz w:val="24"/>
          <w:szCs w:val="24"/>
        </w:rPr>
        <w:footnoteReference w:id="67"/>
      </w:r>
      <w:r w:rsidR="006C5661" w:rsidRPr="003B38A9">
        <w:rPr>
          <w:rFonts w:ascii="Times New Roman" w:hAnsi="Times New Roman" w:cs="Times New Roman"/>
          <w:sz w:val="24"/>
          <w:szCs w:val="24"/>
        </w:rPr>
        <w:t xml:space="preserve"> The Court also added that this was a ‘vitally important Convention right’, having previously observed that the right to vote in the twenty first century should not be considered as a ‘privilege’.</w:t>
      </w:r>
      <w:r w:rsidR="006C5661" w:rsidRPr="003B38A9">
        <w:rPr>
          <w:rStyle w:val="FootnoteReference"/>
          <w:rFonts w:cs="Times New Roman"/>
          <w:sz w:val="24"/>
          <w:szCs w:val="24"/>
        </w:rPr>
        <w:footnoteReference w:id="68"/>
      </w:r>
      <w:r w:rsidR="006C5661" w:rsidRPr="003B38A9">
        <w:rPr>
          <w:rFonts w:ascii="Times New Roman" w:hAnsi="Times New Roman" w:cs="Times New Roman"/>
          <w:sz w:val="24"/>
          <w:szCs w:val="24"/>
        </w:rPr>
        <w:t xml:space="preserve"> </w:t>
      </w:r>
      <w:r w:rsidRPr="003B38A9">
        <w:rPr>
          <w:rFonts w:ascii="Times New Roman" w:hAnsi="Times New Roman" w:cs="Times New Roman"/>
          <w:sz w:val="24"/>
          <w:szCs w:val="24"/>
        </w:rPr>
        <w:t>Importantly, the Court left</w:t>
      </w:r>
      <w:r w:rsidR="006C5661" w:rsidRPr="003B38A9">
        <w:rPr>
          <w:rFonts w:ascii="Times New Roman" w:hAnsi="Times New Roman" w:cs="Times New Roman"/>
          <w:sz w:val="24"/>
          <w:szCs w:val="24"/>
        </w:rPr>
        <w:t xml:space="preserve"> it to</w:t>
      </w:r>
      <w:r w:rsidRPr="003B38A9">
        <w:rPr>
          <w:rFonts w:ascii="Times New Roman" w:hAnsi="Times New Roman" w:cs="Times New Roman"/>
          <w:sz w:val="24"/>
          <w:szCs w:val="24"/>
        </w:rPr>
        <w:t xml:space="preserve"> the UK ‘legislature to decide on the choice of means for securing the rights guaranteed’ by Article 3 of Protocol 1.</w:t>
      </w:r>
      <w:r w:rsidRPr="003B38A9">
        <w:rPr>
          <w:rFonts w:ascii="Times New Roman" w:hAnsi="Times New Roman" w:cs="Times New Roman"/>
          <w:sz w:val="24"/>
          <w:szCs w:val="24"/>
          <w:vertAlign w:val="superscript"/>
        </w:rPr>
        <w:footnoteReference w:id="69"/>
      </w:r>
    </w:p>
    <w:p w14:paraId="4DA43B3D" w14:textId="1AD8D5EC" w:rsidR="001D5459" w:rsidRPr="003B38A9" w:rsidRDefault="001D5459" w:rsidP="001D5459">
      <w:pPr>
        <w:spacing w:line="360" w:lineRule="auto"/>
        <w:jc w:val="both"/>
        <w:rPr>
          <w:rFonts w:ascii="Times New Roman" w:hAnsi="Times New Roman" w:cs="Times New Roman"/>
          <w:sz w:val="24"/>
          <w:szCs w:val="24"/>
        </w:rPr>
      </w:pPr>
      <w:r w:rsidRPr="003B38A9">
        <w:rPr>
          <w:rFonts w:ascii="Times New Roman" w:hAnsi="Times New Roman" w:cs="Times New Roman"/>
          <w:sz w:val="24"/>
          <w:szCs w:val="24"/>
        </w:rPr>
        <w:t xml:space="preserve">In </w:t>
      </w:r>
      <w:r w:rsidRPr="003B38A9">
        <w:rPr>
          <w:rFonts w:ascii="Times New Roman" w:hAnsi="Times New Roman" w:cs="Times New Roman"/>
          <w:i/>
          <w:sz w:val="24"/>
          <w:szCs w:val="24"/>
        </w:rPr>
        <w:t>Dickson</w:t>
      </w:r>
      <w:r w:rsidRPr="003B38A9">
        <w:rPr>
          <w:rFonts w:ascii="Times New Roman" w:hAnsi="Times New Roman" w:cs="Times New Roman"/>
          <w:sz w:val="24"/>
          <w:szCs w:val="24"/>
        </w:rPr>
        <w:t xml:space="preserve">, the Court found a violation of Article 8 in the absence of European consensus, given that the UK policy at stake (the refusal </w:t>
      </w:r>
      <w:r w:rsidR="00D340B0" w:rsidRPr="003B38A9">
        <w:rPr>
          <w:rFonts w:ascii="Times New Roman" w:hAnsi="Times New Roman" w:cs="Times New Roman"/>
          <w:sz w:val="24"/>
          <w:szCs w:val="24"/>
        </w:rPr>
        <w:t>of</w:t>
      </w:r>
      <w:r w:rsidRPr="003B38A9">
        <w:rPr>
          <w:rFonts w:ascii="Times New Roman" w:hAnsi="Times New Roman" w:cs="Times New Roman"/>
          <w:sz w:val="24"/>
          <w:szCs w:val="24"/>
        </w:rPr>
        <w:t xml:space="preserve"> artificial insemination</w:t>
      </w:r>
      <w:r w:rsidR="00D340B0" w:rsidRPr="003B38A9">
        <w:rPr>
          <w:rFonts w:ascii="Times New Roman" w:hAnsi="Times New Roman" w:cs="Times New Roman"/>
          <w:sz w:val="24"/>
          <w:szCs w:val="24"/>
        </w:rPr>
        <w:t xml:space="preserve"> facilities to prisoners</w:t>
      </w:r>
      <w:r w:rsidR="000900C5" w:rsidRPr="003B38A9">
        <w:rPr>
          <w:rFonts w:ascii="Times New Roman" w:hAnsi="Times New Roman" w:cs="Times New Roman"/>
          <w:sz w:val="24"/>
          <w:szCs w:val="24"/>
        </w:rPr>
        <w:t xml:space="preserve">, except </w:t>
      </w:r>
      <w:r w:rsidR="000900C5" w:rsidRPr="003B38A9">
        <w:rPr>
          <w:rFonts w:ascii="Times New Roman" w:hAnsi="Times New Roman" w:cs="Times New Roman"/>
          <w:sz w:val="24"/>
          <w:szCs w:val="24"/>
        </w:rPr>
        <w:lastRenderedPageBreak/>
        <w:t>for exceptional circumstances</w:t>
      </w:r>
      <w:r w:rsidRPr="003B38A9">
        <w:rPr>
          <w:rFonts w:ascii="Times New Roman" w:hAnsi="Times New Roman" w:cs="Times New Roman"/>
          <w:sz w:val="24"/>
          <w:szCs w:val="24"/>
        </w:rPr>
        <w:t>) ‘effectively excluded any real weighing of the competing individual and public interests, and prevented the required assessment of the proportionality of a restriction, in any individual case’.</w:t>
      </w:r>
      <w:r w:rsidRPr="003B38A9">
        <w:rPr>
          <w:rFonts w:ascii="Times New Roman" w:hAnsi="Times New Roman" w:cs="Times New Roman"/>
          <w:sz w:val="24"/>
          <w:szCs w:val="24"/>
          <w:vertAlign w:val="superscript"/>
        </w:rPr>
        <w:footnoteReference w:id="70"/>
      </w:r>
      <w:r w:rsidRPr="003B38A9">
        <w:rPr>
          <w:rFonts w:ascii="Times New Roman" w:hAnsi="Times New Roman" w:cs="Times New Roman"/>
          <w:sz w:val="24"/>
          <w:szCs w:val="24"/>
        </w:rPr>
        <w:t xml:space="preserve"> That was so because the policy at stake ‘placed an inordinately high “exceptionality” burden on the applicants when requesting artificial insemination facilities’.</w:t>
      </w:r>
      <w:r w:rsidRPr="003B38A9">
        <w:rPr>
          <w:rFonts w:ascii="Times New Roman" w:hAnsi="Times New Roman" w:cs="Times New Roman"/>
          <w:sz w:val="24"/>
          <w:szCs w:val="24"/>
          <w:vertAlign w:val="superscript"/>
        </w:rPr>
        <w:footnoteReference w:id="71"/>
      </w:r>
      <w:r w:rsidRPr="003B38A9">
        <w:rPr>
          <w:rFonts w:ascii="Times New Roman" w:hAnsi="Times New Roman" w:cs="Times New Roman"/>
          <w:sz w:val="24"/>
          <w:szCs w:val="24"/>
        </w:rPr>
        <w:t xml:space="preserve"> Thus, relying on the fair balance test, the Court concluded that </w:t>
      </w:r>
      <w:r w:rsidR="003B38A9">
        <w:rPr>
          <w:rFonts w:ascii="Times New Roman" w:hAnsi="Times New Roman" w:cs="Times New Roman"/>
          <w:sz w:val="24"/>
          <w:szCs w:val="24"/>
        </w:rPr>
        <w:t>as</w:t>
      </w:r>
      <w:r w:rsidR="000900C5" w:rsidRPr="003B38A9">
        <w:rPr>
          <w:rFonts w:ascii="Times New Roman" w:hAnsi="Times New Roman" w:cs="Times New Roman"/>
          <w:sz w:val="24"/>
          <w:szCs w:val="24"/>
        </w:rPr>
        <w:t xml:space="preserve"> the threshold was already too high for applicants, it precluded </w:t>
      </w:r>
      <w:r w:rsidRPr="003B38A9">
        <w:rPr>
          <w:rFonts w:ascii="Times New Roman" w:hAnsi="Times New Roman" w:cs="Times New Roman"/>
          <w:sz w:val="24"/>
          <w:szCs w:val="24"/>
        </w:rPr>
        <w:t xml:space="preserve">an individual assessment </w:t>
      </w:r>
      <w:r w:rsidR="000900C5" w:rsidRPr="003B38A9">
        <w:rPr>
          <w:rFonts w:ascii="Times New Roman" w:hAnsi="Times New Roman" w:cs="Times New Roman"/>
          <w:sz w:val="24"/>
          <w:szCs w:val="24"/>
        </w:rPr>
        <w:t xml:space="preserve">and balancing of the competing public and individual interests </w:t>
      </w:r>
      <w:r w:rsidRPr="003B38A9">
        <w:rPr>
          <w:rFonts w:ascii="Times New Roman" w:hAnsi="Times New Roman" w:cs="Times New Roman"/>
          <w:sz w:val="24"/>
          <w:szCs w:val="24"/>
        </w:rPr>
        <w:t>on the basis of proportionality</w:t>
      </w:r>
      <w:r w:rsidR="000900C5" w:rsidRPr="003B38A9">
        <w:rPr>
          <w:rFonts w:ascii="Times New Roman" w:hAnsi="Times New Roman" w:cs="Times New Roman"/>
          <w:sz w:val="24"/>
          <w:szCs w:val="24"/>
        </w:rPr>
        <w:t>.</w:t>
      </w:r>
      <w:r w:rsidR="000900C5" w:rsidRPr="003B38A9">
        <w:rPr>
          <w:rStyle w:val="FootnoteReference"/>
          <w:rFonts w:cs="Times New Roman"/>
          <w:sz w:val="24"/>
          <w:szCs w:val="24"/>
        </w:rPr>
        <w:footnoteReference w:id="72"/>
      </w:r>
      <w:r w:rsidRPr="003B38A9">
        <w:rPr>
          <w:rFonts w:ascii="Times New Roman" w:hAnsi="Times New Roman" w:cs="Times New Roman"/>
          <w:sz w:val="24"/>
          <w:szCs w:val="24"/>
        </w:rPr>
        <w:t xml:space="preserve"> </w:t>
      </w:r>
      <w:r w:rsidR="000900C5" w:rsidRPr="003B38A9">
        <w:rPr>
          <w:rFonts w:ascii="Times New Roman" w:hAnsi="Times New Roman" w:cs="Times New Roman"/>
          <w:sz w:val="24"/>
          <w:szCs w:val="24"/>
        </w:rPr>
        <w:t>The Court accordingly noted that ‘the matter was of vital importance to the applicants’ as artificial insemination was their only realistic hope of having a child together.</w:t>
      </w:r>
      <w:r w:rsidR="000900C5" w:rsidRPr="003B38A9">
        <w:rPr>
          <w:rStyle w:val="FootnoteReference"/>
          <w:rFonts w:cs="Times New Roman"/>
          <w:sz w:val="24"/>
          <w:szCs w:val="24"/>
        </w:rPr>
        <w:footnoteReference w:id="73"/>
      </w:r>
      <w:r w:rsidR="000900C5" w:rsidRPr="003B38A9">
        <w:rPr>
          <w:rFonts w:ascii="Times New Roman" w:hAnsi="Times New Roman" w:cs="Times New Roman"/>
          <w:sz w:val="24"/>
          <w:szCs w:val="24"/>
        </w:rPr>
        <w:t xml:space="preserve"> Overall, the policy in question violated Article 8 </w:t>
      </w:r>
      <w:r w:rsidR="00C93019">
        <w:rPr>
          <w:rFonts w:ascii="Times New Roman" w:hAnsi="Times New Roman" w:cs="Times New Roman"/>
          <w:sz w:val="24"/>
          <w:szCs w:val="24"/>
        </w:rPr>
        <w:t>ECHR</w:t>
      </w:r>
      <w:r w:rsidR="000900C5" w:rsidRPr="003B38A9">
        <w:rPr>
          <w:rFonts w:ascii="Times New Roman" w:hAnsi="Times New Roman" w:cs="Times New Roman"/>
          <w:sz w:val="24"/>
          <w:szCs w:val="24"/>
        </w:rPr>
        <w:t xml:space="preserve"> and </w:t>
      </w:r>
      <w:r w:rsidRPr="003B38A9">
        <w:rPr>
          <w:rFonts w:ascii="Times New Roman" w:hAnsi="Times New Roman" w:cs="Times New Roman"/>
          <w:sz w:val="24"/>
          <w:szCs w:val="24"/>
        </w:rPr>
        <w:t>fell outside the scope of the UK’s margin of appreciation.</w:t>
      </w:r>
    </w:p>
    <w:p w14:paraId="30817864" w14:textId="5A2FBED8" w:rsidR="00DF6250" w:rsidRPr="003B38A9" w:rsidRDefault="00F0782C" w:rsidP="00AD010A">
      <w:pPr>
        <w:spacing w:line="360" w:lineRule="auto"/>
        <w:jc w:val="both"/>
        <w:rPr>
          <w:rFonts w:ascii="Times New Roman" w:hAnsi="Times New Roman" w:cs="Times New Roman"/>
          <w:sz w:val="24"/>
          <w:szCs w:val="24"/>
        </w:rPr>
      </w:pPr>
      <w:r w:rsidRPr="003B38A9">
        <w:rPr>
          <w:rFonts w:ascii="Times New Roman" w:hAnsi="Times New Roman" w:cs="Times New Roman"/>
          <w:sz w:val="24"/>
          <w:szCs w:val="24"/>
        </w:rPr>
        <w:t xml:space="preserve">In </w:t>
      </w:r>
      <w:r w:rsidRPr="003B38A9">
        <w:rPr>
          <w:rFonts w:ascii="Times New Roman" w:hAnsi="Times New Roman" w:cs="Times New Roman"/>
          <w:i/>
          <w:sz w:val="24"/>
          <w:szCs w:val="24"/>
        </w:rPr>
        <w:t>Phinikaridou</w:t>
      </w:r>
      <w:r w:rsidRPr="003B38A9">
        <w:rPr>
          <w:rFonts w:ascii="Times New Roman" w:hAnsi="Times New Roman" w:cs="Times New Roman"/>
          <w:sz w:val="24"/>
          <w:szCs w:val="24"/>
        </w:rPr>
        <w:t xml:space="preserve">, </w:t>
      </w:r>
      <w:r w:rsidR="00834C63" w:rsidRPr="003B38A9">
        <w:rPr>
          <w:rFonts w:ascii="Times New Roman" w:hAnsi="Times New Roman" w:cs="Times New Roman"/>
          <w:sz w:val="24"/>
          <w:szCs w:val="24"/>
        </w:rPr>
        <w:t xml:space="preserve">the statutory three-year limitation period prevented </w:t>
      </w:r>
      <w:r w:rsidR="003B38A9">
        <w:rPr>
          <w:rFonts w:ascii="Times New Roman" w:hAnsi="Times New Roman" w:cs="Times New Roman"/>
          <w:sz w:val="24"/>
          <w:szCs w:val="24"/>
        </w:rPr>
        <w:t xml:space="preserve">subsequent </w:t>
      </w:r>
      <w:r w:rsidR="00834C63" w:rsidRPr="003B38A9">
        <w:rPr>
          <w:rFonts w:ascii="Times New Roman" w:hAnsi="Times New Roman" w:cs="Times New Roman"/>
          <w:sz w:val="24"/>
          <w:szCs w:val="24"/>
        </w:rPr>
        <w:t xml:space="preserve">requests for </w:t>
      </w:r>
      <w:r w:rsidRPr="003B38A9">
        <w:rPr>
          <w:rFonts w:ascii="Times New Roman" w:hAnsi="Times New Roman" w:cs="Times New Roman"/>
          <w:sz w:val="24"/>
          <w:szCs w:val="24"/>
        </w:rPr>
        <w:t>judicial recognition of paternity</w:t>
      </w:r>
      <w:r w:rsidR="00834C63" w:rsidRPr="003B38A9">
        <w:rPr>
          <w:rFonts w:ascii="Times New Roman" w:hAnsi="Times New Roman" w:cs="Times New Roman"/>
          <w:sz w:val="24"/>
          <w:szCs w:val="24"/>
        </w:rPr>
        <w:t>, even when applicants bec</w:t>
      </w:r>
      <w:r w:rsidR="007B3E05">
        <w:rPr>
          <w:rFonts w:ascii="Times New Roman" w:hAnsi="Times New Roman" w:cs="Times New Roman"/>
          <w:sz w:val="24"/>
          <w:szCs w:val="24"/>
        </w:rPr>
        <w:t>a</w:t>
      </w:r>
      <w:r w:rsidR="00834C63" w:rsidRPr="003B38A9">
        <w:rPr>
          <w:rFonts w:ascii="Times New Roman" w:hAnsi="Times New Roman" w:cs="Times New Roman"/>
          <w:sz w:val="24"/>
          <w:szCs w:val="24"/>
        </w:rPr>
        <w:t xml:space="preserve">me aware of circumstances that would enable them to seek judicial recognition </w:t>
      </w:r>
      <w:r w:rsidR="00834C63" w:rsidRPr="003B38A9">
        <w:rPr>
          <w:rFonts w:ascii="Times New Roman" w:hAnsi="Times New Roman" w:cs="Times New Roman"/>
          <w:i/>
          <w:sz w:val="24"/>
          <w:szCs w:val="24"/>
        </w:rPr>
        <w:t>after the expiration of that period</w:t>
      </w:r>
      <w:r w:rsidR="00834C63" w:rsidRPr="003B38A9">
        <w:rPr>
          <w:rFonts w:ascii="Times New Roman" w:hAnsi="Times New Roman" w:cs="Times New Roman"/>
          <w:sz w:val="24"/>
          <w:szCs w:val="24"/>
        </w:rPr>
        <w:t>.</w:t>
      </w:r>
      <w:r w:rsidR="00AD010A" w:rsidRPr="003B38A9">
        <w:rPr>
          <w:rStyle w:val="FootnoteReference"/>
          <w:rFonts w:cs="Times New Roman"/>
          <w:sz w:val="24"/>
          <w:szCs w:val="24"/>
        </w:rPr>
        <w:footnoteReference w:id="74"/>
      </w:r>
      <w:r w:rsidR="00AD010A" w:rsidRPr="003B38A9">
        <w:rPr>
          <w:rFonts w:ascii="Times New Roman" w:hAnsi="Times New Roman" w:cs="Times New Roman"/>
          <w:sz w:val="24"/>
          <w:szCs w:val="24"/>
        </w:rPr>
        <w:t xml:space="preserve"> The Court firstly observed that ‘the existence of a limitation period per se is not incompatible with the Convention’.</w:t>
      </w:r>
      <w:r w:rsidR="00AD010A" w:rsidRPr="003B38A9">
        <w:rPr>
          <w:rStyle w:val="FootnoteReference"/>
          <w:rFonts w:cs="Times New Roman"/>
          <w:sz w:val="24"/>
          <w:szCs w:val="24"/>
        </w:rPr>
        <w:footnoteReference w:id="75"/>
      </w:r>
      <w:r w:rsidR="00AD010A" w:rsidRPr="003B38A9">
        <w:rPr>
          <w:rFonts w:ascii="Times New Roman" w:hAnsi="Times New Roman" w:cs="Times New Roman"/>
          <w:sz w:val="24"/>
          <w:szCs w:val="24"/>
        </w:rPr>
        <w:t xml:space="preserve"> </w:t>
      </w:r>
      <w:r w:rsidR="003B38A9">
        <w:rPr>
          <w:rFonts w:ascii="Times New Roman" w:hAnsi="Times New Roman" w:cs="Times New Roman"/>
          <w:sz w:val="24"/>
          <w:szCs w:val="24"/>
        </w:rPr>
        <w:t>T</w:t>
      </w:r>
      <w:r w:rsidR="00AD010A" w:rsidRPr="003B38A9">
        <w:rPr>
          <w:rFonts w:ascii="Times New Roman" w:hAnsi="Times New Roman" w:cs="Times New Roman"/>
          <w:sz w:val="24"/>
          <w:szCs w:val="24"/>
        </w:rPr>
        <w:t>he pertinent question was</w:t>
      </w:r>
      <w:r w:rsidR="00F82D9C">
        <w:rPr>
          <w:rFonts w:ascii="Times New Roman" w:hAnsi="Times New Roman" w:cs="Times New Roman"/>
          <w:sz w:val="24"/>
          <w:szCs w:val="24"/>
        </w:rPr>
        <w:t>, however,</w:t>
      </w:r>
      <w:r w:rsidR="00AD010A" w:rsidRPr="003B38A9">
        <w:rPr>
          <w:rFonts w:ascii="Times New Roman" w:hAnsi="Times New Roman" w:cs="Times New Roman"/>
          <w:sz w:val="24"/>
          <w:szCs w:val="24"/>
        </w:rPr>
        <w:t xml:space="preserve"> whether the absoluteness of such period </w:t>
      </w:r>
      <w:r w:rsidR="00834C63" w:rsidRPr="003B38A9">
        <w:rPr>
          <w:rFonts w:ascii="Times New Roman" w:hAnsi="Times New Roman" w:cs="Times New Roman"/>
          <w:sz w:val="24"/>
          <w:szCs w:val="24"/>
        </w:rPr>
        <w:t>satisfied the fair balance test</w:t>
      </w:r>
      <w:r w:rsidR="00AD010A" w:rsidRPr="003B38A9">
        <w:rPr>
          <w:rFonts w:ascii="Times New Roman" w:hAnsi="Times New Roman" w:cs="Times New Roman"/>
          <w:sz w:val="24"/>
          <w:szCs w:val="24"/>
        </w:rPr>
        <w:t>. Although the Court did not use the term ‘consensus’</w:t>
      </w:r>
      <w:r w:rsidR="00834C63" w:rsidRPr="003B38A9">
        <w:rPr>
          <w:rFonts w:ascii="Times New Roman" w:hAnsi="Times New Roman" w:cs="Times New Roman"/>
          <w:sz w:val="24"/>
          <w:szCs w:val="24"/>
        </w:rPr>
        <w:t>,</w:t>
      </w:r>
      <w:r w:rsidR="006F3FFE">
        <w:rPr>
          <w:rFonts w:ascii="Times New Roman" w:hAnsi="Times New Roman" w:cs="Times New Roman"/>
          <w:sz w:val="24"/>
          <w:szCs w:val="24"/>
        </w:rPr>
        <w:t xml:space="preserve"> </w:t>
      </w:r>
      <w:r w:rsidR="00AD010A" w:rsidRPr="003B38A9">
        <w:rPr>
          <w:rFonts w:ascii="Times New Roman" w:hAnsi="Times New Roman" w:cs="Times New Roman"/>
          <w:sz w:val="24"/>
          <w:szCs w:val="24"/>
        </w:rPr>
        <w:t>it was probably of the view that such consensus was absent. In particular, the ECtHR observed that a ‘com</w:t>
      </w:r>
      <w:r w:rsidR="00AD010A" w:rsidRPr="003B38A9">
        <w:rPr>
          <w:rFonts w:ascii="Times New Roman" w:hAnsi="Times New Roman" w:cs="Times New Roman"/>
          <w:sz w:val="24"/>
          <w:szCs w:val="24"/>
        </w:rPr>
        <w:lastRenderedPageBreak/>
        <w:t>parative examination of the Contracting States’ legislation on the institution of actions for judicial recognition of paternity reveal</w:t>
      </w:r>
      <w:r w:rsidR="00DF6250" w:rsidRPr="003B38A9">
        <w:rPr>
          <w:rFonts w:ascii="Times New Roman" w:hAnsi="Times New Roman" w:cs="Times New Roman"/>
          <w:sz w:val="24"/>
          <w:szCs w:val="24"/>
        </w:rPr>
        <w:t>[ed] that there [was]</w:t>
      </w:r>
      <w:r w:rsidR="00AD010A" w:rsidRPr="003B38A9">
        <w:rPr>
          <w:rFonts w:ascii="Times New Roman" w:hAnsi="Times New Roman" w:cs="Times New Roman"/>
          <w:sz w:val="24"/>
          <w:szCs w:val="24"/>
        </w:rPr>
        <w:t xml:space="preserve"> no uniform approach in this field</w:t>
      </w:r>
      <w:r w:rsidR="00DF6250" w:rsidRPr="003B38A9">
        <w:rPr>
          <w:rFonts w:ascii="Times New Roman" w:hAnsi="Times New Roman" w:cs="Times New Roman"/>
          <w:sz w:val="24"/>
          <w:szCs w:val="24"/>
        </w:rPr>
        <w:t>’; yet ‘a tendency [could] be ascertained towards a greater protection of the right of the child to have its paternal affiliation established’.</w:t>
      </w:r>
      <w:r w:rsidR="00DF6250" w:rsidRPr="003B38A9">
        <w:rPr>
          <w:rStyle w:val="FootnoteReference"/>
          <w:rFonts w:cs="Times New Roman"/>
          <w:sz w:val="24"/>
          <w:szCs w:val="24"/>
        </w:rPr>
        <w:footnoteReference w:id="76"/>
      </w:r>
      <w:r w:rsidR="00DF6250" w:rsidRPr="003B38A9">
        <w:rPr>
          <w:rFonts w:ascii="Times New Roman" w:hAnsi="Times New Roman" w:cs="Times New Roman"/>
          <w:sz w:val="24"/>
          <w:szCs w:val="24"/>
        </w:rPr>
        <w:t xml:space="preserve"> Still, the length </w:t>
      </w:r>
      <w:r w:rsidR="00F82D9C">
        <w:rPr>
          <w:rFonts w:ascii="Times New Roman" w:hAnsi="Times New Roman" w:cs="Times New Roman"/>
          <w:sz w:val="24"/>
          <w:szCs w:val="24"/>
        </w:rPr>
        <w:t xml:space="preserve">of existing time limits (if established) </w:t>
      </w:r>
      <w:r w:rsidR="00DF6250" w:rsidRPr="003B38A9">
        <w:rPr>
          <w:rFonts w:ascii="Times New Roman" w:hAnsi="Times New Roman" w:cs="Times New Roman"/>
          <w:sz w:val="24"/>
          <w:szCs w:val="24"/>
        </w:rPr>
        <w:t>varied considerably (between one and thirty years) and, crucially, ‘[o]nly a small number of legal systems seem[ed] to have produced solutions to the problem which arises when the relevant circumstances become known only after the expiry of the time-limit’.</w:t>
      </w:r>
      <w:r w:rsidR="00DF6250" w:rsidRPr="003B38A9">
        <w:rPr>
          <w:rStyle w:val="FootnoteReference"/>
          <w:rFonts w:cs="Times New Roman"/>
          <w:sz w:val="24"/>
          <w:szCs w:val="24"/>
        </w:rPr>
        <w:footnoteReference w:id="77"/>
      </w:r>
      <w:r w:rsidR="00DF6250" w:rsidRPr="003B38A9">
        <w:rPr>
          <w:rFonts w:ascii="Times New Roman" w:hAnsi="Times New Roman" w:cs="Times New Roman"/>
          <w:sz w:val="24"/>
          <w:szCs w:val="24"/>
        </w:rPr>
        <w:t xml:space="preserve"> The Strasbourg Court </w:t>
      </w:r>
      <w:r w:rsidR="006C5795">
        <w:rPr>
          <w:rFonts w:ascii="Times New Roman" w:hAnsi="Times New Roman" w:cs="Times New Roman"/>
          <w:sz w:val="24"/>
          <w:szCs w:val="24"/>
        </w:rPr>
        <w:t xml:space="preserve">nonetheless </w:t>
      </w:r>
      <w:r w:rsidR="00DF6250" w:rsidRPr="003B38A9">
        <w:rPr>
          <w:rFonts w:ascii="Times New Roman" w:hAnsi="Times New Roman" w:cs="Times New Roman"/>
          <w:sz w:val="24"/>
          <w:szCs w:val="24"/>
        </w:rPr>
        <w:t xml:space="preserve">paid particular attention to the essence of the right in question when performing the balancing exercise. It reiterated that the Convention guarantees rights that are not theoretical or illusory but practical and effective, and that by disproportionately protecting the general interest </w:t>
      </w:r>
      <w:r w:rsidR="004F3302" w:rsidRPr="003B38A9">
        <w:rPr>
          <w:rFonts w:ascii="Times New Roman" w:hAnsi="Times New Roman" w:cs="Times New Roman"/>
          <w:sz w:val="24"/>
          <w:szCs w:val="24"/>
        </w:rPr>
        <w:t xml:space="preserve">(‘legal certainty in family relations’) </w:t>
      </w:r>
      <w:r w:rsidR="00DF6250" w:rsidRPr="003B38A9">
        <w:rPr>
          <w:rFonts w:ascii="Times New Roman" w:hAnsi="Times New Roman" w:cs="Times New Roman"/>
          <w:sz w:val="24"/>
          <w:szCs w:val="24"/>
        </w:rPr>
        <w:t>and that of the presumed father</w:t>
      </w:r>
      <w:r w:rsidR="004F3302" w:rsidRPr="003B38A9">
        <w:rPr>
          <w:rFonts w:ascii="Times New Roman" w:hAnsi="Times New Roman" w:cs="Times New Roman"/>
          <w:sz w:val="24"/>
          <w:szCs w:val="24"/>
        </w:rPr>
        <w:t>,</w:t>
      </w:r>
      <w:r w:rsidR="00DF6250" w:rsidRPr="003B38A9">
        <w:rPr>
          <w:rFonts w:ascii="Times New Roman" w:hAnsi="Times New Roman" w:cs="Times New Roman"/>
          <w:sz w:val="24"/>
          <w:szCs w:val="24"/>
        </w:rPr>
        <w:t xml:space="preserve"> the respondent proceeded to a ‘radical restriction’ of the applicant’s ‘right to find out her origins’.</w:t>
      </w:r>
      <w:r w:rsidR="004F3302" w:rsidRPr="003B38A9">
        <w:rPr>
          <w:rStyle w:val="FootnoteReference"/>
          <w:rFonts w:cs="Times New Roman"/>
          <w:sz w:val="24"/>
          <w:szCs w:val="24"/>
        </w:rPr>
        <w:footnoteReference w:id="78"/>
      </w:r>
      <w:r w:rsidR="00413093" w:rsidRPr="003B38A9">
        <w:rPr>
          <w:rFonts w:ascii="Times New Roman" w:hAnsi="Times New Roman" w:cs="Times New Roman"/>
          <w:sz w:val="24"/>
          <w:szCs w:val="24"/>
        </w:rPr>
        <w:t xml:space="preserve"> Thus, despite the </w:t>
      </w:r>
      <w:r w:rsidR="006C5795">
        <w:rPr>
          <w:rFonts w:ascii="Times New Roman" w:hAnsi="Times New Roman" w:cs="Times New Roman"/>
          <w:sz w:val="24"/>
          <w:szCs w:val="24"/>
        </w:rPr>
        <w:t xml:space="preserve">considerable </w:t>
      </w:r>
      <w:r w:rsidR="00413093" w:rsidRPr="003B38A9">
        <w:rPr>
          <w:rFonts w:ascii="Times New Roman" w:hAnsi="Times New Roman" w:cs="Times New Roman"/>
          <w:sz w:val="24"/>
          <w:szCs w:val="24"/>
        </w:rPr>
        <w:t xml:space="preserve">margin of appreciation that </w:t>
      </w:r>
      <w:r w:rsidR="006C5795">
        <w:rPr>
          <w:rFonts w:ascii="Times New Roman" w:hAnsi="Times New Roman" w:cs="Times New Roman"/>
          <w:sz w:val="24"/>
          <w:szCs w:val="24"/>
        </w:rPr>
        <w:t xml:space="preserve">is generally </w:t>
      </w:r>
      <w:r w:rsidR="00413093" w:rsidRPr="003B38A9">
        <w:rPr>
          <w:rFonts w:ascii="Times New Roman" w:hAnsi="Times New Roman" w:cs="Times New Roman"/>
          <w:sz w:val="24"/>
          <w:szCs w:val="24"/>
        </w:rPr>
        <w:t xml:space="preserve">left to </w:t>
      </w:r>
      <w:r w:rsidR="006C5795">
        <w:rPr>
          <w:rFonts w:ascii="Times New Roman" w:hAnsi="Times New Roman" w:cs="Times New Roman"/>
          <w:sz w:val="24"/>
          <w:szCs w:val="24"/>
        </w:rPr>
        <w:t>states on this matter</w:t>
      </w:r>
      <w:r w:rsidR="00413093" w:rsidRPr="003B38A9">
        <w:rPr>
          <w:rFonts w:ascii="Times New Roman" w:hAnsi="Times New Roman" w:cs="Times New Roman"/>
          <w:sz w:val="24"/>
          <w:szCs w:val="24"/>
        </w:rPr>
        <w:t xml:space="preserve">, </w:t>
      </w:r>
      <w:r w:rsidR="006C5795">
        <w:rPr>
          <w:rFonts w:ascii="Times New Roman" w:hAnsi="Times New Roman" w:cs="Times New Roman"/>
          <w:sz w:val="24"/>
          <w:szCs w:val="24"/>
        </w:rPr>
        <w:t xml:space="preserve">under these circumstances </w:t>
      </w:r>
      <w:r w:rsidR="00413093" w:rsidRPr="003B38A9">
        <w:rPr>
          <w:rFonts w:ascii="Times New Roman" w:hAnsi="Times New Roman" w:cs="Times New Roman"/>
          <w:sz w:val="24"/>
          <w:szCs w:val="24"/>
        </w:rPr>
        <w:t>‘the very essence of the right to respect for one’s private life under Article 8’ had been impaired.</w:t>
      </w:r>
      <w:r w:rsidR="00413093" w:rsidRPr="003B38A9">
        <w:rPr>
          <w:rStyle w:val="FootnoteReference"/>
          <w:rFonts w:cs="Times New Roman"/>
          <w:sz w:val="24"/>
          <w:szCs w:val="24"/>
        </w:rPr>
        <w:footnoteReference w:id="79"/>
      </w:r>
    </w:p>
    <w:p w14:paraId="71F45703" w14:textId="77777777" w:rsidR="001D5459" w:rsidRPr="003B38A9" w:rsidRDefault="000E02C4" w:rsidP="001D5459">
      <w:pPr>
        <w:spacing w:line="360" w:lineRule="auto"/>
        <w:jc w:val="both"/>
        <w:rPr>
          <w:rFonts w:ascii="Times New Roman" w:hAnsi="Times New Roman" w:cs="Times New Roman"/>
          <w:sz w:val="24"/>
          <w:szCs w:val="24"/>
        </w:rPr>
      </w:pPr>
      <w:r w:rsidRPr="003B38A9">
        <w:rPr>
          <w:rFonts w:ascii="Times New Roman" w:hAnsi="Times New Roman" w:cs="Times New Roman"/>
          <w:sz w:val="24"/>
          <w:szCs w:val="24"/>
        </w:rPr>
        <w:t>In</w:t>
      </w:r>
      <w:r w:rsidR="001D5459" w:rsidRPr="003B38A9">
        <w:rPr>
          <w:rFonts w:ascii="Times New Roman" w:hAnsi="Times New Roman" w:cs="Times New Roman"/>
          <w:sz w:val="24"/>
          <w:szCs w:val="24"/>
        </w:rPr>
        <w:t xml:space="preserve"> </w:t>
      </w:r>
      <w:r w:rsidR="001D5459" w:rsidRPr="003B38A9">
        <w:rPr>
          <w:rFonts w:ascii="Times New Roman" w:hAnsi="Times New Roman" w:cs="Times New Roman"/>
          <w:i/>
          <w:sz w:val="24"/>
          <w:szCs w:val="24"/>
        </w:rPr>
        <w:t xml:space="preserve">X </w:t>
      </w:r>
      <w:r w:rsidRPr="003B38A9">
        <w:rPr>
          <w:rFonts w:ascii="Times New Roman" w:hAnsi="Times New Roman" w:cs="Times New Roman"/>
          <w:i/>
          <w:sz w:val="24"/>
          <w:szCs w:val="24"/>
        </w:rPr>
        <w:t>and Others</w:t>
      </w:r>
      <w:r w:rsidR="001D5459" w:rsidRPr="003B38A9">
        <w:rPr>
          <w:rFonts w:ascii="Times New Roman" w:hAnsi="Times New Roman" w:cs="Times New Roman"/>
          <w:sz w:val="24"/>
          <w:szCs w:val="24"/>
        </w:rPr>
        <w:t xml:space="preserve"> v </w:t>
      </w:r>
      <w:r w:rsidR="001D5459" w:rsidRPr="003B38A9">
        <w:rPr>
          <w:rFonts w:ascii="Times New Roman" w:hAnsi="Times New Roman" w:cs="Times New Roman"/>
          <w:i/>
          <w:sz w:val="24"/>
          <w:szCs w:val="24"/>
        </w:rPr>
        <w:t>Aust</w:t>
      </w:r>
      <w:r w:rsidRPr="003B38A9">
        <w:rPr>
          <w:rFonts w:ascii="Times New Roman" w:hAnsi="Times New Roman" w:cs="Times New Roman"/>
          <w:i/>
          <w:sz w:val="24"/>
          <w:szCs w:val="24"/>
        </w:rPr>
        <w:t>r</w:t>
      </w:r>
      <w:r w:rsidR="001D5459" w:rsidRPr="003B38A9">
        <w:rPr>
          <w:rFonts w:ascii="Times New Roman" w:hAnsi="Times New Roman" w:cs="Times New Roman"/>
          <w:i/>
          <w:sz w:val="24"/>
          <w:szCs w:val="24"/>
        </w:rPr>
        <w:t>ia</w:t>
      </w:r>
      <w:r w:rsidRPr="003B38A9">
        <w:rPr>
          <w:rFonts w:ascii="Times New Roman" w:hAnsi="Times New Roman" w:cs="Times New Roman"/>
          <w:sz w:val="24"/>
          <w:szCs w:val="24"/>
        </w:rPr>
        <w:t xml:space="preserve">, the Court </w:t>
      </w:r>
      <w:r w:rsidR="00601EF8">
        <w:rPr>
          <w:rFonts w:ascii="Times New Roman" w:hAnsi="Times New Roman" w:cs="Times New Roman"/>
          <w:sz w:val="24"/>
          <w:szCs w:val="24"/>
        </w:rPr>
        <w:t>examined</w:t>
      </w:r>
      <w:r w:rsidRPr="003B38A9">
        <w:rPr>
          <w:rFonts w:ascii="Times New Roman" w:hAnsi="Times New Roman" w:cs="Times New Roman"/>
          <w:sz w:val="24"/>
          <w:szCs w:val="24"/>
        </w:rPr>
        <w:t xml:space="preserve"> whether the prohibition of the adoption of the child of one partner in a same-sex couple by the other partner was compatible with Article </w:t>
      </w:r>
      <w:r w:rsidR="000C0D7D" w:rsidRPr="003B38A9">
        <w:rPr>
          <w:rFonts w:ascii="Times New Roman" w:hAnsi="Times New Roman" w:cs="Times New Roman"/>
          <w:sz w:val="24"/>
          <w:szCs w:val="24"/>
        </w:rPr>
        <w:t xml:space="preserve">14, </w:t>
      </w:r>
      <w:r w:rsidR="000C0D7D" w:rsidRPr="003B38A9">
        <w:rPr>
          <w:rFonts w:ascii="Times New Roman" w:hAnsi="Times New Roman" w:cs="Times New Roman"/>
          <w:sz w:val="24"/>
          <w:szCs w:val="24"/>
        </w:rPr>
        <w:lastRenderedPageBreak/>
        <w:t xml:space="preserve">in conjunction with Article </w:t>
      </w:r>
      <w:r w:rsidRPr="003B38A9">
        <w:rPr>
          <w:rFonts w:ascii="Times New Roman" w:hAnsi="Times New Roman" w:cs="Times New Roman"/>
          <w:sz w:val="24"/>
          <w:szCs w:val="24"/>
        </w:rPr>
        <w:t>8</w:t>
      </w:r>
      <w:r w:rsidR="000C0D7D" w:rsidRPr="003B38A9">
        <w:rPr>
          <w:rFonts w:ascii="Times New Roman" w:hAnsi="Times New Roman" w:cs="Times New Roman"/>
          <w:sz w:val="24"/>
          <w:szCs w:val="24"/>
        </w:rPr>
        <w:t xml:space="preserve"> ECHR</w:t>
      </w:r>
      <w:r w:rsidRPr="003B38A9">
        <w:rPr>
          <w:rFonts w:ascii="Times New Roman" w:hAnsi="Times New Roman" w:cs="Times New Roman"/>
          <w:sz w:val="24"/>
          <w:szCs w:val="24"/>
        </w:rPr>
        <w:t>.</w:t>
      </w:r>
      <w:r w:rsidRPr="003B38A9">
        <w:rPr>
          <w:rStyle w:val="FootnoteReference"/>
          <w:rFonts w:cs="Times New Roman"/>
          <w:sz w:val="24"/>
          <w:szCs w:val="24"/>
        </w:rPr>
        <w:footnoteReference w:id="80"/>
      </w:r>
      <w:r w:rsidRPr="003B38A9">
        <w:rPr>
          <w:rFonts w:ascii="Times New Roman" w:hAnsi="Times New Roman" w:cs="Times New Roman"/>
          <w:sz w:val="24"/>
          <w:szCs w:val="24"/>
        </w:rPr>
        <w:t xml:space="preserve"> </w:t>
      </w:r>
      <w:r w:rsidR="000C0D7D" w:rsidRPr="003B38A9">
        <w:rPr>
          <w:rFonts w:ascii="Times New Roman" w:hAnsi="Times New Roman" w:cs="Times New Roman"/>
          <w:sz w:val="24"/>
          <w:szCs w:val="24"/>
        </w:rPr>
        <w:t xml:space="preserve">The Court underlined the difference in treatment of the applicants when compared to unmarried heterosexual couples in respect of second-parent adoption. Turning to its proportionality analysis, it pointed out that where there is a difference in treatment based on sex or sexual orientation the margin of appreciation is narrow, and therefore proportionality ‘does not merely require the measure chosen to be suitable in principle for achievement of the aim sought’ but it </w:t>
      </w:r>
      <w:r w:rsidR="00DE4A8F">
        <w:rPr>
          <w:rFonts w:ascii="Times New Roman" w:hAnsi="Times New Roman" w:cs="Times New Roman"/>
          <w:sz w:val="24"/>
          <w:szCs w:val="24"/>
        </w:rPr>
        <w:t>m</w:t>
      </w:r>
      <w:r w:rsidR="000C0D7D" w:rsidRPr="003B38A9">
        <w:rPr>
          <w:rFonts w:ascii="Times New Roman" w:hAnsi="Times New Roman" w:cs="Times New Roman"/>
          <w:sz w:val="24"/>
          <w:szCs w:val="24"/>
        </w:rPr>
        <w:t>ust also be demonstrated that it was ‘necessary … to exclude certain categories of people, in this instance persons living together in a homosexual relationship, from the scope of application of the provisions in issue</w:t>
      </w:r>
      <w:r w:rsidR="00AE3556" w:rsidRPr="003B38A9">
        <w:rPr>
          <w:rFonts w:ascii="Times New Roman" w:hAnsi="Times New Roman" w:cs="Times New Roman"/>
          <w:sz w:val="24"/>
          <w:szCs w:val="24"/>
        </w:rPr>
        <w:t>’.</w:t>
      </w:r>
      <w:r w:rsidR="00AE3556" w:rsidRPr="003B38A9">
        <w:rPr>
          <w:rStyle w:val="FootnoteReference"/>
          <w:rFonts w:cs="Times New Roman"/>
          <w:sz w:val="24"/>
          <w:szCs w:val="24"/>
        </w:rPr>
        <w:footnoteReference w:id="81"/>
      </w:r>
      <w:r w:rsidR="00AE3556" w:rsidRPr="003B38A9">
        <w:rPr>
          <w:rFonts w:ascii="Times New Roman" w:hAnsi="Times New Roman" w:cs="Times New Roman"/>
          <w:sz w:val="24"/>
          <w:szCs w:val="24"/>
        </w:rPr>
        <w:t xml:space="preserve"> No such argument or evidence was provided by the Government. The respondent did, however, advance the lack of European consensus on the issue of second-parent adoption by same-sex couples. The Court firstly reiterated the narrow margin of appreciation when it comes to issues of discrimination on the grounds of sex or sexual orientation.</w:t>
      </w:r>
      <w:r w:rsidR="00AE3556" w:rsidRPr="003B38A9">
        <w:rPr>
          <w:rStyle w:val="FootnoteReference"/>
          <w:rFonts w:cs="Times New Roman"/>
          <w:sz w:val="24"/>
          <w:szCs w:val="24"/>
        </w:rPr>
        <w:footnoteReference w:id="82"/>
      </w:r>
      <w:r w:rsidR="00AE3556" w:rsidRPr="003B38A9">
        <w:rPr>
          <w:rFonts w:ascii="Times New Roman" w:hAnsi="Times New Roman" w:cs="Times New Roman"/>
          <w:sz w:val="24"/>
          <w:szCs w:val="24"/>
        </w:rPr>
        <w:t xml:space="preserve"> It then explained that the key issue in the present case was the </w:t>
      </w:r>
      <w:r w:rsidR="00AE3556" w:rsidRPr="003B38A9">
        <w:rPr>
          <w:rFonts w:ascii="Times New Roman" w:hAnsi="Times New Roman" w:cs="Times New Roman"/>
          <w:i/>
          <w:sz w:val="24"/>
          <w:szCs w:val="24"/>
        </w:rPr>
        <w:t>difference in treatment</w:t>
      </w:r>
      <w:r w:rsidR="00AE3556" w:rsidRPr="003B38A9">
        <w:rPr>
          <w:rFonts w:ascii="Times New Roman" w:hAnsi="Times New Roman" w:cs="Times New Roman"/>
          <w:sz w:val="24"/>
          <w:szCs w:val="24"/>
        </w:rPr>
        <w:t xml:space="preserve"> and not generally the question of same-sex couples’ access to second-parent adoption.</w:t>
      </w:r>
      <w:r w:rsidR="00AE3556" w:rsidRPr="003B38A9">
        <w:rPr>
          <w:rStyle w:val="FootnoteReference"/>
          <w:rFonts w:cs="Times New Roman"/>
          <w:sz w:val="24"/>
          <w:szCs w:val="24"/>
        </w:rPr>
        <w:footnoteReference w:id="83"/>
      </w:r>
      <w:r w:rsidR="00AE3556" w:rsidRPr="003B38A9">
        <w:rPr>
          <w:rFonts w:ascii="Times New Roman" w:hAnsi="Times New Roman" w:cs="Times New Roman"/>
          <w:sz w:val="24"/>
          <w:szCs w:val="24"/>
        </w:rPr>
        <w:t xml:space="preserve"> Thus, only the ten Council of Europe states </w:t>
      </w:r>
      <w:r w:rsidR="00DE4A8F">
        <w:rPr>
          <w:rFonts w:ascii="Times New Roman" w:hAnsi="Times New Roman" w:cs="Times New Roman"/>
          <w:sz w:val="24"/>
          <w:szCs w:val="24"/>
        </w:rPr>
        <w:t>that allowed</w:t>
      </w:r>
      <w:r w:rsidR="00AE3556" w:rsidRPr="003B38A9">
        <w:rPr>
          <w:rFonts w:ascii="Times New Roman" w:hAnsi="Times New Roman" w:cs="Times New Roman"/>
          <w:sz w:val="24"/>
          <w:szCs w:val="24"/>
        </w:rPr>
        <w:t xml:space="preserve"> ‘second-parent adoption in unmarried couples may be regarded as a basis for comparison’, and ‘the narrowness of this sample [was] such that no conclusions can be drawn as to the existence of a possible consensus’.</w:t>
      </w:r>
      <w:r w:rsidR="00AE3556" w:rsidRPr="003B38A9">
        <w:rPr>
          <w:rStyle w:val="FootnoteReference"/>
          <w:rFonts w:cs="Times New Roman"/>
          <w:sz w:val="24"/>
          <w:szCs w:val="24"/>
        </w:rPr>
        <w:footnoteReference w:id="84"/>
      </w:r>
      <w:r w:rsidR="00AE3556" w:rsidRPr="003B38A9">
        <w:rPr>
          <w:rFonts w:ascii="Times New Roman" w:hAnsi="Times New Roman" w:cs="Times New Roman"/>
          <w:sz w:val="24"/>
          <w:szCs w:val="24"/>
        </w:rPr>
        <w:t xml:space="preserve"> The Court concluded that the difference in treatment could not be justified and there was a violation of Article 14, in conjunction with Article 8 ECHR.</w:t>
      </w:r>
    </w:p>
    <w:p w14:paraId="45BB0141" w14:textId="77777777" w:rsidR="0011566B" w:rsidRPr="003B38A9" w:rsidRDefault="0011566B" w:rsidP="0011566B">
      <w:pPr>
        <w:spacing w:line="360" w:lineRule="auto"/>
        <w:jc w:val="both"/>
        <w:rPr>
          <w:rFonts w:ascii="Times New Roman" w:hAnsi="Times New Roman" w:cs="Times New Roman"/>
          <w:b/>
          <w:sz w:val="24"/>
          <w:szCs w:val="24"/>
        </w:rPr>
      </w:pPr>
      <w:r w:rsidRPr="003B38A9">
        <w:rPr>
          <w:rFonts w:ascii="Times New Roman" w:hAnsi="Times New Roman" w:cs="Times New Roman"/>
          <w:b/>
          <w:sz w:val="24"/>
          <w:szCs w:val="24"/>
        </w:rPr>
        <w:t xml:space="preserve">The margin of appreciation does not always depend on European consensus </w:t>
      </w:r>
    </w:p>
    <w:p w14:paraId="322BFB7F" w14:textId="3FCBC852" w:rsidR="0011566B" w:rsidRPr="003B38A9" w:rsidRDefault="00F94779" w:rsidP="001D5459">
      <w:pPr>
        <w:spacing w:line="360" w:lineRule="auto"/>
        <w:jc w:val="both"/>
        <w:rPr>
          <w:rFonts w:ascii="Times New Roman" w:hAnsi="Times New Roman" w:cs="Times New Roman"/>
          <w:sz w:val="24"/>
          <w:szCs w:val="24"/>
        </w:rPr>
      </w:pPr>
      <w:r w:rsidRPr="003B38A9">
        <w:rPr>
          <w:rFonts w:ascii="Times New Roman" w:hAnsi="Times New Roman" w:cs="Times New Roman"/>
          <w:sz w:val="24"/>
          <w:szCs w:val="24"/>
        </w:rPr>
        <w:lastRenderedPageBreak/>
        <w:t>The</w:t>
      </w:r>
      <w:r w:rsidR="00787A1C">
        <w:rPr>
          <w:rFonts w:ascii="Times New Roman" w:hAnsi="Times New Roman" w:cs="Times New Roman"/>
          <w:sz w:val="24"/>
          <w:szCs w:val="24"/>
        </w:rPr>
        <w:t>se</w:t>
      </w:r>
      <w:r w:rsidRPr="003B38A9">
        <w:rPr>
          <w:rFonts w:ascii="Times New Roman" w:hAnsi="Times New Roman" w:cs="Times New Roman"/>
          <w:sz w:val="24"/>
          <w:szCs w:val="24"/>
        </w:rPr>
        <w:t xml:space="preserve"> two </w:t>
      </w:r>
      <w:r w:rsidR="00787A1C" w:rsidRPr="003B38A9">
        <w:rPr>
          <w:rFonts w:ascii="Times New Roman" w:hAnsi="Times New Roman" w:cs="Times New Roman"/>
          <w:sz w:val="24"/>
          <w:szCs w:val="24"/>
        </w:rPr>
        <w:t>categories</w:t>
      </w:r>
      <w:r w:rsidRPr="003B38A9">
        <w:rPr>
          <w:rFonts w:ascii="Times New Roman" w:hAnsi="Times New Roman" w:cs="Times New Roman"/>
          <w:sz w:val="24"/>
          <w:szCs w:val="24"/>
        </w:rPr>
        <w:t xml:space="preserve"> of cases </w:t>
      </w:r>
      <w:r w:rsidR="00787A1C">
        <w:rPr>
          <w:rFonts w:ascii="Times New Roman" w:hAnsi="Times New Roman" w:cs="Times New Roman"/>
          <w:sz w:val="24"/>
          <w:szCs w:val="24"/>
        </w:rPr>
        <w:t xml:space="preserve">aptly </w:t>
      </w:r>
      <w:r w:rsidRPr="003B38A9">
        <w:rPr>
          <w:rFonts w:ascii="Times New Roman" w:hAnsi="Times New Roman" w:cs="Times New Roman"/>
          <w:sz w:val="24"/>
          <w:szCs w:val="24"/>
        </w:rPr>
        <w:t xml:space="preserve">illustrate that the assessment on the margin of appreciation does not always depend on European consensus. Whether one agrees or disagrees with </w:t>
      </w:r>
      <w:r w:rsidR="00320F6B" w:rsidRPr="003B38A9">
        <w:rPr>
          <w:rFonts w:ascii="Times New Roman" w:hAnsi="Times New Roman" w:cs="Times New Roman"/>
          <w:sz w:val="24"/>
          <w:szCs w:val="24"/>
        </w:rPr>
        <w:t>how the ECtHR conducted its balancing exercise and</w:t>
      </w:r>
      <w:r w:rsidR="00925095">
        <w:rPr>
          <w:rFonts w:ascii="Times New Roman" w:hAnsi="Times New Roman" w:cs="Times New Roman"/>
          <w:sz w:val="24"/>
          <w:szCs w:val="24"/>
        </w:rPr>
        <w:t>/or</w:t>
      </w:r>
      <w:r w:rsidR="00482793" w:rsidRPr="003B38A9">
        <w:rPr>
          <w:rFonts w:ascii="Times New Roman" w:hAnsi="Times New Roman" w:cs="Times New Roman"/>
          <w:sz w:val="24"/>
          <w:szCs w:val="24"/>
        </w:rPr>
        <w:t xml:space="preserve"> with</w:t>
      </w:r>
      <w:r w:rsidR="00320F6B" w:rsidRPr="003B38A9">
        <w:rPr>
          <w:rFonts w:ascii="Times New Roman" w:hAnsi="Times New Roman" w:cs="Times New Roman"/>
          <w:sz w:val="24"/>
          <w:szCs w:val="24"/>
        </w:rPr>
        <w:t xml:space="preserve"> its </w:t>
      </w:r>
      <w:r w:rsidRPr="003B38A9">
        <w:rPr>
          <w:rFonts w:ascii="Times New Roman" w:hAnsi="Times New Roman" w:cs="Times New Roman"/>
          <w:sz w:val="24"/>
          <w:szCs w:val="24"/>
        </w:rPr>
        <w:t>conclusion in some</w:t>
      </w:r>
      <w:r w:rsidR="00482793" w:rsidRPr="003B38A9">
        <w:rPr>
          <w:rFonts w:ascii="Times New Roman" w:hAnsi="Times New Roman" w:cs="Times New Roman"/>
          <w:sz w:val="24"/>
          <w:szCs w:val="24"/>
        </w:rPr>
        <w:t xml:space="preserve"> (or all) of the </w:t>
      </w:r>
      <w:r w:rsidR="00122AE0">
        <w:rPr>
          <w:rFonts w:ascii="Times New Roman" w:hAnsi="Times New Roman" w:cs="Times New Roman"/>
          <w:sz w:val="24"/>
          <w:szCs w:val="24"/>
        </w:rPr>
        <w:t xml:space="preserve">above </w:t>
      </w:r>
      <w:r w:rsidR="00482793" w:rsidRPr="003B38A9">
        <w:rPr>
          <w:rFonts w:ascii="Times New Roman" w:hAnsi="Times New Roman" w:cs="Times New Roman"/>
          <w:sz w:val="24"/>
          <w:szCs w:val="24"/>
        </w:rPr>
        <w:t xml:space="preserve">cases </w:t>
      </w:r>
      <w:r w:rsidRPr="003B38A9">
        <w:rPr>
          <w:rFonts w:ascii="Times New Roman" w:hAnsi="Times New Roman" w:cs="Times New Roman"/>
          <w:sz w:val="24"/>
          <w:szCs w:val="24"/>
        </w:rPr>
        <w:t>a</w:t>
      </w:r>
      <w:r w:rsidR="00482793" w:rsidRPr="003B38A9">
        <w:rPr>
          <w:rFonts w:ascii="Times New Roman" w:hAnsi="Times New Roman" w:cs="Times New Roman"/>
          <w:sz w:val="24"/>
          <w:szCs w:val="24"/>
        </w:rPr>
        <w:t>re separate</w:t>
      </w:r>
      <w:r w:rsidRPr="003B38A9">
        <w:rPr>
          <w:rFonts w:ascii="Times New Roman" w:hAnsi="Times New Roman" w:cs="Times New Roman"/>
          <w:sz w:val="24"/>
          <w:szCs w:val="24"/>
        </w:rPr>
        <w:t xml:space="preserve"> matter</w:t>
      </w:r>
      <w:r w:rsidR="00482793" w:rsidRPr="003B38A9">
        <w:rPr>
          <w:rFonts w:ascii="Times New Roman" w:hAnsi="Times New Roman" w:cs="Times New Roman"/>
          <w:sz w:val="24"/>
          <w:szCs w:val="24"/>
        </w:rPr>
        <w:t>s</w:t>
      </w:r>
      <w:r w:rsidR="00D25A80">
        <w:rPr>
          <w:rFonts w:ascii="Times New Roman" w:hAnsi="Times New Roman" w:cs="Times New Roman"/>
          <w:sz w:val="24"/>
          <w:szCs w:val="24"/>
        </w:rPr>
        <w:t>:</w:t>
      </w:r>
      <w:r w:rsidRPr="003B38A9">
        <w:rPr>
          <w:rFonts w:ascii="Times New Roman" w:hAnsi="Times New Roman" w:cs="Times New Roman"/>
          <w:sz w:val="24"/>
          <w:szCs w:val="24"/>
        </w:rPr>
        <w:t xml:space="preserve"> this contribution is concerned with providing insights into the Court’s </w:t>
      </w:r>
      <w:r w:rsidR="00D25A80">
        <w:rPr>
          <w:rFonts w:ascii="Times New Roman" w:hAnsi="Times New Roman" w:cs="Times New Roman"/>
          <w:sz w:val="24"/>
          <w:szCs w:val="24"/>
        </w:rPr>
        <w:t>general</w:t>
      </w:r>
      <w:r w:rsidR="00482793" w:rsidRPr="003B38A9">
        <w:rPr>
          <w:rFonts w:ascii="Times New Roman" w:hAnsi="Times New Roman" w:cs="Times New Roman"/>
          <w:sz w:val="24"/>
          <w:szCs w:val="24"/>
        </w:rPr>
        <w:t xml:space="preserve"> (and therefore not specific) approach with regard to the link between consensus and the margin of appreciation</w:t>
      </w:r>
      <w:r w:rsidRPr="003B38A9">
        <w:rPr>
          <w:rFonts w:ascii="Times New Roman" w:hAnsi="Times New Roman" w:cs="Times New Roman"/>
          <w:sz w:val="24"/>
          <w:szCs w:val="24"/>
        </w:rPr>
        <w:t>. And the latter is explainable, it will be argued, if th</w:t>
      </w:r>
      <w:r w:rsidR="00D25A80">
        <w:rPr>
          <w:rFonts w:ascii="Times New Roman" w:hAnsi="Times New Roman" w:cs="Times New Roman"/>
          <w:sz w:val="24"/>
          <w:szCs w:val="24"/>
        </w:rPr>
        <w:t>at</w:t>
      </w:r>
      <w:r w:rsidRPr="003B38A9">
        <w:rPr>
          <w:rFonts w:ascii="Times New Roman" w:hAnsi="Times New Roman" w:cs="Times New Roman"/>
          <w:sz w:val="24"/>
          <w:szCs w:val="24"/>
        </w:rPr>
        <w:t xml:space="preserve"> </w:t>
      </w:r>
      <w:r w:rsidR="00320F6B" w:rsidRPr="003B38A9">
        <w:rPr>
          <w:rFonts w:ascii="Times New Roman" w:hAnsi="Times New Roman" w:cs="Times New Roman"/>
          <w:sz w:val="24"/>
          <w:szCs w:val="24"/>
        </w:rPr>
        <w:t>general approach</w:t>
      </w:r>
      <w:r w:rsidRPr="003B38A9">
        <w:rPr>
          <w:rFonts w:ascii="Times New Roman" w:hAnsi="Times New Roman" w:cs="Times New Roman"/>
          <w:sz w:val="24"/>
          <w:szCs w:val="24"/>
        </w:rPr>
        <w:t xml:space="preserve"> is linked with t</w:t>
      </w:r>
      <w:r w:rsidR="005A2A06" w:rsidRPr="003B38A9">
        <w:rPr>
          <w:rFonts w:ascii="Times New Roman" w:hAnsi="Times New Roman" w:cs="Times New Roman"/>
          <w:sz w:val="24"/>
          <w:szCs w:val="24"/>
        </w:rPr>
        <w:t xml:space="preserve">he question of its legitimacy. </w:t>
      </w:r>
      <w:r w:rsidR="00D25A80">
        <w:rPr>
          <w:rFonts w:ascii="Times New Roman" w:hAnsi="Times New Roman" w:cs="Times New Roman"/>
          <w:sz w:val="24"/>
          <w:szCs w:val="24"/>
        </w:rPr>
        <w:t>Such</w:t>
      </w:r>
      <w:r w:rsidRPr="003B38A9">
        <w:rPr>
          <w:rFonts w:ascii="Times New Roman" w:hAnsi="Times New Roman" w:cs="Times New Roman"/>
          <w:sz w:val="24"/>
          <w:szCs w:val="24"/>
        </w:rPr>
        <w:t xml:space="preserve"> discussion </w:t>
      </w:r>
      <w:r w:rsidR="00D25A80">
        <w:rPr>
          <w:rFonts w:ascii="Times New Roman" w:hAnsi="Times New Roman" w:cs="Times New Roman"/>
          <w:sz w:val="24"/>
          <w:szCs w:val="24"/>
        </w:rPr>
        <w:t>can</w:t>
      </w:r>
      <w:r w:rsidRPr="003B38A9">
        <w:rPr>
          <w:rFonts w:ascii="Times New Roman" w:hAnsi="Times New Roman" w:cs="Times New Roman"/>
          <w:sz w:val="24"/>
          <w:szCs w:val="24"/>
        </w:rPr>
        <w:t xml:space="preserve"> only take place once the function of consensus within the Court’s rea</w:t>
      </w:r>
      <w:r w:rsidR="009E45F4">
        <w:rPr>
          <w:rFonts w:ascii="Times New Roman" w:hAnsi="Times New Roman" w:cs="Times New Roman"/>
          <w:sz w:val="24"/>
          <w:szCs w:val="24"/>
        </w:rPr>
        <w:t>soning has been fully crystallis</w:t>
      </w:r>
      <w:r w:rsidRPr="003B38A9">
        <w:rPr>
          <w:rFonts w:ascii="Times New Roman" w:hAnsi="Times New Roman" w:cs="Times New Roman"/>
          <w:sz w:val="24"/>
          <w:szCs w:val="24"/>
        </w:rPr>
        <w:t>ed – which is the p</w:t>
      </w:r>
      <w:r w:rsidR="00D450D9" w:rsidRPr="003B38A9">
        <w:rPr>
          <w:rFonts w:ascii="Times New Roman" w:hAnsi="Times New Roman" w:cs="Times New Roman"/>
          <w:sz w:val="24"/>
          <w:szCs w:val="24"/>
        </w:rPr>
        <w:t>urpose of the following paragraphs</w:t>
      </w:r>
      <w:r w:rsidRPr="003B38A9">
        <w:rPr>
          <w:rFonts w:ascii="Times New Roman" w:hAnsi="Times New Roman" w:cs="Times New Roman"/>
          <w:sz w:val="24"/>
          <w:szCs w:val="24"/>
        </w:rPr>
        <w:t>.</w:t>
      </w:r>
    </w:p>
    <w:p w14:paraId="5C5C0BA8" w14:textId="77777777" w:rsidR="003B6CC4" w:rsidRPr="003B38A9" w:rsidRDefault="00D25A80" w:rsidP="00BF31EA">
      <w:pPr>
        <w:spacing w:line="360" w:lineRule="auto"/>
        <w:jc w:val="both"/>
        <w:rPr>
          <w:rFonts w:ascii="Times New Roman" w:hAnsi="Times New Roman" w:cs="Times New Roman"/>
          <w:b/>
          <w:sz w:val="24"/>
          <w:szCs w:val="24"/>
        </w:rPr>
      </w:pPr>
      <w:r>
        <w:rPr>
          <w:rFonts w:ascii="Times New Roman" w:hAnsi="Times New Roman" w:cs="Times New Roman"/>
          <w:sz w:val="24"/>
          <w:szCs w:val="24"/>
        </w:rPr>
        <w:t>It must be said that c</w:t>
      </w:r>
      <w:r w:rsidR="005A2A06" w:rsidRPr="003B38A9">
        <w:rPr>
          <w:rFonts w:ascii="Times New Roman" w:hAnsi="Times New Roman" w:cs="Times New Roman"/>
          <w:sz w:val="24"/>
          <w:szCs w:val="24"/>
        </w:rPr>
        <w:t>ases like th</w:t>
      </w:r>
      <w:r w:rsidR="00F01D2E" w:rsidRPr="003B38A9">
        <w:rPr>
          <w:rFonts w:ascii="Times New Roman" w:hAnsi="Times New Roman" w:cs="Times New Roman"/>
          <w:sz w:val="24"/>
          <w:szCs w:val="24"/>
        </w:rPr>
        <w:t>ose</w:t>
      </w:r>
      <w:r w:rsidR="005A2A06" w:rsidRPr="003B38A9">
        <w:rPr>
          <w:rFonts w:ascii="Times New Roman" w:hAnsi="Times New Roman" w:cs="Times New Roman"/>
          <w:sz w:val="24"/>
          <w:szCs w:val="24"/>
        </w:rPr>
        <w:t xml:space="preserve"> presented in the earlier two sections are not the norm</w:t>
      </w:r>
      <w:r w:rsidR="00F01D2E" w:rsidRPr="003B38A9">
        <w:rPr>
          <w:rFonts w:ascii="Times New Roman" w:hAnsi="Times New Roman" w:cs="Times New Roman"/>
          <w:sz w:val="24"/>
          <w:szCs w:val="24"/>
        </w:rPr>
        <w:t xml:space="preserve"> in the jurisprudence of the Strasbourg Court</w:t>
      </w:r>
      <w:r>
        <w:rPr>
          <w:rFonts w:ascii="Times New Roman" w:hAnsi="Times New Roman" w:cs="Times New Roman"/>
          <w:sz w:val="24"/>
          <w:szCs w:val="24"/>
        </w:rPr>
        <w:t>: often, the comparative exercise corresponds to the decision on the margin of appreciation.</w:t>
      </w:r>
      <w:r w:rsidR="005A2A06" w:rsidRPr="003B38A9">
        <w:rPr>
          <w:rFonts w:ascii="Times New Roman" w:hAnsi="Times New Roman" w:cs="Times New Roman"/>
          <w:sz w:val="24"/>
          <w:szCs w:val="24"/>
        </w:rPr>
        <w:t xml:space="preserve"> </w:t>
      </w:r>
      <w:r w:rsidR="00F01D2E" w:rsidRPr="003B38A9">
        <w:rPr>
          <w:rFonts w:ascii="Times New Roman" w:hAnsi="Times New Roman" w:cs="Times New Roman"/>
          <w:sz w:val="24"/>
          <w:szCs w:val="24"/>
        </w:rPr>
        <w:t>B</w:t>
      </w:r>
      <w:r w:rsidR="00F94779" w:rsidRPr="003B38A9">
        <w:rPr>
          <w:rFonts w:ascii="Times New Roman" w:hAnsi="Times New Roman" w:cs="Times New Roman"/>
          <w:sz w:val="24"/>
          <w:szCs w:val="24"/>
        </w:rPr>
        <w:t xml:space="preserve">ut even when the consensus analysis is </w:t>
      </w:r>
      <w:r w:rsidR="00056BD2">
        <w:rPr>
          <w:rFonts w:ascii="Times New Roman" w:hAnsi="Times New Roman" w:cs="Times New Roman"/>
          <w:sz w:val="24"/>
          <w:szCs w:val="24"/>
        </w:rPr>
        <w:t xml:space="preserve">more </w:t>
      </w:r>
      <w:r w:rsidR="00F94779" w:rsidRPr="003B38A9">
        <w:rPr>
          <w:rFonts w:ascii="Times New Roman" w:hAnsi="Times New Roman" w:cs="Times New Roman"/>
          <w:sz w:val="24"/>
          <w:szCs w:val="24"/>
        </w:rPr>
        <w:t xml:space="preserve">aligned with </w:t>
      </w:r>
      <w:r w:rsidR="00056BD2">
        <w:rPr>
          <w:rFonts w:ascii="Times New Roman" w:hAnsi="Times New Roman" w:cs="Times New Roman"/>
          <w:sz w:val="24"/>
          <w:szCs w:val="24"/>
        </w:rPr>
        <w:t xml:space="preserve">(or was perhaps more influential in) </w:t>
      </w:r>
      <w:r w:rsidR="00F94779" w:rsidRPr="003B38A9">
        <w:rPr>
          <w:rFonts w:ascii="Times New Roman" w:hAnsi="Times New Roman" w:cs="Times New Roman"/>
          <w:sz w:val="24"/>
          <w:szCs w:val="24"/>
        </w:rPr>
        <w:t xml:space="preserve">the outcome on the margin of appreciation, this </w:t>
      </w:r>
      <w:r>
        <w:rPr>
          <w:rFonts w:ascii="Times New Roman" w:hAnsi="Times New Roman" w:cs="Times New Roman"/>
          <w:sz w:val="24"/>
          <w:szCs w:val="24"/>
        </w:rPr>
        <w:t>does not mean</w:t>
      </w:r>
      <w:r w:rsidR="00F94779" w:rsidRPr="003B38A9">
        <w:rPr>
          <w:rFonts w:ascii="Times New Roman" w:hAnsi="Times New Roman" w:cs="Times New Roman"/>
          <w:sz w:val="24"/>
          <w:szCs w:val="24"/>
        </w:rPr>
        <w:t xml:space="preserve"> that consensus was the only, or </w:t>
      </w:r>
      <w:r w:rsidR="00F36E65" w:rsidRPr="003B38A9">
        <w:rPr>
          <w:rFonts w:ascii="Times New Roman" w:hAnsi="Times New Roman" w:cs="Times New Roman"/>
          <w:sz w:val="24"/>
          <w:szCs w:val="24"/>
        </w:rPr>
        <w:t xml:space="preserve">even </w:t>
      </w:r>
      <w:r w:rsidR="00F94779" w:rsidRPr="003B38A9">
        <w:rPr>
          <w:rFonts w:ascii="Times New Roman" w:hAnsi="Times New Roman" w:cs="Times New Roman"/>
          <w:sz w:val="24"/>
          <w:szCs w:val="24"/>
        </w:rPr>
        <w:t xml:space="preserve">the determinative, factor in all of these </w:t>
      </w:r>
      <w:r w:rsidR="00F01D2E" w:rsidRPr="003B38A9">
        <w:rPr>
          <w:rFonts w:ascii="Times New Roman" w:hAnsi="Times New Roman" w:cs="Times New Roman"/>
          <w:sz w:val="24"/>
          <w:szCs w:val="24"/>
        </w:rPr>
        <w:t>judgments</w:t>
      </w:r>
      <w:r w:rsidR="00F94779" w:rsidRPr="003B38A9">
        <w:rPr>
          <w:rFonts w:ascii="Times New Roman" w:hAnsi="Times New Roman" w:cs="Times New Roman"/>
          <w:sz w:val="24"/>
          <w:szCs w:val="24"/>
        </w:rPr>
        <w:t>.</w:t>
      </w:r>
      <w:r w:rsidR="003B6CC4" w:rsidRPr="003B38A9">
        <w:rPr>
          <w:rFonts w:ascii="Times New Roman" w:hAnsi="Times New Roman" w:cs="Times New Roman"/>
          <w:sz w:val="24"/>
          <w:szCs w:val="24"/>
        </w:rPr>
        <w:t xml:space="preserve"> In several cases </w:t>
      </w:r>
      <w:r>
        <w:rPr>
          <w:rFonts w:ascii="Times New Roman" w:hAnsi="Times New Roman" w:cs="Times New Roman"/>
          <w:sz w:val="24"/>
          <w:szCs w:val="24"/>
        </w:rPr>
        <w:t xml:space="preserve">that will be cited below </w:t>
      </w:r>
      <w:r w:rsidR="003B6CC4" w:rsidRPr="003B38A9">
        <w:rPr>
          <w:rFonts w:ascii="Times New Roman" w:hAnsi="Times New Roman" w:cs="Times New Roman"/>
          <w:sz w:val="24"/>
          <w:szCs w:val="24"/>
        </w:rPr>
        <w:t>(when consensus is viewed as part of the ECtHR’s proportionality exercise)</w:t>
      </w:r>
      <w:r w:rsidR="004D28DF">
        <w:rPr>
          <w:rFonts w:ascii="Times New Roman" w:hAnsi="Times New Roman" w:cs="Times New Roman"/>
          <w:sz w:val="24"/>
          <w:szCs w:val="24"/>
        </w:rPr>
        <w:t>,</w:t>
      </w:r>
      <w:r w:rsidR="003B6CC4" w:rsidRPr="003B38A9">
        <w:rPr>
          <w:rFonts w:ascii="Times New Roman" w:hAnsi="Times New Roman" w:cs="Times New Roman"/>
          <w:sz w:val="24"/>
          <w:szCs w:val="24"/>
        </w:rPr>
        <w:t xml:space="preserve"> a </w:t>
      </w:r>
      <w:r>
        <w:rPr>
          <w:rFonts w:ascii="Times New Roman" w:hAnsi="Times New Roman" w:cs="Times New Roman"/>
          <w:sz w:val="24"/>
          <w:szCs w:val="24"/>
        </w:rPr>
        <w:t xml:space="preserve">plethora </w:t>
      </w:r>
      <w:r w:rsidR="003B6CC4" w:rsidRPr="003B38A9">
        <w:rPr>
          <w:rFonts w:ascii="Times New Roman" w:hAnsi="Times New Roman" w:cs="Times New Roman"/>
          <w:sz w:val="24"/>
          <w:szCs w:val="24"/>
        </w:rPr>
        <w:t>of considerations</w:t>
      </w:r>
      <w:r w:rsidR="004D28DF">
        <w:rPr>
          <w:rFonts w:ascii="Times New Roman" w:hAnsi="Times New Roman" w:cs="Times New Roman"/>
          <w:sz w:val="24"/>
          <w:szCs w:val="24"/>
        </w:rPr>
        <w:t>,</w:t>
      </w:r>
      <w:r w:rsidR="003B6CC4" w:rsidRPr="003B38A9">
        <w:rPr>
          <w:rFonts w:ascii="Times New Roman" w:hAnsi="Times New Roman" w:cs="Times New Roman"/>
          <w:sz w:val="24"/>
          <w:szCs w:val="24"/>
        </w:rPr>
        <w:t xml:space="preserve"> </w:t>
      </w:r>
      <w:r w:rsidR="00F36E65" w:rsidRPr="003B38A9">
        <w:rPr>
          <w:rFonts w:ascii="Times New Roman" w:hAnsi="Times New Roman" w:cs="Times New Roman"/>
          <w:sz w:val="24"/>
          <w:szCs w:val="24"/>
        </w:rPr>
        <w:t>in addition to consensus</w:t>
      </w:r>
      <w:r w:rsidR="004D28DF">
        <w:rPr>
          <w:rFonts w:ascii="Times New Roman" w:hAnsi="Times New Roman" w:cs="Times New Roman"/>
          <w:sz w:val="24"/>
          <w:szCs w:val="24"/>
        </w:rPr>
        <w:t>,</w:t>
      </w:r>
      <w:r w:rsidR="00F36E65" w:rsidRPr="003B38A9">
        <w:rPr>
          <w:rFonts w:ascii="Times New Roman" w:hAnsi="Times New Roman" w:cs="Times New Roman"/>
          <w:sz w:val="24"/>
          <w:szCs w:val="24"/>
        </w:rPr>
        <w:t xml:space="preserve"> </w:t>
      </w:r>
      <w:r w:rsidR="004D28DF">
        <w:rPr>
          <w:rFonts w:ascii="Times New Roman" w:hAnsi="Times New Roman" w:cs="Times New Roman"/>
          <w:sz w:val="24"/>
          <w:szCs w:val="24"/>
        </w:rPr>
        <w:t>were</w:t>
      </w:r>
      <w:r w:rsidR="003B6CC4" w:rsidRPr="003B38A9">
        <w:rPr>
          <w:rFonts w:ascii="Times New Roman" w:hAnsi="Times New Roman" w:cs="Times New Roman"/>
          <w:sz w:val="24"/>
          <w:szCs w:val="24"/>
        </w:rPr>
        <w:t xml:space="preserve"> taken into </w:t>
      </w:r>
      <w:r w:rsidR="003B6CC4" w:rsidRPr="003B38A9">
        <w:rPr>
          <w:rFonts w:ascii="Times New Roman" w:hAnsi="Times New Roman" w:cs="Times New Roman"/>
          <w:sz w:val="24"/>
          <w:szCs w:val="24"/>
        </w:rPr>
        <w:lastRenderedPageBreak/>
        <w:t xml:space="preserve">account by the Court before deciding on whether states </w:t>
      </w:r>
      <w:r w:rsidR="00F36E65" w:rsidRPr="003B38A9">
        <w:rPr>
          <w:rFonts w:ascii="Times New Roman" w:hAnsi="Times New Roman" w:cs="Times New Roman"/>
          <w:sz w:val="24"/>
          <w:szCs w:val="24"/>
        </w:rPr>
        <w:t>should be granted</w:t>
      </w:r>
      <w:r w:rsidR="003B6CC4" w:rsidRPr="003B38A9">
        <w:rPr>
          <w:rFonts w:ascii="Times New Roman" w:hAnsi="Times New Roman" w:cs="Times New Roman"/>
          <w:sz w:val="24"/>
          <w:szCs w:val="24"/>
        </w:rPr>
        <w:t xml:space="preserve"> the </w:t>
      </w:r>
      <w:r w:rsidR="003B6CC4" w:rsidRPr="00601EF8">
        <w:rPr>
          <w:rFonts w:ascii="Times New Roman" w:hAnsi="Times New Roman" w:cs="Times New Roman"/>
          <w:sz w:val="24"/>
          <w:szCs w:val="24"/>
        </w:rPr>
        <w:t>margin of appreciation.</w:t>
      </w:r>
      <w:r w:rsidR="00601EF8" w:rsidRPr="00601EF8">
        <w:rPr>
          <w:rStyle w:val="FootnoteReference"/>
          <w:rFonts w:cs="Times New Roman"/>
          <w:sz w:val="24"/>
          <w:szCs w:val="24"/>
        </w:rPr>
        <w:footnoteReference w:id="85"/>
      </w:r>
      <w:r w:rsidR="003B6CC4" w:rsidRPr="00601EF8">
        <w:rPr>
          <w:rFonts w:ascii="Times New Roman" w:hAnsi="Times New Roman" w:cs="Times New Roman"/>
          <w:sz w:val="24"/>
          <w:szCs w:val="24"/>
        </w:rPr>
        <w:t xml:space="preserve"> </w:t>
      </w:r>
      <w:r w:rsidR="00315B80" w:rsidRPr="00601EF8">
        <w:rPr>
          <w:rFonts w:ascii="Times New Roman" w:hAnsi="Times New Roman" w:cs="Times New Roman"/>
          <w:sz w:val="24"/>
          <w:szCs w:val="24"/>
        </w:rPr>
        <w:t>Th</w:t>
      </w:r>
      <w:r w:rsidR="004D28DF" w:rsidRPr="00601EF8">
        <w:rPr>
          <w:rFonts w:ascii="Times New Roman" w:hAnsi="Times New Roman" w:cs="Times New Roman"/>
          <w:sz w:val="24"/>
          <w:szCs w:val="24"/>
        </w:rPr>
        <w:t xml:space="preserve">is is not to suggest, either, that there haven’t been </w:t>
      </w:r>
      <w:r w:rsidR="001A1A17" w:rsidRPr="00601EF8">
        <w:rPr>
          <w:rFonts w:ascii="Times New Roman" w:hAnsi="Times New Roman" w:cs="Times New Roman"/>
          <w:sz w:val="24"/>
          <w:szCs w:val="24"/>
        </w:rPr>
        <w:t>instances</w:t>
      </w:r>
      <w:r w:rsidR="003B6CC4" w:rsidRPr="003B38A9">
        <w:rPr>
          <w:rFonts w:ascii="Times New Roman" w:hAnsi="Times New Roman" w:cs="Times New Roman"/>
          <w:sz w:val="24"/>
          <w:szCs w:val="24"/>
        </w:rPr>
        <w:t xml:space="preserve"> where the Court</w:t>
      </w:r>
      <w:r w:rsidR="004D28DF">
        <w:rPr>
          <w:rFonts w:ascii="Times New Roman" w:hAnsi="Times New Roman" w:cs="Times New Roman"/>
          <w:sz w:val="24"/>
          <w:szCs w:val="24"/>
        </w:rPr>
        <w:t xml:space="preserve"> indeed</w:t>
      </w:r>
      <w:r w:rsidR="003B6CC4" w:rsidRPr="003B38A9">
        <w:rPr>
          <w:rFonts w:ascii="Times New Roman" w:hAnsi="Times New Roman" w:cs="Times New Roman"/>
          <w:sz w:val="24"/>
          <w:szCs w:val="24"/>
        </w:rPr>
        <w:t xml:space="preserve"> </w:t>
      </w:r>
      <w:r w:rsidR="00355BD2" w:rsidRPr="003B38A9">
        <w:rPr>
          <w:rFonts w:ascii="Times New Roman" w:hAnsi="Times New Roman" w:cs="Times New Roman"/>
          <w:sz w:val="24"/>
          <w:szCs w:val="24"/>
        </w:rPr>
        <w:t xml:space="preserve">appears to place </w:t>
      </w:r>
      <w:r w:rsidR="00F36E65" w:rsidRPr="003B38A9">
        <w:rPr>
          <w:rFonts w:ascii="Times New Roman" w:hAnsi="Times New Roman" w:cs="Times New Roman"/>
          <w:sz w:val="24"/>
          <w:szCs w:val="24"/>
        </w:rPr>
        <w:t xml:space="preserve">considerable </w:t>
      </w:r>
      <w:r w:rsidR="003B6CC4" w:rsidRPr="003B38A9">
        <w:rPr>
          <w:rFonts w:ascii="Times New Roman" w:hAnsi="Times New Roman" w:cs="Times New Roman"/>
          <w:sz w:val="24"/>
          <w:szCs w:val="24"/>
        </w:rPr>
        <w:t>emphasis on the comparative law material.</w:t>
      </w:r>
      <w:r w:rsidR="00315B80" w:rsidRPr="003B38A9">
        <w:rPr>
          <w:rStyle w:val="FootnoteReference"/>
          <w:rFonts w:cs="Times New Roman"/>
          <w:sz w:val="24"/>
          <w:szCs w:val="24"/>
        </w:rPr>
        <w:footnoteReference w:id="86"/>
      </w:r>
      <w:r w:rsidR="003B6CC4" w:rsidRPr="003B38A9">
        <w:rPr>
          <w:rFonts w:ascii="Times New Roman" w:hAnsi="Times New Roman" w:cs="Times New Roman"/>
          <w:sz w:val="24"/>
          <w:szCs w:val="24"/>
        </w:rPr>
        <w:t xml:space="preserve"> </w:t>
      </w:r>
    </w:p>
    <w:p w14:paraId="523801AC" w14:textId="77777777" w:rsidR="00721367" w:rsidRPr="00F64AAA" w:rsidRDefault="006F1460" w:rsidP="00BF31EA">
      <w:pPr>
        <w:spacing w:line="360" w:lineRule="auto"/>
        <w:jc w:val="both"/>
        <w:rPr>
          <w:rFonts w:ascii="Times New Roman" w:hAnsi="Times New Roman" w:cs="Times New Roman"/>
          <w:sz w:val="24"/>
          <w:szCs w:val="24"/>
        </w:rPr>
      </w:pPr>
      <w:r w:rsidRPr="00F64AAA">
        <w:rPr>
          <w:rFonts w:ascii="Times New Roman" w:hAnsi="Times New Roman" w:cs="Times New Roman"/>
          <w:sz w:val="24"/>
          <w:szCs w:val="24"/>
        </w:rPr>
        <w:t xml:space="preserve">To further demonstrate the point made in this section, </w:t>
      </w:r>
      <w:r w:rsidR="00721367" w:rsidRPr="00F64AAA">
        <w:rPr>
          <w:rFonts w:ascii="Times New Roman" w:hAnsi="Times New Roman" w:cs="Times New Roman"/>
          <w:sz w:val="24"/>
          <w:szCs w:val="24"/>
        </w:rPr>
        <w:t xml:space="preserve">cases where the consensus argument is raised by one </w:t>
      </w:r>
      <w:r w:rsidR="00DF696E" w:rsidRPr="00F64AAA">
        <w:rPr>
          <w:rFonts w:ascii="Times New Roman" w:hAnsi="Times New Roman" w:cs="Times New Roman"/>
          <w:sz w:val="24"/>
          <w:szCs w:val="24"/>
        </w:rPr>
        <w:t xml:space="preserve">(or both) </w:t>
      </w:r>
      <w:r w:rsidR="00721367" w:rsidRPr="00F64AAA">
        <w:rPr>
          <w:rFonts w:ascii="Times New Roman" w:hAnsi="Times New Roman" w:cs="Times New Roman"/>
          <w:sz w:val="24"/>
          <w:szCs w:val="24"/>
        </w:rPr>
        <w:t xml:space="preserve">of the parties, but the ECtHR </w:t>
      </w:r>
      <w:r w:rsidR="00DF696E" w:rsidRPr="00F64AAA">
        <w:rPr>
          <w:rFonts w:ascii="Times New Roman" w:hAnsi="Times New Roman" w:cs="Times New Roman"/>
          <w:sz w:val="24"/>
          <w:szCs w:val="24"/>
        </w:rPr>
        <w:t xml:space="preserve">appears to </w:t>
      </w:r>
      <w:r w:rsidR="007C4F7B" w:rsidRPr="00F64AAA">
        <w:rPr>
          <w:rFonts w:ascii="Times New Roman" w:hAnsi="Times New Roman" w:cs="Times New Roman"/>
          <w:sz w:val="24"/>
          <w:szCs w:val="24"/>
        </w:rPr>
        <w:t>omit</w:t>
      </w:r>
      <w:r w:rsidR="00721367" w:rsidRPr="00F64AAA">
        <w:rPr>
          <w:rFonts w:ascii="Times New Roman" w:hAnsi="Times New Roman" w:cs="Times New Roman"/>
          <w:sz w:val="24"/>
          <w:szCs w:val="24"/>
        </w:rPr>
        <w:t xml:space="preserve"> </w:t>
      </w:r>
      <w:r w:rsidR="00DF696E" w:rsidRPr="00F64AAA">
        <w:rPr>
          <w:rFonts w:ascii="Times New Roman" w:hAnsi="Times New Roman" w:cs="Times New Roman"/>
          <w:sz w:val="24"/>
          <w:szCs w:val="24"/>
        </w:rPr>
        <w:t>addressing</w:t>
      </w:r>
      <w:r w:rsidR="00871FDC" w:rsidRPr="00F64AAA">
        <w:rPr>
          <w:rFonts w:ascii="Times New Roman" w:hAnsi="Times New Roman" w:cs="Times New Roman"/>
          <w:sz w:val="24"/>
          <w:szCs w:val="24"/>
        </w:rPr>
        <w:t xml:space="preserve"> it in its reasoning</w:t>
      </w:r>
      <w:r w:rsidR="00F64AAA" w:rsidRPr="00F64AAA">
        <w:rPr>
          <w:rFonts w:ascii="Times New Roman" w:hAnsi="Times New Roman" w:cs="Times New Roman"/>
          <w:sz w:val="24"/>
          <w:szCs w:val="24"/>
        </w:rPr>
        <w:t>, can also be considered</w:t>
      </w:r>
      <w:r w:rsidR="00871FDC" w:rsidRPr="00F64AAA">
        <w:rPr>
          <w:rFonts w:ascii="Times New Roman" w:hAnsi="Times New Roman" w:cs="Times New Roman"/>
          <w:sz w:val="24"/>
          <w:szCs w:val="24"/>
        </w:rPr>
        <w:t>.</w:t>
      </w:r>
      <w:r w:rsidR="007C4F7B" w:rsidRPr="00F64AAA">
        <w:rPr>
          <w:rStyle w:val="FootnoteReference"/>
          <w:rFonts w:cs="Times New Roman"/>
          <w:sz w:val="24"/>
          <w:szCs w:val="24"/>
        </w:rPr>
        <w:footnoteReference w:id="87"/>
      </w:r>
      <w:r w:rsidR="007C4F7B" w:rsidRPr="00F64AAA">
        <w:rPr>
          <w:rFonts w:ascii="Times New Roman" w:hAnsi="Times New Roman" w:cs="Times New Roman"/>
          <w:sz w:val="24"/>
          <w:szCs w:val="24"/>
        </w:rPr>
        <w:t xml:space="preserve"> </w:t>
      </w:r>
      <w:r w:rsidR="00871FDC" w:rsidRPr="00F64AAA">
        <w:rPr>
          <w:rFonts w:ascii="Times New Roman" w:hAnsi="Times New Roman" w:cs="Times New Roman"/>
          <w:sz w:val="24"/>
          <w:szCs w:val="24"/>
        </w:rPr>
        <w:t>To be sure, other reasons behind the Court’s unwillingness to engage with consensus analysis may exist, including the limited available resources for such comparative assessment,</w:t>
      </w:r>
      <w:r w:rsidR="00F27068" w:rsidRPr="00F64AAA">
        <w:rPr>
          <w:rStyle w:val="FootnoteReference"/>
          <w:rFonts w:cs="Times New Roman"/>
          <w:sz w:val="24"/>
          <w:szCs w:val="24"/>
        </w:rPr>
        <w:footnoteReference w:id="88"/>
      </w:r>
      <w:r w:rsidR="00871FDC" w:rsidRPr="00F64AAA">
        <w:rPr>
          <w:rFonts w:ascii="Times New Roman" w:hAnsi="Times New Roman" w:cs="Times New Roman"/>
          <w:sz w:val="24"/>
          <w:szCs w:val="24"/>
        </w:rPr>
        <w:t xml:space="preserve"> or perhaps the </w:t>
      </w:r>
      <w:r w:rsidR="00D450D9" w:rsidRPr="00F64AAA">
        <w:rPr>
          <w:rFonts w:ascii="Times New Roman" w:hAnsi="Times New Roman" w:cs="Times New Roman"/>
          <w:sz w:val="24"/>
          <w:szCs w:val="24"/>
        </w:rPr>
        <w:t xml:space="preserve">lack of sufficient delineation of the issue on which consensus is being claimed for. </w:t>
      </w:r>
      <w:r w:rsidR="00687C9E">
        <w:rPr>
          <w:rFonts w:ascii="Times New Roman" w:hAnsi="Times New Roman" w:cs="Times New Roman"/>
          <w:sz w:val="24"/>
          <w:szCs w:val="24"/>
        </w:rPr>
        <w:t>Indeed</w:t>
      </w:r>
      <w:r w:rsidR="00D450D9" w:rsidRPr="00F64AAA">
        <w:rPr>
          <w:rFonts w:ascii="Times New Roman" w:hAnsi="Times New Roman" w:cs="Times New Roman"/>
          <w:sz w:val="24"/>
          <w:szCs w:val="24"/>
        </w:rPr>
        <w:t xml:space="preserve">, the consensus argument is </w:t>
      </w:r>
      <w:r w:rsidR="00687C9E">
        <w:rPr>
          <w:rFonts w:ascii="Times New Roman" w:hAnsi="Times New Roman" w:cs="Times New Roman"/>
          <w:sz w:val="24"/>
          <w:szCs w:val="24"/>
        </w:rPr>
        <w:t xml:space="preserve">occasionally </w:t>
      </w:r>
      <w:r w:rsidR="00D450D9" w:rsidRPr="00F64AAA">
        <w:rPr>
          <w:rFonts w:ascii="Times New Roman" w:hAnsi="Times New Roman" w:cs="Times New Roman"/>
          <w:sz w:val="24"/>
          <w:szCs w:val="24"/>
        </w:rPr>
        <w:t xml:space="preserve">raised </w:t>
      </w:r>
      <w:r w:rsidR="00687C9E">
        <w:rPr>
          <w:rFonts w:ascii="Times New Roman" w:hAnsi="Times New Roman" w:cs="Times New Roman"/>
          <w:sz w:val="24"/>
          <w:szCs w:val="24"/>
        </w:rPr>
        <w:t xml:space="preserve">almost </w:t>
      </w:r>
      <w:r w:rsidR="00687C9E">
        <w:rPr>
          <w:rFonts w:ascii="Times New Roman" w:hAnsi="Times New Roman" w:cs="Times New Roman"/>
          <w:sz w:val="24"/>
          <w:szCs w:val="24"/>
        </w:rPr>
        <w:lastRenderedPageBreak/>
        <w:t>mechanically</w:t>
      </w:r>
      <w:r w:rsidR="00D450D9" w:rsidRPr="00F64AAA">
        <w:rPr>
          <w:rFonts w:ascii="Times New Roman" w:hAnsi="Times New Roman" w:cs="Times New Roman"/>
          <w:sz w:val="24"/>
          <w:szCs w:val="24"/>
        </w:rPr>
        <w:t xml:space="preserve"> </w:t>
      </w:r>
      <w:r w:rsidR="00871FDC" w:rsidRPr="00F64AAA">
        <w:rPr>
          <w:rFonts w:ascii="Times New Roman" w:hAnsi="Times New Roman" w:cs="Times New Roman"/>
          <w:sz w:val="24"/>
          <w:szCs w:val="24"/>
        </w:rPr>
        <w:t>by the parties concerned, without provision of any evidence</w:t>
      </w:r>
      <w:r w:rsidR="00687C9E">
        <w:rPr>
          <w:rFonts w:ascii="Times New Roman" w:hAnsi="Times New Roman" w:cs="Times New Roman"/>
          <w:sz w:val="24"/>
          <w:szCs w:val="24"/>
        </w:rPr>
        <w:t xml:space="preserve"> </w:t>
      </w:r>
      <w:r w:rsidR="00687C9E" w:rsidRPr="00687C9E">
        <w:rPr>
          <w:rFonts w:ascii="Times New Roman" w:hAnsi="Times New Roman" w:cs="Times New Roman"/>
          <w:sz w:val="24"/>
          <w:szCs w:val="24"/>
        </w:rPr>
        <w:t>(</w:t>
      </w:r>
      <w:r w:rsidR="00687C9E">
        <w:rPr>
          <w:rFonts w:ascii="Times New Roman" w:hAnsi="Times New Roman" w:cs="Times New Roman"/>
          <w:sz w:val="24"/>
          <w:szCs w:val="24"/>
        </w:rPr>
        <w:t>this might also apply to instances where the Court does, indeed, choose to take into account the comparative material</w:t>
      </w:r>
      <w:r w:rsidR="00687C9E" w:rsidRPr="00687C9E">
        <w:rPr>
          <w:rFonts w:ascii="Times New Roman" w:hAnsi="Times New Roman" w:cs="Times New Roman"/>
          <w:sz w:val="24"/>
          <w:szCs w:val="24"/>
        </w:rPr>
        <w:t>)</w:t>
      </w:r>
      <w:r w:rsidR="00871FDC" w:rsidRPr="00F64AAA">
        <w:rPr>
          <w:rFonts w:ascii="Times New Roman" w:hAnsi="Times New Roman" w:cs="Times New Roman"/>
          <w:sz w:val="24"/>
          <w:szCs w:val="24"/>
        </w:rPr>
        <w:t xml:space="preserve">. </w:t>
      </w:r>
      <w:r w:rsidR="00687C9E">
        <w:rPr>
          <w:rFonts w:ascii="Times New Roman" w:hAnsi="Times New Roman" w:cs="Times New Roman"/>
          <w:sz w:val="24"/>
          <w:szCs w:val="24"/>
        </w:rPr>
        <w:t xml:space="preserve">Since the question as to when the Court should rely on consensus is not addressed in this contribution, the earlier remarks should not be viewed as suggesting that </w:t>
      </w:r>
      <w:r w:rsidR="00871FDC" w:rsidRPr="00F64AAA">
        <w:rPr>
          <w:rFonts w:ascii="Times New Roman" w:hAnsi="Times New Roman" w:cs="Times New Roman"/>
          <w:sz w:val="24"/>
          <w:szCs w:val="24"/>
        </w:rPr>
        <w:t xml:space="preserve">the Court </w:t>
      </w:r>
      <w:r w:rsidR="00D450D9" w:rsidRPr="00F64AAA">
        <w:rPr>
          <w:rFonts w:ascii="Times New Roman" w:hAnsi="Times New Roman" w:cs="Times New Roman"/>
          <w:sz w:val="24"/>
          <w:szCs w:val="24"/>
        </w:rPr>
        <w:t xml:space="preserve">should </w:t>
      </w:r>
      <w:r w:rsidR="00687C9E">
        <w:rPr>
          <w:rFonts w:ascii="Times New Roman" w:hAnsi="Times New Roman" w:cs="Times New Roman"/>
          <w:sz w:val="24"/>
          <w:szCs w:val="24"/>
        </w:rPr>
        <w:t xml:space="preserve">either </w:t>
      </w:r>
      <w:r w:rsidR="00871FDC" w:rsidRPr="00F64AAA">
        <w:rPr>
          <w:rFonts w:ascii="Times New Roman" w:hAnsi="Times New Roman" w:cs="Times New Roman"/>
          <w:sz w:val="24"/>
          <w:szCs w:val="24"/>
        </w:rPr>
        <w:t xml:space="preserve">disregard </w:t>
      </w:r>
      <w:r w:rsidR="00687C9E">
        <w:rPr>
          <w:rFonts w:ascii="Times New Roman" w:hAnsi="Times New Roman" w:cs="Times New Roman"/>
          <w:sz w:val="24"/>
          <w:szCs w:val="24"/>
        </w:rPr>
        <w:t xml:space="preserve">or always be responsive to </w:t>
      </w:r>
      <w:r w:rsidR="00871FDC" w:rsidRPr="00F64AAA">
        <w:rPr>
          <w:rFonts w:ascii="Times New Roman" w:hAnsi="Times New Roman" w:cs="Times New Roman"/>
          <w:sz w:val="24"/>
          <w:szCs w:val="24"/>
        </w:rPr>
        <w:t>such claims</w:t>
      </w:r>
      <w:r w:rsidR="00687C9E">
        <w:rPr>
          <w:rFonts w:ascii="Times New Roman" w:hAnsi="Times New Roman" w:cs="Times New Roman"/>
          <w:sz w:val="24"/>
          <w:szCs w:val="24"/>
        </w:rPr>
        <w:t>. Rather, they should be viewed as providing</w:t>
      </w:r>
      <w:r w:rsidR="00D450D9" w:rsidRPr="00F64AAA">
        <w:rPr>
          <w:rFonts w:ascii="Times New Roman" w:hAnsi="Times New Roman" w:cs="Times New Roman"/>
          <w:sz w:val="24"/>
          <w:szCs w:val="24"/>
        </w:rPr>
        <w:t xml:space="preserve"> further support for </w:t>
      </w:r>
      <w:r w:rsidR="00687C9E">
        <w:rPr>
          <w:rFonts w:ascii="Times New Roman" w:hAnsi="Times New Roman" w:cs="Times New Roman"/>
          <w:sz w:val="24"/>
          <w:szCs w:val="24"/>
        </w:rPr>
        <w:t xml:space="preserve">the claim </w:t>
      </w:r>
      <w:r w:rsidR="00B87D86" w:rsidRPr="00B87D86">
        <w:rPr>
          <w:rFonts w:ascii="Times New Roman" w:hAnsi="Times New Roman" w:cs="Times New Roman"/>
          <w:sz w:val="24"/>
          <w:szCs w:val="24"/>
        </w:rPr>
        <w:t>that the margin of appreciation does not always depend on European consensus</w:t>
      </w:r>
      <w:r w:rsidR="00B87D86">
        <w:rPr>
          <w:rFonts w:ascii="Times New Roman" w:hAnsi="Times New Roman" w:cs="Times New Roman"/>
          <w:sz w:val="24"/>
          <w:szCs w:val="24"/>
        </w:rPr>
        <w:t>. Moreover, they evidence the extent to which</w:t>
      </w:r>
      <w:r w:rsidR="00871FDC" w:rsidRPr="00F64AAA">
        <w:rPr>
          <w:rFonts w:ascii="Times New Roman" w:hAnsi="Times New Roman" w:cs="Times New Roman"/>
          <w:sz w:val="24"/>
          <w:szCs w:val="24"/>
        </w:rPr>
        <w:t xml:space="preserve"> consensus</w:t>
      </w:r>
      <w:r w:rsidR="00B87D86">
        <w:rPr>
          <w:rFonts w:ascii="Times New Roman" w:hAnsi="Times New Roman" w:cs="Times New Roman"/>
          <w:sz w:val="24"/>
          <w:szCs w:val="24"/>
        </w:rPr>
        <w:t>, for better or worse,</w:t>
      </w:r>
      <w:r w:rsidR="00871FDC" w:rsidRPr="00F64AAA">
        <w:rPr>
          <w:rFonts w:ascii="Times New Roman" w:hAnsi="Times New Roman" w:cs="Times New Roman"/>
          <w:sz w:val="24"/>
          <w:szCs w:val="24"/>
        </w:rPr>
        <w:t xml:space="preserve"> is being viewed by parties as the catalyst for the margin of appreciation</w:t>
      </w:r>
      <w:r w:rsidR="00B87D86">
        <w:rPr>
          <w:rFonts w:ascii="Times New Roman" w:hAnsi="Times New Roman" w:cs="Times New Roman"/>
          <w:sz w:val="24"/>
          <w:szCs w:val="24"/>
        </w:rPr>
        <w:t>.</w:t>
      </w:r>
    </w:p>
    <w:p w14:paraId="49A514ED" w14:textId="77777777" w:rsidR="00EE4286" w:rsidRPr="00F64AAA" w:rsidRDefault="00EE4286" w:rsidP="001D5459">
      <w:pPr>
        <w:spacing w:line="360" w:lineRule="auto"/>
        <w:jc w:val="both"/>
        <w:rPr>
          <w:rFonts w:ascii="Times New Roman" w:hAnsi="Times New Roman" w:cs="Times New Roman"/>
          <w:b/>
          <w:sz w:val="24"/>
          <w:szCs w:val="24"/>
        </w:rPr>
      </w:pPr>
      <w:r w:rsidRPr="00F64AAA">
        <w:rPr>
          <w:rFonts w:ascii="Times New Roman" w:hAnsi="Times New Roman" w:cs="Times New Roman"/>
          <w:b/>
          <w:sz w:val="24"/>
          <w:szCs w:val="24"/>
        </w:rPr>
        <w:t>European consensus as part of proportionality</w:t>
      </w:r>
    </w:p>
    <w:p w14:paraId="5D20A216" w14:textId="77777777" w:rsidR="001D5459" w:rsidRPr="00F64AAA" w:rsidRDefault="001D5459" w:rsidP="00265ADE">
      <w:pPr>
        <w:spacing w:line="360" w:lineRule="auto"/>
        <w:jc w:val="both"/>
        <w:rPr>
          <w:rFonts w:ascii="Times New Roman" w:hAnsi="Times New Roman" w:cs="Times New Roman"/>
          <w:sz w:val="24"/>
          <w:szCs w:val="24"/>
        </w:rPr>
      </w:pPr>
      <w:r w:rsidRPr="00F64AAA">
        <w:rPr>
          <w:rFonts w:ascii="Times New Roman" w:hAnsi="Times New Roman" w:cs="Times New Roman"/>
          <w:sz w:val="24"/>
          <w:szCs w:val="24"/>
        </w:rPr>
        <w:t>Taking th</w:t>
      </w:r>
      <w:r w:rsidR="00B628CB" w:rsidRPr="00F64AAA">
        <w:rPr>
          <w:rFonts w:ascii="Times New Roman" w:hAnsi="Times New Roman" w:cs="Times New Roman"/>
          <w:sz w:val="24"/>
          <w:szCs w:val="24"/>
        </w:rPr>
        <w:t xml:space="preserve">is path of enquiry further, it will be shown </w:t>
      </w:r>
      <w:r w:rsidRPr="00F64AAA">
        <w:rPr>
          <w:rFonts w:ascii="Times New Roman" w:hAnsi="Times New Roman" w:cs="Times New Roman"/>
          <w:sz w:val="24"/>
          <w:szCs w:val="24"/>
        </w:rPr>
        <w:t xml:space="preserve">that European consensus is </w:t>
      </w:r>
      <w:r w:rsidR="00B628CB" w:rsidRPr="00F64AAA">
        <w:rPr>
          <w:rFonts w:ascii="Times New Roman" w:hAnsi="Times New Roman" w:cs="Times New Roman"/>
          <w:sz w:val="24"/>
          <w:szCs w:val="24"/>
        </w:rPr>
        <w:t xml:space="preserve">one of the factors considered by the </w:t>
      </w:r>
      <w:r w:rsidRPr="00F64AAA">
        <w:rPr>
          <w:rFonts w:ascii="Times New Roman" w:hAnsi="Times New Roman" w:cs="Times New Roman"/>
          <w:sz w:val="24"/>
          <w:szCs w:val="24"/>
        </w:rPr>
        <w:t>Court in its application of the proportionality test</w:t>
      </w:r>
      <w:r w:rsidR="00B628CB" w:rsidRPr="00F64AAA">
        <w:rPr>
          <w:rFonts w:ascii="Times New Roman" w:hAnsi="Times New Roman" w:cs="Times New Roman"/>
          <w:sz w:val="24"/>
          <w:szCs w:val="24"/>
        </w:rPr>
        <w:t xml:space="preserve">. </w:t>
      </w:r>
      <w:r w:rsidR="00D25EB6" w:rsidRPr="00F64AAA">
        <w:rPr>
          <w:rFonts w:ascii="Times New Roman" w:hAnsi="Times New Roman" w:cs="Times New Roman"/>
          <w:sz w:val="24"/>
          <w:szCs w:val="24"/>
        </w:rPr>
        <w:t>Brems captured this in her seminal article when observing that in ‘most cases … comparative analysis is a – supportive or decisive – argument in the key part of the Court’s reasoning, namely where it measures the proportionality or the reasonableness of an interference with a protected right’.</w:t>
      </w:r>
      <w:r w:rsidR="00D25EB6" w:rsidRPr="00F64AAA">
        <w:rPr>
          <w:rFonts w:ascii="Times New Roman" w:hAnsi="Times New Roman"/>
          <w:sz w:val="24"/>
          <w:szCs w:val="24"/>
          <w:vertAlign w:val="superscript"/>
        </w:rPr>
        <w:footnoteReference w:id="89"/>
      </w:r>
      <w:r w:rsidR="00D25EB6" w:rsidRPr="00F64AAA">
        <w:rPr>
          <w:rFonts w:ascii="Times New Roman" w:hAnsi="Times New Roman" w:cs="Times New Roman"/>
          <w:sz w:val="24"/>
          <w:szCs w:val="24"/>
        </w:rPr>
        <w:t xml:space="preserve"> </w:t>
      </w:r>
      <w:r w:rsidR="00D25EB6">
        <w:rPr>
          <w:rFonts w:ascii="Times New Roman" w:hAnsi="Times New Roman" w:cs="Times New Roman"/>
          <w:sz w:val="24"/>
          <w:szCs w:val="24"/>
        </w:rPr>
        <w:t>T</w:t>
      </w:r>
      <w:r w:rsidR="00B628CB" w:rsidRPr="00F64AAA">
        <w:rPr>
          <w:rFonts w:ascii="Times New Roman" w:hAnsi="Times New Roman" w:cs="Times New Roman"/>
          <w:sz w:val="24"/>
          <w:szCs w:val="24"/>
        </w:rPr>
        <w:t>he proportionality principle and the margin of appreciation doctrine are</w:t>
      </w:r>
      <w:r w:rsidR="00D25EB6">
        <w:rPr>
          <w:rFonts w:ascii="Times New Roman" w:hAnsi="Times New Roman" w:cs="Times New Roman"/>
          <w:sz w:val="24"/>
          <w:szCs w:val="24"/>
        </w:rPr>
        <w:t>, of course,</w:t>
      </w:r>
      <w:r w:rsidR="00B628CB" w:rsidRPr="00F64AAA">
        <w:rPr>
          <w:rFonts w:ascii="Times New Roman" w:hAnsi="Times New Roman" w:cs="Times New Roman"/>
          <w:sz w:val="24"/>
          <w:szCs w:val="24"/>
        </w:rPr>
        <w:t xml:space="preserve"> </w:t>
      </w:r>
      <w:r w:rsidR="00D25EB6">
        <w:rPr>
          <w:rFonts w:ascii="Times New Roman" w:hAnsi="Times New Roman" w:cs="Times New Roman"/>
          <w:sz w:val="24"/>
          <w:szCs w:val="24"/>
        </w:rPr>
        <w:t xml:space="preserve">generally </w:t>
      </w:r>
      <w:r w:rsidR="00B628CB" w:rsidRPr="00F64AAA">
        <w:rPr>
          <w:rFonts w:ascii="Times New Roman" w:hAnsi="Times New Roman" w:cs="Times New Roman"/>
          <w:sz w:val="24"/>
          <w:szCs w:val="24"/>
        </w:rPr>
        <w:t>associated:</w:t>
      </w:r>
      <w:r w:rsidR="00265ADE" w:rsidRPr="00F64AAA">
        <w:rPr>
          <w:rStyle w:val="FootnoteReference"/>
          <w:rFonts w:cs="Times New Roman"/>
          <w:sz w:val="24"/>
          <w:szCs w:val="24"/>
        </w:rPr>
        <w:footnoteReference w:id="90"/>
      </w:r>
      <w:r w:rsidR="00D25EB6">
        <w:rPr>
          <w:rFonts w:ascii="Times New Roman" w:hAnsi="Times New Roman" w:cs="Times New Roman"/>
          <w:sz w:val="24"/>
          <w:szCs w:val="24"/>
        </w:rPr>
        <w:t xml:space="preserve"> </w:t>
      </w:r>
      <w:r w:rsidR="00B628CB" w:rsidRPr="00F64AAA">
        <w:rPr>
          <w:rFonts w:ascii="Times New Roman" w:hAnsi="Times New Roman" w:cs="Times New Roman"/>
          <w:sz w:val="24"/>
          <w:szCs w:val="24"/>
        </w:rPr>
        <w:t xml:space="preserve">as observed by Arai-Takahashi, ‘[t]he more intense the standard of proportionality becomes, the narrower the margin allowed to national authorities’, and therefore ‘[i]t is possible to consider the application of the proportionality principle as the other side of the margin of </w:t>
      </w:r>
      <w:r w:rsidR="00B628CB" w:rsidRPr="00F64AAA">
        <w:rPr>
          <w:rFonts w:ascii="Times New Roman" w:hAnsi="Times New Roman" w:cs="Times New Roman"/>
          <w:sz w:val="24"/>
          <w:szCs w:val="24"/>
        </w:rPr>
        <w:lastRenderedPageBreak/>
        <w:t>appreciation’.</w:t>
      </w:r>
      <w:r w:rsidR="00B628CB" w:rsidRPr="00F64AAA">
        <w:rPr>
          <w:rFonts w:ascii="Times New Roman" w:hAnsi="Times New Roman"/>
          <w:sz w:val="24"/>
          <w:szCs w:val="24"/>
          <w:vertAlign w:val="superscript"/>
        </w:rPr>
        <w:footnoteReference w:id="91"/>
      </w:r>
      <w:r w:rsidR="00B628CB" w:rsidRPr="00F64AAA">
        <w:rPr>
          <w:rFonts w:ascii="Times New Roman" w:hAnsi="Times New Roman" w:cs="Times New Roman"/>
          <w:sz w:val="24"/>
          <w:szCs w:val="24"/>
        </w:rPr>
        <w:t xml:space="preserve"> </w:t>
      </w:r>
      <w:r w:rsidR="00D25EB6">
        <w:rPr>
          <w:rFonts w:ascii="Times New Roman" w:hAnsi="Times New Roman" w:cs="Times New Roman"/>
          <w:sz w:val="24"/>
          <w:szCs w:val="24"/>
        </w:rPr>
        <w:t>In this section it will be argued that precisely locating consensus within the proportionality part of the Court</w:t>
      </w:r>
      <w:r w:rsidR="009F129B">
        <w:rPr>
          <w:rFonts w:ascii="Times New Roman" w:hAnsi="Times New Roman" w:cs="Times New Roman"/>
          <w:sz w:val="24"/>
          <w:szCs w:val="24"/>
        </w:rPr>
        <w:t>’s</w:t>
      </w:r>
      <w:r w:rsidR="00D25EB6">
        <w:rPr>
          <w:rFonts w:ascii="Times New Roman" w:hAnsi="Times New Roman" w:cs="Times New Roman"/>
          <w:sz w:val="24"/>
          <w:szCs w:val="24"/>
        </w:rPr>
        <w:t xml:space="preserve"> reasoning </w:t>
      </w:r>
      <w:r w:rsidR="00E218BC">
        <w:rPr>
          <w:rFonts w:ascii="Times New Roman" w:hAnsi="Times New Roman" w:cs="Times New Roman"/>
          <w:sz w:val="24"/>
          <w:szCs w:val="24"/>
        </w:rPr>
        <w:t>is a challenging exercise.</w:t>
      </w:r>
    </w:p>
    <w:p w14:paraId="47F7059A" w14:textId="77777777" w:rsidR="002D053F" w:rsidRPr="00F64AAA" w:rsidRDefault="00E218BC" w:rsidP="001D5459">
      <w:pPr>
        <w:spacing w:line="360" w:lineRule="auto"/>
        <w:jc w:val="both"/>
        <w:rPr>
          <w:rFonts w:ascii="Times New Roman" w:hAnsi="Times New Roman" w:cs="Times New Roman"/>
          <w:sz w:val="24"/>
          <w:szCs w:val="24"/>
        </w:rPr>
      </w:pPr>
      <w:r>
        <w:rPr>
          <w:rFonts w:ascii="Times New Roman" w:hAnsi="Times New Roman" w:cs="Times New Roman"/>
          <w:sz w:val="24"/>
          <w:szCs w:val="24"/>
        </w:rPr>
        <w:t>Indeed, i</w:t>
      </w:r>
      <w:r w:rsidR="00D808CD" w:rsidRPr="00F64AAA">
        <w:rPr>
          <w:rFonts w:ascii="Times New Roman" w:hAnsi="Times New Roman" w:cs="Times New Roman"/>
          <w:sz w:val="24"/>
          <w:szCs w:val="24"/>
        </w:rPr>
        <w:t>t has rightly been observed that the Strasbourg Court has not adopted a particular structure</w:t>
      </w:r>
      <w:r w:rsidR="00265ADE" w:rsidRPr="00F64AAA">
        <w:rPr>
          <w:rStyle w:val="FootnoteReference"/>
          <w:rFonts w:cs="Times New Roman"/>
          <w:sz w:val="24"/>
          <w:szCs w:val="24"/>
        </w:rPr>
        <w:footnoteReference w:id="92"/>
      </w:r>
      <w:r w:rsidR="00D808CD" w:rsidRPr="00F64AAA">
        <w:rPr>
          <w:rFonts w:ascii="Times New Roman" w:hAnsi="Times New Roman" w:cs="Times New Roman"/>
          <w:sz w:val="24"/>
          <w:szCs w:val="24"/>
        </w:rPr>
        <w:t xml:space="preserve"> when ap</w:t>
      </w:r>
      <w:r w:rsidR="003B1F92" w:rsidRPr="00F64AAA">
        <w:rPr>
          <w:rFonts w:ascii="Times New Roman" w:hAnsi="Times New Roman" w:cs="Times New Roman"/>
          <w:sz w:val="24"/>
          <w:szCs w:val="24"/>
        </w:rPr>
        <w:t>plying the proportionality test</w:t>
      </w:r>
      <w:r w:rsidR="00D808CD" w:rsidRPr="00F64AAA">
        <w:rPr>
          <w:rFonts w:ascii="Times New Roman" w:hAnsi="Times New Roman" w:cs="Times New Roman"/>
          <w:sz w:val="24"/>
          <w:szCs w:val="24"/>
        </w:rPr>
        <w:t>.</w:t>
      </w:r>
      <w:r w:rsidR="003B1F92" w:rsidRPr="00F64AAA">
        <w:rPr>
          <w:rStyle w:val="FootnoteReference"/>
          <w:rFonts w:cs="Times New Roman"/>
          <w:sz w:val="24"/>
          <w:szCs w:val="24"/>
        </w:rPr>
        <w:footnoteReference w:id="93"/>
      </w:r>
      <w:r w:rsidR="00D808CD" w:rsidRPr="00F64AAA">
        <w:rPr>
          <w:rFonts w:ascii="Times New Roman" w:hAnsi="Times New Roman" w:cs="Times New Roman"/>
          <w:sz w:val="24"/>
          <w:szCs w:val="24"/>
        </w:rPr>
        <w:t xml:space="preserve"> To be fair to the Court, this is anything but an easy </w:t>
      </w:r>
      <w:r>
        <w:rPr>
          <w:rFonts w:ascii="Times New Roman" w:hAnsi="Times New Roman" w:cs="Times New Roman"/>
          <w:sz w:val="24"/>
          <w:szCs w:val="24"/>
        </w:rPr>
        <w:t>task</w:t>
      </w:r>
      <w:r w:rsidR="00D808CD" w:rsidRPr="00F64AAA">
        <w:rPr>
          <w:rFonts w:ascii="Times New Roman" w:hAnsi="Times New Roman" w:cs="Times New Roman"/>
          <w:sz w:val="24"/>
          <w:szCs w:val="24"/>
        </w:rPr>
        <w:t xml:space="preserve">, and the design of proportionality may indeed depend on the right in question or the facts of the case and the available evidence. For example, </w:t>
      </w:r>
      <w:r w:rsidR="00336827" w:rsidRPr="00F64AAA">
        <w:rPr>
          <w:rFonts w:ascii="Times New Roman" w:hAnsi="Times New Roman" w:cs="Times New Roman"/>
          <w:sz w:val="24"/>
          <w:szCs w:val="24"/>
        </w:rPr>
        <w:t xml:space="preserve">although </w:t>
      </w:r>
      <w:r w:rsidR="00D808CD" w:rsidRPr="00F64AAA">
        <w:rPr>
          <w:rFonts w:ascii="Times New Roman" w:hAnsi="Times New Roman" w:cs="Times New Roman"/>
          <w:sz w:val="24"/>
          <w:szCs w:val="24"/>
        </w:rPr>
        <w:t xml:space="preserve">the Court is frequently stressing that the balancing exercise will not differ on the basis of whether there is </w:t>
      </w:r>
      <w:r>
        <w:rPr>
          <w:rFonts w:ascii="Times New Roman" w:hAnsi="Times New Roman" w:cs="Times New Roman"/>
          <w:sz w:val="24"/>
          <w:szCs w:val="24"/>
        </w:rPr>
        <w:t xml:space="preserve">an </w:t>
      </w:r>
      <w:r w:rsidRPr="00F64AAA">
        <w:rPr>
          <w:rFonts w:ascii="Times New Roman" w:hAnsi="Times New Roman" w:cs="Times New Roman"/>
          <w:sz w:val="24"/>
          <w:szCs w:val="24"/>
        </w:rPr>
        <w:t>interference</w:t>
      </w:r>
      <w:r w:rsidR="00D808CD" w:rsidRPr="00F64AAA">
        <w:rPr>
          <w:rFonts w:ascii="Times New Roman" w:hAnsi="Times New Roman" w:cs="Times New Roman"/>
          <w:sz w:val="24"/>
          <w:szCs w:val="24"/>
        </w:rPr>
        <w:t xml:space="preserve"> </w:t>
      </w:r>
      <w:r>
        <w:rPr>
          <w:rFonts w:ascii="Times New Roman" w:hAnsi="Times New Roman" w:cs="Times New Roman"/>
          <w:sz w:val="24"/>
          <w:szCs w:val="24"/>
        </w:rPr>
        <w:t xml:space="preserve">with the right in question </w:t>
      </w:r>
      <w:r w:rsidR="00D808CD" w:rsidRPr="00F64AAA">
        <w:rPr>
          <w:rFonts w:ascii="Times New Roman" w:hAnsi="Times New Roman" w:cs="Times New Roman"/>
          <w:sz w:val="24"/>
          <w:szCs w:val="24"/>
        </w:rPr>
        <w:t>or a positive obligation</w:t>
      </w:r>
      <w:r w:rsidR="00336827" w:rsidRPr="00F64AAA">
        <w:rPr>
          <w:rFonts w:ascii="Times New Roman" w:hAnsi="Times New Roman" w:cs="Times New Roman"/>
          <w:sz w:val="24"/>
          <w:szCs w:val="24"/>
        </w:rPr>
        <w:t>,</w:t>
      </w:r>
      <w:r w:rsidR="00677E8F" w:rsidRPr="00F64AAA">
        <w:rPr>
          <w:rStyle w:val="FootnoteReference"/>
          <w:rFonts w:cs="Times New Roman"/>
          <w:sz w:val="24"/>
          <w:szCs w:val="24"/>
        </w:rPr>
        <w:footnoteReference w:id="94"/>
      </w:r>
      <w:r w:rsidR="00D808CD" w:rsidRPr="00F64AAA">
        <w:rPr>
          <w:rFonts w:ascii="Times New Roman" w:hAnsi="Times New Roman" w:cs="Times New Roman"/>
          <w:sz w:val="24"/>
          <w:szCs w:val="24"/>
        </w:rPr>
        <w:t xml:space="preserve"> </w:t>
      </w:r>
      <w:r w:rsidR="00273D28" w:rsidRPr="00F64AAA">
        <w:rPr>
          <w:rFonts w:ascii="Times New Roman" w:hAnsi="Times New Roman" w:cs="Times New Roman"/>
          <w:sz w:val="24"/>
          <w:szCs w:val="24"/>
        </w:rPr>
        <w:t xml:space="preserve">in practice the structure of the Court’s reasoning in </w:t>
      </w:r>
      <w:r>
        <w:rPr>
          <w:rFonts w:ascii="Times New Roman" w:hAnsi="Times New Roman" w:cs="Times New Roman"/>
          <w:sz w:val="24"/>
          <w:szCs w:val="24"/>
        </w:rPr>
        <w:t>the aforementioned situations</w:t>
      </w:r>
      <w:r w:rsidR="00273D28" w:rsidRPr="00F64AAA">
        <w:rPr>
          <w:rFonts w:ascii="Times New Roman" w:hAnsi="Times New Roman" w:cs="Times New Roman"/>
          <w:sz w:val="24"/>
          <w:szCs w:val="24"/>
        </w:rPr>
        <w:t xml:space="preserve"> can be different.</w:t>
      </w:r>
      <w:r w:rsidR="00D808CD" w:rsidRPr="00F64AAA">
        <w:rPr>
          <w:rFonts w:ascii="Times New Roman" w:hAnsi="Times New Roman" w:cs="Times New Roman"/>
          <w:sz w:val="24"/>
          <w:szCs w:val="24"/>
        </w:rPr>
        <w:t xml:space="preserve"> Further, when Article 14 is engaged, the ECtHR</w:t>
      </w:r>
      <w:r w:rsidR="00336827" w:rsidRPr="00F64AAA">
        <w:rPr>
          <w:rFonts w:ascii="Times New Roman" w:hAnsi="Times New Roman" w:cs="Times New Roman"/>
          <w:sz w:val="24"/>
          <w:szCs w:val="24"/>
        </w:rPr>
        <w:t xml:space="preserve"> often </w:t>
      </w:r>
      <w:r>
        <w:rPr>
          <w:rFonts w:ascii="Times New Roman" w:hAnsi="Times New Roman" w:cs="Times New Roman"/>
          <w:sz w:val="24"/>
          <w:szCs w:val="24"/>
        </w:rPr>
        <w:t>reformulates the test, stating</w:t>
      </w:r>
      <w:r w:rsidR="00336827" w:rsidRPr="00F64AAA">
        <w:rPr>
          <w:rFonts w:ascii="Times New Roman" w:hAnsi="Times New Roman" w:cs="Times New Roman"/>
          <w:sz w:val="24"/>
          <w:szCs w:val="24"/>
        </w:rPr>
        <w:t xml:space="preserve"> that ‘a difference of treatment is discriminatory if it has no objective and reasonable justification; in other words, if it does not pursue a legitimate aim or if there is not a reasonable relationship of proportionality between the means employed and the aim sought to be realised’.</w:t>
      </w:r>
      <w:r w:rsidR="00336827" w:rsidRPr="00F64AAA">
        <w:rPr>
          <w:rStyle w:val="FootnoteReference"/>
          <w:rFonts w:cs="Times New Roman"/>
          <w:sz w:val="24"/>
          <w:szCs w:val="24"/>
        </w:rPr>
        <w:footnoteReference w:id="95"/>
      </w:r>
      <w:r w:rsidR="00F957EF" w:rsidRPr="00F64AAA">
        <w:rPr>
          <w:rFonts w:ascii="Times New Roman" w:hAnsi="Times New Roman" w:cs="Times New Roman"/>
          <w:sz w:val="24"/>
          <w:szCs w:val="24"/>
        </w:rPr>
        <w:t xml:space="preserve"> </w:t>
      </w:r>
    </w:p>
    <w:p w14:paraId="6A9EB617" w14:textId="3785D540" w:rsidR="00B740B6" w:rsidRPr="00B51BCE" w:rsidRDefault="00F957EF" w:rsidP="00B740B6">
      <w:pPr>
        <w:spacing w:line="360" w:lineRule="auto"/>
        <w:jc w:val="both"/>
        <w:rPr>
          <w:rFonts w:ascii="Times New Roman" w:hAnsi="Times New Roman" w:cs="Times New Roman"/>
          <w:sz w:val="24"/>
          <w:szCs w:val="24"/>
        </w:rPr>
      </w:pPr>
      <w:r w:rsidRPr="00F64AAA">
        <w:rPr>
          <w:rFonts w:ascii="Times New Roman" w:hAnsi="Times New Roman" w:cs="Times New Roman"/>
          <w:sz w:val="24"/>
          <w:szCs w:val="24"/>
        </w:rPr>
        <w:t xml:space="preserve">In this context, it is </w:t>
      </w:r>
      <w:r w:rsidR="00176683">
        <w:rPr>
          <w:rFonts w:ascii="Times New Roman" w:hAnsi="Times New Roman" w:cs="Times New Roman"/>
          <w:sz w:val="24"/>
          <w:szCs w:val="24"/>
        </w:rPr>
        <w:t>probably unwise</w:t>
      </w:r>
      <w:r w:rsidRPr="00F64AAA">
        <w:rPr>
          <w:rFonts w:ascii="Times New Roman" w:hAnsi="Times New Roman" w:cs="Times New Roman"/>
          <w:sz w:val="24"/>
          <w:szCs w:val="24"/>
        </w:rPr>
        <w:t xml:space="preserve"> to </w:t>
      </w:r>
      <w:r w:rsidR="004A78E6">
        <w:rPr>
          <w:rFonts w:ascii="Times New Roman" w:hAnsi="Times New Roman" w:cs="Times New Roman"/>
          <w:sz w:val="24"/>
          <w:szCs w:val="24"/>
        </w:rPr>
        <w:t>provide generali</w:t>
      </w:r>
      <w:r w:rsidR="009F129B">
        <w:rPr>
          <w:rFonts w:ascii="Times New Roman" w:hAnsi="Times New Roman" w:cs="Times New Roman"/>
          <w:sz w:val="24"/>
          <w:szCs w:val="24"/>
        </w:rPr>
        <w:t>s</w:t>
      </w:r>
      <w:r w:rsidR="004A78E6">
        <w:rPr>
          <w:rFonts w:ascii="Times New Roman" w:hAnsi="Times New Roman" w:cs="Times New Roman"/>
          <w:sz w:val="24"/>
          <w:szCs w:val="24"/>
        </w:rPr>
        <w:t xml:space="preserve">ed conclusions as to where </w:t>
      </w:r>
      <w:r w:rsidRPr="00F64AAA">
        <w:rPr>
          <w:rFonts w:ascii="Times New Roman" w:hAnsi="Times New Roman" w:cs="Times New Roman"/>
          <w:sz w:val="24"/>
          <w:szCs w:val="24"/>
        </w:rPr>
        <w:t>precisely the ECtHR’s consensus analysis within the application of the proportionality principle</w:t>
      </w:r>
      <w:r w:rsidR="004A78E6">
        <w:rPr>
          <w:rFonts w:ascii="Times New Roman" w:hAnsi="Times New Roman" w:cs="Times New Roman"/>
          <w:sz w:val="24"/>
          <w:szCs w:val="24"/>
        </w:rPr>
        <w:t xml:space="preserve"> can be </w:t>
      </w:r>
      <w:r w:rsidR="004A78E6" w:rsidRPr="007C03A9">
        <w:rPr>
          <w:rFonts w:ascii="Times New Roman" w:hAnsi="Times New Roman" w:cs="Times New Roman"/>
          <w:sz w:val="24"/>
          <w:szCs w:val="24"/>
        </w:rPr>
        <w:t>located</w:t>
      </w:r>
      <w:r w:rsidRPr="007C03A9">
        <w:rPr>
          <w:rFonts w:ascii="Times New Roman" w:hAnsi="Times New Roman" w:cs="Times New Roman"/>
          <w:sz w:val="24"/>
          <w:szCs w:val="24"/>
        </w:rPr>
        <w:t xml:space="preserve">. </w:t>
      </w:r>
      <w:r w:rsidR="002D053F" w:rsidRPr="007C03A9">
        <w:rPr>
          <w:rFonts w:ascii="Times New Roman" w:hAnsi="Times New Roman" w:cs="Times New Roman"/>
          <w:sz w:val="24"/>
          <w:szCs w:val="24"/>
        </w:rPr>
        <w:t>Despite the</w:t>
      </w:r>
      <w:r w:rsidR="004A78E6" w:rsidRPr="007C03A9">
        <w:rPr>
          <w:rFonts w:ascii="Times New Roman" w:hAnsi="Times New Roman" w:cs="Times New Roman"/>
          <w:sz w:val="24"/>
          <w:szCs w:val="24"/>
        </w:rPr>
        <w:t>se</w:t>
      </w:r>
      <w:r w:rsidR="002D053F" w:rsidRPr="007C03A9">
        <w:rPr>
          <w:rFonts w:ascii="Times New Roman" w:hAnsi="Times New Roman" w:cs="Times New Roman"/>
          <w:sz w:val="24"/>
          <w:szCs w:val="24"/>
        </w:rPr>
        <w:t xml:space="preserve"> challenges, </w:t>
      </w:r>
      <w:r w:rsidRPr="007C03A9">
        <w:rPr>
          <w:rFonts w:ascii="Times New Roman" w:hAnsi="Times New Roman" w:cs="Times New Roman"/>
          <w:sz w:val="24"/>
          <w:szCs w:val="24"/>
        </w:rPr>
        <w:t xml:space="preserve">it can </w:t>
      </w:r>
      <w:r w:rsidR="002D053F" w:rsidRPr="007C03A9">
        <w:rPr>
          <w:rFonts w:ascii="Times New Roman" w:hAnsi="Times New Roman" w:cs="Times New Roman"/>
          <w:sz w:val="24"/>
          <w:szCs w:val="24"/>
        </w:rPr>
        <w:t xml:space="preserve">nonetheless </w:t>
      </w:r>
      <w:r w:rsidRPr="007C03A9">
        <w:rPr>
          <w:rFonts w:ascii="Times New Roman" w:hAnsi="Times New Roman" w:cs="Times New Roman"/>
          <w:sz w:val="24"/>
          <w:szCs w:val="24"/>
        </w:rPr>
        <w:t xml:space="preserve">be observed that in many cases such analysis is taken into account by the Court </w:t>
      </w:r>
      <w:r w:rsidRPr="00F64AAA">
        <w:rPr>
          <w:rFonts w:ascii="Times New Roman" w:hAnsi="Times New Roman" w:cs="Times New Roman"/>
          <w:sz w:val="24"/>
          <w:szCs w:val="24"/>
        </w:rPr>
        <w:t xml:space="preserve">when examining whether the </w:t>
      </w:r>
      <w:r w:rsidR="00D92194" w:rsidRPr="00F64AAA">
        <w:rPr>
          <w:rFonts w:ascii="Times New Roman" w:hAnsi="Times New Roman" w:cs="Times New Roman"/>
          <w:sz w:val="24"/>
          <w:szCs w:val="24"/>
        </w:rPr>
        <w:t>restriction</w:t>
      </w:r>
      <w:r w:rsidRPr="00F64AAA">
        <w:rPr>
          <w:rFonts w:ascii="Times New Roman" w:hAnsi="Times New Roman" w:cs="Times New Roman"/>
          <w:sz w:val="24"/>
          <w:szCs w:val="24"/>
        </w:rPr>
        <w:t xml:space="preserve"> was ‘necessary in a democratic society’</w:t>
      </w:r>
      <w:r w:rsidR="007E41B3" w:rsidRPr="00F64AAA">
        <w:rPr>
          <w:rFonts w:ascii="Times New Roman" w:hAnsi="Times New Roman" w:cs="Times New Roman"/>
          <w:sz w:val="24"/>
          <w:szCs w:val="24"/>
        </w:rPr>
        <w:t xml:space="preserve"> (or a similar formulation)</w:t>
      </w:r>
      <w:r w:rsidR="00901B1B" w:rsidRPr="00F64AAA">
        <w:rPr>
          <w:rFonts w:ascii="Times New Roman" w:hAnsi="Times New Roman" w:cs="Times New Roman"/>
          <w:sz w:val="24"/>
          <w:szCs w:val="24"/>
        </w:rPr>
        <w:t>,</w:t>
      </w:r>
      <w:r w:rsidR="00E12E29" w:rsidRPr="00F64AAA">
        <w:rPr>
          <w:rStyle w:val="FootnoteReference"/>
          <w:rFonts w:cs="Times New Roman"/>
          <w:sz w:val="24"/>
          <w:szCs w:val="24"/>
        </w:rPr>
        <w:footnoteReference w:id="96"/>
      </w:r>
      <w:r w:rsidR="00E12E29" w:rsidRPr="00F64AAA">
        <w:rPr>
          <w:rFonts w:ascii="Times New Roman" w:hAnsi="Times New Roman" w:cs="Times New Roman"/>
          <w:sz w:val="24"/>
          <w:szCs w:val="24"/>
        </w:rPr>
        <w:t xml:space="preserve"> </w:t>
      </w:r>
      <w:r w:rsidR="00901B1B" w:rsidRPr="00F64AAA">
        <w:rPr>
          <w:rFonts w:ascii="Times New Roman" w:hAnsi="Times New Roman" w:cs="Times New Roman"/>
          <w:sz w:val="24"/>
          <w:szCs w:val="24"/>
        </w:rPr>
        <w:t xml:space="preserve">the ‘central step’ of the test to </w:t>
      </w:r>
      <w:r w:rsidR="00901B1B" w:rsidRPr="00B51BCE">
        <w:rPr>
          <w:rFonts w:ascii="Times New Roman" w:hAnsi="Times New Roman" w:cs="Times New Roman"/>
          <w:sz w:val="24"/>
          <w:szCs w:val="24"/>
        </w:rPr>
        <w:t xml:space="preserve">find (or not) a violation of the Convention, and that on which the ECtHR generally devotes </w:t>
      </w:r>
      <w:r w:rsidR="00E12E29" w:rsidRPr="00B51BCE">
        <w:rPr>
          <w:rFonts w:ascii="Times New Roman" w:hAnsi="Times New Roman" w:cs="Times New Roman"/>
          <w:sz w:val="24"/>
          <w:szCs w:val="24"/>
        </w:rPr>
        <w:t xml:space="preserve">a substantial part </w:t>
      </w:r>
      <w:r w:rsidR="00901B1B" w:rsidRPr="00B51BCE">
        <w:rPr>
          <w:rFonts w:ascii="Times New Roman" w:hAnsi="Times New Roman" w:cs="Times New Roman"/>
          <w:sz w:val="24"/>
          <w:szCs w:val="24"/>
        </w:rPr>
        <w:t>of its reasoning.</w:t>
      </w:r>
      <w:r w:rsidR="00901B1B" w:rsidRPr="00B51BCE">
        <w:rPr>
          <w:rFonts w:ascii="Times New Roman" w:hAnsi="Times New Roman"/>
          <w:sz w:val="24"/>
          <w:szCs w:val="24"/>
          <w:vertAlign w:val="superscript"/>
        </w:rPr>
        <w:footnoteReference w:id="97"/>
      </w:r>
      <w:r w:rsidR="00901B1B" w:rsidRPr="00B51BCE">
        <w:rPr>
          <w:rFonts w:ascii="Times New Roman" w:hAnsi="Times New Roman" w:cs="Times New Roman"/>
          <w:sz w:val="24"/>
          <w:szCs w:val="24"/>
        </w:rPr>
        <w:t xml:space="preserve"> </w:t>
      </w:r>
      <w:r w:rsidR="00F56E05" w:rsidRPr="00B51BCE">
        <w:rPr>
          <w:rFonts w:ascii="Times New Roman" w:hAnsi="Times New Roman" w:cs="Times New Roman"/>
          <w:sz w:val="24"/>
          <w:szCs w:val="24"/>
        </w:rPr>
        <w:t xml:space="preserve">In cases engaging states’ positive obligations </w:t>
      </w:r>
      <w:r w:rsidR="00140F44">
        <w:rPr>
          <w:rFonts w:ascii="Times New Roman" w:hAnsi="Times New Roman" w:cs="Times New Roman"/>
          <w:sz w:val="24"/>
          <w:szCs w:val="24"/>
        </w:rPr>
        <w:t xml:space="preserve">(or in certain instances where the Court did not deem it necessary to decide whether there was an interference or positive obligation) </w:t>
      </w:r>
      <w:r w:rsidR="00F56E05" w:rsidRPr="00B51BCE">
        <w:rPr>
          <w:rFonts w:ascii="Times New Roman" w:hAnsi="Times New Roman" w:cs="Times New Roman"/>
          <w:sz w:val="24"/>
          <w:szCs w:val="24"/>
        </w:rPr>
        <w:t xml:space="preserve">consensus has been considered (but not necessarily </w:t>
      </w:r>
      <w:r w:rsidR="00F56E05" w:rsidRPr="0047517A">
        <w:rPr>
          <w:rFonts w:ascii="Times New Roman" w:hAnsi="Times New Roman" w:cs="Times New Roman"/>
          <w:sz w:val="24"/>
          <w:szCs w:val="24"/>
        </w:rPr>
        <w:t>followed) either before</w:t>
      </w:r>
      <w:r w:rsidR="00F56E05" w:rsidRPr="0047517A">
        <w:rPr>
          <w:rStyle w:val="FootnoteReference"/>
          <w:rFonts w:cs="Times New Roman"/>
          <w:sz w:val="24"/>
          <w:szCs w:val="24"/>
        </w:rPr>
        <w:footnoteReference w:id="98"/>
      </w:r>
      <w:r w:rsidR="00F56E05" w:rsidRPr="0047517A">
        <w:rPr>
          <w:rFonts w:ascii="Times New Roman" w:hAnsi="Times New Roman" w:cs="Times New Roman"/>
          <w:sz w:val="24"/>
          <w:szCs w:val="24"/>
        </w:rPr>
        <w:t xml:space="preserve"> or in the context of</w:t>
      </w:r>
      <w:r w:rsidR="00140F44" w:rsidRPr="0047517A">
        <w:rPr>
          <w:rStyle w:val="FootnoteReference"/>
          <w:rFonts w:cs="Times New Roman"/>
          <w:sz w:val="24"/>
          <w:szCs w:val="24"/>
        </w:rPr>
        <w:footnoteReference w:id="99"/>
      </w:r>
      <w:r w:rsidR="00F56E05" w:rsidRPr="0047517A">
        <w:rPr>
          <w:rFonts w:ascii="Times New Roman" w:hAnsi="Times New Roman" w:cs="Times New Roman"/>
          <w:sz w:val="24"/>
          <w:szCs w:val="24"/>
        </w:rPr>
        <w:t xml:space="preserve"> the ‘fair balance’ test.</w:t>
      </w:r>
      <w:r w:rsidR="008A2DEE" w:rsidRPr="0047517A">
        <w:rPr>
          <w:rStyle w:val="FootnoteReference"/>
          <w:rFonts w:cs="Times New Roman"/>
          <w:sz w:val="24"/>
          <w:szCs w:val="24"/>
        </w:rPr>
        <w:footnoteReference w:id="100"/>
      </w:r>
      <w:r w:rsidR="00F56E05" w:rsidRPr="0047517A">
        <w:rPr>
          <w:rFonts w:ascii="Times New Roman" w:hAnsi="Times New Roman" w:cs="Times New Roman"/>
          <w:sz w:val="24"/>
          <w:szCs w:val="24"/>
        </w:rPr>
        <w:t xml:space="preserve"> </w:t>
      </w:r>
      <w:r w:rsidR="002D053F" w:rsidRPr="0047517A">
        <w:rPr>
          <w:rFonts w:ascii="Times New Roman" w:hAnsi="Times New Roman" w:cs="Times New Roman"/>
          <w:sz w:val="24"/>
          <w:szCs w:val="24"/>
        </w:rPr>
        <w:t>When Article 14</w:t>
      </w:r>
      <w:r w:rsidR="002D053F" w:rsidRPr="00EB2E7F">
        <w:rPr>
          <w:rFonts w:ascii="Times New Roman" w:hAnsi="Times New Roman" w:cs="Times New Roman"/>
          <w:sz w:val="24"/>
          <w:szCs w:val="24"/>
        </w:rPr>
        <w:t xml:space="preserve"> ECHR</w:t>
      </w:r>
      <w:r w:rsidR="002D053F" w:rsidRPr="00B51BCE">
        <w:rPr>
          <w:rFonts w:ascii="Times New Roman" w:hAnsi="Times New Roman" w:cs="Times New Roman"/>
          <w:sz w:val="24"/>
          <w:szCs w:val="24"/>
        </w:rPr>
        <w:t xml:space="preserve"> is engaged, consensus is frequently taken into account when the Court examines whether there is an objective and reasonable ju</w:t>
      </w:r>
      <w:r w:rsidR="00DE0E0B">
        <w:rPr>
          <w:rFonts w:ascii="Times New Roman" w:hAnsi="Times New Roman" w:cs="Times New Roman"/>
          <w:sz w:val="24"/>
          <w:szCs w:val="24"/>
        </w:rPr>
        <w:t>stification in the difference of</w:t>
      </w:r>
      <w:r w:rsidR="002D053F" w:rsidRPr="00B51BCE">
        <w:rPr>
          <w:rFonts w:ascii="Times New Roman" w:hAnsi="Times New Roman" w:cs="Times New Roman"/>
          <w:sz w:val="24"/>
          <w:szCs w:val="24"/>
        </w:rPr>
        <w:t xml:space="preserve"> treatment.</w:t>
      </w:r>
      <w:r w:rsidR="002D053F" w:rsidRPr="00B51BCE">
        <w:rPr>
          <w:rStyle w:val="FootnoteReference"/>
          <w:rFonts w:cs="Times New Roman"/>
          <w:sz w:val="24"/>
          <w:szCs w:val="24"/>
        </w:rPr>
        <w:footnoteReference w:id="101"/>
      </w:r>
      <w:r w:rsidRPr="00B51BCE">
        <w:rPr>
          <w:rFonts w:ascii="Times New Roman" w:hAnsi="Times New Roman" w:cs="Times New Roman"/>
          <w:sz w:val="24"/>
          <w:szCs w:val="24"/>
        </w:rPr>
        <w:t xml:space="preserve"> </w:t>
      </w:r>
    </w:p>
    <w:p w14:paraId="65BC85B1" w14:textId="172F43B3" w:rsidR="001D5459" w:rsidRPr="004C61EC" w:rsidRDefault="001D5459" w:rsidP="001D5459">
      <w:pPr>
        <w:spacing w:line="360" w:lineRule="auto"/>
        <w:jc w:val="both"/>
        <w:rPr>
          <w:rFonts w:ascii="Times New Roman" w:hAnsi="Times New Roman" w:cs="Times New Roman"/>
          <w:sz w:val="24"/>
          <w:szCs w:val="24"/>
        </w:rPr>
      </w:pPr>
      <w:r w:rsidRPr="004C61EC">
        <w:rPr>
          <w:rFonts w:ascii="Times New Roman" w:hAnsi="Times New Roman" w:cs="Times New Roman"/>
          <w:sz w:val="24"/>
          <w:szCs w:val="24"/>
        </w:rPr>
        <w:t xml:space="preserve">There is a </w:t>
      </w:r>
      <w:r w:rsidR="00F46C35">
        <w:rPr>
          <w:rFonts w:ascii="Times New Roman" w:hAnsi="Times New Roman" w:cs="Times New Roman"/>
          <w:sz w:val="24"/>
          <w:szCs w:val="24"/>
        </w:rPr>
        <w:t>crucial</w:t>
      </w:r>
      <w:r w:rsidRPr="004C61EC">
        <w:rPr>
          <w:rFonts w:ascii="Times New Roman" w:hAnsi="Times New Roman" w:cs="Times New Roman"/>
          <w:sz w:val="24"/>
          <w:szCs w:val="24"/>
        </w:rPr>
        <w:t xml:space="preserve"> exception to the use of consensus in the context of proportionality. </w:t>
      </w:r>
      <w:r w:rsidR="0095293A" w:rsidRPr="004C61EC">
        <w:rPr>
          <w:rFonts w:ascii="Times New Roman" w:hAnsi="Times New Roman" w:cs="Times New Roman"/>
          <w:sz w:val="24"/>
          <w:szCs w:val="24"/>
        </w:rPr>
        <w:t>T</w:t>
      </w:r>
      <w:r w:rsidRPr="004C61EC">
        <w:rPr>
          <w:rFonts w:ascii="Times New Roman" w:hAnsi="Times New Roman" w:cs="Times New Roman"/>
          <w:sz w:val="24"/>
          <w:szCs w:val="24"/>
        </w:rPr>
        <w:t xml:space="preserve">he Court </w:t>
      </w:r>
      <w:r w:rsidR="0095293A" w:rsidRPr="004C61EC">
        <w:rPr>
          <w:rFonts w:ascii="Times New Roman" w:hAnsi="Times New Roman" w:cs="Times New Roman"/>
          <w:sz w:val="24"/>
          <w:szCs w:val="24"/>
        </w:rPr>
        <w:t>may (infrequently)</w:t>
      </w:r>
      <w:r w:rsidRPr="004C61EC">
        <w:rPr>
          <w:rFonts w:ascii="Times New Roman" w:hAnsi="Times New Roman" w:cs="Times New Roman"/>
          <w:sz w:val="24"/>
          <w:szCs w:val="24"/>
        </w:rPr>
        <w:t xml:space="preserve"> deploy consensus to examine whether the matter falls in the first instance under the scope of a Convention right. </w:t>
      </w:r>
      <w:r w:rsidR="0095293A" w:rsidRPr="004C61EC">
        <w:rPr>
          <w:rFonts w:ascii="Times New Roman" w:hAnsi="Times New Roman" w:cs="Times New Roman"/>
          <w:sz w:val="24"/>
          <w:szCs w:val="24"/>
        </w:rPr>
        <w:t>Many such cases have concerned Artic</w:t>
      </w:r>
      <w:r w:rsidR="00F351DC">
        <w:rPr>
          <w:rFonts w:ascii="Times New Roman" w:hAnsi="Times New Roman" w:cs="Times New Roman"/>
          <w:sz w:val="24"/>
          <w:szCs w:val="24"/>
        </w:rPr>
        <w:t>le 3 ECHR,</w:t>
      </w:r>
      <w:r w:rsidR="004C61EC" w:rsidRPr="004C61EC">
        <w:rPr>
          <w:rStyle w:val="FootnoteReference"/>
          <w:rFonts w:cs="Times New Roman"/>
          <w:sz w:val="24"/>
          <w:szCs w:val="24"/>
        </w:rPr>
        <w:footnoteReference w:id="102"/>
      </w:r>
      <w:r w:rsidR="0095293A" w:rsidRPr="004C61EC">
        <w:rPr>
          <w:rFonts w:ascii="Times New Roman" w:hAnsi="Times New Roman" w:cs="Times New Roman"/>
          <w:sz w:val="24"/>
          <w:szCs w:val="24"/>
        </w:rPr>
        <w:t xml:space="preserve"> </w:t>
      </w:r>
      <w:r w:rsidR="00F351DC">
        <w:rPr>
          <w:rFonts w:ascii="Times New Roman" w:hAnsi="Times New Roman" w:cs="Times New Roman"/>
          <w:sz w:val="24"/>
          <w:szCs w:val="24"/>
        </w:rPr>
        <w:t>which is an absolute right;</w:t>
      </w:r>
      <w:r w:rsidR="0051440B" w:rsidRPr="004C61EC">
        <w:rPr>
          <w:rFonts w:ascii="Times New Roman" w:hAnsi="Times New Roman" w:cs="Times New Roman"/>
          <w:sz w:val="24"/>
          <w:szCs w:val="24"/>
        </w:rPr>
        <w:t xml:space="preserve"> </w:t>
      </w:r>
      <w:r w:rsidR="00F351DC">
        <w:rPr>
          <w:rFonts w:ascii="Times New Roman" w:hAnsi="Times New Roman" w:cs="Times New Roman"/>
          <w:sz w:val="24"/>
          <w:szCs w:val="24"/>
        </w:rPr>
        <w:t>h</w:t>
      </w:r>
      <w:r w:rsidR="004C61EC">
        <w:rPr>
          <w:rFonts w:ascii="Times New Roman" w:hAnsi="Times New Roman" w:cs="Times New Roman"/>
          <w:sz w:val="24"/>
          <w:szCs w:val="24"/>
        </w:rPr>
        <w:t xml:space="preserve">owever, consensus has been used to </w:t>
      </w:r>
      <w:r w:rsidR="004C61EC" w:rsidRPr="006E33DF">
        <w:rPr>
          <w:rFonts w:ascii="Times New Roman" w:hAnsi="Times New Roman" w:cs="Times New Roman"/>
          <w:sz w:val="24"/>
          <w:szCs w:val="24"/>
        </w:rPr>
        <w:t>delineate the scope of further Convention rights, such as Article</w:t>
      </w:r>
      <w:r w:rsidR="006E33DF" w:rsidRPr="006E33DF">
        <w:rPr>
          <w:rFonts w:ascii="Times New Roman" w:hAnsi="Times New Roman" w:cs="Times New Roman"/>
          <w:sz w:val="24"/>
          <w:szCs w:val="24"/>
        </w:rPr>
        <w:t>s 4(3)(a),</w:t>
      </w:r>
      <w:r w:rsidR="006E33DF" w:rsidRPr="006E33DF">
        <w:rPr>
          <w:rStyle w:val="FootnoteReference"/>
          <w:rFonts w:cs="Times New Roman"/>
          <w:sz w:val="24"/>
          <w:szCs w:val="24"/>
        </w:rPr>
        <w:footnoteReference w:id="103"/>
      </w:r>
      <w:r w:rsidR="004C61EC" w:rsidRPr="006E33DF">
        <w:rPr>
          <w:rFonts w:ascii="Times New Roman" w:hAnsi="Times New Roman" w:cs="Times New Roman"/>
          <w:sz w:val="24"/>
          <w:szCs w:val="24"/>
        </w:rPr>
        <w:t xml:space="preserve"> 6,</w:t>
      </w:r>
      <w:r w:rsidR="004C61EC" w:rsidRPr="006E33DF">
        <w:rPr>
          <w:rStyle w:val="FootnoteReference"/>
          <w:rFonts w:cs="Times New Roman"/>
          <w:sz w:val="24"/>
          <w:szCs w:val="24"/>
        </w:rPr>
        <w:footnoteReference w:id="104"/>
      </w:r>
      <w:r w:rsidR="004C61EC" w:rsidRPr="006E33DF">
        <w:rPr>
          <w:rFonts w:ascii="Times New Roman" w:hAnsi="Times New Roman" w:cs="Times New Roman"/>
          <w:sz w:val="24"/>
          <w:szCs w:val="24"/>
        </w:rPr>
        <w:t xml:space="preserve"> </w:t>
      </w:r>
      <w:r w:rsidR="005950CD" w:rsidRPr="006E33DF">
        <w:rPr>
          <w:rFonts w:ascii="Times New Roman" w:hAnsi="Times New Roman" w:cs="Times New Roman"/>
          <w:sz w:val="24"/>
          <w:szCs w:val="24"/>
        </w:rPr>
        <w:t>9,</w:t>
      </w:r>
      <w:r w:rsidR="005950CD" w:rsidRPr="006E33DF">
        <w:rPr>
          <w:rStyle w:val="FootnoteReference"/>
          <w:rFonts w:cs="Times New Roman"/>
          <w:sz w:val="24"/>
          <w:szCs w:val="24"/>
        </w:rPr>
        <w:footnoteReference w:id="105"/>
      </w:r>
      <w:r w:rsidR="005950CD" w:rsidRPr="006E33DF">
        <w:rPr>
          <w:rFonts w:ascii="Times New Roman" w:hAnsi="Times New Roman" w:cs="Times New Roman"/>
          <w:sz w:val="24"/>
          <w:szCs w:val="24"/>
        </w:rPr>
        <w:t xml:space="preserve"> </w:t>
      </w:r>
      <w:r w:rsidR="006E33DF" w:rsidRPr="006E33DF">
        <w:rPr>
          <w:rFonts w:ascii="Times New Roman" w:hAnsi="Times New Roman" w:cs="Times New Roman"/>
          <w:sz w:val="24"/>
          <w:szCs w:val="24"/>
        </w:rPr>
        <w:t>and</w:t>
      </w:r>
      <w:r w:rsidR="006E33DF">
        <w:rPr>
          <w:rFonts w:ascii="Times New Roman" w:hAnsi="Times New Roman" w:cs="Times New Roman"/>
          <w:sz w:val="24"/>
          <w:szCs w:val="24"/>
        </w:rPr>
        <w:t xml:space="preserve"> </w:t>
      </w:r>
      <w:r w:rsidR="004C61EC" w:rsidRPr="005950CD">
        <w:rPr>
          <w:rFonts w:ascii="Times New Roman" w:hAnsi="Times New Roman" w:cs="Times New Roman"/>
          <w:sz w:val="24"/>
          <w:szCs w:val="24"/>
        </w:rPr>
        <w:t>10</w:t>
      </w:r>
      <w:r w:rsidR="004C61EC" w:rsidRPr="005950CD">
        <w:rPr>
          <w:rStyle w:val="FootnoteReference"/>
          <w:rFonts w:cs="Times New Roman"/>
          <w:sz w:val="24"/>
          <w:szCs w:val="24"/>
        </w:rPr>
        <w:footnoteReference w:id="106"/>
      </w:r>
      <w:r w:rsidR="004C61EC" w:rsidRPr="005950CD">
        <w:rPr>
          <w:rFonts w:ascii="Times New Roman" w:hAnsi="Times New Roman" w:cs="Times New Roman"/>
          <w:sz w:val="24"/>
          <w:szCs w:val="24"/>
        </w:rPr>
        <w:t xml:space="preserve"> </w:t>
      </w:r>
      <w:r w:rsidR="006E33DF">
        <w:rPr>
          <w:rFonts w:ascii="Times New Roman" w:hAnsi="Times New Roman" w:cs="Times New Roman"/>
          <w:sz w:val="24"/>
          <w:szCs w:val="24"/>
        </w:rPr>
        <w:t xml:space="preserve">ECHR. </w:t>
      </w:r>
      <w:r w:rsidR="00925095">
        <w:rPr>
          <w:rFonts w:ascii="Times New Roman" w:hAnsi="Times New Roman" w:cs="Times New Roman"/>
          <w:sz w:val="24"/>
          <w:szCs w:val="24"/>
        </w:rPr>
        <w:t>Such</w:t>
      </w:r>
      <w:r w:rsidRPr="004C61EC">
        <w:rPr>
          <w:rFonts w:ascii="Times New Roman" w:hAnsi="Times New Roman" w:cs="Times New Roman"/>
          <w:sz w:val="24"/>
          <w:szCs w:val="24"/>
        </w:rPr>
        <w:t xml:space="preserve"> ca</w:t>
      </w:r>
      <w:r w:rsidR="008B38D3">
        <w:rPr>
          <w:rFonts w:ascii="Times New Roman" w:hAnsi="Times New Roman" w:cs="Times New Roman"/>
          <w:sz w:val="24"/>
          <w:szCs w:val="24"/>
        </w:rPr>
        <w:t>ses effectively illustrate that</w:t>
      </w:r>
      <w:r w:rsidRPr="004C61EC">
        <w:rPr>
          <w:rFonts w:ascii="Times New Roman" w:hAnsi="Times New Roman" w:cs="Times New Roman"/>
          <w:sz w:val="24"/>
          <w:szCs w:val="24"/>
        </w:rPr>
        <w:t xml:space="preserve"> in the </w:t>
      </w:r>
      <w:r w:rsidR="008B38D3">
        <w:rPr>
          <w:rFonts w:ascii="Times New Roman" w:hAnsi="Times New Roman" w:cs="Times New Roman"/>
          <w:sz w:val="24"/>
          <w:szCs w:val="24"/>
        </w:rPr>
        <w:t xml:space="preserve">complex and often </w:t>
      </w:r>
      <w:r w:rsidRPr="004C61EC">
        <w:rPr>
          <w:rFonts w:ascii="Times New Roman" w:hAnsi="Times New Roman" w:cs="Times New Roman"/>
          <w:sz w:val="24"/>
          <w:szCs w:val="24"/>
        </w:rPr>
        <w:t>dynamic</w:t>
      </w:r>
      <w:r w:rsidR="008B38D3">
        <w:rPr>
          <w:rFonts w:ascii="Times New Roman" w:hAnsi="Times New Roman" w:cs="Times New Roman"/>
          <w:sz w:val="24"/>
          <w:szCs w:val="24"/>
        </w:rPr>
        <w:t xml:space="preserve"> jurisprudence</w:t>
      </w:r>
      <w:r w:rsidRPr="004C61EC">
        <w:rPr>
          <w:rFonts w:ascii="Times New Roman" w:hAnsi="Times New Roman" w:cs="Times New Roman"/>
          <w:sz w:val="24"/>
          <w:szCs w:val="24"/>
        </w:rPr>
        <w:t xml:space="preserve"> of the ECHR, it is not always straightforward to draw a clear line between interpretation (presumably focusing on the scope of the right) and balancing,</w:t>
      </w:r>
      <w:r w:rsidRPr="004C61EC">
        <w:rPr>
          <w:rFonts w:ascii="Times New Roman" w:hAnsi="Times New Roman"/>
          <w:sz w:val="24"/>
          <w:szCs w:val="24"/>
          <w:vertAlign w:val="superscript"/>
        </w:rPr>
        <w:footnoteReference w:id="107"/>
      </w:r>
      <w:r w:rsidRPr="004C61EC">
        <w:rPr>
          <w:rFonts w:ascii="Times New Roman" w:hAnsi="Times New Roman" w:cs="Times New Roman"/>
          <w:sz w:val="24"/>
          <w:szCs w:val="24"/>
        </w:rPr>
        <w:t xml:space="preserve"> including when consensus is being deployed by the Strasbourg Court.</w:t>
      </w:r>
    </w:p>
    <w:p w14:paraId="0C61C260" w14:textId="77777777" w:rsidR="001D5459" w:rsidRPr="004C61EC" w:rsidRDefault="000D6C66" w:rsidP="001D5459">
      <w:pPr>
        <w:spacing w:line="360" w:lineRule="auto"/>
        <w:jc w:val="both"/>
        <w:rPr>
          <w:rFonts w:ascii="Times New Roman" w:hAnsi="Times New Roman" w:cs="Times New Roman"/>
          <w:sz w:val="24"/>
          <w:szCs w:val="24"/>
        </w:rPr>
      </w:pPr>
      <w:r>
        <w:rPr>
          <w:rFonts w:ascii="Times New Roman" w:hAnsi="Times New Roman" w:cs="Times New Roman"/>
          <w:sz w:val="24"/>
          <w:szCs w:val="24"/>
        </w:rPr>
        <w:t>It is also noteworthy that generally</w:t>
      </w:r>
      <w:r w:rsidR="001D5459" w:rsidRPr="004C61EC">
        <w:rPr>
          <w:rFonts w:ascii="Times New Roman" w:hAnsi="Times New Roman" w:cs="Times New Roman"/>
          <w:sz w:val="24"/>
          <w:szCs w:val="24"/>
        </w:rPr>
        <w:t xml:space="preserve"> the Court’s consensus analysis is not </w:t>
      </w:r>
      <w:r>
        <w:rPr>
          <w:rFonts w:ascii="Times New Roman" w:hAnsi="Times New Roman" w:cs="Times New Roman"/>
          <w:sz w:val="24"/>
          <w:szCs w:val="24"/>
        </w:rPr>
        <w:t xml:space="preserve">particularly </w:t>
      </w:r>
      <w:r w:rsidR="001D5459" w:rsidRPr="004C61EC">
        <w:rPr>
          <w:rFonts w:ascii="Times New Roman" w:hAnsi="Times New Roman" w:cs="Times New Roman"/>
          <w:sz w:val="24"/>
          <w:szCs w:val="24"/>
        </w:rPr>
        <w:t>extensive</w:t>
      </w:r>
      <w:r w:rsidR="002A29AF" w:rsidRPr="004C61EC">
        <w:rPr>
          <w:rFonts w:ascii="Times New Roman" w:hAnsi="Times New Roman" w:cs="Times New Roman"/>
          <w:sz w:val="24"/>
          <w:szCs w:val="24"/>
        </w:rPr>
        <w:t xml:space="preserve">, even when </w:t>
      </w:r>
      <w:r w:rsidR="008F20A8">
        <w:rPr>
          <w:rFonts w:ascii="Times New Roman" w:hAnsi="Times New Roman" w:cs="Times New Roman"/>
          <w:sz w:val="24"/>
          <w:szCs w:val="24"/>
        </w:rPr>
        <w:t xml:space="preserve">it is more </w:t>
      </w:r>
      <w:r w:rsidR="002A29AF" w:rsidRPr="004C61EC">
        <w:rPr>
          <w:rFonts w:ascii="Times New Roman" w:hAnsi="Times New Roman" w:cs="Times New Roman"/>
          <w:sz w:val="24"/>
          <w:szCs w:val="24"/>
        </w:rPr>
        <w:t>decisive for the margin of appreciation</w:t>
      </w:r>
      <w:r w:rsidR="001D5459" w:rsidRPr="004C61EC">
        <w:rPr>
          <w:rFonts w:ascii="Times New Roman" w:hAnsi="Times New Roman" w:cs="Times New Roman"/>
          <w:sz w:val="24"/>
          <w:szCs w:val="24"/>
        </w:rPr>
        <w:t xml:space="preserve">. </w:t>
      </w:r>
      <w:r w:rsidR="008F20A8">
        <w:rPr>
          <w:rFonts w:ascii="Times New Roman" w:hAnsi="Times New Roman" w:cs="Times New Roman"/>
          <w:sz w:val="24"/>
          <w:szCs w:val="24"/>
        </w:rPr>
        <w:t>T</w:t>
      </w:r>
      <w:r w:rsidR="001D5459" w:rsidRPr="004C61EC">
        <w:rPr>
          <w:rFonts w:ascii="Times New Roman" w:hAnsi="Times New Roman" w:cs="Times New Roman"/>
          <w:sz w:val="24"/>
          <w:szCs w:val="24"/>
        </w:rPr>
        <w:t xml:space="preserve">he Court </w:t>
      </w:r>
      <w:r w:rsidR="008F20A8">
        <w:rPr>
          <w:rFonts w:ascii="Times New Roman" w:hAnsi="Times New Roman" w:cs="Times New Roman"/>
          <w:sz w:val="24"/>
          <w:szCs w:val="24"/>
        </w:rPr>
        <w:t xml:space="preserve">admittedly </w:t>
      </w:r>
      <w:r w:rsidR="001D5459" w:rsidRPr="004C61EC">
        <w:rPr>
          <w:rFonts w:ascii="Times New Roman" w:hAnsi="Times New Roman" w:cs="Times New Roman"/>
          <w:sz w:val="24"/>
          <w:szCs w:val="24"/>
        </w:rPr>
        <w:t xml:space="preserve">does not want to give the impression that the comparative exercise is the sole </w:t>
      </w:r>
      <w:r w:rsidR="008F20A8">
        <w:rPr>
          <w:rFonts w:ascii="Times New Roman" w:hAnsi="Times New Roman" w:cs="Times New Roman"/>
          <w:sz w:val="24"/>
          <w:szCs w:val="24"/>
        </w:rPr>
        <w:t xml:space="preserve">or main </w:t>
      </w:r>
      <w:r w:rsidR="001D5459" w:rsidRPr="004C61EC">
        <w:rPr>
          <w:rFonts w:ascii="Times New Roman" w:hAnsi="Times New Roman" w:cs="Times New Roman"/>
          <w:sz w:val="24"/>
          <w:szCs w:val="24"/>
        </w:rPr>
        <w:t>criterion upon which its judgment is based. Thus, the evolution in the respectiv</w:t>
      </w:r>
      <w:r w:rsidR="001427B7" w:rsidRPr="004C61EC">
        <w:rPr>
          <w:rFonts w:ascii="Times New Roman" w:hAnsi="Times New Roman" w:cs="Times New Roman"/>
          <w:sz w:val="24"/>
          <w:szCs w:val="24"/>
        </w:rPr>
        <w:t xml:space="preserve">e human rights standards </w:t>
      </w:r>
      <w:r w:rsidR="001D5459" w:rsidRPr="004C61EC">
        <w:rPr>
          <w:rFonts w:ascii="Times New Roman" w:hAnsi="Times New Roman" w:cs="Times New Roman"/>
          <w:sz w:val="24"/>
          <w:szCs w:val="24"/>
        </w:rPr>
        <w:t xml:space="preserve">will be </w:t>
      </w:r>
      <w:r w:rsidR="001D5459" w:rsidRPr="004C61EC">
        <w:rPr>
          <w:rFonts w:ascii="Times New Roman" w:hAnsi="Times New Roman" w:cs="Times New Roman"/>
          <w:i/>
          <w:sz w:val="24"/>
          <w:szCs w:val="24"/>
        </w:rPr>
        <w:t>supported</w:t>
      </w:r>
      <w:r w:rsidR="001D5459" w:rsidRPr="004C61EC">
        <w:rPr>
          <w:rFonts w:ascii="Times New Roman" w:hAnsi="Times New Roman" w:cs="Times New Roman"/>
          <w:sz w:val="24"/>
          <w:szCs w:val="24"/>
        </w:rPr>
        <w:t xml:space="preserve"> but not </w:t>
      </w:r>
      <w:r w:rsidR="001D5459" w:rsidRPr="004C61EC">
        <w:rPr>
          <w:rFonts w:ascii="Times New Roman" w:hAnsi="Times New Roman" w:cs="Times New Roman"/>
          <w:i/>
          <w:sz w:val="24"/>
          <w:szCs w:val="24"/>
        </w:rPr>
        <w:t>based exclusively</w:t>
      </w:r>
      <w:r w:rsidR="001D5459" w:rsidRPr="004C61EC">
        <w:rPr>
          <w:rFonts w:ascii="Times New Roman" w:hAnsi="Times New Roman" w:cs="Times New Roman"/>
          <w:sz w:val="24"/>
          <w:szCs w:val="24"/>
        </w:rPr>
        <w:t xml:space="preserve"> on consensus. Conversely, such disentanglement of consensus from the margin of appreciation may enable the Court to show sensitivity and eventually accommodate ‘cultural relativist claims’.</w:t>
      </w:r>
      <w:r w:rsidR="001D5459" w:rsidRPr="004C61EC">
        <w:rPr>
          <w:rFonts w:ascii="Times New Roman" w:hAnsi="Times New Roman"/>
          <w:sz w:val="24"/>
          <w:szCs w:val="24"/>
          <w:vertAlign w:val="superscript"/>
        </w:rPr>
        <w:footnoteReference w:id="108"/>
      </w:r>
      <w:r w:rsidR="001D5459" w:rsidRPr="004C61EC">
        <w:rPr>
          <w:rFonts w:ascii="Times New Roman" w:hAnsi="Times New Roman" w:cs="Times New Roman"/>
          <w:sz w:val="24"/>
          <w:szCs w:val="24"/>
        </w:rPr>
        <w:t xml:space="preserve"> </w:t>
      </w:r>
      <w:r w:rsidR="001427B7" w:rsidRPr="004C61EC">
        <w:rPr>
          <w:rFonts w:ascii="Times New Roman" w:hAnsi="Times New Roman" w:cs="Times New Roman"/>
          <w:sz w:val="24"/>
          <w:szCs w:val="24"/>
        </w:rPr>
        <w:t>As Brems</w:t>
      </w:r>
      <w:r w:rsidR="00EC5EBD" w:rsidRPr="004C61EC">
        <w:rPr>
          <w:rFonts w:ascii="Times New Roman" w:hAnsi="Times New Roman" w:cs="Times New Roman"/>
          <w:sz w:val="24"/>
          <w:szCs w:val="24"/>
        </w:rPr>
        <w:t xml:space="preserve"> rightly</w:t>
      </w:r>
      <w:r w:rsidR="001427B7" w:rsidRPr="004C61EC">
        <w:rPr>
          <w:rFonts w:ascii="Times New Roman" w:hAnsi="Times New Roman" w:cs="Times New Roman"/>
          <w:sz w:val="24"/>
          <w:szCs w:val="24"/>
        </w:rPr>
        <w:t xml:space="preserve"> cautions, however, while one of the functions of the doctrine of the margin of appreciation is indeed to take into account such differences, the comparative method in Europe ‘can be useful to avoid one of the main risks of a cultural relativist approach: its conservative tendency’.</w:t>
      </w:r>
      <w:r w:rsidR="00EC5EBD" w:rsidRPr="004C61EC">
        <w:rPr>
          <w:rStyle w:val="FootnoteReference"/>
          <w:rFonts w:cs="Times New Roman"/>
          <w:sz w:val="24"/>
          <w:szCs w:val="24"/>
        </w:rPr>
        <w:footnoteReference w:id="109"/>
      </w:r>
    </w:p>
    <w:p w14:paraId="1D6AA602" w14:textId="77777777" w:rsidR="001D5459" w:rsidRPr="004C61EC" w:rsidRDefault="001D5459" w:rsidP="001D5459">
      <w:pPr>
        <w:spacing w:line="360" w:lineRule="auto"/>
        <w:jc w:val="both"/>
        <w:rPr>
          <w:rFonts w:ascii="Times New Roman" w:hAnsi="Times New Roman" w:cs="Times New Roman"/>
          <w:b/>
          <w:sz w:val="24"/>
          <w:szCs w:val="24"/>
        </w:rPr>
      </w:pPr>
      <w:r w:rsidRPr="004C61EC">
        <w:rPr>
          <w:rFonts w:ascii="Times New Roman" w:hAnsi="Times New Roman" w:cs="Times New Roman"/>
          <w:b/>
          <w:sz w:val="24"/>
          <w:szCs w:val="24"/>
        </w:rPr>
        <w:t>The relationship between European consensus and the margin of appreciation post-Protocols 15 and 16 ECHR</w:t>
      </w:r>
    </w:p>
    <w:p w14:paraId="1F6F58FF" w14:textId="042FE250" w:rsidR="00E12E29" w:rsidRPr="004C61EC" w:rsidRDefault="00140C1D" w:rsidP="001D5459">
      <w:pPr>
        <w:spacing w:line="360" w:lineRule="auto"/>
        <w:jc w:val="both"/>
        <w:rPr>
          <w:rFonts w:ascii="Times New Roman" w:hAnsi="Times New Roman" w:cs="Times New Roman"/>
          <w:sz w:val="24"/>
          <w:szCs w:val="24"/>
        </w:rPr>
      </w:pPr>
      <w:r w:rsidRPr="004C61EC">
        <w:rPr>
          <w:rFonts w:ascii="Times New Roman" w:hAnsi="Times New Roman" w:cs="Times New Roman"/>
          <w:sz w:val="24"/>
          <w:szCs w:val="24"/>
        </w:rPr>
        <w:t>Protocol</w:t>
      </w:r>
      <w:r>
        <w:rPr>
          <w:rFonts w:ascii="Times New Roman" w:hAnsi="Times New Roman" w:cs="Times New Roman"/>
          <w:sz w:val="24"/>
          <w:szCs w:val="24"/>
        </w:rPr>
        <w:t>s</w:t>
      </w:r>
      <w:r w:rsidRPr="004C61EC">
        <w:rPr>
          <w:rFonts w:ascii="Times New Roman" w:hAnsi="Times New Roman" w:cs="Times New Roman"/>
          <w:sz w:val="24"/>
          <w:szCs w:val="24"/>
        </w:rPr>
        <w:t xml:space="preserve"> 15 </w:t>
      </w:r>
      <w:r>
        <w:rPr>
          <w:rFonts w:ascii="Times New Roman" w:hAnsi="Times New Roman" w:cs="Times New Roman"/>
          <w:sz w:val="24"/>
          <w:szCs w:val="24"/>
        </w:rPr>
        <w:t xml:space="preserve">and 16 </w:t>
      </w:r>
      <w:r w:rsidRPr="004C61EC">
        <w:rPr>
          <w:rFonts w:ascii="Times New Roman" w:hAnsi="Times New Roman" w:cs="Times New Roman"/>
          <w:sz w:val="24"/>
          <w:szCs w:val="24"/>
        </w:rPr>
        <w:t xml:space="preserve">ECHR will bring to the fore the </w:t>
      </w:r>
      <w:r w:rsidR="00925095">
        <w:rPr>
          <w:rFonts w:ascii="Times New Roman" w:hAnsi="Times New Roman" w:cs="Times New Roman"/>
          <w:sz w:val="24"/>
          <w:szCs w:val="24"/>
        </w:rPr>
        <w:t>interplay</w:t>
      </w:r>
      <w:r w:rsidRPr="004C61EC">
        <w:rPr>
          <w:rFonts w:ascii="Times New Roman" w:hAnsi="Times New Roman" w:cs="Times New Roman"/>
          <w:sz w:val="24"/>
          <w:szCs w:val="24"/>
        </w:rPr>
        <w:t xml:space="preserve"> between consensus and the margin of appreciation, pushing the Court to </w:t>
      </w:r>
      <w:r>
        <w:rPr>
          <w:rFonts w:ascii="Times New Roman" w:hAnsi="Times New Roman" w:cs="Times New Roman"/>
          <w:sz w:val="24"/>
          <w:szCs w:val="24"/>
        </w:rPr>
        <w:t xml:space="preserve">delineate and </w:t>
      </w:r>
      <w:r w:rsidRPr="004C61EC">
        <w:rPr>
          <w:rFonts w:ascii="Times New Roman" w:hAnsi="Times New Roman" w:cs="Times New Roman"/>
          <w:sz w:val="24"/>
          <w:szCs w:val="24"/>
        </w:rPr>
        <w:t xml:space="preserve">articulate in a clearer way </w:t>
      </w:r>
      <w:r>
        <w:rPr>
          <w:rFonts w:ascii="Times New Roman" w:hAnsi="Times New Roman" w:cs="Times New Roman"/>
          <w:sz w:val="24"/>
          <w:szCs w:val="24"/>
        </w:rPr>
        <w:t xml:space="preserve">in its reasoning </w:t>
      </w:r>
      <w:r w:rsidRPr="004C61EC">
        <w:rPr>
          <w:rFonts w:ascii="Times New Roman" w:hAnsi="Times New Roman" w:cs="Times New Roman"/>
          <w:sz w:val="24"/>
          <w:szCs w:val="24"/>
        </w:rPr>
        <w:t>the relationship between the two terms</w:t>
      </w:r>
      <w:r>
        <w:rPr>
          <w:rFonts w:ascii="Times New Roman" w:hAnsi="Times New Roman" w:cs="Times New Roman"/>
          <w:sz w:val="24"/>
          <w:szCs w:val="24"/>
        </w:rPr>
        <w:t xml:space="preserve"> (this point is returned to toward the end of the article)</w:t>
      </w:r>
      <w:r w:rsidRPr="004C61EC">
        <w:rPr>
          <w:rFonts w:ascii="Times New Roman" w:hAnsi="Times New Roman" w:cs="Times New Roman"/>
          <w:sz w:val="24"/>
          <w:szCs w:val="24"/>
        </w:rPr>
        <w:t xml:space="preserve">. </w:t>
      </w:r>
      <w:r>
        <w:rPr>
          <w:rFonts w:ascii="Times New Roman" w:hAnsi="Times New Roman" w:cs="Times New Roman"/>
          <w:sz w:val="24"/>
          <w:szCs w:val="24"/>
        </w:rPr>
        <w:t>It is remembered that m</w:t>
      </w:r>
      <w:r w:rsidR="00E12E29" w:rsidRPr="004C61EC">
        <w:rPr>
          <w:rFonts w:ascii="Times New Roman" w:hAnsi="Times New Roman" w:cs="Times New Roman"/>
          <w:sz w:val="24"/>
          <w:szCs w:val="24"/>
        </w:rPr>
        <w:t xml:space="preserve">uch of the discussion surrounding the adoption of these two Protocols </w:t>
      </w:r>
      <w:r w:rsidR="00E12E29" w:rsidRPr="004C61EC">
        <w:rPr>
          <w:rFonts w:ascii="Times New Roman" w:hAnsi="Times New Roman" w:cs="Times New Roman"/>
          <w:sz w:val="24"/>
          <w:szCs w:val="24"/>
          <w:lang w:val="en-GB"/>
        </w:rPr>
        <w:t>centred</w:t>
      </w:r>
      <w:r w:rsidR="00E12E29" w:rsidRPr="004C61EC">
        <w:rPr>
          <w:rFonts w:ascii="Times New Roman" w:hAnsi="Times New Roman" w:cs="Times New Roman"/>
          <w:sz w:val="24"/>
          <w:szCs w:val="24"/>
        </w:rPr>
        <w:t xml:space="preserve"> on the Court’s legitimacy, and the need (at least in the view of some contracting states) for the Court to further accommodate domestic sensitivities.</w:t>
      </w:r>
    </w:p>
    <w:p w14:paraId="0DB5DFF1" w14:textId="176F2C62" w:rsidR="001D5459" w:rsidRPr="004C61EC" w:rsidRDefault="001D5459" w:rsidP="001D5459">
      <w:pPr>
        <w:spacing w:line="360" w:lineRule="auto"/>
        <w:jc w:val="both"/>
        <w:rPr>
          <w:rFonts w:ascii="Times New Roman" w:hAnsi="Times New Roman" w:cs="Times New Roman"/>
          <w:sz w:val="24"/>
          <w:szCs w:val="24"/>
        </w:rPr>
      </w:pPr>
      <w:r w:rsidRPr="00A64ED4">
        <w:rPr>
          <w:rFonts w:ascii="Times New Roman" w:hAnsi="Times New Roman" w:cs="Times New Roman"/>
          <w:sz w:val="24"/>
          <w:szCs w:val="24"/>
        </w:rPr>
        <w:t>When Protocol 15 enters into force,</w:t>
      </w:r>
      <w:r w:rsidR="00A64ED4" w:rsidRPr="00A64ED4">
        <w:rPr>
          <w:rStyle w:val="FootnoteReference"/>
          <w:rFonts w:cs="Times New Roman"/>
          <w:sz w:val="24"/>
          <w:szCs w:val="24"/>
        </w:rPr>
        <w:footnoteReference w:id="110"/>
      </w:r>
      <w:r w:rsidRPr="00A64ED4">
        <w:rPr>
          <w:rFonts w:ascii="Times New Roman" w:hAnsi="Times New Roman" w:cs="Times New Roman"/>
          <w:sz w:val="24"/>
          <w:szCs w:val="24"/>
        </w:rPr>
        <w:t xml:space="preserve"> the Preamble of the Convention will be amended, </w:t>
      </w:r>
      <w:r w:rsidR="00492375" w:rsidRPr="00A64ED4">
        <w:rPr>
          <w:rFonts w:ascii="Times New Roman" w:hAnsi="Times New Roman" w:cs="Times New Roman"/>
          <w:sz w:val="24"/>
          <w:szCs w:val="24"/>
        </w:rPr>
        <w:t>with</w:t>
      </w:r>
      <w:r w:rsidR="00492375" w:rsidRPr="004C61EC">
        <w:rPr>
          <w:rFonts w:ascii="Times New Roman" w:hAnsi="Times New Roman" w:cs="Times New Roman"/>
          <w:sz w:val="24"/>
          <w:szCs w:val="24"/>
        </w:rPr>
        <w:t xml:space="preserve"> a view to including a reference to the margin of appreciation and the subsidiarity principle.</w:t>
      </w:r>
      <w:r w:rsidRPr="004C61EC">
        <w:rPr>
          <w:rFonts w:ascii="Times New Roman" w:hAnsi="Times New Roman" w:cs="Times New Roman"/>
          <w:sz w:val="24"/>
          <w:szCs w:val="24"/>
          <w:vertAlign w:val="superscript"/>
        </w:rPr>
        <w:footnoteReference w:id="111"/>
      </w:r>
      <w:r w:rsidR="00492375" w:rsidRPr="004C61EC">
        <w:rPr>
          <w:rFonts w:ascii="Times New Roman" w:hAnsi="Times New Roman" w:cs="Times New Roman"/>
          <w:sz w:val="24"/>
          <w:szCs w:val="24"/>
        </w:rPr>
        <w:t xml:space="preserve"> With regard to the former term, i</w:t>
      </w:r>
      <w:r w:rsidRPr="004C61EC">
        <w:rPr>
          <w:rFonts w:ascii="Times New Roman" w:hAnsi="Times New Roman" w:cs="Times New Roman"/>
          <w:sz w:val="24"/>
          <w:szCs w:val="24"/>
        </w:rPr>
        <w:t>t can be anticipated that post-Protocol 15 some contracting parties will argue, first, that their margin of appreciation should be expanded – an argument not supported by the final text of Article 1 of Protocol 15</w:t>
      </w:r>
      <w:r w:rsidRPr="004C61EC">
        <w:rPr>
          <w:rFonts w:ascii="Times New Roman" w:hAnsi="Times New Roman" w:cs="Times New Roman"/>
          <w:sz w:val="24"/>
          <w:szCs w:val="24"/>
          <w:vertAlign w:val="superscript"/>
        </w:rPr>
        <w:footnoteReference w:id="112"/>
      </w:r>
      <w:r w:rsidRPr="004C61EC">
        <w:rPr>
          <w:rFonts w:ascii="Times New Roman" w:hAnsi="Times New Roman" w:cs="Times New Roman"/>
          <w:sz w:val="24"/>
          <w:szCs w:val="24"/>
        </w:rPr>
        <w:t xml:space="preserve"> – and, second, that the Protocol </w:t>
      </w:r>
      <w:r w:rsidR="00492375" w:rsidRPr="004C61EC">
        <w:rPr>
          <w:rFonts w:ascii="Times New Roman" w:hAnsi="Times New Roman" w:cs="Times New Roman"/>
          <w:sz w:val="24"/>
          <w:szCs w:val="24"/>
        </w:rPr>
        <w:t xml:space="preserve">provides further support in favour of granting the margin of appreciation in the absence of European consensus. </w:t>
      </w:r>
      <w:r w:rsidRPr="004C61EC">
        <w:rPr>
          <w:rFonts w:ascii="Times New Roman" w:hAnsi="Times New Roman" w:cs="Times New Roman"/>
          <w:sz w:val="24"/>
          <w:szCs w:val="24"/>
        </w:rPr>
        <w:t>Another feature of Protocol 15 ECHR is the reference to the principle of subsidiarity.</w:t>
      </w:r>
      <w:r w:rsidRPr="004C61EC">
        <w:rPr>
          <w:rFonts w:ascii="Times New Roman" w:hAnsi="Times New Roman" w:cs="Times New Roman"/>
          <w:sz w:val="24"/>
          <w:szCs w:val="24"/>
          <w:vertAlign w:val="superscript"/>
        </w:rPr>
        <w:footnoteReference w:id="113"/>
      </w:r>
      <w:r w:rsidRPr="004C61EC">
        <w:rPr>
          <w:rFonts w:ascii="Times New Roman" w:hAnsi="Times New Roman" w:cs="Times New Roman"/>
          <w:sz w:val="24"/>
          <w:szCs w:val="24"/>
        </w:rPr>
        <w:t xml:space="preserve"> Subsidiarity could play a role </w:t>
      </w:r>
      <w:r w:rsidR="003A0FD9" w:rsidRPr="004C61EC">
        <w:rPr>
          <w:rFonts w:ascii="Times New Roman" w:hAnsi="Times New Roman" w:cs="Times New Roman"/>
          <w:sz w:val="24"/>
          <w:szCs w:val="24"/>
        </w:rPr>
        <w:t>concerning</w:t>
      </w:r>
      <w:r w:rsidRPr="004C61EC">
        <w:rPr>
          <w:rFonts w:ascii="Times New Roman" w:hAnsi="Times New Roman" w:cs="Times New Roman"/>
          <w:sz w:val="24"/>
          <w:szCs w:val="24"/>
        </w:rPr>
        <w:t xml:space="preserve"> </w:t>
      </w:r>
      <w:r w:rsidRPr="004C61EC">
        <w:rPr>
          <w:rFonts w:ascii="Times New Roman" w:hAnsi="Times New Roman" w:cs="Times New Roman"/>
          <w:i/>
          <w:sz w:val="24"/>
          <w:szCs w:val="24"/>
        </w:rPr>
        <w:t>when</w:t>
      </w:r>
      <w:r w:rsidRPr="004C61EC">
        <w:rPr>
          <w:rFonts w:ascii="Times New Roman" w:hAnsi="Times New Roman" w:cs="Times New Roman"/>
          <w:sz w:val="24"/>
          <w:szCs w:val="24"/>
        </w:rPr>
        <w:t xml:space="preserve"> European consensus will be </w:t>
      </w:r>
      <w:r w:rsidR="003A0FD9" w:rsidRPr="004C61EC">
        <w:rPr>
          <w:rFonts w:ascii="Times New Roman" w:hAnsi="Times New Roman" w:cs="Times New Roman"/>
          <w:sz w:val="24"/>
          <w:szCs w:val="24"/>
        </w:rPr>
        <w:t>relied upon</w:t>
      </w:r>
      <w:r w:rsidRPr="004C61EC">
        <w:rPr>
          <w:rFonts w:ascii="Times New Roman" w:hAnsi="Times New Roman" w:cs="Times New Roman"/>
          <w:sz w:val="24"/>
          <w:szCs w:val="24"/>
        </w:rPr>
        <w:t xml:space="preserve"> by the Strasbourg </w:t>
      </w:r>
      <w:r w:rsidR="00C5271B">
        <w:rPr>
          <w:rFonts w:ascii="Times New Roman" w:hAnsi="Times New Roman" w:cs="Times New Roman"/>
          <w:sz w:val="24"/>
          <w:szCs w:val="24"/>
        </w:rPr>
        <w:t>Court</w:t>
      </w:r>
      <w:r w:rsidRPr="004C61EC">
        <w:rPr>
          <w:rFonts w:ascii="Times New Roman" w:hAnsi="Times New Roman" w:cs="Times New Roman"/>
          <w:sz w:val="24"/>
          <w:szCs w:val="24"/>
        </w:rPr>
        <w:t xml:space="preserve">. </w:t>
      </w:r>
      <w:r w:rsidR="00C5271B">
        <w:rPr>
          <w:rFonts w:ascii="Times New Roman" w:hAnsi="Times New Roman" w:cs="Times New Roman"/>
          <w:sz w:val="24"/>
          <w:szCs w:val="24"/>
        </w:rPr>
        <w:t>Thus</w:t>
      </w:r>
      <w:r w:rsidRPr="004C61EC">
        <w:rPr>
          <w:rFonts w:ascii="Times New Roman" w:hAnsi="Times New Roman" w:cs="Times New Roman"/>
          <w:sz w:val="24"/>
          <w:szCs w:val="24"/>
        </w:rPr>
        <w:t xml:space="preserve">, it has been argued that if one distinguishes between </w:t>
      </w:r>
      <w:r w:rsidRPr="004C61EC">
        <w:rPr>
          <w:rFonts w:ascii="Times New Roman" w:hAnsi="Times New Roman" w:cs="Times New Roman"/>
          <w:i/>
          <w:sz w:val="24"/>
          <w:szCs w:val="24"/>
        </w:rPr>
        <w:t>consensus</w:t>
      </w:r>
      <w:r w:rsidRPr="004C61EC">
        <w:rPr>
          <w:rFonts w:ascii="Times New Roman" w:hAnsi="Times New Roman" w:cs="Times New Roman"/>
          <w:sz w:val="24"/>
          <w:szCs w:val="24"/>
        </w:rPr>
        <w:t xml:space="preserve"> (as being something </w:t>
      </w:r>
      <w:r w:rsidR="008B51E7" w:rsidRPr="004C61EC">
        <w:rPr>
          <w:rFonts w:ascii="Times New Roman" w:hAnsi="Times New Roman" w:cs="Times New Roman"/>
          <w:sz w:val="24"/>
          <w:szCs w:val="24"/>
        </w:rPr>
        <w:t>‘</w:t>
      </w:r>
      <w:r w:rsidRPr="004C61EC">
        <w:rPr>
          <w:rFonts w:ascii="Times New Roman" w:hAnsi="Times New Roman" w:cs="Times New Roman"/>
          <w:sz w:val="24"/>
          <w:szCs w:val="24"/>
        </w:rPr>
        <w:t xml:space="preserve">more than </w:t>
      </w:r>
      <w:r w:rsidR="008B51E7" w:rsidRPr="004C61EC">
        <w:rPr>
          <w:rFonts w:ascii="Times New Roman" w:hAnsi="Times New Roman" w:cs="Times New Roman"/>
          <w:sz w:val="24"/>
          <w:szCs w:val="24"/>
        </w:rPr>
        <w:t>a</w:t>
      </w:r>
      <w:r w:rsidRPr="004C61EC">
        <w:rPr>
          <w:rFonts w:ascii="Times New Roman" w:hAnsi="Times New Roman" w:cs="Times New Roman"/>
          <w:sz w:val="24"/>
          <w:szCs w:val="24"/>
        </w:rPr>
        <w:t xml:space="preserve"> simple majority</w:t>
      </w:r>
      <w:r w:rsidR="008B51E7" w:rsidRPr="004C61EC">
        <w:rPr>
          <w:rFonts w:ascii="Times New Roman" w:hAnsi="Times New Roman" w:cs="Times New Roman"/>
          <w:sz w:val="24"/>
          <w:szCs w:val="24"/>
        </w:rPr>
        <w:t>’</w:t>
      </w:r>
      <w:r w:rsidRPr="004C61EC">
        <w:rPr>
          <w:rFonts w:ascii="Times New Roman" w:hAnsi="Times New Roman" w:cs="Times New Roman"/>
          <w:sz w:val="24"/>
          <w:szCs w:val="24"/>
        </w:rPr>
        <w:t xml:space="preserve"> of states</w:t>
      </w:r>
      <w:r w:rsidR="008B51E7" w:rsidRPr="004C61EC">
        <w:rPr>
          <w:rFonts w:ascii="Times New Roman" w:hAnsi="Times New Roman" w:cs="Times New Roman"/>
          <w:sz w:val="24"/>
          <w:szCs w:val="24"/>
        </w:rPr>
        <w:t xml:space="preserve"> but rather ‘express[ing] the general agreement’ of states</w:t>
      </w:r>
      <w:r w:rsidRPr="004C61EC">
        <w:rPr>
          <w:rFonts w:ascii="Times New Roman" w:hAnsi="Times New Roman" w:cs="Times New Roman"/>
          <w:sz w:val="24"/>
          <w:szCs w:val="24"/>
        </w:rPr>
        <w:t xml:space="preserve">) and a </w:t>
      </w:r>
      <w:r w:rsidRPr="004C61EC">
        <w:rPr>
          <w:rFonts w:ascii="Times New Roman" w:hAnsi="Times New Roman" w:cs="Times New Roman"/>
          <w:i/>
          <w:sz w:val="24"/>
          <w:szCs w:val="24"/>
        </w:rPr>
        <w:t>trend</w:t>
      </w:r>
      <w:r w:rsidRPr="004C61EC">
        <w:rPr>
          <w:rFonts w:ascii="Times New Roman" w:hAnsi="Times New Roman" w:cs="Times New Roman"/>
          <w:sz w:val="24"/>
          <w:szCs w:val="24"/>
        </w:rPr>
        <w:t>, in the latter case ‘the Court should respect the subsidiarity of the Strasbourg system, should wait for further consolidation and corroboration and, when this has taken place, only then proceed to find a “consensus”’.</w:t>
      </w:r>
      <w:r w:rsidRPr="004C61EC">
        <w:rPr>
          <w:rFonts w:ascii="Times New Roman" w:hAnsi="Times New Roman" w:cs="Times New Roman"/>
          <w:sz w:val="24"/>
          <w:szCs w:val="24"/>
          <w:vertAlign w:val="superscript"/>
        </w:rPr>
        <w:footnoteReference w:id="114"/>
      </w:r>
      <w:r w:rsidRPr="004C61EC">
        <w:rPr>
          <w:rFonts w:ascii="Times New Roman" w:hAnsi="Times New Roman" w:cs="Times New Roman"/>
          <w:sz w:val="24"/>
          <w:szCs w:val="24"/>
        </w:rPr>
        <w:t xml:space="preserve"> It remains to be seen whether </w:t>
      </w:r>
      <w:r w:rsidR="00BF4117" w:rsidRPr="004C61EC">
        <w:rPr>
          <w:rFonts w:ascii="Times New Roman" w:hAnsi="Times New Roman" w:cs="Times New Roman"/>
          <w:sz w:val="24"/>
          <w:szCs w:val="24"/>
        </w:rPr>
        <w:t xml:space="preserve">and to what extent </w:t>
      </w:r>
      <w:r w:rsidRPr="004C61EC">
        <w:rPr>
          <w:rFonts w:ascii="Times New Roman" w:hAnsi="Times New Roman" w:cs="Times New Roman"/>
          <w:sz w:val="24"/>
          <w:szCs w:val="24"/>
        </w:rPr>
        <w:t xml:space="preserve">the subsidiarity principle </w:t>
      </w:r>
      <w:r w:rsidR="00BF4117" w:rsidRPr="004C61EC">
        <w:rPr>
          <w:rFonts w:ascii="Times New Roman" w:hAnsi="Times New Roman" w:cs="Times New Roman"/>
          <w:sz w:val="24"/>
          <w:szCs w:val="24"/>
        </w:rPr>
        <w:t>may</w:t>
      </w:r>
      <w:r w:rsidRPr="004C61EC">
        <w:rPr>
          <w:rFonts w:ascii="Times New Roman" w:hAnsi="Times New Roman" w:cs="Times New Roman"/>
          <w:sz w:val="24"/>
          <w:szCs w:val="24"/>
        </w:rPr>
        <w:t xml:space="preserve"> be used </w:t>
      </w:r>
      <w:r w:rsidR="00BF4117" w:rsidRPr="004C61EC">
        <w:rPr>
          <w:rFonts w:ascii="Times New Roman" w:hAnsi="Times New Roman" w:cs="Times New Roman"/>
          <w:sz w:val="24"/>
          <w:szCs w:val="24"/>
        </w:rPr>
        <w:t xml:space="preserve">by the ECtHR </w:t>
      </w:r>
      <w:r w:rsidRPr="004C61EC">
        <w:rPr>
          <w:rFonts w:ascii="Times New Roman" w:hAnsi="Times New Roman" w:cs="Times New Roman"/>
          <w:sz w:val="24"/>
          <w:szCs w:val="24"/>
        </w:rPr>
        <w:t>in conjunction with European consensus or, indeed, the margin of appreciation</w:t>
      </w:r>
      <w:r w:rsidR="00C5271B">
        <w:rPr>
          <w:rFonts w:ascii="Times New Roman" w:hAnsi="Times New Roman" w:cs="Times New Roman"/>
          <w:sz w:val="24"/>
          <w:szCs w:val="24"/>
        </w:rPr>
        <w:t>,</w:t>
      </w:r>
      <w:r w:rsidR="00BF4117" w:rsidRPr="004C61EC">
        <w:rPr>
          <w:rFonts w:ascii="Times New Roman" w:hAnsi="Times New Roman" w:cs="Times New Roman"/>
          <w:sz w:val="24"/>
          <w:szCs w:val="24"/>
        </w:rPr>
        <w:t xml:space="preserve"> after Protocol 15 enters into force</w:t>
      </w:r>
      <w:r w:rsidRPr="004C61EC">
        <w:rPr>
          <w:rFonts w:ascii="Times New Roman" w:hAnsi="Times New Roman" w:cs="Times New Roman"/>
          <w:sz w:val="24"/>
          <w:szCs w:val="24"/>
        </w:rPr>
        <w:t>.</w:t>
      </w:r>
      <w:r w:rsidRPr="004C61EC">
        <w:rPr>
          <w:sz w:val="24"/>
          <w:szCs w:val="24"/>
          <w:lang w:val="en-GB"/>
        </w:rPr>
        <w:t xml:space="preserve"> </w:t>
      </w:r>
    </w:p>
    <w:p w14:paraId="155CE7F6" w14:textId="229C0C65" w:rsidR="001D5459" w:rsidRPr="004C61EC" w:rsidRDefault="00346B07" w:rsidP="00D31159">
      <w:pPr>
        <w:spacing w:line="360" w:lineRule="auto"/>
        <w:jc w:val="both"/>
        <w:rPr>
          <w:rFonts w:ascii="Times New Roman" w:hAnsi="Times New Roman" w:cs="Times New Roman"/>
          <w:sz w:val="24"/>
          <w:szCs w:val="24"/>
        </w:rPr>
      </w:pPr>
      <w:r w:rsidRPr="004C61EC">
        <w:rPr>
          <w:rFonts w:ascii="Times New Roman" w:hAnsi="Times New Roman" w:cs="Times New Roman"/>
          <w:sz w:val="24"/>
          <w:szCs w:val="24"/>
        </w:rPr>
        <w:t>With the ratification</w:t>
      </w:r>
      <w:r w:rsidR="00A53912" w:rsidRPr="004C61EC">
        <w:rPr>
          <w:rFonts w:ascii="Times New Roman" w:hAnsi="Times New Roman" w:cs="Times New Roman"/>
          <w:sz w:val="24"/>
          <w:szCs w:val="24"/>
        </w:rPr>
        <w:t xml:space="preserve"> </w:t>
      </w:r>
      <w:r w:rsidR="00D31159">
        <w:rPr>
          <w:rFonts w:ascii="Times New Roman" w:hAnsi="Times New Roman" w:cs="Times New Roman"/>
          <w:sz w:val="24"/>
          <w:szCs w:val="24"/>
        </w:rPr>
        <w:t>by</w:t>
      </w:r>
      <w:r w:rsidRPr="004C61EC">
        <w:rPr>
          <w:rFonts w:ascii="Times New Roman" w:hAnsi="Times New Roman" w:cs="Times New Roman"/>
          <w:sz w:val="24"/>
          <w:szCs w:val="24"/>
        </w:rPr>
        <w:t xml:space="preserve"> France in April 2018, </w:t>
      </w:r>
      <w:r w:rsidR="001D5459" w:rsidRPr="004C61EC">
        <w:rPr>
          <w:rFonts w:ascii="Times New Roman" w:hAnsi="Times New Roman" w:cs="Times New Roman"/>
          <w:sz w:val="24"/>
          <w:szCs w:val="24"/>
        </w:rPr>
        <w:t>Protocol 16 ECHR</w:t>
      </w:r>
      <w:r w:rsidRPr="004C61EC">
        <w:rPr>
          <w:rFonts w:ascii="Times New Roman" w:hAnsi="Times New Roman" w:cs="Times New Roman"/>
          <w:sz w:val="24"/>
          <w:szCs w:val="24"/>
        </w:rPr>
        <w:t xml:space="preserve"> will enter into force on 1 August 2018, solely in respect of the ten states which have ratified it.</w:t>
      </w:r>
      <w:r w:rsidRPr="004C61EC">
        <w:rPr>
          <w:rStyle w:val="FootnoteReference"/>
          <w:rFonts w:cs="Times New Roman"/>
          <w:sz w:val="24"/>
          <w:szCs w:val="24"/>
        </w:rPr>
        <w:footnoteReference w:id="115"/>
      </w:r>
      <w:r w:rsidRPr="004C61EC">
        <w:rPr>
          <w:rFonts w:ascii="Times New Roman" w:hAnsi="Times New Roman" w:cs="Times New Roman"/>
          <w:sz w:val="24"/>
          <w:szCs w:val="24"/>
        </w:rPr>
        <w:t xml:space="preserve"> It</w:t>
      </w:r>
      <w:r w:rsidR="001D5459" w:rsidRPr="004C61EC">
        <w:rPr>
          <w:rFonts w:ascii="Times New Roman" w:hAnsi="Times New Roman" w:cs="Times New Roman"/>
          <w:sz w:val="24"/>
          <w:szCs w:val="24"/>
        </w:rPr>
        <w:t xml:space="preserve"> will empower the highest domestic courts and tribunals to submit a question to the ECtHR concerning the interpretation or application of the ECHR.</w:t>
      </w:r>
      <w:r w:rsidR="001D5459" w:rsidRPr="004C61EC">
        <w:rPr>
          <w:rFonts w:ascii="Times New Roman" w:hAnsi="Times New Roman" w:cs="Times New Roman"/>
          <w:sz w:val="24"/>
          <w:szCs w:val="24"/>
          <w:vertAlign w:val="superscript"/>
        </w:rPr>
        <w:footnoteReference w:id="116"/>
      </w:r>
      <w:r w:rsidR="001D5459" w:rsidRPr="004C61EC">
        <w:rPr>
          <w:rFonts w:ascii="Times New Roman" w:hAnsi="Times New Roman" w:cs="Times New Roman"/>
          <w:sz w:val="24"/>
          <w:szCs w:val="24"/>
        </w:rPr>
        <w:t xml:space="preserve"> The request should stem from a pending case before </w:t>
      </w:r>
      <w:r w:rsidR="004014D3" w:rsidRPr="004C61EC">
        <w:rPr>
          <w:rFonts w:ascii="Times New Roman" w:hAnsi="Times New Roman" w:cs="Times New Roman"/>
          <w:sz w:val="24"/>
          <w:szCs w:val="24"/>
        </w:rPr>
        <w:t>that</w:t>
      </w:r>
      <w:r w:rsidR="001D5459" w:rsidRPr="004C61EC">
        <w:rPr>
          <w:rFonts w:ascii="Times New Roman" w:hAnsi="Times New Roman" w:cs="Times New Roman"/>
          <w:sz w:val="24"/>
          <w:szCs w:val="24"/>
        </w:rPr>
        <w:t xml:space="preserve"> court,</w:t>
      </w:r>
      <w:r w:rsidR="001D5459" w:rsidRPr="004C61EC">
        <w:rPr>
          <w:rFonts w:ascii="Times New Roman" w:hAnsi="Times New Roman" w:cs="Times New Roman"/>
          <w:sz w:val="24"/>
          <w:szCs w:val="24"/>
          <w:vertAlign w:val="superscript"/>
        </w:rPr>
        <w:footnoteReference w:id="117"/>
      </w:r>
      <w:r w:rsidR="001D5459" w:rsidRPr="004C61EC">
        <w:rPr>
          <w:rFonts w:ascii="Times New Roman" w:hAnsi="Times New Roman" w:cs="Times New Roman"/>
          <w:sz w:val="24"/>
          <w:szCs w:val="24"/>
        </w:rPr>
        <w:t xml:space="preserve"> and the opinion of the Strasbourg Court will not be binding.</w:t>
      </w:r>
      <w:r w:rsidR="001D5459" w:rsidRPr="004C61EC">
        <w:rPr>
          <w:rFonts w:ascii="Times New Roman" w:hAnsi="Times New Roman" w:cs="Times New Roman"/>
          <w:sz w:val="24"/>
          <w:szCs w:val="24"/>
          <w:vertAlign w:val="superscript"/>
        </w:rPr>
        <w:footnoteReference w:id="118"/>
      </w:r>
      <w:r w:rsidR="001D5459" w:rsidRPr="004C61EC">
        <w:rPr>
          <w:rFonts w:ascii="Times New Roman" w:hAnsi="Times New Roman" w:cs="Times New Roman"/>
          <w:sz w:val="24"/>
          <w:szCs w:val="24"/>
        </w:rPr>
        <w:t xml:space="preserve"> </w:t>
      </w:r>
      <w:r w:rsidR="00443507" w:rsidRPr="004C61EC">
        <w:rPr>
          <w:rFonts w:ascii="Times New Roman" w:hAnsi="Times New Roman" w:cs="Times New Roman"/>
          <w:sz w:val="24"/>
          <w:szCs w:val="24"/>
        </w:rPr>
        <w:t>The provisions of Protocol 16 have attracted considerable scholarly attention</w:t>
      </w:r>
      <w:r w:rsidR="00443507" w:rsidRPr="004C61EC">
        <w:rPr>
          <w:rFonts w:ascii="Times New Roman" w:hAnsi="Times New Roman" w:cs="Times New Roman"/>
          <w:sz w:val="24"/>
          <w:szCs w:val="24"/>
          <w:vertAlign w:val="superscript"/>
        </w:rPr>
        <w:footnoteReference w:id="119"/>
      </w:r>
      <w:r w:rsidR="00443507" w:rsidRPr="004C61EC">
        <w:rPr>
          <w:rFonts w:ascii="Times New Roman" w:hAnsi="Times New Roman" w:cs="Times New Roman"/>
          <w:sz w:val="24"/>
          <w:szCs w:val="24"/>
        </w:rPr>
        <w:t xml:space="preserve"> (also in light of the EU’s </w:t>
      </w:r>
      <w:r w:rsidR="00B0397F">
        <w:rPr>
          <w:rFonts w:ascii="Times New Roman" w:hAnsi="Times New Roman" w:cs="Times New Roman"/>
          <w:sz w:val="24"/>
          <w:szCs w:val="24"/>
        </w:rPr>
        <w:t xml:space="preserve">potential </w:t>
      </w:r>
      <w:r w:rsidR="00443507" w:rsidRPr="004C61EC">
        <w:rPr>
          <w:rFonts w:ascii="Times New Roman" w:hAnsi="Times New Roman" w:cs="Times New Roman"/>
          <w:sz w:val="24"/>
          <w:szCs w:val="24"/>
        </w:rPr>
        <w:t xml:space="preserve">accession to the ECHR, a point briefly considered below). </w:t>
      </w:r>
      <w:r w:rsidR="001D5459" w:rsidRPr="004C61EC">
        <w:rPr>
          <w:rFonts w:ascii="Times New Roman" w:hAnsi="Times New Roman" w:cs="Times New Roman"/>
          <w:sz w:val="24"/>
          <w:szCs w:val="24"/>
        </w:rPr>
        <w:t>Domestic courts do interpret, of course, the Convention,</w:t>
      </w:r>
      <w:r w:rsidR="001D5459" w:rsidRPr="004C61EC">
        <w:rPr>
          <w:rFonts w:ascii="Times New Roman" w:hAnsi="Times New Roman" w:cs="Times New Roman"/>
          <w:sz w:val="24"/>
          <w:szCs w:val="24"/>
          <w:vertAlign w:val="superscript"/>
        </w:rPr>
        <w:footnoteReference w:id="120"/>
      </w:r>
      <w:r w:rsidR="001D5459" w:rsidRPr="004C61EC">
        <w:rPr>
          <w:rFonts w:ascii="Times New Roman" w:hAnsi="Times New Roman" w:cs="Times New Roman"/>
          <w:sz w:val="24"/>
          <w:szCs w:val="24"/>
        </w:rPr>
        <w:t xml:space="preserve"> and therefore it is anticipated that the activation of Protocol 16 will incite at least some domestic courts to submit questions to the ECtHR concerning primarily the margin of appreciation, but complementarily the notion of European consensus as well. </w:t>
      </w:r>
    </w:p>
    <w:p w14:paraId="283B7FD1" w14:textId="11180386" w:rsidR="001D5459" w:rsidRPr="004C61EC" w:rsidRDefault="001D5459" w:rsidP="001D5459">
      <w:pPr>
        <w:spacing w:line="360" w:lineRule="auto"/>
        <w:jc w:val="both"/>
        <w:rPr>
          <w:rFonts w:ascii="Times New Roman" w:hAnsi="Times New Roman" w:cs="Times New Roman"/>
          <w:sz w:val="24"/>
          <w:szCs w:val="24"/>
        </w:rPr>
      </w:pPr>
      <w:r w:rsidRPr="004C61EC">
        <w:rPr>
          <w:rFonts w:ascii="Times New Roman" w:hAnsi="Times New Roman" w:cs="Times New Roman"/>
          <w:sz w:val="24"/>
          <w:szCs w:val="24"/>
        </w:rPr>
        <w:t>Beyond this, Protocol 16 ECHR will have implications for the EU</w:t>
      </w:r>
      <w:r w:rsidR="00140C1D">
        <w:rPr>
          <w:rFonts w:ascii="Times New Roman" w:hAnsi="Times New Roman" w:cs="Times New Roman"/>
          <w:sz w:val="24"/>
          <w:szCs w:val="24"/>
        </w:rPr>
        <w:t xml:space="preserve">’s </w:t>
      </w:r>
      <w:r w:rsidRPr="004C61EC">
        <w:rPr>
          <w:rFonts w:ascii="Times New Roman" w:hAnsi="Times New Roman" w:cs="Times New Roman"/>
          <w:sz w:val="24"/>
          <w:szCs w:val="24"/>
        </w:rPr>
        <w:t>accession to the ECHR, if and when it takes place. One of the reasons put forward by the Court of Justice of the European Union (CJEU) in its controversial Opinion 2/2013</w:t>
      </w:r>
      <w:r w:rsidR="00880A4B" w:rsidRPr="004C61EC">
        <w:rPr>
          <w:rFonts w:ascii="Times New Roman" w:hAnsi="Times New Roman" w:cs="Times New Roman"/>
          <w:sz w:val="24"/>
          <w:szCs w:val="24"/>
          <w:vertAlign w:val="superscript"/>
        </w:rPr>
        <w:footnoteReference w:id="121"/>
      </w:r>
      <w:r w:rsidRPr="004C61EC">
        <w:rPr>
          <w:rFonts w:ascii="Times New Roman" w:hAnsi="Times New Roman" w:cs="Times New Roman"/>
          <w:sz w:val="24"/>
          <w:szCs w:val="24"/>
        </w:rPr>
        <w:t xml:space="preserve"> that the Draft Agreement on the EU accession to the ECHR</w:t>
      </w:r>
      <w:r w:rsidRPr="004C61EC">
        <w:rPr>
          <w:rFonts w:ascii="Times New Roman" w:hAnsi="Times New Roman" w:cs="Times New Roman"/>
          <w:sz w:val="24"/>
          <w:szCs w:val="24"/>
          <w:vertAlign w:val="superscript"/>
        </w:rPr>
        <w:footnoteReference w:id="122"/>
      </w:r>
      <w:r w:rsidRPr="004C61EC">
        <w:rPr>
          <w:rFonts w:ascii="Times New Roman" w:hAnsi="Times New Roman" w:cs="Times New Roman"/>
          <w:sz w:val="24"/>
          <w:szCs w:val="24"/>
        </w:rPr>
        <w:t xml:space="preserve"> was incompatible with the autonomy of EU law was that the advisory opinion process via Protocol 16 could circumvent the preliminary reference procedure under Article 267 of the Treaty on the Functioning of the European Union (TFEU).</w:t>
      </w:r>
      <w:r w:rsidRPr="004C61EC">
        <w:rPr>
          <w:rFonts w:ascii="Times New Roman" w:hAnsi="Times New Roman" w:cs="Times New Roman"/>
          <w:sz w:val="24"/>
          <w:szCs w:val="24"/>
          <w:vertAlign w:val="superscript"/>
        </w:rPr>
        <w:footnoteReference w:id="123"/>
      </w:r>
      <w:r w:rsidR="00880A4B" w:rsidRPr="004C61EC">
        <w:rPr>
          <w:rFonts w:ascii="Times New Roman" w:hAnsi="Times New Roman" w:cs="Times New Roman"/>
          <w:sz w:val="24"/>
          <w:szCs w:val="24"/>
        </w:rPr>
        <w:t xml:space="preserve"> Regardless of the merits of this finding by the CJEU, for present purposes t</w:t>
      </w:r>
      <w:r w:rsidRPr="004C61EC">
        <w:rPr>
          <w:rFonts w:ascii="Times New Roman" w:hAnsi="Times New Roman" w:cs="Times New Roman"/>
          <w:sz w:val="24"/>
          <w:szCs w:val="24"/>
        </w:rPr>
        <w:t>he following</w:t>
      </w:r>
      <w:r w:rsidR="00880A4B" w:rsidRPr="004C61EC">
        <w:rPr>
          <w:rFonts w:ascii="Times New Roman" w:hAnsi="Times New Roman" w:cs="Times New Roman"/>
          <w:sz w:val="24"/>
          <w:szCs w:val="24"/>
        </w:rPr>
        <w:t xml:space="preserve"> hypothetical</w:t>
      </w:r>
      <w:r w:rsidRPr="004C61EC">
        <w:rPr>
          <w:rFonts w:ascii="Times New Roman" w:hAnsi="Times New Roman" w:cs="Times New Roman"/>
          <w:sz w:val="24"/>
          <w:szCs w:val="24"/>
        </w:rPr>
        <w:t xml:space="preserve"> scenario may be reflected upon: the domestic court requests an advisory opinion from Strasbourg on a matter which falls under the scope of EU law, and involves the interpretation of Convention rights or </w:t>
      </w:r>
      <w:r w:rsidR="00880A4B" w:rsidRPr="004C61EC">
        <w:rPr>
          <w:rFonts w:ascii="Times New Roman" w:hAnsi="Times New Roman" w:cs="Times New Roman"/>
          <w:sz w:val="24"/>
          <w:szCs w:val="24"/>
        </w:rPr>
        <w:t>indeed</w:t>
      </w:r>
      <w:r w:rsidRPr="004C61EC">
        <w:rPr>
          <w:rFonts w:ascii="Times New Roman" w:hAnsi="Times New Roman" w:cs="Times New Roman"/>
          <w:sz w:val="24"/>
          <w:szCs w:val="24"/>
        </w:rPr>
        <w:t xml:space="preserve"> Charter rights which </w:t>
      </w:r>
      <w:r w:rsidR="00880A4B" w:rsidRPr="004C61EC">
        <w:rPr>
          <w:rFonts w:ascii="Times New Roman" w:hAnsi="Times New Roman" w:cs="Times New Roman"/>
          <w:sz w:val="24"/>
          <w:szCs w:val="24"/>
        </w:rPr>
        <w:t>correspond to those guaranteed by</w:t>
      </w:r>
      <w:r w:rsidRPr="004C61EC">
        <w:rPr>
          <w:rFonts w:ascii="Times New Roman" w:hAnsi="Times New Roman" w:cs="Times New Roman"/>
          <w:sz w:val="24"/>
          <w:szCs w:val="24"/>
        </w:rPr>
        <w:t xml:space="preserve"> the Convention.</w:t>
      </w:r>
      <w:r w:rsidR="00014968" w:rsidRPr="004C61EC">
        <w:rPr>
          <w:rStyle w:val="FootnoteReference"/>
          <w:rFonts w:cs="Times New Roman"/>
          <w:sz w:val="24"/>
          <w:szCs w:val="24"/>
        </w:rPr>
        <w:footnoteReference w:id="124"/>
      </w:r>
      <w:r w:rsidRPr="004C61EC">
        <w:rPr>
          <w:rFonts w:ascii="Times New Roman" w:hAnsi="Times New Roman" w:cs="Times New Roman"/>
          <w:sz w:val="24"/>
          <w:szCs w:val="24"/>
        </w:rPr>
        <w:t xml:space="preserve"> The CJEU judgment in </w:t>
      </w:r>
      <w:r w:rsidRPr="004C61EC">
        <w:rPr>
          <w:rFonts w:ascii="Times New Roman" w:hAnsi="Times New Roman" w:cs="Times New Roman"/>
          <w:i/>
          <w:sz w:val="24"/>
          <w:szCs w:val="24"/>
        </w:rPr>
        <w:t>Delvigne</w:t>
      </w:r>
      <w:r w:rsidRPr="004C61EC">
        <w:rPr>
          <w:rFonts w:ascii="Times New Roman" w:hAnsi="Times New Roman" w:cs="Times New Roman"/>
          <w:sz w:val="24"/>
          <w:szCs w:val="24"/>
          <w:vertAlign w:val="superscript"/>
        </w:rPr>
        <w:footnoteReference w:id="125"/>
      </w:r>
      <w:r w:rsidRPr="004C61EC">
        <w:rPr>
          <w:rFonts w:ascii="Times New Roman" w:hAnsi="Times New Roman" w:cs="Times New Roman"/>
          <w:sz w:val="24"/>
          <w:szCs w:val="24"/>
        </w:rPr>
        <w:t xml:space="preserve"> already provides a suitable example for reflection. To what extent the CJEU’s </w:t>
      </w:r>
      <w:r w:rsidR="00880A4B" w:rsidRPr="004C61EC">
        <w:rPr>
          <w:rFonts w:ascii="Times New Roman" w:hAnsi="Times New Roman" w:cs="Times New Roman"/>
          <w:sz w:val="24"/>
          <w:szCs w:val="24"/>
        </w:rPr>
        <w:t xml:space="preserve">indications </w:t>
      </w:r>
      <w:r w:rsidRPr="004C61EC">
        <w:rPr>
          <w:rFonts w:ascii="Times New Roman" w:hAnsi="Times New Roman" w:cs="Times New Roman"/>
          <w:sz w:val="24"/>
          <w:szCs w:val="24"/>
        </w:rPr>
        <w:t xml:space="preserve">may correspond to the ECtHR’s permissible margin of appreciation under </w:t>
      </w:r>
      <w:r w:rsidRPr="004C61EC">
        <w:rPr>
          <w:rFonts w:ascii="Times New Roman" w:hAnsi="Times New Roman" w:cs="Times New Roman"/>
          <w:i/>
          <w:sz w:val="24"/>
          <w:szCs w:val="24"/>
        </w:rPr>
        <w:t>Hirst</w:t>
      </w:r>
      <w:r w:rsidRPr="004C61EC">
        <w:rPr>
          <w:rFonts w:ascii="Times New Roman" w:hAnsi="Times New Roman" w:cs="Times New Roman"/>
          <w:sz w:val="24"/>
          <w:szCs w:val="24"/>
        </w:rPr>
        <w:t xml:space="preserve"> </w:t>
      </w:r>
      <w:r w:rsidRPr="004C61EC">
        <w:rPr>
          <w:rFonts w:ascii="Times New Roman" w:hAnsi="Times New Roman" w:cs="Times New Roman"/>
          <w:i/>
          <w:sz w:val="24"/>
          <w:szCs w:val="24"/>
        </w:rPr>
        <w:t>(No 2)</w:t>
      </w:r>
      <w:r w:rsidRPr="004C61EC">
        <w:rPr>
          <w:rFonts w:ascii="Times New Roman" w:hAnsi="Times New Roman" w:cs="Times New Roman"/>
          <w:sz w:val="24"/>
          <w:szCs w:val="24"/>
        </w:rPr>
        <w:t xml:space="preserve"> is something that the Strasbourg Court </w:t>
      </w:r>
      <w:r w:rsidR="00880A4B" w:rsidRPr="004C61EC">
        <w:rPr>
          <w:rFonts w:ascii="Times New Roman" w:hAnsi="Times New Roman" w:cs="Times New Roman"/>
          <w:sz w:val="24"/>
          <w:szCs w:val="24"/>
        </w:rPr>
        <w:t>could</w:t>
      </w:r>
      <w:r w:rsidRPr="004C61EC">
        <w:rPr>
          <w:rFonts w:ascii="Times New Roman" w:hAnsi="Times New Roman" w:cs="Times New Roman"/>
          <w:sz w:val="24"/>
          <w:szCs w:val="24"/>
        </w:rPr>
        <w:t xml:space="preserve"> be called upon to decide.</w:t>
      </w:r>
      <w:r w:rsidR="00880A4B" w:rsidRPr="004C61EC">
        <w:rPr>
          <w:rStyle w:val="FootnoteReference"/>
          <w:rFonts w:cs="Times New Roman"/>
          <w:sz w:val="24"/>
          <w:szCs w:val="24"/>
        </w:rPr>
        <w:footnoteReference w:id="126"/>
      </w:r>
      <w:r w:rsidR="00880A4B" w:rsidRPr="004C61EC">
        <w:rPr>
          <w:rFonts w:ascii="Times New Roman" w:hAnsi="Times New Roman" w:cs="Times New Roman"/>
          <w:sz w:val="24"/>
          <w:szCs w:val="24"/>
        </w:rPr>
        <w:t xml:space="preserve"> And indeed,</w:t>
      </w:r>
      <w:r w:rsidRPr="004C61EC">
        <w:rPr>
          <w:rFonts w:ascii="Times New Roman" w:eastAsia="Calibri" w:hAnsi="Times New Roman" w:cs="Times New Roman"/>
          <w:sz w:val="24"/>
          <w:szCs w:val="24"/>
          <w:lang w:val="en-GB"/>
        </w:rPr>
        <w:t xml:space="preserve"> the </w:t>
      </w:r>
      <w:r w:rsidR="005A1F00">
        <w:rPr>
          <w:rFonts w:ascii="Times New Roman" w:eastAsia="Calibri" w:hAnsi="Times New Roman" w:cs="Times New Roman"/>
          <w:sz w:val="24"/>
          <w:szCs w:val="24"/>
          <w:lang w:val="en-GB"/>
        </w:rPr>
        <w:t>ECtHR</w:t>
      </w:r>
      <w:r w:rsidRPr="004C61EC">
        <w:rPr>
          <w:rFonts w:ascii="Times New Roman" w:eastAsia="Calibri" w:hAnsi="Times New Roman" w:cs="Times New Roman"/>
          <w:sz w:val="24"/>
          <w:szCs w:val="24"/>
          <w:lang w:val="en-GB"/>
        </w:rPr>
        <w:t xml:space="preserve"> is frequently exploring the case-law of the CJEU </w:t>
      </w:r>
      <w:r w:rsidR="00014968" w:rsidRPr="004C61EC">
        <w:rPr>
          <w:rFonts w:ascii="Times New Roman" w:eastAsia="Calibri" w:hAnsi="Times New Roman" w:cs="Times New Roman"/>
          <w:sz w:val="24"/>
          <w:szCs w:val="24"/>
          <w:lang w:val="en-GB"/>
        </w:rPr>
        <w:t xml:space="preserve">also </w:t>
      </w:r>
      <w:r w:rsidRPr="004C61EC">
        <w:rPr>
          <w:rFonts w:ascii="Times New Roman" w:eastAsia="Calibri" w:hAnsi="Times New Roman" w:cs="Times New Roman"/>
          <w:sz w:val="24"/>
          <w:szCs w:val="24"/>
          <w:lang w:val="en-GB"/>
        </w:rPr>
        <w:t>in cases where it resorts to</w:t>
      </w:r>
      <w:r w:rsidR="00014968" w:rsidRPr="004C61EC">
        <w:rPr>
          <w:rFonts w:ascii="Times New Roman" w:eastAsia="Calibri" w:hAnsi="Times New Roman" w:cs="Times New Roman"/>
          <w:sz w:val="24"/>
          <w:szCs w:val="24"/>
          <w:lang w:val="en-GB"/>
        </w:rPr>
        <w:t xml:space="preserve"> European consensus.</w:t>
      </w:r>
      <w:r w:rsidRPr="004C61EC">
        <w:rPr>
          <w:rFonts w:ascii="Times New Roman" w:eastAsia="Calibri" w:hAnsi="Times New Roman" w:cs="Times New Roman"/>
          <w:sz w:val="24"/>
          <w:szCs w:val="24"/>
          <w:lang w:val="en-GB"/>
        </w:rPr>
        <w:t xml:space="preserve"> </w:t>
      </w:r>
      <w:r w:rsidR="00014968" w:rsidRPr="004C61EC">
        <w:rPr>
          <w:rFonts w:ascii="Times New Roman" w:hAnsi="Times New Roman" w:cs="Times New Roman"/>
          <w:sz w:val="24"/>
          <w:szCs w:val="24"/>
        </w:rPr>
        <w:t xml:space="preserve">While the existing interactions between the two European courts </w:t>
      </w:r>
      <w:r w:rsidR="005A1F00">
        <w:rPr>
          <w:rFonts w:ascii="Times New Roman" w:hAnsi="Times New Roman" w:cs="Times New Roman"/>
          <w:sz w:val="24"/>
          <w:szCs w:val="24"/>
        </w:rPr>
        <w:t>no doubt constitute</w:t>
      </w:r>
      <w:r w:rsidR="00014968" w:rsidRPr="004C61EC">
        <w:rPr>
          <w:rFonts w:ascii="Times New Roman" w:hAnsi="Times New Roman" w:cs="Times New Roman"/>
          <w:sz w:val="24"/>
          <w:szCs w:val="24"/>
        </w:rPr>
        <w:t xml:space="preserve"> a fascinating topic to explore,</w:t>
      </w:r>
      <w:r w:rsidR="00014968" w:rsidRPr="004C61EC">
        <w:rPr>
          <w:rStyle w:val="FootnoteReference"/>
          <w:rFonts w:cs="Times New Roman"/>
          <w:sz w:val="24"/>
          <w:szCs w:val="24"/>
        </w:rPr>
        <w:footnoteReference w:id="127"/>
      </w:r>
      <w:r w:rsidR="00014968" w:rsidRPr="004C61EC">
        <w:rPr>
          <w:rFonts w:ascii="Times New Roman" w:hAnsi="Times New Roman" w:cs="Times New Roman"/>
          <w:sz w:val="24"/>
          <w:szCs w:val="24"/>
        </w:rPr>
        <w:t xml:space="preserve"> it cannot be excluded that post-accession Protocol 16 ECHR effectively will bring to the fore possible discrepancies </w:t>
      </w:r>
      <w:r w:rsidR="00014968" w:rsidRPr="0022498B">
        <w:rPr>
          <w:rFonts w:ascii="Times New Roman" w:hAnsi="Times New Roman" w:cs="Times New Roman"/>
          <w:sz w:val="24"/>
          <w:szCs w:val="24"/>
        </w:rPr>
        <w:t xml:space="preserve">between the EU and the ECHR standards of protection. </w:t>
      </w:r>
      <w:r w:rsidRPr="0022498B">
        <w:rPr>
          <w:rFonts w:ascii="Times New Roman" w:eastAsia="Calibri" w:hAnsi="Times New Roman" w:cs="Times New Roman"/>
          <w:sz w:val="24"/>
          <w:szCs w:val="24"/>
          <w:lang w:val="en-GB"/>
        </w:rPr>
        <w:t xml:space="preserve">All this </w:t>
      </w:r>
      <w:r w:rsidR="00D31159" w:rsidRPr="0022498B">
        <w:rPr>
          <w:rFonts w:ascii="Times New Roman" w:eastAsia="Calibri" w:hAnsi="Times New Roman" w:cs="Times New Roman"/>
          <w:sz w:val="24"/>
          <w:szCs w:val="24"/>
          <w:lang w:val="en-GB"/>
        </w:rPr>
        <w:t xml:space="preserve">is </w:t>
      </w:r>
      <w:r w:rsidRPr="0022498B">
        <w:rPr>
          <w:rFonts w:ascii="Times New Roman" w:eastAsia="Calibri" w:hAnsi="Times New Roman" w:cs="Times New Roman"/>
          <w:sz w:val="24"/>
          <w:szCs w:val="24"/>
          <w:lang w:val="en-GB"/>
        </w:rPr>
        <w:t xml:space="preserve">to suggest that clarifying the </w:t>
      </w:r>
      <w:r w:rsidRPr="004C61EC">
        <w:rPr>
          <w:rFonts w:ascii="Times New Roman" w:eastAsia="Calibri" w:hAnsi="Times New Roman" w:cs="Times New Roman"/>
          <w:sz w:val="24"/>
          <w:szCs w:val="24"/>
          <w:lang w:val="en-GB"/>
        </w:rPr>
        <w:t xml:space="preserve">relationship between the </w:t>
      </w:r>
      <w:r w:rsidR="00014968" w:rsidRPr="004C61EC">
        <w:rPr>
          <w:rFonts w:ascii="Times New Roman" w:eastAsia="Calibri" w:hAnsi="Times New Roman" w:cs="Times New Roman"/>
          <w:sz w:val="24"/>
          <w:szCs w:val="24"/>
          <w:lang w:val="en-GB"/>
        </w:rPr>
        <w:t>margin of appreciation and consensus post-Protocol 16 will improve the coherence of the ECtHR’s reasoning in its interactions with the CJEU</w:t>
      </w:r>
      <w:r w:rsidR="005A1F00">
        <w:rPr>
          <w:rFonts w:ascii="Times New Roman" w:eastAsia="Calibri" w:hAnsi="Times New Roman" w:cs="Times New Roman"/>
          <w:sz w:val="24"/>
          <w:szCs w:val="24"/>
          <w:lang w:val="en-GB"/>
        </w:rPr>
        <w:t xml:space="preserve"> -</w:t>
      </w:r>
      <w:r w:rsidR="00014968" w:rsidRPr="004C61EC">
        <w:rPr>
          <w:rFonts w:ascii="Times New Roman" w:eastAsia="Calibri" w:hAnsi="Times New Roman" w:cs="Times New Roman"/>
          <w:sz w:val="24"/>
          <w:szCs w:val="24"/>
          <w:lang w:val="en-GB"/>
        </w:rPr>
        <w:t xml:space="preserve"> whichever form such interaction may take after a hypothetical accession agreement</w:t>
      </w:r>
      <w:r w:rsidR="0022498B">
        <w:rPr>
          <w:rFonts w:ascii="Times New Roman" w:eastAsia="Calibri" w:hAnsi="Times New Roman" w:cs="Times New Roman"/>
          <w:sz w:val="24"/>
          <w:szCs w:val="24"/>
          <w:lang w:val="en-GB"/>
        </w:rPr>
        <w:t>.</w:t>
      </w:r>
      <w:r w:rsidRPr="004C61EC">
        <w:rPr>
          <w:rFonts w:ascii="Times New Roman" w:hAnsi="Times New Roman" w:cs="Times New Roman"/>
          <w:sz w:val="24"/>
          <w:szCs w:val="24"/>
        </w:rPr>
        <w:t xml:space="preserve"> </w:t>
      </w:r>
    </w:p>
    <w:p w14:paraId="0DA3384A" w14:textId="359330EF" w:rsidR="005A1F00" w:rsidRDefault="0073437C" w:rsidP="001D5459">
      <w:pPr>
        <w:spacing w:line="360" w:lineRule="auto"/>
        <w:jc w:val="both"/>
        <w:rPr>
          <w:rFonts w:ascii="Times New Roman" w:hAnsi="Times New Roman" w:cs="Times New Roman"/>
          <w:sz w:val="24"/>
          <w:szCs w:val="24"/>
        </w:rPr>
      </w:pPr>
      <w:r w:rsidRPr="004C61EC">
        <w:rPr>
          <w:rFonts w:ascii="Times New Roman" w:hAnsi="Times New Roman" w:cs="Times New Roman"/>
          <w:sz w:val="24"/>
          <w:szCs w:val="24"/>
        </w:rPr>
        <w:t xml:space="preserve">Lastly, the discussion on the </w:t>
      </w:r>
      <w:r w:rsidR="00323095">
        <w:rPr>
          <w:rFonts w:ascii="Times New Roman" w:hAnsi="Times New Roman" w:cs="Times New Roman"/>
          <w:sz w:val="24"/>
          <w:szCs w:val="24"/>
        </w:rPr>
        <w:t xml:space="preserve">Convention and the </w:t>
      </w:r>
      <w:r w:rsidRPr="004C61EC">
        <w:rPr>
          <w:rFonts w:ascii="Times New Roman" w:hAnsi="Times New Roman" w:cs="Times New Roman"/>
          <w:sz w:val="24"/>
          <w:szCs w:val="24"/>
        </w:rPr>
        <w:t xml:space="preserve">Court’s reform is ongoing as the </w:t>
      </w:r>
      <w:r w:rsidR="00926662">
        <w:rPr>
          <w:rFonts w:ascii="Times New Roman" w:hAnsi="Times New Roman" w:cs="Times New Roman"/>
          <w:sz w:val="24"/>
          <w:szCs w:val="24"/>
        </w:rPr>
        <w:t xml:space="preserve">recent </w:t>
      </w:r>
      <w:r w:rsidRPr="004C61EC">
        <w:rPr>
          <w:rFonts w:ascii="Times New Roman" w:hAnsi="Times New Roman" w:cs="Times New Roman"/>
          <w:sz w:val="24"/>
          <w:szCs w:val="24"/>
        </w:rPr>
        <w:t>Copenhagen Declaration (which we</w:t>
      </w:r>
      <w:r w:rsidR="007C0F1A" w:rsidRPr="004C61EC">
        <w:rPr>
          <w:rFonts w:ascii="Times New Roman" w:hAnsi="Times New Roman" w:cs="Times New Roman"/>
          <w:sz w:val="24"/>
          <w:szCs w:val="24"/>
        </w:rPr>
        <w:t>lcome</w:t>
      </w:r>
      <w:r w:rsidR="00926662">
        <w:rPr>
          <w:rFonts w:ascii="Times New Roman" w:hAnsi="Times New Roman" w:cs="Times New Roman"/>
          <w:sz w:val="24"/>
          <w:szCs w:val="24"/>
        </w:rPr>
        <w:t>d</w:t>
      </w:r>
      <w:r w:rsidR="007C0F1A" w:rsidRPr="004C61EC">
        <w:rPr>
          <w:rFonts w:ascii="Times New Roman" w:hAnsi="Times New Roman" w:cs="Times New Roman"/>
          <w:sz w:val="24"/>
          <w:szCs w:val="24"/>
        </w:rPr>
        <w:t xml:space="preserve"> the entry into force of P</w:t>
      </w:r>
      <w:r w:rsidRPr="004C61EC">
        <w:rPr>
          <w:rFonts w:ascii="Times New Roman" w:hAnsi="Times New Roman" w:cs="Times New Roman"/>
          <w:sz w:val="24"/>
          <w:szCs w:val="24"/>
        </w:rPr>
        <w:t>rotocol 16 and urge</w:t>
      </w:r>
      <w:r w:rsidR="00926662">
        <w:rPr>
          <w:rFonts w:ascii="Times New Roman" w:hAnsi="Times New Roman" w:cs="Times New Roman"/>
          <w:sz w:val="24"/>
          <w:szCs w:val="24"/>
        </w:rPr>
        <w:t>d</w:t>
      </w:r>
      <w:r w:rsidRPr="004C61EC">
        <w:rPr>
          <w:rFonts w:ascii="Times New Roman" w:hAnsi="Times New Roman" w:cs="Times New Roman"/>
          <w:sz w:val="24"/>
          <w:szCs w:val="24"/>
        </w:rPr>
        <w:t xml:space="preserve"> the few remaining states to ratify Protocol 15</w:t>
      </w:r>
      <w:r w:rsidRPr="004C61EC">
        <w:rPr>
          <w:rStyle w:val="FootnoteReference"/>
          <w:rFonts w:cs="Times New Roman"/>
          <w:sz w:val="24"/>
          <w:szCs w:val="24"/>
        </w:rPr>
        <w:footnoteReference w:id="128"/>
      </w:r>
      <w:r w:rsidRPr="004C61EC">
        <w:rPr>
          <w:rFonts w:ascii="Times New Roman" w:hAnsi="Times New Roman" w:cs="Times New Roman"/>
          <w:sz w:val="24"/>
          <w:szCs w:val="24"/>
        </w:rPr>
        <w:t>) demonstrate</w:t>
      </w:r>
      <w:r w:rsidR="00926662">
        <w:rPr>
          <w:rFonts w:ascii="Times New Roman" w:hAnsi="Times New Roman" w:cs="Times New Roman"/>
          <w:sz w:val="24"/>
          <w:szCs w:val="24"/>
        </w:rPr>
        <w:t>d</w:t>
      </w:r>
      <w:r w:rsidRPr="004C61EC">
        <w:rPr>
          <w:rFonts w:ascii="Times New Roman" w:hAnsi="Times New Roman" w:cs="Times New Roman"/>
          <w:sz w:val="24"/>
          <w:szCs w:val="24"/>
        </w:rPr>
        <w:t xml:space="preserve">. </w:t>
      </w:r>
      <w:r w:rsidR="006F25E3" w:rsidRPr="004C61EC">
        <w:rPr>
          <w:rFonts w:ascii="Times New Roman" w:hAnsi="Times New Roman" w:cs="Times New Roman"/>
          <w:sz w:val="24"/>
          <w:szCs w:val="24"/>
        </w:rPr>
        <w:t>Although some of the controversial and, indeed, unfortunate formulations</w:t>
      </w:r>
      <w:r w:rsidR="006F25E3" w:rsidRPr="004C61EC">
        <w:rPr>
          <w:rStyle w:val="FootnoteReference"/>
          <w:rFonts w:cs="Times New Roman"/>
          <w:sz w:val="24"/>
          <w:szCs w:val="24"/>
        </w:rPr>
        <w:footnoteReference w:id="129"/>
      </w:r>
      <w:r w:rsidR="006F25E3" w:rsidRPr="004C61EC">
        <w:rPr>
          <w:rFonts w:ascii="Times New Roman" w:hAnsi="Times New Roman" w:cs="Times New Roman"/>
          <w:sz w:val="24"/>
          <w:szCs w:val="24"/>
        </w:rPr>
        <w:t xml:space="preserve"> of </w:t>
      </w:r>
      <w:r w:rsidR="005A1F00">
        <w:rPr>
          <w:rFonts w:ascii="Times New Roman" w:hAnsi="Times New Roman" w:cs="Times New Roman"/>
          <w:sz w:val="24"/>
          <w:szCs w:val="24"/>
        </w:rPr>
        <w:t>an</w:t>
      </w:r>
      <w:r w:rsidR="006F25E3" w:rsidRPr="004C61EC">
        <w:rPr>
          <w:rFonts w:ascii="Times New Roman" w:hAnsi="Times New Roman" w:cs="Times New Roman"/>
          <w:sz w:val="24"/>
          <w:szCs w:val="24"/>
        </w:rPr>
        <w:t xml:space="preserve"> earlier draft Declaration </w:t>
      </w:r>
      <w:r w:rsidR="003B6C5C">
        <w:rPr>
          <w:rFonts w:ascii="Times New Roman" w:hAnsi="Times New Roman" w:cs="Times New Roman"/>
          <w:sz w:val="24"/>
          <w:szCs w:val="24"/>
        </w:rPr>
        <w:t>were</w:t>
      </w:r>
      <w:r w:rsidR="006F25E3" w:rsidRPr="004C61EC">
        <w:rPr>
          <w:rFonts w:ascii="Times New Roman" w:hAnsi="Times New Roman" w:cs="Times New Roman"/>
          <w:sz w:val="24"/>
          <w:szCs w:val="24"/>
        </w:rPr>
        <w:t xml:space="preserve"> </w:t>
      </w:r>
      <w:r w:rsidR="005A1F00">
        <w:rPr>
          <w:rFonts w:ascii="Times New Roman" w:hAnsi="Times New Roman" w:cs="Times New Roman"/>
          <w:sz w:val="24"/>
          <w:szCs w:val="24"/>
        </w:rPr>
        <w:t xml:space="preserve">omitted or </w:t>
      </w:r>
      <w:r w:rsidR="006F25E3" w:rsidRPr="004C61EC">
        <w:rPr>
          <w:rFonts w:ascii="Times New Roman" w:hAnsi="Times New Roman" w:cs="Times New Roman"/>
          <w:sz w:val="24"/>
          <w:szCs w:val="24"/>
        </w:rPr>
        <w:t xml:space="preserve">redrafted in the final text, the fact remains that </w:t>
      </w:r>
      <w:r w:rsidR="00925095">
        <w:rPr>
          <w:rFonts w:ascii="Times New Roman" w:hAnsi="Times New Roman" w:cs="Times New Roman"/>
          <w:sz w:val="24"/>
          <w:szCs w:val="24"/>
        </w:rPr>
        <w:t>several</w:t>
      </w:r>
      <w:r w:rsidR="006F25E3" w:rsidRPr="004C61EC">
        <w:rPr>
          <w:rFonts w:ascii="Times New Roman" w:hAnsi="Times New Roman" w:cs="Times New Roman"/>
          <w:sz w:val="24"/>
          <w:szCs w:val="24"/>
        </w:rPr>
        <w:t xml:space="preserve"> states </w:t>
      </w:r>
      <w:r w:rsidR="004C0488" w:rsidRPr="004C61EC">
        <w:rPr>
          <w:rFonts w:ascii="Times New Roman" w:hAnsi="Times New Roman" w:cs="Times New Roman"/>
          <w:sz w:val="24"/>
          <w:szCs w:val="24"/>
        </w:rPr>
        <w:t xml:space="preserve">have been insisting </w:t>
      </w:r>
      <w:r w:rsidR="006F25E3" w:rsidRPr="004C61EC">
        <w:rPr>
          <w:rFonts w:ascii="Times New Roman" w:hAnsi="Times New Roman" w:cs="Times New Roman"/>
          <w:sz w:val="24"/>
          <w:szCs w:val="24"/>
        </w:rPr>
        <w:t xml:space="preserve">that the Court </w:t>
      </w:r>
      <w:r w:rsidR="004C0488" w:rsidRPr="004C61EC">
        <w:rPr>
          <w:rFonts w:ascii="Times New Roman" w:hAnsi="Times New Roman" w:cs="Times New Roman"/>
          <w:sz w:val="24"/>
          <w:szCs w:val="24"/>
        </w:rPr>
        <w:t xml:space="preserve">should </w:t>
      </w:r>
      <w:r w:rsidR="006F25E3" w:rsidRPr="004C61EC">
        <w:rPr>
          <w:rFonts w:ascii="Times New Roman" w:hAnsi="Times New Roman" w:cs="Times New Roman"/>
          <w:sz w:val="24"/>
          <w:szCs w:val="24"/>
        </w:rPr>
        <w:t xml:space="preserve">rely more extensively on the notions of subsidiarity </w:t>
      </w:r>
      <w:r w:rsidR="00977E21" w:rsidRPr="004C61EC">
        <w:rPr>
          <w:rFonts w:ascii="Times New Roman" w:hAnsi="Times New Roman" w:cs="Times New Roman"/>
          <w:sz w:val="24"/>
          <w:szCs w:val="24"/>
        </w:rPr>
        <w:t>(</w:t>
      </w:r>
      <w:r w:rsidR="005A1F00">
        <w:rPr>
          <w:rFonts w:ascii="Times New Roman" w:hAnsi="Times New Roman" w:cs="Times New Roman"/>
          <w:sz w:val="24"/>
          <w:szCs w:val="24"/>
        </w:rPr>
        <w:t>perhaps</w:t>
      </w:r>
      <w:r w:rsidR="007C0F1A" w:rsidRPr="004C61EC">
        <w:rPr>
          <w:rFonts w:ascii="Times New Roman" w:hAnsi="Times New Roman" w:cs="Times New Roman"/>
          <w:sz w:val="24"/>
          <w:szCs w:val="24"/>
        </w:rPr>
        <w:t xml:space="preserve"> </w:t>
      </w:r>
      <w:r w:rsidR="00977E21" w:rsidRPr="004C61EC">
        <w:rPr>
          <w:rFonts w:ascii="Times New Roman" w:hAnsi="Times New Roman" w:cs="Times New Roman"/>
          <w:sz w:val="24"/>
          <w:szCs w:val="24"/>
        </w:rPr>
        <w:t>advancing a ‘state centric subsidiarity’</w:t>
      </w:r>
      <w:r w:rsidR="00977E21" w:rsidRPr="004C61EC">
        <w:rPr>
          <w:rStyle w:val="FootnoteReference"/>
          <w:rFonts w:cs="Times New Roman"/>
          <w:sz w:val="24"/>
          <w:szCs w:val="24"/>
        </w:rPr>
        <w:footnoteReference w:id="130"/>
      </w:r>
      <w:r w:rsidR="00977E21" w:rsidRPr="004C61EC">
        <w:rPr>
          <w:rFonts w:ascii="Times New Roman" w:hAnsi="Times New Roman" w:cs="Times New Roman"/>
          <w:sz w:val="24"/>
          <w:szCs w:val="24"/>
        </w:rPr>
        <w:t xml:space="preserve">) </w:t>
      </w:r>
      <w:r w:rsidR="006F25E3" w:rsidRPr="004C61EC">
        <w:rPr>
          <w:rFonts w:ascii="Times New Roman" w:hAnsi="Times New Roman" w:cs="Times New Roman"/>
          <w:sz w:val="24"/>
          <w:szCs w:val="24"/>
        </w:rPr>
        <w:t xml:space="preserve">and the margin of appreciation. </w:t>
      </w:r>
    </w:p>
    <w:p w14:paraId="49B32DAC" w14:textId="77777777" w:rsidR="001D5459" w:rsidRPr="004C61EC" w:rsidRDefault="001D5459" w:rsidP="001D5459">
      <w:pPr>
        <w:spacing w:line="360" w:lineRule="auto"/>
        <w:jc w:val="both"/>
        <w:rPr>
          <w:rFonts w:ascii="Times New Roman" w:hAnsi="Times New Roman" w:cs="Times New Roman"/>
          <w:sz w:val="24"/>
          <w:szCs w:val="24"/>
        </w:rPr>
      </w:pPr>
      <w:r w:rsidRPr="004C61EC">
        <w:rPr>
          <w:rFonts w:ascii="Times New Roman" w:hAnsi="Times New Roman" w:cs="Times New Roman"/>
          <w:sz w:val="24"/>
          <w:szCs w:val="24"/>
        </w:rPr>
        <w:t>Once the Court</w:t>
      </w:r>
      <w:r w:rsidR="00014968" w:rsidRPr="004C61EC">
        <w:rPr>
          <w:rFonts w:ascii="Times New Roman" w:hAnsi="Times New Roman" w:cs="Times New Roman"/>
          <w:sz w:val="24"/>
          <w:szCs w:val="24"/>
        </w:rPr>
        <w:t>’s general approach</w:t>
      </w:r>
      <w:r w:rsidRPr="004C61EC">
        <w:rPr>
          <w:rFonts w:ascii="Times New Roman" w:hAnsi="Times New Roman" w:cs="Times New Roman"/>
          <w:sz w:val="24"/>
          <w:szCs w:val="24"/>
        </w:rPr>
        <w:t xml:space="preserve"> with regard to consensus and the margin of appr</w:t>
      </w:r>
      <w:r w:rsidR="00014968" w:rsidRPr="004C61EC">
        <w:rPr>
          <w:rFonts w:ascii="Times New Roman" w:hAnsi="Times New Roman" w:cs="Times New Roman"/>
          <w:sz w:val="24"/>
          <w:szCs w:val="24"/>
        </w:rPr>
        <w:t>eciation has been presented</w:t>
      </w:r>
      <w:r w:rsidRPr="004C61EC">
        <w:rPr>
          <w:rFonts w:ascii="Times New Roman" w:hAnsi="Times New Roman" w:cs="Times New Roman"/>
          <w:sz w:val="24"/>
          <w:szCs w:val="24"/>
        </w:rPr>
        <w:t xml:space="preserve">, it is now appropriate to examine the legitimacy question. </w:t>
      </w:r>
    </w:p>
    <w:p w14:paraId="79EC0190" w14:textId="77777777" w:rsidR="001D5459" w:rsidRPr="004C61EC" w:rsidRDefault="001D5459" w:rsidP="001D5459">
      <w:pPr>
        <w:spacing w:line="360" w:lineRule="auto"/>
        <w:jc w:val="both"/>
        <w:rPr>
          <w:rFonts w:ascii="Times New Roman" w:hAnsi="Times New Roman" w:cs="Times New Roman"/>
          <w:b/>
          <w:sz w:val="24"/>
          <w:szCs w:val="24"/>
        </w:rPr>
      </w:pPr>
      <w:r w:rsidRPr="004C61EC">
        <w:rPr>
          <w:rFonts w:ascii="Times New Roman" w:hAnsi="Times New Roman" w:cs="Times New Roman"/>
          <w:b/>
          <w:sz w:val="24"/>
          <w:szCs w:val="24"/>
          <w:lang w:val="en-GB"/>
        </w:rPr>
        <w:t xml:space="preserve">The relationship between </w:t>
      </w:r>
      <w:r w:rsidRPr="004C61EC">
        <w:rPr>
          <w:rFonts w:ascii="Times New Roman" w:hAnsi="Times New Roman" w:cs="Times New Roman"/>
          <w:b/>
          <w:sz w:val="24"/>
          <w:szCs w:val="24"/>
        </w:rPr>
        <w:t>European consensus and the margin of appreciation in light of the multi-dimensional legitimacy of the Strasbourg Court</w:t>
      </w:r>
    </w:p>
    <w:p w14:paraId="6E04E899" w14:textId="77777777" w:rsidR="001D5459" w:rsidRPr="004C61EC" w:rsidRDefault="001D5459" w:rsidP="001D5459">
      <w:pPr>
        <w:spacing w:line="360" w:lineRule="auto"/>
        <w:jc w:val="both"/>
        <w:rPr>
          <w:rFonts w:ascii="Times New Roman" w:hAnsi="Times New Roman" w:cs="Times New Roman"/>
          <w:i/>
          <w:sz w:val="24"/>
          <w:szCs w:val="24"/>
        </w:rPr>
      </w:pPr>
      <w:r w:rsidRPr="004C61EC">
        <w:rPr>
          <w:rFonts w:ascii="Times New Roman" w:hAnsi="Times New Roman" w:cs="Times New Roman"/>
          <w:i/>
          <w:sz w:val="24"/>
          <w:szCs w:val="24"/>
        </w:rPr>
        <w:t>Why this relationship is linked with the legitimacy question</w:t>
      </w:r>
    </w:p>
    <w:p w14:paraId="4D5C1604" w14:textId="77777777" w:rsidR="001D5459" w:rsidRPr="004C61EC" w:rsidRDefault="00E54048" w:rsidP="001D5459">
      <w:pPr>
        <w:spacing w:line="360" w:lineRule="auto"/>
        <w:jc w:val="both"/>
        <w:rPr>
          <w:rFonts w:ascii="Times New Roman" w:hAnsi="Times New Roman" w:cs="Times New Roman"/>
          <w:sz w:val="24"/>
          <w:szCs w:val="24"/>
        </w:rPr>
      </w:pPr>
      <w:r w:rsidRPr="004C61EC">
        <w:rPr>
          <w:rFonts w:ascii="Times New Roman" w:hAnsi="Times New Roman" w:cs="Times New Roman"/>
          <w:sz w:val="24"/>
          <w:szCs w:val="24"/>
        </w:rPr>
        <w:t>A</w:t>
      </w:r>
      <w:r w:rsidR="001D5459" w:rsidRPr="004C61EC">
        <w:rPr>
          <w:rFonts w:ascii="Times New Roman" w:hAnsi="Times New Roman" w:cs="Times New Roman"/>
          <w:sz w:val="24"/>
          <w:szCs w:val="24"/>
        </w:rPr>
        <w:t xml:space="preserve">t least three reasons </w:t>
      </w:r>
      <w:r w:rsidRPr="004C61EC">
        <w:rPr>
          <w:rFonts w:ascii="Times New Roman" w:hAnsi="Times New Roman" w:cs="Times New Roman"/>
          <w:sz w:val="24"/>
          <w:szCs w:val="24"/>
        </w:rPr>
        <w:t xml:space="preserve">can be provided as to </w:t>
      </w:r>
      <w:r w:rsidR="001D5459" w:rsidRPr="004C61EC">
        <w:rPr>
          <w:rFonts w:ascii="Times New Roman" w:hAnsi="Times New Roman" w:cs="Times New Roman"/>
          <w:sz w:val="24"/>
          <w:szCs w:val="24"/>
        </w:rPr>
        <w:t>why the Court’s</w:t>
      </w:r>
      <w:r w:rsidRPr="004C61EC">
        <w:rPr>
          <w:rFonts w:ascii="Times New Roman" w:hAnsi="Times New Roman" w:cs="Times New Roman"/>
          <w:sz w:val="24"/>
          <w:szCs w:val="24"/>
        </w:rPr>
        <w:t xml:space="preserve"> approach with regard to the interplay between the two notions</w:t>
      </w:r>
      <w:r w:rsidR="001D5459" w:rsidRPr="004C61EC">
        <w:rPr>
          <w:rFonts w:ascii="Times New Roman" w:hAnsi="Times New Roman" w:cs="Times New Roman"/>
          <w:sz w:val="24"/>
          <w:szCs w:val="24"/>
        </w:rPr>
        <w:t xml:space="preserve"> is linked to the ongoing discussion on the ECtHR’s legitimacy. First, the methodology of international courts and tribunals contributes to the legitimi</w:t>
      </w:r>
      <w:r w:rsidR="00323095">
        <w:rPr>
          <w:rFonts w:ascii="Times New Roman" w:hAnsi="Times New Roman" w:cs="Times New Roman"/>
          <w:sz w:val="24"/>
          <w:szCs w:val="24"/>
        </w:rPr>
        <w:t>s</w:t>
      </w:r>
      <w:r w:rsidR="001D5459" w:rsidRPr="004C61EC">
        <w:rPr>
          <w:rFonts w:ascii="Times New Roman" w:hAnsi="Times New Roman" w:cs="Times New Roman"/>
          <w:sz w:val="24"/>
          <w:szCs w:val="24"/>
        </w:rPr>
        <w:t>ation of their judgments; this may also be termed as ‘procedural fairness’.</w:t>
      </w:r>
      <w:r w:rsidR="001D5459" w:rsidRPr="004C61EC">
        <w:rPr>
          <w:rFonts w:ascii="Times New Roman" w:hAnsi="Times New Roman" w:cs="Times New Roman"/>
          <w:sz w:val="24"/>
          <w:szCs w:val="24"/>
          <w:vertAlign w:val="superscript"/>
        </w:rPr>
        <w:footnoteReference w:id="131"/>
      </w:r>
      <w:r w:rsidR="001D5459" w:rsidRPr="004C61EC">
        <w:rPr>
          <w:rFonts w:ascii="Times New Roman" w:hAnsi="Times New Roman" w:cs="Times New Roman"/>
          <w:sz w:val="24"/>
          <w:szCs w:val="24"/>
        </w:rPr>
        <w:t xml:space="preserve"> The clearer the methodology, the more likely applicants </w:t>
      </w:r>
      <w:r w:rsidRPr="004C61EC">
        <w:rPr>
          <w:rFonts w:ascii="Times New Roman" w:hAnsi="Times New Roman" w:cs="Times New Roman"/>
          <w:sz w:val="24"/>
          <w:szCs w:val="24"/>
        </w:rPr>
        <w:t>will</w:t>
      </w:r>
      <w:r w:rsidR="001D5459" w:rsidRPr="004C61EC">
        <w:rPr>
          <w:rFonts w:ascii="Times New Roman" w:hAnsi="Times New Roman" w:cs="Times New Roman"/>
          <w:sz w:val="24"/>
          <w:szCs w:val="24"/>
        </w:rPr>
        <w:t xml:space="preserve"> trust the Court’s reasoning, and the more likely respondent states </w:t>
      </w:r>
      <w:r w:rsidRPr="004C61EC">
        <w:rPr>
          <w:rFonts w:ascii="Times New Roman" w:hAnsi="Times New Roman" w:cs="Times New Roman"/>
          <w:sz w:val="24"/>
          <w:szCs w:val="24"/>
        </w:rPr>
        <w:t>will</w:t>
      </w:r>
      <w:r w:rsidR="001D5459" w:rsidRPr="004C61EC">
        <w:rPr>
          <w:rFonts w:ascii="Times New Roman" w:hAnsi="Times New Roman" w:cs="Times New Roman"/>
          <w:sz w:val="24"/>
          <w:szCs w:val="24"/>
        </w:rPr>
        <w:t xml:space="preserve"> implement the Court’s </w:t>
      </w:r>
      <w:r w:rsidRPr="004C61EC">
        <w:rPr>
          <w:rFonts w:ascii="Times New Roman" w:hAnsi="Times New Roman" w:cs="Times New Roman"/>
          <w:sz w:val="24"/>
          <w:szCs w:val="24"/>
        </w:rPr>
        <w:t>judgments</w:t>
      </w:r>
      <w:r w:rsidR="001D5459" w:rsidRPr="004C61EC">
        <w:rPr>
          <w:rFonts w:ascii="Times New Roman" w:hAnsi="Times New Roman" w:cs="Times New Roman"/>
          <w:sz w:val="24"/>
          <w:szCs w:val="24"/>
        </w:rPr>
        <w:t xml:space="preserve">. Second, on the use of consensus as such, </w:t>
      </w:r>
      <w:r w:rsidRPr="004C61EC">
        <w:rPr>
          <w:rFonts w:ascii="Times New Roman" w:hAnsi="Times New Roman" w:cs="Times New Roman"/>
          <w:sz w:val="24"/>
          <w:szCs w:val="24"/>
        </w:rPr>
        <w:t>a question arises as to whether</w:t>
      </w:r>
      <w:r w:rsidR="001D5459" w:rsidRPr="004C61EC">
        <w:rPr>
          <w:rFonts w:ascii="Times New Roman" w:hAnsi="Times New Roman" w:cs="Times New Roman"/>
          <w:sz w:val="24"/>
          <w:szCs w:val="24"/>
        </w:rPr>
        <w:t xml:space="preserve"> it is appropriate for a counter-majoritarian institution to resort to consensus (</w:t>
      </w:r>
      <w:r w:rsidR="005A1F00">
        <w:rPr>
          <w:rFonts w:ascii="Times New Roman" w:hAnsi="Times New Roman" w:cs="Times New Roman"/>
          <w:sz w:val="24"/>
          <w:szCs w:val="24"/>
        </w:rPr>
        <w:t xml:space="preserve">which </w:t>
      </w:r>
      <w:r w:rsidR="001D5459" w:rsidRPr="004C61EC">
        <w:rPr>
          <w:rFonts w:ascii="Times New Roman" w:hAnsi="Times New Roman" w:cs="Times New Roman"/>
          <w:sz w:val="24"/>
          <w:szCs w:val="24"/>
        </w:rPr>
        <w:t>involv</w:t>
      </w:r>
      <w:r w:rsidR="005A1F00">
        <w:rPr>
          <w:rFonts w:ascii="Times New Roman" w:hAnsi="Times New Roman" w:cs="Times New Roman"/>
          <w:sz w:val="24"/>
          <w:szCs w:val="24"/>
        </w:rPr>
        <w:t>es</w:t>
      </w:r>
      <w:r w:rsidRPr="004C61EC">
        <w:rPr>
          <w:rFonts w:ascii="Times New Roman" w:hAnsi="Times New Roman" w:cs="Times New Roman"/>
          <w:sz w:val="24"/>
          <w:szCs w:val="24"/>
        </w:rPr>
        <w:t xml:space="preserve"> a</w:t>
      </w:r>
      <w:r w:rsidR="001D5459" w:rsidRPr="004C61EC">
        <w:rPr>
          <w:rFonts w:ascii="Times New Roman" w:hAnsi="Times New Roman" w:cs="Times New Roman"/>
          <w:sz w:val="24"/>
          <w:szCs w:val="24"/>
        </w:rPr>
        <w:t xml:space="preserve"> </w:t>
      </w:r>
      <w:r w:rsidRPr="004C61EC">
        <w:rPr>
          <w:rFonts w:ascii="Times New Roman" w:hAnsi="Times New Roman" w:cs="Times New Roman"/>
          <w:sz w:val="24"/>
          <w:szCs w:val="24"/>
        </w:rPr>
        <w:t>‘</w:t>
      </w:r>
      <w:r w:rsidR="001D5459" w:rsidRPr="004C61EC">
        <w:rPr>
          <w:rFonts w:ascii="Times New Roman" w:hAnsi="Times New Roman" w:cs="Times New Roman"/>
          <w:sz w:val="24"/>
          <w:szCs w:val="24"/>
        </w:rPr>
        <w:t>majoritarian dimension</w:t>
      </w:r>
      <w:r w:rsidRPr="004C61EC">
        <w:rPr>
          <w:rFonts w:ascii="Times New Roman" w:hAnsi="Times New Roman" w:cs="Times New Roman"/>
          <w:sz w:val="24"/>
          <w:szCs w:val="24"/>
        </w:rPr>
        <w:t>’) in order to</w:t>
      </w:r>
      <w:r w:rsidR="001D5459" w:rsidRPr="004C61EC">
        <w:rPr>
          <w:rFonts w:ascii="Times New Roman" w:hAnsi="Times New Roman" w:cs="Times New Roman"/>
          <w:sz w:val="24"/>
          <w:szCs w:val="24"/>
        </w:rPr>
        <w:t xml:space="preserve"> adjudicate on the permissible margin of appreciation. Third, </w:t>
      </w:r>
      <w:r w:rsidRPr="004C61EC">
        <w:rPr>
          <w:rFonts w:ascii="Times New Roman" w:hAnsi="Times New Roman" w:cs="Times New Roman"/>
          <w:sz w:val="24"/>
          <w:szCs w:val="24"/>
        </w:rPr>
        <w:t>t</w:t>
      </w:r>
      <w:r w:rsidR="001D5459" w:rsidRPr="004C61EC">
        <w:rPr>
          <w:rFonts w:ascii="Times New Roman" w:hAnsi="Times New Roman" w:cs="Times New Roman"/>
          <w:sz w:val="24"/>
          <w:szCs w:val="24"/>
        </w:rPr>
        <w:t>he scope of the use of the margin of appreciation by the ECtHR (which as we have seen is frequently, but not always, influenced by consensus) is relevant as that doctrine sometimes acts as a safeguard against judicial activism.</w:t>
      </w:r>
      <w:r w:rsidR="001D5459" w:rsidRPr="004C61EC">
        <w:rPr>
          <w:rFonts w:ascii="Times New Roman" w:hAnsi="Times New Roman" w:cs="Times New Roman"/>
          <w:sz w:val="24"/>
          <w:szCs w:val="24"/>
          <w:vertAlign w:val="superscript"/>
        </w:rPr>
        <w:footnoteReference w:id="132"/>
      </w:r>
      <w:r w:rsidR="001D5459" w:rsidRPr="004C61EC">
        <w:rPr>
          <w:rFonts w:ascii="Times New Roman" w:hAnsi="Times New Roman" w:cs="Times New Roman"/>
          <w:sz w:val="24"/>
          <w:szCs w:val="24"/>
        </w:rPr>
        <w:t xml:space="preserve"> </w:t>
      </w:r>
    </w:p>
    <w:p w14:paraId="60C56899" w14:textId="77777777" w:rsidR="001D5459" w:rsidRPr="004C61EC" w:rsidRDefault="001D5459" w:rsidP="001D5459">
      <w:pPr>
        <w:spacing w:line="360" w:lineRule="auto"/>
        <w:jc w:val="both"/>
        <w:rPr>
          <w:rFonts w:ascii="Times New Roman" w:hAnsi="Times New Roman" w:cs="Times New Roman"/>
          <w:i/>
          <w:sz w:val="24"/>
          <w:szCs w:val="24"/>
        </w:rPr>
      </w:pPr>
      <w:r w:rsidRPr="004C61EC">
        <w:rPr>
          <w:rFonts w:ascii="Times New Roman" w:hAnsi="Times New Roman" w:cs="Times New Roman"/>
          <w:i/>
          <w:sz w:val="24"/>
          <w:szCs w:val="24"/>
        </w:rPr>
        <w:t>Preliminary remarks about the legitimacy of international courts and tribunals</w:t>
      </w:r>
    </w:p>
    <w:p w14:paraId="104AAAEC" w14:textId="77777777" w:rsidR="001D5459" w:rsidRPr="004C61EC" w:rsidRDefault="001D5459" w:rsidP="001D5459">
      <w:pPr>
        <w:spacing w:line="360" w:lineRule="auto"/>
        <w:jc w:val="both"/>
        <w:rPr>
          <w:rFonts w:ascii="Times New Roman" w:hAnsi="Times New Roman" w:cs="Times New Roman"/>
          <w:sz w:val="24"/>
          <w:szCs w:val="24"/>
        </w:rPr>
      </w:pPr>
      <w:r w:rsidRPr="004C61EC">
        <w:rPr>
          <w:rFonts w:ascii="Times New Roman" w:hAnsi="Times New Roman" w:cs="Times New Roman"/>
          <w:sz w:val="24"/>
          <w:szCs w:val="24"/>
        </w:rPr>
        <w:t>Judges sitting at international courts or tribunals are generally not elected; their legitimacy,</w:t>
      </w:r>
      <w:r w:rsidRPr="004C61EC">
        <w:rPr>
          <w:rFonts w:ascii="Times New Roman" w:hAnsi="Times New Roman" w:cs="Times New Roman"/>
          <w:sz w:val="24"/>
          <w:szCs w:val="24"/>
          <w:vertAlign w:val="superscript"/>
        </w:rPr>
        <w:footnoteReference w:id="133"/>
      </w:r>
      <w:r w:rsidRPr="004C61EC">
        <w:rPr>
          <w:rFonts w:ascii="Times New Roman" w:hAnsi="Times New Roman" w:cs="Times New Roman"/>
          <w:sz w:val="24"/>
          <w:szCs w:val="24"/>
        </w:rPr>
        <w:t xml:space="preserve"> therefore, cannot stem from the regular domestic electoral process. As a parenthetical observation, it is noted that the same generally holds for national judges (with some exceptions, such as judges in </w:t>
      </w:r>
      <w:r w:rsidR="00777980">
        <w:rPr>
          <w:rFonts w:ascii="Times New Roman" w:hAnsi="Times New Roman" w:cs="Times New Roman"/>
          <w:sz w:val="24"/>
          <w:szCs w:val="24"/>
        </w:rPr>
        <w:t>several</w:t>
      </w:r>
      <w:r w:rsidRPr="004C61EC">
        <w:rPr>
          <w:rFonts w:ascii="Times New Roman" w:hAnsi="Times New Roman" w:cs="Times New Roman"/>
          <w:sz w:val="24"/>
          <w:szCs w:val="24"/>
        </w:rPr>
        <w:t xml:space="preserve"> US states), and therefore there is nothing particularly extraordinary about this situation. Regardless, state consent cannot but constitute the starting point when searching for legitimacy.</w:t>
      </w:r>
      <w:r w:rsidRPr="004C61EC">
        <w:rPr>
          <w:rFonts w:ascii="Times New Roman" w:hAnsi="Times New Roman" w:cs="Times New Roman"/>
          <w:sz w:val="24"/>
          <w:szCs w:val="24"/>
          <w:vertAlign w:val="superscript"/>
        </w:rPr>
        <w:footnoteReference w:id="134"/>
      </w:r>
      <w:r w:rsidRPr="004C61EC">
        <w:rPr>
          <w:rFonts w:ascii="Times New Roman" w:hAnsi="Times New Roman" w:cs="Times New Roman"/>
          <w:sz w:val="24"/>
          <w:szCs w:val="24"/>
        </w:rPr>
        <w:t xml:space="preserve"> However, it is generally accepted that because of their influence (international courts do not simply affect the litigants in a specific case, but ‘shape the obligations of states prospectively’, while impacting non-state actors as well), the ‘normative legitimacy’ of such courts should be further substantiated.</w:t>
      </w:r>
      <w:r w:rsidRPr="004C61EC">
        <w:rPr>
          <w:rFonts w:ascii="Times New Roman" w:hAnsi="Times New Roman" w:cs="Times New Roman"/>
          <w:sz w:val="24"/>
          <w:szCs w:val="24"/>
          <w:vertAlign w:val="superscript"/>
        </w:rPr>
        <w:footnoteReference w:id="135"/>
      </w:r>
      <w:r w:rsidRPr="004C61EC">
        <w:rPr>
          <w:rFonts w:ascii="Times New Roman" w:hAnsi="Times New Roman" w:cs="Times New Roman"/>
          <w:sz w:val="24"/>
          <w:szCs w:val="24"/>
        </w:rPr>
        <w:t xml:space="preserve"> Accordingly, given that international courts perform functions which go beyond dispute settlement (namely they ‘stabilize normative expectations’, ‘develop normative expectations and thus make law’ and ‘control and legitimate the authority exercised by others’), state consent has to be complemented with ‘other legitimatory resources’.</w:t>
      </w:r>
      <w:r w:rsidRPr="004C61EC">
        <w:rPr>
          <w:rFonts w:ascii="Times New Roman" w:hAnsi="Times New Roman" w:cs="Times New Roman"/>
          <w:sz w:val="24"/>
          <w:szCs w:val="24"/>
          <w:vertAlign w:val="superscript"/>
        </w:rPr>
        <w:footnoteReference w:id="136"/>
      </w:r>
      <w:r w:rsidR="00E54048" w:rsidRPr="004C61EC">
        <w:rPr>
          <w:rFonts w:ascii="Times New Roman" w:hAnsi="Times New Roman" w:cs="Times New Roman"/>
          <w:sz w:val="24"/>
          <w:szCs w:val="24"/>
        </w:rPr>
        <w:t xml:space="preserve"> T</w:t>
      </w:r>
      <w:r w:rsidRPr="004C61EC">
        <w:rPr>
          <w:rFonts w:ascii="Times New Roman" w:hAnsi="Times New Roman" w:cs="Times New Roman"/>
          <w:sz w:val="24"/>
          <w:szCs w:val="24"/>
        </w:rPr>
        <w:t xml:space="preserve">he emergence of human rights norms at the regional or </w:t>
      </w:r>
      <w:r w:rsidR="00E54048" w:rsidRPr="004C61EC">
        <w:rPr>
          <w:rFonts w:ascii="Times New Roman" w:hAnsi="Times New Roman" w:cs="Times New Roman"/>
          <w:sz w:val="24"/>
          <w:szCs w:val="24"/>
        </w:rPr>
        <w:t>international</w:t>
      </w:r>
      <w:r w:rsidRPr="004C61EC">
        <w:rPr>
          <w:rFonts w:ascii="Times New Roman" w:hAnsi="Times New Roman" w:cs="Times New Roman"/>
          <w:sz w:val="24"/>
          <w:szCs w:val="24"/>
        </w:rPr>
        <w:t xml:space="preserve"> level evidence the transformation of traditional understandings of sovereignty, if not the </w:t>
      </w:r>
      <w:r w:rsidR="00646C30" w:rsidRPr="004C61EC">
        <w:rPr>
          <w:rFonts w:ascii="Times New Roman" w:hAnsi="Times New Roman" w:cs="Times New Roman"/>
          <w:sz w:val="24"/>
          <w:szCs w:val="24"/>
        </w:rPr>
        <w:t>challenges that</w:t>
      </w:r>
      <w:r w:rsidRPr="004C61EC">
        <w:rPr>
          <w:rFonts w:ascii="Times New Roman" w:hAnsi="Times New Roman" w:cs="Times New Roman"/>
          <w:sz w:val="24"/>
          <w:szCs w:val="24"/>
        </w:rPr>
        <w:t xml:space="preserve"> domestic orders </w:t>
      </w:r>
      <w:r w:rsidR="00646C30" w:rsidRPr="004C61EC">
        <w:rPr>
          <w:rFonts w:ascii="Times New Roman" w:hAnsi="Times New Roman" w:cs="Times New Roman"/>
          <w:sz w:val="24"/>
          <w:szCs w:val="24"/>
        </w:rPr>
        <w:t xml:space="preserve">face in order </w:t>
      </w:r>
      <w:r w:rsidRPr="004C61EC">
        <w:rPr>
          <w:rFonts w:ascii="Times New Roman" w:hAnsi="Times New Roman" w:cs="Times New Roman"/>
          <w:sz w:val="24"/>
          <w:szCs w:val="24"/>
        </w:rPr>
        <w:t>to provide solutions to persistent, yet interdependent, problems. In this sense, Alter rightly points out that international courts ‘can contribute to accountability in domestic and international politics, which is part of the project of making international law democratically legitimate’.</w:t>
      </w:r>
      <w:r w:rsidRPr="004C61EC">
        <w:rPr>
          <w:rFonts w:ascii="Times New Roman" w:hAnsi="Times New Roman" w:cs="Times New Roman"/>
          <w:sz w:val="24"/>
          <w:szCs w:val="24"/>
          <w:vertAlign w:val="superscript"/>
        </w:rPr>
        <w:footnoteReference w:id="137"/>
      </w:r>
      <w:r w:rsidRPr="004C61EC">
        <w:rPr>
          <w:rFonts w:ascii="Times New Roman" w:hAnsi="Times New Roman" w:cs="Times New Roman"/>
          <w:sz w:val="24"/>
          <w:szCs w:val="24"/>
        </w:rPr>
        <w:t xml:space="preserve"> Adding to this perhaps, Donald and Leach observe that a ‘widely acknowledged justification for international human rights bodies is the need to provide an external safety mechanism given the inevitability that even well-functioning democracies make mistakes’; thus, ‘judicial review provides an external corrective to, rather than a substitute for, domestic deliberation’.</w:t>
      </w:r>
      <w:r w:rsidRPr="004C61EC">
        <w:rPr>
          <w:rFonts w:ascii="Times New Roman" w:hAnsi="Times New Roman" w:cs="Times New Roman"/>
          <w:sz w:val="24"/>
          <w:szCs w:val="24"/>
          <w:vertAlign w:val="superscript"/>
        </w:rPr>
        <w:footnoteReference w:id="138"/>
      </w:r>
      <w:r w:rsidRPr="004C61EC">
        <w:rPr>
          <w:rFonts w:ascii="Times New Roman" w:hAnsi="Times New Roman" w:cs="Times New Roman"/>
          <w:sz w:val="24"/>
          <w:szCs w:val="24"/>
        </w:rPr>
        <w:t xml:space="preserve"> That being said, if international courts are viewed as ‘policy instruments’, then it is easier to explain the fact that courts do depend on social legitimacy for implementation: ‘non-compliance with the law is certainly not the goal, but it can be a way to allow for democratic choice to trump international law compliance’.</w:t>
      </w:r>
      <w:r w:rsidRPr="004C61EC">
        <w:rPr>
          <w:rFonts w:ascii="Times New Roman" w:hAnsi="Times New Roman" w:cs="Times New Roman"/>
          <w:sz w:val="24"/>
          <w:szCs w:val="24"/>
          <w:vertAlign w:val="superscript"/>
        </w:rPr>
        <w:footnoteReference w:id="139"/>
      </w:r>
      <w:r w:rsidRPr="004C61EC">
        <w:rPr>
          <w:rFonts w:ascii="Times New Roman" w:hAnsi="Times New Roman" w:cs="Times New Roman"/>
          <w:sz w:val="24"/>
          <w:szCs w:val="24"/>
        </w:rPr>
        <w:t xml:space="preserve"> Thus, on the one hand, the legitimacy of international human rights courts vis-à-vis </w:t>
      </w:r>
      <w:r w:rsidRPr="004C61EC">
        <w:rPr>
          <w:rFonts w:ascii="Times New Roman" w:hAnsi="Times New Roman" w:cs="Times New Roman"/>
          <w:i/>
          <w:sz w:val="24"/>
          <w:szCs w:val="24"/>
        </w:rPr>
        <w:t>the people</w:t>
      </w:r>
      <w:r w:rsidRPr="004C61EC">
        <w:rPr>
          <w:rFonts w:ascii="Times New Roman" w:hAnsi="Times New Roman" w:cs="Times New Roman"/>
          <w:sz w:val="24"/>
          <w:szCs w:val="24"/>
        </w:rPr>
        <w:t xml:space="preserve"> also resides in their power to generate a ‘generalizable interest’ on the basis of a specific case; potentially, their judgments could ‘protect individuals everywhere and in any part of the world’.</w:t>
      </w:r>
      <w:r w:rsidRPr="004C61EC">
        <w:rPr>
          <w:rFonts w:ascii="Times New Roman" w:hAnsi="Times New Roman" w:cs="Times New Roman"/>
          <w:sz w:val="24"/>
          <w:szCs w:val="24"/>
          <w:vertAlign w:val="superscript"/>
        </w:rPr>
        <w:footnoteReference w:id="140"/>
      </w:r>
      <w:r w:rsidRPr="004C61EC">
        <w:rPr>
          <w:rFonts w:ascii="Times New Roman" w:hAnsi="Times New Roman" w:cs="Times New Roman"/>
          <w:sz w:val="24"/>
          <w:szCs w:val="24"/>
        </w:rPr>
        <w:t xml:space="preserve"> On the other, ‘the absence of directly representative institutions on the transnational level and the difficulty of establishing a meaningful electoral process on the global level is one of the reasons why the principle of subsidiarity has greater weight when assessing institutional decision-making beyond the state’.</w:t>
      </w:r>
      <w:r w:rsidRPr="004C61EC">
        <w:rPr>
          <w:rFonts w:ascii="Times New Roman" w:hAnsi="Times New Roman" w:cs="Times New Roman"/>
          <w:sz w:val="24"/>
          <w:szCs w:val="24"/>
          <w:vertAlign w:val="superscript"/>
        </w:rPr>
        <w:footnoteReference w:id="141"/>
      </w:r>
    </w:p>
    <w:p w14:paraId="1B8BE472" w14:textId="77777777" w:rsidR="001D5459" w:rsidRPr="004C61EC" w:rsidRDefault="001D5459" w:rsidP="001D5459">
      <w:pPr>
        <w:spacing w:line="360" w:lineRule="auto"/>
        <w:jc w:val="both"/>
        <w:rPr>
          <w:rFonts w:ascii="Times New Roman" w:hAnsi="Times New Roman" w:cs="Times New Roman"/>
          <w:sz w:val="24"/>
          <w:szCs w:val="24"/>
        </w:rPr>
      </w:pPr>
      <w:r w:rsidRPr="004C61EC">
        <w:rPr>
          <w:rFonts w:ascii="Times New Roman" w:hAnsi="Times New Roman" w:cs="Times New Roman"/>
          <w:sz w:val="24"/>
          <w:szCs w:val="24"/>
        </w:rPr>
        <w:t xml:space="preserve">For international courts, legitimacy becomes more challenging </w:t>
      </w:r>
      <w:r w:rsidRPr="004C61EC">
        <w:rPr>
          <w:rFonts w:ascii="Times New Roman" w:hAnsi="Times New Roman" w:cs="Times New Roman"/>
          <w:i/>
          <w:sz w:val="24"/>
          <w:szCs w:val="24"/>
        </w:rPr>
        <w:t>inter alia</w:t>
      </w:r>
      <w:r w:rsidRPr="004C61EC">
        <w:rPr>
          <w:rFonts w:ascii="Times New Roman" w:hAnsi="Times New Roman" w:cs="Times New Roman"/>
          <w:sz w:val="24"/>
          <w:szCs w:val="24"/>
        </w:rPr>
        <w:t xml:space="preserve"> since their judges ‘are  less  subject  to  peer  pressure  and  less  steeped  in  a domestic judicial culture’, ‘and also because [a]buse of judicial power is more likely when legislation is more indeterminate’ – as it can be with an international treaty.</w:t>
      </w:r>
      <w:r w:rsidRPr="004C61EC">
        <w:rPr>
          <w:rFonts w:ascii="Times New Roman" w:hAnsi="Times New Roman" w:cs="Times New Roman"/>
          <w:sz w:val="24"/>
          <w:szCs w:val="24"/>
          <w:vertAlign w:val="superscript"/>
        </w:rPr>
        <w:footnoteReference w:id="142"/>
      </w:r>
      <w:r w:rsidRPr="004C61EC">
        <w:rPr>
          <w:rFonts w:ascii="Times New Roman" w:hAnsi="Times New Roman" w:cs="Times New Roman"/>
          <w:sz w:val="24"/>
          <w:szCs w:val="24"/>
        </w:rPr>
        <w:t xml:space="preserve"> Simultaneously, international courts perform two functions closely associated with the rule of law, a ‘central standard of legitimacy’: they ‘enhance </w:t>
      </w:r>
      <w:r w:rsidRPr="004C61EC">
        <w:rPr>
          <w:rFonts w:ascii="Times New Roman" w:hAnsi="Times New Roman" w:cs="Times New Roman"/>
          <w:i/>
          <w:sz w:val="24"/>
          <w:szCs w:val="24"/>
        </w:rPr>
        <w:t>non-domination</w:t>
      </w:r>
      <w:r w:rsidRPr="004C61EC">
        <w:rPr>
          <w:rFonts w:ascii="Times New Roman" w:hAnsi="Times New Roman" w:cs="Times New Roman"/>
          <w:sz w:val="24"/>
          <w:szCs w:val="24"/>
        </w:rPr>
        <w:t xml:space="preserve"> by guarantees and protections of individuals against infringements by their state’, and they ‘increase </w:t>
      </w:r>
      <w:r w:rsidRPr="004C61EC">
        <w:rPr>
          <w:rFonts w:ascii="Times New Roman" w:hAnsi="Times New Roman" w:cs="Times New Roman"/>
          <w:i/>
          <w:sz w:val="24"/>
          <w:szCs w:val="24"/>
        </w:rPr>
        <w:t>predictability</w:t>
      </w:r>
      <w:r w:rsidRPr="004C61EC">
        <w:rPr>
          <w:rFonts w:ascii="Times New Roman" w:hAnsi="Times New Roman" w:cs="Times New Roman"/>
          <w:sz w:val="24"/>
          <w:szCs w:val="24"/>
        </w:rPr>
        <w:t>’, which enables individuals ‘to make longer term plans in pursuit of [their] various interests’.</w:t>
      </w:r>
      <w:r w:rsidRPr="004C61EC">
        <w:rPr>
          <w:rFonts w:ascii="Times New Roman" w:hAnsi="Times New Roman" w:cs="Times New Roman"/>
          <w:sz w:val="24"/>
          <w:szCs w:val="24"/>
          <w:vertAlign w:val="superscript"/>
        </w:rPr>
        <w:footnoteReference w:id="143"/>
      </w:r>
    </w:p>
    <w:p w14:paraId="60C7B28B" w14:textId="77777777" w:rsidR="001D5459" w:rsidRPr="004C61EC" w:rsidRDefault="001D5459" w:rsidP="001D5459">
      <w:pPr>
        <w:spacing w:line="360" w:lineRule="auto"/>
        <w:jc w:val="both"/>
        <w:rPr>
          <w:rFonts w:ascii="Times New Roman" w:hAnsi="Times New Roman" w:cs="Times New Roman"/>
          <w:i/>
          <w:sz w:val="24"/>
          <w:szCs w:val="24"/>
        </w:rPr>
      </w:pPr>
      <w:r w:rsidRPr="004C61EC">
        <w:rPr>
          <w:rFonts w:ascii="Times New Roman" w:hAnsi="Times New Roman" w:cs="Times New Roman"/>
          <w:i/>
          <w:sz w:val="24"/>
          <w:szCs w:val="24"/>
        </w:rPr>
        <w:t xml:space="preserve">How the </w:t>
      </w:r>
      <w:r w:rsidR="00AE05F7" w:rsidRPr="004C61EC">
        <w:rPr>
          <w:rFonts w:ascii="Times New Roman" w:hAnsi="Times New Roman" w:cs="Times New Roman"/>
          <w:i/>
          <w:sz w:val="24"/>
          <w:szCs w:val="24"/>
        </w:rPr>
        <w:t xml:space="preserve">broader </w:t>
      </w:r>
      <w:r w:rsidRPr="004C61EC">
        <w:rPr>
          <w:rFonts w:ascii="Times New Roman" w:hAnsi="Times New Roman" w:cs="Times New Roman"/>
          <w:i/>
          <w:sz w:val="24"/>
          <w:szCs w:val="24"/>
        </w:rPr>
        <w:t xml:space="preserve">use of consensus by the Strasbourg Court </w:t>
      </w:r>
      <w:r w:rsidR="009107CD">
        <w:rPr>
          <w:rFonts w:ascii="Times New Roman" w:hAnsi="Times New Roman" w:cs="Times New Roman"/>
          <w:i/>
          <w:sz w:val="24"/>
          <w:szCs w:val="24"/>
        </w:rPr>
        <w:t>supports</w:t>
      </w:r>
      <w:r w:rsidRPr="004C61EC">
        <w:rPr>
          <w:rFonts w:ascii="Times New Roman" w:hAnsi="Times New Roman" w:cs="Times New Roman"/>
          <w:i/>
          <w:sz w:val="24"/>
          <w:szCs w:val="24"/>
        </w:rPr>
        <w:t xml:space="preserve"> its multi-dimensional legitimacy</w:t>
      </w:r>
    </w:p>
    <w:p w14:paraId="6819631F" w14:textId="77777777" w:rsidR="001D5459" w:rsidRPr="004C61EC" w:rsidRDefault="001D5459" w:rsidP="001D5459">
      <w:pPr>
        <w:spacing w:line="360" w:lineRule="auto"/>
        <w:jc w:val="both"/>
        <w:rPr>
          <w:rFonts w:ascii="Times New Roman" w:hAnsi="Times New Roman" w:cs="Times New Roman"/>
          <w:sz w:val="24"/>
          <w:szCs w:val="24"/>
        </w:rPr>
      </w:pPr>
      <w:r w:rsidRPr="00080AB7">
        <w:rPr>
          <w:rFonts w:ascii="Times New Roman" w:hAnsi="Times New Roman" w:cs="Times New Roman"/>
          <w:sz w:val="24"/>
          <w:szCs w:val="24"/>
        </w:rPr>
        <w:t xml:space="preserve">Much of what was said about the legitimacy of the international courts and tribunals also </w:t>
      </w:r>
      <w:r w:rsidRPr="004C61EC">
        <w:rPr>
          <w:rFonts w:ascii="Times New Roman" w:hAnsi="Times New Roman" w:cs="Times New Roman"/>
          <w:sz w:val="24"/>
          <w:szCs w:val="24"/>
        </w:rPr>
        <w:t>applies to the Strasbourg Court. However, o</w:t>
      </w:r>
      <w:r w:rsidR="00553C5C" w:rsidRPr="004C61EC">
        <w:rPr>
          <w:rFonts w:ascii="Times New Roman" w:hAnsi="Times New Roman" w:cs="Times New Roman"/>
          <w:sz w:val="24"/>
          <w:szCs w:val="24"/>
        </w:rPr>
        <w:t>wing to the Convention’s particular</w:t>
      </w:r>
      <w:r w:rsidRPr="004C61EC">
        <w:rPr>
          <w:rFonts w:ascii="Times New Roman" w:hAnsi="Times New Roman" w:cs="Times New Roman"/>
          <w:sz w:val="24"/>
          <w:szCs w:val="24"/>
        </w:rPr>
        <w:t xml:space="preserve"> </w:t>
      </w:r>
      <w:r w:rsidR="00553C5C" w:rsidRPr="004C61EC">
        <w:rPr>
          <w:rFonts w:ascii="Times New Roman" w:hAnsi="Times New Roman" w:cs="Times New Roman"/>
          <w:sz w:val="24"/>
          <w:szCs w:val="24"/>
        </w:rPr>
        <w:t>features, including the right of</w:t>
      </w:r>
      <w:r w:rsidRPr="004C61EC">
        <w:rPr>
          <w:rFonts w:ascii="Times New Roman" w:hAnsi="Times New Roman" w:cs="Times New Roman"/>
          <w:sz w:val="24"/>
          <w:szCs w:val="24"/>
        </w:rPr>
        <w:t xml:space="preserve"> ind</w:t>
      </w:r>
      <w:r w:rsidR="00553C5C" w:rsidRPr="004C61EC">
        <w:rPr>
          <w:rFonts w:ascii="Times New Roman" w:hAnsi="Times New Roman" w:cs="Times New Roman"/>
          <w:sz w:val="24"/>
          <w:szCs w:val="24"/>
        </w:rPr>
        <w:t>ividual application, the procedure</w:t>
      </w:r>
      <w:r w:rsidRPr="004C61EC">
        <w:rPr>
          <w:rFonts w:ascii="Times New Roman" w:hAnsi="Times New Roman" w:cs="Times New Roman"/>
          <w:sz w:val="24"/>
          <w:szCs w:val="24"/>
        </w:rPr>
        <w:t xml:space="preserve"> of appointment of </w:t>
      </w:r>
      <w:r w:rsidR="00553C5C" w:rsidRPr="004C61EC">
        <w:rPr>
          <w:rFonts w:ascii="Times New Roman" w:hAnsi="Times New Roman" w:cs="Times New Roman"/>
          <w:sz w:val="24"/>
          <w:szCs w:val="24"/>
        </w:rPr>
        <w:t xml:space="preserve">the ECtHR’s </w:t>
      </w:r>
      <w:r w:rsidRPr="004C61EC">
        <w:rPr>
          <w:rFonts w:ascii="Times New Roman" w:hAnsi="Times New Roman" w:cs="Times New Roman"/>
          <w:sz w:val="24"/>
          <w:szCs w:val="24"/>
        </w:rPr>
        <w:t>judges, the Court’s method of adjudication, and subsidiarity</w:t>
      </w:r>
      <w:r w:rsidR="00553C5C" w:rsidRPr="004C61EC">
        <w:rPr>
          <w:rFonts w:ascii="Times New Roman" w:hAnsi="Times New Roman" w:cs="Times New Roman"/>
          <w:sz w:val="24"/>
          <w:szCs w:val="24"/>
        </w:rPr>
        <w:t xml:space="preserve"> as manifested in the Convention,</w:t>
      </w:r>
      <w:r w:rsidRPr="004C61EC">
        <w:rPr>
          <w:rFonts w:ascii="Times New Roman" w:hAnsi="Times New Roman" w:cs="Times New Roman"/>
          <w:sz w:val="24"/>
          <w:szCs w:val="24"/>
        </w:rPr>
        <w:t xml:space="preserve"> it is </w:t>
      </w:r>
      <w:r w:rsidR="00553C5C" w:rsidRPr="004C61EC">
        <w:rPr>
          <w:rFonts w:ascii="Times New Roman" w:hAnsi="Times New Roman" w:cs="Times New Roman"/>
          <w:sz w:val="24"/>
          <w:szCs w:val="24"/>
        </w:rPr>
        <w:t>necessary</w:t>
      </w:r>
      <w:r w:rsidRPr="004C61EC">
        <w:rPr>
          <w:rFonts w:ascii="Times New Roman" w:hAnsi="Times New Roman" w:cs="Times New Roman"/>
          <w:sz w:val="24"/>
          <w:szCs w:val="24"/>
        </w:rPr>
        <w:t xml:space="preserve"> to examine the legitimacy of the ECtHR</w:t>
      </w:r>
      <w:r w:rsidR="00553C5C" w:rsidRPr="004C61EC">
        <w:rPr>
          <w:rFonts w:ascii="Times New Roman" w:hAnsi="Times New Roman" w:cs="Times New Roman"/>
          <w:sz w:val="24"/>
          <w:szCs w:val="24"/>
        </w:rPr>
        <w:t xml:space="preserve"> separately</w:t>
      </w:r>
      <w:r w:rsidRPr="004C61EC">
        <w:rPr>
          <w:rFonts w:ascii="Times New Roman" w:hAnsi="Times New Roman" w:cs="Times New Roman"/>
          <w:sz w:val="24"/>
          <w:szCs w:val="24"/>
        </w:rPr>
        <w:t xml:space="preserve">. From </w:t>
      </w:r>
      <w:r w:rsidR="00553C5C" w:rsidRPr="004C61EC">
        <w:rPr>
          <w:rFonts w:ascii="Times New Roman" w:hAnsi="Times New Roman" w:cs="Times New Roman"/>
          <w:sz w:val="24"/>
          <w:szCs w:val="24"/>
        </w:rPr>
        <w:t>earlier sections it follows th</w:t>
      </w:r>
      <w:r w:rsidRPr="004C61EC">
        <w:rPr>
          <w:rFonts w:ascii="Times New Roman" w:hAnsi="Times New Roman" w:cs="Times New Roman"/>
          <w:sz w:val="24"/>
          <w:szCs w:val="24"/>
        </w:rPr>
        <w:t xml:space="preserve">at even if the presence or lack of consensus may overlap with the Court’s decision on the margin of appreciation, this by no means entails that consensus was in all </w:t>
      </w:r>
      <w:r w:rsidR="00553C5C" w:rsidRPr="004C61EC">
        <w:rPr>
          <w:rFonts w:ascii="Times New Roman" w:hAnsi="Times New Roman" w:cs="Times New Roman"/>
          <w:sz w:val="24"/>
          <w:szCs w:val="24"/>
        </w:rPr>
        <w:t xml:space="preserve">of these </w:t>
      </w:r>
      <w:r w:rsidRPr="004C61EC">
        <w:rPr>
          <w:rFonts w:ascii="Times New Roman" w:hAnsi="Times New Roman" w:cs="Times New Roman"/>
          <w:sz w:val="24"/>
          <w:szCs w:val="24"/>
        </w:rPr>
        <w:t>cases the decisive factor upon which the Court based its decision. This can be explained if European consensus is exami</w:t>
      </w:r>
      <w:r w:rsidR="00553C5C" w:rsidRPr="004C61EC">
        <w:rPr>
          <w:rFonts w:ascii="Times New Roman" w:hAnsi="Times New Roman" w:cs="Times New Roman"/>
          <w:sz w:val="24"/>
          <w:szCs w:val="24"/>
        </w:rPr>
        <w:t xml:space="preserve">ned in light of the </w:t>
      </w:r>
      <w:r w:rsidRPr="004C61EC">
        <w:rPr>
          <w:rFonts w:ascii="Times New Roman" w:hAnsi="Times New Roman" w:cs="Times New Roman"/>
          <w:sz w:val="24"/>
          <w:szCs w:val="24"/>
        </w:rPr>
        <w:t>legitimacy of the Strasbourg Court.</w:t>
      </w:r>
    </w:p>
    <w:p w14:paraId="30FC9A4B" w14:textId="4B192933" w:rsidR="001D5459" w:rsidRPr="004C61EC" w:rsidRDefault="00553C5C" w:rsidP="00D31159">
      <w:pPr>
        <w:spacing w:line="360" w:lineRule="auto"/>
        <w:jc w:val="both"/>
        <w:rPr>
          <w:rFonts w:ascii="Times New Roman" w:hAnsi="Times New Roman" w:cs="Times New Roman"/>
          <w:sz w:val="24"/>
          <w:szCs w:val="24"/>
        </w:rPr>
      </w:pPr>
      <w:r w:rsidRPr="004C61EC">
        <w:rPr>
          <w:rFonts w:ascii="Times New Roman" w:hAnsi="Times New Roman" w:cs="Times New Roman"/>
          <w:sz w:val="24"/>
          <w:szCs w:val="24"/>
        </w:rPr>
        <w:t xml:space="preserve">Is </w:t>
      </w:r>
      <w:r w:rsidR="001D5459" w:rsidRPr="004C61EC">
        <w:rPr>
          <w:rFonts w:ascii="Times New Roman" w:hAnsi="Times New Roman" w:cs="Times New Roman"/>
          <w:sz w:val="24"/>
          <w:szCs w:val="24"/>
        </w:rPr>
        <w:t>European consensus the safest method to</w:t>
      </w:r>
      <w:r w:rsidRPr="004C61EC">
        <w:rPr>
          <w:rFonts w:ascii="Times New Roman" w:hAnsi="Times New Roman" w:cs="Times New Roman"/>
          <w:sz w:val="24"/>
          <w:szCs w:val="24"/>
        </w:rPr>
        <w:t xml:space="preserve"> adjudicate on borderline cases? Or should it be rejected altogether when the ECtHR decides when the respondent should be granted the margin of appreciation? The author</w:t>
      </w:r>
      <w:r w:rsidR="001D5459" w:rsidRPr="004C61EC">
        <w:rPr>
          <w:rFonts w:ascii="Times New Roman" w:hAnsi="Times New Roman" w:cs="Times New Roman"/>
          <w:sz w:val="24"/>
          <w:szCs w:val="24"/>
        </w:rPr>
        <w:t xml:space="preserve"> does not believe that consensus is the only legitimi</w:t>
      </w:r>
      <w:r w:rsidR="009C6286">
        <w:rPr>
          <w:rFonts w:ascii="Times New Roman" w:hAnsi="Times New Roman" w:cs="Times New Roman"/>
          <w:sz w:val="24"/>
          <w:szCs w:val="24"/>
        </w:rPr>
        <w:t>s</w:t>
      </w:r>
      <w:r w:rsidR="001D5459" w:rsidRPr="004C61EC">
        <w:rPr>
          <w:rFonts w:ascii="Times New Roman" w:hAnsi="Times New Roman" w:cs="Times New Roman"/>
          <w:sz w:val="24"/>
          <w:szCs w:val="24"/>
        </w:rPr>
        <w:t xml:space="preserve">ing factor that should determine the outcome of new, unsettled human rights questions. </w:t>
      </w:r>
      <w:r w:rsidRPr="004C61EC">
        <w:rPr>
          <w:rFonts w:ascii="Times New Roman" w:hAnsi="Times New Roman" w:cs="Times New Roman"/>
          <w:sz w:val="24"/>
          <w:szCs w:val="24"/>
        </w:rPr>
        <w:t>As such, c</w:t>
      </w:r>
      <w:r w:rsidR="001D5459" w:rsidRPr="004C61EC">
        <w:rPr>
          <w:rFonts w:ascii="Times New Roman" w:hAnsi="Times New Roman" w:cs="Times New Roman"/>
          <w:sz w:val="24"/>
          <w:szCs w:val="24"/>
        </w:rPr>
        <w:t xml:space="preserve">onsensus is </w:t>
      </w:r>
      <w:r w:rsidR="001D5459" w:rsidRPr="004C61EC">
        <w:rPr>
          <w:rFonts w:ascii="Times New Roman" w:hAnsi="Times New Roman" w:cs="Times New Roman"/>
          <w:i/>
          <w:sz w:val="24"/>
          <w:szCs w:val="24"/>
        </w:rPr>
        <w:t>neither irrelevant</w:t>
      </w:r>
      <w:r w:rsidR="001D5459" w:rsidRPr="004C61EC">
        <w:rPr>
          <w:rFonts w:ascii="Times New Roman" w:hAnsi="Times New Roman" w:cs="Times New Roman"/>
          <w:sz w:val="24"/>
          <w:szCs w:val="24"/>
        </w:rPr>
        <w:t xml:space="preserve"> nor </w:t>
      </w:r>
      <w:r w:rsidR="001D5459" w:rsidRPr="004C61EC">
        <w:rPr>
          <w:rFonts w:ascii="Times New Roman" w:hAnsi="Times New Roman" w:cs="Times New Roman"/>
          <w:i/>
          <w:sz w:val="24"/>
          <w:szCs w:val="24"/>
        </w:rPr>
        <w:t>the only factor</w:t>
      </w:r>
      <w:r w:rsidR="001D5459" w:rsidRPr="004C61EC">
        <w:rPr>
          <w:rFonts w:ascii="Times New Roman" w:hAnsi="Times New Roman" w:cs="Times New Roman"/>
          <w:sz w:val="24"/>
          <w:szCs w:val="24"/>
        </w:rPr>
        <w:t xml:space="preserve"> to be considered by </w:t>
      </w:r>
      <w:r w:rsidR="00961D5E" w:rsidRPr="004C61EC">
        <w:rPr>
          <w:rFonts w:ascii="Times New Roman" w:hAnsi="Times New Roman" w:cs="Times New Roman"/>
          <w:sz w:val="24"/>
          <w:szCs w:val="24"/>
        </w:rPr>
        <w:t>the Strasbourg Court. It is submitted that t</w:t>
      </w:r>
      <w:r w:rsidR="001D5459" w:rsidRPr="004C61EC">
        <w:rPr>
          <w:rFonts w:ascii="Times New Roman" w:hAnsi="Times New Roman" w:cs="Times New Roman"/>
          <w:sz w:val="24"/>
          <w:szCs w:val="24"/>
        </w:rPr>
        <w:t xml:space="preserve">he answer as to </w:t>
      </w:r>
      <w:r w:rsidR="001D5459" w:rsidRPr="004C61EC">
        <w:rPr>
          <w:rFonts w:ascii="Times New Roman" w:hAnsi="Times New Roman" w:cs="Times New Roman"/>
          <w:i/>
          <w:sz w:val="24"/>
          <w:szCs w:val="24"/>
        </w:rPr>
        <w:t>why</w:t>
      </w:r>
      <w:r w:rsidR="001D5459" w:rsidRPr="004C61EC">
        <w:rPr>
          <w:rFonts w:ascii="Times New Roman" w:hAnsi="Times New Roman" w:cs="Times New Roman"/>
          <w:sz w:val="24"/>
          <w:szCs w:val="24"/>
        </w:rPr>
        <w:t xml:space="preserve"> European consensus is </w:t>
      </w:r>
      <w:r w:rsidR="00961D5E" w:rsidRPr="004C61EC">
        <w:rPr>
          <w:rFonts w:ascii="Times New Roman" w:hAnsi="Times New Roman" w:cs="Times New Roman"/>
          <w:sz w:val="24"/>
          <w:szCs w:val="24"/>
        </w:rPr>
        <w:t xml:space="preserve">generally being </w:t>
      </w:r>
      <w:r w:rsidR="001D5459" w:rsidRPr="004C61EC">
        <w:rPr>
          <w:rFonts w:ascii="Times New Roman" w:hAnsi="Times New Roman" w:cs="Times New Roman"/>
          <w:sz w:val="24"/>
          <w:szCs w:val="24"/>
        </w:rPr>
        <w:t xml:space="preserve">used in the aforementioned way is </w:t>
      </w:r>
      <w:r w:rsidR="00080AB7">
        <w:rPr>
          <w:rFonts w:ascii="Times New Roman" w:hAnsi="Times New Roman" w:cs="Times New Roman"/>
          <w:sz w:val="24"/>
          <w:szCs w:val="24"/>
        </w:rPr>
        <w:t>because</w:t>
      </w:r>
      <w:r w:rsidR="001D5459" w:rsidRPr="004C61EC">
        <w:rPr>
          <w:rFonts w:ascii="Times New Roman" w:hAnsi="Times New Roman" w:cs="Times New Roman"/>
          <w:sz w:val="24"/>
          <w:szCs w:val="24"/>
        </w:rPr>
        <w:t xml:space="preserve"> the legitimacy of the ECtHR is multi-dimensional (a point explained in a moment), and therefore the Court cannot but deviate occasionally from the guidance provided by the comparative exercise, whilst simultaneously taking it into due consideration. </w:t>
      </w:r>
    </w:p>
    <w:p w14:paraId="65B7F6A7" w14:textId="77777777" w:rsidR="001D5459" w:rsidRPr="004C61EC" w:rsidRDefault="001D5459" w:rsidP="001D5459">
      <w:pPr>
        <w:spacing w:line="360" w:lineRule="auto"/>
        <w:jc w:val="both"/>
        <w:rPr>
          <w:rFonts w:ascii="Times New Roman" w:hAnsi="Times New Roman" w:cs="Times New Roman"/>
          <w:sz w:val="24"/>
          <w:szCs w:val="24"/>
        </w:rPr>
      </w:pPr>
      <w:r w:rsidRPr="004C61EC">
        <w:rPr>
          <w:rFonts w:ascii="Times New Roman" w:hAnsi="Times New Roman" w:cs="Times New Roman"/>
          <w:sz w:val="24"/>
          <w:szCs w:val="24"/>
        </w:rPr>
        <w:t xml:space="preserve">Although answering the enquiry as to </w:t>
      </w:r>
      <w:r w:rsidRPr="004C61EC">
        <w:rPr>
          <w:rFonts w:ascii="Times New Roman" w:hAnsi="Times New Roman" w:cs="Times New Roman"/>
          <w:i/>
          <w:sz w:val="24"/>
          <w:szCs w:val="24"/>
        </w:rPr>
        <w:t>when</w:t>
      </w:r>
      <w:r w:rsidRPr="004C61EC">
        <w:rPr>
          <w:rFonts w:ascii="Times New Roman" w:hAnsi="Times New Roman" w:cs="Times New Roman"/>
          <w:sz w:val="24"/>
          <w:szCs w:val="24"/>
        </w:rPr>
        <w:t xml:space="preserve"> European consensus </w:t>
      </w:r>
      <w:r w:rsidRPr="004C61EC">
        <w:rPr>
          <w:rFonts w:ascii="Times New Roman" w:hAnsi="Times New Roman" w:cs="Times New Roman"/>
          <w:i/>
          <w:sz w:val="24"/>
          <w:szCs w:val="24"/>
        </w:rPr>
        <w:t>should be used</w:t>
      </w:r>
      <w:r w:rsidRPr="004C61EC">
        <w:rPr>
          <w:rFonts w:ascii="Times New Roman" w:hAnsi="Times New Roman" w:cs="Times New Roman"/>
          <w:sz w:val="24"/>
          <w:szCs w:val="24"/>
        </w:rPr>
        <w:t xml:space="preserve"> or </w:t>
      </w:r>
      <w:r w:rsidRPr="004C61EC">
        <w:rPr>
          <w:rFonts w:ascii="Times New Roman" w:hAnsi="Times New Roman" w:cs="Times New Roman"/>
          <w:i/>
          <w:sz w:val="24"/>
          <w:szCs w:val="24"/>
        </w:rPr>
        <w:t>followed</w:t>
      </w:r>
      <w:r w:rsidRPr="004C61EC">
        <w:rPr>
          <w:rFonts w:ascii="Times New Roman" w:hAnsi="Times New Roman" w:cs="Times New Roman"/>
          <w:sz w:val="24"/>
          <w:szCs w:val="24"/>
        </w:rPr>
        <w:t xml:space="preserve"> by the ECtHR falls outside the scope of this paper, it is nonetheless important to note that the ECtHR is by definition a c</w:t>
      </w:r>
      <w:r w:rsidR="00961D5E" w:rsidRPr="004C61EC">
        <w:rPr>
          <w:rFonts w:ascii="Times New Roman" w:hAnsi="Times New Roman" w:cs="Times New Roman"/>
          <w:sz w:val="24"/>
          <w:szCs w:val="24"/>
        </w:rPr>
        <w:t>ounter-majoritarian institution;</w:t>
      </w:r>
      <w:r w:rsidRPr="004C61EC">
        <w:rPr>
          <w:rFonts w:ascii="Times New Roman" w:hAnsi="Times New Roman" w:cs="Times New Roman"/>
          <w:sz w:val="24"/>
          <w:szCs w:val="24"/>
        </w:rPr>
        <w:t xml:space="preserve"> thus</w:t>
      </w:r>
      <w:r w:rsidR="00961D5E" w:rsidRPr="004C61EC">
        <w:rPr>
          <w:rFonts w:ascii="Times New Roman" w:hAnsi="Times New Roman" w:cs="Times New Roman"/>
          <w:sz w:val="24"/>
          <w:szCs w:val="24"/>
        </w:rPr>
        <w:t>,</w:t>
      </w:r>
      <w:r w:rsidRPr="004C61EC">
        <w:rPr>
          <w:rFonts w:ascii="Times New Roman" w:hAnsi="Times New Roman" w:cs="Times New Roman"/>
          <w:sz w:val="24"/>
          <w:szCs w:val="24"/>
        </w:rPr>
        <w:t xml:space="preserve"> seeking guidance via the identification of a strong majority across the contracting parties does not always</w:t>
      </w:r>
      <w:r w:rsidR="005E07B5" w:rsidRPr="004C61EC">
        <w:rPr>
          <w:rFonts w:ascii="Times New Roman" w:hAnsi="Times New Roman" w:cs="Times New Roman"/>
          <w:sz w:val="24"/>
          <w:szCs w:val="24"/>
        </w:rPr>
        <w:t xml:space="preserve"> constitute a</w:t>
      </w:r>
      <w:r w:rsidRPr="004C61EC">
        <w:rPr>
          <w:rFonts w:ascii="Times New Roman" w:hAnsi="Times New Roman" w:cs="Times New Roman"/>
          <w:sz w:val="24"/>
          <w:szCs w:val="24"/>
        </w:rPr>
        <w:t xml:space="preserve"> helpful </w:t>
      </w:r>
      <w:r w:rsidR="005E07B5" w:rsidRPr="004C61EC">
        <w:rPr>
          <w:rFonts w:ascii="Times New Roman" w:hAnsi="Times New Roman" w:cs="Times New Roman"/>
          <w:sz w:val="24"/>
          <w:szCs w:val="24"/>
        </w:rPr>
        <w:t>exercise</w:t>
      </w:r>
      <w:r w:rsidRPr="004C61EC">
        <w:rPr>
          <w:rFonts w:ascii="Times New Roman" w:hAnsi="Times New Roman" w:cs="Times New Roman"/>
          <w:sz w:val="24"/>
          <w:szCs w:val="24"/>
        </w:rPr>
        <w:t>.</w:t>
      </w:r>
      <w:r w:rsidRPr="004C61EC">
        <w:rPr>
          <w:rFonts w:ascii="Times New Roman" w:hAnsi="Times New Roman" w:cs="Times New Roman"/>
          <w:sz w:val="24"/>
          <w:szCs w:val="24"/>
          <w:vertAlign w:val="superscript"/>
        </w:rPr>
        <w:footnoteReference w:id="144"/>
      </w:r>
      <w:r w:rsidRPr="004C61EC">
        <w:rPr>
          <w:rFonts w:ascii="Times New Roman" w:hAnsi="Times New Roman" w:cs="Times New Roman"/>
          <w:sz w:val="24"/>
          <w:szCs w:val="24"/>
        </w:rPr>
        <w:t xml:space="preserve"> </w:t>
      </w:r>
      <w:r w:rsidR="00C9565A" w:rsidRPr="004C61EC">
        <w:rPr>
          <w:rFonts w:ascii="Times New Roman" w:hAnsi="Times New Roman" w:cs="Times New Roman"/>
          <w:sz w:val="24"/>
          <w:szCs w:val="24"/>
        </w:rPr>
        <w:t>Accordingly, t</w:t>
      </w:r>
      <w:r w:rsidRPr="004C61EC">
        <w:rPr>
          <w:rFonts w:ascii="Times New Roman" w:hAnsi="Times New Roman" w:cs="Times New Roman"/>
          <w:sz w:val="24"/>
          <w:szCs w:val="24"/>
        </w:rPr>
        <w:t>he ECtHR’s legitimacy cannot be solely dependent on a compar</w:t>
      </w:r>
      <w:r w:rsidR="005E07B5" w:rsidRPr="004C61EC">
        <w:rPr>
          <w:rFonts w:ascii="Times New Roman" w:hAnsi="Times New Roman" w:cs="Times New Roman"/>
          <w:sz w:val="24"/>
          <w:szCs w:val="24"/>
        </w:rPr>
        <w:t>ative exercise across 47 states</w:t>
      </w:r>
      <w:r w:rsidRPr="004C61EC">
        <w:rPr>
          <w:rFonts w:ascii="Times New Roman" w:hAnsi="Times New Roman" w:cs="Times New Roman"/>
          <w:sz w:val="24"/>
          <w:szCs w:val="24"/>
        </w:rPr>
        <w:t xml:space="preserve">. </w:t>
      </w:r>
      <w:r w:rsidR="005E07B5" w:rsidRPr="004C61EC">
        <w:rPr>
          <w:rFonts w:ascii="Times New Roman" w:hAnsi="Times New Roman" w:cs="Times New Roman"/>
          <w:sz w:val="24"/>
          <w:szCs w:val="24"/>
        </w:rPr>
        <w:t>Simultaneously</w:t>
      </w:r>
      <w:r w:rsidRPr="004C61EC">
        <w:rPr>
          <w:rFonts w:ascii="Times New Roman" w:hAnsi="Times New Roman" w:cs="Times New Roman"/>
          <w:sz w:val="24"/>
          <w:szCs w:val="24"/>
        </w:rPr>
        <w:t xml:space="preserve">, however, </w:t>
      </w:r>
      <w:r w:rsidR="005E07B5" w:rsidRPr="004C61EC">
        <w:rPr>
          <w:rFonts w:ascii="Times New Roman" w:hAnsi="Times New Roman" w:cs="Times New Roman"/>
          <w:sz w:val="24"/>
          <w:szCs w:val="24"/>
        </w:rPr>
        <w:t xml:space="preserve">it is generally accepted that </w:t>
      </w:r>
      <w:r w:rsidRPr="004C61EC">
        <w:rPr>
          <w:rFonts w:ascii="Times New Roman" w:hAnsi="Times New Roman" w:cs="Times New Roman"/>
          <w:sz w:val="24"/>
          <w:szCs w:val="24"/>
        </w:rPr>
        <w:t>the Strasbourg Court ensures a minimum level of protection (this being an expression of the subsidiarity principle) and thus ‘institutional reasons’ suggest that the ECtHR will inevitably be, in some cases, deferential.</w:t>
      </w:r>
      <w:r w:rsidRPr="004C61EC">
        <w:rPr>
          <w:rFonts w:ascii="Times New Roman" w:hAnsi="Times New Roman" w:cs="Times New Roman"/>
          <w:sz w:val="24"/>
          <w:szCs w:val="24"/>
          <w:vertAlign w:val="superscript"/>
        </w:rPr>
        <w:footnoteReference w:id="145"/>
      </w:r>
      <w:r w:rsidRPr="004C61EC">
        <w:rPr>
          <w:rFonts w:ascii="Times New Roman" w:hAnsi="Times New Roman" w:cs="Times New Roman"/>
          <w:sz w:val="24"/>
          <w:szCs w:val="24"/>
        </w:rPr>
        <w:t xml:space="preserve"> </w:t>
      </w:r>
      <w:r w:rsidR="00C9565A" w:rsidRPr="004C61EC">
        <w:rPr>
          <w:rFonts w:ascii="Times New Roman" w:hAnsi="Times New Roman" w:cs="Times New Roman"/>
          <w:sz w:val="24"/>
          <w:szCs w:val="24"/>
        </w:rPr>
        <w:t>Thus, when deciding on the margin of appreciation, consensus offers gains in objectivity, predictability and perhaps occasionally transparency</w:t>
      </w:r>
      <w:r w:rsidR="00CE0F83" w:rsidRPr="004C61EC">
        <w:rPr>
          <w:rFonts w:ascii="Times New Roman" w:hAnsi="Times New Roman" w:cs="Times New Roman"/>
          <w:sz w:val="24"/>
          <w:szCs w:val="24"/>
        </w:rPr>
        <w:t>,</w:t>
      </w:r>
      <w:r w:rsidR="00C9565A" w:rsidRPr="004C61EC">
        <w:rPr>
          <w:rStyle w:val="FootnoteReference"/>
          <w:rFonts w:cs="Times New Roman"/>
          <w:sz w:val="24"/>
          <w:szCs w:val="24"/>
        </w:rPr>
        <w:footnoteReference w:id="146"/>
      </w:r>
      <w:r w:rsidR="00C9565A" w:rsidRPr="004C61EC">
        <w:rPr>
          <w:rFonts w:ascii="Times New Roman" w:hAnsi="Times New Roman" w:cs="Times New Roman"/>
          <w:sz w:val="24"/>
          <w:szCs w:val="24"/>
        </w:rPr>
        <w:t xml:space="preserve"> which cannot be neglected.</w:t>
      </w:r>
      <w:r w:rsidR="005E07B5" w:rsidRPr="004C61EC">
        <w:rPr>
          <w:rFonts w:ascii="Times New Roman" w:hAnsi="Times New Roman" w:cs="Times New Roman"/>
          <w:sz w:val="24"/>
          <w:szCs w:val="24"/>
        </w:rPr>
        <w:t xml:space="preserve"> </w:t>
      </w:r>
      <w:r w:rsidR="00080AB7">
        <w:rPr>
          <w:rFonts w:ascii="Times New Roman" w:hAnsi="Times New Roman" w:cs="Times New Roman"/>
          <w:sz w:val="24"/>
          <w:szCs w:val="24"/>
        </w:rPr>
        <w:t>T</w:t>
      </w:r>
      <w:r w:rsidR="00CE0F83" w:rsidRPr="004C61EC">
        <w:rPr>
          <w:rFonts w:ascii="Times New Roman" w:hAnsi="Times New Roman" w:cs="Times New Roman"/>
          <w:sz w:val="24"/>
          <w:szCs w:val="24"/>
        </w:rPr>
        <w:t>he simultaneous</w:t>
      </w:r>
      <w:r w:rsidR="005E07B5" w:rsidRPr="004C61EC">
        <w:rPr>
          <w:rFonts w:ascii="Times New Roman" w:hAnsi="Times New Roman" w:cs="Times New Roman"/>
          <w:sz w:val="24"/>
          <w:szCs w:val="24"/>
        </w:rPr>
        <w:t xml:space="preserve"> counter-majoritarian and </w:t>
      </w:r>
      <w:r w:rsidR="00CE0F83" w:rsidRPr="004C61EC">
        <w:rPr>
          <w:rFonts w:ascii="Times New Roman" w:hAnsi="Times New Roman" w:cs="Times New Roman"/>
          <w:sz w:val="24"/>
          <w:szCs w:val="24"/>
        </w:rPr>
        <w:t>s</w:t>
      </w:r>
      <w:r w:rsidR="005E07B5" w:rsidRPr="004C61EC">
        <w:rPr>
          <w:rFonts w:ascii="Times New Roman" w:hAnsi="Times New Roman" w:cs="Times New Roman"/>
          <w:sz w:val="24"/>
          <w:szCs w:val="24"/>
        </w:rPr>
        <w:t>ubsidiary function of the ECtHR is returned to below.</w:t>
      </w:r>
    </w:p>
    <w:p w14:paraId="5D7E427A" w14:textId="0AD19039" w:rsidR="001D5459" w:rsidRPr="004C61EC" w:rsidRDefault="001D5459" w:rsidP="001D5459">
      <w:pPr>
        <w:spacing w:line="360" w:lineRule="auto"/>
        <w:jc w:val="both"/>
        <w:rPr>
          <w:rFonts w:ascii="Times New Roman" w:hAnsi="Times New Roman" w:cs="Times New Roman"/>
          <w:sz w:val="24"/>
          <w:szCs w:val="24"/>
        </w:rPr>
      </w:pPr>
      <w:r w:rsidRPr="004C61EC">
        <w:rPr>
          <w:rFonts w:ascii="Times New Roman" w:hAnsi="Times New Roman" w:cs="Times New Roman"/>
          <w:sz w:val="24"/>
          <w:szCs w:val="24"/>
        </w:rPr>
        <w:t>Let us now explore the multi-dimensional legitimacy of the ECtHR. The Court’s powers stem from an international treaty signed by the democratic will of states (</w:t>
      </w:r>
      <w:r w:rsidRPr="004C61EC">
        <w:rPr>
          <w:rFonts w:ascii="Times New Roman" w:hAnsi="Times New Roman" w:cs="Times New Roman"/>
          <w:i/>
          <w:sz w:val="24"/>
          <w:szCs w:val="24"/>
        </w:rPr>
        <w:t>pacta sunt servanda</w:t>
      </w:r>
      <w:r w:rsidRPr="004C61EC">
        <w:rPr>
          <w:rFonts w:ascii="Times New Roman" w:hAnsi="Times New Roman" w:cs="Times New Roman"/>
          <w:sz w:val="24"/>
          <w:szCs w:val="24"/>
        </w:rPr>
        <w:t>).</w:t>
      </w:r>
      <w:r w:rsidRPr="004C61EC">
        <w:rPr>
          <w:rFonts w:ascii="Times New Roman" w:hAnsi="Times New Roman" w:cs="Times New Roman"/>
          <w:sz w:val="24"/>
          <w:szCs w:val="24"/>
          <w:vertAlign w:val="superscript"/>
        </w:rPr>
        <w:footnoteReference w:id="147"/>
      </w:r>
      <w:r w:rsidRPr="004C61EC">
        <w:rPr>
          <w:rFonts w:ascii="Times New Roman" w:hAnsi="Times New Roman" w:cs="Times New Roman"/>
          <w:sz w:val="24"/>
          <w:szCs w:val="24"/>
        </w:rPr>
        <w:t xml:space="preserve"> That treaty grants the Court under Article 19 ECHR the mandate to ‘ensure the observance of the engagements undertaken by the High Contracting Parties in the Convention and the Protocols thereto’. </w:t>
      </w:r>
      <w:r w:rsidR="00CE0F83" w:rsidRPr="004C61EC">
        <w:rPr>
          <w:rFonts w:ascii="Times New Roman" w:hAnsi="Times New Roman" w:cs="Times New Roman"/>
          <w:sz w:val="24"/>
          <w:szCs w:val="24"/>
        </w:rPr>
        <w:t>Moreover</w:t>
      </w:r>
      <w:r w:rsidRPr="004C61EC">
        <w:rPr>
          <w:rFonts w:ascii="Times New Roman" w:hAnsi="Times New Roman" w:cs="Times New Roman"/>
          <w:sz w:val="24"/>
          <w:szCs w:val="24"/>
        </w:rPr>
        <w:t>, the first paragraph of Article 32 ECHR states that ‘[t]he jurisdiction of the Court shall extend to all matters concerning the interpretation and application of the Convention and the Protocols thereto’, while the second that ‘in the event of dispute as to whether the Court has jurisdiction, the Court sh</w:t>
      </w:r>
      <w:r w:rsidR="00CE0F83" w:rsidRPr="004C61EC">
        <w:rPr>
          <w:rFonts w:ascii="Times New Roman" w:hAnsi="Times New Roman" w:cs="Times New Roman"/>
          <w:sz w:val="24"/>
          <w:szCs w:val="24"/>
        </w:rPr>
        <w:t>all decide’. Next, the Strasbourg Court (and, indeed,</w:t>
      </w:r>
      <w:r w:rsidRPr="004C61EC">
        <w:rPr>
          <w:rFonts w:ascii="Times New Roman" w:hAnsi="Times New Roman" w:cs="Times New Roman"/>
          <w:sz w:val="24"/>
          <w:szCs w:val="24"/>
        </w:rPr>
        <w:t xml:space="preserve"> any court) fulfills its function</w:t>
      </w:r>
      <w:r w:rsidR="00CE0F83" w:rsidRPr="004C61EC">
        <w:rPr>
          <w:rFonts w:ascii="Times New Roman" w:hAnsi="Times New Roman" w:cs="Times New Roman"/>
          <w:sz w:val="24"/>
          <w:szCs w:val="24"/>
        </w:rPr>
        <w:t>s</w:t>
      </w:r>
      <w:r w:rsidRPr="004C61EC">
        <w:rPr>
          <w:rFonts w:ascii="Times New Roman" w:hAnsi="Times New Roman" w:cs="Times New Roman"/>
          <w:sz w:val="24"/>
          <w:szCs w:val="24"/>
        </w:rPr>
        <w:t xml:space="preserve"> when it is completely independent</w:t>
      </w:r>
      <w:r w:rsidR="00130C80">
        <w:rPr>
          <w:rFonts w:ascii="Times New Roman" w:hAnsi="Times New Roman" w:cs="Times New Roman"/>
          <w:sz w:val="24"/>
          <w:szCs w:val="24"/>
        </w:rPr>
        <w:t>.</w:t>
      </w:r>
      <w:r w:rsidRPr="004C61EC">
        <w:rPr>
          <w:rFonts w:ascii="Times New Roman" w:hAnsi="Times New Roman" w:cs="Times New Roman"/>
          <w:sz w:val="24"/>
          <w:szCs w:val="24"/>
        </w:rPr>
        <w:t xml:space="preserve"> </w:t>
      </w:r>
      <w:r w:rsidR="00130C80">
        <w:rPr>
          <w:rFonts w:ascii="Times New Roman" w:hAnsi="Times New Roman" w:cs="Times New Roman"/>
          <w:sz w:val="24"/>
          <w:szCs w:val="24"/>
        </w:rPr>
        <w:t>T</w:t>
      </w:r>
      <w:r w:rsidRPr="004C61EC">
        <w:rPr>
          <w:rFonts w:ascii="Times New Roman" w:hAnsi="Times New Roman" w:cs="Times New Roman"/>
          <w:sz w:val="24"/>
          <w:szCs w:val="24"/>
        </w:rPr>
        <w:t>hus, Protocol 14 ECHR, which introduced a nine year non-renewable term for judges, certainly enhances the legitimacy of the ECtHR.</w:t>
      </w:r>
      <w:r w:rsidRPr="004C61EC">
        <w:rPr>
          <w:rFonts w:ascii="Times New Roman" w:hAnsi="Times New Roman" w:cs="Times New Roman"/>
          <w:sz w:val="24"/>
          <w:szCs w:val="24"/>
          <w:vertAlign w:val="superscript"/>
        </w:rPr>
        <w:footnoteReference w:id="148"/>
      </w:r>
      <w:r w:rsidRPr="004C61EC">
        <w:rPr>
          <w:rFonts w:ascii="Times New Roman" w:hAnsi="Times New Roman" w:cs="Times New Roman"/>
          <w:sz w:val="24"/>
          <w:szCs w:val="24"/>
        </w:rPr>
        <w:t xml:space="preserve"> </w:t>
      </w:r>
      <w:r w:rsidR="00CE0F83" w:rsidRPr="004C61EC">
        <w:rPr>
          <w:rFonts w:ascii="Times New Roman" w:hAnsi="Times New Roman" w:cs="Times New Roman"/>
          <w:sz w:val="24"/>
          <w:szCs w:val="24"/>
        </w:rPr>
        <w:t>Particularly important is the right of individual application to the Court, which goes hand-in-hand with the Court’s legitimacy.</w:t>
      </w:r>
      <w:r w:rsidR="00CE0F83" w:rsidRPr="004C61EC">
        <w:rPr>
          <w:rFonts w:ascii="Times New Roman" w:hAnsi="Times New Roman" w:cs="Times New Roman"/>
          <w:sz w:val="24"/>
          <w:szCs w:val="24"/>
          <w:vertAlign w:val="superscript"/>
        </w:rPr>
        <w:footnoteReference w:id="149"/>
      </w:r>
      <w:r w:rsidR="00CE0F83" w:rsidRPr="004C61EC">
        <w:rPr>
          <w:rFonts w:ascii="Times New Roman" w:hAnsi="Times New Roman" w:cs="Times New Roman"/>
          <w:sz w:val="24"/>
          <w:szCs w:val="24"/>
        </w:rPr>
        <w:t xml:space="preserve"> </w:t>
      </w:r>
      <w:r w:rsidRPr="004C61EC">
        <w:rPr>
          <w:rFonts w:ascii="Times New Roman" w:hAnsi="Times New Roman" w:cs="Times New Roman"/>
          <w:sz w:val="24"/>
          <w:szCs w:val="24"/>
        </w:rPr>
        <w:t>Further, the quality of the Court’s reasoning augments the legitimacy of its judgments: in principle, a thoroughly explained decision adds to the coherence and predictability of the Convention machinery,</w:t>
      </w:r>
      <w:r w:rsidR="00CE0F83" w:rsidRPr="004C61EC">
        <w:rPr>
          <w:rFonts w:ascii="Times New Roman" w:hAnsi="Times New Roman" w:cs="Times New Roman"/>
          <w:sz w:val="24"/>
          <w:szCs w:val="24"/>
        </w:rPr>
        <w:t xml:space="preserve"> </w:t>
      </w:r>
      <w:r w:rsidRPr="004C61EC">
        <w:rPr>
          <w:rFonts w:ascii="Times New Roman" w:hAnsi="Times New Roman" w:cs="Times New Roman"/>
          <w:sz w:val="24"/>
          <w:szCs w:val="24"/>
        </w:rPr>
        <w:t>thereby contributing to legal certainty.</w:t>
      </w:r>
      <w:r w:rsidRPr="004C61EC">
        <w:rPr>
          <w:rFonts w:ascii="Times New Roman" w:hAnsi="Times New Roman" w:cs="Times New Roman"/>
          <w:sz w:val="24"/>
          <w:szCs w:val="24"/>
          <w:vertAlign w:val="superscript"/>
        </w:rPr>
        <w:footnoteReference w:id="150"/>
      </w:r>
      <w:r w:rsidRPr="004C61EC">
        <w:rPr>
          <w:rFonts w:ascii="Times New Roman" w:hAnsi="Times New Roman" w:cs="Times New Roman"/>
          <w:sz w:val="24"/>
          <w:szCs w:val="24"/>
        </w:rPr>
        <w:t xml:space="preserve"> Differently put,</w:t>
      </w:r>
      <w:r w:rsidR="009E45F4">
        <w:rPr>
          <w:rFonts w:ascii="Times New Roman" w:hAnsi="Times New Roman" w:cs="Times New Roman"/>
          <w:sz w:val="24"/>
          <w:szCs w:val="24"/>
        </w:rPr>
        <w:t xml:space="preserve"> ‘procedural fairness’ legitimis</w:t>
      </w:r>
      <w:r w:rsidR="000D38CB" w:rsidRPr="004C61EC">
        <w:rPr>
          <w:rFonts w:ascii="Times New Roman" w:hAnsi="Times New Roman" w:cs="Times New Roman"/>
          <w:sz w:val="24"/>
          <w:szCs w:val="24"/>
        </w:rPr>
        <w:t>es</w:t>
      </w:r>
      <w:r w:rsidRPr="004C61EC">
        <w:rPr>
          <w:rFonts w:ascii="Times New Roman" w:hAnsi="Times New Roman" w:cs="Times New Roman"/>
          <w:sz w:val="24"/>
          <w:szCs w:val="24"/>
        </w:rPr>
        <w:t xml:space="preserve"> the outcome of the Court’s judgments.</w:t>
      </w:r>
      <w:r w:rsidRPr="004C61EC">
        <w:rPr>
          <w:rFonts w:ascii="Times New Roman" w:hAnsi="Times New Roman" w:cs="Times New Roman"/>
          <w:sz w:val="24"/>
          <w:szCs w:val="24"/>
          <w:vertAlign w:val="superscript"/>
        </w:rPr>
        <w:footnoteReference w:id="151"/>
      </w:r>
      <w:r w:rsidRPr="004C61EC">
        <w:rPr>
          <w:rFonts w:ascii="Times New Roman" w:hAnsi="Times New Roman" w:cs="Times New Roman"/>
          <w:sz w:val="24"/>
          <w:szCs w:val="24"/>
        </w:rPr>
        <w:t xml:space="preserve"> </w:t>
      </w:r>
      <w:r w:rsidR="00CE0F83" w:rsidRPr="004C61EC">
        <w:rPr>
          <w:rFonts w:ascii="Times New Roman" w:hAnsi="Times New Roman" w:cs="Times New Roman"/>
          <w:sz w:val="24"/>
          <w:szCs w:val="24"/>
        </w:rPr>
        <w:t>I</w:t>
      </w:r>
      <w:r w:rsidRPr="004C61EC">
        <w:rPr>
          <w:rFonts w:ascii="Times New Roman" w:hAnsi="Times New Roman" w:cs="Times New Roman"/>
          <w:sz w:val="24"/>
          <w:szCs w:val="24"/>
        </w:rPr>
        <w:t>t has rightly been observed</w:t>
      </w:r>
      <w:r w:rsidR="00CE0F83" w:rsidRPr="004C61EC">
        <w:rPr>
          <w:rFonts w:ascii="Times New Roman" w:hAnsi="Times New Roman" w:cs="Times New Roman"/>
          <w:sz w:val="24"/>
          <w:szCs w:val="24"/>
        </w:rPr>
        <w:t>, though,</w:t>
      </w:r>
      <w:r w:rsidRPr="004C61EC">
        <w:rPr>
          <w:rFonts w:ascii="Times New Roman" w:hAnsi="Times New Roman" w:cs="Times New Roman"/>
          <w:sz w:val="24"/>
          <w:szCs w:val="24"/>
        </w:rPr>
        <w:t xml:space="preserve"> that ‘the style of reasoning adopted by the Court places the flexibility needed to deal with cases on their facts above the achievement of doctrinal clarity or engagement with the philosophical issues at stake’.</w:t>
      </w:r>
      <w:r w:rsidRPr="004C61EC">
        <w:rPr>
          <w:rFonts w:ascii="Times New Roman" w:hAnsi="Times New Roman" w:cs="Times New Roman"/>
          <w:sz w:val="24"/>
          <w:szCs w:val="24"/>
          <w:vertAlign w:val="superscript"/>
        </w:rPr>
        <w:footnoteReference w:id="152"/>
      </w:r>
    </w:p>
    <w:p w14:paraId="4FC92C0B" w14:textId="77777777" w:rsidR="00DA2B24" w:rsidRPr="004C61EC" w:rsidRDefault="001D5459" w:rsidP="001D5459">
      <w:pPr>
        <w:spacing w:line="360" w:lineRule="auto"/>
        <w:jc w:val="both"/>
        <w:rPr>
          <w:rFonts w:ascii="Times New Roman" w:hAnsi="Times New Roman" w:cs="Times New Roman"/>
          <w:sz w:val="24"/>
          <w:szCs w:val="24"/>
        </w:rPr>
      </w:pPr>
      <w:r w:rsidRPr="004C61EC">
        <w:rPr>
          <w:rFonts w:ascii="Times New Roman" w:hAnsi="Times New Roman" w:cs="Times New Roman"/>
          <w:sz w:val="24"/>
          <w:szCs w:val="24"/>
        </w:rPr>
        <w:t>A study completed in 2011 found that various domestic actors perceive the Court as legitimate, primarily due to its function to guarantee the respect for human rights even at the expense of unpopularity or opposition from domestic governments.</w:t>
      </w:r>
      <w:r w:rsidRPr="004C61EC">
        <w:rPr>
          <w:rFonts w:ascii="Times New Roman" w:hAnsi="Times New Roman" w:cs="Times New Roman"/>
          <w:sz w:val="24"/>
          <w:szCs w:val="24"/>
          <w:vertAlign w:val="superscript"/>
        </w:rPr>
        <w:footnoteReference w:id="153"/>
      </w:r>
      <w:r w:rsidRPr="004C61EC">
        <w:rPr>
          <w:rFonts w:ascii="Times New Roman" w:hAnsi="Times New Roman" w:cs="Times New Roman"/>
          <w:sz w:val="24"/>
          <w:szCs w:val="24"/>
        </w:rPr>
        <w:t xml:space="preserve"> The Court’s popularity with civil society – despite the limited number of </w:t>
      </w:r>
      <w:r w:rsidR="00CE0F83" w:rsidRPr="004C61EC">
        <w:rPr>
          <w:rFonts w:ascii="Times New Roman" w:hAnsi="Times New Roman" w:cs="Times New Roman"/>
          <w:sz w:val="24"/>
          <w:szCs w:val="24"/>
        </w:rPr>
        <w:t xml:space="preserve">admissible </w:t>
      </w:r>
      <w:r w:rsidRPr="004C61EC">
        <w:rPr>
          <w:rFonts w:ascii="Times New Roman" w:hAnsi="Times New Roman" w:cs="Times New Roman"/>
          <w:sz w:val="24"/>
          <w:szCs w:val="24"/>
        </w:rPr>
        <w:t xml:space="preserve">cases </w:t>
      </w:r>
      <w:r w:rsidR="00CE0F83" w:rsidRPr="004C61EC">
        <w:rPr>
          <w:rFonts w:ascii="Times New Roman" w:hAnsi="Times New Roman" w:cs="Times New Roman"/>
          <w:sz w:val="24"/>
          <w:szCs w:val="24"/>
        </w:rPr>
        <w:t>submitted by</w:t>
      </w:r>
      <w:r w:rsidRPr="004C61EC">
        <w:rPr>
          <w:rFonts w:ascii="Times New Roman" w:hAnsi="Times New Roman" w:cs="Times New Roman"/>
          <w:sz w:val="24"/>
          <w:szCs w:val="24"/>
        </w:rPr>
        <w:t xml:space="preserve"> NGOs – may be explained with reference to the persistent ‘exemplary’ relationship between the Strasbourg Court and NGOs; the latter view access to the Court as an ‘opportunity to participate in the development of international human rights law’.</w:t>
      </w:r>
      <w:r w:rsidRPr="004C61EC">
        <w:rPr>
          <w:rFonts w:ascii="Times New Roman" w:hAnsi="Times New Roman" w:cs="Times New Roman"/>
          <w:sz w:val="24"/>
          <w:szCs w:val="24"/>
          <w:vertAlign w:val="superscript"/>
        </w:rPr>
        <w:footnoteReference w:id="154"/>
      </w:r>
      <w:r w:rsidRPr="004C61EC">
        <w:rPr>
          <w:rFonts w:ascii="Times New Roman" w:hAnsi="Times New Roman" w:cs="Times New Roman"/>
          <w:sz w:val="24"/>
          <w:szCs w:val="24"/>
        </w:rPr>
        <w:t xml:space="preserve"> Further, the fact that judges are elected by the Parliamentary Assembly of the Council of Europe, on the basis of three nominees,</w:t>
      </w:r>
      <w:r w:rsidRPr="004C61EC">
        <w:rPr>
          <w:rFonts w:ascii="Times New Roman" w:hAnsi="Times New Roman" w:cs="Times New Roman"/>
          <w:sz w:val="24"/>
          <w:szCs w:val="24"/>
          <w:vertAlign w:val="superscript"/>
        </w:rPr>
        <w:footnoteReference w:id="155"/>
      </w:r>
      <w:r w:rsidRPr="004C61EC">
        <w:rPr>
          <w:rFonts w:ascii="Times New Roman" w:hAnsi="Times New Roman" w:cs="Times New Roman"/>
          <w:sz w:val="24"/>
          <w:szCs w:val="24"/>
        </w:rPr>
        <w:t xml:space="preserve"> adds to the Court’s legitimacy</w:t>
      </w:r>
      <w:r w:rsidR="00DA2B24" w:rsidRPr="004C61EC">
        <w:rPr>
          <w:rFonts w:ascii="Times New Roman" w:hAnsi="Times New Roman" w:cs="Times New Roman"/>
          <w:sz w:val="24"/>
          <w:szCs w:val="24"/>
        </w:rPr>
        <w:t>. Importantly, the legitimacy of the</w:t>
      </w:r>
      <w:r w:rsidR="000D38CB">
        <w:rPr>
          <w:rFonts w:ascii="Times New Roman" w:hAnsi="Times New Roman" w:cs="Times New Roman"/>
          <w:sz w:val="24"/>
          <w:szCs w:val="24"/>
        </w:rPr>
        <w:t xml:space="preserve"> ECtHR wa</w:t>
      </w:r>
      <w:r w:rsidR="00DA2B24" w:rsidRPr="004C61EC">
        <w:rPr>
          <w:rFonts w:ascii="Times New Roman" w:hAnsi="Times New Roman" w:cs="Times New Roman"/>
          <w:sz w:val="24"/>
          <w:szCs w:val="24"/>
        </w:rPr>
        <w:t>s enhanced by the decision of the Parliamentary Assembly not to accept lists of candidates</w:t>
      </w:r>
      <w:r w:rsidR="00091245" w:rsidRPr="004C61EC">
        <w:rPr>
          <w:rFonts w:ascii="Times New Roman" w:hAnsi="Times New Roman" w:cs="Times New Roman"/>
          <w:sz w:val="24"/>
          <w:szCs w:val="24"/>
        </w:rPr>
        <w:t xml:space="preserve"> if they do not</w:t>
      </w:r>
      <w:r w:rsidR="00DA2B24" w:rsidRPr="004C61EC">
        <w:rPr>
          <w:rFonts w:ascii="Times New Roman" w:hAnsi="Times New Roman" w:cs="Times New Roman"/>
          <w:sz w:val="24"/>
          <w:szCs w:val="24"/>
        </w:rPr>
        <w:t xml:space="preserve"> includ</w:t>
      </w:r>
      <w:r w:rsidR="00091245" w:rsidRPr="004C61EC">
        <w:rPr>
          <w:rFonts w:ascii="Times New Roman" w:hAnsi="Times New Roman" w:cs="Times New Roman"/>
          <w:sz w:val="24"/>
          <w:szCs w:val="24"/>
        </w:rPr>
        <w:t>e</w:t>
      </w:r>
      <w:r w:rsidR="00DA2B24" w:rsidRPr="004C61EC">
        <w:rPr>
          <w:rFonts w:ascii="Times New Roman" w:hAnsi="Times New Roman" w:cs="Times New Roman"/>
          <w:sz w:val="24"/>
          <w:szCs w:val="24"/>
        </w:rPr>
        <w:t xml:space="preserve"> at least one candidate of each sex, with a view to </w:t>
      </w:r>
      <w:r w:rsidR="00CF24A9" w:rsidRPr="004C61EC">
        <w:rPr>
          <w:rFonts w:ascii="Times New Roman" w:hAnsi="Times New Roman" w:cs="Times New Roman"/>
          <w:sz w:val="24"/>
          <w:szCs w:val="24"/>
        </w:rPr>
        <w:t>ensuring a fairer</w:t>
      </w:r>
      <w:r w:rsidR="00DA2B24" w:rsidRPr="004C61EC">
        <w:rPr>
          <w:rFonts w:ascii="Times New Roman" w:hAnsi="Times New Roman" w:cs="Times New Roman"/>
          <w:sz w:val="24"/>
          <w:szCs w:val="24"/>
        </w:rPr>
        <w:t xml:space="preserve"> gender balance on the bench.</w:t>
      </w:r>
      <w:r w:rsidR="00DA2B24" w:rsidRPr="004C61EC">
        <w:rPr>
          <w:rStyle w:val="FootnoteReference"/>
          <w:rFonts w:cs="Times New Roman"/>
          <w:sz w:val="24"/>
          <w:szCs w:val="24"/>
        </w:rPr>
        <w:footnoteReference w:id="156"/>
      </w:r>
      <w:r w:rsidR="00DA2B24" w:rsidRPr="004C61EC">
        <w:rPr>
          <w:rFonts w:ascii="Times New Roman" w:hAnsi="Times New Roman" w:cs="Times New Roman"/>
          <w:sz w:val="24"/>
          <w:szCs w:val="24"/>
          <w:vertAlign w:val="superscript"/>
        </w:rPr>
        <w:t xml:space="preserve"> </w:t>
      </w:r>
    </w:p>
    <w:p w14:paraId="73AB8725" w14:textId="77777777" w:rsidR="001D5459" w:rsidRPr="004C61EC" w:rsidRDefault="00091245" w:rsidP="001D5459">
      <w:pPr>
        <w:spacing w:line="360" w:lineRule="auto"/>
        <w:jc w:val="both"/>
        <w:rPr>
          <w:rFonts w:ascii="Times New Roman" w:hAnsi="Times New Roman" w:cs="Times New Roman"/>
          <w:sz w:val="24"/>
          <w:szCs w:val="24"/>
        </w:rPr>
      </w:pPr>
      <w:r w:rsidRPr="004C61EC">
        <w:rPr>
          <w:rFonts w:ascii="Times New Roman" w:hAnsi="Times New Roman" w:cs="Times New Roman"/>
          <w:sz w:val="24"/>
          <w:szCs w:val="24"/>
        </w:rPr>
        <w:t>When considering the Strasbourg Court’s legitimacy, c</w:t>
      </w:r>
      <w:r w:rsidR="001D5459" w:rsidRPr="004C61EC">
        <w:rPr>
          <w:rFonts w:ascii="Times New Roman" w:hAnsi="Times New Roman" w:cs="Times New Roman"/>
          <w:sz w:val="24"/>
          <w:szCs w:val="24"/>
        </w:rPr>
        <w:t>omparisons with directly elected legislatures at the domestic level beg the question as to whether it is the role of courts (be they domestic or inter/supranational) to function as majoritarian institutions. According to a particular strand of political constitutionalism, however, precisely on these grounds international human rights courts should be confined to ‘weak review’.</w:t>
      </w:r>
      <w:r w:rsidR="001D5459" w:rsidRPr="004C61EC">
        <w:rPr>
          <w:rFonts w:ascii="Times New Roman" w:hAnsi="Times New Roman" w:cs="Times New Roman"/>
          <w:sz w:val="24"/>
          <w:szCs w:val="24"/>
          <w:vertAlign w:val="superscript"/>
        </w:rPr>
        <w:footnoteReference w:id="157"/>
      </w:r>
    </w:p>
    <w:p w14:paraId="166C9EE4" w14:textId="3C278672" w:rsidR="001D5459" w:rsidRPr="004C61EC" w:rsidRDefault="001D5459" w:rsidP="001D5459">
      <w:pPr>
        <w:spacing w:line="360" w:lineRule="auto"/>
        <w:jc w:val="both"/>
        <w:rPr>
          <w:rFonts w:ascii="Times New Roman" w:hAnsi="Times New Roman" w:cs="Times New Roman"/>
          <w:sz w:val="24"/>
          <w:szCs w:val="24"/>
        </w:rPr>
      </w:pPr>
      <w:r w:rsidRPr="004C61EC">
        <w:rPr>
          <w:rFonts w:ascii="Times New Roman" w:hAnsi="Times New Roman" w:cs="Times New Roman"/>
          <w:sz w:val="24"/>
          <w:szCs w:val="24"/>
        </w:rPr>
        <w:t xml:space="preserve">The other side of the coin with regard to the ECtHR’s legitimacy is subsidiarity, which </w:t>
      </w:r>
      <w:r w:rsidR="00C95203" w:rsidRPr="004C61EC">
        <w:rPr>
          <w:rFonts w:ascii="Times New Roman" w:hAnsi="Times New Roman" w:cs="Times New Roman"/>
          <w:sz w:val="24"/>
          <w:szCs w:val="24"/>
        </w:rPr>
        <w:t>means here</w:t>
      </w:r>
      <w:r w:rsidRPr="004C61EC">
        <w:rPr>
          <w:rFonts w:ascii="Times New Roman" w:hAnsi="Times New Roman" w:cs="Times New Roman"/>
          <w:sz w:val="24"/>
          <w:szCs w:val="24"/>
        </w:rPr>
        <w:t xml:space="preserve"> that the Court cannot be deemed to enjoy limitless legitimacy, however firm its social acceptance may be found to be. The Court has never been </w:t>
      </w:r>
      <w:r w:rsidR="000D38CB">
        <w:rPr>
          <w:rFonts w:ascii="Times New Roman" w:hAnsi="Times New Roman" w:cs="Times New Roman"/>
          <w:sz w:val="24"/>
          <w:szCs w:val="24"/>
        </w:rPr>
        <w:t xml:space="preserve">truly </w:t>
      </w:r>
      <w:r w:rsidRPr="004C61EC">
        <w:rPr>
          <w:rFonts w:ascii="Times New Roman" w:hAnsi="Times New Roman" w:cs="Times New Roman"/>
          <w:sz w:val="24"/>
          <w:szCs w:val="24"/>
        </w:rPr>
        <w:t>hostile to subsidiarity,</w:t>
      </w:r>
      <w:r w:rsidRPr="004C61EC">
        <w:rPr>
          <w:rFonts w:ascii="Times New Roman" w:hAnsi="Times New Roman" w:cs="Times New Roman"/>
          <w:sz w:val="24"/>
          <w:szCs w:val="24"/>
          <w:vertAlign w:val="superscript"/>
        </w:rPr>
        <w:footnoteReference w:id="158"/>
      </w:r>
      <w:r w:rsidRPr="004C61EC">
        <w:rPr>
          <w:rFonts w:ascii="Times New Roman" w:hAnsi="Times New Roman" w:cs="Times New Roman"/>
          <w:sz w:val="24"/>
          <w:szCs w:val="24"/>
        </w:rPr>
        <w:t xml:space="preserve"> precisely because it is completely impractical for the Court (or the Committee of Ministers) to ensure compliance without the cooperation of the domestic authorities, either at the preventive stage or during enforcement. Subsidiarity also </w:t>
      </w:r>
      <w:r w:rsidR="005007A0" w:rsidRPr="004C61EC">
        <w:rPr>
          <w:rFonts w:ascii="Times New Roman" w:hAnsi="Times New Roman" w:cs="Times New Roman"/>
          <w:sz w:val="24"/>
          <w:szCs w:val="24"/>
        </w:rPr>
        <w:t>entails</w:t>
      </w:r>
      <w:r w:rsidRPr="004C61EC">
        <w:rPr>
          <w:rFonts w:ascii="Times New Roman" w:hAnsi="Times New Roman" w:cs="Times New Roman"/>
          <w:sz w:val="24"/>
          <w:szCs w:val="24"/>
        </w:rPr>
        <w:t xml:space="preserve"> that the Court will frequently point out that the domestic authorities are in a better position to assess the relevant human right question – and therefore the appropriate standard of protection. After all, the Convention safeguards minimum standard</w:t>
      </w:r>
      <w:r w:rsidR="00ED41B7">
        <w:rPr>
          <w:rFonts w:ascii="Times New Roman" w:hAnsi="Times New Roman" w:cs="Times New Roman"/>
          <w:sz w:val="24"/>
          <w:szCs w:val="24"/>
        </w:rPr>
        <w:t>s</w:t>
      </w:r>
      <w:r w:rsidR="00925095">
        <w:rPr>
          <w:rFonts w:ascii="Times New Roman" w:hAnsi="Times New Roman" w:cs="Times New Roman"/>
          <w:sz w:val="24"/>
          <w:szCs w:val="24"/>
        </w:rPr>
        <w:t>; a</w:t>
      </w:r>
      <w:r w:rsidRPr="004C61EC">
        <w:rPr>
          <w:rFonts w:ascii="Times New Roman" w:hAnsi="Times New Roman" w:cs="Times New Roman"/>
          <w:sz w:val="24"/>
          <w:szCs w:val="24"/>
        </w:rPr>
        <w:t xml:space="preserve"> dynamic interpretation of the </w:t>
      </w:r>
      <w:r w:rsidR="00925095">
        <w:rPr>
          <w:rFonts w:ascii="Times New Roman" w:hAnsi="Times New Roman" w:cs="Times New Roman"/>
          <w:sz w:val="24"/>
          <w:szCs w:val="24"/>
        </w:rPr>
        <w:t>ECHR</w:t>
      </w:r>
      <w:r w:rsidRPr="004C61EC">
        <w:rPr>
          <w:rFonts w:ascii="Times New Roman" w:hAnsi="Times New Roman" w:cs="Times New Roman"/>
          <w:sz w:val="24"/>
          <w:szCs w:val="24"/>
        </w:rPr>
        <w:t>, especially when far-reaching, almost alwa</w:t>
      </w:r>
      <w:r w:rsidR="005007A0" w:rsidRPr="004C61EC">
        <w:rPr>
          <w:rFonts w:ascii="Times New Roman" w:hAnsi="Times New Roman" w:cs="Times New Roman"/>
          <w:sz w:val="24"/>
          <w:szCs w:val="24"/>
        </w:rPr>
        <w:t xml:space="preserve">ys entails </w:t>
      </w:r>
      <w:r w:rsidR="004E1F5E">
        <w:rPr>
          <w:rFonts w:ascii="Times New Roman" w:hAnsi="Times New Roman" w:cs="Times New Roman"/>
          <w:sz w:val="24"/>
          <w:szCs w:val="24"/>
        </w:rPr>
        <w:t>a</w:t>
      </w:r>
      <w:r w:rsidR="005007A0" w:rsidRPr="004C61EC">
        <w:rPr>
          <w:rFonts w:ascii="Times New Roman" w:hAnsi="Times New Roman" w:cs="Times New Roman"/>
          <w:sz w:val="24"/>
          <w:szCs w:val="24"/>
        </w:rPr>
        <w:t xml:space="preserve"> risk of allegations</w:t>
      </w:r>
      <w:r w:rsidRPr="004C61EC">
        <w:rPr>
          <w:rFonts w:ascii="Times New Roman" w:hAnsi="Times New Roman" w:cs="Times New Roman"/>
          <w:sz w:val="24"/>
          <w:szCs w:val="24"/>
        </w:rPr>
        <w:t xml:space="preserve"> of judicial activism. </w:t>
      </w:r>
    </w:p>
    <w:p w14:paraId="60183B76" w14:textId="53A1C594" w:rsidR="001D5459" w:rsidRPr="001D5459" w:rsidRDefault="001D5459" w:rsidP="001D5459">
      <w:pPr>
        <w:spacing w:line="360" w:lineRule="auto"/>
        <w:jc w:val="both"/>
        <w:rPr>
          <w:rFonts w:ascii="Times New Roman" w:hAnsi="Times New Roman" w:cs="Times New Roman"/>
          <w:sz w:val="24"/>
          <w:szCs w:val="24"/>
        </w:rPr>
      </w:pPr>
      <w:r w:rsidRPr="004C61EC">
        <w:rPr>
          <w:rFonts w:ascii="Times New Roman" w:hAnsi="Times New Roman" w:cs="Times New Roman"/>
          <w:sz w:val="24"/>
          <w:szCs w:val="24"/>
        </w:rPr>
        <w:t>In this context, the ECtHR has to strike a delicate balance between its constitutionalist mission (enshrined by Articles 19 and 32 ECHR) and its subsidiary role in guaranteeing the appropriate standards of protection. The challenging position of a Court which acts as the jurisdiction of last resort is this: it has to develop the standards of human rights according to the evolutive interpretation of the treaties, but not to the point of – for example – creating new rights which do not feature or cannot be inferred from the Convention’s text or purpose.</w:t>
      </w:r>
      <w:r w:rsidRPr="001D5459">
        <w:rPr>
          <w:rFonts w:ascii="Times New Roman" w:hAnsi="Times New Roman" w:cs="Times New Roman"/>
          <w:sz w:val="24"/>
          <w:szCs w:val="24"/>
        </w:rPr>
        <w:t xml:space="preserve"> After all, transnational institutions (including courts) cannot rely on the ‘presumption of legitimacy’ that national institutions enjoy.</w:t>
      </w:r>
      <w:r w:rsidRPr="001D5459">
        <w:rPr>
          <w:rFonts w:ascii="Times New Roman" w:hAnsi="Times New Roman" w:cs="Times New Roman"/>
          <w:sz w:val="24"/>
          <w:szCs w:val="24"/>
          <w:vertAlign w:val="superscript"/>
        </w:rPr>
        <w:footnoteReference w:id="159"/>
      </w:r>
      <w:r w:rsidRPr="001D5459">
        <w:rPr>
          <w:rFonts w:ascii="Times New Roman" w:hAnsi="Times New Roman" w:cs="Times New Roman"/>
          <w:sz w:val="24"/>
          <w:szCs w:val="24"/>
        </w:rPr>
        <w:t xml:space="preserve"> This is why </w:t>
      </w:r>
      <w:r w:rsidR="005007A0">
        <w:rPr>
          <w:rFonts w:ascii="Times New Roman" w:hAnsi="Times New Roman" w:cs="Times New Roman"/>
          <w:sz w:val="24"/>
          <w:szCs w:val="24"/>
        </w:rPr>
        <w:t xml:space="preserve">the </w:t>
      </w:r>
      <w:r w:rsidRPr="001D5459">
        <w:rPr>
          <w:rFonts w:ascii="Times New Roman" w:hAnsi="Times New Roman" w:cs="Times New Roman"/>
          <w:sz w:val="24"/>
          <w:szCs w:val="24"/>
        </w:rPr>
        <w:t xml:space="preserve">importance of the right to individual </w:t>
      </w:r>
      <w:r w:rsidR="004E1F5E">
        <w:rPr>
          <w:rFonts w:ascii="Times New Roman" w:hAnsi="Times New Roman" w:cs="Times New Roman"/>
          <w:sz w:val="24"/>
          <w:szCs w:val="24"/>
        </w:rPr>
        <w:t>application</w:t>
      </w:r>
      <w:r w:rsidRPr="001D5459">
        <w:rPr>
          <w:rFonts w:ascii="Times New Roman" w:hAnsi="Times New Roman" w:cs="Times New Roman"/>
          <w:sz w:val="24"/>
          <w:szCs w:val="24"/>
        </w:rPr>
        <w:t xml:space="preserve"> to the Strasbourg Court</w:t>
      </w:r>
      <w:r w:rsidR="005007A0">
        <w:rPr>
          <w:rFonts w:ascii="Times New Roman" w:hAnsi="Times New Roman" w:cs="Times New Roman"/>
          <w:sz w:val="24"/>
          <w:szCs w:val="24"/>
        </w:rPr>
        <w:t xml:space="preserve"> should be reiterated</w:t>
      </w:r>
      <w:r w:rsidRPr="001D5459">
        <w:rPr>
          <w:rFonts w:ascii="Times New Roman" w:hAnsi="Times New Roman" w:cs="Times New Roman"/>
          <w:sz w:val="24"/>
          <w:szCs w:val="24"/>
        </w:rPr>
        <w:t xml:space="preserve">, a </w:t>
      </w:r>
      <w:r w:rsidR="005007A0">
        <w:rPr>
          <w:rFonts w:ascii="Times New Roman" w:hAnsi="Times New Roman" w:cs="Times New Roman"/>
          <w:sz w:val="24"/>
          <w:szCs w:val="24"/>
        </w:rPr>
        <w:t>right which cannot, of course, in</w:t>
      </w:r>
      <w:r w:rsidR="009E45F4">
        <w:rPr>
          <w:rFonts w:ascii="Times New Roman" w:hAnsi="Times New Roman" w:cs="Times New Roman"/>
          <w:sz w:val="24"/>
          <w:szCs w:val="24"/>
        </w:rPr>
        <w:t xml:space="preserve"> itself, legitimis</w:t>
      </w:r>
      <w:r w:rsidRPr="001D5459">
        <w:rPr>
          <w:rFonts w:ascii="Times New Roman" w:hAnsi="Times New Roman" w:cs="Times New Roman"/>
          <w:sz w:val="24"/>
          <w:szCs w:val="24"/>
        </w:rPr>
        <w:t xml:space="preserve">e </w:t>
      </w:r>
      <w:r w:rsidRPr="001D5459">
        <w:rPr>
          <w:rFonts w:ascii="Times New Roman" w:hAnsi="Times New Roman" w:cs="Times New Roman"/>
          <w:i/>
          <w:sz w:val="24"/>
          <w:szCs w:val="24"/>
        </w:rPr>
        <w:t>any</w:t>
      </w:r>
      <w:r w:rsidRPr="001D5459">
        <w:rPr>
          <w:rFonts w:ascii="Times New Roman" w:hAnsi="Times New Roman" w:cs="Times New Roman"/>
          <w:sz w:val="24"/>
          <w:szCs w:val="24"/>
        </w:rPr>
        <w:t xml:space="preserve"> Court judgment. Moreover, the traditions (or vigour) of judicial review across Europe vary,</w:t>
      </w:r>
      <w:r w:rsidRPr="001D5459">
        <w:rPr>
          <w:rFonts w:ascii="Times New Roman" w:hAnsi="Times New Roman" w:cs="Times New Roman"/>
          <w:sz w:val="24"/>
          <w:szCs w:val="24"/>
          <w:vertAlign w:val="superscript"/>
        </w:rPr>
        <w:footnoteReference w:id="160"/>
      </w:r>
      <w:r w:rsidRPr="001D5459">
        <w:rPr>
          <w:rFonts w:ascii="Times New Roman" w:hAnsi="Times New Roman" w:cs="Times New Roman"/>
          <w:sz w:val="24"/>
          <w:szCs w:val="24"/>
        </w:rPr>
        <w:t xml:space="preserve"> and this perhaps could explain why some of the voices accusing the Court of activism stem from domestic judicial branches. </w:t>
      </w:r>
    </w:p>
    <w:p w14:paraId="1CAE0545" w14:textId="77777777" w:rsidR="001D5459" w:rsidRPr="001D5459" w:rsidRDefault="001D5459" w:rsidP="001D5459">
      <w:pPr>
        <w:spacing w:line="360" w:lineRule="auto"/>
        <w:jc w:val="both"/>
        <w:rPr>
          <w:rFonts w:ascii="Times New Roman" w:hAnsi="Times New Roman" w:cs="Times New Roman"/>
          <w:sz w:val="24"/>
          <w:szCs w:val="24"/>
        </w:rPr>
      </w:pPr>
      <w:r w:rsidRPr="001D5459">
        <w:rPr>
          <w:rFonts w:ascii="Times New Roman" w:hAnsi="Times New Roman" w:cs="Times New Roman"/>
          <w:sz w:val="24"/>
          <w:szCs w:val="24"/>
        </w:rPr>
        <w:t xml:space="preserve">Such a balance (between the constitutionalist function and subsidiarity) is no doubt </w:t>
      </w:r>
      <w:r w:rsidR="005007A0">
        <w:rPr>
          <w:rFonts w:ascii="Times New Roman" w:hAnsi="Times New Roman" w:cs="Times New Roman"/>
          <w:sz w:val="24"/>
          <w:szCs w:val="24"/>
        </w:rPr>
        <w:t>anything but</w:t>
      </w:r>
      <w:r w:rsidRPr="001D5459">
        <w:rPr>
          <w:rFonts w:ascii="Times New Roman" w:hAnsi="Times New Roman" w:cs="Times New Roman"/>
          <w:sz w:val="24"/>
          <w:szCs w:val="24"/>
        </w:rPr>
        <w:t xml:space="preserve"> a straightforward exercise, and this is where European consensus </w:t>
      </w:r>
      <w:r w:rsidR="004E1F5E">
        <w:rPr>
          <w:rFonts w:ascii="Times New Roman" w:hAnsi="Times New Roman" w:cs="Times New Roman"/>
          <w:sz w:val="24"/>
          <w:szCs w:val="24"/>
        </w:rPr>
        <w:t xml:space="preserve">may </w:t>
      </w:r>
      <w:r w:rsidRPr="001D5459">
        <w:rPr>
          <w:rFonts w:ascii="Times New Roman" w:hAnsi="Times New Roman" w:cs="Times New Roman"/>
          <w:sz w:val="24"/>
          <w:szCs w:val="24"/>
        </w:rPr>
        <w:t xml:space="preserve">come into play. European consensus adds </w:t>
      </w:r>
      <w:r w:rsidRPr="001D5459">
        <w:rPr>
          <w:rFonts w:ascii="Times New Roman" w:hAnsi="Times New Roman" w:cs="Times New Roman"/>
          <w:i/>
          <w:sz w:val="24"/>
          <w:szCs w:val="24"/>
        </w:rPr>
        <w:t>as well</w:t>
      </w:r>
      <w:r w:rsidRPr="001D5459">
        <w:rPr>
          <w:rFonts w:ascii="Times New Roman" w:hAnsi="Times New Roman" w:cs="Times New Roman"/>
          <w:sz w:val="24"/>
          <w:szCs w:val="24"/>
        </w:rPr>
        <w:t xml:space="preserve"> to the legitimacy of the Court’s conclusions. However, if European consensus </w:t>
      </w:r>
      <w:r w:rsidR="004E1F5E">
        <w:rPr>
          <w:rFonts w:ascii="Times New Roman" w:hAnsi="Times New Roman" w:cs="Times New Roman"/>
          <w:sz w:val="24"/>
          <w:szCs w:val="24"/>
        </w:rPr>
        <w:t>always had</w:t>
      </w:r>
      <w:r w:rsidRPr="001D5459">
        <w:rPr>
          <w:rFonts w:ascii="Times New Roman" w:hAnsi="Times New Roman" w:cs="Times New Roman"/>
          <w:sz w:val="24"/>
          <w:szCs w:val="24"/>
        </w:rPr>
        <w:t xml:space="preserve"> </w:t>
      </w:r>
      <w:r w:rsidR="00C06AE7">
        <w:rPr>
          <w:rFonts w:ascii="Times New Roman" w:hAnsi="Times New Roman" w:cs="Times New Roman"/>
          <w:sz w:val="24"/>
          <w:szCs w:val="24"/>
        </w:rPr>
        <w:t xml:space="preserve">to </w:t>
      </w:r>
      <w:r w:rsidRPr="001D5459">
        <w:rPr>
          <w:rFonts w:ascii="Times New Roman" w:hAnsi="Times New Roman" w:cs="Times New Roman"/>
          <w:sz w:val="24"/>
          <w:szCs w:val="24"/>
        </w:rPr>
        <w:t xml:space="preserve">be accepted as the crucial factor to be taken into consideration by the Strasbourg Court, </w:t>
      </w:r>
      <w:r w:rsidR="004E1F5E">
        <w:rPr>
          <w:rFonts w:ascii="Times New Roman" w:hAnsi="Times New Roman" w:cs="Times New Roman"/>
          <w:sz w:val="24"/>
          <w:szCs w:val="24"/>
        </w:rPr>
        <w:t xml:space="preserve">it is not an exaggeration to suggest that </w:t>
      </w:r>
      <w:r w:rsidRPr="001D5459">
        <w:rPr>
          <w:rFonts w:ascii="Times New Roman" w:hAnsi="Times New Roman" w:cs="Times New Roman"/>
          <w:sz w:val="24"/>
          <w:szCs w:val="24"/>
        </w:rPr>
        <w:t xml:space="preserve">there would be no need to establish a Court in the first place (or at least to grant it the </w:t>
      </w:r>
      <w:r w:rsidR="005007A0">
        <w:rPr>
          <w:rFonts w:ascii="Times New Roman" w:hAnsi="Times New Roman" w:cs="Times New Roman"/>
          <w:sz w:val="24"/>
          <w:szCs w:val="24"/>
        </w:rPr>
        <w:t xml:space="preserve">present </w:t>
      </w:r>
      <w:r w:rsidRPr="001D5459">
        <w:rPr>
          <w:rFonts w:ascii="Times New Roman" w:hAnsi="Times New Roman" w:cs="Times New Roman"/>
          <w:sz w:val="24"/>
          <w:szCs w:val="24"/>
        </w:rPr>
        <w:t xml:space="preserve">jurisdiction under Articles 19 and 32 ECHR). It would probably suffice to establish an independent monitoring mechanism attached to the Council of Europe, which would merely identify and then confirm the convergence of the various legal orders in Europe on sensitive matters, and then would adjust (possibly through a process of ratification) the level of human rights protection accordingly. This is to suggest that the Court </w:t>
      </w:r>
      <w:r w:rsidRPr="001D5459">
        <w:rPr>
          <w:rFonts w:ascii="Times New Roman" w:hAnsi="Times New Roman" w:cs="Times New Roman"/>
          <w:i/>
          <w:sz w:val="24"/>
          <w:szCs w:val="24"/>
        </w:rPr>
        <w:t>has</w:t>
      </w:r>
      <w:r w:rsidRPr="001D5459">
        <w:rPr>
          <w:rFonts w:ascii="Times New Roman" w:hAnsi="Times New Roman" w:cs="Times New Roman"/>
          <w:sz w:val="24"/>
          <w:szCs w:val="24"/>
        </w:rPr>
        <w:t xml:space="preserve"> to interpret and apply the Convention. In </w:t>
      </w:r>
      <w:r w:rsidR="004E1F5E">
        <w:rPr>
          <w:rFonts w:ascii="Times New Roman" w:hAnsi="Times New Roman" w:cs="Times New Roman"/>
          <w:sz w:val="24"/>
          <w:szCs w:val="24"/>
        </w:rPr>
        <w:t xml:space="preserve">so </w:t>
      </w:r>
      <w:r w:rsidRPr="001D5459">
        <w:rPr>
          <w:rFonts w:ascii="Times New Roman" w:hAnsi="Times New Roman" w:cs="Times New Roman"/>
          <w:sz w:val="24"/>
          <w:szCs w:val="24"/>
        </w:rPr>
        <w:t xml:space="preserve">doing, it cannot merely </w:t>
      </w:r>
      <w:r w:rsidR="005007A0">
        <w:rPr>
          <w:rFonts w:ascii="Times New Roman" w:hAnsi="Times New Roman" w:cs="Times New Roman"/>
          <w:sz w:val="24"/>
          <w:szCs w:val="24"/>
        </w:rPr>
        <w:t xml:space="preserve">be </w:t>
      </w:r>
      <w:r w:rsidRPr="001D5459">
        <w:rPr>
          <w:rFonts w:ascii="Times New Roman" w:hAnsi="Times New Roman" w:cs="Times New Roman"/>
          <w:sz w:val="24"/>
          <w:szCs w:val="24"/>
        </w:rPr>
        <w:t>satisf</w:t>
      </w:r>
      <w:r w:rsidR="005007A0">
        <w:rPr>
          <w:rFonts w:ascii="Times New Roman" w:hAnsi="Times New Roman" w:cs="Times New Roman"/>
          <w:sz w:val="24"/>
          <w:szCs w:val="24"/>
        </w:rPr>
        <w:t>ied</w:t>
      </w:r>
      <w:r w:rsidRPr="001D5459">
        <w:rPr>
          <w:rFonts w:ascii="Times New Roman" w:hAnsi="Times New Roman" w:cs="Times New Roman"/>
          <w:sz w:val="24"/>
          <w:szCs w:val="24"/>
        </w:rPr>
        <w:t xml:space="preserve"> with the outcome of a comparative research across the contracting parties – and this can work both ways, that is, either in favour or to the detriment of the development of human righ</w:t>
      </w:r>
      <w:r w:rsidR="005007A0">
        <w:rPr>
          <w:rFonts w:ascii="Times New Roman" w:hAnsi="Times New Roman" w:cs="Times New Roman"/>
          <w:sz w:val="24"/>
          <w:szCs w:val="24"/>
        </w:rPr>
        <w:t>ts standards. In this sense, when</w:t>
      </w:r>
      <w:r w:rsidRPr="001D5459">
        <w:rPr>
          <w:rFonts w:ascii="Times New Roman" w:hAnsi="Times New Roman" w:cs="Times New Roman"/>
          <w:sz w:val="24"/>
          <w:szCs w:val="24"/>
        </w:rPr>
        <w:t xml:space="preserve"> consensus </w:t>
      </w:r>
      <w:r w:rsidR="005007A0">
        <w:rPr>
          <w:rFonts w:ascii="Times New Roman" w:hAnsi="Times New Roman" w:cs="Times New Roman"/>
          <w:sz w:val="24"/>
          <w:szCs w:val="24"/>
        </w:rPr>
        <w:t>is not the catalyst for</w:t>
      </w:r>
      <w:r w:rsidRPr="001D5459">
        <w:rPr>
          <w:rFonts w:ascii="Times New Roman" w:hAnsi="Times New Roman" w:cs="Times New Roman"/>
          <w:sz w:val="24"/>
          <w:szCs w:val="24"/>
        </w:rPr>
        <w:t xml:space="preserve"> the decision on the margin of appreciation, it cannot be taken for granted that the Court’s judgments lack legitimacy </w:t>
      </w:r>
      <w:r w:rsidRPr="001D5459">
        <w:rPr>
          <w:rFonts w:ascii="Times New Roman" w:hAnsi="Times New Roman" w:cs="Times New Roman"/>
          <w:i/>
          <w:sz w:val="24"/>
          <w:szCs w:val="24"/>
        </w:rPr>
        <w:t>simply because</w:t>
      </w:r>
      <w:r w:rsidRPr="001D5459">
        <w:rPr>
          <w:rFonts w:ascii="Times New Roman" w:hAnsi="Times New Roman" w:cs="Times New Roman"/>
          <w:sz w:val="24"/>
          <w:szCs w:val="24"/>
        </w:rPr>
        <w:t xml:space="preserve"> the Court did not follow </w:t>
      </w:r>
      <w:r w:rsidR="005007A0">
        <w:rPr>
          <w:rFonts w:ascii="Times New Roman" w:hAnsi="Times New Roman" w:cs="Times New Roman"/>
          <w:sz w:val="24"/>
          <w:szCs w:val="24"/>
        </w:rPr>
        <w:t xml:space="preserve">or give prominence to </w:t>
      </w:r>
      <w:r w:rsidRPr="001D5459">
        <w:rPr>
          <w:rFonts w:ascii="Times New Roman" w:hAnsi="Times New Roman" w:cs="Times New Roman"/>
          <w:sz w:val="24"/>
          <w:szCs w:val="24"/>
        </w:rPr>
        <w:t>the guidance provided by European consensus.</w:t>
      </w:r>
      <w:r w:rsidR="005007A0">
        <w:rPr>
          <w:rFonts w:ascii="Times New Roman" w:hAnsi="Times New Roman" w:cs="Times New Roman"/>
          <w:sz w:val="24"/>
          <w:szCs w:val="24"/>
        </w:rPr>
        <w:t xml:space="preserve"> </w:t>
      </w:r>
      <w:r w:rsidRPr="001D5459">
        <w:rPr>
          <w:rFonts w:ascii="Times New Roman" w:hAnsi="Times New Roman" w:cs="Times New Roman"/>
          <w:sz w:val="24"/>
          <w:szCs w:val="24"/>
        </w:rPr>
        <w:t xml:space="preserve"> </w:t>
      </w:r>
    </w:p>
    <w:p w14:paraId="5B0CF504" w14:textId="0053D93E" w:rsidR="001D5459" w:rsidRPr="00362B64" w:rsidRDefault="001D5459" w:rsidP="001D5459">
      <w:pPr>
        <w:spacing w:line="360" w:lineRule="auto"/>
        <w:jc w:val="both"/>
        <w:rPr>
          <w:rFonts w:ascii="Times New Roman" w:hAnsi="Times New Roman" w:cs="Times New Roman"/>
          <w:sz w:val="24"/>
          <w:szCs w:val="24"/>
        </w:rPr>
      </w:pPr>
      <w:r w:rsidRPr="00362B64">
        <w:rPr>
          <w:rFonts w:ascii="Times New Roman" w:hAnsi="Times New Roman" w:cs="Times New Roman"/>
          <w:sz w:val="24"/>
          <w:szCs w:val="24"/>
        </w:rPr>
        <w:t>To be sure, the w</w:t>
      </w:r>
      <w:r w:rsidR="009E45F4">
        <w:rPr>
          <w:rFonts w:ascii="Times New Roman" w:hAnsi="Times New Roman" w:cs="Times New Roman"/>
          <w:sz w:val="24"/>
          <w:szCs w:val="24"/>
        </w:rPr>
        <w:t>ork of the Court may be criticis</w:t>
      </w:r>
      <w:r w:rsidRPr="00362B64">
        <w:rPr>
          <w:rFonts w:ascii="Times New Roman" w:hAnsi="Times New Roman" w:cs="Times New Roman"/>
          <w:sz w:val="24"/>
          <w:szCs w:val="24"/>
        </w:rPr>
        <w:t xml:space="preserve">ed from a </w:t>
      </w:r>
      <w:r w:rsidR="00C06AE7" w:rsidRPr="00362B64">
        <w:rPr>
          <w:rFonts w:ascii="Times New Roman" w:hAnsi="Times New Roman" w:cs="Times New Roman"/>
          <w:sz w:val="24"/>
          <w:szCs w:val="24"/>
        </w:rPr>
        <w:t>broader</w:t>
      </w:r>
      <w:r w:rsidRPr="00362B64">
        <w:rPr>
          <w:rFonts w:ascii="Times New Roman" w:hAnsi="Times New Roman" w:cs="Times New Roman"/>
          <w:sz w:val="24"/>
          <w:szCs w:val="24"/>
        </w:rPr>
        <w:t xml:space="preserve"> standpoint</w:t>
      </w:r>
      <w:r w:rsidR="00C06AE7" w:rsidRPr="00362B64">
        <w:rPr>
          <w:rFonts w:ascii="Times New Roman" w:hAnsi="Times New Roman" w:cs="Times New Roman"/>
          <w:sz w:val="24"/>
          <w:szCs w:val="24"/>
        </w:rPr>
        <w:t>,</w:t>
      </w:r>
      <w:r w:rsidRPr="00362B64">
        <w:rPr>
          <w:rFonts w:ascii="Times New Roman" w:hAnsi="Times New Roman" w:cs="Times New Roman"/>
          <w:sz w:val="24"/>
          <w:szCs w:val="24"/>
        </w:rPr>
        <w:t xml:space="preserve"> which obviously exceeds the Convention’s ‘territory’. Reservations have been and will continue to be raised about the Court’s judgments due to a </w:t>
      </w:r>
      <w:r w:rsidR="00362B64" w:rsidRPr="00362B64">
        <w:rPr>
          <w:rFonts w:ascii="Times New Roman" w:hAnsi="Times New Roman" w:cs="Times New Roman"/>
          <w:sz w:val="24"/>
          <w:szCs w:val="24"/>
        </w:rPr>
        <w:t>plethora</w:t>
      </w:r>
      <w:r w:rsidRPr="00362B64">
        <w:rPr>
          <w:rFonts w:ascii="Times New Roman" w:hAnsi="Times New Roman" w:cs="Times New Roman"/>
          <w:sz w:val="24"/>
          <w:szCs w:val="24"/>
        </w:rPr>
        <w:t xml:space="preserve"> of reasons, including </w:t>
      </w:r>
      <w:r w:rsidR="002C7FAE" w:rsidRPr="00362B64">
        <w:rPr>
          <w:rFonts w:ascii="Times New Roman" w:hAnsi="Times New Roman" w:cs="Times New Roman"/>
          <w:sz w:val="24"/>
          <w:szCs w:val="24"/>
        </w:rPr>
        <w:t xml:space="preserve">varying degrees of </w:t>
      </w:r>
      <w:r w:rsidR="00E22DF1" w:rsidRPr="00362B64">
        <w:rPr>
          <w:rFonts w:ascii="Times New Roman" w:hAnsi="Times New Roman" w:cs="Times New Roman"/>
          <w:sz w:val="24"/>
          <w:szCs w:val="24"/>
        </w:rPr>
        <w:t xml:space="preserve">skepticism </w:t>
      </w:r>
      <w:r w:rsidR="002C7FAE" w:rsidRPr="00362B64">
        <w:rPr>
          <w:rFonts w:ascii="Times New Roman" w:hAnsi="Times New Roman" w:cs="Times New Roman"/>
          <w:sz w:val="24"/>
          <w:szCs w:val="24"/>
        </w:rPr>
        <w:t>vis-à-vis</w:t>
      </w:r>
      <w:r w:rsidR="00E22DF1" w:rsidRPr="00362B64">
        <w:rPr>
          <w:rFonts w:ascii="Times New Roman" w:hAnsi="Times New Roman" w:cs="Times New Roman"/>
          <w:sz w:val="24"/>
          <w:szCs w:val="24"/>
        </w:rPr>
        <w:t xml:space="preserve"> judicial review,</w:t>
      </w:r>
      <w:r w:rsidR="00E22DF1" w:rsidRPr="00362B64">
        <w:rPr>
          <w:rFonts w:ascii="Times New Roman" w:hAnsi="Times New Roman" w:cs="Times New Roman"/>
          <w:sz w:val="24"/>
          <w:szCs w:val="24"/>
          <w:vertAlign w:val="superscript"/>
        </w:rPr>
        <w:footnoteReference w:id="161"/>
      </w:r>
      <w:r w:rsidR="00E22DF1" w:rsidRPr="00362B64">
        <w:rPr>
          <w:rFonts w:ascii="Times New Roman" w:hAnsi="Times New Roman" w:cs="Times New Roman"/>
          <w:sz w:val="24"/>
          <w:szCs w:val="24"/>
        </w:rPr>
        <w:t xml:space="preserve"> especially when it enforces rights which are not ‘narrowly defined or absolute’.</w:t>
      </w:r>
      <w:r w:rsidR="00E22DF1" w:rsidRPr="00362B64">
        <w:rPr>
          <w:rFonts w:ascii="Times New Roman" w:hAnsi="Times New Roman" w:cs="Times New Roman"/>
          <w:sz w:val="24"/>
          <w:szCs w:val="24"/>
          <w:vertAlign w:val="superscript"/>
        </w:rPr>
        <w:footnoteReference w:id="162"/>
      </w:r>
      <w:r w:rsidR="00E22DF1" w:rsidRPr="00362B64">
        <w:rPr>
          <w:rFonts w:ascii="Times New Roman" w:hAnsi="Times New Roman" w:cs="Times New Roman"/>
          <w:sz w:val="24"/>
          <w:szCs w:val="24"/>
        </w:rPr>
        <w:t xml:space="preserve"> It has been observed that ‘rights adjudication is intrinsically political’;</w:t>
      </w:r>
      <w:r w:rsidR="00E22DF1" w:rsidRPr="00362B64">
        <w:rPr>
          <w:rFonts w:ascii="Times New Roman" w:hAnsi="Times New Roman" w:cs="Times New Roman"/>
          <w:sz w:val="24"/>
          <w:szCs w:val="24"/>
          <w:vertAlign w:val="superscript"/>
        </w:rPr>
        <w:footnoteReference w:id="163"/>
      </w:r>
      <w:r w:rsidR="00E22DF1" w:rsidRPr="00362B64">
        <w:rPr>
          <w:rFonts w:ascii="Times New Roman" w:hAnsi="Times New Roman" w:cs="Times New Roman"/>
          <w:sz w:val="24"/>
          <w:szCs w:val="24"/>
        </w:rPr>
        <w:t xml:space="preserve"> authors have critiqued, from various standpoints, the theory of ‘common law constitutionalism’.</w:t>
      </w:r>
      <w:r w:rsidR="00E22DF1" w:rsidRPr="00362B64">
        <w:rPr>
          <w:rFonts w:ascii="Times New Roman" w:hAnsi="Times New Roman" w:cs="Times New Roman"/>
          <w:sz w:val="24"/>
          <w:szCs w:val="24"/>
          <w:vertAlign w:val="superscript"/>
        </w:rPr>
        <w:footnoteReference w:id="164"/>
      </w:r>
      <w:r w:rsidR="00E22DF1" w:rsidRPr="00362B64">
        <w:rPr>
          <w:rFonts w:ascii="Times New Roman" w:hAnsi="Times New Roman" w:cs="Times New Roman"/>
          <w:sz w:val="24"/>
          <w:szCs w:val="24"/>
        </w:rPr>
        <w:t xml:space="preserve"> Criticism has been levelled against the judiciary for failure to protect civil liberties</w:t>
      </w:r>
      <w:r w:rsidR="004416BD" w:rsidRPr="00362B64">
        <w:rPr>
          <w:rFonts w:ascii="Times New Roman" w:hAnsi="Times New Roman" w:cs="Times New Roman"/>
          <w:sz w:val="24"/>
          <w:szCs w:val="24"/>
        </w:rPr>
        <w:t xml:space="preserve"> and restrict the power of the executive</w:t>
      </w:r>
      <w:r w:rsidR="00E22DF1" w:rsidRPr="00362B64">
        <w:rPr>
          <w:rFonts w:ascii="Times New Roman" w:hAnsi="Times New Roman" w:cs="Times New Roman"/>
          <w:sz w:val="24"/>
          <w:szCs w:val="24"/>
        </w:rPr>
        <w:t xml:space="preserve">, even after the adoption of </w:t>
      </w:r>
      <w:r w:rsidR="00362B64" w:rsidRPr="00362B64">
        <w:rPr>
          <w:rFonts w:ascii="Times New Roman" w:hAnsi="Times New Roman" w:cs="Times New Roman"/>
          <w:sz w:val="24"/>
          <w:szCs w:val="24"/>
        </w:rPr>
        <w:t xml:space="preserve">landmark pieces of </w:t>
      </w:r>
      <w:r w:rsidR="00E22DF1" w:rsidRPr="00362B64">
        <w:rPr>
          <w:rFonts w:ascii="Times New Roman" w:hAnsi="Times New Roman" w:cs="Times New Roman"/>
          <w:sz w:val="24"/>
          <w:szCs w:val="24"/>
        </w:rPr>
        <w:t xml:space="preserve">legislation such as the </w:t>
      </w:r>
      <w:r w:rsidR="00362B64" w:rsidRPr="00362B64">
        <w:rPr>
          <w:rFonts w:ascii="Times New Roman" w:hAnsi="Times New Roman" w:cs="Times New Roman"/>
          <w:sz w:val="24"/>
          <w:szCs w:val="24"/>
        </w:rPr>
        <w:t xml:space="preserve">UK’s </w:t>
      </w:r>
      <w:r w:rsidR="00E22DF1" w:rsidRPr="00362B64">
        <w:rPr>
          <w:rFonts w:ascii="Times New Roman" w:hAnsi="Times New Roman" w:cs="Times New Roman"/>
          <w:sz w:val="24"/>
          <w:szCs w:val="24"/>
        </w:rPr>
        <w:t>Human Rights Act 1998.</w:t>
      </w:r>
      <w:r w:rsidR="00E22DF1" w:rsidRPr="00362B64">
        <w:rPr>
          <w:rStyle w:val="FootnoteReference"/>
          <w:rFonts w:cs="Times New Roman"/>
          <w:sz w:val="24"/>
          <w:szCs w:val="24"/>
        </w:rPr>
        <w:footnoteReference w:id="165"/>
      </w:r>
      <w:r w:rsidR="00E22DF1" w:rsidRPr="00362B64">
        <w:rPr>
          <w:rFonts w:ascii="Times New Roman" w:hAnsi="Times New Roman" w:cs="Times New Roman"/>
          <w:sz w:val="24"/>
          <w:szCs w:val="24"/>
        </w:rPr>
        <w:t xml:space="preserve"> </w:t>
      </w:r>
      <w:r w:rsidR="00C06AE7" w:rsidRPr="00362B64">
        <w:rPr>
          <w:rFonts w:ascii="Times New Roman" w:hAnsi="Times New Roman" w:cs="Times New Roman"/>
          <w:sz w:val="24"/>
          <w:szCs w:val="24"/>
        </w:rPr>
        <w:t>O</w:t>
      </w:r>
      <w:r w:rsidRPr="00362B64">
        <w:rPr>
          <w:rFonts w:ascii="Times New Roman" w:hAnsi="Times New Roman" w:cs="Times New Roman"/>
          <w:sz w:val="24"/>
          <w:szCs w:val="24"/>
        </w:rPr>
        <w:t xml:space="preserve">ther approaches </w:t>
      </w:r>
      <w:r w:rsidR="00C06AE7" w:rsidRPr="00362B64">
        <w:rPr>
          <w:rFonts w:ascii="Times New Roman" w:hAnsi="Times New Roman" w:cs="Times New Roman"/>
          <w:sz w:val="24"/>
          <w:szCs w:val="24"/>
        </w:rPr>
        <w:t>understand</w:t>
      </w:r>
      <w:r w:rsidRPr="00362B64">
        <w:rPr>
          <w:rFonts w:ascii="Times New Roman" w:hAnsi="Times New Roman" w:cs="Times New Roman"/>
          <w:sz w:val="24"/>
          <w:szCs w:val="24"/>
        </w:rPr>
        <w:t xml:space="preserve"> developments such as the Human Rights Act</w:t>
      </w:r>
      <w:r w:rsidRPr="00362B64">
        <w:rPr>
          <w:rFonts w:ascii="Times New Roman" w:hAnsi="Times New Roman" w:cs="Times New Roman"/>
          <w:sz w:val="24"/>
          <w:szCs w:val="24"/>
          <w:vertAlign w:val="superscript"/>
        </w:rPr>
        <w:footnoteReference w:id="166"/>
      </w:r>
      <w:r w:rsidRPr="00362B64">
        <w:rPr>
          <w:rFonts w:ascii="Times New Roman" w:hAnsi="Times New Roman" w:cs="Times New Roman"/>
          <w:sz w:val="24"/>
          <w:szCs w:val="24"/>
        </w:rPr>
        <w:t xml:space="preserve"> as a successful compromise of a seemingly ‘impossible demand’: the need to reconcile ‘the demands of self-rule with the need to respect the human rights of those within its remit’.</w:t>
      </w:r>
      <w:r w:rsidRPr="00362B64">
        <w:rPr>
          <w:rFonts w:ascii="Times New Roman" w:hAnsi="Times New Roman" w:cs="Times New Roman"/>
          <w:sz w:val="24"/>
          <w:szCs w:val="24"/>
          <w:vertAlign w:val="superscript"/>
        </w:rPr>
        <w:footnoteReference w:id="167"/>
      </w:r>
      <w:r w:rsidRPr="00362B64">
        <w:rPr>
          <w:rFonts w:ascii="Times New Roman" w:hAnsi="Times New Roman" w:cs="Times New Roman"/>
          <w:sz w:val="24"/>
          <w:szCs w:val="24"/>
        </w:rPr>
        <w:t xml:space="preserve"> </w:t>
      </w:r>
      <w:r w:rsidR="0071672A" w:rsidRPr="00362B64">
        <w:rPr>
          <w:rFonts w:ascii="Times New Roman" w:hAnsi="Times New Roman" w:cs="Times New Roman"/>
          <w:sz w:val="24"/>
          <w:szCs w:val="24"/>
        </w:rPr>
        <w:t>The Act may therefore facilitate the dialogue between the legislature and the judiciary.</w:t>
      </w:r>
      <w:r w:rsidR="0071672A" w:rsidRPr="00362B64">
        <w:rPr>
          <w:rStyle w:val="FootnoteReference"/>
          <w:rFonts w:cs="Times New Roman"/>
          <w:sz w:val="24"/>
          <w:szCs w:val="24"/>
        </w:rPr>
        <w:footnoteReference w:id="168"/>
      </w:r>
      <w:r w:rsidR="0071672A" w:rsidRPr="00362B64">
        <w:rPr>
          <w:rFonts w:ascii="Times New Roman" w:hAnsi="Times New Roman" w:cs="Times New Roman"/>
          <w:sz w:val="24"/>
          <w:szCs w:val="24"/>
        </w:rPr>
        <w:t xml:space="preserve"> </w:t>
      </w:r>
      <w:r w:rsidRPr="00362B64">
        <w:rPr>
          <w:rFonts w:ascii="Times New Roman" w:hAnsi="Times New Roman" w:cs="Times New Roman"/>
          <w:sz w:val="24"/>
          <w:szCs w:val="24"/>
        </w:rPr>
        <w:t xml:space="preserve">These points should be duly noted in an account discussing the legitimacy of courts and tribunals, but it is, of course, beyond the </w:t>
      </w:r>
      <w:r w:rsidR="00103282" w:rsidRPr="00362B64">
        <w:rPr>
          <w:rFonts w:ascii="Times New Roman" w:hAnsi="Times New Roman" w:cs="Times New Roman"/>
          <w:sz w:val="24"/>
          <w:szCs w:val="24"/>
        </w:rPr>
        <w:t>aims</w:t>
      </w:r>
      <w:r w:rsidRPr="00362B64">
        <w:rPr>
          <w:rFonts w:ascii="Times New Roman" w:hAnsi="Times New Roman" w:cs="Times New Roman"/>
          <w:sz w:val="24"/>
          <w:szCs w:val="24"/>
        </w:rPr>
        <w:t xml:space="preserve"> of this contribution to address the perennial debate on the merit (or lack thereof) of judicial review, or – more generally - the relationship between the judiciary and the elected legislature.</w:t>
      </w:r>
    </w:p>
    <w:p w14:paraId="1B208933" w14:textId="77777777" w:rsidR="008A1A79" w:rsidRPr="004F71E0" w:rsidRDefault="001D5459" w:rsidP="001D5459">
      <w:pPr>
        <w:spacing w:line="360" w:lineRule="auto"/>
        <w:jc w:val="both"/>
        <w:rPr>
          <w:rFonts w:ascii="Times New Roman" w:hAnsi="Times New Roman" w:cs="Times New Roman"/>
          <w:sz w:val="24"/>
          <w:szCs w:val="24"/>
        </w:rPr>
      </w:pPr>
      <w:r w:rsidRPr="004F71E0">
        <w:rPr>
          <w:rFonts w:ascii="Times New Roman" w:hAnsi="Times New Roman" w:cs="Times New Roman"/>
          <w:sz w:val="24"/>
          <w:szCs w:val="24"/>
        </w:rPr>
        <w:t>In some cases, criticism aga</w:t>
      </w:r>
      <w:r w:rsidR="00370BEE" w:rsidRPr="004F71E0">
        <w:rPr>
          <w:rFonts w:ascii="Times New Roman" w:hAnsi="Times New Roman" w:cs="Times New Roman"/>
          <w:sz w:val="24"/>
          <w:szCs w:val="24"/>
        </w:rPr>
        <w:t>inst the Strasbourg Court and the Convention (particularly</w:t>
      </w:r>
      <w:r w:rsidRPr="004F71E0">
        <w:rPr>
          <w:rFonts w:ascii="Times New Roman" w:hAnsi="Times New Roman" w:cs="Times New Roman"/>
          <w:sz w:val="24"/>
          <w:szCs w:val="24"/>
        </w:rPr>
        <w:t xml:space="preserve"> from non-academic circles) </w:t>
      </w:r>
      <w:r w:rsidR="00370BEE" w:rsidRPr="004F71E0">
        <w:rPr>
          <w:rFonts w:ascii="Times New Roman" w:hAnsi="Times New Roman" w:cs="Times New Roman"/>
          <w:sz w:val="24"/>
          <w:szCs w:val="24"/>
        </w:rPr>
        <w:t>may</w:t>
      </w:r>
      <w:r w:rsidRPr="004F71E0">
        <w:rPr>
          <w:rFonts w:ascii="Times New Roman" w:hAnsi="Times New Roman" w:cs="Times New Roman"/>
          <w:sz w:val="24"/>
          <w:szCs w:val="24"/>
        </w:rPr>
        <w:t xml:space="preserve"> possibly stem from an ‘antipathy’ towards European control over domestic affairs,</w:t>
      </w:r>
      <w:r w:rsidRPr="004F71E0">
        <w:rPr>
          <w:rFonts w:ascii="Times New Roman" w:hAnsi="Times New Roman" w:cs="Times New Roman"/>
          <w:sz w:val="24"/>
          <w:szCs w:val="24"/>
          <w:vertAlign w:val="superscript"/>
        </w:rPr>
        <w:footnoteReference w:id="169"/>
      </w:r>
      <w:r w:rsidRPr="004F71E0">
        <w:rPr>
          <w:rFonts w:ascii="Times New Roman" w:hAnsi="Times New Roman" w:cs="Times New Roman"/>
          <w:sz w:val="24"/>
          <w:szCs w:val="24"/>
        </w:rPr>
        <w:t xml:space="preserve"> and such criticism directed at the ECtHR may occasionally be voiced via the ‘convenience’ of the legitimacy discourse. It may also be assumed that the </w:t>
      </w:r>
      <w:r w:rsidR="00370BEE" w:rsidRPr="004F71E0">
        <w:rPr>
          <w:rFonts w:ascii="Times New Roman" w:hAnsi="Times New Roman" w:cs="Times New Roman"/>
          <w:sz w:val="24"/>
          <w:szCs w:val="24"/>
        </w:rPr>
        <w:t>simultaneous presence of two European courts conflates</w:t>
      </w:r>
      <w:r w:rsidR="00EE7A19" w:rsidRPr="004F71E0">
        <w:rPr>
          <w:rFonts w:ascii="Times New Roman" w:hAnsi="Times New Roman" w:cs="Times New Roman"/>
          <w:sz w:val="24"/>
          <w:szCs w:val="24"/>
        </w:rPr>
        <w:t xml:space="preserve"> the</w:t>
      </w:r>
      <w:r w:rsidR="004F71E0">
        <w:rPr>
          <w:rFonts w:ascii="Times New Roman" w:hAnsi="Times New Roman" w:cs="Times New Roman"/>
          <w:sz w:val="24"/>
          <w:szCs w:val="24"/>
        </w:rPr>
        <w:t>se</w:t>
      </w:r>
      <w:r w:rsidR="00EE7A19" w:rsidRPr="004F71E0">
        <w:rPr>
          <w:rFonts w:ascii="Times New Roman" w:hAnsi="Times New Roman" w:cs="Times New Roman"/>
          <w:sz w:val="24"/>
          <w:szCs w:val="24"/>
        </w:rPr>
        <w:t xml:space="preserve"> voices of concern.</w:t>
      </w:r>
      <w:r w:rsidR="00EE7A19" w:rsidRPr="004F71E0">
        <w:rPr>
          <w:rStyle w:val="FootnoteReference"/>
          <w:rFonts w:cs="Times New Roman"/>
          <w:sz w:val="24"/>
          <w:szCs w:val="24"/>
        </w:rPr>
        <w:footnoteReference w:id="170"/>
      </w:r>
      <w:r w:rsidR="00370BEE" w:rsidRPr="004F71E0">
        <w:rPr>
          <w:rFonts w:ascii="Times New Roman" w:hAnsi="Times New Roman" w:cs="Times New Roman"/>
          <w:sz w:val="24"/>
          <w:szCs w:val="24"/>
        </w:rPr>
        <w:t xml:space="preserve"> </w:t>
      </w:r>
      <w:r w:rsidR="00EE7A19" w:rsidRPr="004F71E0">
        <w:rPr>
          <w:rFonts w:ascii="Times New Roman" w:hAnsi="Times New Roman" w:cs="Times New Roman"/>
          <w:sz w:val="24"/>
          <w:szCs w:val="24"/>
        </w:rPr>
        <w:t xml:space="preserve">Yet </w:t>
      </w:r>
      <w:r w:rsidRPr="004F71E0">
        <w:rPr>
          <w:rFonts w:ascii="Times New Roman" w:hAnsi="Times New Roman" w:cs="Times New Roman"/>
          <w:sz w:val="24"/>
          <w:szCs w:val="24"/>
        </w:rPr>
        <w:t>it could equally be claimed that a ‘virtuous competition’ between the two courts may result in ‘beneficial effects for the protection of fundamental rights in Europe’.</w:t>
      </w:r>
      <w:r w:rsidRPr="004F71E0">
        <w:rPr>
          <w:rFonts w:ascii="Times New Roman" w:hAnsi="Times New Roman" w:cs="Times New Roman"/>
          <w:sz w:val="24"/>
          <w:szCs w:val="24"/>
          <w:vertAlign w:val="superscript"/>
        </w:rPr>
        <w:footnoteReference w:id="171"/>
      </w:r>
      <w:r w:rsidR="008A1A79" w:rsidRPr="004F71E0">
        <w:rPr>
          <w:rFonts w:ascii="Times New Roman" w:hAnsi="Times New Roman" w:cs="Times New Roman"/>
          <w:sz w:val="24"/>
          <w:szCs w:val="24"/>
        </w:rPr>
        <w:t xml:space="preserve"> </w:t>
      </w:r>
    </w:p>
    <w:p w14:paraId="4A3C2ED6" w14:textId="4FC0338E" w:rsidR="001D5459" w:rsidRPr="001D5459" w:rsidRDefault="008A1A79" w:rsidP="001D5459">
      <w:pPr>
        <w:spacing w:line="360" w:lineRule="auto"/>
        <w:jc w:val="both"/>
        <w:rPr>
          <w:rFonts w:ascii="Times New Roman" w:hAnsi="Times New Roman" w:cs="Times New Roman"/>
          <w:sz w:val="24"/>
          <w:szCs w:val="24"/>
        </w:rPr>
      </w:pPr>
      <w:r>
        <w:rPr>
          <w:rFonts w:ascii="Times New Roman" w:hAnsi="Times New Roman" w:cs="Times New Roman"/>
          <w:sz w:val="24"/>
          <w:szCs w:val="24"/>
        </w:rPr>
        <w:t>In any event, w</w:t>
      </w:r>
      <w:r w:rsidR="001D5459" w:rsidRPr="001D5459">
        <w:rPr>
          <w:rFonts w:ascii="Times New Roman" w:hAnsi="Times New Roman" w:cs="Times New Roman"/>
          <w:sz w:val="24"/>
          <w:szCs w:val="24"/>
        </w:rPr>
        <w:t>hile the author does not stand among those believing that the ECtHR has been, on balance, particularly activist in its approach, the author acknowledges, nonetheless, that the discussion on legitimacy cannot be overlooked by the Strasbourg judges, not least because of the imminent risk of non-implementation.</w:t>
      </w:r>
      <w:r w:rsidR="003C33E4">
        <w:rPr>
          <w:rFonts w:ascii="Times New Roman" w:hAnsi="Times New Roman" w:cs="Times New Roman"/>
          <w:sz w:val="24"/>
          <w:szCs w:val="24"/>
        </w:rPr>
        <w:t xml:space="preserve"> </w:t>
      </w:r>
      <w:r w:rsidR="001D5459" w:rsidRPr="001D5459">
        <w:rPr>
          <w:rFonts w:ascii="Times New Roman" w:hAnsi="Times New Roman" w:cs="Times New Roman"/>
          <w:sz w:val="24"/>
          <w:szCs w:val="24"/>
        </w:rPr>
        <w:t>Because of the structure of the Convention machinery as a subsidiary level of protection, effective implementation – although formally entrusted to the Committee of Ministers</w:t>
      </w:r>
      <w:r w:rsidR="001D5459" w:rsidRPr="001D5459">
        <w:rPr>
          <w:rFonts w:ascii="Times New Roman" w:hAnsi="Times New Roman" w:cs="Times New Roman"/>
          <w:sz w:val="24"/>
          <w:szCs w:val="24"/>
          <w:vertAlign w:val="superscript"/>
        </w:rPr>
        <w:footnoteReference w:id="172"/>
      </w:r>
      <w:r w:rsidR="001D5459" w:rsidRPr="001D5459">
        <w:rPr>
          <w:rFonts w:ascii="Times New Roman" w:hAnsi="Times New Roman" w:cs="Times New Roman"/>
          <w:sz w:val="24"/>
          <w:szCs w:val="24"/>
        </w:rPr>
        <w:t xml:space="preserve"> – quite inevitably presupposes dialogue</w:t>
      </w:r>
      <w:r w:rsidR="001D5459" w:rsidRPr="001D5459">
        <w:rPr>
          <w:rFonts w:ascii="Times New Roman" w:hAnsi="Times New Roman" w:cs="Times New Roman"/>
          <w:sz w:val="24"/>
          <w:szCs w:val="24"/>
          <w:vertAlign w:val="superscript"/>
        </w:rPr>
        <w:footnoteReference w:id="173"/>
      </w:r>
      <w:r w:rsidR="001D5459" w:rsidRPr="001D5459">
        <w:rPr>
          <w:rFonts w:ascii="Times New Roman" w:hAnsi="Times New Roman" w:cs="Times New Roman"/>
          <w:sz w:val="24"/>
          <w:szCs w:val="24"/>
        </w:rPr>
        <w:t xml:space="preserve"> and ‘communication between the different actors’.</w:t>
      </w:r>
      <w:r w:rsidR="001D5459" w:rsidRPr="001D5459">
        <w:rPr>
          <w:rFonts w:ascii="Times New Roman" w:hAnsi="Times New Roman" w:cs="Times New Roman"/>
          <w:sz w:val="24"/>
          <w:szCs w:val="24"/>
          <w:vertAlign w:val="superscript"/>
        </w:rPr>
        <w:footnoteReference w:id="174"/>
      </w:r>
      <w:r w:rsidR="001D5459" w:rsidRPr="001D5459">
        <w:rPr>
          <w:rFonts w:ascii="Times New Roman" w:hAnsi="Times New Roman" w:cs="Times New Roman"/>
          <w:sz w:val="24"/>
          <w:szCs w:val="24"/>
        </w:rPr>
        <w:t xml:space="preserve"> </w:t>
      </w:r>
    </w:p>
    <w:p w14:paraId="01DDA242" w14:textId="71BDDFC2" w:rsidR="00CA4AB9" w:rsidRDefault="001D5459" w:rsidP="001D5459">
      <w:pPr>
        <w:spacing w:line="360" w:lineRule="auto"/>
        <w:jc w:val="both"/>
        <w:rPr>
          <w:rFonts w:ascii="Times New Roman" w:hAnsi="Times New Roman" w:cs="Times New Roman"/>
          <w:sz w:val="24"/>
          <w:szCs w:val="24"/>
          <w:lang w:val="en-GB"/>
        </w:rPr>
      </w:pPr>
      <w:r w:rsidRPr="001D5459">
        <w:rPr>
          <w:rFonts w:ascii="Times New Roman" w:hAnsi="Times New Roman" w:cs="Times New Roman"/>
          <w:sz w:val="24"/>
          <w:szCs w:val="24"/>
        </w:rPr>
        <w:t xml:space="preserve">Thus, to return to the question of the use of European consensus by the Strasbourg Court, it is submitted that using consensus as </w:t>
      </w:r>
      <w:r w:rsidRPr="001D5459">
        <w:rPr>
          <w:rFonts w:ascii="Times New Roman" w:hAnsi="Times New Roman" w:cs="Times New Roman"/>
          <w:i/>
          <w:sz w:val="24"/>
          <w:szCs w:val="24"/>
        </w:rPr>
        <w:t>one</w:t>
      </w:r>
      <w:r w:rsidR="00091245">
        <w:rPr>
          <w:rFonts w:ascii="Times New Roman" w:hAnsi="Times New Roman" w:cs="Times New Roman"/>
          <w:sz w:val="24"/>
          <w:szCs w:val="24"/>
        </w:rPr>
        <w:t xml:space="preserve"> of the available forms of reasoning within proportionality</w:t>
      </w:r>
      <w:r w:rsidRPr="001D5459">
        <w:rPr>
          <w:rFonts w:ascii="Times New Roman" w:hAnsi="Times New Roman" w:cs="Times New Roman"/>
          <w:sz w:val="24"/>
          <w:szCs w:val="24"/>
        </w:rPr>
        <w:t xml:space="preserve"> is preferable to either disregarding consensus altogether or relying primarily (or perhaps exclusively) on it, because this </w:t>
      </w:r>
      <w:r w:rsidR="008D459B">
        <w:rPr>
          <w:rFonts w:ascii="Times New Roman" w:hAnsi="Times New Roman" w:cs="Times New Roman"/>
          <w:sz w:val="24"/>
          <w:szCs w:val="24"/>
        </w:rPr>
        <w:t>supports</w:t>
      </w:r>
      <w:r w:rsidRPr="001D5459">
        <w:rPr>
          <w:rFonts w:ascii="Times New Roman" w:hAnsi="Times New Roman" w:cs="Times New Roman"/>
          <w:sz w:val="24"/>
          <w:szCs w:val="24"/>
        </w:rPr>
        <w:t xml:space="preserve"> the multi-dimensional legitimacy of a Court that has to strike a delicate balance between the development of human rights in Europe (the constitutionalist thesis) and its role as the jurisdiction of last resort. </w:t>
      </w:r>
      <w:r w:rsidRPr="001D5459">
        <w:rPr>
          <w:rFonts w:ascii="Times New Roman" w:hAnsi="Times New Roman" w:cs="Times New Roman"/>
          <w:sz w:val="24"/>
          <w:szCs w:val="24"/>
          <w:lang w:val="en-GB"/>
        </w:rPr>
        <w:t xml:space="preserve">Consensus injects a majoritarian dimension to the Court’s analysis which can seem at first glance attractive from a legitimacy point of view. It is not clear, however, why priority should be given to this legitimising factor. </w:t>
      </w:r>
      <w:r w:rsidR="0041686E">
        <w:rPr>
          <w:rFonts w:ascii="Times New Roman" w:hAnsi="Times New Roman" w:cs="Times New Roman"/>
          <w:sz w:val="24"/>
          <w:szCs w:val="24"/>
          <w:lang w:val="en-GB"/>
        </w:rPr>
        <w:t>Thus,</w:t>
      </w:r>
      <w:r w:rsidRPr="001D5459">
        <w:rPr>
          <w:rFonts w:ascii="Times New Roman" w:hAnsi="Times New Roman" w:cs="Times New Roman"/>
          <w:sz w:val="24"/>
          <w:szCs w:val="24"/>
          <w:lang w:val="en-GB"/>
        </w:rPr>
        <w:t xml:space="preserve"> the lack of consensus cannot </w:t>
      </w:r>
      <w:r w:rsidR="00CE6076">
        <w:rPr>
          <w:rFonts w:ascii="Times New Roman" w:hAnsi="Times New Roman" w:cs="Times New Roman"/>
          <w:sz w:val="24"/>
          <w:szCs w:val="24"/>
          <w:lang w:val="en-GB"/>
        </w:rPr>
        <w:t>amount</w:t>
      </w:r>
      <w:r w:rsidR="00091245">
        <w:rPr>
          <w:rFonts w:ascii="Times New Roman" w:hAnsi="Times New Roman" w:cs="Times New Roman"/>
          <w:sz w:val="24"/>
          <w:szCs w:val="24"/>
          <w:lang w:val="en-GB"/>
        </w:rPr>
        <w:t xml:space="preserve"> to a</w:t>
      </w:r>
      <w:r w:rsidR="00CE6076">
        <w:rPr>
          <w:rFonts w:ascii="Times New Roman" w:hAnsi="Times New Roman" w:cs="Times New Roman"/>
          <w:sz w:val="24"/>
          <w:szCs w:val="24"/>
          <w:lang w:val="en-GB"/>
        </w:rPr>
        <w:t xml:space="preserve"> ‘carte blanche’ for</w:t>
      </w:r>
      <w:r w:rsidRPr="001D5459">
        <w:rPr>
          <w:rFonts w:ascii="Times New Roman" w:hAnsi="Times New Roman" w:cs="Times New Roman"/>
          <w:sz w:val="24"/>
          <w:szCs w:val="24"/>
          <w:lang w:val="en-GB"/>
        </w:rPr>
        <w:t xml:space="preserve"> violations of rights as such matters are ultimately determined by a Strasbourg Court duly considering present</w:t>
      </w:r>
      <w:r w:rsidR="00CE6076">
        <w:rPr>
          <w:rFonts w:ascii="Times New Roman" w:hAnsi="Times New Roman" w:cs="Times New Roman"/>
          <w:sz w:val="24"/>
          <w:szCs w:val="24"/>
          <w:lang w:val="en-GB"/>
        </w:rPr>
        <w:t>-day</w:t>
      </w:r>
      <w:r w:rsidRPr="001D5459">
        <w:rPr>
          <w:rFonts w:ascii="Times New Roman" w:hAnsi="Times New Roman" w:cs="Times New Roman"/>
          <w:sz w:val="24"/>
          <w:szCs w:val="24"/>
          <w:lang w:val="en-GB"/>
        </w:rPr>
        <w:t xml:space="preserve"> conditions and evolution</w:t>
      </w:r>
      <w:r w:rsidR="00CE6076">
        <w:rPr>
          <w:rFonts w:ascii="Times New Roman" w:hAnsi="Times New Roman" w:cs="Times New Roman"/>
          <w:sz w:val="24"/>
          <w:szCs w:val="24"/>
          <w:lang w:val="en-GB"/>
        </w:rPr>
        <w:t>.</w:t>
      </w:r>
      <w:r w:rsidRPr="001D5459">
        <w:rPr>
          <w:rFonts w:ascii="Times New Roman" w:hAnsi="Times New Roman" w:cs="Times New Roman"/>
          <w:sz w:val="24"/>
          <w:szCs w:val="24"/>
          <w:lang w:val="en-GB"/>
        </w:rPr>
        <w:t xml:space="preserve"> </w:t>
      </w:r>
      <w:r w:rsidR="00CE6076">
        <w:rPr>
          <w:rFonts w:ascii="Times New Roman" w:hAnsi="Times New Roman" w:cs="Times New Roman"/>
          <w:sz w:val="24"/>
          <w:szCs w:val="24"/>
          <w:lang w:val="en-GB"/>
        </w:rPr>
        <w:t>T</w:t>
      </w:r>
      <w:r w:rsidRPr="001D5459">
        <w:rPr>
          <w:rFonts w:ascii="Times New Roman" w:hAnsi="Times New Roman" w:cs="Times New Roman"/>
          <w:sz w:val="24"/>
          <w:szCs w:val="24"/>
          <w:lang w:val="en-GB"/>
        </w:rPr>
        <w:t xml:space="preserve">he presence of consensus should </w:t>
      </w:r>
      <w:r w:rsidR="00CE6076">
        <w:rPr>
          <w:rFonts w:ascii="Times New Roman" w:hAnsi="Times New Roman" w:cs="Times New Roman"/>
          <w:sz w:val="24"/>
          <w:szCs w:val="24"/>
          <w:lang w:val="en-GB"/>
        </w:rPr>
        <w:t xml:space="preserve">also </w:t>
      </w:r>
      <w:r w:rsidRPr="001D5459">
        <w:rPr>
          <w:rFonts w:ascii="Times New Roman" w:hAnsi="Times New Roman" w:cs="Times New Roman"/>
          <w:sz w:val="24"/>
          <w:szCs w:val="24"/>
          <w:lang w:val="en-GB"/>
        </w:rPr>
        <w:t xml:space="preserve">not exclude the possibility for the respondent to justify </w:t>
      </w:r>
      <w:r w:rsidR="00A32267">
        <w:rPr>
          <w:rFonts w:ascii="Times New Roman" w:hAnsi="Times New Roman" w:cs="Times New Roman"/>
          <w:sz w:val="24"/>
          <w:szCs w:val="24"/>
          <w:lang w:val="en-GB"/>
        </w:rPr>
        <w:t>divergence</w:t>
      </w:r>
      <w:r w:rsidRPr="001D5459">
        <w:rPr>
          <w:rFonts w:ascii="Times New Roman" w:hAnsi="Times New Roman" w:cs="Times New Roman"/>
          <w:sz w:val="24"/>
          <w:szCs w:val="24"/>
          <w:lang w:val="en-GB"/>
        </w:rPr>
        <w:t xml:space="preserve"> (in light of subsidiarity). The Court was not created to decide on a consensual basis; it was created to safeguard and, </w:t>
      </w:r>
      <w:r w:rsidRPr="001D5459">
        <w:rPr>
          <w:rFonts w:ascii="Times New Roman" w:hAnsi="Times New Roman" w:cs="Times New Roman"/>
          <w:i/>
          <w:sz w:val="24"/>
          <w:szCs w:val="24"/>
          <w:lang w:val="en-GB"/>
        </w:rPr>
        <w:t>where appropriate</w:t>
      </w:r>
      <w:r w:rsidRPr="001D5459">
        <w:rPr>
          <w:rFonts w:ascii="Times New Roman" w:hAnsi="Times New Roman" w:cs="Times New Roman"/>
          <w:sz w:val="24"/>
          <w:szCs w:val="24"/>
          <w:lang w:val="en-GB"/>
        </w:rPr>
        <w:t xml:space="preserve">, develop the human rights standards in Europe, being mindful, nonetheless, of its subsidiary role and the need to defer in order to accommodate domestic sensitivities or expertise - again, </w:t>
      </w:r>
      <w:r w:rsidRPr="001D5459">
        <w:rPr>
          <w:rFonts w:ascii="Times New Roman" w:hAnsi="Times New Roman" w:cs="Times New Roman"/>
          <w:i/>
          <w:sz w:val="24"/>
          <w:szCs w:val="24"/>
          <w:lang w:val="en-GB"/>
        </w:rPr>
        <w:t>where appropriate</w:t>
      </w:r>
      <w:r w:rsidRPr="001D5459">
        <w:rPr>
          <w:rFonts w:ascii="Times New Roman" w:hAnsi="Times New Roman" w:cs="Times New Roman"/>
          <w:sz w:val="24"/>
          <w:szCs w:val="24"/>
          <w:lang w:val="en-GB"/>
        </w:rPr>
        <w:t xml:space="preserve">. </w:t>
      </w:r>
    </w:p>
    <w:p w14:paraId="2EA681A3" w14:textId="0E964994" w:rsidR="00CA4AB9" w:rsidRPr="0041686E" w:rsidRDefault="001D5459" w:rsidP="00CA4AB9">
      <w:pPr>
        <w:spacing w:line="360" w:lineRule="auto"/>
        <w:jc w:val="both"/>
        <w:rPr>
          <w:rFonts w:ascii="Times New Roman" w:hAnsi="Times New Roman" w:cs="Times New Roman"/>
          <w:sz w:val="24"/>
          <w:szCs w:val="24"/>
        </w:rPr>
      </w:pPr>
      <w:r w:rsidRPr="001D5459">
        <w:rPr>
          <w:rFonts w:ascii="Times New Roman" w:hAnsi="Times New Roman" w:cs="Times New Roman"/>
          <w:sz w:val="24"/>
          <w:szCs w:val="24"/>
          <w:lang w:val="en-GB"/>
        </w:rPr>
        <w:t xml:space="preserve">In this sense, the application of consensus within </w:t>
      </w:r>
      <w:r w:rsidR="00CA4AB9">
        <w:rPr>
          <w:rFonts w:ascii="Times New Roman" w:hAnsi="Times New Roman" w:cs="Times New Roman"/>
          <w:sz w:val="24"/>
          <w:szCs w:val="24"/>
          <w:lang w:val="en-GB"/>
        </w:rPr>
        <w:t xml:space="preserve">the proportionality exercise enables </w:t>
      </w:r>
      <w:r w:rsidRPr="001D5459">
        <w:rPr>
          <w:rFonts w:ascii="Times New Roman" w:hAnsi="Times New Roman" w:cs="Times New Roman"/>
          <w:sz w:val="24"/>
          <w:szCs w:val="24"/>
          <w:lang w:val="en-GB"/>
        </w:rPr>
        <w:t>the Court to take into account a plethora of factors before concluding on the margin of appreciation</w:t>
      </w:r>
      <w:r w:rsidR="00CA4AB9">
        <w:rPr>
          <w:rFonts w:ascii="Times New Roman" w:hAnsi="Times New Roman" w:cs="Times New Roman"/>
          <w:sz w:val="24"/>
          <w:szCs w:val="24"/>
          <w:lang w:val="en-GB"/>
        </w:rPr>
        <w:t xml:space="preserve">, </w:t>
      </w:r>
      <w:r w:rsidR="00CE6076">
        <w:rPr>
          <w:rFonts w:ascii="Times New Roman" w:hAnsi="Times New Roman" w:cs="Times New Roman"/>
          <w:sz w:val="24"/>
          <w:szCs w:val="24"/>
          <w:lang w:val="en-GB"/>
        </w:rPr>
        <w:t xml:space="preserve">such as the balancing of </w:t>
      </w:r>
      <w:r w:rsidR="0041686E">
        <w:rPr>
          <w:rFonts w:ascii="Times New Roman" w:hAnsi="Times New Roman" w:cs="Times New Roman"/>
          <w:sz w:val="24"/>
          <w:szCs w:val="24"/>
          <w:lang w:val="en-GB"/>
        </w:rPr>
        <w:t>c</w:t>
      </w:r>
      <w:r w:rsidR="00CA4AB9">
        <w:rPr>
          <w:rFonts w:ascii="Times New Roman" w:hAnsi="Times New Roman" w:cs="Times New Roman"/>
          <w:sz w:val="24"/>
          <w:szCs w:val="24"/>
          <w:lang w:val="en-GB"/>
        </w:rPr>
        <w:t xml:space="preserve">ompeting public and private interests, the examination of less restrictive alternatives, considerations of whether the essence of the right has been impaired, the tenet that </w:t>
      </w:r>
      <w:r w:rsidR="00CA4AB9" w:rsidRPr="001D5459">
        <w:rPr>
          <w:rFonts w:ascii="Times New Roman" w:hAnsi="Times New Roman" w:cs="Times New Roman"/>
          <w:sz w:val="24"/>
          <w:szCs w:val="24"/>
        </w:rPr>
        <w:t xml:space="preserve">rights should be practical and effective and not theoretical and </w:t>
      </w:r>
      <w:r w:rsidR="00CA4AB9" w:rsidRPr="0041686E">
        <w:rPr>
          <w:rFonts w:ascii="Times New Roman" w:hAnsi="Times New Roman" w:cs="Times New Roman"/>
          <w:sz w:val="24"/>
          <w:szCs w:val="24"/>
        </w:rPr>
        <w:t>illusory, occasionally statistical evidence or expert opinions,</w:t>
      </w:r>
      <w:r w:rsidR="00CA4AB9" w:rsidRPr="0041686E">
        <w:rPr>
          <w:rFonts w:ascii="Times New Roman" w:hAnsi="Times New Roman"/>
          <w:sz w:val="24"/>
          <w:szCs w:val="24"/>
          <w:vertAlign w:val="superscript"/>
        </w:rPr>
        <w:footnoteReference w:id="175"/>
      </w:r>
      <w:r w:rsidR="00CA4AB9" w:rsidRPr="0041686E">
        <w:rPr>
          <w:rFonts w:ascii="Times New Roman" w:hAnsi="Times New Roman" w:cs="Times New Roman"/>
          <w:sz w:val="24"/>
          <w:szCs w:val="24"/>
        </w:rPr>
        <w:t xml:space="preserve"> among others. </w:t>
      </w:r>
    </w:p>
    <w:p w14:paraId="44C824E1" w14:textId="77777777" w:rsidR="00FD3558" w:rsidRDefault="001D5459" w:rsidP="001D5459">
      <w:pPr>
        <w:spacing w:line="360" w:lineRule="auto"/>
        <w:jc w:val="both"/>
        <w:rPr>
          <w:rFonts w:ascii="Times New Roman" w:hAnsi="Times New Roman" w:cs="Times New Roman"/>
          <w:sz w:val="24"/>
          <w:szCs w:val="24"/>
          <w:lang w:val="en-GB"/>
        </w:rPr>
      </w:pPr>
      <w:r w:rsidRPr="001D5459">
        <w:rPr>
          <w:rFonts w:ascii="Times New Roman" w:hAnsi="Times New Roman" w:cs="Times New Roman"/>
          <w:sz w:val="24"/>
          <w:szCs w:val="24"/>
          <w:lang w:val="en-GB"/>
        </w:rPr>
        <w:t xml:space="preserve">Taking this further, unless we accept that courts are majoritarian institutions (they are not) or at least that they reflect majoritarian tendencies (even prominent sceptics of judicial review would not advance the claim that such review, when it occurs or should occur and however confined, should be ultimately based on a calculus of the majority view), then the majoritarian aspect of consensus is not the best argument to legitimise its use by the Court. Rather, it is the actual </w:t>
      </w:r>
      <w:r w:rsidRPr="001D5459">
        <w:rPr>
          <w:rFonts w:ascii="Times New Roman" w:hAnsi="Times New Roman" w:cs="Times New Roman"/>
          <w:i/>
          <w:sz w:val="24"/>
          <w:szCs w:val="24"/>
          <w:lang w:val="en-GB"/>
        </w:rPr>
        <w:t>convergence</w:t>
      </w:r>
      <w:r w:rsidRPr="001D5459">
        <w:rPr>
          <w:rFonts w:ascii="Times New Roman" w:hAnsi="Times New Roman" w:cs="Times New Roman"/>
          <w:sz w:val="24"/>
          <w:szCs w:val="24"/>
          <w:lang w:val="en-GB"/>
        </w:rPr>
        <w:t xml:space="preserve"> of the legal orders that enables the Court to resort to </w:t>
      </w:r>
      <w:r w:rsidRPr="00E2584D">
        <w:rPr>
          <w:rFonts w:ascii="Times New Roman" w:hAnsi="Times New Roman" w:cs="Times New Roman"/>
          <w:sz w:val="24"/>
          <w:szCs w:val="24"/>
          <w:lang w:val="en-GB"/>
        </w:rPr>
        <w:t xml:space="preserve">evolutive interpretation; and it is that convergence that should be viewed as legitimising consensus. </w:t>
      </w:r>
      <w:r w:rsidR="00464EC6" w:rsidRPr="00E2584D">
        <w:rPr>
          <w:rFonts w:ascii="Times New Roman" w:hAnsi="Times New Roman" w:cs="Times New Roman"/>
          <w:sz w:val="24"/>
          <w:szCs w:val="24"/>
          <w:lang w:val="en-GB"/>
        </w:rPr>
        <w:t>Evolutive interpretation, it is remembered, is based on the tenet that the Convention is a living instrument which should reflect present-day conditions. If consensus is the bridge between the margin of appreciation and evolutive interpretation,</w:t>
      </w:r>
      <w:r w:rsidR="00E2584D" w:rsidRPr="00E2584D">
        <w:rPr>
          <w:rStyle w:val="FootnoteReference"/>
          <w:rFonts w:cs="Times New Roman"/>
          <w:sz w:val="24"/>
          <w:szCs w:val="24"/>
          <w:lang w:val="en-GB"/>
        </w:rPr>
        <w:footnoteReference w:id="176"/>
      </w:r>
      <w:r w:rsidR="00464EC6" w:rsidRPr="00E2584D">
        <w:rPr>
          <w:rFonts w:ascii="Times New Roman" w:hAnsi="Times New Roman" w:cs="Times New Roman"/>
          <w:sz w:val="24"/>
          <w:szCs w:val="24"/>
          <w:lang w:val="en-GB"/>
        </w:rPr>
        <w:t xml:space="preserve"> then the convergence across Europe can be deemed to reflect</w:t>
      </w:r>
      <w:r w:rsidR="000171D5" w:rsidRPr="00E2584D">
        <w:rPr>
          <w:rFonts w:ascii="Times New Roman" w:hAnsi="Times New Roman" w:cs="Times New Roman"/>
          <w:sz w:val="24"/>
          <w:szCs w:val="24"/>
          <w:lang w:val="en-GB"/>
        </w:rPr>
        <w:t xml:space="preserve"> the necessary</w:t>
      </w:r>
      <w:r w:rsidR="00464EC6" w:rsidRPr="00E2584D">
        <w:rPr>
          <w:rFonts w:ascii="Times New Roman" w:hAnsi="Times New Roman" w:cs="Times New Roman"/>
          <w:sz w:val="24"/>
          <w:szCs w:val="24"/>
          <w:lang w:val="en-GB"/>
        </w:rPr>
        <w:t xml:space="preserve"> present-day conditions</w:t>
      </w:r>
      <w:r w:rsidR="000171D5" w:rsidRPr="00E2584D">
        <w:rPr>
          <w:rFonts w:ascii="Times New Roman" w:hAnsi="Times New Roman" w:cs="Times New Roman"/>
          <w:sz w:val="24"/>
          <w:szCs w:val="24"/>
          <w:lang w:val="en-GB"/>
        </w:rPr>
        <w:t>, thereby</w:t>
      </w:r>
      <w:r w:rsidR="00464EC6" w:rsidRPr="00E2584D">
        <w:rPr>
          <w:rFonts w:ascii="Times New Roman" w:hAnsi="Times New Roman" w:cs="Times New Roman"/>
          <w:sz w:val="24"/>
          <w:szCs w:val="24"/>
          <w:lang w:val="en-GB"/>
        </w:rPr>
        <w:t xml:space="preserve"> justify</w:t>
      </w:r>
      <w:r w:rsidR="000171D5" w:rsidRPr="00E2584D">
        <w:rPr>
          <w:rFonts w:ascii="Times New Roman" w:hAnsi="Times New Roman" w:cs="Times New Roman"/>
          <w:sz w:val="24"/>
          <w:szCs w:val="24"/>
          <w:lang w:val="en-GB"/>
        </w:rPr>
        <w:t>ing</w:t>
      </w:r>
      <w:r w:rsidR="00464EC6" w:rsidRPr="00E2584D">
        <w:rPr>
          <w:rFonts w:ascii="Times New Roman" w:hAnsi="Times New Roman" w:cs="Times New Roman"/>
          <w:sz w:val="24"/>
          <w:szCs w:val="24"/>
          <w:lang w:val="en-GB"/>
        </w:rPr>
        <w:t xml:space="preserve"> the use of consensus. Thus, </w:t>
      </w:r>
      <w:r w:rsidRPr="00E2584D">
        <w:rPr>
          <w:rFonts w:ascii="Times New Roman" w:hAnsi="Times New Roman" w:cs="Times New Roman"/>
          <w:sz w:val="24"/>
          <w:szCs w:val="24"/>
          <w:lang w:val="en-GB"/>
        </w:rPr>
        <w:t xml:space="preserve">it is crucial for the Court, or so this article submits, to disentangle consensus </w:t>
      </w:r>
      <w:r w:rsidR="00A32267" w:rsidRPr="00E2584D">
        <w:rPr>
          <w:rFonts w:ascii="Times New Roman" w:hAnsi="Times New Roman" w:cs="Times New Roman"/>
          <w:sz w:val="24"/>
          <w:szCs w:val="24"/>
          <w:lang w:val="en-GB"/>
        </w:rPr>
        <w:t xml:space="preserve">perhaps </w:t>
      </w:r>
      <w:r w:rsidRPr="00E2584D">
        <w:rPr>
          <w:rFonts w:ascii="Times New Roman" w:hAnsi="Times New Roman" w:cs="Times New Roman"/>
          <w:sz w:val="24"/>
          <w:szCs w:val="24"/>
          <w:lang w:val="en-GB"/>
        </w:rPr>
        <w:t>not primarily from the margin of appreciation, as Rozakis argued,</w:t>
      </w:r>
      <w:r w:rsidRPr="00E2584D">
        <w:rPr>
          <w:rFonts w:ascii="Times New Roman" w:hAnsi="Times New Roman" w:cs="Times New Roman"/>
          <w:sz w:val="24"/>
          <w:szCs w:val="24"/>
          <w:vertAlign w:val="superscript"/>
          <w:lang w:val="en-GB"/>
        </w:rPr>
        <w:footnoteReference w:id="177"/>
      </w:r>
      <w:r w:rsidRPr="00E2584D">
        <w:rPr>
          <w:rFonts w:ascii="Times New Roman" w:hAnsi="Times New Roman" w:cs="Times New Roman"/>
          <w:sz w:val="24"/>
          <w:szCs w:val="24"/>
          <w:lang w:val="en-GB"/>
        </w:rPr>
        <w:t xml:space="preserve"> but from its majoritarian component. </w:t>
      </w:r>
      <w:r w:rsidR="00464EC6" w:rsidRPr="00E2584D">
        <w:rPr>
          <w:rFonts w:ascii="Times New Roman" w:hAnsi="Times New Roman" w:cs="Times New Roman"/>
          <w:sz w:val="24"/>
          <w:szCs w:val="24"/>
          <w:lang w:val="en-GB"/>
        </w:rPr>
        <w:t xml:space="preserve">Often, one finds </w:t>
      </w:r>
      <w:r w:rsidR="000A03F3" w:rsidRPr="000A03F3">
        <w:rPr>
          <w:rFonts w:ascii="Times New Roman" w:hAnsi="Times New Roman" w:cs="Times New Roman"/>
          <w:sz w:val="24"/>
          <w:szCs w:val="24"/>
          <w:lang w:val="en-GB"/>
        </w:rPr>
        <w:t xml:space="preserve">in the Court’s reasoning </w:t>
      </w:r>
      <w:r w:rsidR="00464EC6" w:rsidRPr="00E2584D">
        <w:rPr>
          <w:rFonts w:ascii="Times New Roman" w:hAnsi="Times New Roman" w:cs="Times New Roman"/>
          <w:sz w:val="24"/>
          <w:szCs w:val="24"/>
          <w:lang w:val="en-GB"/>
        </w:rPr>
        <w:t>meticulous calculations</w:t>
      </w:r>
      <w:r w:rsidR="000A03F3">
        <w:rPr>
          <w:rFonts w:ascii="Times New Roman" w:hAnsi="Times New Roman" w:cs="Times New Roman"/>
          <w:sz w:val="24"/>
          <w:szCs w:val="24"/>
          <w:lang w:val="en-GB"/>
        </w:rPr>
        <w:t xml:space="preserve"> of the position across the Council of Europe</w:t>
      </w:r>
      <w:r w:rsidR="00464EC6" w:rsidRPr="00E2584D">
        <w:rPr>
          <w:rFonts w:ascii="Times New Roman" w:hAnsi="Times New Roman" w:cs="Times New Roman"/>
          <w:sz w:val="24"/>
          <w:szCs w:val="24"/>
          <w:lang w:val="en-GB"/>
        </w:rPr>
        <w:t>, rather than elaboration on the nature and scope of convergence. The argument can be put in a different way: the Court should</w:t>
      </w:r>
      <w:r w:rsidRPr="00E2584D">
        <w:rPr>
          <w:rFonts w:ascii="Times New Roman" w:hAnsi="Times New Roman" w:cs="Times New Roman"/>
          <w:sz w:val="24"/>
          <w:szCs w:val="24"/>
          <w:lang w:val="en-GB"/>
        </w:rPr>
        <w:t xml:space="preserve"> disentangle the majoritarian dimension of consensus from the application of the margin of appreciation. </w:t>
      </w:r>
      <w:r w:rsidR="00464EC6" w:rsidRPr="00E2584D">
        <w:rPr>
          <w:rFonts w:ascii="Times New Roman" w:hAnsi="Times New Roman" w:cs="Times New Roman"/>
          <w:sz w:val="24"/>
          <w:szCs w:val="24"/>
          <w:lang w:val="en-GB"/>
        </w:rPr>
        <w:t>There is an additional reason for this: i</w:t>
      </w:r>
      <w:r w:rsidRPr="00E2584D">
        <w:rPr>
          <w:rFonts w:ascii="Times New Roman" w:hAnsi="Times New Roman" w:cs="Times New Roman"/>
          <w:sz w:val="24"/>
          <w:szCs w:val="24"/>
          <w:lang w:val="en-GB"/>
        </w:rPr>
        <w:t>f th</w:t>
      </w:r>
      <w:r w:rsidR="000A03F3">
        <w:rPr>
          <w:rFonts w:ascii="Times New Roman" w:hAnsi="Times New Roman" w:cs="Times New Roman"/>
          <w:sz w:val="24"/>
          <w:szCs w:val="24"/>
          <w:lang w:val="en-GB"/>
        </w:rPr>
        <w:t>e precise function of consensus</w:t>
      </w:r>
      <w:r w:rsidRPr="00E2584D">
        <w:rPr>
          <w:rFonts w:ascii="Times New Roman" w:hAnsi="Times New Roman" w:cs="Times New Roman"/>
          <w:sz w:val="24"/>
          <w:szCs w:val="24"/>
          <w:lang w:val="en-GB"/>
        </w:rPr>
        <w:t xml:space="preserve"> is not made clear, then ultimately the faculty for the Court to rely on evolutive interpretation on the basis of </w:t>
      </w:r>
      <w:r w:rsidRPr="000A03F3">
        <w:rPr>
          <w:rFonts w:ascii="Times New Roman" w:hAnsi="Times New Roman" w:cs="Times New Roman"/>
          <w:i/>
          <w:sz w:val="24"/>
          <w:szCs w:val="24"/>
          <w:lang w:val="en-GB"/>
        </w:rPr>
        <w:t>other criteria</w:t>
      </w:r>
      <w:r w:rsidRPr="00E2584D">
        <w:rPr>
          <w:rFonts w:ascii="Times New Roman" w:hAnsi="Times New Roman" w:cs="Times New Roman"/>
          <w:sz w:val="24"/>
          <w:szCs w:val="24"/>
          <w:lang w:val="en-GB"/>
        </w:rPr>
        <w:t xml:space="preserve"> as well </w:t>
      </w:r>
      <w:r w:rsidR="000A03F3">
        <w:rPr>
          <w:rFonts w:ascii="Times New Roman" w:hAnsi="Times New Roman" w:cs="Times New Roman"/>
          <w:sz w:val="24"/>
          <w:szCs w:val="24"/>
          <w:lang w:val="en-GB"/>
        </w:rPr>
        <w:t>may be</w:t>
      </w:r>
      <w:r w:rsidRPr="00E2584D">
        <w:rPr>
          <w:rFonts w:ascii="Times New Roman" w:hAnsi="Times New Roman" w:cs="Times New Roman"/>
          <w:sz w:val="24"/>
          <w:szCs w:val="24"/>
          <w:lang w:val="en-GB"/>
        </w:rPr>
        <w:t xml:space="preserve"> lost. </w:t>
      </w:r>
    </w:p>
    <w:p w14:paraId="4D3BB456" w14:textId="77777777" w:rsidR="00A52445" w:rsidRPr="00E2584D" w:rsidRDefault="00FD3558" w:rsidP="001D545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Overall, </w:t>
      </w:r>
      <w:r w:rsidRPr="00FD3558">
        <w:rPr>
          <w:rFonts w:ascii="Times New Roman" w:hAnsi="Times New Roman" w:cs="Times New Roman"/>
          <w:sz w:val="24"/>
          <w:szCs w:val="24"/>
          <w:lang w:val="en-GB"/>
        </w:rPr>
        <w:t>consensus</w:t>
      </w:r>
      <w:r>
        <w:rPr>
          <w:rFonts w:ascii="Times New Roman" w:hAnsi="Times New Roman" w:cs="Times New Roman"/>
          <w:sz w:val="24"/>
          <w:szCs w:val="24"/>
          <w:lang w:val="en-GB"/>
        </w:rPr>
        <w:t xml:space="preserve"> as a form of analysis, however useful, has its limitations. </w:t>
      </w:r>
      <w:r w:rsidR="000A03F3">
        <w:rPr>
          <w:rFonts w:ascii="Times New Roman" w:hAnsi="Times New Roman" w:cs="Times New Roman"/>
          <w:sz w:val="24"/>
          <w:szCs w:val="24"/>
          <w:lang w:val="en-GB"/>
        </w:rPr>
        <w:t xml:space="preserve">In this context, </w:t>
      </w:r>
      <w:r w:rsidR="00A52445" w:rsidRPr="00E2584D">
        <w:rPr>
          <w:rFonts w:ascii="Times New Roman" w:hAnsi="Times New Roman" w:cs="Times New Roman"/>
          <w:sz w:val="24"/>
          <w:szCs w:val="24"/>
          <w:lang w:val="en-GB"/>
        </w:rPr>
        <w:t xml:space="preserve">the Court </w:t>
      </w:r>
      <w:r w:rsidR="000A03F3">
        <w:rPr>
          <w:rFonts w:ascii="Times New Roman" w:hAnsi="Times New Roman" w:cs="Times New Roman"/>
          <w:sz w:val="24"/>
          <w:szCs w:val="24"/>
          <w:lang w:val="en-GB"/>
        </w:rPr>
        <w:t>should</w:t>
      </w:r>
      <w:r w:rsidR="00A52445" w:rsidRPr="00E2584D">
        <w:rPr>
          <w:rFonts w:ascii="Times New Roman" w:hAnsi="Times New Roman" w:cs="Times New Roman"/>
          <w:sz w:val="24"/>
          <w:szCs w:val="24"/>
          <w:lang w:val="en-GB"/>
        </w:rPr>
        <w:t xml:space="preserve"> clearly articulate in its jurisprudence its general approach concerning the impact of consensus on the margin of appreciation. The </w:t>
      </w:r>
      <w:r w:rsidR="000A03F3">
        <w:rPr>
          <w:rFonts w:ascii="Times New Roman" w:hAnsi="Times New Roman" w:cs="Times New Roman"/>
          <w:sz w:val="24"/>
          <w:szCs w:val="24"/>
          <w:lang w:val="en-GB"/>
        </w:rPr>
        <w:t>concluding</w:t>
      </w:r>
      <w:r w:rsidR="00A52445" w:rsidRPr="00E2584D">
        <w:rPr>
          <w:rFonts w:ascii="Times New Roman" w:hAnsi="Times New Roman" w:cs="Times New Roman"/>
          <w:sz w:val="24"/>
          <w:szCs w:val="24"/>
          <w:lang w:val="en-GB"/>
        </w:rPr>
        <w:t xml:space="preserve"> section will show, </w:t>
      </w:r>
      <w:r>
        <w:rPr>
          <w:rFonts w:ascii="Times New Roman" w:hAnsi="Times New Roman" w:cs="Times New Roman"/>
          <w:sz w:val="24"/>
          <w:szCs w:val="24"/>
          <w:lang w:val="en-GB"/>
        </w:rPr>
        <w:t>nonetheless</w:t>
      </w:r>
      <w:r w:rsidR="00A52445" w:rsidRPr="00E2584D">
        <w:rPr>
          <w:rFonts w:ascii="Times New Roman" w:hAnsi="Times New Roman" w:cs="Times New Roman"/>
          <w:sz w:val="24"/>
          <w:szCs w:val="24"/>
          <w:lang w:val="en-GB"/>
        </w:rPr>
        <w:t xml:space="preserve">, that this is not the case. Thus, while the article has generally justified the ECtHR’s </w:t>
      </w:r>
      <w:r w:rsidR="000A03F3">
        <w:rPr>
          <w:rFonts w:ascii="Times New Roman" w:hAnsi="Times New Roman" w:cs="Times New Roman"/>
          <w:sz w:val="24"/>
          <w:szCs w:val="24"/>
          <w:lang w:val="en-GB"/>
        </w:rPr>
        <w:t xml:space="preserve">general </w:t>
      </w:r>
      <w:r w:rsidR="00A52445" w:rsidRPr="00E2584D">
        <w:rPr>
          <w:rFonts w:ascii="Times New Roman" w:hAnsi="Times New Roman" w:cs="Times New Roman"/>
          <w:sz w:val="24"/>
          <w:szCs w:val="24"/>
          <w:lang w:val="en-GB"/>
        </w:rPr>
        <w:t xml:space="preserve">approach from the point of view of its compatibility with the multi-dimensional legitimacy of the Court, it will take a slightly more critical approach when it comes to the coherence </w:t>
      </w:r>
      <w:r w:rsidR="000A03F3">
        <w:rPr>
          <w:rFonts w:ascii="Times New Roman" w:hAnsi="Times New Roman" w:cs="Times New Roman"/>
          <w:sz w:val="24"/>
          <w:szCs w:val="24"/>
          <w:lang w:val="en-GB"/>
        </w:rPr>
        <w:t>in</w:t>
      </w:r>
      <w:r w:rsidR="00A52445" w:rsidRPr="00E2584D">
        <w:rPr>
          <w:rFonts w:ascii="Times New Roman" w:hAnsi="Times New Roman" w:cs="Times New Roman"/>
          <w:sz w:val="24"/>
          <w:szCs w:val="24"/>
          <w:lang w:val="en-GB"/>
        </w:rPr>
        <w:t xml:space="preserve"> the ECtHR’s reasoning.</w:t>
      </w:r>
      <w:r w:rsidR="00EA459C" w:rsidRPr="00E2584D">
        <w:rPr>
          <w:rFonts w:ascii="Times New Roman" w:hAnsi="Times New Roman" w:cs="Times New Roman"/>
          <w:sz w:val="24"/>
          <w:szCs w:val="24"/>
          <w:lang w:val="en-GB"/>
        </w:rPr>
        <w:t xml:space="preserve"> </w:t>
      </w:r>
    </w:p>
    <w:p w14:paraId="068236F7" w14:textId="77777777" w:rsidR="001D5459" w:rsidRPr="001D5459" w:rsidRDefault="001D5459" w:rsidP="001D5459">
      <w:pPr>
        <w:spacing w:line="360" w:lineRule="auto"/>
        <w:jc w:val="both"/>
        <w:rPr>
          <w:rFonts w:ascii="Times New Roman" w:hAnsi="Times New Roman" w:cs="Times New Roman"/>
          <w:b/>
          <w:sz w:val="24"/>
          <w:szCs w:val="24"/>
        </w:rPr>
      </w:pPr>
      <w:r w:rsidRPr="001D5459">
        <w:rPr>
          <w:rFonts w:ascii="Times New Roman" w:hAnsi="Times New Roman" w:cs="Times New Roman"/>
          <w:b/>
          <w:sz w:val="24"/>
          <w:szCs w:val="24"/>
        </w:rPr>
        <w:t>Conclusion</w:t>
      </w:r>
      <w:r w:rsidR="00073BD6">
        <w:rPr>
          <w:rFonts w:ascii="Times New Roman" w:hAnsi="Times New Roman" w:cs="Times New Roman"/>
          <w:b/>
          <w:sz w:val="24"/>
          <w:szCs w:val="24"/>
        </w:rPr>
        <w:t xml:space="preserve"> and outlook: </w:t>
      </w:r>
      <w:r w:rsidR="00637AB9">
        <w:rPr>
          <w:rFonts w:ascii="Times New Roman" w:hAnsi="Times New Roman" w:cs="Times New Roman"/>
          <w:b/>
          <w:sz w:val="24"/>
          <w:szCs w:val="24"/>
        </w:rPr>
        <w:t xml:space="preserve">A call for a clearer articulation of </w:t>
      </w:r>
      <w:r w:rsidR="009257CC">
        <w:rPr>
          <w:rFonts w:ascii="Times New Roman" w:hAnsi="Times New Roman" w:cs="Times New Roman"/>
          <w:b/>
          <w:sz w:val="24"/>
          <w:szCs w:val="24"/>
        </w:rPr>
        <w:t>the relationship between the two terms</w:t>
      </w:r>
    </w:p>
    <w:p w14:paraId="4C834E8A" w14:textId="77777777" w:rsidR="006124CE" w:rsidRDefault="001D5459" w:rsidP="001D5459">
      <w:pPr>
        <w:spacing w:line="360" w:lineRule="auto"/>
        <w:jc w:val="both"/>
        <w:rPr>
          <w:rFonts w:ascii="Times New Roman" w:hAnsi="Times New Roman" w:cs="Times New Roman"/>
          <w:sz w:val="24"/>
          <w:szCs w:val="24"/>
        </w:rPr>
      </w:pPr>
      <w:r w:rsidRPr="001D5459">
        <w:rPr>
          <w:rFonts w:ascii="Times New Roman" w:hAnsi="Times New Roman" w:cs="Times New Roman"/>
          <w:sz w:val="24"/>
          <w:szCs w:val="24"/>
        </w:rPr>
        <w:t xml:space="preserve">This article sought to clarify the relationship between the margin of appreciation doctrine and European consensus. </w:t>
      </w:r>
      <w:r w:rsidR="006124CE">
        <w:rPr>
          <w:rFonts w:ascii="Times New Roman" w:hAnsi="Times New Roman" w:cs="Times New Roman"/>
          <w:sz w:val="24"/>
          <w:szCs w:val="24"/>
        </w:rPr>
        <w:t xml:space="preserve">It was shown </w:t>
      </w:r>
      <w:r w:rsidRPr="001D5459">
        <w:rPr>
          <w:rFonts w:ascii="Times New Roman" w:hAnsi="Times New Roman" w:cs="Times New Roman"/>
          <w:sz w:val="24"/>
          <w:szCs w:val="24"/>
        </w:rPr>
        <w:t>that consensus does not always determine the outcom</w:t>
      </w:r>
      <w:r w:rsidR="006124CE">
        <w:rPr>
          <w:rFonts w:ascii="Times New Roman" w:hAnsi="Times New Roman" w:cs="Times New Roman"/>
          <w:sz w:val="24"/>
          <w:szCs w:val="24"/>
        </w:rPr>
        <w:t xml:space="preserve">e on the margin of appreciation. Consensus is a form of reasoning used by the Court in its application of the proportionality test. Moreover, it was demonstrated that the clarification of the interplay between the two notions will </w:t>
      </w:r>
      <w:r w:rsidRPr="001D5459">
        <w:rPr>
          <w:rFonts w:ascii="Times New Roman" w:hAnsi="Times New Roman" w:cs="Times New Roman"/>
          <w:sz w:val="24"/>
          <w:szCs w:val="24"/>
        </w:rPr>
        <w:t>have implications for the interpretation of the Convention after the entry into fo</w:t>
      </w:r>
      <w:r w:rsidR="006124CE">
        <w:rPr>
          <w:rFonts w:ascii="Times New Roman" w:hAnsi="Times New Roman" w:cs="Times New Roman"/>
          <w:sz w:val="24"/>
          <w:szCs w:val="24"/>
        </w:rPr>
        <w:t>rce of Protocols 15 and 16 ECHR.</w:t>
      </w:r>
      <w:r w:rsidRPr="001D5459">
        <w:rPr>
          <w:rFonts w:ascii="Times New Roman" w:hAnsi="Times New Roman" w:cs="Times New Roman"/>
          <w:sz w:val="24"/>
          <w:szCs w:val="24"/>
        </w:rPr>
        <w:t xml:space="preserve"> </w:t>
      </w:r>
    </w:p>
    <w:p w14:paraId="6468CF6F" w14:textId="77777777" w:rsidR="009257CC" w:rsidRDefault="006124CE" w:rsidP="001D54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context, this contribution argued that </w:t>
      </w:r>
      <w:r w:rsidR="001D5459" w:rsidRPr="001D5459">
        <w:rPr>
          <w:rFonts w:ascii="Times New Roman" w:hAnsi="Times New Roman" w:cs="Times New Roman"/>
          <w:sz w:val="24"/>
          <w:szCs w:val="24"/>
        </w:rPr>
        <w:t>the use of consensus by the ECtHR as a</w:t>
      </w:r>
      <w:r w:rsidR="000A03F3">
        <w:rPr>
          <w:rFonts w:ascii="Times New Roman" w:hAnsi="Times New Roman" w:cs="Times New Roman"/>
          <w:sz w:val="24"/>
          <w:szCs w:val="24"/>
        </w:rPr>
        <w:t>n important, yet flexible,</w:t>
      </w:r>
      <w:r w:rsidR="001D5459" w:rsidRPr="001D5459">
        <w:rPr>
          <w:rFonts w:ascii="Times New Roman" w:hAnsi="Times New Roman" w:cs="Times New Roman"/>
          <w:sz w:val="24"/>
          <w:szCs w:val="24"/>
        </w:rPr>
        <w:t xml:space="preserve"> exercise </w:t>
      </w:r>
      <w:r w:rsidR="008D459B">
        <w:rPr>
          <w:rFonts w:ascii="Times New Roman" w:hAnsi="Times New Roman" w:cs="Times New Roman"/>
          <w:sz w:val="24"/>
          <w:szCs w:val="24"/>
        </w:rPr>
        <w:t>supports</w:t>
      </w:r>
      <w:r w:rsidR="001D5459" w:rsidRPr="001D5459">
        <w:rPr>
          <w:rFonts w:ascii="Times New Roman" w:hAnsi="Times New Roman" w:cs="Times New Roman"/>
          <w:sz w:val="24"/>
          <w:szCs w:val="24"/>
        </w:rPr>
        <w:t xml:space="preserve"> its multi-dimensional legitimacy. </w:t>
      </w:r>
      <w:r>
        <w:rPr>
          <w:rFonts w:ascii="Times New Roman" w:hAnsi="Times New Roman" w:cs="Times New Roman"/>
          <w:sz w:val="24"/>
          <w:szCs w:val="24"/>
        </w:rPr>
        <w:t xml:space="preserve">Indeed, the general use of consensus by the ECtHR in the determination of the margin of appreciation fits </w:t>
      </w:r>
      <w:r w:rsidR="00FF31DA">
        <w:rPr>
          <w:rFonts w:ascii="Times New Roman" w:hAnsi="Times New Roman" w:cs="Times New Roman"/>
          <w:sz w:val="24"/>
          <w:szCs w:val="24"/>
        </w:rPr>
        <w:t>into</w:t>
      </w:r>
      <w:r>
        <w:rPr>
          <w:rFonts w:ascii="Times New Roman" w:hAnsi="Times New Roman" w:cs="Times New Roman"/>
          <w:sz w:val="24"/>
          <w:szCs w:val="24"/>
        </w:rPr>
        <w:t xml:space="preserve"> the function of the Court as a non-majoritarian European institution</w:t>
      </w:r>
      <w:r w:rsidR="00FF31DA">
        <w:rPr>
          <w:rFonts w:ascii="Times New Roman" w:hAnsi="Times New Roman" w:cs="Times New Roman"/>
          <w:sz w:val="24"/>
          <w:szCs w:val="24"/>
        </w:rPr>
        <w:t>,</w:t>
      </w:r>
      <w:r>
        <w:rPr>
          <w:rFonts w:ascii="Times New Roman" w:hAnsi="Times New Roman" w:cs="Times New Roman"/>
          <w:sz w:val="24"/>
          <w:szCs w:val="24"/>
        </w:rPr>
        <w:t xml:space="preserve"> benefitting from different sources of legitimacy</w:t>
      </w:r>
      <w:r w:rsidR="00FF31DA">
        <w:rPr>
          <w:rFonts w:ascii="Times New Roman" w:hAnsi="Times New Roman" w:cs="Times New Roman"/>
          <w:sz w:val="24"/>
          <w:szCs w:val="24"/>
        </w:rPr>
        <w:t>,</w:t>
      </w:r>
      <w:r>
        <w:rPr>
          <w:rFonts w:ascii="Times New Roman" w:hAnsi="Times New Roman" w:cs="Times New Roman"/>
          <w:sz w:val="24"/>
          <w:szCs w:val="24"/>
        </w:rPr>
        <w:t xml:space="preserve"> which does, nonetheless, operate under the principle of subsidiarity and the related need to accommodate diversity across Europe. </w:t>
      </w:r>
      <w:r w:rsidR="002820AB">
        <w:rPr>
          <w:rFonts w:ascii="Times New Roman" w:hAnsi="Times New Roman" w:cs="Times New Roman"/>
          <w:sz w:val="24"/>
          <w:szCs w:val="24"/>
        </w:rPr>
        <w:t>It</w:t>
      </w:r>
      <w:r w:rsidR="002820AB" w:rsidRPr="001D5459">
        <w:rPr>
          <w:rFonts w:ascii="Times New Roman" w:hAnsi="Times New Roman" w:cs="Times New Roman"/>
          <w:sz w:val="24"/>
          <w:szCs w:val="24"/>
        </w:rPr>
        <w:t xml:space="preserve"> is true that </w:t>
      </w:r>
      <w:r w:rsidR="002820AB">
        <w:rPr>
          <w:rFonts w:ascii="Times New Roman" w:hAnsi="Times New Roman" w:cs="Times New Roman"/>
          <w:sz w:val="24"/>
          <w:szCs w:val="24"/>
        </w:rPr>
        <w:t xml:space="preserve">the deployment of European consensus </w:t>
      </w:r>
      <w:r w:rsidR="002820AB" w:rsidRPr="001D5459">
        <w:rPr>
          <w:rFonts w:ascii="Times New Roman" w:hAnsi="Times New Roman" w:cs="Times New Roman"/>
          <w:sz w:val="24"/>
          <w:szCs w:val="24"/>
        </w:rPr>
        <w:t>often enhances the legitimacy of the ECtHR’s judgments. But total reliance on it by the Strasbourg Court would undermine the latter’s constitutionalist position or the legitimacy it enjoys owing to a number of other factors, including individuals’ direct access to that Court.</w:t>
      </w:r>
    </w:p>
    <w:p w14:paraId="23EAC438" w14:textId="70E8E979" w:rsidR="002820AB" w:rsidRDefault="009257CC" w:rsidP="009257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paper examined a number of cases where a mismatch between consensus and the margin of appreciation </w:t>
      </w:r>
      <w:r w:rsidR="000A03F3">
        <w:rPr>
          <w:rFonts w:ascii="Times New Roman" w:hAnsi="Times New Roman" w:cs="Times New Roman"/>
          <w:sz w:val="24"/>
          <w:szCs w:val="24"/>
        </w:rPr>
        <w:t>was</w:t>
      </w:r>
      <w:r>
        <w:rPr>
          <w:rFonts w:ascii="Times New Roman" w:hAnsi="Times New Roman" w:cs="Times New Roman"/>
          <w:sz w:val="24"/>
          <w:szCs w:val="24"/>
        </w:rPr>
        <w:t xml:space="preserve"> identified, and referred to several further judgments where the outcome on the margin of appreciation </w:t>
      </w:r>
      <w:r w:rsidR="000A03F3">
        <w:rPr>
          <w:rFonts w:ascii="Times New Roman" w:hAnsi="Times New Roman" w:cs="Times New Roman"/>
          <w:sz w:val="24"/>
          <w:szCs w:val="24"/>
        </w:rPr>
        <w:t>did not deviate from the guidance provided by the comparative exercise -</w:t>
      </w:r>
      <w:r>
        <w:rPr>
          <w:rFonts w:ascii="Times New Roman" w:hAnsi="Times New Roman" w:cs="Times New Roman"/>
          <w:sz w:val="24"/>
          <w:szCs w:val="24"/>
        </w:rPr>
        <w:t xml:space="preserve"> even though in the latter case consensus was not always the crucial element that guided the Court. </w:t>
      </w:r>
      <w:r w:rsidR="000A03F3">
        <w:rPr>
          <w:rFonts w:ascii="Times New Roman" w:hAnsi="Times New Roman" w:cs="Times New Roman"/>
          <w:sz w:val="24"/>
          <w:szCs w:val="24"/>
        </w:rPr>
        <w:t>To be sure,</w:t>
      </w:r>
      <w:r>
        <w:rPr>
          <w:rFonts w:ascii="Times New Roman" w:hAnsi="Times New Roman" w:cs="Times New Roman"/>
          <w:sz w:val="24"/>
          <w:szCs w:val="24"/>
        </w:rPr>
        <w:t xml:space="preserve"> the aim was </w:t>
      </w:r>
      <w:r w:rsidRPr="001D5459">
        <w:rPr>
          <w:rFonts w:ascii="Times New Roman" w:hAnsi="Times New Roman" w:cs="Times New Roman"/>
          <w:sz w:val="24"/>
          <w:szCs w:val="24"/>
        </w:rPr>
        <w:t xml:space="preserve">to unravel the </w:t>
      </w:r>
      <w:r w:rsidRPr="001D5459">
        <w:rPr>
          <w:rFonts w:ascii="Times New Roman" w:hAnsi="Times New Roman" w:cs="Times New Roman"/>
          <w:i/>
          <w:sz w:val="24"/>
          <w:szCs w:val="24"/>
        </w:rPr>
        <w:t>general approach</w:t>
      </w:r>
      <w:r w:rsidRPr="001D5459">
        <w:rPr>
          <w:rFonts w:ascii="Times New Roman" w:hAnsi="Times New Roman" w:cs="Times New Roman"/>
          <w:sz w:val="24"/>
          <w:szCs w:val="24"/>
        </w:rPr>
        <w:t xml:space="preserve"> of the Court insofar as the interplay between these two terms is concerned</w:t>
      </w:r>
      <w:r>
        <w:rPr>
          <w:rFonts w:ascii="Times New Roman" w:hAnsi="Times New Roman" w:cs="Times New Roman"/>
          <w:sz w:val="24"/>
          <w:szCs w:val="24"/>
        </w:rPr>
        <w:t xml:space="preserve">; it should not be concluded that the outcome or legitimacy of the Court’s balancing exercise in some or all of the above cases was </w:t>
      </w:r>
      <w:r w:rsidR="00093E69">
        <w:rPr>
          <w:rFonts w:ascii="Times New Roman" w:hAnsi="Times New Roman" w:cs="Times New Roman"/>
          <w:sz w:val="24"/>
          <w:szCs w:val="24"/>
        </w:rPr>
        <w:t>assessed</w:t>
      </w:r>
      <w:r w:rsidR="000A03F3">
        <w:rPr>
          <w:rFonts w:ascii="Times New Roman" w:hAnsi="Times New Roman" w:cs="Times New Roman"/>
          <w:sz w:val="24"/>
          <w:szCs w:val="24"/>
        </w:rPr>
        <w:t xml:space="preserve"> here</w:t>
      </w:r>
      <w:r>
        <w:rPr>
          <w:rFonts w:ascii="Times New Roman" w:hAnsi="Times New Roman" w:cs="Times New Roman"/>
          <w:sz w:val="24"/>
          <w:szCs w:val="24"/>
        </w:rPr>
        <w:t xml:space="preserve">: this was not a contribution on the application of proportionality by the ECtHR, nor was it assessed when exactly consensus </w:t>
      </w:r>
      <w:r w:rsidRPr="009257CC">
        <w:rPr>
          <w:rFonts w:ascii="Times New Roman" w:hAnsi="Times New Roman" w:cs="Times New Roman"/>
          <w:i/>
          <w:sz w:val="24"/>
          <w:szCs w:val="24"/>
        </w:rPr>
        <w:t xml:space="preserve">should </w:t>
      </w:r>
      <w:r>
        <w:rPr>
          <w:rFonts w:ascii="Times New Roman" w:hAnsi="Times New Roman" w:cs="Times New Roman"/>
          <w:sz w:val="24"/>
          <w:szCs w:val="24"/>
        </w:rPr>
        <w:t xml:space="preserve">inform the margin of appreciation.  </w:t>
      </w:r>
    </w:p>
    <w:p w14:paraId="00766B98" w14:textId="0BDB9FBE" w:rsidR="001D5459" w:rsidRPr="001D5459" w:rsidRDefault="000A03F3" w:rsidP="001D5459">
      <w:pPr>
        <w:spacing w:line="360" w:lineRule="auto"/>
        <w:jc w:val="both"/>
        <w:rPr>
          <w:rFonts w:ascii="Times New Roman" w:hAnsi="Times New Roman" w:cs="Times New Roman"/>
          <w:sz w:val="24"/>
          <w:szCs w:val="24"/>
        </w:rPr>
      </w:pPr>
      <w:r>
        <w:rPr>
          <w:rFonts w:ascii="Times New Roman" w:hAnsi="Times New Roman" w:cs="Times New Roman"/>
          <w:sz w:val="24"/>
          <w:szCs w:val="24"/>
        </w:rPr>
        <w:t>Of course,</w:t>
      </w:r>
      <w:r w:rsidR="002820AB">
        <w:rPr>
          <w:rFonts w:ascii="Times New Roman" w:hAnsi="Times New Roman" w:cs="Times New Roman"/>
          <w:sz w:val="24"/>
          <w:szCs w:val="24"/>
        </w:rPr>
        <w:t xml:space="preserve"> </w:t>
      </w:r>
      <w:r w:rsidR="002820AB" w:rsidRPr="002820AB">
        <w:rPr>
          <w:rFonts w:ascii="Times New Roman" w:hAnsi="Times New Roman" w:cs="Times New Roman"/>
          <w:sz w:val="24"/>
          <w:szCs w:val="24"/>
        </w:rPr>
        <w:t xml:space="preserve">the question of when European consensus should </w:t>
      </w:r>
      <w:r w:rsidR="00975595">
        <w:rPr>
          <w:rFonts w:ascii="Times New Roman" w:hAnsi="Times New Roman" w:cs="Times New Roman"/>
          <w:sz w:val="24"/>
          <w:szCs w:val="24"/>
        </w:rPr>
        <w:t xml:space="preserve">be used by the Court and, if so, when it should determine </w:t>
      </w:r>
      <w:r w:rsidR="002820AB">
        <w:rPr>
          <w:rFonts w:ascii="Times New Roman" w:hAnsi="Times New Roman" w:cs="Times New Roman"/>
          <w:sz w:val="24"/>
          <w:szCs w:val="24"/>
        </w:rPr>
        <w:t xml:space="preserve">the </w:t>
      </w:r>
      <w:r>
        <w:rPr>
          <w:rFonts w:ascii="Times New Roman" w:hAnsi="Times New Roman" w:cs="Times New Roman"/>
          <w:sz w:val="24"/>
          <w:szCs w:val="24"/>
        </w:rPr>
        <w:t xml:space="preserve">outcome on the </w:t>
      </w:r>
      <w:r w:rsidR="002820AB">
        <w:rPr>
          <w:rFonts w:ascii="Times New Roman" w:hAnsi="Times New Roman" w:cs="Times New Roman"/>
          <w:sz w:val="24"/>
          <w:szCs w:val="24"/>
        </w:rPr>
        <w:t>margin of appreciation</w:t>
      </w:r>
      <w:r w:rsidR="00975595">
        <w:rPr>
          <w:rFonts w:ascii="Times New Roman" w:hAnsi="Times New Roman" w:cs="Times New Roman"/>
          <w:sz w:val="24"/>
          <w:szCs w:val="24"/>
        </w:rPr>
        <w:t>,</w:t>
      </w:r>
      <w:r w:rsidR="002820AB">
        <w:rPr>
          <w:rFonts w:ascii="Times New Roman" w:hAnsi="Times New Roman" w:cs="Times New Roman"/>
          <w:sz w:val="24"/>
          <w:szCs w:val="24"/>
        </w:rPr>
        <w:t xml:space="preserve"> </w:t>
      </w:r>
      <w:r w:rsidR="00975595">
        <w:rPr>
          <w:rFonts w:ascii="Times New Roman" w:hAnsi="Times New Roman" w:cs="Times New Roman"/>
          <w:sz w:val="24"/>
          <w:szCs w:val="24"/>
        </w:rPr>
        <w:t>is</w:t>
      </w:r>
      <w:r w:rsidR="002820AB" w:rsidRPr="002820AB">
        <w:rPr>
          <w:rFonts w:ascii="Times New Roman" w:hAnsi="Times New Roman" w:cs="Times New Roman"/>
          <w:sz w:val="24"/>
          <w:szCs w:val="24"/>
        </w:rPr>
        <w:t xml:space="preserve"> critical to understanding whether use (or </w:t>
      </w:r>
      <w:r>
        <w:rPr>
          <w:rFonts w:ascii="Times New Roman" w:hAnsi="Times New Roman" w:cs="Times New Roman"/>
          <w:sz w:val="24"/>
          <w:szCs w:val="24"/>
        </w:rPr>
        <w:t>non-use</w:t>
      </w:r>
      <w:r w:rsidR="002820AB" w:rsidRPr="002820AB">
        <w:rPr>
          <w:rFonts w:ascii="Times New Roman" w:hAnsi="Times New Roman" w:cs="Times New Roman"/>
          <w:sz w:val="24"/>
          <w:szCs w:val="24"/>
        </w:rPr>
        <w:t>) of consensus analysis contributes to the legitimacy of the Court.</w:t>
      </w:r>
      <w:r w:rsidR="002820AB">
        <w:rPr>
          <w:rFonts w:ascii="Times New Roman" w:hAnsi="Times New Roman" w:cs="Times New Roman"/>
          <w:sz w:val="24"/>
          <w:szCs w:val="24"/>
        </w:rPr>
        <w:t xml:space="preserve"> This is certainly a valid point, in response to which the following remarks can be of relevance. In order to answer the question of how much weight consensus </w:t>
      </w:r>
      <w:r w:rsidR="002820AB" w:rsidRPr="000A03F3">
        <w:rPr>
          <w:rFonts w:ascii="Times New Roman" w:hAnsi="Times New Roman" w:cs="Times New Roman"/>
          <w:i/>
          <w:sz w:val="24"/>
          <w:szCs w:val="24"/>
        </w:rPr>
        <w:t>should</w:t>
      </w:r>
      <w:r w:rsidR="002820AB">
        <w:rPr>
          <w:rFonts w:ascii="Times New Roman" w:hAnsi="Times New Roman" w:cs="Times New Roman"/>
          <w:sz w:val="24"/>
          <w:szCs w:val="24"/>
        </w:rPr>
        <w:t xml:space="preserve"> play in the Court’s reasoning, it is essential to critically </w:t>
      </w:r>
      <w:r>
        <w:rPr>
          <w:rFonts w:ascii="Times New Roman" w:hAnsi="Times New Roman" w:cs="Times New Roman"/>
          <w:sz w:val="24"/>
          <w:szCs w:val="24"/>
        </w:rPr>
        <w:t>reflect on</w:t>
      </w:r>
      <w:r w:rsidR="002820AB">
        <w:rPr>
          <w:rFonts w:ascii="Times New Roman" w:hAnsi="Times New Roman" w:cs="Times New Roman"/>
          <w:sz w:val="24"/>
          <w:szCs w:val="24"/>
        </w:rPr>
        <w:t xml:space="preserve"> all forms of reasoning adopted by the Court</w:t>
      </w:r>
      <w:r>
        <w:rPr>
          <w:rFonts w:ascii="Times New Roman" w:hAnsi="Times New Roman" w:cs="Times New Roman"/>
          <w:sz w:val="24"/>
          <w:szCs w:val="24"/>
        </w:rPr>
        <w:t>,</w:t>
      </w:r>
      <w:r w:rsidR="002820AB">
        <w:rPr>
          <w:rFonts w:ascii="Times New Roman" w:hAnsi="Times New Roman" w:cs="Times New Roman"/>
          <w:sz w:val="24"/>
          <w:szCs w:val="24"/>
        </w:rPr>
        <w:t xml:space="preserve"> with a view to </w:t>
      </w:r>
      <w:r>
        <w:rPr>
          <w:rFonts w:ascii="Times New Roman" w:hAnsi="Times New Roman" w:cs="Times New Roman"/>
          <w:sz w:val="24"/>
          <w:szCs w:val="24"/>
        </w:rPr>
        <w:t>evaluating</w:t>
      </w:r>
      <w:r w:rsidR="002820AB">
        <w:rPr>
          <w:rFonts w:ascii="Times New Roman" w:hAnsi="Times New Roman" w:cs="Times New Roman"/>
          <w:sz w:val="24"/>
          <w:szCs w:val="24"/>
        </w:rPr>
        <w:t xml:space="preserve"> their significance. </w:t>
      </w:r>
      <w:r w:rsidR="00E250AD">
        <w:rPr>
          <w:rFonts w:ascii="Times New Roman" w:hAnsi="Times New Roman" w:cs="Times New Roman"/>
          <w:sz w:val="24"/>
          <w:szCs w:val="24"/>
        </w:rPr>
        <w:t>That</w:t>
      </w:r>
      <w:r w:rsidR="002820AB">
        <w:rPr>
          <w:rFonts w:ascii="Times New Roman" w:hAnsi="Times New Roman" w:cs="Times New Roman"/>
          <w:sz w:val="24"/>
          <w:szCs w:val="24"/>
        </w:rPr>
        <w:t xml:space="preserve"> exercise goes beyond the aims of this contribution – albeit </w:t>
      </w:r>
      <w:r>
        <w:rPr>
          <w:rFonts w:ascii="Times New Roman" w:hAnsi="Times New Roman" w:cs="Times New Roman"/>
          <w:sz w:val="24"/>
          <w:szCs w:val="24"/>
        </w:rPr>
        <w:t xml:space="preserve">it is noted that </w:t>
      </w:r>
      <w:r w:rsidR="002820AB">
        <w:rPr>
          <w:rFonts w:ascii="Times New Roman" w:hAnsi="Times New Roman" w:cs="Times New Roman"/>
          <w:sz w:val="24"/>
          <w:szCs w:val="24"/>
        </w:rPr>
        <w:t>the</w:t>
      </w:r>
      <w:r>
        <w:rPr>
          <w:rFonts w:ascii="Times New Roman" w:hAnsi="Times New Roman" w:cs="Times New Roman"/>
          <w:sz w:val="24"/>
          <w:szCs w:val="24"/>
        </w:rPr>
        <w:t xml:space="preserve">re would be considerable challenges in such exercise, </w:t>
      </w:r>
      <w:r w:rsidR="002820AB">
        <w:rPr>
          <w:rFonts w:ascii="Times New Roman" w:hAnsi="Times New Roman" w:cs="Times New Roman"/>
          <w:sz w:val="24"/>
          <w:szCs w:val="24"/>
        </w:rPr>
        <w:t xml:space="preserve">not least because </w:t>
      </w:r>
      <w:r>
        <w:rPr>
          <w:rFonts w:ascii="Times New Roman" w:hAnsi="Times New Roman" w:cs="Times New Roman"/>
          <w:sz w:val="24"/>
          <w:szCs w:val="24"/>
        </w:rPr>
        <w:t xml:space="preserve">often </w:t>
      </w:r>
      <w:r w:rsidR="002820AB">
        <w:rPr>
          <w:rFonts w:ascii="Times New Roman" w:hAnsi="Times New Roman" w:cs="Times New Roman"/>
          <w:sz w:val="24"/>
          <w:szCs w:val="24"/>
        </w:rPr>
        <w:t xml:space="preserve">much depends on the factual and legal framework of </w:t>
      </w:r>
      <w:r w:rsidR="006F3FFE">
        <w:rPr>
          <w:rFonts w:ascii="Times New Roman" w:hAnsi="Times New Roman" w:cs="Times New Roman"/>
          <w:sz w:val="24"/>
          <w:szCs w:val="24"/>
        </w:rPr>
        <w:t>each</w:t>
      </w:r>
      <w:r w:rsidR="002820AB">
        <w:rPr>
          <w:rFonts w:ascii="Times New Roman" w:hAnsi="Times New Roman" w:cs="Times New Roman"/>
          <w:sz w:val="24"/>
          <w:szCs w:val="24"/>
        </w:rPr>
        <w:t xml:space="preserve"> case. </w:t>
      </w:r>
      <w:r>
        <w:rPr>
          <w:rFonts w:ascii="Times New Roman" w:hAnsi="Times New Roman" w:cs="Times New Roman"/>
          <w:sz w:val="24"/>
          <w:szCs w:val="24"/>
        </w:rPr>
        <w:t xml:space="preserve">In any event, </w:t>
      </w:r>
      <w:r w:rsidR="002820AB">
        <w:rPr>
          <w:rFonts w:ascii="Times New Roman" w:hAnsi="Times New Roman" w:cs="Times New Roman"/>
          <w:sz w:val="24"/>
          <w:szCs w:val="24"/>
        </w:rPr>
        <w:t xml:space="preserve">the </w:t>
      </w:r>
      <w:r w:rsidR="002820AB" w:rsidRPr="002820AB">
        <w:rPr>
          <w:rFonts w:ascii="Times New Roman" w:hAnsi="Times New Roman" w:cs="Times New Roman"/>
          <w:i/>
          <w:sz w:val="24"/>
          <w:szCs w:val="24"/>
        </w:rPr>
        <w:t>how</w:t>
      </w:r>
      <w:r w:rsidR="002820AB">
        <w:rPr>
          <w:rFonts w:ascii="Times New Roman" w:hAnsi="Times New Roman" w:cs="Times New Roman"/>
          <w:sz w:val="24"/>
          <w:szCs w:val="24"/>
        </w:rPr>
        <w:t xml:space="preserve"> precedes the </w:t>
      </w:r>
      <w:r w:rsidR="002820AB" w:rsidRPr="002820AB">
        <w:rPr>
          <w:rFonts w:ascii="Times New Roman" w:hAnsi="Times New Roman" w:cs="Times New Roman"/>
          <w:i/>
          <w:sz w:val="24"/>
          <w:szCs w:val="24"/>
        </w:rPr>
        <w:t>when</w:t>
      </w:r>
      <w:r w:rsidR="002820AB">
        <w:rPr>
          <w:rFonts w:ascii="Times New Roman" w:hAnsi="Times New Roman" w:cs="Times New Roman"/>
          <w:sz w:val="24"/>
          <w:szCs w:val="24"/>
        </w:rPr>
        <w:t xml:space="preserve">: </w:t>
      </w:r>
      <w:r w:rsidR="006F3FFE">
        <w:rPr>
          <w:rFonts w:ascii="Times New Roman" w:hAnsi="Times New Roman" w:cs="Times New Roman"/>
          <w:sz w:val="24"/>
          <w:szCs w:val="24"/>
        </w:rPr>
        <w:t>to answer the</w:t>
      </w:r>
      <w:r w:rsidR="001D5459" w:rsidRPr="001D5459">
        <w:rPr>
          <w:rFonts w:ascii="Times New Roman" w:hAnsi="Times New Roman" w:cs="Times New Roman"/>
          <w:sz w:val="24"/>
          <w:szCs w:val="24"/>
        </w:rPr>
        <w:t xml:space="preserve"> latter question, one </w:t>
      </w:r>
      <w:r w:rsidR="002820AB">
        <w:rPr>
          <w:rFonts w:ascii="Times New Roman" w:hAnsi="Times New Roman" w:cs="Times New Roman"/>
          <w:sz w:val="24"/>
          <w:szCs w:val="24"/>
        </w:rPr>
        <w:t>should</w:t>
      </w:r>
      <w:r w:rsidR="001D5459" w:rsidRPr="001D5459">
        <w:rPr>
          <w:rFonts w:ascii="Times New Roman" w:hAnsi="Times New Roman" w:cs="Times New Roman"/>
          <w:sz w:val="24"/>
          <w:szCs w:val="24"/>
        </w:rPr>
        <w:t xml:space="preserve"> first </w:t>
      </w:r>
      <w:r>
        <w:rPr>
          <w:rFonts w:ascii="Times New Roman" w:hAnsi="Times New Roman" w:cs="Times New Roman"/>
          <w:sz w:val="24"/>
          <w:szCs w:val="24"/>
        </w:rPr>
        <w:t>dispel</w:t>
      </w:r>
      <w:r w:rsidR="001D5459" w:rsidRPr="001D5459">
        <w:rPr>
          <w:rFonts w:ascii="Times New Roman" w:hAnsi="Times New Roman" w:cs="Times New Roman"/>
          <w:sz w:val="24"/>
          <w:szCs w:val="24"/>
        </w:rPr>
        <w:t xml:space="preserve"> any doubts as to the current method employed by the Strasbourg Court</w:t>
      </w:r>
      <w:r w:rsidR="002820AB">
        <w:rPr>
          <w:rFonts w:ascii="Times New Roman" w:hAnsi="Times New Roman" w:cs="Times New Roman"/>
          <w:sz w:val="24"/>
          <w:szCs w:val="24"/>
        </w:rPr>
        <w:t xml:space="preserve">. </w:t>
      </w:r>
      <w:r>
        <w:rPr>
          <w:rFonts w:ascii="Times New Roman" w:hAnsi="Times New Roman" w:cs="Times New Roman"/>
          <w:sz w:val="24"/>
          <w:szCs w:val="24"/>
        </w:rPr>
        <w:t>Thus, the present article can serve as a basis for further research on the ways of reasoning employed by the Court, including consensus.</w:t>
      </w:r>
    </w:p>
    <w:p w14:paraId="5A0A5220" w14:textId="7D5D4A04" w:rsidR="001D5459" w:rsidRPr="005D5665" w:rsidRDefault="002820AB" w:rsidP="001D545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Beyond the contribution to the legitimacy debate, the findings of this article</w:t>
      </w:r>
      <w:r w:rsidR="001D5459" w:rsidRPr="001D5459">
        <w:rPr>
          <w:rFonts w:ascii="Times New Roman" w:hAnsi="Times New Roman" w:cs="Times New Roman"/>
          <w:sz w:val="24"/>
          <w:szCs w:val="24"/>
        </w:rPr>
        <w:t xml:space="preserve"> have a number of implications for respondent states, applicants, or even critics of the </w:t>
      </w:r>
      <w:r w:rsidR="006F3FFE">
        <w:rPr>
          <w:rFonts w:ascii="Times New Roman" w:hAnsi="Times New Roman" w:cs="Times New Roman"/>
          <w:sz w:val="24"/>
          <w:szCs w:val="24"/>
        </w:rPr>
        <w:t>ECtHR</w:t>
      </w:r>
      <w:r w:rsidR="001D5459" w:rsidRPr="001D5459">
        <w:rPr>
          <w:rFonts w:ascii="Times New Roman" w:hAnsi="Times New Roman" w:cs="Times New Roman"/>
          <w:sz w:val="24"/>
          <w:szCs w:val="24"/>
        </w:rPr>
        <w:t xml:space="preserve">. States and individuals </w:t>
      </w:r>
      <w:r w:rsidR="000A03F3">
        <w:rPr>
          <w:rFonts w:ascii="Times New Roman" w:hAnsi="Times New Roman" w:cs="Times New Roman"/>
          <w:sz w:val="24"/>
          <w:szCs w:val="24"/>
        </w:rPr>
        <w:t>should</w:t>
      </w:r>
      <w:r w:rsidR="001D5459" w:rsidRPr="001D5459">
        <w:rPr>
          <w:rFonts w:ascii="Times New Roman" w:hAnsi="Times New Roman" w:cs="Times New Roman"/>
          <w:sz w:val="24"/>
          <w:szCs w:val="24"/>
        </w:rPr>
        <w:t xml:space="preserve"> be aware that invoking the consensus argument does not automatically lead to more or less deferential judgments</w:t>
      </w:r>
      <w:r>
        <w:rPr>
          <w:rFonts w:ascii="Times New Roman" w:hAnsi="Times New Roman" w:cs="Times New Roman"/>
          <w:sz w:val="24"/>
          <w:szCs w:val="24"/>
        </w:rPr>
        <w:t xml:space="preserve">. </w:t>
      </w:r>
      <w:r w:rsidR="001D5459" w:rsidRPr="001D5459">
        <w:rPr>
          <w:rFonts w:ascii="Times New Roman" w:hAnsi="Times New Roman" w:cs="Times New Roman"/>
          <w:sz w:val="24"/>
          <w:szCs w:val="24"/>
          <w:lang w:val="en-GB"/>
        </w:rPr>
        <w:t>Of course, pondering</w:t>
      </w:r>
      <w:r w:rsidR="001D5459" w:rsidRPr="001D5459">
        <w:rPr>
          <w:rFonts w:ascii="Times New Roman" w:hAnsi="Times New Roman" w:cs="Times New Roman"/>
          <w:sz w:val="24"/>
          <w:szCs w:val="24"/>
        </w:rPr>
        <w:t xml:space="preserve"> on whether they have gone far enough or too far is an exercise that internat</w:t>
      </w:r>
      <w:r w:rsidR="005D576B">
        <w:rPr>
          <w:rFonts w:ascii="Times New Roman" w:hAnsi="Times New Roman" w:cs="Times New Roman"/>
          <w:sz w:val="24"/>
          <w:szCs w:val="24"/>
        </w:rPr>
        <w:t xml:space="preserve">ional courts cannot escape  – but this cannot solely depend on the consensus question, however helpful a method it may be found </w:t>
      </w:r>
      <w:r w:rsidR="005D576B" w:rsidRPr="005D5665">
        <w:rPr>
          <w:rFonts w:ascii="Times New Roman" w:hAnsi="Times New Roman" w:cs="Times New Roman"/>
          <w:sz w:val="24"/>
          <w:szCs w:val="24"/>
        </w:rPr>
        <w:t>to be.</w:t>
      </w:r>
      <w:r w:rsidR="001D5459" w:rsidRPr="005D5665">
        <w:rPr>
          <w:rFonts w:ascii="Times New Roman" w:hAnsi="Times New Roman" w:cs="Times New Roman"/>
          <w:sz w:val="24"/>
          <w:szCs w:val="24"/>
        </w:rPr>
        <w:t xml:space="preserve"> In any event, t</w:t>
      </w:r>
      <w:r w:rsidR="001D5459" w:rsidRPr="005D5665">
        <w:rPr>
          <w:rFonts w:ascii="Times New Roman" w:hAnsi="Times New Roman" w:cs="Times New Roman"/>
          <w:sz w:val="24"/>
          <w:szCs w:val="24"/>
          <w:lang w:val="en-GB"/>
        </w:rPr>
        <w:t xml:space="preserve">he judges in Strasbourg are mindful of, if not concerned about, the present legitimacy debate – </w:t>
      </w:r>
      <w:r w:rsidR="005D576B" w:rsidRPr="005D5665">
        <w:rPr>
          <w:rFonts w:ascii="Times New Roman" w:hAnsi="Times New Roman" w:cs="Times New Roman"/>
          <w:sz w:val="24"/>
          <w:szCs w:val="24"/>
          <w:lang w:val="en-GB"/>
        </w:rPr>
        <w:t xml:space="preserve">but it is useful to remember that </w:t>
      </w:r>
      <w:r w:rsidR="001D5459" w:rsidRPr="005D5665">
        <w:rPr>
          <w:rFonts w:ascii="Times New Roman" w:hAnsi="Times New Roman" w:cs="Times New Roman"/>
          <w:sz w:val="24"/>
          <w:szCs w:val="24"/>
          <w:lang w:val="en-GB"/>
        </w:rPr>
        <w:t xml:space="preserve">opposition to/ criticism of the Court is not necessarily </w:t>
      </w:r>
      <w:r w:rsidR="001D5459" w:rsidRPr="005D5665">
        <w:rPr>
          <w:rFonts w:ascii="Times New Roman" w:hAnsi="Times New Roman" w:cs="Times New Roman"/>
          <w:i/>
          <w:sz w:val="24"/>
          <w:szCs w:val="24"/>
          <w:lang w:val="en-GB"/>
        </w:rPr>
        <w:t>evidence</w:t>
      </w:r>
      <w:r w:rsidR="001D5459" w:rsidRPr="005D5665">
        <w:rPr>
          <w:rFonts w:ascii="Times New Roman" w:hAnsi="Times New Roman" w:cs="Times New Roman"/>
          <w:sz w:val="24"/>
          <w:szCs w:val="24"/>
          <w:lang w:val="en-GB"/>
        </w:rPr>
        <w:t xml:space="preserve"> of illegitimate judgments:</w:t>
      </w:r>
    </w:p>
    <w:p w14:paraId="58FD8066" w14:textId="77777777" w:rsidR="001D5459" w:rsidRPr="005D5665" w:rsidRDefault="001D5459" w:rsidP="001D5459">
      <w:pPr>
        <w:spacing w:line="360" w:lineRule="auto"/>
        <w:ind w:left="284" w:right="284"/>
        <w:jc w:val="both"/>
        <w:rPr>
          <w:rFonts w:ascii="Times New Roman" w:hAnsi="Times New Roman" w:cs="Times New Roman"/>
          <w:sz w:val="24"/>
          <w:szCs w:val="24"/>
          <w:lang w:val="en-GB"/>
        </w:rPr>
      </w:pPr>
      <w:r w:rsidRPr="005D5665">
        <w:rPr>
          <w:rFonts w:ascii="Times New Roman" w:hAnsi="Times New Roman" w:cs="Times New Roman"/>
          <w:sz w:val="24"/>
          <w:szCs w:val="24"/>
          <w:lang w:val="en-GB"/>
        </w:rPr>
        <w:t>‘If there were neat harmony of interests between national legislatures and international human rights courts, or between minority protection and majoritarian popular sovereignty, or between individual citizens and the authorities governing over them, we would hardly need international human rights treaties in the first place’.</w:t>
      </w:r>
      <w:r w:rsidRPr="005D5665">
        <w:rPr>
          <w:rFonts w:ascii="Times New Roman" w:hAnsi="Times New Roman" w:cs="Times New Roman"/>
          <w:sz w:val="24"/>
          <w:szCs w:val="24"/>
          <w:vertAlign w:val="superscript"/>
          <w:lang w:val="en-GB"/>
        </w:rPr>
        <w:footnoteReference w:id="178"/>
      </w:r>
    </w:p>
    <w:p w14:paraId="1033A824" w14:textId="6CD33B62" w:rsidR="00520D5F" w:rsidRDefault="005D5665" w:rsidP="005D576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As already noted, though, the article will conclude with some critical observations. The following question can be posed: </w:t>
      </w:r>
      <w:r w:rsidR="005D576B" w:rsidRPr="005D5665">
        <w:rPr>
          <w:rFonts w:ascii="Times New Roman" w:hAnsi="Times New Roman" w:cs="Times New Roman"/>
          <w:sz w:val="24"/>
          <w:szCs w:val="24"/>
        </w:rPr>
        <w:t xml:space="preserve">what is the way forward for the ECtHR, </w:t>
      </w:r>
      <w:r w:rsidR="001D5459" w:rsidRPr="005D5665">
        <w:rPr>
          <w:rFonts w:ascii="Times New Roman" w:hAnsi="Times New Roman" w:cs="Times New Roman"/>
          <w:sz w:val="24"/>
          <w:szCs w:val="24"/>
        </w:rPr>
        <w:t>in light of the broader discussion on the Court’s legitimacy</w:t>
      </w:r>
      <w:r w:rsidR="005D576B" w:rsidRPr="005D5665">
        <w:rPr>
          <w:rFonts w:ascii="Times New Roman" w:hAnsi="Times New Roman" w:cs="Times New Roman"/>
          <w:sz w:val="24"/>
          <w:szCs w:val="24"/>
        </w:rPr>
        <w:t xml:space="preserve"> (which includes clarity of reasoning, as already explained)</w:t>
      </w:r>
      <w:r w:rsidR="001D5459" w:rsidRPr="005D5665">
        <w:rPr>
          <w:rFonts w:ascii="Times New Roman" w:hAnsi="Times New Roman" w:cs="Times New Roman"/>
          <w:sz w:val="24"/>
          <w:szCs w:val="24"/>
        </w:rPr>
        <w:t>, and most notably the adoption of Protocols 15 and 16 ECHR</w:t>
      </w:r>
      <w:r w:rsidR="005D576B" w:rsidRPr="005D5665">
        <w:rPr>
          <w:rFonts w:ascii="Times New Roman" w:hAnsi="Times New Roman" w:cs="Times New Roman"/>
          <w:sz w:val="24"/>
          <w:szCs w:val="24"/>
        </w:rPr>
        <w:t>,</w:t>
      </w:r>
      <w:r w:rsidR="001D5459" w:rsidRPr="005D5665">
        <w:rPr>
          <w:rFonts w:ascii="Times New Roman" w:hAnsi="Times New Roman" w:cs="Times New Roman"/>
          <w:sz w:val="24"/>
          <w:szCs w:val="24"/>
        </w:rPr>
        <w:t xml:space="preserve"> which will inevitably bring to the fore i</w:t>
      </w:r>
      <w:r w:rsidR="005D576B" w:rsidRPr="005D5665">
        <w:rPr>
          <w:rFonts w:ascii="Times New Roman" w:hAnsi="Times New Roman" w:cs="Times New Roman"/>
          <w:sz w:val="24"/>
          <w:szCs w:val="24"/>
        </w:rPr>
        <w:t xml:space="preserve">ssues addressed </w:t>
      </w:r>
      <w:r w:rsidR="009B6FDC">
        <w:rPr>
          <w:rFonts w:ascii="Times New Roman" w:hAnsi="Times New Roman" w:cs="Times New Roman"/>
          <w:sz w:val="24"/>
          <w:szCs w:val="24"/>
        </w:rPr>
        <w:t>here</w:t>
      </w:r>
      <w:r w:rsidR="00FF2E70">
        <w:rPr>
          <w:rFonts w:ascii="Times New Roman" w:hAnsi="Times New Roman" w:cs="Times New Roman"/>
          <w:sz w:val="24"/>
          <w:szCs w:val="24"/>
        </w:rPr>
        <w:t>?</w:t>
      </w:r>
      <w:r w:rsidR="005D576B" w:rsidRPr="005D5665">
        <w:rPr>
          <w:rFonts w:ascii="Times New Roman" w:hAnsi="Times New Roman" w:cs="Times New Roman"/>
          <w:sz w:val="24"/>
          <w:szCs w:val="24"/>
        </w:rPr>
        <w:t xml:space="preserve"> T</w:t>
      </w:r>
      <w:r w:rsidR="001D5459" w:rsidRPr="005D5665">
        <w:rPr>
          <w:rFonts w:ascii="Times New Roman" w:hAnsi="Times New Roman" w:cs="Times New Roman"/>
          <w:sz w:val="24"/>
          <w:szCs w:val="24"/>
        </w:rPr>
        <w:t>his contribution w</w:t>
      </w:r>
      <w:r w:rsidR="005D576B" w:rsidRPr="005D5665">
        <w:rPr>
          <w:rFonts w:ascii="Times New Roman" w:hAnsi="Times New Roman" w:cs="Times New Roman"/>
          <w:sz w:val="24"/>
          <w:szCs w:val="24"/>
        </w:rPr>
        <w:t>ill</w:t>
      </w:r>
      <w:r w:rsidR="001D5459" w:rsidRPr="005D5665">
        <w:rPr>
          <w:rFonts w:ascii="Times New Roman" w:hAnsi="Times New Roman" w:cs="Times New Roman"/>
          <w:sz w:val="24"/>
          <w:szCs w:val="24"/>
        </w:rPr>
        <w:t xml:space="preserve"> </w:t>
      </w:r>
      <w:r w:rsidR="00D5411A">
        <w:rPr>
          <w:rFonts w:ascii="Times New Roman" w:hAnsi="Times New Roman" w:cs="Times New Roman"/>
          <w:sz w:val="24"/>
          <w:szCs w:val="24"/>
        </w:rPr>
        <w:t>encourage</w:t>
      </w:r>
      <w:r w:rsidR="001D5459" w:rsidRPr="005D5665">
        <w:rPr>
          <w:rFonts w:ascii="Times New Roman" w:hAnsi="Times New Roman" w:cs="Times New Roman"/>
          <w:sz w:val="24"/>
          <w:szCs w:val="24"/>
        </w:rPr>
        <w:t xml:space="preserve"> the Cou</w:t>
      </w:r>
      <w:r w:rsidR="005D576B" w:rsidRPr="005D5665">
        <w:rPr>
          <w:rFonts w:ascii="Times New Roman" w:hAnsi="Times New Roman" w:cs="Times New Roman"/>
          <w:sz w:val="24"/>
          <w:szCs w:val="24"/>
        </w:rPr>
        <w:t>rt to articulate</w:t>
      </w:r>
      <w:r w:rsidR="001D5459" w:rsidRPr="005D5665">
        <w:rPr>
          <w:rFonts w:ascii="Times New Roman" w:hAnsi="Times New Roman" w:cs="Times New Roman"/>
          <w:sz w:val="24"/>
          <w:szCs w:val="24"/>
        </w:rPr>
        <w:t xml:space="preserve"> its approach on </w:t>
      </w:r>
      <w:r w:rsidR="009B6FDC">
        <w:rPr>
          <w:rFonts w:ascii="Times New Roman" w:hAnsi="Times New Roman" w:cs="Times New Roman"/>
          <w:sz w:val="24"/>
          <w:szCs w:val="24"/>
        </w:rPr>
        <w:t xml:space="preserve">the relationship between </w:t>
      </w:r>
      <w:r w:rsidR="001D5459" w:rsidRPr="005D5665">
        <w:rPr>
          <w:rFonts w:ascii="Times New Roman" w:hAnsi="Times New Roman" w:cs="Times New Roman"/>
          <w:sz w:val="24"/>
          <w:szCs w:val="24"/>
        </w:rPr>
        <w:t xml:space="preserve">consensus and the margin of appreciation </w:t>
      </w:r>
      <w:r w:rsidR="005D576B" w:rsidRPr="005D5665">
        <w:rPr>
          <w:rFonts w:ascii="Times New Roman" w:hAnsi="Times New Roman" w:cs="Times New Roman"/>
          <w:sz w:val="24"/>
          <w:szCs w:val="24"/>
        </w:rPr>
        <w:t xml:space="preserve">in a more </w:t>
      </w:r>
      <w:r w:rsidR="001D5459" w:rsidRPr="005D5665">
        <w:rPr>
          <w:rFonts w:ascii="Times New Roman" w:hAnsi="Times New Roman" w:cs="Times New Roman"/>
          <w:sz w:val="24"/>
          <w:szCs w:val="24"/>
        </w:rPr>
        <w:t>accessible</w:t>
      </w:r>
      <w:r w:rsidR="005D576B" w:rsidRPr="005D5665">
        <w:rPr>
          <w:rFonts w:ascii="Times New Roman" w:hAnsi="Times New Roman" w:cs="Times New Roman"/>
          <w:sz w:val="24"/>
          <w:szCs w:val="24"/>
        </w:rPr>
        <w:t xml:space="preserve"> and coherent way; in other words, </w:t>
      </w:r>
      <w:r w:rsidR="001D5459" w:rsidRPr="005D5665">
        <w:rPr>
          <w:rFonts w:ascii="Times New Roman" w:hAnsi="Times New Roman" w:cs="Times New Roman"/>
          <w:sz w:val="24"/>
          <w:szCs w:val="24"/>
          <w:lang w:val="en-GB"/>
        </w:rPr>
        <w:t xml:space="preserve">it is now time for consolidation and codification. </w:t>
      </w:r>
    </w:p>
    <w:p w14:paraId="28C633D0" w14:textId="1E157E4F" w:rsidR="005D576B" w:rsidRPr="00001453" w:rsidRDefault="00520D5F" w:rsidP="005D576B">
      <w:pPr>
        <w:spacing w:line="360" w:lineRule="auto"/>
        <w:jc w:val="both"/>
        <w:rPr>
          <w:rFonts w:ascii="Times New Roman" w:hAnsi="Times New Roman" w:cs="Times New Roman"/>
          <w:sz w:val="24"/>
          <w:szCs w:val="24"/>
          <w:lang w:val="en-GB"/>
        </w:rPr>
      </w:pPr>
      <w:r w:rsidRPr="00001453">
        <w:rPr>
          <w:rFonts w:ascii="Times New Roman" w:hAnsi="Times New Roman" w:cs="Times New Roman"/>
          <w:sz w:val="24"/>
          <w:szCs w:val="24"/>
          <w:lang w:val="en-GB"/>
        </w:rPr>
        <w:t xml:space="preserve">Indeed, a number of cases illustrate that the Court has used different formulations in its jurisprudence. </w:t>
      </w:r>
      <w:r w:rsidR="00AD6F84" w:rsidRPr="00001453">
        <w:rPr>
          <w:rFonts w:ascii="Times New Roman" w:hAnsi="Times New Roman" w:cs="Times New Roman"/>
          <w:sz w:val="24"/>
          <w:szCs w:val="24"/>
          <w:lang w:val="en-GB"/>
        </w:rPr>
        <w:t xml:space="preserve">In </w:t>
      </w:r>
      <w:r w:rsidR="0072103D">
        <w:rPr>
          <w:rFonts w:ascii="Times New Roman" w:hAnsi="Times New Roman" w:cs="Times New Roman"/>
          <w:sz w:val="24"/>
          <w:szCs w:val="24"/>
          <w:lang w:val="en-GB"/>
        </w:rPr>
        <w:t>several</w:t>
      </w:r>
      <w:r w:rsidR="00AD6F84" w:rsidRPr="00001453">
        <w:rPr>
          <w:rFonts w:ascii="Times New Roman" w:hAnsi="Times New Roman" w:cs="Times New Roman"/>
          <w:sz w:val="24"/>
          <w:szCs w:val="24"/>
          <w:lang w:val="en-GB"/>
        </w:rPr>
        <w:t xml:space="preserve"> judgments </w:t>
      </w:r>
      <w:r w:rsidR="005D576B" w:rsidRPr="00001453">
        <w:rPr>
          <w:rFonts w:ascii="Times New Roman" w:hAnsi="Times New Roman" w:cs="Times New Roman"/>
          <w:sz w:val="24"/>
          <w:szCs w:val="24"/>
          <w:lang w:val="en-GB"/>
        </w:rPr>
        <w:t>concerning Article 8 ECHR, the Court has delineated th</w:t>
      </w:r>
      <w:r w:rsidR="009B6FDC">
        <w:rPr>
          <w:rFonts w:ascii="Times New Roman" w:hAnsi="Times New Roman" w:cs="Times New Roman"/>
          <w:sz w:val="24"/>
          <w:szCs w:val="24"/>
          <w:lang w:val="en-GB"/>
        </w:rPr>
        <w:t>is relationship</w:t>
      </w:r>
      <w:r w:rsidR="005D576B" w:rsidRPr="00001453">
        <w:rPr>
          <w:rFonts w:ascii="Times New Roman" w:hAnsi="Times New Roman" w:cs="Times New Roman"/>
          <w:sz w:val="24"/>
          <w:szCs w:val="24"/>
          <w:lang w:val="en-GB"/>
        </w:rPr>
        <w:t xml:space="preserve"> as follows:</w:t>
      </w:r>
    </w:p>
    <w:p w14:paraId="56BE7805" w14:textId="77777777" w:rsidR="005D576B" w:rsidRPr="00001453" w:rsidRDefault="005D576B" w:rsidP="005D576B">
      <w:pPr>
        <w:spacing w:before="160" w:line="360" w:lineRule="auto"/>
        <w:ind w:left="284" w:right="284"/>
        <w:jc w:val="both"/>
        <w:rPr>
          <w:rFonts w:ascii="Times New Roman" w:hAnsi="Times New Roman" w:cs="Times New Roman"/>
          <w:sz w:val="24"/>
          <w:szCs w:val="24"/>
          <w:lang w:val="en-GB"/>
        </w:rPr>
      </w:pPr>
      <w:r w:rsidRPr="00001453">
        <w:rPr>
          <w:rFonts w:ascii="Times New Roman" w:hAnsi="Times New Roman" w:cs="Times New Roman"/>
          <w:sz w:val="24"/>
          <w:szCs w:val="24"/>
          <w:lang w:val="en-GB"/>
        </w:rPr>
        <w:t>‘A number of factors must be taken into account when determining the breadth of the margin of appreciation to be enjoyed by the State in any case under Article 8. Where a particularly important facet of an individual’s existence or identity is at stake, the margin allowed to the State will be restricted. … Where, however, there is no consensus within the member States of the Council of Europe, either as to the relative importance of the interest at stake or as to the best means of protecting it, particularly where the case raises sensitive moral or ethical issues, the margin will be wider’.</w:t>
      </w:r>
      <w:r w:rsidRPr="00001453">
        <w:rPr>
          <w:rStyle w:val="FootnoteReference"/>
          <w:rFonts w:cs="Times New Roman"/>
          <w:sz w:val="24"/>
          <w:szCs w:val="24"/>
          <w:lang w:val="en-GB"/>
        </w:rPr>
        <w:footnoteReference w:id="179"/>
      </w:r>
    </w:p>
    <w:p w14:paraId="640F4044" w14:textId="6709F972" w:rsidR="005D576B" w:rsidRPr="00001453" w:rsidRDefault="00AD6F84" w:rsidP="005D576B">
      <w:pPr>
        <w:spacing w:line="360" w:lineRule="auto"/>
        <w:jc w:val="both"/>
        <w:rPr>
          <w:rFonts w:ascii="Times New Roman" w:hAnsi="Times New Roman" w:cs="Times New Roman"/>
          <w:sz w:val="24"/>
          <w:szCs w:val="24"/>
          <w:lang w:val="en-GB"/>
        </w:rPr>
      </w:pPr>
      <w:r w:rsidRPr="00001453">
        <w:rPr>
          <w:rFonts w:ascii="Times New Roman" w:hAnsi="Times New Roman" w:cs="Times New Roman"/>
          <w:sz w:val="24"/>
          <w:szCs w:val="24"/>
          <w:lang w:val="en-GB"/>
        </w:rPr>
        <w:t>T</w:t>
      </w:r>
      <w:r w:rsidR="005D576B" w:rsidRPr="00001453">
        <w:rPr>
          <w:rFonts w:ascii="Times New Roman" w:hAnsi="Times New Roman" w:cs="Times New Roman"/>
          <w:sz w:val="24"/>
          <w:szCs w:val="24"/>
          <w:lang w:val="en-GB"/>
        </w:rPr>
        <w:t>his definition is incomplete</w:t>
      </w:r>
      <w:r w:rsidR="006C7E97">
        <w:rPr>
          <w:rFonts w:ascii="Times New Roman" w:hAnsi="Times New Roman" w:cs="Times New Roman"/>
          <w:sz w:val="24"/>
          <w:szCs w:val="24"/>
          <w:lang w:val="en-GB"/>
        </w:rPr>
        <w:t>: f</w:t>
      </w:r>
      <w:r w:rsidR="005D576B" w:rsidRPr="00001453">
        <w:rPr>
          <w:rFonts w:ascii="Times New Roman" w:hAnsi="Times New Roman" w:cs="Times New Roman"/>
          <w:sz w:val="24"/>
          <w:szCs w:val="24"/>
          <w:lang w:val="en-GB"/>
        </w:rPr>
        <w:t xml:space="preserve">irst, the question as to whether and to what extent the </w:t>
      </w:r>
      <w:r w:rsidR="005D576B" w:rsidRPr="00001453">
        <w:rPr>
          <w:rFonts w:ascii="Times New Roman" w:hAnsi="Times New Roman" w:cs="Times New Roman"/>
          <w:i/>
          <w:sz w:val="24"/>
          <w:szCs w:val="24"/>
          <w:lang w:val="en-GB"/>
        </w:rPr>
        <w:t xml:space="preserve">presence </w:t>
      </w:r>
      <w:r w:rsidR="005D576B" w:rsidRPr="00001453">
        <w:rPr>
          <w:rFonts w:ascii="Times New Roman" w:hAnsi="Times New Roman" w:cs="Times New Roman"/>
          <w:sz w:val="24"/>
          <w:szCs w:val="24"/>
          <w:lang w:val="en-GB"/>
        </w:rPr>
        <w:t>of consensus is relevant for the margin of appreciation</w:t>
      </w:r>
      <w:r w:rsidR="006C7E97">
        <w:rPr>
          <w:rFonts w:ascii="Times New Roman" w:hAnsi="Times New Roman" w:cs="Times New Roman"/>
          <w:sz w:val="24"/>
          <w:szCs w:val="24"/>
          <w:lang w:val="en-GB"/>
        </w:rPr>
        <w:t xml:space="preserve"> is not addressed; second, </w:t>
      </w:r>
      <w:r w:rsidR="005D576B" w:rsidRPr="00001453">
        <w:rPr>
          <w:rFonts w:ascii="Times New Roman" w:hAnsi="Times New Roman" w:cs="Times New Roman"/>
          <w:sz w:val="24"/>
          <w:szCs w:val="24"/>
          <w:lang w:val="en-GB"/>
        </w:rPr>
        <w:t xml:space="preserve">there has been jurisprudence where the Court granted the margin in cases where a particularly important facet of the individual’s existence or identity was at stake. </w:t>
      </w:r>
    </w:p>
    <w:p w14:paraId="3821527C" w14:textId="77777777" w:rsidR="005D576B" w:rsidRPr="00001453" w:rsidRDefault="005D576B" w:rsidP="005D576B">
      <w:pPr>
        <w:spacing w:line="360" w:lineRule="auto"/>
        <w:jc w:val="both"/>
        <w:rPr>
          <w:sz w:val="24"/>
          <w:szCs w:val="24"/>
        </w:rPr>
      </w:pPr>
      <w:r w:rsidRPr="00001453">
        <w:rPr>
          <w:rFonts w:ascii="Times New Roman" w:hAnsi="Times New Roman" w:cs="Times New Roman"/>
          <w:sz w:val="24"/>
          <w:szCs w:val="24"/>
          <w:lang w:val="en-GB"/>
        </w:rPr>
        <w:t xml:space="preserve">In </w:t>
      </w:r>
      <w:r w:rsidR="006C7E97">
        <w:rPr>
          <w:rFonts w:ascii="Times New Roman" w:hAnsi="Times New Roman" w:cs="Times New Roman"/>
          <w:sz w:val="24"/>
          <w:szCs w:val="24"/>
          <w:lang w:val="en-GB"/>
        </w:rPr>
        <w:t xml:space="preserve">cases involving Article 14 (in conjunction with other Convention articles, </w:t>
      </w:r>
      <w:r w:rsidR="00964D6A">
        <w:rPr>
          <w:rFonts w:ascii="Times New Roman" w:hAnsi="Times New Roman" w:cs="Times New Roman"/>
          <w:sz w:val="24"/>
          <w:szCs w:val="24"/>
          <w:lang w:val="en-GB"/>
        </w:rPr>
        <w:t xml:space="preserve">and notably Article 8), </w:t>
      </w:r>
      <w:r w:rsidRPr="00001453">
        <w:rPr>
          <w:rFonts w:ascii="Times New Roman" w:hAnsi="Times New Roman" w:cs="Times New Roman"/>
          <w:sz w:val="24"/>
          <w:szCs w:val="24"/>
          <w:lang w:val="en-GB"/>
        </w:rPr>
        <w:t xml:space="preserve">the Strasbourg Court </w:t>
      </w:r>
      <w:r w:rsidR="0072103D">
        <w:rPr>
          <w:rFonts w:ascii="Times New Roman" w:hAnsi="Times New Roman" w:cs="Times New Roman"/>
          <w:sz w:val="24"/>
          <w:szCs w:val="24"/>
          <w:lang w:val="en-GB"/>
        </w:rPr>
        <w:t>has employed</w:t>
      </w:r>
      <w:r w:rsidRPr="00001453">
        <w:rPr>
          <w:rFonts w:ascii="Times New Roman" w:hAnsi="Times New Roman" w:cs="Times New Roman"/>
          <w:sz w:val="24"/>
          <w:szCs w:val="24"/>
          <w:lang w:val="en-GB"/>
        </w:rPr>
        <w:t xml:space="preserve"> </w:t>
      </w:r>
      <w:r w:rsidR="00964D6A">
        <w:rPr>
          <w:rFonts w:ascii="Times New Roman" w:hAnsi="Times New Roman" w:cs="Times New Roman"/>
          <w:sz w:val="24"/>
          <w:szCs w:val="24"/>
          <w:lang w:val="en-GB"/>
        </w:rPr>
        <w:t>the following</w:t>
      </w:r>
      <w:r w:rsidRPr="00001453">
        <w:rPr>
          <w:rFonts w:ascii="Times New Roman" w:hAnsi="Times New Roman" w:cs="Times New Roman"/>
          <w:sz w:val="24"/>
          <w:szCs w:val="24"/>
          <w:lang w:val="en-GB"/>
        </w:rPr>
        <w:t xml:space="preserve"> </w:t>
      </w:r>
      <w:r w:rsidR="0072103D">
        <w:rPr>
          <w:rFonts w:ascii="Times New Roman" w:hAnsi="Times New Roman" w:cs="Times New Roman"/>
          <w:sz w:val="24"/>
          <w:szCs w:val="24"/>
          <w:lang w:val="en-GB"/>
        </w:rPr>
        <w:t>explanation</w:t>
      </w:r>
      <w:r w:rsidRPr="00001453">
        <w:rPr>
          <w:rFonts w:ascii="Times New Roman" w:hAnsi="Times New Roman" w:cs="Times New Roman"/>
          <w:sz w:val="24"/>
          <w:szCs w:val="24"/>
          <w:lang w:val="en-GB"/>
        </w:rPr>
        <w:t>:</w:t>
      </w:r>
      <w:r w:rsidRPr="00001453">
        <w:rPr>
          <w:sz w:val="24"/>
          <w:szCs w:val="24"/>
        </w:rPr>
        <w:t xml:space="preserve"> </w:t>
      </w:r>
    </w:p>
    <w:p w14:paraId="71663A75" w14:textId="77777777" w:rsidR="005D576B" w:rsidRPr="00001453" w:rsidRDefault="006143BE" w:rsidP="005D576B">
      <w:pPr>
        <w:spacing w:line="360" w:lineRule="auto"/>
        <w:ind w:left="284" w:right="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scope </w:t>
      </w:r>
      <w:r w:rsidR="005D576B" w:rsidRPr="00001453">
        <w:rPr>
          <w:rFonts w:ascii="Times New Roman" w:hAnsi="Times New Roman" w:cs="Times New Roman"/>
          <w:sz w:val="24"/>
          <w:szCs w:val="24"/>
          <w:lang w:val="en-GB"/>
        </w:rPr>
        <w:t>of the margin of appreciation will vary according to the circumstances, the subject-matter and its background; in this respect, one of the relevant factors may be the existence or non-existence of common ground between the laws of the Contracting States’.</w:t>
      </w:r>
      <w:r w:rsidR="005D576B" w:rsidRPr="00001453">
        <w:rPr>
          <w:rStyle w:val="FootnoteReference"/>
          <w:rFonts w:cs="Times New Roman"/>
          <w:sz w:val="24"/>
          <w:szCs w:val="24"/>
          <w:lang w:val="en-GB"/>
        </w:rPr>
        <w:footnoteReference w:id="180"/>
      </w:r>
    </w:p>
    <w:p w14:paraId="79DD8B6B" w14:textId="77777777" w:rsidR="005D576B" w:rsidRPr="00001453" w:rsidRDefault="005D576B" w:rsidP="005D576B">
      <w:pPr>
        <w:spacing w:line="360" w:lineRule="auto"/>
        <w:jc w:val="both"/>
        <w:rPr>
          <w:rFonts w:ascii="Times New Roman" w:hAnsi="Times New Roman" w:cs="Times New Roman"/>
          <w:sz w:val="24"/>
          <w:szCs w:val="24"/>
          <w:lang w:val="en-GB"/>
        </w:rPr>
      </w:pPr>
      <w:r w:rsidRPr="00001453">
        <w:rPr>
          <w:rFonts w:ascii="Times New Roman" w:hAnsi="Times New Roman" w:cs="Times New Roman"/>
          <w:sz w:val="24"/>
          <w:szCs w:val="24"/>
          <w:lang w:val="en-GB"/>
        </w:rPr>
        <w:t>The same formulation has also been used in the context of Article 3 of Protocol 1 ECHR.</w:t>
      </w:r>
      <w:r w:rsidRPr="00001453">
        <w:rPr>
          <w:rStyle w:val="FootnoteReference"/>
          <w:rFonts w:cs="Times New Roman"/>
          <w:sz w:val="24"/>
          <w:szCs w:val="24"/>
          <w:lang w:val="en-GB"/>
        </w:rPr>
        <w:footnoteReference w:id="181"/>
      </w:r>
      <w:r w:rsidRPr="00001453">
        <w:rPr>
          <w:rFonts w:ascii="Times New Roman" w:hAnsi="Times New Roman" w:cs="Times New Roman"/>
          <w:sz w:val="24"/>
          <w:szCs w:val="24"/>
          <w:lang w:val="en-GB"/>
        </w:rPr>
        <w:t xml:space="preserve"> </w:t>
      </w:r>
      <w:r w:rsidR="00964D6A">
        <w:rPr>
          <w:rFonts w:ascii="Times New Roman" w:hAnsi="Times New Roman" w:cs="Times New Roman"/>
          <w:sz w:val="24"/>
          <w:szCs w:val="24"/>
          <w:lang w:val="en-GB"/>
        </w:rPr>
        <w:t>Using</w:t>
      </w:r>
      <w:r w:rsidRPr="00001453">
        <w:rPr>
          <w:rFonts w:ascii="Times New Roman" w:hAnsi="Times New Roman" w:cs="Times New Roman"/>
          <w:sz w:val="24"/>
          <w:szCs w:val="24"/>
          <w:lang w:val="en-GB"/>
        </w:rPr>
        <w:t xml:space="preserve"> slightly different </w:t>
      </w:r>
      <w:r w:rsidR="00964D6A">
        <w:rPr>
          <w:rFonts w:ascii="Times New Roman" w:hAnsi="Times New Roman" w:cs="Times New Roman"/>
          <w:sz w:val="24"/>
          <w:szCs w:val="24"/>
          <w:lang w:val="en-GB"/>
        </w:rPr>
        <w:t>wording</w:t>
      </w:r>
      <w:r w:rsidRPr="00001453">
        <w:rPr>
          <w:rFonts w:ascii="Times New Roman" w:hAnsi="Times New Roman" w:cs="Times New Roman"/>
          <w:sz w:val="24"/>
          <w:szCs w:val="24"/>
          <w:lang w:val="en-GB"/>
        </w:rPr>
        <w:t>, the Court observed in a case concerning the alleged violation of Article 14, in conjunction with Article 5 ECHR that ‘[a]n additional factor relevant for determining the extent to which the respondent State should be afforded a margin of appreciation is the existence or non-existence of a European consensus’.</w:t>
      </w:r>
      <w:r w:rsidRPr="00001453">
        <w:rPr>
          <w:rStyle w:val="FootnoteReference"/>
          <w:rFonts w:cs="Times New Roman"/>
          <w:sz w:val="24"/>
          <w:szCs w:val="24"/>
          <w:lang w:val="en-GB"/>
        </w:rPr>
        <w:footnoteReference w:id="182"/>
      </w:r>
      <w:r w:rsidRPr="00001453">
        <w:rPr>
          <w:rFonts w:ascii="Times New Roman" w:hAnsi="Times New Roman" w:cs="Times New Roman"/>
          <w:sz w:val="24"/>
          <w:szCs w:val="24"/>
          <w:lang w:val="en-GB"/>
        </w:rPr>
        <w:t xml:space="preserve"> These definitions are better, in that they address the </w:t>
      </w:r>
      <w:r w:rsidR="00964D6A">
        <w:rPr>
          <w:rFonts w:ascii="Times New Roman" w:hAnsi="Times New Roman" w:cs="Times New Roman"/>
          <w:sz w:val="24"/>
          <w:szCs w:val="24"/>
          <w:lang w:val="en-GB"/>
        </w:rPr>
        <w:t>existence</w:t>
      </w:r>
      <w:r w:rsidRPr="00001453">
        <w:rPr>
          <w:rFonts w:ascii="Times New Roman" w:hAnsi="Times New Roman" w:cs="Times New Roman"/>
          <w:sz w:val="24"/>
          <w:szCs w:val="24"/>
          <w:lang w:val="en-GB"/>
        </w:rPr>
        <w:t xml:space="preserve"> of consensus as well. However, they </w:t>
      </w:r>
      <w:r w:rsidR="00964D6A">
        <w:rPr>
          <w:rFonts w:ascii="Times New Roman" w:hAnsi="Times New Roman" w:cs="Times New Roman"/>
          <w:sz w:val="24"/>
          <w:szCs w:val="24"/>
          <w:lang w:val="en-GB"/>
        </w:rPr>
        <w:t>may</w:t>
      </w:r>
      <w:r w:rsidRPr="00001453">
        <w:rPr>
          <w:rFonts w:ascii="Times New Roman" w:hAnsi="Times New Roman" w:cs="Times New Roman"/>
          <w:sz w:val="24"/>
          <w:szCs w:val="24"/>
          <w:lang w:val="en-GB"/>
        </w:rPr>
        <w:t xml:space="preserve"> be taken to mean that the Court in most cases resorts to the comparative material, which is not the case. Also, </w:t>
      </w:r>
      <w:r w:rsidR="00964D6A">
        <w:rPr>
          <w:rFonts w:ascii="Times New Roman" w:hAnsi="Times New Roman" w:cs="Times New Roman"/>
          <w:sz w:val="24"/>
          <w:szCs w:val="24"/>
          <w:lang w:val="en-GB"/>
        </w:rPr>
        <w:t>they do not</w:t>
      </w:r>
      <w:r w:rsidRPr="00001453">
        <w:rPr>
          <w:rFonts w:ascii="Times New Roman" w:hAnsi="Times New Roman" w:cs="Times New Roman"/>
          <w:sz w:val="24"/>
          <w:szCs w:val="24"/>
          <w:lang w:val="en-GB"/>
        </w:rPr>
        <w:t xml:space="preserve"> </w:t>
      </w:r>
      <w:r w:rsidR="00964D6A">
        <w:rPr>
          <w:rFonts w:ascii="Times New Roman" w:hAnsi="Times New Roman" w:cs="Times New Roman"/>
          <w:sz w:val="24"/>
          <w:szCs w:val="24"/>
          <w:lang w:val="en-GB"/>
        </w:rPr>
        <w:t>encompass</w:t>
      </w:r>
      <w:r w:rsidRPr="00001453">
        <w:rPr>
          <w:rFonts w:ascii="Times New Roman" w:hAnsi="Times New Roman" w:cs="Times New Roman"/>
          <w:sz w:val="24"/>
          <w:szCs w:val="24"/>
          <w:lang w:val="en-GB"/>
        </w:rPr>
        <w:t xml:space="preserve"> cases where consensus and the margin of appreciation do not overlap.</w:t>
      </w:r>
    </w:p>
    <w:p w14:paraId="433A7DE2" w14:textId="3458E391" w:rsidR="005D576B" w:rsidRPr="00001453" w:rsidRDefault="00964D6A" w:rsidP="005D576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 </w:t>
      </w:r>
      <w:r w:rsidR="00456FE5">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few occasions where </w:t>
      </w:r>
      <w:r w:rsidR="005D576B" w:rsidRPr="00001453">
        <w:rPr>
          <w:rFonts w:ascii="Times New Roman" w:hAnsi="Times New Roman" w:cs="Times New Roman"/>
          <w:sz w:val="24"/>
          <w:szCs w:val="24"/>
          <w:lang w:val="en-GB"/>
        </w:rPr>
        <w:t>Article 9</w:t>
      </w:r>
      <w:r w:rsidR="00AD6F84" w:rsidRPr="00001453">
        <w:rPr>
          <w:rFonts w:ascii="Times New Roman" w:hAnsi="Times New Roman" w:cs="Times New Roman"/>
          <w:sz w:val="24"/>
          <w:szCs w:val="24"/>
          <w:lang w:val="en-GB"/>
        </w:rPr>
        <w:t xml:space="preserve"> was at stake</w:t>
      </w:r>
      <w:r>
        <w:rPr>
          <w:rFonts w:ascii="Times New Roman" w:hAnsi="Times New Roman" w:cs="Times New Roman"/>
          <w:sz w:val="24"/>
          <w:szCs w:val="24"/>
          <w:lang w:val="en-GB"/>
        </w:rPr>
        <w:t>,</w:t>
      </w:r>
      <w:r w:rsidR="005D576B" w:rsidRPr="00001453">
        <w:rPr>
          <w:rFonts w:ascii="Times New Roman" w:hAnsi="Times New Roman" w:cs="Times New Roman"/>
          <w:sz w:val="24"/>
          <w:szCs w:val="24"/>
          <w:lang w:val="en-GB"/>
        </w:rPr>
        <w:t xml:space="preserve"> the ECtHR</w:t>
      </w:r>
      <w:r>
        <w:rPr>
          <w:rFonts w:ascii="Times New Roman" w:hAnsi="Times New Roman" w:cs="Times New Roman"/>
          <w:sz w:val="24"/>
          <w:szCs w:val="24"/>
          <w:lang w:val="en-GB"/>
        </w:rPr>
        <w:t xml:space="preserve"> held that it</w:t>
      </w:r>
      <w:r w:rsidR="005D576B" w:rsidRPr="00001453">
        <w:rPr>
          <w:rFonts w:ascii="Times New Roman" w:hAnsi="Times New Roman" w:cs="Times New Roman"/>
          <w:sz w:val="24"/>
          <w:szCs w:val="24"/>
          <w:lang w:val="en-GB"/>
        </w:rPr>
        <w:t xml:space="preserve"> ‘may, if appropriate, have regard to any consensus and common values emerging from the practices of the States Parties to the Convention’.</w:t>
      </w:r>
      <w:r w:rsidR="005D576B" w:rsidRPr="00001453">
        <w:rPr>
          <w:rStyle w:val="FootnoteReference"/>
          <w:rFonts w:cs="Times New Roman"/>
          <w:sz w:val="24"/>
          <w:szCs w:val="24"/>
          <w:lang w:val="en-GB"/>
        </w:rPr>
        <w:footnoteReference w:id="183"/>
      </w:r>
      <w:r w:rsidR="005D576B" w:rsidRPr="00001453">
        <w:rPr>
          <w:rFonts w:ascii="Times New Roman" w:hAnsi="Times New Roman" w:cs="Times New Roman"/>
          <w:sz w:val="24"/>
          <w:szCs w:val="24"/>
          <w:lang w:val="en-GB"/>
        </w:rPr>
        <w:t xml:space="preserve"> They key difference is the term ‘if appropriate’, which is more reflective of the Court’s existing practice. However, there is no reference to </w:t>
      </w:r>
      <w:r w:rsidR="00AD6F84" w:rsidRPr="00001453">
        <w:rPr>
          <w:rFonts w:ascii="Times New Roman" w:hAnsi="Times New Roman" w:cs="Times New Roman"/>
          <w:sz w:val="24"/>
          <w:szCs w:val="24"/>
          <w:lang w:val="en-GB"/>
        </w:rPr>
        <w:t xml:space="preserve">the </w:t>
      </w:r>
      <w:r w:rsidR="005D576B" w:rsidRPr="00001453">
        <w:rPr>
          <w:rFonts w:ascii="Times New Roman" w:hAnsi="Times New Roman" w:cs="Times New Roman"/>
          <w:sz w:val="24"/>
          <w:szCs w:val="24"/>
          <w:lang w:val="en-GB"/>
        </w:rPr>
        <w:t>absence of consensus.</w:t>
      </w:r>
    </w:p>
    <w:p w14:paraId="35FC243D" w14:textId="52A5D21B" w:rsidR="00EB7DFD" w:rsidRPr="00001453" w:rsidRDefault="00EA3357" w:rsidP="005D576B">
      <w:pPr>
        <w:spacing w:line="360" w:lineRule="auto"/>
        <w:jc w:val="both"/>
        <w:rPr>
          <w:sz w:val="24"/>
          <w:szCs w:val="24"/>
        </w:rPr>
      </w:pPr>
      <w:r>
        <w:rPr>
          <w:rFonts w:ascii="Times New Roman" w:hAnsi="Times New Roman" w:cs="Times New Roman"/>
          <w:sz w:val="24"/>
          <w:szCs w:val="24"/>
          <w:lang w:val="en-GB"/>
        </w:rPr>
        <w:t xml:space="preserve">In this context, the article concludes by </w:t>
      </w:r>
      <w:r w:rsidR="005C31F8">
        <w:rPr>
          <w:rFonts w:ascii="Times New Roman" w:hAnsi="Times New Roman" w:cs="Times New Roman"/>
          <w:sz w:val="24"/>
          <w:szCs w:val="24"/>
          <w:lang w:val="en-GB"/>
        </w:rPr>
        <w:t>arguing that</w:t>
      </w:r>
      <w:r>
        <w:rPr>
          <w:rFonts w:ascii="Times New Roman" w:hAnsi="Times New Roman" w:cs="Times New Roman"/>
          <w:sz w:val="24"/>
          <w:szCs w:val="24"/>
          <w:lang w:val="en-GB"/>
        </w:rPr>
        <w:t xml:space="preserve"> the Court </w:t>
      </w:r>
      <w:r w:rsidR="005C31F8">
        <w:rPr>
          <w:rFonts w:ascii="Times New Roman" w:hAnsi="Times New Roman" w:cs="Times New Roman"/>
          <w:sz w:val="24"/>
          <w:szCs w:val="24"/>
          <w:lang w:val="en-GB"/>
        </w:rPr>
        <w:t>should</w:t>
      </w:r>
      <w:r w:rsidR="005D576B" w:rsidRPr="00001453">
        <w:rPr>
          <w:rFonts w:ascii="Times New Roman" w:hAnsi="Times New Roman" w:cs="Times New Roman"/>
          <w:sz w:val="24"/>
          <w:szCs w:val="24"/>
          <w:lang w:val="en-GB"/>
        </w:rPr>
        <w:t xml:space="preserve"> clarify and consolidate its messages with regard to the interplay be</w:t>
      </w:r>
      <w:r w:rsidR="00AD6F84" w:rsidRPr="00001453">
        <w:rPr>
          <w:rFonts w:ascii="Times New Roman" w:hAnsi="Times New Roman" w:cs="Times New Roman"/>
          <w:sz w:val="24"/>
          <w:szCs w:val="24"/>
          <w:lang w:val="en-GB"/>
        </w:rPr>
        <w:t xml:space="preserve">tween the two notions. </w:t>
      </w:r>
      <w:r w:rsidR="0041524B">
        <w:rPr>
          <w:rFonts w:ascii="Times New Roman" w:hAnsi="Times New Roman" w:cs="Times New Roman"/>
          <w:sz w:val="24"/>
          <w:szCs w:val="24"/>
          <w:lang w:val="en-GB"/>
        </w:rPr>
        <w:t>Th</w:t>
      </w:r>
      <w:r w:rsidR="009B6FDC">
        <w:rPr>
          <w:rFonts w:ascii="Times New Roman" w:hAnsi="Times New Roman" w:cs="Times New Roman"/>
          <w:sz w:val="24"/>
          <w:szCs w:val="24"/>
          <w:lang w:val="en-GB"/>
        </w:rPr>
        <w:t>is contribution</w:t>
      </w:r>
      <w:r w:rsidR="0041524B">
        <w:rPr>
          <w:rFonts w:ascii="Times New Roman" w:hAnsi="Times New Roman" w:cs="Times New Roman"/>
          <w:sz w:val="24"/>
          <w:szCs w:val="24"/>
          <w:lang w:val="en-GB"/>
        </w:rPr>
        <w:t xml:space="preserve"> has offered insights into the Court’s </w:t>
      </w:r>
      <w:r w:rsidR="0041524B" w:rsidRPr="0041524B">
        <w:rPr>
          <w:rFonts w:ascii="Times New Roman" w:hAnsi="Times New Roman" w:cs="Times New Roman"/>
          <w:sz w:val="24"/>
          <w:szCs w:val="24"/>
          <w:lang w:val="en-GB"/>
        </w:rPr>
        <w:t>general practice.</w:t>
      </w:r>
      <w:r w:rsidR="0041524B" w:rsidRPr="0041524B">
        <w:rPr>
          <w:rStyle w:val="FootnoteReference"/>
          <w:rFonts w:cs="Times New Roman"/>
          <w:sz w:val="24"/>
          <w:szCs w:val="24"/>
          <w:lang w:val="en-GB"/>
        </w:rPr>
        <w:footnoteReference w:id="184"/>
      </w:r>
      <w:r w:rsidR="0041524B" w:rsidRPr="0041524B">
        <w:rPr>
          <w:rFonts w:ascii="Times New Roman" w:hAnsi="Times New Roman" w:cs="Times New Roman"/>
          <w:sz w:val="24"/>
          <w:szCs w:val="24"/>
          <w:lang w:val="en-GB"/>
        </w:rPr>
        <w:t xml:space="preserve"> A more coherent</w:t>
      </w:r>
      <w:r w:rsidR="0041524B">
        <w:rPr>
          <w:rFonts w:ascii="Times New Roman" w:hAnsi="Times New Roman" w:cs="Times New Roman"/>
          <w:sz w:val="24"/>
          <w:szCs w:val="24"/>
          <w:lang w:val="en-GB"/>
        </w:rPr>
        <w:t xml:space="preserve"> approach will also assist the parties (or interveners) when preparing their submissions, and will alleviate some of the inconsistency in the Court’s reasoning. </w:t>
      </w:r>
    </w:p>
    <w:sectPr w:rsidR="00EB7DFD" w:rsidRPr="000014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D1CFC" w14:textId="77777777" w:rsidR="00CB0C68" w:rsidRDefault="00CB0C68" w:rsidP="001D5459">
      <w:pPr>
        <w:spacing w:after="0" w:line="240" w:lineRule="auto"/>
      </w:pPr>
      <w:r>
        <w:separator/>
      </w:r>
    </w:p>
  </w:endnote>
  <w:endnote w:type="continuationSeparator" w:id="0">
    <w:p w14:paraId="4E5F4713" w14:textId="77777777" w:rsidR="00CB0C68" w:rsidRDefault="00CB0C68" w:rsidP="001D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311618"/>
      <w:docPartObj>
        <w:docPartGallery w:val="Page Numbers (Bottom of Page)"/>
        <w:docPartUnique/>
      </w:docPartObj>
    </w:sdtPr>
    <w:sdtEndPr>
      <w:rPr>
        <w:noProof/>
      </w:rPr>
    </w:sdtEndPr>
    <w:sdtContent>
      <w:p w14:paraId="474D3A83" w14:textId="08D282DA" w:rsidR="005950CD" w:rsidRDefault="005950CD">
        <w:pPr>
          <w:pStyle w:val="Footer"/>
          <w:jc w:val="right"/>
        </w:pPr>
        <w:r>
          <w:fldChar w:fldCharType="begin"/>
        </w:r>
        <w:r>
          <w:instrText xml:space="preserve"> PAGE   \* MERGEFORMAT </w:instrText>
        </w:r>
        <w:r>
          <w:fldChar w:fldCharType="separate"/>
        </w:r>
        <w:r w:rsidR="00505668">
          <w:rPr>
            <w:noProof/>
          </w:rPr>
          <w:t>1</w:t>
        </w:r>
        <w:r>
          <w:rPr>
            <w:noProof/>
          </w:rPr>
          <w:fldChar w:fldCharType="end"/>
        </w:r>
      </w:p>
    </w:sdtContent>
  </w:sdt>
  <w:p w14:paraId="78CA8675" w14:textId="77777777" w:rsidR="005950CD" w:rsidRDefault="00595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4EE3F" w14:textId="77777777" w:rsidR="00CB0C68" w:rsidRDefault="00CB0C68" w:rsidP="001D5459">
      <w:pPr>
        <w:spacing w:after="0" w:line="240" w:lineRule="auto"/>
      </w:pPr>
      <w:r>
        <w:separator/>
      </w:r>
    </w:p>
  </w:footnote>
  <w:footnote w:type="continuationSeparator" w:id="0">
    <w:p w14:paraId="726365BF" w14:textId="77777777" w:rsidR="00CB0C68" w:rsidRDefault="00CB0C68" w:rsidP="001D5459">
      <w:pPr>
        <w:spacing w:after="0" w:line="240" w:lineRule="auto"/>
      </w:pPr>
      <w:r>
        <w:continuationSeparator/>
      </w:r>
    </w:p>
  </w:footnote>
  <w:footnote w:id="1">
    <w:p w14:paraId="150458F6" w14:textId="77777777" w:rsidR="00FF7244" w:rsidRDefault="00FF7244" w:rsidP="00FF7244">
      <w:pPr>
        <w:pStyle w:val="FootnoteText"/>
        <w:jc w:val="both"/>
        <w:rPr>
          <w:rFonts w:cs="Times New Roman"/>
        </w:rPr>
      </w:pPr>
      <w:r>
        <w:rPr>
          <w:rStyle w:val="FootnoteReference"/>
          <w:rFonts w:cs="Times New Roman"/>
        </w:rPr>
        <w:sym w:font="Symbol" w:char="F02A"/>
      </w:r>
      <w:r>
        <w:rPr>
          <w:rFonts w:cs="Times New Roman"/>
        </w:rPr>
        <w:t xml:space="preserve"> Lecturer in Law, University of Liverpool. Correspondence: n.vogiatzis@liverpool.ac.uk. I am very grateful to Kanstantsin Dzehtsiarou, Michael Gordon and the anonymous reviewer for their very helpful observations and suggestions on earlier versions. Drafts of this paper were presented in 2016 at a research seminar in Liverpool Law School and a conference on European consensus at the European University Institute. I thank all participants for their very helpful comments, as well as Paul Gragl for commenting on one of the first versions. The article considers developments until May 2018. The usual disclaimer applies.</w:t>
      </w:r>
    </w:p>
  </w:footnote>
  <w:footnote w:id="2">
    <w:p w14:paraId="77313413" w14:textId="0D70242D" w:rsidR="005950CD" w:rsidRDefault="005950CD" w:rsidP="001D5459">
      <w:pPr>
        <w:pStyle w:val="FootnoteText"/>
        <w:jc w:val="both"/>
        <w:rPr>
          <w:rFonts w:cs="Times New Roman"/>
        </w:rPr>
      </w:pPr>
      <w:r>
        <w:rPr>
          <w:rStyle w:val="FootnoteReference"/>
        </w:rPr>
        <w:footnoteRef/>
      </w:r>
      <w:r>
        <w:rPr>
          <w:rFonts w:cs="Times New Roman"/>
        </w:rPr>
        <w:t xml:space="preserve"> See, for example, Lord Hoffmann, ‘The universality of human rights’ (2009) 125 </w:t>
      </w:r>
      <w:r>
        <w:rPr>
          <w:rFonts w:cs="Times New Roman"/>
          <w:i/>
        </w:rPr>
        <w:t>Law Quarterly Review</w:t>
      </w:r>
      <w:r>
        <w:rPr>
          <w:rFonts w:cs="Times New Roman"/>
        </w:rPr>
        <w:t xml:space="preserve"> 416. Russia has enacted legislation enabling the Russian Constitutional Court ‘to declare rulings of international bodies “impossible to implement”’; see Philip Leach and Alice Donald, ‘Russia defies Strasbourg: Is contagion spreading?’ (2015) EJIL Talk!, available at: www.ejiltalk.org/russia-defies-strasbourg-is-contagion-spreading. Such criticism is increasingly</w:t>
      </w:r>
      <w:r w:rsidR="00A15A55">
        <w:rPr>
          <w:rFonts w:cs="Times New Roman"/>
        </w:rPr>
        <w:t xml:space="preserve"> being</w:t>
      </w:r>
      <w:r>
        <w:rPr>
          <w:rFonts w:cs="Times New Roman"/>
        </w:rPr>
        <w:t xml:space="preserve"> voiced by other contracting parties as well, which have traditionally been more accommodating to the Court’s evolutive interpretation. See, for example, Judgment no 49/2015 of the Italian Constitutional Court, holding that the ordinary courts in Italy are bound to comply with the case-law of the Strasbourg Court </w:t>
      </w:r>
      <w:r>
        <w:rPr>
          <w:rFonts w:cs="Times New Roman"/>
          <w:i/>
        </w:rPr>
        <w:t>only when it is well-settled</w:t>
      </w:r>
      <w:r>
        <w:rPr>
          <w:rFonts w:cs="Times New Roman"/>
        </w:rPr>
        <w:t xml:space="preserve">. For a related online symposium by the I·CONnect blog see: www.iconnectblog.com/2015/04/mini-symposium-on-cc-judgment-49-2015/. </w:t>
      </w:r>
    </w:p>
  </w:footnote>
  <w:footnote w:id="3">
    <w:p w14:paraId="35A7ADD2" w14:textId="77777777" w:rsidR="005950CD" w:rsidRDefault="005950CD" w:rsidP="001D5459">
      <w:pPr>
        <w:pStyle w:val="FootnoteText"/>
        <w:jc w:val="both"/>
        <w:rPr>
          <w:rFonts w:cs="Times New Roman"/>
        </w:rPr>
      </w:pPr>
      <w:r>
        <w:rPr>
          <w:rStyle w:val="FootnoteReference"/>
        </w:rPr>
        <w:footnoteRef/>
      </w:r>
      <w:r>
        <w:rPr>
          <w:rFonts w:cs="Times New Roman"/>
        </w:rPr>
        <w:t xml:space="preserve"> See, for example, Mark Elliott, ‘After Brighton: Between a rock and a hard place’ [2012] Public Law 619. </w:t>
      </w:r>
    </w:p>
  </w:footnote>
  <w:footnote w:id="4">
    <w:p w14:paraId="7CC420EF" w14:textId="77777777" w:rsidR="005950CD" w:rsidRDefault="005950CD" w:rsidP="001D5459">
      <w:pPr>
        <w:pStyle w:val="FootnoteText"/>
        <w:jc w:val="both"/>
        <w:rPr>
          <w:rFonts w:cs="Times New Roman"/>
        </w:rPr>
      </w:pPr>
      <w:r>
        <w:rPr>
          <w:rStyle w:val="FootnoteReference"/>
        </w:rPr>
        <w:footnoteRef/>
      </w:r>
      <w:r>
        <w:rPr>
          <w:rFonts w:cs="Times New Roman"/>
        </w:rPr>
        <w:t xml:space="preserve"> See Art 1 of Protocol 15 ECHR. Protocol 15 ECHR was adopted in June 2013. </w:t>
      </w:r>
    </w:p>
  </w:footnote>
  <w:footnote w:id="5">
    <w:p w14:paraId="0B307441" w14:textId="77777777" w:rsidR="005950CD" w:rsidRDefault="005950CD">
      <w:pPr>
        <w:pStyle w:val="FootnoteText"/>
      </w:pPr>
      <w:r>
        <w:rPr>
          <w:rStyle w:val="FootnoteReference"/>
        </w:rPr>
        <w:footnoteRef/>
      </w:r>
      <w:r>
        <w:t xml:space="preserve"> See ‘Copenhagen Declaration’ (2018) available at: </w:t>
      </w:r>
      <w:r w:rsidRPr="00E97DEC">
        <w:t>rm.coe.int/copenhagen-declaration/16807b915c</w:t>
      </w:r>
      <w:r>
        <w:t>.</w:t>
      </w:r>
    </w:p>
  </w:footnote>
  <w:footnote w:id="6">
    <w:p w14:paraId="5CE885CD" w14:textId="16E3E969" w:rsidR="00973969" w:rsidRDefault="00973969" w:rsidP="00973969">
      <w:pPr>
        <w:pStyle w:val="FootnoteText"/>
        <w:jc w:val="both"/>
      </w:pPr>
      <w:r>
        <w:rPr>
          <w:rStyle w:val="FootnoteReference"/>
        </w:rPr>
        <w:footnoteRef/>
      </w:r>
      <w:r>
        <w:t xml:space="preserve"> On the ‘multi-dimensional’ legitimacy of the ECtHR see </w:t>
      </w:r>
      <w:r w:rsidR="00134982">
        <w:t xml:space="preserve">text </w:t>
      </w:r>
      <w:r>
        <w:t>below at nn 1</w:t>
      </w:r>
      <w:r w:rsidR="00134982">
        <w:t>46-159</w:t>
      </w:r>
      <w:r>
        <w:t>, and references cited therein.</w:t>
      </w:r>
    </w:p>
  </w:footnote>
  <w:footnote w:id="7">
    <w:p w14:paraId="5F61FF68" w14:textId="7326FB5E" w:rsidR="005950CD" w:rsidRDefault="005950CD" w:rsidP="00124CBF">
      <w:pPr>
        <w:pStyle w:val="FootnoteText"/>
        <w:jc w:val="both"/>
      </w:pPr>
      <w:r>
        <w:rPr>
          <w:rStyle w:val="FootnoteReference"/>
        </w:rPr>
        <w:footnoteRef/>
      </w:r>
      <w:r>
        <w:t xml:space="preserve"> </w:t>
      </w:r>
      <w:r w:rsidRPr="00243170">
        <w:rPr>
          <w:i/>
        </w:rPr>
        <w:t>Handyside</w:t>
      </w:r>
      <w:r>
        <w:t xml:space="preserve"> v </w:t>
      </w:r>
      <w:r w:rsidRPr="00243170">
        <w:rPr>
          <w:i/>
        </w:rPr>
        <w:t>the United Kingdom</w:t>
      </w:r>
      <w:r>
        <w:t>, Application 5493/72, 7 December 1976, paras 47-49.</w:t>
      </w:r>
    </w:p>
  </w:footnote>
  <w:footnote w:id="8">
    <w:p w14:paraId="4D90353D" w14:textId="77777777" w:rsidR="005950CD" w:rsidRPr="003C324F" w:rsidRDefault="005950CD" w:rsidP="001D5459">
      <w:pPr>
        <w:pStyle w:val="FootnoteText"/>
        <w:jc w:val="both"/>
        <w:rPr>
          <w:i/>
        </w:rPr>
      </w:pPr>
      <w:r>
        <w:rPr>
          <w:rStyle w:val="FootnoteReference"/>
        </w:rPr>
        <w:footnoteRef/>
      </w:r>
      <w:r>
        <w:t xml:space="preserve"> Andrew Legg, </w:t>
      </w:r>
      <w:r w:rsidRPr="003C324F">
        <w:rPr>
          <w:i/>
        </w:rPr>
        <w:t xml:space="preserve">The margin of appreciation in International Human Rights Law: Deference and proportionality </w:t>
      </w:r>
      <w:r w:rsidRPr="00D26120">
        <w:t>(Oxford University Press 2012)</w:t>
      </w:r>
      <w:r w:rsidRPr="003C324F">
        <w:rPr>
          <w:i/>
        </w:rPr>
        <w:t xml:space="preserve"> </w:t>
      </w:r>
      <w:r w:rsidRPr="003C324F">
        <w:t>ch 4.</w:t>
      </w:r>
    </w:p>
  </w:footnote>
  <w:footnote w:id="9">
    <w:p w14:paraId="305733B0" w14:textId="4D61B7C9" w:rsidR="005950CD" w:rsidRDefault="005950CD" w:rsidP="001D5459">
      <w:pPr>
        <w:pStyle w:val="FootnoteText"/>
        <w:jc w:val="both"/>
      </w:pPr>
      <w:r>
        <w:rPr>
          <w:rStyle w:val="FootnoteReference"/>
        </w:rPr>
        <w:footnoteRef/>
      </w:r>
      <w:r>
        <w:t xml:space="preserve"> On this point see Matthew Saul, </w:t>
      </w:r>
      <w:r>
        <w:rPr>
          <w:rFonts w:cs="Times New Roman"/>
        </w:rPr>
        <w:t>‘</w:t>
      </w:r>
      <w:r w:rsidRPr="00C46E75">
        <w:rPr>
          <w:rFonts w:cs="Times New Roman"/>
        </w:rPr>
        <w:t>The European Court of Human Rights</w:t>
      </w:r>
      <w:r>
        <w:rPr>
          <w:rFonts w:cs="Times New Roman"/>
        </w:rPr>
        <w:t>’ margin of a</w:t>
      </w:r>
      <w:r w:rsidRPr="00C46E75">
        <w:rPr>
          <w:rFonts w:cs="Times New Roman"/>
        </w:rPr>
        <w:t>ppreciation and the</w:t>
      </w:r>
      <w:r>
        <w:rPr>
          <w:rFonts w:cs="Times New Roman"/>
        </w:rPr>
        <w:t xml:space="preserve"> processes of national p</w:t>
      </w:r>
      <w:r w:rsidRPr="00C46E75">
        <w:rPr>
          <w:rFonts w:cs="Times New Roman"/>
        </w:rPr>
        <w:t>arliaments</w:t>
      </w:r>
      <w:r>
        <w:rPr>
          <w:rFonts w:cs="Times New Roman"/>
        </w:rPr>
        <w:t xml:space="preserve">’ (2015) 15 </w:t>
      </w:r>
      <w:r w:rsidRPr="00B839E3">
        <w:rPr>
          <w:rFonts w:cs="Times New Roman"/>
          <w:i/>
        </w:rPr>
        <w:t>Human Rights Law Review</w:t>
      </w:r>
      <w:r>
        <w:rPr>
          <w:rFonts w:cs="Times New Roman"/>
        </w:rPr>
        <w:t xml:space="preserve"> 745.</w:t>
      </w:r>
    </w:p>
  </w:footnote>
  <w:footnote w:id="10">
    <w:p w14:paraId="294F8E63" w14:textId="728CB7DE" w:rsidR="005950CD" w:rsidRPr="00445CC9" w:rsidRDefault="005950CD" w:rsidP="00AC7F0D">
      <w:pPr>
        <w:pStyle w:val="FootnoteText"/>
        <w:jc w:val="both"/>
      </w:pPr>
      <w:r>
        <w:rPr>
          <w:rStyle w:val="FootnoteReference"/>
        </w:rPr>
        <w:footnoteRef/>
      </w:r>
      <w:r>
        <w:t xml:space="preserve"> This is not, of course, always the case. See, for example, the well-known judgment of </w:t>
      </w:r>
      <w:r w:rsidRPr="00143B3B">
        <w:rPr>
          <w:rFonts w:cs="Times New Roman"/>
          <w:i/>
        </w:rPr>
        <w:t>Hirst</w:t>
      </w:r>
      <w:r w:rsidRPr="00143B3B">
        <w:rPr>
          <w:rFonts w:cs="Times New Roman"/>
        </w:rPr>
        <w:t xml:space="preserve"> v </w:t>
      </w:r>
      <w:r w:rsidR="009565FC" w:rsidRPr="009565FC">
        <w:rPr>
          <w:rFonts w:cs="Times New Roman"/>
          <w:i/>
        </w:rPr>
        <w:t xml:space="preserve">the </w:t>
      </w:r>
      <w:r w:rsidRPr="00143B3B">
        <w:rPr>
          <w:rFonts w:cs="Times New Roman"/>
          <w:i/>
        </w:rPr>
        <w:t>United Kingdom (No 2)</w:t>
      </w:r>
      <w:r w:rsidRPr="00143B3B">
        <w:rPr>
          <w:rFonts w:cs="Times New Roman"/>
        </w:rPr>
        <w:t>, Application 74025/01, 6 October 2005</w:t>
      </w:r>
      <w:r>
        <w:rPr>
          <w:rFonts w:cs="Times New Roman"/>
        </w:rPr>
        <w:t>, para 79:</w:t>
      </w:r>
      <w:r w:rsidR="00AC7F0D">
        <w:rPr>
          <w:rFonts w:cs="Times New Roman"/>
        </w:rPr>
        <w:t xml:space="preserve"> </w:t>
      </w:r>
      <w:r>
        <w:t>‘</w:t>
      </w:r>
      <w:r w:rsidRPr="00EE118A">
        <w:t>As to the weight to be attached to the position adopted by the legislature and judiciary in the United Kingdom, there is no evidence that Parliament has ever sought to weigh the competing interests or to assess the proportionality of a blanket ban on the right of a convicted prisoner to vote.</w:t>
      </w:r>
      <w:r w:rsidR="00AC7F0D">
        <w:t>’</w:t>
      </w:r>
    </w:p>
  </w:footnote>
  <w:footnote w:id="11">
    <w:p w14:paraId="6C1627FB" w14:textId="77777777" w:rsidR="005950CD" w:rsidRDefault="005950CD" w:rsidP="001D5459">
      <w:pPr>
        <w:pStyle w:val="FootnoteText"/>
        <w:jc w:val="both"/>
      </w:pPr>
      <w:r>
        <w:rPr>
          <w:rStyle w:val="FootnoteReference"/>
        </w:rPr>
        <w:footnoteRef/>
      </w:r>
      <w:r>
        <w:t xml:space="preserve"> Laurence Helfer, ‘Consensus, coherence and the European Convention on Human Rights’ (1993) 26 </w:t>
      </w:r>
      <w:r w:rsidRPr="00FC12FA">
        <w:rPr>
          <w:i/>
        </w:rPr>
        <w:t>Cornell International Law Journal</w:t>
      </w:r>
      <w:r>
        <w:t xml:space="preserve"> 133, at 137.</w:t>
      </w:r>
      <w:r w:rsidRPr="004C6B21">
        <w:t xml:space="preserve"> </w:t>
      </w:r>
      <w:r>
        <w:t xml:space="preserve">Although </w:t>
      </w:r>
      <w:r w:rsidRPr="004C6B21">
        <w:t xml:space="preserve">once perceived as </w:t>
      </w:r>
      <w:r>
        <w:t>highly unlikely</w:t>
      </w:r>
      <w:r w:rsidRPr="004C6B21">
        <w:t xml:space="preserve">, </w:t>
      </w:r>
      <w:r>
        <w:t xml:space="preserve">the possibility of withdrawal from the ECHR is recently </w:t>
      </w:r>
      <w:r w:rsidRPr="004C6B21">
        <w:t>considered as an option within certain circles in the UK</w:t>
      </w:r>
      <w:r>
        <w:t>. For an insightful perspective on the relationship between the UK and Strasbourg see Ed Bates, ‘The UK and Strasbourg: A strained relationship – The long v</w:t>
      </w:r>
      <w:r w:rsidRPr="004C6B21">
        <w:t>iew</w:t>
      </w:r>
      <w:r>
        <w:t xml:space="preserve">’ in </w:t>
      </w:r>
      <w:r w:rsidRPr="004C6B21">
        <w:t>K</w:t>
      </w:r>
      <w:r>
        <w:t>atja Ziegler, Elizabeth Wicks and</w:t>
      </w:r>
      <w:r w:rsidRPr="004C6B21">
        <w:t xml:space="preserve"> Loveday Hodson</w:t>
      </w:r>
      <w:r>
        <w:t xml:space="preserve"> (eds), </w:t>
      </w:r>
      <w:r w:rsidRPr="004C6B21">
        <w:rPr>
          <w:i/>
        </w:rPr>
        <w:t>The UK and European Human Rights: A strained relationship?</w:t>
      </w:r>
      <w:r>
        <w:t xml:space="preserve"> (Hart Publishing 2015) 39.</w:t>
      </w:r>
    </w:p>
  </w:footnote>
  <w:footnote w:id="12">
    <w:p w14:paraId="2908B4FB" w14:textId="1B76C240" w:rsidR="005950CD" w:rsidRDefault="005950CD" w:rsidP="000C661A">
      <w:pPr>
        <w:pStyle w:val="FootnoteText"/>
        <w:jc w:val="both"/>
      </w:pPr>
      <w:r>
        <w:rPr>
          <w:rStyle w:val="FootnoteReference"/>
        </w:rPr>
        <w:footnoteRef/>
      </w:r>
      <w:r>
        <w:t xml:space="preserve"> George Letsas, ‘Two concepts of the margin of appreciation’ (2006) 26 </w:t>
      </w:r>
      <w:r w:rsidRPr="00FF691F">
        <w:rPr>
          <w:i/>
        </w:rPr>
        <w:t>Oxford Journal of Legal Studies</w:t>
      </w:r>
      <w:r>
        <w:t xml:space="preserve"> 705. That states are ‘better placed’ to decide is an argument also advanced by Legg’s account of grating the margin ‘on the basis </w:t>
      </w:r>
      <w:r w:rsidRPr="0039772A">
        <w:t>of superior knowledge or expertise of local authorities</w:t>
      </w:r>
      <w:r w:rsidR="000608D4">
        <w:t>’; Legg (n 7</w:t>
      </w:r>
      <w:r>
        <w:t>) ch 6.</w:t>
      </w:r>
      <w:r w:rsidRPr="000361AB">
        <w:rPr>
          <w:rFonts w:cs="Times New Roman"/>
        </w:rPr>
        <w:t xml:space="preserve"> </w:t>
      </w:r>
      <w:r>
        <w:t xml:space="preserve">Further accounts in </w:t>
      </w:r>
      <w:r w:rsidRPr="00FF691F">
        <w:t xml:space="preserve">the (extensive) literature </w:t>
      </w:r>
      <w:r>
        <w:t xml:space="preserve">include: Eva Brems, ‘The margin of appreciation doctrine in the case-law of the European Court of Human Rights’ (1996) 56 </w:t>
      </w:r>
      <w:r>
        <w:rPr>
          <w:i/>
        </w:rPr>
        <w:t>Zeitschrift für ausländisches öffentliches Recht und Völkerrecht</w:t>
      </w:r>
      <w:r>
        <w:t xml:space="preserve"> 240; </w:t>
      </w:r>
      <w:r w:rsidRPr="00143B3B">
        <w:rPr>
          <w:rFonts w:cs="Times New Roman"/>
        </w:rPr>
        <w:t xml:space="preserve">Paul Mahoney, ‘Marvellous richness of diversity or invidious cultural relativism?’ (1998) 19 </w:t>
      </w:r>
      <w:r w:rsidRPr="00143B3B">
        <w:rPr>
          <w:rFonts w:cs="Times New Roman"/>
          <w:i/>
        </w:rPr>
        <w:t>Human Rights Law Journal</w:t>
      </w:r>
      <w:r w:rsidRPr="00143B3B">
        <w:rPr>
          <w:rFonts w:cs="Times New Roman"/>
        </w:rPr>
        <w:t xml:space="preserve"> 1;</w:t>
      </w:r>
      <w:r>
        <w:rPr>
          <w:rFonts w:cs="Times New Roman"/>
        </w:rPr>
        <w:t xml:space="preserve"> </w:t>
      </w:r>
      <w:r w:rsidRPr="00143B3B">
        <w:rPr>
          <w:rFonts w:cs="Times New Roman"/>
        </w:rPr>
        <w:t>Yutaka Arai-Takahashi,</w:t>
      </w:r>
      <w:r w:rsidRPr="00143B3B">
        <w:t xml:space="preserve"> </w:t>
      </w:r>
      <w:r w:rsidRPr="00143B3B">
        <w:rPr>
          <w:rFonts w:cs="Times New Roman"/>
          <w:i/>
        </w:rPr>
        <w:t>The margin of appreciation doctrine and the principle of proportionality in the jurisprudence of the ECHR</w:t>
      </w:r>
      <w:r w:rsidRPr="00143B3B">
        <w:rPr>
          <w:rFonts w:cs="Times New Roman"/>
        </w:rPr>
        <w:t xml:space="preserve"> (Intersentia </w:t>
      </w:r>
      <w:r>
        <w:rPr>
          <w:rFonts w:cs="Times New Roman"/>
        </w:rPr>
        <w:t>2002);</w:t>
      </w:r>
      <w:r w:rsidRPr="00143B3B">
        <w:rPr>
          <w:rFonts w:cs="Times New Roman"/>
        </w:rPr>
        <w:t xml:space="preserve"> Dean Spielmann, ‘Whither the margin of appreciation?’ 67 </w:t>
      </w:r>
      <w:r w:rsidRPr="00143B3B">
        <w:rPr>
          <w:rFonts w:cs="Times New Roman"/>
          <w:i/>
        </w:rPr>
        <w:t>Current Legal Problems</w:t>
      </w:r>
      <w:r>
        <w:rPr>
          <w:rFonts w:cs="Times New Roman"/>
        </w:rPr>
        <w:t xml:space="preserve"> (2014) 49.</w:t>
      </w:r>
    </w:p>
  </w:footnote>
  <w:footnote w:id="13">
    <w:p w14:paraId="4E13D122" w14:textId="77777777" w:rsidR="005950CD" w:rsidRDefault="005950CD" w:rsidP="000C661A">
      <w:pPr>
        <w:pStyle w:val="FootnoteText"/>
        <w:jc w:val="both"/>
      </w:pPr>
      <w:r>
        <w:rPr>
          <w:rStyle w:val="FootnoteReference"/>
        </w:rPr>
        <w:footnoteRef/>
      </w:r>
      <w:r w:rsidR="00843301">
        <w:t xml:space="preserve"> Letsas (n 11</w:t>
      </w:r>
      <w:r>
        <w:t xml:space="preserve">) 722. </w:t>
      </w:r>
    </w:p>
  </w:footnote>
  <w:footnote w:id="14">
    <w:p w14:paraId="694AD7EC" w14:textId="44B135BB" w:rsidR="005950CD" w:rsidRPr="001B6B18" w:rsidRDefault="005950CD" w:rsidP="0073096E">
      <w:pPr>
        <w:pStyle w:val="FootnoteText"/>
        <w:jc w:val="both"/>
      </w:pPr>
      <w:r>
        <w:rPr>
          <w:rStyle w:val="FootnoteReference"/>
        </w:rPr>
        <w:footnoteRef/>
      </w:r>
      <w:r>
        <w:t xml:space="preserve"> See</w:t>
      </w:r>
      <w:r w:rsidR="000236A4">
        <w:t xml:space="preserve"> </w:t>
      </w:r>
      <w:r>
        <w:rPr>
          <w:rFonts w:cs="Times New Roman"/>
        </w:rPr>
        <w:t xml:space="preserve">Steven Greer, </w:t>
      </w:r>
      <w:r w:rsidRPr="00966F4A">
        <w:rPr>
          <w:rFonts w:cs="Times New Roman"/>
          <w:i/>
        </w:rPr>
        <w:t>The margin of appreciation: Interpretation and discretion under the European Convention on Human Rights</w:t>
      </w:r>
      <w:r>
        <w:rPr>
          <w:rFonts w:cs="Times New Roman"/>
        </w:rPr>
        <w:t xml:space="preserve"> (Council of Europe Publishing 2000) 32, arguing that the margin of appreciation ‘</w:t>
      </w:r>
      <w:r w:rsidRPr="002D23A1">
        <w:rPr>
          <w:rFonts w:cs="Times New Roman"/>
        </w:rPr>
        <w:t>could be said to lack the minimum theoretical specificity and coherence</w:t>
      </w:r>
      <w:r>
        <w:rPr>
          <w:rFonts w:cs="Times New Roman"/>
        </w:rPr>
        <w:t xml:space="preserve"> </w:t>
      </w:r>
      <w:r w:rsidRPr="002D23A1">
        <w:rPr>
          <w:rFonts w:cs="Times New Roman"/>
        </w:rPr>
        <w:t>which a viable legal doctrine requires</w:t>
      </w:r>
      <w:r>
        <w:rPr>
          <w:rFonts w:cs="Times New Roman"/>
        </w:rPr>
        <w:t>’. Authors have also emphasised</w:t>
      </w:r>
      <w:r w:rsidRPr="00143B3B">
        <w:rPr>
          <w:rFonts w:cs="Times New Roman"/>
        </w:rPr>
        <w:t xml:space="preserve"> the need to </w:t>
      </w:r>
      <w:r>
        <w:rPr>
          <w:rFonts w:cs="Times New Roman"/>
        </w:rPr>
        <w:t>duly consider</w:t>
      </w:r>
      <w:r w:rsidRPr="00143B3B">
        <w:rPr>
          <w:rFonts w:cs="Times New Roman"/>
        </w:rPr>
        <w:t xml:space="preserve"> minority rights</w:t>
      </w:r>
      <w:r>
        <w:rPr>
          <w:rFonts w:cs="Times New Roman"/>
        </w:rPr>
        <w:t>; see,</w:t>
      </w:r>
      <w:r w:rsidRPr="00143B3B">
        <w:rPr>
          <w:rFonts w:cs="Times New Roman"/>
        </w:rPr>
        <w:t xml:space="preserve"> for example, Eyal Benvenisti, ‘Margin of appreciation, consensus, and universal standards’ </w:t>
      </w:r>
      <w:r w:rsidRPr="00043D75">
        <w:rPr>
          <w:rFonts w:cs="Times New Roman"/>
        </w:rPr>
        <w:t xml:space="preserve">(1999) </w:t>
      </w:r>
      <w:r w:rsidRPr="00143B3B">
        <w:rPr>
          <w:rFonts w:cs="Times New Roman"/>
        </w:rPr>
        <w:t xml:space="preserve">31 </w:t>
      </w:r>
      <w:r w:rsidRPr="00143B3B">
        <w:rPr>
          <w:rFonts w:cs="Times New Roman"/>
          <w:i/>
        </w:rPr>
        <w:t>NYU Journal of International Law and Politics</w:t>
      </w:r>
      <w:r w:rsidRPr="00143B3B">
        <w:rPr>
          <w:rFonts w:cs="Times New Roman"/>
        </w:rPr>
        <w:t xml:space="preserve"> 843</w:t>
      </w:r>
      <w:r>
        <w:rPr>
          <w:rFonts w:cs="Times New Roman"/>
        </w:rPr>
        <w:t>, in particular 848-850. Compare also Carla Zoethout, ‘</w:t>
      </w:r>
      <w:r w:rsidRPr="0073096E">
        <w:rPr>
          <w:rFonts w:cs="Times New Roman"/>
        </w:rPr>
        <w:t>Margin of Appreciation,</w:t>
      </w:r>
      <w:r>
        <w:rPr>
          <w:rFonts w:cs="Times New Roman"/>
        </w:rPr>
        <w:t xml:space="preserve"> </w:t>
      </w:r>
      <w:r w:rsidRPr="0073096E">
        <w:rPr>
          <w:rFonts w:cs="Times New Roman"/>
        </w:rPr>
        <w:t>Violation and</w:t>
      </w:r>
      <w:r>
        <w:rPr>
          <w:rFonts w:cs="Times New Roman"/>
        </w:rPr>
        <w:t xml:space="preserve"> </w:t>
      </w:r>
      <w:r w:rsidRPr="0073096E">
        <w:rPr>
          <w:rFonts w:cs="Times New Roman"/>
        </w:rPr>
        <w:t>(in)Compatibility:</w:t>
      </w:r>
      <w:r>
        <w:rPr>
          <w:rFonts w:cs="Times New Roman"/>
        </w:rPr>
        <w:t xml:space="preserve"> </w:t>
      </w:r>
      <w:r w:rsidRPr="0073096E">
        <w:rPr>
          <w:rFonts w:cs="Times New Roman"/>
        </w:rPr>
        <w:t>Why the ECtHR Might</w:t>
      </w:r>
      <w:r>
        <w:rPr>
          <w:rFonts w:cs="Times New Roman"/>
        </w:rPr>
        <w:t xml:space="preserve"> </w:t>
      </w:r>
      <w:r w:rsidRPr="0073096E">
        <w:rPr>
          <w:rFonts w:cs="Times New Roman"/>
        </w:rPr>
        <w:t>Consider Using an Alternative Mode of</w:t>
      </w:r>
      <w:r>
        <w:rPr>
          <w:rFonts w:cs="Times New Roman"/>
        </w:rPr>
        <w:t xml:space="preserve"> </w:t>
      </w:r>
      <w:r w:rsidRPr="0073096E">
        <w:rPr>
          <w:rFonts w:cs="Times New Roman"/>
        </w:rPr>
        <w:t>Adjudication</w:t>
      </w:r>
      <w:r>
        <w:rPr>
          <w:rFonts w:cs="Times New Roman"/>
        </w:rPr>
        <w:t xml:space="preserve">’ (2014) 20 </w:t>
      </w:r>
      <w:r w:rsidRPr="0073096E">
        <w:rPr>
          <w:rFonts w:cs="Times New Roman"/>
          <w:i/>
        </w:rPr>
        <w:t>European Public Law</w:t>
      </w:r>
      <w:r>
        <w:rPr>
          <w:rFonts w:cs="Times New Roman"/>
        </w:rPr>
        <w:t xml:space="preserve"> 309; Jan </w:t>
      </w:r>
      <w:r w:rsidRPr="00D4224F">
        <w:rPr>
          <w:rFonts w:cs="Times New Roman"/>
        </w:rPr>
        <w:t>Kratochvíl</w:t>
      </w:r>
      <w:r>
        <w:rPr>
          <w:rFonts w:cs="Times New Roman"/>
        </w:rPr>
        <w:t xml:space="preserve">, ‘The inflation of the margin of appreciation by the European Court of Human Rights’ (2011) 29 </w:t>
      </w:r>
      <w:r w:rsidRPr="00D4224F">
        <w:rPr>
          <w:rFonts w:cs="Times New Roman"/>
          <w:i/>
        </w:rPr>
        <w:t>Netherlands Quarterly of Human Rights</w:t>
      </w:r>
      <w:r>
        <w:rPr>
          <w:rFonts w:cs="Times New Roman"/>
        </w:rPr>
        <w:t xml:space="preserve"> 324.</w:t>
      </w:r>
    </w:p>
  </w:footnote>
  <w:footnote w:id="15">
    <w:p w14:paraId="774A5904" w14:textId="77777777" w:rsidR="005950CD" w:rsidRPr="00143B3B" w:rsidRDefault="005950CD" w:rsidP="001D5459">
      <w:pPr>
        <w:pStyle w:val="FootnoteText"/>
        <w:jc w:val="both"/>
        <w:rPr>
          <w:rFonts w:cs="Times New Roman"/>
        </w:rPr>
      </w:pPr>
      <w:r w:rsidRPr="00143B3B">
        <w:rPr>
          <w:rStyle w:val="FootnoteReference"/>
          <w:rFonts w:cs="Times New Roman"/>
        </w:rPr>
        <w:footnoteRef/>
      </w:r>
      <w:r w:rsidRPr="00143B3B">
        <w:rPr>
          <w:rFonts w:cs="Times New Roman"/>
        </w:rPr>
        <w:t xml:space="preserve"> </w:t>
      </w:r>
      <w:r w:rsidRPr="00CE305E">
        <w:rPr>
          <w:rFonts w:cs="Times New Roman"/>
        </w:rPr>
        <w:t>Kanstantsin Dzehtsiarou</w:t>
      </w:r>
      <w:r>
        <w:rPr>
          <w:rFonts w:cs="Times New Roman"/>
        </w:rPr>
        <w:t xml:space="preserve">, </w:t>
      </w:r>
      <w:r w:rsidRPr="00CE305E">
        <w:rPr>
          <w:rFonts w:cs="Times New Roman"/>
          <w:i/>
        </w:rPr>
        <w:t>European consensus and the legitimacy of the European Court of Human Rights</w:t>
      </w:r>
      <w:r>
        <w:rPr>
          <w:rFonts w:cs="Times New Roman"/>
        </w:rPr>
        <w:t xml:space="preserve"> (Cambridge University Press 2015) 39</w:t>
      </w:r>
      <w:r w:rsidRPr="00143B3B">
        <w:rPr>
          <w:rFonts w:cs="Times New Roman"/>
        </w:rPr>
        <w:t>.</w:t>
      </w:r>
    </w:p>
  </w:footnote>
  <w:footnote w:id="16">
    <w:p w14:paraId="7A45D7F3" w14:textId="77777777" w:rsidR="005950CD" w:rsidRPr="001B2AE8" w:rsidRDefault="005950CD" w:rsidP="001D5459">
      <w:pPr>
        <w:pStyle w:val="FootnoteText"/>
        <w:rPr>
          <w:rFonts w:cs="Times New Roman"/>
        </w:rPr>
      </w:pPr>
      <w:r w:rsidRPr="001B2AE8">
        <w:rPr>
          <w:rStyle w:val="FootnoteReference"/>
          <w:rFonts w:cs="Times New Roman"/>
        </w:rPr>
        <w:footnoteRef/>
      </w:r>
      <w:r>
        <w:rPr>
          <w:rFonts w:cs="Times New Roman"/>
        </w:rPr>
        <w:t xml:space="preserve"> Ibid, 12 (and case-law cited therein)</w:t>
      </w:r>
      <w:r w:rsidRPr="001B2AE8">
        <w:rPr>
          <w:rFonts w:cs="Times New Roman"/>
        </w:rPr>
        <w:t>.</w:t>
      </w:r>
    </w:p>
  </w:footnote>
  <w:footnote w:id="17">
    <w:p w14:paraId="647A7BE3" w14:textId="77777777" w:rsidR="005950CD" w:rsidRPr="00411D5C" w:rsidRDefault="005950CD" w:rsidP="001D5459">
      <w:pPr>
        <w:pStyle w:val="FootnoteText"/>
      </w:pPr>
      <w:r w:rsidRPr="00411D5C">
        <w:rPr>
          <w:rStyle w:val="FootnoteReference"/>
        </w:rPr>
        <w:footnoteRef/>
      </w:r>
      <w:r w:rsidRPr="00411D5C">
        <w:t xml:space="preserve"> </w:t>
      </w:r>
      <w:r>
        <w:t>Ibid, 86-87. That Division is part of the Court’s Registry.</w:t>
      </w:r>
    </w:p>
  </w:footnote>
  <w:footnote w:id="18">
    <w:p w14:paraId="49EFA1FC" w14:textId="77777777" w:rsidR="005950CD" w:rsidRPr="00E939A2" w:rsidRDefault="005950CD" w:rsidP="001D5459">
      <w:pPr>
        <w:pStyle w:val="FootnoteText"/>
        <w:rPr>
          <w:rFonts w:cs="Times New Roman"/>
        </w:rPr>
      </w:pPr>
      <w:r w:rsidRPr="00E939A2">
        <w:rPr>
          <w:rStyle w:val="FootnoteReference"/>
          <w:rFonts w:cs="Times New Roman"/>
        </w:rPr>
        <w:footnoteRef/>
      </w:r>
      <w:r w:rsidRPr="00E939A2">
        <w:rPr>
          <w:rFonts w:cs="Times New Roman"/>
        </w:rPr>
        <w:t xml:space="preserve"> </w:t>
      </w:r>
      <w:r>
        <w:rPr>
          <w:rFonts w:cs="Times New Roman"/>
        </w:rPr>
        <w:t>S</w:t>
      </w:r>
      <w:r w:rsidRPr="00E939A2">
        <w:rPr>
          <w:rFonts w:cs="Times New Roman"/>
        </w:rPr>
        <w:t xml:space="preserve">ee Eva Brems, </w:t>
      </w:r>
      <w:r w:rsidRPr="00E939A2">
        <w:rPr>
          <w:rFonts w:cs="Times New Roman"/>
          <w:i/>
        </w:rPr>
        <w:t>Human rights: Universality and diversity</w:t>
      </w:r>
      <w:r w:rsidRPr="00E939A2">
        <w:rPr>
          <w:rFonts w:cs="Times New Roman"/>
        </w:rPr>
        <w:t xml:space="preserve"> (Martinus Nijhoff 2001) 420.</w:t>
      </w:r>
    </w:p>
  </w:footnote>
  <w:footnote w:id="19">
    <w:p w14:paraId="09261751" w14:textId="0284617F" w:rsidR="005950CD" w:rsidRPr="00D37300" w:rsidRDefault="005950CD" w:rsidP="001D5459">
      <w:pPr>
        <w:pStyle w:val="FootnoteText"/>
        <w:jc w:val="both"/>
      </w:pPr>
      <w:r>
        <w:rPr>
          <w:rStyle w:val="FootnoteReference"/>
        </w:rPr>
        <w:footnoteRef/>
      </w:r>
      <w:r>
        <w:t xml:space="preserve"> </w:t>
      </w:r>
      <w:r w:rsidR="00D87B58">
        <w:t xml:space="preserve">See, for example, </w:t>
      </w:r>
      <w:r>
        <w:rPr>
          <w:rFonts w:cs="Times New Roman"/>
          <w:i/>
        </w:rPr>
        <w:t>S.H. and Others</w:t>
      </w:r>
      <w:r>
        <w:rPr>
          <w:rFonts w:cs="Times New Roman"/>
        </w:rPr>
        <w:t xml:space="preserve"> v </w:t>
      </w:r>
      <w:r>
        <w:rPr>
          <w:rFonts w:cs="Times New Roman"/>
          <w:i/>
        </w:rPr>
        <w:t>Austria</w:t>
      </w:r>
      <w:r>
        <w:rPr>
          <w:rFonts w:cs="Times New Roman"/>
        </w:rPr>
        <w:t xml:space="preserve">, Application 57813/00, 3 November 2011. Therein, the Court firstly observed that ‘there is now </w:t>
      </w:r>
      <w:r w:rsidRPr="00CD28CE">
        <w:rPr>
          <w:rFonts w:cs="Times New Roman"/>
        </w:rPr>
        <w:t>a clear trend in the</w:t>
      </w:r>
      <w:r>
        <w:rPr>
          <w:rFonts w:cs="Times New Roman"/>
        </w:rPr>
        <w:t xml:space="preserve"> </w:t>
      </w:r>
      <w:r w:rsidRPr="00CD28CE">
        <w:rPr>
          <w:rFonts w:cs="Times New Roman"/>
        </w:rPr>
        <w:t>legislation of the Contracting States towards allowing gamete donation for</w:t>
      </w:r>
      <w:r>
        <w:rPr>
          <w:rFonts w:cs="Times New Roman"/>
        </w:rPr>
        <w:t xml:space="preserve"> </w:t>
      </w:r>
      <w:r w:rsidRPr="00CD28CE">
        <w:rPr>
          <w:rFonts w:cs="Times New Roman"/>
        </w:rPr>
        <w:t>the</w:t>
      </w:r>
      <w:r>
        <w:rPr>
          <w:rFonts w:cs="Times New Roman"/>
        </w:rPr>
        <w:t xml:space="preserve"> </w:t>
      </w:r>
      <w:r w:rsidRPr="00CD28CE">
        <w:rPr>
          <w:rFonts w:cs="Times New Roman"/>
        </w:rPr>
        <w:t xml:space="preserve">purpose of </w:t>
      </w:r>
      <w:r w:rsidRPr="00CD28CE">
        <w:rPr>
          <w:rFonts w:cs="Times New Roman"/>
          <w:i/>
        </w:rPr>
        <w:t>in vitro</w:t>
      </w:r>
      <w:r w:rsidRPr="00CD28CE">
        <w:rPr>
          <w:rFonts w:cs="Times New Roman"/>
        </w:rPr>
        <w:t xml:space="preserve"> fertilisation, which reflects an emerging European</w:t>
      </w:r>
      <w:r>
        <w:rPr>
          <w:rFonts w:cs="Times New Roman"/>
        </w:rPr>
        <w:t xml:space="preserve"> consensus’, before adding that ‘[t]</w:t>
      </w:r>
      <w:r w:rsidRPr="00CD28CE">
        <w:rPr>
          <w:rFonts w:cs="Times New Roman"/>
        </w:rPr>
        <w:t>hat</w:t>
      </w:r>
      <w:r>
        <w:rPr>
          <w:rFonts w:cs="Times New Roman"/>
        </w:rPr>
        <w:t xml:space="preserve"> </w:t>
      </w:r>
      <w:r w:rsidRPr="00CD28CE">
        <w:rPr>
          <w:rFonts w:cs="Times New Roman"/>
        </w:rPr>
        <w:t>emerging consensus is not, however, based on settled and</w:t>
      </w:r>
      <w:r>
        <w:rPr>
          <w:rFonts w:cs="Times New Roman"/>
        </w:rPr>
        <w:t xml:space="preserve"> </w:t>
      </w:r>
      <w:r w:rsidRPr="00CD28CE">
        <w:rPr>
          <w:rFonts w:cs="Times New Roman"/>
        </w:rPr>
        <w:t>long-standing principles established in the law of the member States but</w:t>
      </w:r>
      <w:r>
        <w:rPr>
          <w:rFonts w:cs="Times New Roman"/>
        </w:rPr>
        <w:t xml:space="preserve"> </w:t>
      </w:r>
      <w:r w:rsidRPr="00CD28CE">
        <w:rPr>
          <w:rFonts w:cs="Times New Roman"/>
        </w:rPr>
        <w:t>rather reflects a stage of development within a particularly dynamic field of</w:t>
      </w:r>
      <w:r>
        <w:rPr>
          <w:rFonts w:cs="Times New Roman"/>
        </w:rPr>
        <w:t xml:space="preserve"> </w:t>
      </w:r>
      <w:r w:rsidRPr="00CD28CE">
        <w:rPr>
          <w:rFonts w:cs="Times New Roman"/>
        </w:rPr>
        <w:t>law and does not decisively narrow the margin of appreciation of the State</w:t>
      </w:r>
      <w:r>
        <w:rPr>
          <w:rFonts w:cs="Times New Roman"/>
        </w:rPr>
        <w:t xml:space="preserve">’ (para 96). However, the Court on several occasions has been satisfied with the emergence of a clear trend across Europe. See also the dissenting opinion of seven Judges in </w:t>
      </w:r>
      <w:r>
        <w:rPr>
          <w:rFonts w:cs="Times New Roman"/>
          <w:i/>
        </w:rPr>
        <w:t xml:space="preserve">Odièvre </w:t>
      </w:r>
      <w:r>
        <w:rPr>
          <w:rFonts w:cs="Times New Roman"/>
        </w:rPr>
        <w:t xml:space="preserve">v </w:t>
      </w:r>
      <w:r>
        <w:rPr>
          <w:rFonts w:cs="Times New Roman"/>
          <w:i/>
        </w:rPr>
        <w:t>France</w:t>
      </w:r>
      <w:r>
        <w:rPr>
          <w:rFonts w:cs="Times New Roman"/>
        </w:rPr>
        <w:t xml:space="preserve">, Application 42326/98, 13 February 2003, </w:t>
      </w:r>
      <w:r w:rsidR="00AB2B7C">
        <w:rPr>
          <w:rFonts w:cs="Times New Roman"/>
        </w:rPr>
        <w:t xml:space="preserve">para 12: </w:t>
      </w:r>
      <w:r>
        <w:rPr>
          <w:rFonts w:cs="Times New Roman"/>
        </w:rPr>
        <w:t>‘</w:t>
      </w:r>
      <w:r w:rsidRPr="00D37300">
        <w:rPr>
          <w:rFonts w:cs="Times New Roman"/>
        </w:rPr>
        <w:t xml:space="preserve">the suggestion that the States had to be afforded a margin of appreciation owing to the absence of a </w:t>
      </w:r>
      <w:r w:rsidRPr="00D37300">
        <w:rPr>
          <w:rFonts w:cs="Times New Roman"/>
          <w:i/>
        </w:rPr>
        <w:t>common denominator</w:t>
      </w:r>
      <w:r w:rsidRPr="00D37300">
        <w:rPr>
          <w:rFonts w:cs="Times New Roman"/>
        </w:rPr>
        <w:t xml:space="preserve"> between their domestic laws simply does not tally with the extracts of comparative law on which the Court itself relies</w:t>
      </w:r>
      <w:r>
        <w:rPr>
          <w:rFonts w:cs="Times New Roman"/>
        </w:rPr>
        <w:t xml:space="preserve">’. </w:t>
      </w:r>
    </w:p>
  </w:footnote>
  <w:footnote w:id="20">
    <w:p w14:paraId="15593EF1" w14:textId="2746645E" w:rsidR="005950CD" w:rsidRPr="00EA1DD4" w:rsidRDefault="005950CD" w:rsidP="001D5459">
      <w:pPr>
        <w:pStyle w:val="FootnoteText"/>
        <w:jc w:val="both"/>
        <w:rPr>
          <w:rFonts w:cs="Times New Roman"/>
        </w:rPr>
      </w:pPr>
      <w:r w:rsidRPr="00EA1DD4">
        <w:rPr>
          <w:rStyle w:val="FootnoteReference"/>
          <w:rFonts w:cs="Times New Roman"/>
        </w:rPr>
        <w:footnoteRef/>
      </w:r>
      <w:r w:rsidRPr="00EA1DD4">
        <w:rPr>
          <w:rFonts w:cs="Times New Roman"/>
        </w:rPr>
        <w:t xml:space="preserve"> </w:t>
      </w:r>
      <w:r>
        <w:rPr>
          <w:rFonts w:cs="Times New Roman"/>
        </w:rPr>
        <w:t>Petkova argues that ‘</w:t>
      </w:r>
      <w:r w:rsidRPr="00EA1DD4">
        <w:rPr>
          <w:rFonts w:cs="Times New Roman"/>
        </w:rPr>
        <w:t>the ECtHR analyses consensus to establish a</w:t>
      </w:r>
      <w:r>
        <w:rPr>
          <w:rFonts w:cs="Times New Roman"/>
        </w:rPr>
        <w:t xml:space="preserve"> </w:t>
      </w:r>
      <w:r w:rsidRPr="00EA1DD4">
        <w:rPr>
          <w:rFonts w:cs="Times New Roman"/>
        </w:rPr>
        <w:t>dialogue with representatives of its larger</w:t>
      </w:r>
      <w:r>
        <w:rPr>
          <w:rFonts w:cs="Times New Roman"/>
        </w:rPr>
        <w:t xml:space="preserve"> </w:t>
      </w:r>
      <w:r w:rsidRPr="00EA1DD4">
        <w:rPr>
          <w:rFonts w:cs="Times New Roman"/>
        </w:rPr>
        <w:t>constituency and has thus never</w:t>
      </w:r>
      <w:r>
        <w:rPr>
          <w:rFonts w:cs="Times New Roman"/>
        </w:rPr>
        <w:t xml:space="preserve"> </w:t>
      </w:r>
      <w:r w:rsidRPr="00EA1DD4">
        <w:rPr>
          <w:rFonts w:cs="Times New Roman"/>
        </w:rPr>
        <w:t>interpreted it as a stand-alone judicial test on which to exclusively base</w:t>
      </w:r>
      <w:r>
        <w:rPr>
          <w:rFonts w:cs="Times New Roman"/>
        </w:rPr>
        <w:t xml:space="preserve"> </w:t>
      </w:r>
      <w:r w:rsidRPr="00EA1DD4">
        <w:rPr>
          <w:rFonts w:cs="Times New Roman"/>
        </w:rPr>
        <w:t>its</w:t>
      </w:r>
      <w:r>
        <w:rPr>
          <w:rFonts w:cs="Times New Roman"/>
        </w:rPr>
        <w:t xml:space="preserve"> decisions’; see Bilyana Petkova, ‘The notion of consensus as a route to democratic adjudication?’ (2012) 14 </w:t>
      </w:r>
      <w:r w:rsidRPr="00EA1DD4">
        <w:rPr>
          <w:rFonts w:cs="Times New Roman"/>
          <w:i/>
        </w:rPr>
        <w:t>Cambridge Yearbook of European Legal Studies</w:t>
      </w:r>
      <w:r>
        <w:rPr>
          <w:rFonts w:cs="Times New Roman"/>
        </w:rPr>
        <w:t xml:space="preserve"> 663, at 681-682.</w:t>
      </w:r>
    </w:p>
  </w:footnote>
  <w:footnote w:id="21">
    <w:p w14:paraId="1BD06617" w14:textId="77777777" w:rsidR="005950CD" w:rsidRPr="00C32E9B" w:rsidRDefault="005950CD" w:rsidP="001D5459">
      <w:pPr>
        <w:pStyle w:val="FootnoteText"/>
        <w:jc w:val="both"/>
        <w:rPr>
          <w:rFonts w:cs="Times New Roman"/>
        </w:rPr>
      </w:pPr>
      <w:r w:rsidRPr="00C32E9B">
        <w:rPr>
          <w:rStyle w:val="FootnoteReference"/>
          <w:rFonts w:cs="Times New Roman"/>
        </w:rPr>
        <w:footnoteRef/>
      </w:r>
      <w:r w:rsidRPr="00C32E9B">
        <w:rPr>
          <w:rFonts w:cs="Times New Roman"/>
        </w:rPr>
        <w:t xml:space="preserve"> </w:t>
      </w:r>
      <w:r>
        <w:rPr>
          <w:rFonts w:cs="Times New Roman"/>
        </w:rPr>
        <w:t xml:space="preserve">Luzius Wildhaber, </w:t>
      </w:r>
      <w:r w:rsidRPr="00AB573C">
        <w:rPr>
          <w:rFonts w:cs="Times New Roman"/>
        </w:rPr>
        <w:t>Arnaldur Hjartarson</w:t>
      </w:r>
      <w:r>
        <w:rPr>
          <w:rFonts w:cs="Times New Roman"/>
        </w:rPr>
        <w:t xml:space="preserve"> and Stephen Donnely, ‘No consensus on consensus? The practice of the European Court of Human Rights’ (2013) 33 </w:t>
      </w:r>
      <w:r w:rsidRPr="00A17535">
        <w:rPr>
          <w:rFonts w:cs="Times New Roman"/>
          <w:i/>
        </w:rPr>
        <w:t>Human Rights Law Journal</w:t>
      </w:r>
      <w:r>
        <w:rPr>
          <w:rFonts w:cs="Times New Roman"/>
        </w:rPr>
        <w:t xml:space="preserve"> 248, at 249, 262 (emphasis added). </w:t>
      </w:r>
    </w:p>
  </w:footnote>
  <w:footnote w:id="22">
    <w:p w14:paraId="24E93F39" w14:textId="77777777" w:rsidR="005950CD" w:rsidRPr="00E9080C" w:rsidRDefault="005950CD" w:rsidP="001D5459">
      <w:pPr>
        <w:pStyle w:val="FootnoteText"/>
        <w:jc w:val="both"/>
        <w:rPr>
          <w:rFonts w:cs="Times New Roman"/>
        </w:rPr>
      </w:pPr>
      <w:r w:rsidRPr="00E9080C">
        <w:rPr>
          <w:rStyle w:val="FootnoteReference"/>
          <w:rFonts w:cs="Times New Roman"/>
        </w:rPr>
        <w:footnoteRef/>
      </w:r>
      <w:r w:rsidRPr="00E9080C">
        <w:rPr>
          <w:rFonts w:cs="Times New Roman"/>
        </w:rPr>
        <w:t xml:space="preserve"> </w:t>
      </w:r>
      <w:r w:rsidR="000608D4">
        <w:rPr>
          <w:rFonts w:cs="Times New Roman"/>
        </w:rPr>
        <w:t>Dzehtsiarou (n 14</w:t>
      </w:r>
      <w:r>
        <w:rPr>
          <w:rFonts w:cs="Times New Roman"/>
        </w:rPr>
        <w:t>) 132-133.</w:t>
      </w:r>
    </w:p>
  </w:footnote>
  <w:footnote w:id="23">
    <w:p w14:paraId="232B3065" w14:textId="11783AEA" w:rsidR="005950CD" w:rsidRPr="002B6C8A" w:rsidRDefault="005950CD" w:rsidP="001D5459">
      <w:pPr>
        <w:pStyle w:val="FootnoteText"/>
        <w:jc w:val="both"/>
        <w:rPr>
          <w:rFonts w:cs="Times New Roman"/>
        </w:rPr>
      </w:pPr>
      <w:r w:rsidRPr="002B6C8A">
        <w:rPr>
          <w:rStyle w:val="FootnoteReference"/>
          <w:rFonts w:cs="Times New Roman"/>
        </w:rPr>
        <w:footnoteRef/>
      </w:r>
      <w:r w:rsidRPr="002B6C8A">
        <w:rPr>
          <w:rFonts w:cs="Times New Roman"/>
        </w:rPr>
        <w:t xml:space="preserve"> </w:t>
      </w:r>
      <w:r>
        <w:rPr>
          <w:rFonts w:cs="Times New Roman"/>
        </w:rPr>
        <w:t>Ibid, 13</w:t>
      </w:r>
      <w:r w:rsidR="00843301">
        <w:rPr>
          <w:rFonts w:cs="Times New Roman"/>
        </w:rPr>
        <w:t>8. See also Arai-Takahashi (n 11</w:t>
      </w:r>
      <w:r>
        <w:rPr>
          <w:rFonts w:cs="Times New Roman"/>
        </w:rPr>
        <w:t>) 203-204, who views European consensus as a ‘bridge’ between evolutive interpretation and the margin of appreciation.</w:t>
      </w:r>
      <w:r w:rsidR="00D87B58">
        <w:rPr>
          <w:rFonts w:cs="Times New Roman"/>
        </w:rPr>
        <w:t xml:space="preserve"> </w:t>
      </w:r>
      <w:r>
        <w:rPr>
          <w:rFonts w:cs="Times New Roman"/>
        </w:rPr>
        <w:t xml:space="preserve">On the link between consensus and evolutive interpretation see also the seminal judgment </w:t>
      </w:r>
      <w:r>
        <w:rPr>
          <w:i/>
        </w:rPr>
        <w:t>Tyrer</w:t>
      </w:r>
      <w:r>
        <w:t xml:space="preserve"> v </w:t>
      </w:r>
      <w:r>
        <w:rPr>
          <w:i/>
        </w:rPr>
        <w:t>the United Kingdom</w:t>
      </w:r>
      <w:r>
        <w:t xml:space="preserve">, Application 5856/72, 25 April 1978, para 31; and, conversely, </w:t>
      </w:r>
      <w:r>
        <w:rPr>
          <w:rFonts w:cs="Times New Roman"/>
          <w:i/>
        </w:rPr>
        <w:t>Vo</w:t>
      </w:r>
      <w:r>
        <w:rPr>
          <w:rFonts w:cs="Times New Roman"/>
        </w:rPr>
        <w:t xml:space="preserve"> v </w:t>
      </w:r>
      <w:r>
        <w:rPr>
          <w:rFonts w:cs="Times New Roman"/>
          <w:i/>
        </w:rPr>
        <w:t>France</w:t>
      </w:r>
      <w:r>
        <w:rPr>
          <w:rFonts w:cs="Times New Roman"/>
        </w:rPr>
        <w:t>, Application 53924/00, 8 July 2004, para 82, granting France the margin of appreciation in the absence of European consensus ‘notwithstanding an evolutive interpretation of the Convention’.</w:t>
      </w:r>
      <w:r w:rsidRPr="005259EA">
        <w:t xml:space="preserve"> </w:t>
      </w:r>
      <w:r>
        <w:t xml:space="preserve">Further on the notion of evolutive interpretation see, among others, Dialogue between judges 2011: ‘What are the limits to the evolutive interpretation of the Convention?’ (Council of Europe 2011). The evolutive interpretation is based on the tenet that the Convention is a living instrument; see, for example, Sir Nicolas Bratza, ‘Living instrument or dead letter: the future of the European Convention on Human Rights’ [2014] European Human Rights Law Review 116. For Bjorge, the evolutionary interpretation of the treaties </w:t>
      </w:r>
      <w:r w:rsidR="0047588A">
        <w:t>‘represent</w:t>
      </w:r>
      <w:r w:rsidR="0047588A" w:rsidRPr="0047588A">
        <w:t>[s]</w:t>
      </w:r>
      <w:r w:rsidR="0047588A">
        <w:t xml:space="preserve"> </w:t>
      </w:r>
      <w:r>
        <w:t xml:space="preserve">an intended evolution’; Eirik Bjorge, </w:t>
      </w:r>
      <w:r>
        <w:rPr>
          <w:i/>
        </w:rPr>
        <w:t>The evolutionary interpretation of the treaties</w:t>
      </w:r>
      <w:r>
        <w:t xml:space="preserve"> (Oxford University Press 2014). Compare also Christian Djeffal, </w:t>
      </w:r>
      <w:r>
        <w:rPr>
          <w:i/>
        </w:rPr>
        <w:t>Static and evolutive treaty interpretation: A functional reconstruction</w:t>
      </w:r>
      <w:r>
        <w:t xml:space="preserve"> (Cambridge University Press 2015), in particular chapter 10.</w:t>
      </w:r>
    </w:p>
  </w:footnote>
  <w:footnote w:id="24">
    <w:p w14:paraId="4AEC5F7E" w14:textId="77777777" w:rsidR="005950CD" w:rsidRDefault="005950CD" w:rsidP="001D5459">
      <w:pPr>
        <w:pStyle w:val="FootnoteText"/>
      </w:pPr>
      <w:r>
        <w:rPr>
          <w:rStyle w:val="FootnoteReference"/>
        </w:rPr>
        <w:footnoteRef/>
      </w:r>
      <w:r w:rsidR="000608D4">
        <w:t xml:space="preserve"> Dzehtsiarou (n 14</w:t>
      </w:r>
      <w:r>
        <w:t>) 37, 206.</w:t>
      </w:r>
    </w:p>
  </w:footnote>
  <w:footnote w:id="25">
    <w:p w14:paraId="69184594" w14:textId="77777777" w:rsidR="005950CD" w:rsidRDefault="005950CD" w:rsidP="001D5459">
      <w:pPr>
        <w:pStyle w:val="FootnoteText"/>
        <w:jc w:val="both"/>
      </w:pPr>
      <w:r>
        <w:rPr>
          <w:rStyle w:val="FootnoteReference"/>
        </w:rPr>
        <w:footnoteRef/>
      </w:r>
      <w:r>
        <w:t xml:space="preserve"> Concurring Opinion of Judge Rozakis in </w:t>
      </w:r>
      <w:r w:rsidRPr="0020626A">
        <w:rPr>
          <w:i/>
        </w:rPr>
        <w:t>Egeland and Hanseid</w:t>
      </w:r>
      <w:r>
        <w:t xml:space="preserve"> v </w:t>
      </w:r>
      <w:r w:rsidRPr="0020626A">
        <w:rPr>
          <w:i/>
        </w:rPr>
        <w:t>Norway</w:t>
      </w:r>
      <w:r>
        <w:t>, Application 34438/04, 16 April 2009 (emphasis original).</w:t>
      </w:r>
    </w:p>
  </w:footnote>
  <w:footnote w:id="26">
    <w:p w14:paraId="633232AE" w14:textId="77777777" w:rsidR="005950CD" w:rsidRDefault="005950CD" w:rsidP="001D5459">
      <w:pPr>
        <w:pStyle w:val="FootnoteText"/>
        <w:jc w:val="both"/>
      </w:pPr>
      <w:r>
        <w:rPr>
          <w:rStyle w:val="FootnoteReference"/>
        </w:rPr>
        <w:footnoteRef/>
      </w:r>
      <w:r>
        <w:t xml:space="preserve"> Christos Rozakis, ‘Through the looking glass: An “insider’s” view on the margin of appreciation’, in </w:t>
      </w:r>
      <w:r w:rsidRPr="00B253C0">
        <w:rPr>
          <w:i/>
        </w:rPr>
        <w:t>La conscience des droits:</w:t>
      </w:r>
      <w:r>
        <w:t xml:space="preserve"> </w:t>
      </w:r>
      <w:r w:rsidRPr="006E4E5A">
        <w:rPr>
          <w:i/>
        </w:rPr>
        <w:t>Mélanges en l’honneur de Jean-Paul Costa</w:t>
      </w:r>
      <w:r>
        <w:t xml:space="preserve"> (Dalloz 2011) 527, at 536.</w:t>
      </w:r>
    </w:p>
  </w:footnote>
  <w:footnote w:id="27">
    <w:p w14:paraId="17CF16FA" w14:textId="77777777" w:rsidR="005950CD" w:rsidRPr="00976C55" w:rsidRDefault="005950CD" w:rsidP="001D5459">
      <w:pPr>
        <w:pStyle w:val="FootnoteText"/>
        <w:rPr>
          <w:lang w:val="da-DK"/>
        </w:rPr>
      </w:pPr>
      <w:r>
        <w:rPr>
          <w:rStyle w:val="FootnoteReference"/>
        </w:rPr>
        <w:footnoteRef/>
      </w:r>
      <w:r w:rsidRPr="00976C55">
        <w:rPr>
          <w:lang w:val="da-DK"/>
        </w:rPr>
        <w:t xml:space="preserve"> Ibid.</w:t>
      </w:r>
    </w:p>
  </w:footnote>
  <w:footnote w:id="28">
    <w:p w14:paraId="7EB13F85" w14:textId="77777777" w:rsidR="005950CD" w:rsidRPr="00976C55" w:rsidRDefault="005950CD" w:rsidP="001D5459">
      <w:pPr>
        <w:pStyle w:val="FootnoteText"/>
        <w:rPr>
          <w:lang w:val="da-DK"/>
        </w:rPr>
      </w:pPr>
      <w:r>
        <w:rPr>
          <w:rStyle w:val="FootnoteReference"/>
        </w:rPr>
        <w:footnoteRef/>
      </w:r>
      <w:r w:rsidR="0047517A">
        <w:rPr>
          <w:lang w:val="da-DK"/>
        </w:rPr>
        <w:t xml:space="preserve"> Wildhaber et al (n 20</w:t>
      </w:r>
      <w:r w:rsidRPr="00976C55">
        <w:rPr>
          <w:lang w:val="da-DK"/>
        </w:rPr>
        <w:t>) 256.</w:t>
      </w:r>
    </w:p>
  </w:footnote>
  <w:footnote w:id="29">
    <w:p w14:paraId="70DED530" w14:textId="77777777" w:rsidR="005950CD" w:rsidRDefault="005950CD" w:rsidP="001D5459">
      <w:pPr>
        <w:pStyle w:val="FootnoteText"/>
      </w:pPr>
      <w:r>
        <w:rPr>
          <w:rStyle w:val="FootnoteReference"/>
        </w:rPr>
        <w:footnoteRef/>
      </w:r>
      <w:r>
        <w:t xml:space="preserve"> Ibid.</w:t>
      </w:r>
    </w:p>
  </w:footnote>
  <w:footnote w:id="30">
    <w:p w14:paraId="2FA586A7" w14:textId="77777777" w:rsidR="005950CD" w:rsidRPr="00A12754" w:rsidRDefault="005950CD" w:rsidP="001D5459">
      <w:pPr>
        <w:pStyle w:val="FootnoteText"/>
        <w:jc w:val="both"/>
        <w:rPr>
          <w:rFonts w:cs="Times New Roman"/>
        </w:rPr>
      </w:pPr>
      <w:r w:rsidRPr="00A12754">
        <w:rPr>
          <w:rStyle w:val="FootnoteReference"/>
          <w:rFonts w:cs="Times New Roman"/>
        </w:rPr>
        <w:footnoteRef/>
      </w:r>
      <w:r w:rsidRPr="00A12754">
        <w:rPr>
          <w:rFonts w:cs="Times New Roman"/>
        </w:rPr>
        <w:t xml:space="preserve"> </w:t>
      </w:r>
      <w:r w:rsidR="0047588A">
        <w:rPr>
          <w:rFonts w:cs="Times New Roman"/>
        </w:rPr>
        <w:t>F</w:t>
      </w:r>
      <w:r>
        <w:rPr>
          <w:rFonts w:cs="Times New Roman"/>
        </w:rPr>
        <w:t>or example, the Court</w:t>
      </w:r>
      <w:r w:rsidR="0047588A">
        <w:rPr>
          <w:rFonts w:cs="Times New Roman"/>
        </w:rPr>
        <w:t xml:space="preserve"> has decided that the lack of</w:t>
      </w:r>
      <w:r>
        <w:rPr>
          <w:rFonts w:cs="Times New Roman"/>
        </w:rPr>
        <w:t xml:space="preserve"> legal recognition of same-sex couples goes against the state’s positive obligations under Article 8 ECHR; </w:t>
      </w:r>
      <w:r w:rsidRPr="00A12754">
        <w:rPr>
          <w:rFonts w:cs="Times New Roman"/>
          <w:i/>
        </w:rPr>
        <w:t>Oliari and Others</w:t>
      </w:r>
      <w:r>
        <w:rPr>
          <w:rFonts w:cs="Times New Roman"/>
        </w:rPr>
        <w:t xml:space="preserve"> v </w:t>
      </w:r>
      <w:r w:rsidRPr="00A12754">
        <w:rPr>
          <w:rFonts w:cs="Times New Roman"/>
          <w:i/>
        </w:rPr>
        <w:t>Italy</w:t>
      </w:r>
      <w:r>
        <w:rPr>
          <w:rFonts w:cs="Times New Roman"/>
        </w:rPr>
        <w:t xml:space="preserve">, Applications 18766/11 and 36030/11, 21 October 2015. </w:t>
      </w:r>
    </w:p>
  </w:footnote>
  <w:footnote w:id="31">
    <w:p w14:paraId="7C2B8404" w14:textId="77777777" w:rsidR="005950CD" w:rsidRPr="00E15B5D" w:rsidRDefault="005950CD" w:rsidP="001D5459">
      <w:pPr>
        <w:pStyle w:val="FootnoteText"/>
        <w:jc w:val="both"/>
        <w:rPr>
          <w:rFonts w:cs="Times New Roman"/>
        </w:rPr>
      </w:pPr>
      <w:r w:rsidRPr="00E15B5D">
        <w:rPr>
          <w:rStyle w:val="FootnoteReference"/>
          <w:rFonts w:cs="Times New Roman"/>
        </w:rPr>
        <w:footnoteRef/>
      </w:r>
      <w:r w:rsidRPr="00E15B5D">
        <w:rPr>
          <w:rFonts w:cs="Times New Roman"/>
        </w:rPr>
        <w:t xml:space="preserve"> </w:t>
      </w:r>
      <w:r>
        <w:rPr>
          <w:rFonts w:cs="Times New Roman"/>
        </w:rPr>
        <w:t xml:space="preserve">See, for example, </w:t>
      </w:r>
      <w:r w:rsidRPr="00E15B5D">
        <w:rPr>
          <w:rFonts w:cs="Times New Roman"/>
          <w:i/>
        </w:rPr>
        <w:t>Lautsi</w:t>
      </w:r>
      <w:r>
        <w:rPr>
          <w:rFonts w:cs="Times New Roman"/>
        </w:rPr>
        <w:t xml:space="preserve"> </w:t>
      </w:r>
      <w:r>
        <w:rPr>
          <w:rFonts w:cs="Times New Roman"/>
          <w:i/>
        </w:rPr>
        <w:t xml:space="preserve">and Others </w:t>
      </w:r>
      <w:r>
        <w:rPr>
          <w:rFonts w:cs="Times New Roman"/>
        </w:rPr>
        <w:t xml:space="preserve">v </w:t>
      </w:r>
      <w:r w:rsidRPr="00E15B5D">
        <w:rPr>
          <w:rFonts w:cs="Times New Roman"/>
          <w:i/>
        </w:rPr>
        <w:t>Italy</w:t>
      </w:r>
      <w:r>
        <w:rPr>
          <w:rFonts w:cs="Times New Roman"/>
        </w:rPr>
        <w:t xml:space="preserve">, Application 30814/06, 18 March 2011. </w:t>
      </w:r>
    </w:p>
  </w:footnote>
  <w:footnote w:id="32">
    <w:p w14:paraId="2C747501" w14:textId="77777777" w:rsidR="005950CD" w:rsidRDefault="005950CD" w:rsidP="001D5459">
      <w:pPr>
        <w:pStyle w:val="FootnoteText"/>
      </w:pPr>
      <w:r>
        <w:rPr>
          <w:rStyle w:val="FootnoteReference"/>
        </w:rPr>
        <w:footnoteRef/>
      </w:r>
      <w:r>
        <w:t xml:space="preserve"> </w:t>
      </w:r>
      <w:r w:rsidRPr="004103F5">
        <w:rPr>
          <w:i/>
        </w:rPr>
        <w:t>Sitaropoulos and Others</w:t>
      </w:r>
      <w:r>
        <w:t xml:space="preserve"> v </w:t>
      </w:r>
      <w:r w:rsidRPr="004103F5">
        <w:rPr>
          <w:i/>
        </w:rPr>
        <w:t>Greece</w:t>
      </w:r>
      <w:r>
        <w:t>, Application 42202/07, 8 July 2010.</w:t>
      </w:r>
    </w:p>
  </w:footnote>
  <w:footnote w:id="33">
    <w:p w14:paraId="0AB98268" w14:textId="77777777" w:rsidR="005950CD" w:rsidRDefault="005950CD" w:rsidP="001D5459">
      <w:pPr>
        <w:pStyle w:val="FootnoteText"/>
      </w:pPr>
      <w:r>
        <w:rPr>
          <w:rStyle w:val="FootnoteReference"/>
        </w:rPr>
        <w:footnoteRef/>
      </w:r>
      <w:r>
        <w:t xml:space="preserve"> Ibid, paras 44-47.</w:t>
      </w:r>
    </w:p>
  </w:footnote>
  <w:footnote w:id="34">
    <w:p w14:paraId="09CC777F" w14:textId="77777777" w:rsidR="005950CD" w:rsidRDefault="005950CD" w:rsidP="001D5459">
      <w:pPr>
        <w:pStyle w:val="FootnoteText"/>
        <w:jc w:val="both"/>
      </w:pPr>
      <w:r>
        <w:rPr>
          <w:rStyle w:val="FootnoteReference"/>
        </w:rPr>
        <w:footnoteRef/>
      </w:r>
      <w:r>
        <w:t xml:space="preserve"> </w:t>
      </w:r>
      <w:r w:rsidRPr="007B19CE">
        <w:rPr>
          <w:i/>
        </w:rPr>
        <w:t>Sitaropoulos and Giakoumopoulos</w:t>
      </w:r>
      <w:r>
        <w:t xml:space="preserve"> v </w:t>
      </w:r>
      <w:r w:rsidRPr="007B19CE">
        <w:rPr>
          <w:i/>
        </w:rPr>
        <w:t>Greece</w:t>
      </w:r>
      <w:r>
        <w:t>, Application 42207/07, 15 March 2012 (Grand Chamber), para 74.</w:t>
      </w:r>
    </w:p>
  </w:footnote>
  <w:footnote w:id="35">
    <w:p w14:paraId="041100F5" w14:textId="77777777" w:rsidR="005950CD" w:rsidRPr="00D849A2" w:rsidRDefault="005950CD" w:rsidP="001D5459">
      <w:pPr>
        <w:pStyle w:val="FootnoteText"/>
        <w:rPr>
          <w:lang w:val="es-ES"/>
        </w:rPr>
      </w:pPr>
      <w:r>
        <w:rPr>
          <w:rStyle w:val="FootnoteReference"/>
        </w:rPr>
        <w:footnoteRef/>
      </w:r>
      <w:r w:rsidRPr="00D849A2">
        <w:rPr>
          <w:lang w:val="es-ES"/>
        </w:rPr>
        <w:t xml:space="preserve"> Ibid, paras 72-73.</w:t>
      </w:r>
    </w:p>
  </w:footnote>
  <w:footnote w:id="36">
    <w:p w14:paraId="1B5E64DD" w14:textId="77777777" w:rsidR="005950CD" w:rsidRPr="00D849A2" w:rsidRDefault="005950CD" w:rsidP="001D5459">
      <w:pPr>
        <w:pStyle w:val="FootnoteText"/>
        <w:jc w:val="both"/>
        <w:rPr>
          <w:lang w:val="es-ES"/>
        </w:rPr>
      </w:pPr>
      <w:r>
        <w:rPr>
          <w:rStyle w:val="FootnoteReference"/>
        </w:rPr>
        <w:footnoteRef/>
      </w:r>
      <w:r w:rsidRPr="00D849A2">
        <w:rPr>
          <w:lang w:val="es-ES"/>
        </w:rPr>
        <w:t xml:space="preserve"> Ibid, paras 74-75.</w:t>
      </w:r>
    </w:p>
  </w:footnote>
  <w:footnote w:id="37">
    <w:p w14:paraId="0F502C0F" w14:textId="77777777" w:rsidR="005950CD" w:rsidRPr="00D849A2" w:rsidRDefault="005950CD" w:rsidP="001D5459">
      <w:pPr>
        <w:pStyle w:val="FootnoteText"/>
        <w:rPr>
          <w:lang w:val="es-ES"/>
        </w:rPr>
      </w:pPr>
      <w:r>
        <w:rPr>
          <w:rStyle w:val="FootnoteReference"/>
        </w:rPr>
        <w:footnoteRef/>
      </w:r>
      <w:r w:rsidRPr="00D849A2">
        <w:rPr>
          <w:lang w:val="es-ES"/>
        </w:rPr>
        <w:t xml:space="preserve"> Ibid, para 75.</w:t>
      </w:r>
    </w:p>
  </w:footnote>
  <w:footnote w:id="38">
    <w:p w14:paraId="11B6F0A7" w14:textId="77777777" w:rsidR="005950CD" w:rsidRPr="00C2100A" w:rsidRDefault="005950CD" w:rsidP="001D5459">
      <w:pPr>
        <w:pStyle w:val="FootnoteText"/>
        <w:rPr>
          <w:rFonts w:cs="Times New Roman"/>
        </w:rPr>
      </w:pPr>
      <w:r w:rsidRPr="00C2100A">
        <w:rPr>
          <w:rStyle w:val="FootnoteReference"/>
          <w:rFonts w:cs="Times New Roman"/>
        </w:rPr>
        <w:footnoteRef/>
      </w:r>
      <w:r w:rsidRPr="00C2100A">
        <w:rPr>
          <w:rFonts w:cs="Times New Roman"/>
        </w:rPr>
        <w:t xml:space="preserve"> </w:t>
      </w:r>
      <w:r w:rsidRPr="008819F4">
        <w:rPr>
          <w:rFonts w:cs="Times New Roman"/>
          <w:i/>
        </w:rPr>
        <w:t xml:space="preserve">A, B and C </w:t>
      </w:r>
      <w:r>
        <w:rPr>
          <w:rFonts w:cs="Times New Roman"/>
        </w:rPr>
        <w:t xml:space="preserve">v </w:t>
      </w:r>
      <w:r w:rsidRPr="008819F4">
        <w:rPr>
          <w:rFonts w:cs="Times New Roman"/>
          <w:i/>
        </w:rPr>
        <w:t>Ireland</w:t>
      </w:r>
      <w:r>
        <w:rPr>
          <w:rFonts w:cs="Times New Roman"/>
        </w:rPr>
        <w:t>, Application 25579/05, 16 December 2010.</w:t>
      </w:r>
    </w:p>
  </w:footnote>
  <w:footnote w:id="39">
    <w:p w14:paraId="323AE8CC" w14:textId="77777777" w:rsidR="005950CD" w:rsidRPr="00D849A2" w:rsidRDefault="005950CD" w:rsidP="001D5459">
      <w:pPr>
        <w:pStyle w:val="FootnoteText"/>
        <w:jc w:val="both"/>
        <w:rPr>
          <w:lang w:val="es-ES"/>
        </w:rPr>
      </w:pPr>
      <w:r>
        <w:rPr>
          <w:rStyle w:val="FootnoteReference"/>
        </w:rPr>
        <w:footnoteRef/>
      </w:r>
      <w:r w:rsidRPr="00D849A2">
        <w:rPr>
          <w:lang w:val="es-ES"/>
        </w:rPr>
        <w:t xml:space="preserve"> Ibid, paras 174-175. </w:t>
      </w:r>
    </w:p>
  </w:footnote>
  <w:footnote w:id="40">
    <w:p w14:paraId="1901A172" w14:textId="77777777" w:rsidR="005950CD" w:rsidRPr="00D849A2" w:rsidRDefault="005950CD" w:rsidP="001D5459">
      <w:pPr>
        <w:pStyle w:val="FootnoteText"/>
        <w:rPr>
          <w:lang w:val="es-ES"/>
        </w:rPr>
      </w:pPr>
      <w:r>
        <w:rPr>
          <w:rStyle w:val="FootnoteReference"/>
        </w:rPr>
        <w:footnoteRef/>
      </w:r>
      <w:r w:rsidRPr="00D849A2">
        <w:rPr>
          <w:lang w:val="es-ES"/>
        </w:rPr>
        <w:t xml:space="preserve"> Ibid, para 235.</w:t>
      </w:r>
    </w:p>
  </w:footnote>
  <w:footnote w:id="41">
    <w:p w14:paraId="6E9B42E4" w14:textId="77777777" w:rsidR="005950CD" w:rsidRPr="00D849A2" w:rsidRDefault="005950CD" w:rsidP="001D5459">
      <w:pPr>
        <w:pStyle w:val="FootnoteText"/>
        <w:jc w:val="both"/>
        <w:rPr>
          <w:lang w:val="es-ES"/>
        </w:rPr>
      </w:pPr>
      <w:r>
        <w:rPr>
          <w:rStyle w:val="FootnoteReference"/>
        </w:rPr>
        <w:footnoteRef/>
      </w:r>
      <w:r w:rsidRPr="00D849A2">
        <w:rPr>
          <w:lang w:val="es-ES"/>
        </w:rPr>
        <w:t xml:space="preserve"> Ibid, para 236.</w:t>
      </w:r>
    </w:p>
  </w:footnote>
  <w:footnote w:id="42">
    <w:p w14:paraId="556212AC" w14:textId="77777777" w:rsidR="005950CD" w:rsidRDefault="005950CD" w:rsidP="001D5459">
      <w:pPr>
        <w:pStyle w:val="FootnoteText"/>
      </w:pPr>
      <w:r>
        <w:rPr>
          <w:rStyle w:val="FootnoteReference"/>
        </w:rPr>
        <w:footnoteRef/>
      </w:r>
      <w:r>
        <w:t xml:space="preserve"> Ibid, paras 232-233 and </w:t>
      </w:r>
    </w:p>
  </w:footnote>
  <w:footnote w:id="43">
    <w:p w14:paraId="2E73356A" w14:textId="77777777" w:rsidR="005950CD" w:rsidRDefault="005950CD" w:rsidP="001D5459">
      <w:pPr>
        <w:pStyle w:val="FootnoteText"/>
      </w:pPr>
      <w:r>
        <w:rPr>
          <w:rStyle w:val="FootnoteReference"/>
        </w:rPr>
        <w:footnoteRef/>
      </w:r>
      <w:r>
        <w:t xml:space="preserve"> With reference to the aforementioned case </w:t>
      </w:r>
      <w:r>
        <w:rPr>
          <w:rFonts w:cs="Times New Roman"/>
          <w:i/>
        </w:rPr>
        <w:t>Vo</w:t>
      </w:r>
      <w:r>
        <w:rPr>
          <w:rFonts w:cs="Times New Roman"/>
        </w:rPr>
        <w:t xml:space="preserve"> v </w:t>
      </w:r>
      <w:r>
        <w:rPr>
          <w:rFonts w:cs="Times New Roman"/>
          <w:i/>
        </w:rPr>
        <w:t xml:space="preserve">France </w:t>
      </w:r>
      <w:r w:rsidR="0047517A">
        <w:rPr>
          <w:rFonts w:cs="Times New Roman"/>
        </w:rPr>
        <w:t>(n 22</w:t>
      </w:r>
      <w:r>
        <w:rPr>
          <w:rFonts w:cs="Times New Roman"/>
        </w:rPr>
        <w:t>) paras 75-80.</w:t>
      </w:r>
    </w:p>
  </w:footnote>
  <w:footnote w:id="44">
    <w:p w14:paraId="14D4F0B0" w14:textId="77777777" w:rsidR="005950CD" w:rsidRDefault="005950CD" w:rsidP="00D16E4C">
      <w:pPr>
        <w:pStyle w:val="FootnoteText"/>
        <w:jc w:val="both"/>
      </w:pPr>
      <w:r>
        <w:rPr>
          <w:rStyle w:val="FootnoteReference"/>
        </w:rPr>
        <w:footnoteRef/>
      </w:r>
      <w:r>
        <w:t xml:space="preserve"> </w:t>
      </w:r>
      <w:r w:rsidRPr="00D16E4C">
        <w:t>The explanation offered by the Court was that since ‘the rights claimed on behalf of the foetus and those of the mother are inextricably interconnected … the margin of appreciation accorded to a State’s protection of the unborn necessarily translates into a margin of appreciation for that State as to how it balances the conflicting rights of the mother’</w:t>
      </w:r>
      <w:r>
        <w:t xml:space="preserve">; </w:t>
      </w:r>
      <w:r w:rsidRPr="00224F7D">
        <w:rPr>
          <w:i/>
        </w:rPr>
        <w:t>A, B and C</w:t>
      </w:r>
      <w:r>
        <w:t xml:space="preserve"> v </w:t>
      </w:r>
      <w:r w:rsidRPr="00224F7D">
        <w:rPr>
          <w:i/>
        </w:rPr>
        <w:t>Ireland</w:t>
      </w:r>
      <w:r w:rsidR="0047517A">
        <w:t xml:space="preserve"> (n 37</w:t>
      </w:r>
      <w:r>
        <w:t>) para 237.</w:t>
      </w:r>
    </w:p>
  </w:footnote>
  <w:footnote w:id="45">
    <w:p w14:paraId="482246DC" w14:textId="77777777" w:rsidR="005950CD" w:rsidRPr="00073BD6" w:rsidRDefault="005950CD" w:rsidP="001D5459">
      <w:pPr>
        <w:pStyle w:val="FootnoteText"/>
        <w:rPr>
          <w:lang w:val="es-ES"/>
        </w:rPr>
      </w:pPr>
      <w:r>
        <w:rPr>
          <w:rStyle w:val="FootnoteReference"/>
        </w:rPr>
        <w:footnoteRef/>
      </w:r>
      <w:r w:rsidRPr="00073BD6">
        <w:rPr>
          <w:lang w:val="es-ES"/>
        </w:rPr>
        <w:t xml:space="preserve"> Ibid, para 238.</w:t>
      </w:r>
    </w:p>
  </w:footnote>
  <w:footnote w:id="46">
    <w:p w14:paraId="6605453B" w14:textId="77777777" w:rsidR="005950CD" w:rsidRPr="00073BD6" w:rsidRDefault="005950CD" w:rsidP="001D5459">
      <w:pPr>
        <w:pStyle w:val="FootnoteText"/>
        <w:rPr>
          <w:lang w:val="es-ES"/>
        </w:rPr>
      </w:pPr>
      <w:r>
        <w:rPr>
          <w:rStyle w:val="FootnoteReference"/>
        </w:rPr>
        <w:footnoteRef/>
      </w:r>
      <w:r w:rsidRPr="00073BD6">
        <w:rPr>
          <w:lang w:val="es-ES"/>
        </w:rPr>
        <w:t xml:space="preserve"> Ibid, para 241.</w:t>
      </w:r>
    </w:p>
  </w:footnote>
  <w:footnote w:id="47">
    <w:p w14:paraId="733DC411" w14:textId="77777777" w:rsidR="005950CD" w:rsidRPr="00073BD6" w:rsidRDefault="005950CD">
      <w:pPr>
        <w:pStyle w:val="FootnoteText"/>
        <w:rPr>
          <w:lang w:val="es-ES"/>
        </w:rPr>
      </w:pPr>
      <w:r>
        <w:rPr>
          <w:rStyle w:val="FootnoteReference"/>
        </w:rPr>
        <w:footnoteRef/>
      </w:r>
      <w:r w:rsidRPr="00073BD6">
        <w:rPr>
          <w:lang w:val="es-ES"/>
        </w:rPr>
        <w:t xml:space="preserve"> Ibid, paras 223-228. </w:t>
      </w:r>
    </w:p>
  </w:footnote>
  <w:footnote w:id="48">
    <w:p w14:paraId="2397C600" w14:textId="77777777" w:rsidR="005950CD" w:rsidRDefault="005950CD">
      <w:pPr>
        <w:pStyle w:val="FootnoteText"/>
      </w:pPr>
      <w:r>
        <w:rPr>
          <w:rStyle w:val="FootnoteReference"/>
        </w:rPr>
        <w:footnoteRef/>
      </w:r>
      <w:r>
        <w:t xml:space="preserve"> See: </w:t>
      </w:r>
      <w:r w:rsidRPr="00C533BF">
        <w:t>www.theguardian.com/world/2018/may/26/ireland-votes-by-landslide-to-legalise-abortion</w:t>
      </w:r>
      <w:r>
        <w:t>.</w:t>
      </w:r>
    </w:p>
  </w:footnote>
  <w:footnote w:id="49">
    <w:p w14:paraId="1093B15D" w14:textId="77777777" w:rsidR="005950CD" w:rsidRDefault="005950CD" w:rsidP="001D5459">
      <w:pPr>
        <w:pStyle w:val="FootnoteText"/>
        <w:jc w:val="both"/>
      </w:pPr>
      <w:r>
        <w:rPr>
          <w:rStyle w:val="FootnoteReference"/>
        </w:rPr>
        <w:footnoteRef/>
      </w:r>
      <w:r>
        <w:t xml:space="preserve"> </w:t>
      </w:r>
      <w:r w:rsidRPr="004C341F">
        <w:rPr>
          <w:i/>
        </w:rPr>
        <w:t>National Union of Rail, Maritime and Transport Workers (RMT)</w:t>
      </w:r>
      <w:r w:rsidRPr="004C341F">
        <w:t xml:space="preserve"> v </w:t>
      </w:r>
      <w:r w:rsidRPr="004C341F">
        <w:rPr>
          <w:i/>
        </w:rPr>
        <w:t>the United Kingdom</w:t>
      </w:r>
      <w:r w:rsidRPr="004C341F">
        <w:t>, Application 31045/10, 8 April 2014</w:t>
      </w:r>
      <w:r>
        <w:t>.</w:t>
      </w:r>
    </w:p>
  </w:footnote>
  <w:footnote w:id="50">
    <w:p w14:paraId="0D07FB94" w14:textId="77777777" w:rsidR="005950CD" w:rsidRPr="00D849A2" w:rsidRDefault="005950CD" w:rsidP="001D5459">
      <w:pPr>
        <w:pStyle w:val="FootnoteText"/>
        <w:rPr>
          <w:lang w:val="es-ES"/>
        </w:rPr>
      </w:pPr>
      <w:r>
        <w:rPr>
          <w:rStyle w:val="FootnoteReference"/>
        </w:rPr>
        <w:footnoteRef/>
      </w:r>
      <w:r w:rsidRPr="00073BD6">
        <w:rPr>
          <w:lang w:val="es-ES"/>
        </w:rPr>
        <w:t xml:space="preserve"> Ibi</w:t>
      </w:r>
      <w:r w:rsidRPr="00D849A2">
        <w:rPr>
          <w:lang w:val="es-ES"/>
        </w:rPr>
        <w:t>d, para 91.</w:t>
      </w:r>
    </w:p>
  </w:footnote>
  <w:footnote w:id="51">
    <w:p w14:paraId="064B187D" w14:textId="77777777" w:rsidR="005950CD" w:rsidRPr="00D849A2" w:rsidRDefault="005950CD">
      <w:pPr>
        <w:pStyle w:val="FootnoteText"/>
        <w:rPr>
          <w:lang w:val="es-ES"/>
        </w:rPr>
      </w:pPr>
      <w:r>
        <w:rPr>
          <w:rStyle w:val="FootnoteReference"/>
        </w:rPr>
        <w:footnoteRef/>
      </w:r>
      <w:r w:rsidRPr="00D849A2">
        <w:rPr>
          <w:lang w:val="es-ES"/>
        </w:rPr>
        <w:t xml:space="preserve"> Ibid, para 98.</w:t>
      </w:r>
    </w:p>
  </w:footnote>
  <w:footnote w:id="52">
    <w:p w14:paraId="09F71DF9" w14:textId="77777777" w:rsidR="005950CD" w:rsidRPr="00D849A2" w:rsidRDefault="005950CD" w:rsidP="001D5459">
      <w:pPr>
        <w:pStyle w:val="FootnoteText"/>
        <w:rPr>
          <w:lang w:val="es-ES"/>
        </w:rPr>
      </w:pPr>
      <w:r>
        <w:rPr>
          <w:rStyle w:val="FootnoteReference"/>
        </w:rPr>
        <w:footnoteRef/>
      </w:r>
      <w:r w:rsidRPr="00D849A2">
        <w:rPr>
          <w:lang w:val="es-ES"/>
        </w:rPr>
        <w:t xml:space="preserve"> Ibid.</w:t>
      </w:r>
    </w:p>
  </w:footnote>
  <w:footnote w:id="53">
    <w:p w14:paraId="68459386" w14:textId="77777777" w:rsidR="005950CD" w:rsidRPr="003841B8" w:rsidRDefault="005950CD">
      <w:pPr>
        <w:pStyle w:val="FootnoteText"/>
        <w:rPr>
          <w:lang w:val="es-ES"/>
        </w:rPr>
      </w:pPr>
      <w:r>
        <w:rPr>
          <w:rStyle w:val="FootnoteReference"/>
        </w:rPr>
        <w:footnoteRef/>
      </w:r>
      <w:r w:rsidRPr="003841B8">
        <w:rPr>
          <w:lang w:val="es-ES"/>
        </w:rPr>
        <w:t xml:space="preserve"> Ibid, para 86.</w:t>
      </w:r>
    </w:p>
  </w:footnote>
  <w:footnote w:id="54">
    <w:p w14:paraId="5039731D" w14:textId="77777777" w:rsidR="005950CD" w:rsidRPr="003841B8" w:rsidRDefault="005950CD">
      <w:pPr>
        <w:pStyle w:val="FootnoteText"/>
        <w:rPr>
          <w:lang w:val="es-ES"/>
        </w:rPr>
      </w:pPr>
      <w:r>
        <w:rPr>
          <w:rStyle w:val="FootnoteReference"/>
        </w:rPr>
        <w:footnoteRef/>
      </w:r>
      <w:r w:rsidRPr="003841B8">
        <w:rPr>
          <w:lang w:val="es-ES"/>
        </w:rPr>
        <w:t xml:space="preserve"> Ibid, para 88.</w:t>
      </w:r>
    </w:p>
  </w:footnote>
  <w:footnote w:id="55">
    <w:p w14:paraId="47020DE8" w14:textId="77777777" w:rsidR="005950CD" w:rsidRPr="003841B8" w:rsidRDefault="005950CD">
      <w:pPr>
        <w:pStyle w:val="FootnoteText"/>
        <w:rPr>
          <w:lang w:val="es-ES"/>
        </w:rPr>
      </w:pPr>
      <w:r>
        <w:rPr>
          <w:rStyle w:val="FootnoteReference"/>
        </w:rPr>
        <w:footnoteRef/>
      </w:r>
      <w:r w:rsidRPr="003841B8">
        <w:rPr>
          <w:lang w:val="es-ES"/>
        </w:rPr>
        <w:t xml:space="preserve"> Ibid, para 99.</w:t>
      </w:r>
    </w:p>
  </w:footnote>
  <w:footnote w:id="56">
    <w:p w14:paraId="34DC461D" w14:textId="77777777" w:rsidR="005950CD" w:rsidRDefault="005950CD">
      <w:pPr>
        <w:pStyle w:val="FootnoteText"/>
      </w:pPr>
      <w:r>
        <w:rPr>
          <w:rStyle w:val="FootnoteReference"/>
        </w:rPr>
        <w:footnoteRef/>
      </w:r>
      <w:r>
        <w:t xml:space="preserve"> Ibid.</w:t>
      </w:r>
    </w:p>
  </w:footnote>
  <w:footnote w:id="57">
    <w:p w14:paraId="017A8F4B" w14:textId="77777777" w:rsidR="005950CD" w:rsidRPr="00143B3B" w:rsidRDefault="005950CD" w:rsidP="006C5661">
      <w:pPr>
        <w:pStyle w:val="FootnoteText"/>
        <w:rPr>
          <w:rFonts w:cs="Times New Roman"/>
        </w:rPr>
      </w:pPr>
      <w:r w:rsidRPr="00143B3B">
        <w:rPr>
          <w:rStyle w:val="FootnoteReference"/>
          <w:rFonts w:cs="Times New Roman"/>
        </w:rPr>
        <w:footnoteRef/>
      </w:r>
      <w:r w:rsidRPr="00143B3B">
        <w:rPr>
          <w:rFonts w:cs="Times New Roman"/>
        </w:rPr>
        <w:t xml:space="preserve"> </w:t>
      </w:r>
      <w:r w:rsidRPr="00143B3B">
        <w:rPr>
          <w:rFonts w:cs="Times New Roman"/>
          <w:i/>
        </w:rPr>
        <w:t>Goodwin</w:t>
      </w:r>
      <w:r w:rsidRPr="00143B3B">
        <w:rPr>
          <w:rFonts w:cs="Times New Roman"/>
        </w:rPr>
        <w:t xml:space="preserve"> v </w:t>
      </w:r>
      <w:r w:rsidR="000F4ADD" w:rsidRPr="000F4ADD">
        <w:rPr>
          <w:rFonts w:cs="Times New Roman"/>
          <w:i/>
        </w:rPr>
        <w:t>the</w:t>
      </w:r>
      <w:r w:rsidR="000F4ADD">
        <w:rPr>
          <w:rFonts w:cs="Times New Roman"/>
        </w:rPr>
        <w:t xml:space="preserve"> </w:t>
      </w:r>
      <w:r w:rsidRPr="00143B3B">
        <w:rPr>
          <w:rFonts w:cs="Times New Roman"/>
          <w:i/>
        </w:rPr>
        <w:t>United Kingdom</w:t>
      </w:r>
      <w:r w:rsidRPr="00143B3B">
        <w:rPr>
          <w:rFonts w:cs="Times New Roman"/>
        </w:rPr>
        <w:t>, App</w:t>
      </w:r>
      <w:r>
        <w:rPr>
          <w:rFonts w:cs="Times New Roman"/>
        </w:rPr>
        <w:t>lication 28957/95, 11 July 2002</w:t>
      </w:r>
      <w:r w:rsidRPr="00143B3B">
        <w:rPr>
          <w:rFonts w:cs="Times New Roman"/>
        </w:rPr>
        <w:t>.</w:t>
      </w:r>
    </w:p>
  </w:footnote>
  <w:footnote w:id="58">
    <w:p w14:paraId="55D7F208" w14:textId="77777777" w:rsidR="005950CD" w:rsidRPr="000359FF" w:rsidRDefault="005950CD" w:rsidP="006C5661">
      <w:pPr>
        <w:pStyle w:val="FootnoteText"/>
        <w:rPr>
          <w:lang w:val="es-ES"/>
        </w:rPr>
      </w:pPr>
      <w:r>
        <w:rPr>
          <w:rStyle w:val="FootnoteReference"/>
        </w:rPr>
        <w:footnoteRef/>
      </w:r>
      <w:r w:rsidRPr="000359FF">
        <w:rPr>
          <w:lang w:val="es-ES"/>
        </w:rPr>
        <w:t xml:space="preserve"> Ibid, para 85.</w:t>
      </w:r>
    </w:p>
  </w:footnote>
  <w:footnote w:id="59">
    <w:p w14:paraId="586D092D" w14:textId="77777777" w:rsidR="005950CD" w:rsidRPr="000359FF" w:rsidRDefault="005950CD" w:rsidP="006C5661">
      <w:pPr>
        <w:pStyle w:val="FootnoteText"/>
        <w:rPr>
          <w:lang w:val="es-ES"/>
        </w:rPr>
      </w:pPr>
      <w:r>
        <w:rPr>
          <w:rStyle w:val="FootnoteReference"/>
        </w:rPr>
        <w:footnoteRef/>
      </w:r>
      <w:r w:rsidRPr="000359FF">
        <w:rPr>
          <w:lang w:val="es-ES"/>
        </w:rPr>
        <w:t xml:space="preserve"> Ibid, para 90.</w:t>
      </w:r>
    </w:p>
  </w:footnote>
  <w:footnote w:id="60">
    <w:p w14:paraId="6A05FAB5" w14:textId="77777777" w:rsidR="005950CD" w:rsidRPr="00D340B0" w:rsidRDefault="005950CD">
      <w:pPr>
        <w:pStyle w:val="FootnoteText"/>
        <w:rPr>
          <w:lang w:val="es-ES"/>
        </w:rPr>
      </w:pPr>
      <w:r>
        <w:rPr>
          <w:rStyle w:val="FootnoteReference"/>
        </w:rPr>
        <w:footnoteRef/>
      </w:r>
      <w:r w:rsidRPr="00D340B0">
        <w:rPr>
          <w:lang w:val="es-ES"/>
        </w:rPr>
        <w:t xml:space="preserve"> Ibid, para 77.</w:t>
      </w:r>
    </w:p>
  </w:footnote>
  <w:footnote w:id="61">
    <w:p w14:paraId="026FD929" w14:textId="77777777" w:rsidR="005950CD" w:rsidRPr="00502A67" w:rsidRDefault="005950CD" w:rsidP="006C5661">
      <w:pPr>
        <w:pStyle w:val="FootnoteText"/>
        <w:rPr>
          <w:lang w:val="es-ES"/>
        </w:rPr>
      </w:pPr>
      <w:r>
        <w:rPr>
          <w:rStyle w:val="FootnoteReference"/>
        </w:rPr>
        <w:footnoteRef/>
      </w:r>
      <w:r w:rsidRPr="00502A67">
        <w:rPr>
          <w:lang w:val="es-ES"/>
        </w:rPr>
        <w:t xml:space="preserve"> Ibid, paras 91-93.</w:t>
      </w:r>
    </w:p>
  </w:footnote>
  <w:footnote w:id="62">
    <w:p w14:paraId="17EAA07C" w14:textId="77777777" w:rsidR="006249D4" w:rsidRPr="00502A67" w:rsidRDefault="006249D4">
      <w:pPr>
        <w:pStyle w:val="FootnoteText"/>
        <w:rPr>
          <w:lang w:val="es-ES"/>
        </w:rPr>
      </w:pPr>
      <w:r>
        <w:rPr>
          <w:rStyle w:val="FootnoteReference"/>
        </w:rPr>
        <w:footnoteRef/>
      </w:r>
      <w:r w:rsidRPr="00502A67">
        <w:rPr>
          <w:lang w:val="es-ES"/>
        </w:rPr>
        <w:t xml:space="preserve"> Ibid, para 103.</w:t>
      </w:r>
    </w:p>
  </w:footnote>
  <w:footnote w:id="63">
    <w:p w14:paraId="1F1B7D6F" w14:textId="77777777" w:rsidR="00E61FEF" w:rsidRPr="00502A67" w:rsidRDefault="00E61FEF">
      <w:pPr>
        <w:pStyle w:val="FootnoteText"/>
        <w:rPr>
          <w:lang w:val="es-ES"/>
        </w:rPr>
      </w:pPr>
      <w:r>
        <w:rPr>
          <w:rStyle w:val="FootnoteReference"/>
        </w:rPr>
        <w:footnoteRef/>
      </w:r>
      <w:r w:rsidRPr="00502A67">
        <w:rPr>
          <w:lang w:val="es-ES"/>
        </w:rPr>
        <w:t xml:space="preserve"> Ibid, paras 101, 103.</w:t>
      </w:r>
    </w:p>
  </w:footnote>
  <w:footnote w:id="64">
    <w:p w14:paraId="7CA7C145" w14:textId="77777777" w:rsidR="005950CD" w:rsidRPr="00143B3B" w:rsidRDefault="005950CD" w:rsidP="001D5459">
      <w:pPr>
        <w:pStyle w:val="FootnoteText"/>
        <w:jc w:val="both"/>
        <w:rPr>
          <w:rFonts w:cs="Times New Roman"/>
        </w:rPr>
      </w:pPr>
      <w:r w:rsidRPr="00143B3B">
        <w:rPr>
          <w:rStyle w:val="FootnoteReference"/>
          <w:rFonts w:cs="Times New Roman"/>
        </w:rPr>
        <w:footnoteRef/>
      </w:r>
      <w:r w:rsidRPr="00143B3B">
        <w:rPr>
          <w:rFonts w:cs="Times New Roman"/>
        </w:rPr>
        <w:t xml:space="preserve"> </w:t>
      </w:r>
      <w:r w:rsidRPr="00143B3B">
        <w:rPr>
          <w:rFonts w:cs="Times New Roman"/>
          <w:i/>
        </w:rPr>
        <w:t>Hirst</w:t>
      </w:r>
      <w:r w:rsidRPr="00143B3B">
        <w:rPr>
          <w:rFonts w:cs="Times New Roman"/>
        </w:rPr>
        <w:t xml:space="preserve"> v </w:t>
      </w:r>
      <w:r w:rsidR="0086281B" w:rsidRPr="0086281B">
        <w:rPr>
          <w:rFonts w:cs="Times New Roman"/>
          <w:i/>
        </w:rPr>
        <w:t>the</w:t>
      </w:r>
      <w:r w:rsidR="0086281B">
        <w:rPr>
          <w:rFonts w:cs="Times New Roman"/>
        </w:rPr>
        <w:t xml:space="preserve"> </w:t>
      </w:r>
      <w:r w:rsidRPr="00143B3B">
        <w:rPr>
          <w:rFonts w:cs="Times New Roman"/>
          <w:i/>
        </w:rPr>
        <w:t>United Kingdom (No 2)</w:t>
      </w:r>
      <w:r w:rsidRPr="00143B3B">
        <w:rPr>
          <w:rFonts w:cs="Times New Roman"/>
        </w:rPr>
        <w:t xml:space="preserve"> </w:t>
      </w:r>
      <w:r w:rsidR="0047517A">
        <w:rPr>
          <w:rFonts w:cs="Times New Roman"/>
        </w:rPr>
        <w:t>(n 9</w:t>
      </w:r>
      <w:r>
        <w:rPr>
          <w:rFonts w:cs="Times New Roman"/>
        </w:rPr>
        <w:t>)</w:t>
      </w:r>
      <w:r w:rsidRPr="00143B3B">
        <w:rPr>
          <w:rFonts w:cs="Times New Roman"/>
        </w:rPr>
        <w:t>.</w:t>
      </w:r>
      <w:r>
        <w:rPr>
          <w:rFonts w:cs="Times New Roman"/>
        </w:rPr>
        <w:t xml:space="preserve"> </w:t>
      </w:r>
    </w:p>
  </w:footnote>
  <w:footnote w:id="65">
    <w:p w14:paraId="4AAE6BE0" w14:textId="77777777" w:rsidR="005950CD" w:rsidRDefault="005950CD" w:rsidP="001D5459">
      <w:pPr>
        <w:pStyle w:val="FootnoteText"/>
        <w:jc w:val="both"/>
      </w:pPr>
      <w:r>
        <w:rPr>
          <w:rStyle w:val="FootnoteReference"/>
        </w:rPr>
        <w:footnoteRef/>
      </w:r>
      <w:r>
        <w:t xml:space="preserve"> Ibid, para 81: ‘</w:t>
      </w:r>
      <w:r w:rsidRPr="007A5E7E">
        <w:t>As regards the existence or not of any consensus among Contracting States, the Court notes that, although there is some disagreement about the legal position in certain States, it is undisputed that the United Kingdom is</w:t>
      </w:r>
      <w:r>
        <w:t xml:space="preserve"> </w:t>
      </w:r>
      <w:r w:rsidRPr="007A5E7E">
        <w:t>not alone among Convention countries in depriving all convicted prisoners of the right to vote. It may also be said that the law in the United Kingdom is less far-reaching than in certain other States.</w:t>
      </w:r>
      <w:r>
        <w:t>’</w:t>
      </w:r>
    </w:p>
  </w:footnote>
  <w:footnote w:id="66">
    <w:p w14:paraId="206D5B4D" w14:textId="77777777" w:rsidR="005950CD" w:rsidRPr="006C5661" w:rsidRDefault="005950CD" w:rsidP="001D5459">
      <w:pPr>
        <w:pStyle w:val="FootnoteText"/>
        <w:rPr>
          <w:lang w:val="es-ES"/>
        </w:rPr>
      </w:pPr>
      <w:r>
        <w:rPr>
          <w:rStyle w:val="FootnoteReference"/>
        </w:rPr>
        <w:footnoteRef/>
      </w:r>
      <w:r w:rsidRPr="006C5661">
        <w:rPr>
          <w:lang w:val="es-ES"/>
        </w:rPr>
        <w:t xml:space="preserve"> Ibid, paras 81-82.</w:t>
      </w:r>
    </w:p>
  </w:footnote>
  <w:footnote w:id="67">
    <w:p w14:paraId="1E54542B" w14:textId="77777777" w:rsidR="005950CD" w:rsidRPr="006C5661" w:rsidRDefault="005950CD">
      <w:pPr>
        <w:pStyle w:val="FootnoteText"/>
        <w:rPr>
          <w:lang w:val="es-ES"/>
        </w:rPr>
      </w:pPr>
      <w:r>
        <w:rPr>
          <w:rStyle w:val="FootnoteReference"/>
        </w:rPr>
        <w:footnoteRef/>
      </w:r>
      <w:r w:rsidRPr="006C5661">
        <w:rPr>
          <w:lang w:val="es-ES"/>
        </w:rPr>
        <w:t xml:space="preserve"> Ibid, para 82.</w:t>
      </w:r>
    </w:p>
  </w:footnote>
  <w:footnote w:id="68">
    <w:p w14:paraId="242DBC21" w14:textId="77777777" w:rsidR="005950CD" w:rsidRPr="003841B8" w:rsidRDefault="005950CD">
      <w:pPr>
        <w:pStyle w:val="FootnoteText"/>
        <w:rPr>
          <w:lang w:val="es-ES"/>
        </w:rPr>
      </w:pPr>
      <w:r>
        <w:rPr>
          <w:rStyle w:val="FootnoteReference"/>
        </w:rPr>
        <w:footnoteRef/>
      </w:r>
      <w:r w:rsidRPr="003841B8">
        <w:rPr>
          <w:lang w:val="es-ES"/>
        </w:rPr>
        <w:t xml:space="preserve"> Ibid, paras 59, 82.</w:t>
      </w:r>
    </w:p>
  </w:footnote>
  <w:footnote w:id="69">
    <w:p w14:paraId="099714E9" w14:textId="77777777" w:rsidR="005950CD" w:rsidRDefault="005950CD" w:rsidP="001D5459">
      <w:pPr>
        <w:pStyle w:val="FootnoteText"/>
      </w:pPr>
      <w:r>
        <w:rPr>
          <w:rStyle w:val="FootnoteReference"/>
        </w:rPr>
        <w:footnoteRef/>
      </w:r>
      <w:r w:rsidRPr="006C5661">
        <w:t xml:space="preserve"> Ibid, para 84.</w:t>
      </w:r>
    </w:p>
  </w:footnote>
  <w:footnote w:id="70">
    <w:p w14:paraId="0409D6BC" w14:textId="77777777" w:rsidR="005950CD" w:rsidRPr="00143B3B" w:rsidRDefault="005950CD" w:rsidP="001D5459">
      <w:pPr>
        <w:pStyle w:val="FootnoteText"/>
        <w:rPr>
          <w:rFonts w:cs="Times New Roman"/>
        </w:rPr>
      </w:pPr>
      <w:r w:rsidRPr="00143B3B">
        <w:rPr>
          <w:rStyle w:val="FootnoteReference"/>
          <w:rFonts w:cs="Times New Roman"/>
        </w:rPr>
        <w:footnoteRef/>
      </w:r>
      <w:r w:rsidRPr="00143B3B">
        <w:rPr>
          <w:rFonts w:cs="Times New Roman"/>
        </w:rPr>
        <w:t xml:space="preserve"> </w:t>
      </w:r>
      <w:r w:rsidRPr="00143B3B">
        <w:rPr>
          <w:rFonts w:cs="Times New Roman"/>
          <w:i/>
        </w:rPr>
        <w:t>Dickson</w:t>
      </w:r>
      <w:r w:rsidRPr="00143B3B">
        <w:rPr>
          <w:rFonts w:cs="Times New Roman"/>
        </w:rPr>
        <w:t xml:space="preserve"> v </w:t>
      </w:r>
      <w:r w:rsidR="009565FC" w:rsidRPr="009565FC">
        <w:rPr>
          <w:rFonts w:cs="Times New Roman"/>
          <w:i/>
        </w:rPr>
        <w:t>the</w:t>
      </w:r>
      <w:r w:rsidR="009565FC">
        <w:rPr>
          <w:rFonts w:cs="Times New Roman"/>
        </w:rPr>
        <w:t xml:space="preserve"> </w:t>
      </w:r>
      <w:r w:rsidRPr="00143B3B">
        <w:rPr>
          <w:rFonts w:cs="Times New Roman"/>
          <w:i/>
        </w:rPr>
        <w:t>United Kingdom</w:t>
      </w:r>
      <w:r w:rsidRPr="00143B3B">
        <w:rPr>
          <w:rFonts w:cs="Times New Roman"/>
        </w:rPr>
        <w:t xml:space="preserve">, Application 44362/04, 4 December 2007, </w:t>
      </w:r>
      <w:r>
        <w:rPr>
          <w:rFonts w:cs="Times New Roman"/>
        </w:rPr>
        <w:t>para 82.</w:t>
      </w:r>
    </w:p>
  </w:footnote>
  <w:footnote w:id="71">
    <w:p w14:paraId="087FA498" w14:textId="77777777" w:rsidR="005950CD" w:rsidRPr="002E2510" w:rsidRDefault="005950CD" w:rsidP="001D5459">
      <w:pPr>
        <w:pStyle w:val="FootnoteText"/>
        <w:rPr>
          <w:lang w:val="es-ES"/>
        </w:rPr>
      </w:pPr>
      <w:r>
        <w:rPr>
          <w:rStyle w:val="FootnoteReference"/>
        </w:rPr>
        <w:footnoteRef/>
      </w:r>
      <w:r w:rsidRPr="002E2510">
        <w:rPr>
          <w:lang w:val="es-ES"/>
        </w:rPr>
        <w:t xml:space="preserve"> Ibid.</w:t>
      </w:r>
    </w:p>
  </w:footnote>
  <w:footnote w:id="72">
    <w:p w14:paraId="23DA1AD6" w14:textId="77777777" w:rsidR="005950CD" w:rsidRPr="002E2510" w:rsidRDefault="005950CD">
      <w:pPr>
        <w:pStyle w:val="FootnoteText"/>
        <w:rPr>
          <w:lang w:val="es-ES"/>
        </w:rPr>
      </w:pPr>
      <w:r>
        <w:rPr>
          <w:rStyle w:val="FootnoteReference"/>
        </w:rPr>
        <w:footnoteRef/>
      </w:r>
      <w:r w:rsidRPr="002E2510">
        <w:rPr>
          <w:lang w:val="es-ES"/>
        </w:rPr>
        <w:t xml:space="preserve"> Ibid, paras 82-83.</w:t>
      </w:r>
    </w:p>
  </w:footnote>
  <w:footnote w:id="73">
    <w:p w14:paraId="01443F64" w14:textId="77777777" w:rsidR="005950CD" w:rsidRPr="002E2510" w:rsidRDefault="005950CD">
      <w:pPr>
        <w:pStyle w:val="FootnoteText"/>
        <w:rPr>
          <w:lang w:val="es-ES"/>
        </w:rPr>
      </w:pPr>
      <w:r>
        <w:rPr>
          <w:rStyle w:val="FootnoteReference"/>
        </w:rPr>
        <w:footnoteRef/>
      </w:r>
      <w:r w:rsidRPr="002E2510">
        <w:rPr>
          <w:lang w:val="es-ES"/>
        </w:rPr>
        <w:t xml:space="preserve"> Ibid, paras 72, 87.</w:t>
      </w:r>
    </w:p>
  </w:footnote>
  <w:footnote w:id="74">
    <w:p w14:paraId="324082EC" w14:textId="77777777" w:rsidR="005950CD" w:rsidRDefault="005950CD">
      <w:pPr>
        <w:pStyle w:val="FootnoteText"/>
      </w:pPr>
      <w:r>
        <w:rPr>
          <w:rStyle w:val="FootnoteReference"/>
        </w:rPr>
        <w:footnoteRef/>
      </w:r>
      <w:r>
        <w:t xml:space="preserve"> </w:t>
      </w:r>
      <w:r w:rsidRPr="00AD010A">
        <w:rPr>
          <w:i/>
        </w:rPr>
        <w:t xml:space="preserve">Phinikaridou </w:t>
      </w:r>
      <w:r>
        <w:t xml:space="preserve">v </w:t>
      </w:r>
      <w:r w:rsidRPr="00AD010A">
        <w:rPr>
          <w:i/>
        </w:rPr>
        <w:t>Cyprus</w:t>
      </w:r>
      <w:r>
        <w:t>, Application 23890/02, 20 December 2007.</w:t>
      </w:r>
    </w:p>
  </w:footnote>
  <w:footnote w:id="75">
    <w:p w14:paraId="6FEB55EC" w14:textId="77777777" w:rsidR="005950CD" w:rsidRPr="00502A67" w:rsidRDefault="005950CD">
      <w:pPr>
        <w:pStyle w:val="FootnoteText"/>
        <w:rPr>
          <w:lang w:val="es-ES"/>
        </w:rPr>
      </w:pPr>
      <w:r>
        <w:rPr>
          <w:rStyle w:val="FootnoteReference"/>
        </w:rPr>
        <w:footnoteRef/>
      </w:r>
      <w:r w:rsidRPr="00502A67">
        <w:rPr>
          <w:lang w:val="es-ES"/>
        </w:rPr>
        <w:t xml:space="preserve"> Ibid, para 52.</w:t>
      </w:r>
    </w:p>
  </w:footnote>
  <w:footnote w:id="76">
    <w:p w14:paraId="324C414C" w14:textId="77777777" w:rsidR="005950CD" w:rsidRPr="00984949" w:rsidRDefault="005950CD">
      <w:pPr>
        <w:pStyle w:val="FootnoteText"/>
        <w:rPr>
          <w:lang w:val="es-ES"/>
        </w:rPr>
      </w:pPr>
      <w:r>
        <w:rPr>
          <w:rStyle w:val="FootnoteReference"/>
        </w:rPr>
        <w:footnoteRef/>
      </w:r>
      <w:r w:rsidRPr="00984949">
        <w:rPr>
          <w:lang w:val="es-ES"/>
        </w:rPr>
        <w:t xml:space="preserve"> Ibid, para 58.</w:t>
      </w:r>
    </w:p>
  </w:footnote>
  <w:footnote w:id="77">
    <w:p w14:paraId="3271DAE6" w14:textId="77777777" w:rsidR="005950CD" w:rsidRPr="00984949" w:rsidRDefault="005950CD">
      <w:pPr>
        <w:pStyle w:val="FootnoteText"/>
        <w:rPr>
          <w:lang w:val="es-ES"/>
        </w:rPr>
      </w:pPr>
      <w:r>
        <w:rPr>
          <w:rStyle w:val="FootnoteReference"/>
        </w:rPr>
        <w:footnoteRef/>
      </w:r>
      <w:r w:rsidRPr="00984949">
        <w:rPr>
          <w:lang w:val="es-ES"/>
        </w:rPr>
        <w:t xml:space="preserve"> Ibid, para 59.</w:t>
      </w:r>
    </w:p>
  </w:footnote>
  <w:footnote w:id="78">
    <w:p w14:paraId="54E77EAC" w14:textId="77777777" w:rsidR="005950CD" w:rsidRPr="00502A67" w:rsidRDefault="005950CD">
      <w:pPr>
        <w:pStyle w:val="FootnoteText"/>
      </w:pPr>
      <w:r>
        <w:rPr>
          <w:rStyle w:val="FootnoteReference"/>
        </w:rPr>
        <w:footnoteRef/>
      </w:r>
      <w:r w:rsidRPr="00502A67">
        <w:t xml:space="preserve"> Ibid, para 64.</w:t>
      </w:r>
    </w:p>
  </w:footnote>
  <w:footnote w:id="79">
    <w:p w14:paraId="4FF37383" w14:textId="77777777" w:rsidR="005950CD" w:rsidRDefault="005950CD" w:rsidP="003E0F2D">
      <w:pPr>
        <w:pStyle w:val="FootnoteText"/>
        <w:jc w:val="both"/>
      </w:pPr>
      <w:r>
        <w:rPr>
          <w:rStyle w:val="FootnoteReference"/>
        </w:rPr>
        <w:footnoteRef/>
      </w:r>
      <w:r>
        <w:t xml:space="preserve"> Ibid, para 65. In a more recent case, with a factual and legal framework different from that in </w:t>
      </w:r>
      <w:r w:rsidRPr="003E0F2D">
        <w:rPr>
          <w:i/>
        </w:rPr>
        <w:t>Phinikaridou</w:t>
      </w:r>
      <w:r>
        <w:t>, the Court clarified that if applicants show</w:t>
      </w:r>
      <w:r w:rsidRPr="003E0F2D">
        <w:t xml:space="preserve"> </w:t>
      </w:r>
      <w:r>
        <w:t>‘</w:t>
      </w:r>
      <w:r w:rsidRPr="003E0F2D">
        <w:t>an unjustifiable lack of diligence in instituting paternity proceedings</w:t>
      </w:r>
      <w:r>
        <w:t xml:space="preserve">’, while </w:t>
      </w:r>
      <w:r w:rsidRPr="003E0F2D">
        <w:t>be</w:t>
      </w:r>
      <w:r>
        <w:t>ing</w:t>
      </w:r>
      <w:r w:rsidRPr="003E0F2D">
        <w:t xml:space="preserve"> aware of their respective father’s identity</w:t>
      </w:r>
      <w:r>
        <w:t xml:space="preserve">, the margin of appreciation granted to states regarding such proceedings would mean that the legislation in question would be compatible with Article 8. See </w:t>
      </w:r>
      <w:r w:rsidRPr="00DC1BBA">
        <w:rPr>
          <w:i/>
        </w:rPr>
        <w:t>Silva and Mondim Correia</w:t>
      </w:r>
      <w:r>
        <w:t xml:space="preserve"> v</w:t>
      </w:r>
      <w:r w:rsidRPr="003E0F2D">
        <w:t xml:space="preserve"> </w:t>
      </w:r>
      <w:r w:rsidRPr="00DC1BBA">
        <w:rPr>
          <w:i/>
        </w:rPr>
        <w:t>Portugal</w:t>
      </w:r>
      <w:r>
        <w:t>, Applications 72105/14 and 20415/15, 3 October 2017, in particular paras 67-70.</w:t>
      </w:r>
    </w:p>
  </w:footnote>
  <w:footnote w:id="80">
    <w:p w14:paraId="49A33910" w14:textId="77777777" w:rsidR="005950CD" w:rsidRDefault="005950CD">
      <w:pPr>
        <w:pStyle w:val="FootnoteText"/>
      </w:pPr>
      <w:r>
        <w:rPr>
          <w:rStyle w:val="FootnoteReference"/>
        </w:rPr>
        <w:footnoteRef/>
      </w:r>
      <w:r>
        <w:t xml:space="preserve"> </w:t>
      </w:r>
      <w:r w:rsidRPr="000E02C4">
        <w:rPr>
          <w:i/>
        </w:rPr>
        <w:t>X and Others</w:t>
      </w:r>
      <w:r>
        <w:t xml:space="preserve"> v </w:t>
      </w:r>
      <w:r w:rsidRPr="000E02C4">
        <w:rPr>
          <w:i/>
        </w:rPr>
        <w:t>Austria</w:t>
      </w:r>
      <w:r>
        <w:t xml:space="preserve">, Application </w:t>
      </w:r>
      <w:r w:rsidRPr="000E02C4">
        <w:t>19010/07</w:t>
      </w:r>
      <w:r>
        <w:t>, 19 February 2013.</w:t>
      </w:r>
    </w:p>
  </w:footnote>
  <w:footnote w:id="81">
    <w:p w14:paraId="15D0F7CD" w14:textId="77777777" w:rsidR="005950CD" w:rsidRPr="002E2510" w:rsidRDefault="005950CD">
      <w:pPr>
        <w:pStyle w:val="FootnoteText"/>
        <w:rPr>
          <w:lang w:val="es-ES"/>
        </w:rPr>
      </w:pPr>
      <w:r>
        <w:rPr>
          <w:rStyle w:val="FootnoteReference"/>
        </w:rPr>
        <w:footnoteRef/>
      </w:r>
      <w:r w:rsidRPr="002E2510">
        <w:rPr>
          <w:lang w:val="es-ES"/>
        </w:rPr>
        <w:t xml:space="preserve"> Ibid, para 140.</w:t>
      </w:r>
    </w:p>
  </w:footnote>
  <w:footnote w:id="82">
    <w:p w14:paraId="0CBF36E9" w14:textId="77777777" w:rsidR="005950CD" w:rsidRPr="002E2510" w:rsidRDefault="005950CD">
      <w:pPr>
        <w:pStyle w:val="FootnoteText"/>
        <w:rPr>
          <w:lang w:val="es-ES"/>
        </w:rPr>
      </w:pPr>
      <w:r>
        <w:rPr>
          <w:rStyle w:val="FootnoteReference"/>
        </w:rPr>
        <w:footnoteRef/>
      </w:r>
      <w:r w:rsidRPr="002E2510">
        <w:rPr>
          <w:lang w:val="es-ES"/>
        </w:rPr>
        <w:t xml:space="preserve"> Ibid, para 148.</w:t>
      </w:r>
    </w:p>
  </w:footnote>
  <w:footnote w:id="83">
    <w:p w14:paraId="1EAA4E68" w14:textId="77777777" w:rsidR="005950CD" w:rsidRPr="002E2510" w:rsidRDefault="005950CD">
      <w:pPr>
        <w:pStyle w:val="FootnoteText"/>
        <w:rPr>
          <w:lang w:val="es-ES"/>
        </w:rPr>
      </w:pPr>
      <w:r>
        <w:rPr>
          <w:rStyle w:val="FootnoteReference"/>
        </w:rPr>
        <w:footnoteRef/>
      </w:r>
      <w:r w:rsidRPr="002E2510">
        <w:rPr>
          <w:lang w:val="es-ES"/>
        </w:rPr>
        <w:t xml:space="preserve"> Ibid, para 149.</w:t>
      </w:r>
    </w:p>
  </w:footnote>
  <w:footnote w:id="84">
    <w:p w14:paraId="068EA362" w14:textId="77777777" w:rsidR="005950CD" w:rsidRDefault="005950CD">
      <w:pPr>
        <w:pStyle w:val="FootnoteText"/>
      </w:pPr>
      <w:r>
        <w:rPr>
          <w:rStyle w:val="FootnoteReference"/>
        </w:rPr>
        <w:footnoteRef/>
      </w:r>
      <w:r>
        <w:t xml:space="preserve"> Ibid.</w:t>
      </w:r>
    </w:p>
  </w:footnote>
  <w:footnote w:id="85">
    <w:p w14:paraId="291E918A" w14:textId="77777777" w:rsidR="00601EF8" w:rsidRPr="00601EF8" w:rsidRDefault="00601EF8" w:rsidP="00963CC2">
      <w:pPr>
        <w:pStyle w:val="FootnoteText"/>
        <w:jc w:val="both"/>
      </w:pPr>
      <w:r>
        <w:rPr>
          <w:rStyle w:val="FootnoteReference"/>
        </w:rPr>
        <w:footnoteRef/>
      </w:r>
      <w:r>
        <w:t xml:space="preserve"> </w:t>
      </w:r>
      <w:r w:rsidR="00963CC2">
        <w:t>For example, i</w:t>
      </w:r>
      <w:r>
        <w:t xml:space="preserve">n </w:t>
      </w:r>
      <w:r w:rsidRPr="00601EF8">
        <w:rPr>
          <w:i/>
        </w:rPr>
        <w:t>Perinçek</w:t>
      </w:r>
      <w:r w:rsidRPr="00601EF8">
        <w:t xml:space="preserve"> v </w:t>
      </w:r>
      <w:r w:rsidRPr="00601EF8">
        <w:rPr>
          <w:i/>
        </w:rPr>
        <w:t>Switzerland</w:t>
      </w:r>
      <w:r>
        <w:t xml:space="preserve"> </w:t>
      </w:r>
      <w:r w:rsidR="00963CC2">
        <w:t>(</w:t>
      </w:r>
      <w:r w:rsidR="00963CC2" w:rsidRPr="00963CC2">
        <w:t>Application 27510/08, 15 October 2015</w:t>
      </w:r>
      <w:r w:rsidR="00963CC2">
        <w:t>),</w:t>
      </w:r>
      <w:r>
        <w:t xml:space="preserve"> the ECtHR explicitly acknowledged that </w:t>
      </w:r>
      <w:r w:rsidR="00963CC2" w:rsidRPr="00963CC2">
        <w:t>‘the comparative law position [could not] play a weighty part in the Court’s conclusion’</w:t>
      </w:r>
      <w:r w:rsidR="00963CC2">
        <w:t xml:space="preserve">, since </w:t>
      </w:r>
      <w:r w:rsidR="00963CC2" w:rsidRPr="00963CC2">
        <w:t xml:space="preserve">‘there </w:t>
      </w:r>
      <w:r w:rsidR="00963CC2">
        <w:t>[were]</w:t>
      </w:r>
      <w:r w:rsidR="00963CC2" w:rsidRPr="00963CC2">
        <w:t xml:space="preserve"> other factors which </w:t>
      </w:r>
      <w:r w:rsidR="00963CC2">
        <w:t>[had]</w:t>
      </w:r>
      <w:r w:rsidR="00963CC2" w:rsidRPr="00963CC2">
        <w:t xml:space="preserve"> a significant bearing on the breadth of the applicable margin of appreciation’</w:t>
      </w:r>
      <w:r w:rsidR="00963CC2">
        <w:t xml:space="preserve"> (paras 256-257). The case concerned </w:t>
      </w:r>
      <w:r w:rsidR="00963CC2" w:rsidRPr="00963CC2">
        <w:t>the compatibility with Article 10 ECHR of the applicant’s criminal conviction and punishment for having publicly denied the Armenian genocide</w:t>
      </w:r>
      <w:r w:rsidR="00963CC2">
        <w:t>; i</w:t>
      </w:r>
      <w:r w:rsidR="00963CC2" w:rsidRPr="00963CC2">
        <w:t xml:space="preserve">t concluded that there had been a violation of </w:t>
      </w:r>
      <w:r w:rsidR="00963CC2">
        <w:t>the above Article.</w:t>
      </w:r>
    </w:p>
  </w:footnote>
  <w:footnote w:id="86">
    <w:p w14:paraId="14C211AF" w14:textId="13EF29D2" w:rsidR="005950CD" w:rsidRDefault="005950CD" w:rsidP="00355BD2">
      <w:pPr>
        <w:pStyle w:val="FootnoteText"/>
        <w:jc w:val="both"/>
      </w:pPr>
      <w:r>
        <w:rPr>
          <w:rStyle w:val="FootnoteReference"/>
        </w:rPr>
        <w:footnoteRef/>
      </w:r>
      <w:r>
        <w:t xml:space="preserve"> On the presence of consensus see, for example, </w:t>
      </w:r>
      <w:r w:rsidRPr="00225149">
        <w:rPr>
          <w:i/>
        </w:rPr>
        <w:t>S. and Marper</w:t>
      </w:r>
      <w:r w:rsidRPr="00225149">
        <w:t xml:space="preserve"> v </w:t>
      </w:r>
      <w:r w:rsidRPr="00225149">
        <w:rPr>
          <w:i/>
        </w:rPr>
        <w:t>the United Kingdom</w:t>
      </w:r>
      <w:r>
        <w:t xml:space="preserve">, Applications </w:t>
      </w:r>
      <w:r w:rsidRPr="00225149">
        <w:t>30562/04 and 30566/04</w:t>
      </w:r>
      <w:r>
        <w:t xml:space="preserve">, 4 December 2008, in particular para 112 (against </w:t>
      </w:r>
      <w:r w:rsidRPr="00CA1E16">
        <w:t xml:space="preserve">the permanent retention of DNA </w:t>
      </w:r>
      <w:r>
        <w:t>profiles</w:t>
      </w:r>
      <w:r w:rsidRPr="00CA1E16">
        <w:t xml:space="preserve"> of suspected but unconvicted pe</w:t>
      </w:r>
      <w:r>
        <w:t>rsons);</w:t>
      </w:r>
      <w:r w:rsidRPr="00B4487C">
        <w:t xml:space="preserve"> </w:t>
      </w:r>
      <w:r w:rsidRPr="00B4487C">
        <w:rPr>
          <w:i/>
        </w:rPr>
        <w:t>Berkovich and Others</w:t>
      </w:r>
      <w:r>
        <w:t xml:space="preserve"> v</w:t>
      </w:r>
      <w:r w:rsidRPr="00B4487C">
        <w:t xml:space="preserve"> </w:t>
      </w:r>
      <w:r w:rsidRPr="00B4487C">
        <w:rPr>
          <w:i/>
        </w:rPr>
        <w:t>Russia</w:t>
      </w:r>
      <w:r>
        <w:t>,</w:t>
      </w:r>
      <w:r w:rsidRPr="00B4487C">
        <w:t xml:space="preserve"> </w:t>
      </w:r>
      <w:r>
        <w:t xml:space="preserve">Applications </w:t>
      </w:r>
      <w:r w:rsidRPr="00B4487C">
        <w:t>5871/07 and 9 others</w:t>
      </w:r>
      <w:r>
        <w:t xml:space="preserve">, 27 March 2018, in particular para </w:t>
      </w:r>
      <w:r w:rsidRPr="004D28DF">
        <w:t xml:space="preserve">98 (against the prohibition of persons aware of State secrets from travelling abroad). On the lack of consensus see, for example: </w:t>
      </w:r>
      <w:r w:rsidRPr="004D28DF">
        <w:rPr>
          <w:i/>
        </w:rPr>
        <w:t>X, Y and Z</w:t>
      </w:r>
      <w:r w:rsidRPr="004D28DF">
        <w:t xml:space="preserve"> v </w:t>
      </w:r>
      <w:r w:rsidRPr="004D28DF">
        <w:rPr>
          <w:i/>
        </w:rPr>
        <w:t>the United Kingdom</w:t>
      </w:r>
      <w:r w:rsidRPr="004D28DF">
        <w:t>, Application 21830/93, 22 April 1997, in particular paras 44, 52 (</w:t>
      </w:r>
      <w:r w:rsidR="004269FB">
        <w:t xml:space="preserve">legal </w:t>
      </w:r>
      <w:r w:rsidR="0034181F">
        <w:t xml:space="preserve">recognition </w:t>
      </w:r>
      <w:r w:rsidR="00A65DB8" w:rsidRPr="00A65DB8">
        <w:t xml:space="preserve">of a </w:t>
      </w:r>
      <w:r w:rsidR="00FC0544">
        <w:t xml:space="preserve">female to male </w:t>
      </w:r>
      <w:r w:rsidR="00A65DB8" w:rsidRPr="00A65DB8">
        <w:t>trans</w:t>
      </w:r>
      <w:r w:rsidR="00890E24">
        <w:t>gender person</w:t>
      </w:r>
      <w:r w:rsidR="00FC0544">
        <w:t xml:space="preserve"> as the father of his child</w:t>
      </w:r>
      <w:r w:rsidRPr="004D28DF">
        <w:t xml:space="preserve">); </w:t>
      </w:r>
      <w:r w:rsidRPr="004D28DF">
        <w:rPr>
          <w:i/>
        </w:rPr>
        <w:t>Petrovic</w:t>
      </w:r>
      <w:r w:rsidRPr="004D28DF">
        <w:t xml:space="preserve"> v </w:t>
      </w:r>
      <w:r w:rsidRPr="004D28DF">
        <w:rPr>
          <w:i/>
        </w:rPr>
        <w:t>Austria</w:t>
      </w:r>
      <w:r w:rsidRPr="004D28DF">
        <w:t xml:space="preserve">, Application 20458/92, 27 March 1998, in particular paras 38-43 (granting fathers parental leave allowance); </w:t>
      </w:r>
      <w:r w:rsidRPr="004D28DF">
        <w:rPr>
          <w:i/>
        </w:rPr>
        <w:t>Evans</w:t>
      </w:r>
      <w:r w:rsidRPr="004D28DF">
        <w:t xml:space="preserve"> v </w:t>
      </w:r>
      <w:r w:rsidRPr="004D28DF">
        <w:rPr>
          <w:i/>
        </w:rPr>
        <w:t>the United Kingdom</w:t>
      </w:r>
      <w:r w:rsidRPr="004D28DF">
        <w:t xml:space="preserve">, Application 6339/05, 10 April 2007, in particular paras 79, 90 and 92 (withdrawal of consent to the use of genetic material in the context </w:t>
      </w:r>
      <w:r>
        <w:t xml:space="preserve">of IVF treatment); </w:t>
      </w:r>
      <w:r w:rsidRPr="00355BD2">
        <w:rPr>
          <w:i/>
        </w:rPr>
        <w:t>Khamtokhu and Aksenchik</w:t>
      </w:r>
      <w:r w:rsidRPr="00355BD2">
        <w:t xml:space="preserve"> v </w:t>
      </w:r>
      <w:r w:rsidRPr="00355BD2">
        <w:rPr>
          <w:i/>
        </w:rPr>
        <w:t>Russia</w:t>
      </w:r>
      <w:r>
        <w:t xml:space="preserve">, Applications </w:t>
      </w:r>
      <w:r w:rsidRPr="00355BD2">
        <w:t>60367/08 and 961/11</w:t>
      </w:r>
      <w:r>
        <w:t>,</w:t>
      </w:r>
      <w:r w:rsidRPr="00355BD2">
        <w:t xml:space="preserve"> 24 January 2017</w:t>
      </w:r>
      <w:r>
        <w:t>, in particular paras 83-88</w:t>
      </w:r>
      <w:r w:rsidRPr="00355BD2">
        <w:t xml:space="preserve"> </w:t>
      </w:r>
      <w:r>
        <w:t>(</w:t>
      </w:r>
      <w:r w:rsidRPr="00355BD2">
        <w:t>difference in treatment on account of age</w:t>
      </w:r>
      <w:r>
        <w:t xml:space="preserve"> and sex with regard to life imprisonment).</w:t>
      </w:r>
    </w:p>
  </w:footnote>
  <w:footnote w:id="87">
    <w:p w14:paraId="742D230A" w14:textId="77777777" w:rsidR="005950CD" w:rsidRDefault="005950CD" w:rsidP="007C4F7B">
      <w:pPr>
        <w:pStyle w:val="FootnoteText"/>
        <w:jc w:val="both"/>
      </w:pPr>
      <w:r>
        <w:rPr>
          <w:rStyle w:val="FootnoteReference"/>
        </w:rPr>
        <w:footnoteRef/>
      </w:r>
      <w:r>
        <w:t xml:space="preserve"> See, for example, </w:t>
      </w:r>
      <w:r w:rsidRPr="007C4F7B">
        <w:rPr>
          <w:i/>
        </w:rPr>
        <w:t>Pretty</w:t>
      </w:r>
      <w:r>
        <w:t xml:space="preserve"> v </w:t>
      </w:r>
      <w:r w:rsidRPr="007C4F7B">
        <w:rPr>
          <w:i/>
        </w:rPr>
        <w:t>the United Kingdom</w:t>
      </w:r>
      <w:r>
        <w:t xml:space="preserve">, </w:t>
      </w:r>
      <w:r w:rsidRPr="007C4F7B">
        <w:t>Application 2346/02, 29 April 2002</w:t>
      </w:r>
      <w:r>
        <w:t xml:space="preserve"> (ban on assisted suicide); </w:t>
      </w:r>
      <w:r w:rsidRPr="008329F0">
        <w:rPr>
          <w:i/>
        </w:rPr>
        <w:t>Delfi AS</w:t>
      </w:r>
      <w:r>
        <w:t xml:space="preserve"> v </w:t>
      </w:r>
      <w:r w:rsidRPr="008329F0">
        <w:rPr>
          <w:i/>
        </w:rPr>
        <w:t>Estonia</w:t>
      </w:r>
      <w:r>
        <w:t>, Application 64569/09, 16 June 2015 (</w:t>
      </w:r>
      <w:r w:rsidRPr="00DF696E">
        <w:t>liability of an online news portal for offensive comments</w:t>
      </w:r>
      <w:r>
        <w:t xml:space="preserve">); </w:t>
      </w:r>
      <w:r w:rsidRPr="00711449">
        <w:rPr>
          <w:i/>
        </w:rPr>
        <w:t>Sekmadienis Ltd.</w:t>
      </w:r>
      <w:r w:rsidRPr="00711449">
        <w:t xml:space="preserve"> v </w:t>
      </w:r>
      <w:r w:rsidRPr="00711449">
        <w:rPr>
          <w:i/>
        </w:rPr>
        <w:t>Lithuania</w:t>
      </w:r>
      <w:r>
        <w:t xml:space="preserve">, Application </w:t>
      </w:r>
      <w:r w:rsidRPr="00711449">
        <w:t>69317/14</w:t>
      </w:r>
      <w:r>
        <w:t>, 30 January 2018 (religious symbols in commercial advertising).</w:t>
      </w:r>
    </w:p>
  </w:footnote>
  <w:footnote w:id="88">
    <w:p w14:paraId="02A626E1" w14:textId="77777777" w:rsidR="005950CD" w:rsidRDefault="005950CD" w:rsidP="00F27068">
      <w:pPr>
        <w:pStyle w:val="FootnoteText"/>
        <w:jc w:val="both"/>
      </w:pPr>
      <w:r>
        <w:rPr>
          <w:rStyle w:val="FootnoteReference"/>
        </w:rPr>
        <w:footnoteRef/>
      </w:r>
      <w:r w:rsidRPr="00355BD2">
        <w:t xml:space="preserve"> Wildhaber et al (n </w:t>
      </w:r>
      <w:r w:rsidR="0047517A">
        <w:t>20</w:t>
      </w:r>
      <w:r w:rsidRPr="00355BD2">
        <w:t xml:space="preserve">) 256-257. </w:t>
      </w:r>
      <w:r>
        <w:t>As the authors point out, the Court may sometimes conveniently rely on research that has been undertaken by the Council of Europe, UN bodies, NGOs – among others.</w:t>
      </w:r>
    </w:p>
  </w:footnote>
  <w:footnote w:id="89">
    <w:p w14:paraId="3B2E3D1C" w14:textId="77777777" w:rsidR="005950CD" w:rsidRDefault="005950CD" w:rsidP="00D25EB6">
      <w:pPr>
        <w:pStyle w:val="FootnoteText"/>
        <w:jc w:val="both"/>
      </w:pPr>
      <w:r>
        <w:rPr>
          <w:rStyle w:val="FootnoteReference"/>
        </w:rPr>
        <w:footnoteRef/>
      </w:r>
      <w:r>
        <w:t xml:space="preserve"> Brems</w:t>
      </w:r>
      <w:r w:rsidR="0047517A">
        <w:t xml:space="preserve"> (n 11</w:t>
      </w:r>
      <w:r w:rsidR="008F20A8">
        <w:t xml:space="preserve">) </w:t>
      </w:r>
      <w:r>
        <w:t>277.</w:t>
      </w:r>
    </w:p>
  </w:footnote>
  <w:footnote w:id="90">
    <w:p w14:paraId="77EB3DED" w14:textId="77777777" w:rsidR="005950CD" w:rsidRDefault="005950CD" w:rsidP="00D25EB6">
      <w:pPr>
        <w:pStyle w:val="FootnoteText"/>
        <w:jc w:val="both"/>
      </w:pPr>
      <w:r>
        <w:rPr>
          <w:rStyle w:val="FootnoteReference"/>
        </w:rPr>
        <w:footnoteRef/>
      </w:r>
      <w:r>
        <w:t xml:space="preserve"> This is not to suggest that methodological difficulties have not been identified. Thus, it has been suggested that </w:t>
      </w:r>
      <w:r w:rsidRPr="00D25EB6">
        <w:t>the ‘interaction between proportionality and the margin of appreciation’ remains unclear</w:t>
      </w:r>
      <w:r>
        <w:t>; see</w:t>
      </w:r>
      <w:r w:rsidRPr="00D25EB6">
        <w:t xml:space="preserve"> </w:t>
      </w:r>
      <w:r w:rsidRPr="00B70F42">
        <w:rPr>
          <w:rFonts w:cs="Times New Roman"/>
        </w:rPr>
        <w:t xml:space="preserve">Jonas Christoffersen, </w:t>
      </w:r>
      <w:r w:rsidRPr="00B70F42">
        <w:rPr>
          <w:rFonts w:cs="Times New Roman"/>
          <w:i/>
        </w:rPr>
        <w:t>Fair balance: proportionality, subsidiarity and primarity in the European Convention on Human Rights</w:t>
      </w:r>
      <w:r w:rsidRPr="00B70F42">
        <w:rPr>
          <w:rFonts w:cs="Times New Roman"/>
        </w:rPr>
        <w:t xml:space="preserve"> (Martinus Nijhoff 2009)</w:t>
      </w:r>
      <w:r>
        <w:rPr>
          <w:rFonts w:cs="Times New Roman"/>
        </w:rPr>
        <w:t xml:space="preserve"> 31.</w:t>
      </w:r>
    </w:p>
  </w:footnote>
  <w:footnote w:id="91">
    <w:p w14:paraId="16B3AD61" w14:textId="77777777" w:rsidR="005950CD" w:rsidRDefault="005950CD" w:rsidP="00B628CB">
      <w:pPr>
        <w:pStyle w:val="FootnoteText"/>
        <w:rPr>
          <w:rFonts w:cs="Times New Roman"/>
        </w:rPr>
      </w:pPr>
      <w:r>
        <w:rPr>
          <w:rStyle w:val="FootnoteReference"/>
        </w:rPr>
        <w:footnoteRef/>
      </w:r>
      <w:r w:rsidR="00843301">
        <w:rPr>
          <w:rFonts w:cs="Times New Roman"/>
        </w:rPr>
        <w:t xml:space="preserve"> Arai-Takahashi (n 11</w:t>
      </w:r>
      <w:r>
        <w:rPr>
          <w:rFonts w:cs="Times New Roman"/>
        </w:rPr>
        <w:t>) 14.</w:t>
      </w:r>
    </w:p>
  </w:footnote>
  <w:footnote w:id="92">
    <w:p w14:paraId="060F1485" w14:textId="77777777" w:rsidR="005950CD" w:rsidRDefault="005950CD" w:rsidP="00265ADE">
      <w:pPr>
        <w:pStyle w:val="FootnoteText"/>
        <w:jc w:val="both"/>
      </w:pPr>
      <w:r>
        <w:rPr>
          <w:rStyle w:val="FootnoteReference"/>
        </w:rPr>
        <w:footnoteRef/>
      </w:r>
      <w:r>
        <w:t xml:space="preserve"> Proportionality is often perceived to consist of a three-step test: whether the measure is suitable to the pursued objective; necessary, in the sense that less restrictive alternatives are not available; and proportionate </w:t>
      </w:r>
      <w:r w:rsidRPr="00265ADE">
        <w:rPr>
          <w:i/>
        </w:rPr>
        <w:t>stricto sensu</w:t>
      </w:r>
      <w:r>
        <w:t>, namely that a proper balance between the individual and public interest has been ac</w:t>
      </w:r>
      <w:r w:rsidR="00843301">
        <w:t>hieved. See Arai-Takahashi (n 11</w:t>
      </w:r>
      <w:r>
        <w:t xml:space="preserve">) 192-193; </w:t>
      </w:r>
      <w:r w:rsidRPr="00265ADE">
        <w:t>Christoffersen</w:t>
      </w:r>
      <w:r w:rsidR="0047517A">
        <w:t xml:space="preserve"> (n 89</w:t>
      </w:r>
      <w:r>
        <w:t xml:space="preserve">) 69-70; Alec Stone Sweet and Jud Mathews, ‘Proportionality balancing and global constitutionalism’ (2008-2009) 47 </w:t>
      </w:r>
      <w:r w:rsidRPr="002E3D92">
        <w:rPr>
          <w:i/>
        </w:rPr>
        <w:t>Columbia Journal of Transnational Law</w:t>
      </w:r>
      <w:r>
        <w:t xml:space="preserve"> 72, at 75-76. For a broader discussion on whether proportionality is suitable for human rights adjudication see, among others, </w:t>
      </w:r>
      <w:r>
        <w:rPr>
          <w:rFonts w:cs="Times New Roman"/>
        </w:rPr>
        <w:t xml:space="preserve">Alison Young, ‘Proportionality is dead: Long live proportionality!’ in Grant Huscroft, Bradley Miller and Grégoire Webber (eds) </w:t>
      </w:r>
      <w:r>
        <w:rPr>
          <w:rFonts w:cs="Times New Roman"/>
          <w:i/>
        </w:rPr>
        <w:t>Proportionality and the rule of law: Rights, justification, reasoning</w:t>
      </w:r>
      <w:r>
        <w:rPr>
          <w:rFonts w:cs="Times New Roman"/>
        </w:rPr>
        <w:t xml:space="preserve"> (Cambridge University Press 2014) 43.</w:t>
      </w:r>
    </w:p>
  </w:footnote>
  <w:footnote w:id="93">
    <w:p w14:paraId="0B92E13A" w14:textId="77777777" w:rsidR="005950CD" w:rsidRDefault="005950CD" w:rsidP="003B1F92">
      <w:pPr>
        <w:pStyle w:val="FootnoteText"/>
        <w:jc w:val="both"/>
      </w:pPr>
      <w:r w:rsidRPr="005932A8">
        <w:rPr>
          <w:rStyle w:val="FootnoteReference"/>
        </w:rPr>
        <w:footnoteRef/>
      </w:r>
      <w:r w:rsidR="00843301">
        <w:t xml:space="preserve"> Arai-Takahashi (n 11</w:t>
      </w:r>
      <w:r w:rsidRPr="005932A8">
        <w:t>)</w:t>
      </w:r>
      <w:r w:rsidR="0047517A">
        <w:t xml:space="preserve"> 193-195; Christofeferssen (n 89</w:t>
      </w:r>
      <w:r w:rsidRPr="005932A8">
        <w:t xml:space="preserve">) 31; Eva Brems and Laurens Lavrysen, ‘“Don’t Use a </w:t>
      </w:r>
      <w:r>
        <w:t xml:space="preserve">Sledgehammer to Crack a Nut”: Less Restrictive Means in the Case Law of the European Court of Human Rights’ (2015) 15 </w:t>
      </w:r>
      <w:r w:rsidRPr="003B1F92">
        <w:rPr>
          <w:i/>
        </w:rPr>
        <w:t>Human Rights Law Review</w:t>
      </w:r>
      <w:r>
        <w:t xml:space="preserve"> 139.</w:t>
      </w:r>
    </w:p>
  </w:footnote>
  <w:footnote w:id="94">
    <w:p w14:paraId="1CD7164F" w14:textId="43098603" w:rsidR="005950CD" w:rsidRDefault="005950CD" w:rsidP="006B29B2">
      <w:pPr>
        <w:pStyle w:val="FootnoteText"/>
        <w:jc w:val="both"/>
      </w:pPr>
      <w:r>
        <w:rPr>
          <w:rStyle w:val="FootnoteReference"/>
        </w:rPr>
        <w:footnoteRef/>
      </w:r>
      <w:r>
        <w:t xml:space="preserve"> See, for example, </w:t>
      </w:r>
      <w:r w:rsidRPr="00677E8F">
        <w:rPr>
          <w:i/>
        </w:rPr>
        <w:t>Odièvre</w:t>
      </w:r>
      <w:r>
        <w:t xml:space="preserve"> v</w:t>
      </w:r>
      <w:r w:rsidRPr="00677E8F">
        <w:t xml:space="preserve"> </w:t>
      </w:r>
      <w:r w:rsidRPr="00677E8F">
        <w:rPr>
          <w:i/>
        </w:rPr>
        <w:t>France</w:t>
      </w:r>
      <w:r w:rsidR="00BE0726">
        <w:rPr>
          <w:i/>
        </w:rPr>
        <w:t xml:space="preserve"> </w:t>
      </w:r>
      <w:r w:rsidR="00BE0726">
        <w:t>(n 18)</w:t>
      </w:r>
      <w:r>
        <w:t xml:space="preserve"> para 40: ‘The boundaries between the State’s positive and negative obligations under Article 8 do not lend themselves to precise definition. The applicable principles are nonetheless similar. In particular, in both instances regard must be had to the fair balance which has to be struck between the competing interests; and in both contexts the State enjoys </w:t>
      </w:r>
      <w:r w:rsidRPr="00E218BC">
        <w:t xml:space="preserve">a certain margin of appreciation’. Similarly, </w:t>
      </w:r>
      <w:r w:rsidR="00BE0726" w:rsidRPr="00AD010A">
        <w:rPr>
          <w:i/>
        </w:rPr>
        <w:t xml:space="preserve">Phinikaridou </w:t>
      </w:r>
      <w:r w:rsidR="00BE0726">
        <w:t xml:space="preserve">v </w:t>
      </w:r>
      <w:r w:rsidR="00BE0726" w:rsidRPr="00AD010A">
        <w:rPr>
          <w:i/>
        </w:rPr>
        <w:t>Cyprus</w:t>
      </w:r>
      <w:r w:rsidR="00BE0726" w:rsidRPr="00E218BC">
        <w:rPr>
          <w:i/>
        </w:rPr>
        <w:t xml:space="preserve"> </w:t>
      </w:r>
      <w:r w:rsidR="00DA3D2E">
        <w:t>(n 73</w:t>
      </w:r>
      <w:r w:rsidRPr="00E218BC">
        <w:t xml:space="preserve">) para 47; </w:t>
      </w:r>
      <w:r w:rsidR="00C46496" w:rsidRPr="00143B3B">
        <w:rPr>
          <w:rFonts w:cs="Times New Roman"/>
          <w:i/>
        </w:rPr>
        <w:t>Dickson</w:t>
      </w:r>
      <w:r w:rsidR="00C46496" w:rsidRPr="00143B3B">
        <w:rPr>
          <w:rFonts w:cs="Times New Roman"/>
        </w:rPr>
        <w:t xml:space="preserve"> v </w:t>
      </w:r>
      <w:r w:rsidR="009565FC" w:rsidRPr="009565FC">
        <w:rPr>
          <w:rFonts w:cs="Times New Roman"/>
          <w:i/>
        </w:rPr>
        <w:t>the</w:t>
      </w:r>
      <w:r w:rsidR="009565FC">
        <w:rPr>
          <w:rFonts w:cs="Times New Roman"/>
        </w:rPr>
        <w:t xml:space="preserve"> </w:t>
      </w:r>
      <w:r w:rsidR="00C46496" w:rsidRPr="00143B3B">
        <w:rPr>
          <w:rFonts w:cs="Times New Roman"/>
          <w:i/>
        </w:rPr>
        <w:t>United Kingdom</w:t>
      </w:r>
      <w:r w:rsidR="00C46496" w:rsidRPr="00E218BC">
        <w:rPr>
          <w:i/>
        </w:rPr>
        <w:t xml:space="preserve"> </w:t>
      </w:r>
      <w:r w:rsidR="00DA3D2E">
        <w:t>(n 69</w:t>
      </w:r>
      <w:r w:rsidRPr="00E218BC">
        <w:t>) paras 70-71</w:t>
      </w:r>
      <w:r w:rsidR="006C5F05">
        <w:t>.</w:t>
      </w:r>
    </w:p>
  </w:footnote>
  <w:footnote w:id="95">
    <w:p w14:paraId="027F9CEF" w14:textId="77777777" w:rsidR="005950CD" w:rsidRDefault="005950CD" w:rsidP="00336827">
      <w:pPr>
        <w:pStyle w:val="FootnoteText"/>
        <w:jc w:val="both"/>
      </w:pPr>
      <w:r>
        <w:rPr>
          <w:rStyle w:val="FootnoteReference"/>
        </w:rPr>
        <w:footnoteRef/>
      </w:r>
      <w:r>
        <w:t xml:space="preserve"> </w:t>
      </w:r>
      <w:r w:rsidRPr="00336827">
        <w:rPr>
          <w:i/>
        </w:rPr>
        <w:t>Vallianatos and Others</w:t>
      </w:r>
      <w:r>
        <w:t xml:space="preserve"> v </w:t>
      </w:r>
      <w:r w:rsidRPr="00336827">
        <w:rPr>
          <w:i/>
        </w:rPr>
        <w:t>Greece</w:t>
      </w:r>
      <w:r>
        <w:t xml:space="preserve">, Applications </w:t>
      </w:r>
      <w:r w:rsidRPr="00336827">
        <w:t>29381/09 and 32684/09</w:t>
      </w:r>
      <w:r>
        <w:t>, 7 November 2013, para 76. The Court reiterated that ‘</w:t>
      </w:r>
      <w:r w:rsidRPr="00336827">
        <w:t>just like differences based on sex, differences based</w:t>
      </w:r>
      <w:r>
        <w:t xml:space="preserve"> on sexual orientation require “</w:t>
      </w:r>
      <w:r w:rsidRPr="00336827">
        <w:t>particularly</w:t>
      </w:r>
      <w:r>
        <w:t xml:space="preserve"> convincing and weighty reasons”</w:t>
      </w:r>
      <w:r w:rsidRPr="00336827">
        <w:t xml:space="preserve"> by way of justification</w:t>
      </w:r>
      <w:r>
        <w:t xml:space="preserve">’ (para 77). See also </w:t>
      </w:r>
      <w:r w:rsidRPr="00336827">
        <w:rPr>
          <w:i/>
        </w:rPr>
        <w:t>Ünal Tekeli</w:t>
      </w:r>
      <w:r w:rsidRPr="00336827">
        <w:t xml:space="preserve"> v </w:t>
      </w:r>
      <w:r w:rsidRPr="00336827">
        <w:rPr>
          <w:i/>
        </w:rPr>
        <w:t>Turkey</w:t>
      </w:r>
      <w:r>
        <w:t xml:space="preserve">, Application </w:t>
      </w:r>
      <w:r w:rsidRPr="00336827">
        <w:t>29865/96</w:t>
      </w:r>
      <w:r>
        <w:t>, 16 November 2004, paras 50-53 – among others. Moreover, the Court has clarified that ‘</w:t>
      </w:r>
      <w:r w:rsidRPr="00E12E29">
        <w:t>no difference in treatment which is based exclusively or to a decisive</w:t>
      </w:r>
      <w:r>
        <w:t xml:space="preserve"> extent on a person’</w:t>
      </w:r>
      <w:r w:rsidRPr="00E12E29">
        <w:t>s ethnic origin is capable of being objectively justified in a contemporary democratic society</w:t>
      </w:r>
      <w:r>
        <w:t xml:space="preserve">’; see the seminal judgment </w:t>
      </w:r>
      <w:r w:rsidRPr="00E12E29">
        <w:rPr>
          <w:i/>
        </w:rPr>
        <w:t>D.H. and Others</w:t>
      </w:r>
      <w:r>
        <w:t xml:space="preserve"> v </w:t>
      </w:r>
      <w:r w:rsidRPr="00E12E29">
        <w:rPr>
          <w:i/>
        </w:rPr>
        <w:t>Czech Republic</w:t>
      </w:r>
      <w:r>
        <w:t xml:space="preserve">, </w:t>
      </w:r>
      <w:r>
        <w:rPr>
          <w:rFonts w:eastAsia="Times New Roman" w:cs="Times New Roman"/>
          <w:color w:val="000000"/>
          <w:lang w:val="en-US" w:eastAsia="en-GB"/>
        </w:rPr>
        <w:t xml:space="preserve">Application 57325/00, 13 November 2007, </w:t>
      </w:r>
      <w:r>
        <w:t>para 176.</w:t>
      </w:r>
    </w:p>
  </w:footnote>
  <w:footnote w:id="96">
    <w:p w14:paraId="74B43431" w14:textId="06E038F6" w:rsidR="005950CD" w:rsidRPr="00B1145F" w:rsidRDefault="005950CD" w:rsidP="007E41B3">
      <w:pPr>
        <w:pStyle w:val="FootnoteText"/>
        <w:jc w:val="both"/>
      </w:pPr>
      <w:r w:rsidRPr="002D053F">
        <w:rPr>
          <w:rStyle w:val="FootnoteReference"/>
        </w:rPr>
        <w:footnoteRef/>
      </w:r>
      <w:r w:rsidRPr="002D053F">
        <w:t xml:space="preserve"> See, for example: </w:t>
      </w:r>
      <w:r w:rsidRPr="00BE772D">
        <w:rPr>
          <w:i/>
        </w:rPr>
        <w:t>A, B and C</w:t>
      </w:r>
      <w:r>
        <w:t xml:space="preserve"> v </w:t>
      </w:r>
      <w:r w:rsidRPr="00BE772D">
        <w:rPr>
          <w:i/>
        </w:rPr>
        <w:t>Ireland</w:t>
      </w:r>
      <w:r w:rsidR="0047517A">
        <w:t xml:space="preserve"> (n 37</w:t>
      </w:r>
      <w:r>
        <w:t xml:space="preserve">) paras 235-236; </w:t>
      </w:r>
      <w:r w:rsidRPr="007E41B3">
        <w:rPr>
          <w:i/>
        </w:rPr>
        <w:t>Bayev and Others</w:t>
      </w:r>
      <w:r>
        <w:t xml:space="preserve"> v </w:t>
      </w:r>
      <w:r w:rsidRPr="007E41B3">
        <w:rPr>
          <w:i/>
        </w:rPr>
        <w:t>Russia</w:t>
      </w:r>
      <w:r>
        <w:t xml:space="preserve">, Applications </w:t>
      </w:r>
      <w:r w:rsidRPr="007E41B3">
        <w:t>67667/09 and 2 others</w:t>
      </w:r>
      <w:r>
        <w:t xml:space="preserve">, 20 June 2017, para 66; </w:t>
      </w:r>
      <w:r w:rsidRPr="00734C34">
        <w:rPr>
          <w:i/>
        </w:rPr>
        <w:t>Berkovich and Others</w:t>
      </w:r>
      <w:r>
        <w:t xml:space="preserve"> v </w:t>
      </w:r>
      <w:r w:rsidRPr="00734C34">
        <w:rPr>
          <w:i/>
        </w:rPr>
        <w:t>Russia</w:t>
      </w:r>
      <w:r>
        <w:t xml:space="preserve">, Applications </w:t>
      </w:r>
      <w:r w:rsidRPr="00D92194">
        <w:t>5871/07 and 9 others</w:t>
      </w:r>
      <w:r>
        <w:t xml:space="preserve">, 27 March 2018, para 98; </w:t>
      </w:r>
      <w:r w:rsidRPr="007C03A9">
        <w:rPr>
          <w:i/>
        </w:rPr>
        <w:t>Chapman</w:t>
      </w:r>
      <w:r>
        <w:t xml:space="preserve"> v </w:t>
      </w:r>
      <w:r w:rsidRPr="007C03A9">
        <w:rPr>
          <w:i/>
        </w:rPr>
        <w:t>the United Kingdom</w:t>
      </w:r>
      <w:r>
        <w:t xml:space="preserve">, </w:t>
      </w:r>
      <w:r w:rsidRPr="007C03A9">
        <w:t>Application 27238/95</w:t>
      </w:r>
      <w:r>
        <w:t xml:space="preserve">, </w:t>
      </w:r>
      <w:r w:rsidRPr="007C03A9">
        <w:t>18 January 2001</w:t>
      </w:r>
      <w:r>
        <w:t xml:space="preserve">, paras 90-94; </w:t>
      </w:r>
      <w:r>
        <w:rPr>
          <w:i/>
        </w:rPr>
        <w:t>Demir and Baykara</w:t>
      </w:r>
      <w:r>
        <w:t xml:space="preserve"> v </w:t>
      </w:r>
      <w:r>
        <w:rPr>
          <w:i/>
        </w:rPr>
        <w:t>Turkey</w:t>
      </w:r>
      <w:r>
        <w:t>, Application 34503/97,</w:t>
      </w:r>
      <w:r w:rsidR="007711EA">
        <w:t xml:space="preserve"> </w:t>
      </w:r>
      <w:r>
        <w:t>12 November 2008, para 122;</w:t>
      </w:r>
      <w:r w:rsidRPr="0030790E">
        <w:rPr>
          <w:i/>
        </w:rPr>
        <w:t xml:space="preserve"> </w:t>
      </w:r>
      <w:r>
        <w:rPr>
          <w:i/>
        </w:rPr>
        <w:t>Dudgeon</w:t>
      </w:r>
      <w:r>
        <w:t xml:space="preserve"> v </w:t>
      </w:r>
      <w:r>
        <w:rPr>
          <w:i/>
        </w:rPr>
        <w:t>the United Kingdom</w:t>
      </w:r>
      <w:r>
        <w:t xml:space="preserve">, Application 7525/76, 22 October 1981, para 60; </w:t>
      </w:r>
      <w:r w:rsidRPr="0020626A">
        <w:rPr>
          <w:i/>
        </w:rPr>
        <w:t>Egeland and Hanseid</w:t>
      </w:r>
      <w:r>
        <w:t xml:space="preserve"> v </w:t>
      </w:r>
      <w:r w:rsidRPr="0020626A">
        <w:rPr>
          <w:i/>
        </w:rPr>
        <w:t>Norway</w:t>
      </w:r>
      <w:r w:rsidR="00381339">
        <w:t xml:space="preserve"> (n 24)</w:t>
      </w:r>
      <w:r>
        <w:t xml:space="preserve"> para 54; </w:t>
      </w:r>
      <w:r w:rsidRPr="009B00DB">
        <w:rPr>
          <w:i/>
        </w:rPr>
        <w:t>Hamidović</w:t>
      </w:r>
      <w:r>
        <w:t xml:space="preserve"> v</w:t>
      </w:r>
      <w:r w:rsidRPr="009B00DB">
        <w:t xml:space="preserve"> </w:t>
      </w:r>
      <w:r w:rsidRPr="009B00DB">
        <w:rPr>
          <w:i/>
        </w:rPr>
        <w:t>Bosnia and Herzegovina</w:t>
      </w:r>
      <w:r>
        <w:t xml:space="preserve">, </w:t>
      </w:r>
      <w:r w:rsidRPr="009B00DB">
        <w:t>Application no. 57792/15</w:t>
      </w:r>
      <w:r>
        <w:t xml:space="preserve">, 5 December 2017, paras 36-38; </w:t>
      </w:r>
      <w:r>
        <w:rPr>
          <w:i/>
        </w:rPr>
        <w:t>Lee</w:t>
      </w:r>
      <w:r>
        <w:t xml:space="preserve"> v </w:t>
      </w:r>
      <w:r>
        <w:rPr>
          <w:i/>
        </w:rPr>
        <w:t>the United Kingdom</w:t>
      </w:r>
      <w:r>
        <w:t xml:space="preserve">, Application 25289/94, 18 January 2001, paras 95-96; </w:t>
      </w:r>
      <w:r w:rsidRPr="008679A9">
        <w:rPr>
          <w:i/>
        </w:rPr>
        <w:t>Paradiso and Campanelli</w:t>
      </w:r>
      <w:r>
        <w:t xml:space="preserve"> v </w:t>
      </w:r>
      <w:r w:rsidRPr="008679A9">
        <w:rPr>
          <w:i/>
        </w:rPr>
        <w:t>Italy</w:t>
      </w:r>
      <w:r>
        <w:t xml:space="preserve">, Application </w:t>
      </w:r>
      <w:r w:rsidRPr="008679A9">
        <w:t>25358/12</w:t>
      </w:r>
      <w:r>
        <w:t>, 24 January 2017,</w:t>
      </w:r>
      <w:r w:rsidRPr="008679A9">
        <w:t xml:space="preserve"> </w:t>
      </w:r>
      <w:r>
        <w:t xml:space="preserve">para 203; </w:t>
      </w:r>
      <w:r w:rsidRPr="008B6458">
        <w:rPr>
          <w:i/>
        </w:rPr>
        <w:t>Parrillo</w:t>
      </w:r>
      <w:r>
        <w:t xml:space="preserve"> v </w:t>
      </w:r>
      <w:r w:rsidRPr="008B6458">
        <w:rPr>
          <w:i/>
        </w:rPr>
        <w:t>Italy</w:t>
      </w:r>
      <w:r>
        <w:t xml:space="preserve">, </w:t>
      </w:r>
      <w:r w:rsidRPr="008B6458">
        <w:t>Application 46470/11</w:t>
      </w:r>
      <w:r>
        <w:t xml:space="preserve">, </w:t>
      </w:r>
      <w:r w:rsidRPr="008B6458">
        <w:t>27 August 2015</w:t>
      </w:r>
      <w:r>
        <w:t>,</w:t>
      </w:r>
      <w:r w:rsidRPr="008B6458">
        <w:t xml:space="preserve"> </w:t>
      </w:r>
      <w:r>
        <w:t xml:space="preserve">para 176; </w:t>
      </w:r>
      <w:r w:rsidRPr="003B6CC4">
        <w:rPr>
          <w:i/>
        </w:rPr>
        <w:t xml:space="preserve">Perinçek </w:t>
      </w:r>
      <w:r w:rsidRPr="003B6CC4">
        <w:t xml:space="preserve">v </w:t>
      </w:r>
      <w:r>
        <w:rPr>
          <w:i/>
        </w:rPr>
        <w:t>Switzerland</w:t>
      </w:r>
      <w:r w:rsidR="000631C0">
        <w:t xml:space="preserve"> (n 84</w:t>
      </w:r>
      <w:r>
        <w:t xml:space="preserve">) paras 255-257; </w:t>
      </w:r>
      <w:r w:rsidR="00954365" w:rsidRPr="004C341F">
        <w:rPr>
          <w:i/>
        </w:rPr>
        <w:t>(RMT)</w:t>
      </w:r>
      <w:r w:rsidR="00954365" w:rsidRPr="004C341F">
        <w:t xml:space="preserve"> v </w:t>
      </w:r>
      <w:r w:rsidR="00954365" w:rsidRPr="004C341F">
        <w:rPr>
          <w:i/>
        </w:rPr>
        <w:t>the United Kingdom</w:t>
      </w:r>
      <w:r w:rsidR="00954365">
        <w:t xml:space="preserve"> (n 48) para 98; </w:t>
      </w:r>
      <w:r w:rsidRPr="00225149">
        <w:rPr>
          <w:i/>
        </w:rPr>
        <w:t>S. and Marper</w:t>
      </w:r>
      <w:r w:rsidRPr="00225149">
        <w:t xml:space="preserve"> v </w:t>
      </w:r>
      <w:r w:rsidRPr="00225149">
        <w:rPr>
          <w:i/>
        </w:rPr>
        <w:t>the United Kingdom</w:t>
      </w:r>
      <w:r w:rsidR="0047517A">
        <w:t xml:space="preserve"> (n 85</w:t>
      </w:r>
      <w:r>
        <w:t xml:space="preserve">), para 112; </w:t>
      </w:r>
      <w:r w:rsidRPr="00685A57">
        <w:rPr>
          <w:i/>
        </w:rPr>
        <w:t>S.A.S.</w:t>
      </w:r>
      <w:r>
        <w:t xml:space="preserve"> v</w:t>
      </w:r>
      <w:r w:rsidRPr="00685A57">
        <w:t xml:space="preserve"> </w:t>
      </w:r>
      <w:r w:rsidRPr="00685A57">
        <w:rPr>
          <w:i/>
        </w:rPr>
        <w:t>France</w:t>
      </w:r>
      <w:r>
        <w:t xml:space="preserve">, Application </w:t>
      </w:r>
      <w:r w:rsidRPr="00685A57">
        <w:t>43835/11</w:t>
      </w:r>
      <w:r>
        <w:t>, 1 July 2014,</w:t>
      </w:r>
      <w:r w:rsidRPr="00685A57">
        <w:t xml:space="preserve"> </w:t>
      </w:r>
      <w:r>
        <w:t xml:space="preserve">para 156; </w:t>
      </w:r>
      <w:r w:rsidRPr="00CF4A88">
        <w:rPr>
          <w:i/>
        </w:rPr>
        <w:t>S.H. and Others</w:t>
      </w:r>
      <w:r>
        <w:t xml:space="preserve"> v </w:t>
      </w:r>
      <w:r w:rsidRPr="00CF4A88">
        <w:rPr>
          <w:i/>
        </w:rPr>
        <w:t>Austria</w:t>
      </w:r>
      <w:r w:rsidR="0047517A">
        <w:t xml:space="preserve"> (n 18</w:t>
      </w:r>
      <w:r>
        <w:t xml:space="preserve">) paras 95-96; </w:t>
      </w:r>
      <w:r w:rsidR="00954365" w:rsidRPr="00502A67">
        <w:rPr>
          <w:i/>
        </w:rPr>
        <w:t>Tănase</w:t>
      </w:r>
      <w:r w:rsidR="00954365" w:rsidRPr="00502A67">
        <w:t xml:space="preserve"> v </w:t>
      </w:r>
      <w:r w:rsidR="00954365" w:rsidRPr="00502A67">
        <w:rPr>
          <w:i/>
        </w:rPr>
        <w:t>Moldova</w:t>
      </w:r>
      <w:r w:rsidR="00954365" w:rsidRPr="00502A67">
        <w:t>, Application 7/08, 27 April 2010, para 172.</w:t>
      </w:r>
    </w:p>
  </w:footnote>
  <w:footnote w:id="97">
    <w:p w14:paraId="404344EC" w14:textId="79075EBF" w:rsidR="005950CD" w:rsidRDefault="005950CD" w:rsidP="00901B1B">
      <w:pPr>
        <w:pStyle w:val="FootnoteText"/>
        <w:jc w:val="both"/>
      </w:pPr>
      <w:r>
        <w:rPr>
          <w:rStyle w:val="FootnoteReference"/>
        </w:rPr>
        <w:footnoteRef/>
      </w:r>
      <w:r>
        <w:t xml:space="preserve"> Alain Zysset, ‘Searching for the legitimacy of the European Court of Human Rights: The neglected role of “democratic society”’ (2016) 5 </w:t>
      </w:r>
      <w:r>
        <w:rPr>
          <w:i/>
        </w:rPr>
        <w:t>Global Constitutionalism</w:t>
      </w:r>
      <w:r>
        <w:t xml:space="preserve"> 16, at 23.</w:t>
      </w:r>
      <w:r w:rsidRPr="006A7C7E">
        <w:t xml:space="preserve"> </w:t>
      </w:r>
      <w:r>
        <w:t xml:space="preserve">The Court has time and again stated that ‘necessary in a democratic society’ means that ‘the interference complained of corresponded to a “pressing social need”, that the reasons given by the national authorities to justify it were relevant and sufficient and that it was proportionate to the legitimate aim pursued’; see </w:t>
      </w:r>
      <w:r w:rsidR="0050496C" w:rsidRPr="0050496C">
        <w:rPr>
          <w:i/>
        </w:rPr>
        <w:t>(RMT)</w:t>
      </w:r>
      <w:r w:rsidR="0050496C" w:rsidRPr="0050496C">
        <w:t xml:space="preserve"> v </w:t>
      </w:r>
      <w:r w:rsidR="0050496C" w:rsidRPr="0050496C">
        <w:rPr>
          <w:i/>
        </w:rPr>
        <w:t>the United Kingdom</w:t>
      </w:r>
      <w:r w:rsidR="0050496C" w:rsidRPr="0050496C">
        <w:t xml:space="preserve"> </w:t>
      </w:r>
      <w:r w:rsidR="0047517A">
        <w:t>(n 48</w:t>
      </w:r>
      <w:r>
        <w:t xml:space="preserve">) para 83; </w:t>
      </w:r>
      <w:r w:rsidRPr="0020626A">
        <w:rPr>
          <w:i/>
        </w:rPr>
        <w:t>Egeland and Hanseid</w:t>
      </w:r>
      <w:r>
        <w:t xml:space="preserve"> v </w:t>
      </w:r>
      <w:r w:rsidRPr="0020626A">
        <w:rPr>
          <w:i/>
        </w:rPr>
        <w:t>Norway</w:t>
      </w:r>
      <w:r w:rsidR="00381339">
        <w:t xml:space="preserve"> (n 24</w:t>
      </w:r>
      <w:r>
        <w:t>) para 48 – among others.</w:t>
      </w:r>
    </w:p>
  </w:footnote>
  <w:footnote w:id="98">
    <w:p w14:paraId="6FB7EBB8" w14:textId="77777777" w:rsidR="005950CD" w:rsidRPr="00A64ED4" w:rsidRDefault="005950CD" w:rsidP="000F4ADD">
      <w:pPr>
        <w:pStyle w:val="FootnoteText"/>
        <w:jc w:val="both"/>
      </w:pPr>
      <w:r>
        <w:rPr>
          <w:rStyle w:val="FootnoteReference"/>
        </w:rPr>
        <w:footnoteRef/>
      </w:r>
      <w:r w:rsidRPr="00A64ED4">
        <w:t xml:space="preserve"> </w:t>
      </w:r>
      <w:r w:rsidRPr="00A64ED4">
        <w:rPr>
          <w:i/>
        </w:rPr>
        <w:t>Goodwin</w:t>
      </w:r>
      <w:r w:rsidR="0047517A">
        <w:t xml:space="preserve"> </w:t>
      </w:r>
      <w:r w:rsidR="000F4ADD">
        <w:t xml:space="preserve">v </w:t>
      </w:r>
      <w:r w:rsidR="000F4ADD" w:rsidRPr="000F4ADD">
        <w:rPr>
          <w:i/>
        </w:rPr>
        <w:t>the United Kingdom</w:t>
      </w:r>
      <w:r w:rsidR="000F4ADD">
        <w:t xml:space="preserve"> </w:t>
      </w:r>
      <w:r w:rsidR="0047517A">
        <w:t>(n 56</w:t>
      </w:r>
      <w:r w:rsidRPr="00A64ED4">
        <w:t xml:space="preserve">) paras 84-85; </w:t>
      </w:r>
      <w:r w:rsidRPr="00A64ED4">
        <w:rPr>
          <w:i/>
        </w:rPr>
        <w:t>Hämäläinen</w:t>
      </w:r>
      <w:r w:rsidRPr="00A64ED4">
        <w:t xml:space="preserve"> v </w:t>
      </w:r>
      <w:r w:rsidRPr="00A64ED4">
        <w:rPr>
          <w:i/>
        </w:rPr>
        <w:t>Finland</w:t>
      </w:r>
      <w:r w:rsidRPr="00A64ED4">
        <w:t>, Application 37359/09, 16 July 2014, paras 72-75</w:t>
      </w:r>
      <w:r w:rsidR="0047517A">
        <w:t>.</w:t>
      </w:r>
    </w:p>
  </w:footnote>
  <w:footnote w:id="99">
    <w:p w14:paraId="7DDAF7D0" w14:textId="77777777" w:rsidR="005950CD" w:rsidRPr="00A64ED4" w:rsidRDefault="005950CD" w:rsidP="00DC1101">
      <w:pPr>
        <w:pStyle w:val="FootnoteText"/>
        <w:jc w:val="both"/>
      </w:pPr>
      <w:r w:rsidRPr="00FF1922">
        <w:rPr>
          <w:rStyle w:val="FootnoteReference"/>
        </w:rPr>
        <w:footnoteRef/>
      </w:r>
      <w:r w:rsidRPr="00A64ED4">
        <w:t xml:space="preserve"> </w:t>
      </w:r>
      <w:r w:rsidR="00C46496" w:rsidRPr="00143B3B">
        <w:rPr>
          <w:rFonts w:cs="Times New Roman"/>
          <w:i/>
        </w:rPr>
        <w:t>Dickson</w:t>
      </w:r>
      <w:r w:rsidR="00C46496" w:rsidRPr="00143B3B">
        <w:rPr>
          <w:rFonts w:cs="Times New Roman"/>
        </w:rPr>
        <w:t xml:space="preserve"> v </w:t>
      </w:r>
      <w:r w:rsidR="000F4ADD" w:rsidRPr="000F4ADD">
        <w:rPr>
          <w:rFonts w:cs="Times New Roman"/>
          <w:i/>
        </w:rPr>
        <w:t>the</w:t>
      </w:r>
      <w:r w:rsidR="000F4ADD">
        <w:rPr>
          <w:rFonts w:cs="Times New Roman"/>
        </w:rPr>
        <w:t xml:space="preserve"> </w:t>
      </w:r>
      <w:r w:rsidR="00C46496" w:rsidRPr="00143B3B">
        <w:rPr>
          <w:rFonts w:cs="Times New Roman"/>
          <w:i/>
        </w:rPr>
        <w:t>United Kingdom</w:t>
      </w:r>
      <w:r w:rsidR="00C46496" w:rsidRPr="00A64ED4">
        <w:rPr>
          <w:i/>
        </w:rPr>
        <w:t xml:space="preserve"> </w:t>
      </w:r>
      <w:r w:rsidRPr="00A64ED4">
        <w:t>(n 6</w:t>
      </w:r>
      <w:r w:rsidR="00DA3D2E">
        <w:t>9</w:t>
      </w:r>
      <w:r w:rsidRPr="00A64ED4">
        <w:t xml:space="preserve">) paras 77-82; </w:t>
      </w:r>
      <w:r w:rsidR="00E8398D" w:rsidRPr="004D28DF">
        <w:rPr>
          <w:i/>
        </w:rPr>
        <w:t>Evans</w:t>
      </w:r>
      <w:r w:rsidR="00E8398D" w:rsidRPr="004D28DF">
        <w:t xml:space="preserve"> v </w:t>
      </w:r>
      <w:r w:rsidR="00E8398D" w:rsidRPr="004D28DF">
        <w:rPr>
          <w:i/>
        </w:rPr>
        <w:t>the United Kingdom</w:t>
      </w:r>
      <w:r w:rsidR="00E8398D" w:rsidRPr="00A64ED4">
        <w:rPr>
          <w:i/>
        </w:rPr>
        <w:t xml:space="preserve"> </w:t>
      </w:r>
      <w:r w:rsidR="0047517A">
        <w:t>(n 85</w:t>
      </w:r>
      <w:r w:rsidRPr="00A64ED4">
        <w:t xml:space="preserve">) paras 90-92; </w:t>
      </w:r>
      <w:r w:rsidRPr="00A64ED4">
        <w:rPr>
          <w:i/>
        </w:rPr>
        <w:t>Odièvre</w:t>
      </w:r>
      <w:r w:rsidRPr="00A64ED4">
        <w:t xml:space="preserve"> v </w:t>
      </w:r>
      <w:r w:rsidRPr="00A64ED4">
        <w:rPr>
          <w:i/>
        </w:rPr>
        <w:t>France</w:t>
      </w:r>
      <w:r w:rsidR="00BE0726">
        <w:t xml:space="preserve"> (n 18</w:t>
      </w:r>
      <w:r w:rsidRPr="00A64ED4">
        <w:t xml:space="preserve">) para 47; </w:t>
      </w:r>
      <w:r w:rsidR="00BE0726" w:rsidRPr="00A12754">
        <w:rPr>
          <w:rFonts w:cs="Times New Roman"/>
          <w:i/>
        </w:rPr>
        <w:t>Oliari and Others</w:t>
      </w:r>
      <w:r w:rsidR="00BE0726">
        <w:rPr>
          <w:rFonts w:cs="Times New Roman"/>
        </w:rPr>
        <w:t xml:space="preserve"> v </w:t>
      </w:r>
      <w:r w:rsidR="00BE0726" w:rsidRPr="00A12754">
        <w:rPr>
          <w:rFonts w:cs="Times New Roman"/>
          <w:i/>
        </w:rPr>
        <w:t>Italy</w:t>
      </w:r>
      <w:r w:rsidR="00BE0726" w:rsidRPr="00A64ED4">
        <w:rPr>
          <w:i/>
        </w:rPr>
        <w:t xml:space="preserve"> </w:t>
      </w:r>
      <w:r w:rsidR="0047517A">
        <w:t>(n 29</w:t>
      </w:r>
      <w:r w:rsidRPr="00A64ED4">
        <w:t xml:space="preserve">) para 178; </w:t>
      </w:r>
      <w:r w:rsidR="00BE0726" w:rsidRPr="00AD010A">
        <w:rPr>
          <w:i/>
        </w:rPr>
        <w:t xml:space="preserve">Phinikaridou </w:t>
      </w:r>
      <w:r w:rsidR="00BE0726">
        <w:t xml:space="preserve">v </w:t>
      </w:r>
      <w:r w:rsidR="00BE0726" w:rsidRPr="00AD010A">
        <w:rPr>
          <w:i/>
        </w:rPr>
        <w:t>Cyprus</w:t>
      </w:r>
      <w:r w:rsidR="00BE0726" w:rsidRPr="00A64ED4">
        <w:rPr>
          <w:i/>
        </w:rPr>
        <w:t xml:space="preserve"> </w:t>
      </w:r>
      <w:r w:rsidR="00DA3D2E">
        <w:t>(n 73</w:t>
      </w:r>
      <w:r w:rsidRPr="00A64ED4">
        <w:t xml:space="preserve">) paras 58-59; </w:t>
      </w:r>
      <w:r w:rsidRPr="00A64ED4">
        <w:rPr>
          <w:i/>
        </w:rPr>
        <w:t>X, Y and Z</w:t>
      </w:r>
      <w:r w:rsidRPr="00A64ED4">
        <w:t xml:space="preserve"> v </w:t>
      </w:r>
      <w:r w:rsidRPr="00A64ED4">
        <w:rPr>
          <w:i/>
        </w:rPr>
        <w:t xml:space="preserve">the United Kingdom </w:t>
      </w:r>
      <w:r w:rsidR="0047517A">
        <w:t>(n 85) para 52.</w:t>
      </w:r>
    </w:p>
  </w:footnote>
  <w:footnote w:id="100">
    <w:p w14:paraId="5461DE12" w14:textId="77777777" w:rsidR="005950CD" w:rsidRPr="008A2DEE" w:rsidRDefault="005950CD" w:rsidP="00C85A87">
      <w:pPr>
        <w:pStyle w:val="FootnoteText"/>
        <w:jc w:val="both"/>
      </w:pPr>
      <w:r>
        <w:rPr>
          <w:rStyle w:val="FootnoteReference"/>
        </w:rPr>
        <w:footnoteRef/>
      </w:r>
      <w:r>
        <w:t xml:space="preserve"> As Mowbray observed, the test has been employed ‘as a basis for assessing the proportionality of respondent States’ interferences with the Convention rights of applicants and for determining when States are subject to implied positive obligations under the Convention’; see Alastair Mowbray, </w:t>
      </w:r>
      <w:r>
        <w:rPr>
          <w:rFonts w:cs="Times New Roman"/>
        </w:rPr>
        <w:t xml:space="preserve">‘A study of the principle of fair balance in the jurisprudence of the European Court of Human Rights’ (2010) 10 </w:t>
      </w:r>
      <w:r>
        <w:rPr>
          <w:rFonts w:cs="Times New Roman"/>
          <w:i/>
        </w:rPr>
        <w:t>Human Rights Law Review</w:t>
      </w:r>
      <w:r>
        <w:rPr>
          <w:rFonts w:cs="Times New Roman"/>
        </w:rPr>
        <w:t xml:space="preserve"> 289, </w:t>
      </w:r>
      <w:r>
        <w:t>at 315.</w:t>
      </w:r>
    </w:p>
  </w:footnote>
  <w:footnote w:id="101">
    <w:p w14:paraId="49914DF4" w14:textId="77777777" w:rsidR="005950CD" w:rsidRPr="00DE0E0B" w:rsidRDefault="005950CD" w:rsidP="002D053F">
      <w:pPr>
        <w:pStyle w:val="FootnoteText"/>
        <w:jc w:val="both"/>
      </w:pPr>
      <w:r>
        <w:rPr>
          <w:rStyle w:val="FootnoteReference"/>
        </w:rPr>
        <w:footnoteRef/>
      </w:r>
      <w:r w:rsidRPr="00DE0E0B">
        <w:t xml:space="preserve"> See, for example: </w:t>
      </w:r>
      <w:r w:rsidR="00C46496" w:rsidRPr="00336827">
        <w:rPr>
          <w:i/>
        </w:rPr>
        <w:t>Ünal Tekeli</w:t>
      </w:r>
      <w:r w:rsidR="00C46496" w:rsidRPr="00336827">
        <w:t xml:space="preserve"> v </w:t>
      </w:r>
      <w:r w:rsidR="00C46496" w:rsidRPr="00336827">
        <w:rPr>
          <w:i/>
        </w:rPr>
        <w:t>Turkey</w:t>
      </w:r>
      <w:r w:rsidR="00C46496" w:rsidRPr="00DE0E0B">
        <w:rPr>
          <w:i/>
        </w:rPr>
        <w:t xml:space="preserve"> </w:t>
      </w:r>
      <w:r w:rsidR="003270D5">
        <w:t>(n 94</w:t>
      </w:r>
      <w:r w:rsidRPr="00DE0E0B">
        <w:t xml:space="preserve">) para 61; </w:t>
      </w:r>
      <w:r w:rsidRPr="00DE0E0B">
        <w:rPr>
          <w:i/>
        </w:rPr>
        <w:t>Rasmussen</w:t>
      </w:r>
      <w:r w:rsidRPr="00DE0E0B">
        <w:t xml:space="preserve"> v </w:t>
      </w:r>
      <w:r w:rsidRPr="00DE0E0B">
        <w:rPr>
          <w:i/>
        </w:rPr>
        <w:t>Denmark</w:t>
      </w:r>
      <w:r w:rsidRPr="00DE0E0B">
        <w:t xml:space="preserve">, Application 8777/79, 28 November 1984, para 41; </w:t>
      </w:r>
      <w:r w:rsidRPr="00DE0E0B">
        <w:rPr>
          <w:i/>
        </w:rPr>
        <w:t>Fretté</w:t>
      </w:r>
      <w:r w:rsidRPr="00DE0E0B">
        <w:t xml:space="preserve"> v </w:t>
      </w:r>
      <w:r w:rsidRPr="00DE0E0B">
        <w:rPr>
          <w:i/>
        </w:rPr>
        <w:t>France</w:t>
      </w:r>
      <w:r w:rsidRPr="00DE0E0B">
        <w:t xml:space="preserve">, Application 36515/97, 26 February 2002, para 41; </w:t>
      </w:r>
      <w:r w:rsidRPr="00DE0E0B">
        <w:rPr>
          <w:i/>
        </w:rPr>
        <w:t>Khamtokhu and Aksenchik</w:t>
      </w:r>
      <w:r w:rsidR="003270D5">
        <w:t xml:space="preserve"> </w:t>
      </w:r>
      <w:r w:rsidR="00C46496">
        <w:t xml:space="preserve">v </w:t>
      </w:r>
      <w:r w:rsidR="00C46496" w:rsidRPr="00C46496">
        <w:rPr>
          <w:i/>
        </w:rPr>
        <w:t>Russia</w:t>
      </w:r>
      <w:r w:rsidR="00C46496">
        <w:t xml:space="preserve"> </w:t>
      </w:r>
      <w:r w:rsidR="003270D5">
        <w:t>(n 85</w:t>
      </w:r>
      <w:r w:rsidRPr="00DE0E0B">
        <w:t xml:space="preserve">) paras 83-88; </w:t>
      </w:r>
      <w:r w:rsidRPr="00DE0E0B">
        <w:rPr>
          <w:i/>
        </w:rPr>
        <w:t>Marckx</w:t>
      </w:r>
      <w:r w:rsidRPr="00DE0E0B">
        <w:t xml:space="preserve"> v </w:t>
      </w:r>
      <w:r w:rsidRPr="00DE0E0B">
        <w:rPr>
          <w:i/>
        </w:rPr>
        <w:t>Belgium</w:t>
      </w:r>
      <w:r w:rsidRPr="00DE0E0B">
        <w:t xml:space="preserve">, Application 6833/74, 13 June 1979, para 41; </w:t>
      </w:r>
      <w:r w:rsidRPr="00DE0E0B">
        <w:rPr>
          <w:i/>
        </w:rPr>
        <w:t>Petrovic</w:t>
      </w:r>
      <w:r w:rsidRPr="00DE0E0B">
        <w:t xml:space="preserve"> v. </w:t>
      </w:r>
      <w:r w:rsidRPr="00DE0E0B">
        <w:rPr>
          <w:i/>
        </w:rPr>
        <w:t>Austria</w:t>
      </w:r>
      <w:r w:rsidRPr="00DE0E0B">
        <w:t xml:space="preserve"> </w:t>
      </w:r>
      <w:r w:rsidR="009109A1">
        <w:t xml:space="preserve">(n 85) </w:t>
      </w:r>
      <w:r w:rsidRPr="00DE0E0B">
        <w:t xml:space="preserve">para 42; </w:t>
      </w:r>
      <w:r w:rsidRPr="00DE0E0B">
        <w:rPr>
          <w:i/>
        </w:rPr>
        <w:t>Vallianatos and Others</w:t>
      </w:r>
      <w:r w:rsidRPr="00DE0E0B">
        <w:t xml:space="preserve"> v </w:t>
      </w:r>
      <w:r w:rsidRPr="00DE0E0B">
        <w:rPr>
          <w:i/>
        </w:rPr>
        <w:t>Greece</w:t>
      </w:r>
      <w:r w:rsidR="003270D5">
        <w:t xml:space="preserve"> (n 94</w:t>
      </w:r>
      <w:r w:rsidRPr="00DE0E0B">
        <w:t xml:space="preserve">) </w:t>
      </w:r>
      <w:r>
        <w:t xml:space="preserve">paras 91-92; </w:t>
      </w:r>
      <w:r w:rsidRPr="00A946D1">
        <w:rPr>
          <w:i/>
        </w:rPr>
        <w:t>X and Others</w:t>
      </w:r>
      <w:r w:rsidRPr="00A946D1">
        <w:t xml:space="preserve"> v </w:t>
      </w:r>
      <w:r w:rsidRPr="00A946D1">
        <w:rPr>
          <w:i/>
        </w:rPr>
        <w:t>Austria</w:t>
      </w:r>
      <w:r w:rsidR="007E1043">
        <w:t xml:space="preserve"> (n 79</w:t>
      </w:r>
      <w:r>
        <w:t>) para 149.</w:t>
      </w:r>
      <w:r w:rsidRPr="00DE0E0B">
        <w:t xml:space="preserve"> The Court frequently add</w:t>
      </w:r>
      <w:r w:rsidR="009F129B">
        <w:t>s</w:t>
      </w:r>
      <w:r w:rsidRPr="00DE0E0B">
        <w:t xml:space="preserve"> that the difference of treatment is discriminatory ‘if it does not pursue a “legitimate aim” or if there is not a “reasonable relationship of proportionality between the means employed and the aim sought to be realised”’.</w:t>
      </w:r>
      <w:r>
        <w:t xml:space="preserve"> See further Rory O’Connell, ‘</w:t>
      </w:r>
      <w:r w:rsidRPr="007C1C87">
        <w:t>Cinderella comes to the Ball: Art 14 and the right to non-discrimination in the ECHR</w:t>
      </w:r>
      <w:r>
        <w:t xml:space="preserve">’ (2009) 29 </w:t>
      </w:r>
      <w:r w:rsidRPr="007C1C87">
        <w:rPr>
          <w:i/>
        </w:rPr>
        <w:t>Legal Studies</w:t>
      </w:r>
      <w:r>
        <w:t xml:space="preserve"> 211, in particular p. 224 </w:t>
      </w:r>
      <w:r w:rsidRPr="00644864">
        <w:rPr>
          <w:i/>
        </w:rPr>
        <w:t>et seq</w:t>
      </w:r>
      <w:r>
        <w:t>.</w:t>
      </w:r>
    </w:p>
  </w:footnote>
  <w:footnote w:id="102">
    <w:p w14:paraId="4B9DEFCC" w14:textId="77777777" w:rsidR="005950CD" w:rsidRDefault="005950CD" w:rsidP="004C61EC">
      <w:pPr>
        <w:pStyle w:val="FootnoteText"/>
        <w:jc w:val="both"/>
      </w:pPr>
      <w:r>
        <w:rPr>
          <w:rStyle w:val="FootnoteReference"/>
        </w:rPr>
        <w:footnoteRef/>
      </w:r>
      <w:r>
        <w:t xml:space="preserve"> See </w:t>
      </w:r>
      <w:r>
        <w:rPr>
          <w:i/>
        </w:rPr>
        <w:t>Tyrer</w:t>
      </w:r>
      <w:r>
        <w:t xml:space="preserve"> v </w:t>
      </w:r>
      <w:r>
        <w:rPr>
          <w:i/>
        </w:rPr>
        <w:t>the United Kingdom</w:t>
      </w:r>
      <w:r>
        <w:t xml:space="preserve">, Application 5856/72, 25 April 1978, para 31; </w:t>
      </w:r>
      <w:r>
        <w:rPr>
          <w:i/>
        </w:rPr>
        <w:t>Kafkaris</w:t>
      </w:r>
      <w:r>
        <w:t xml:space="preserve"> v </w:t>
      </w:r>
      <w:r>
        <w:rPr>
          <w:i/>
        </w:rPr>
        <w:t>Cyprus</w:t>
      </w:r>
      <w:r>
        <w:t xml:space="preserve">, 21906/04, 12 February 2008, para 104; </w:t>
      </w:r>
      <w:r>
        <w:rPr>
          <w:i/>
        </w:rPr>
        <w:t>Vinter</w:t>
      </w:r>
      <w:r>
        <w:t xml:space="preserve"> </w:t>
      </w:r>
      <w:r>
        <w:rPr>
          <w:i/>
        </w:rPr>
        <w:t>and Others</w:t>
      </w:r>
      <w:r>
        <w:t xml:space="preserve"> v </w:t>
      </w:r>
      <w:r>
        <w:rPr>
          <w:i/>
        </w:rPr>
        <w:t>the United Kingdom</w:t>
      </w:r>
      <w:r>
        <w:t>, Applications 66069/09, 130/10 and 3896/10, 9 July 2013, para 117.</w:t>
      </w:r>
    </w:p>
  </w:footnote>
  <w:footnote w:id="103">
    <w:p w14:paraId="05054A1E" w14:textId="77777777" w:rsidR="006E33DF" w:rsidRDefault="006E33DF">
      <w:pPr>
        <w:pStyle w:val="FootnoteText"/>
      </w:pPr>
      <w:r>
        <w:rPr>
          <w:rStyle w:val="FootnoteReference"/>
        </w:rPr>
        <w:footnoteRef/>
      </w:r>
      <w:r>
        <w:t xml:space="preserve"> </w:t>
      </w:r>
      <w:r w:rsidRPr="006E33DF">
        <w:rPr>
          <w:i/>
        </w:rPr>
        <w:t>Meier</w:t>
      </w:r>
      <w:r w:rsidRPr="006E33DF">
        <w:t xml:space="preserve"> v </w:t>
      </w:r>
      <w:r w:rsidRPr="006E33DF">
        <w:rPr>
          <w:i/>
        </w:rPr>
        <w:t>Switzerland</w:t>
      </w:r>
      <w:r>
        <w:t xml:space="preserve">, Application </w:t>
      </w:r>
      <w:r w:rsidRPr="006E33DF">
        <w:t>10109/14</w:t>
      </w:r>
      <w:r>
        <w:t xml:space="preserve">, </w:t>
      </w:r>
      <w:r w:rsidRPr="006E33DF">
        <w:t>9 February 2016</w:t>
      </w:r>
      <w:r>
        <w:t>, para 79.</w:t>
      </w:r>
    </w:p>
  </w:footnote>
  <w:footnote w:id="104">
    <w:p w14:paraId="36F90EAE" w14:textId="77777777" w:rsidR="005950CD" w:rsidRDefault="005950CD">
      <w:pPr>
        <w:pStyle w:val="FootnoteText"/>
      </w:pPr>
      <w:r>
        <w:rPr>
          <w:rStyle w:val="FootnoteReference"/>
        </w:rPr>
        <w:footnoteRef/>
      </w:r>
      <w:r>
        <w:t xml:space="preserve"> </w:t>
      </w:r>
      <w:r>
        <w:rPr>
          <w:i/>
        </w:rPr>
        <w:t>Micallef</w:t>
      </w:r>
      <w:r>
        <w:t xml:space="preserve"> v </w:t>
      </w:r>
      <w:r>
        <w:rPr>
          <w:i/>
        </w:rPr>
        <w:t>Malta</w:t>
      </w:r>
      <w:r>
        <w:t>, Application 17056/06, 15 October 2009, para 78.</w:t>
      </w:r>
    </w:p>
  </w:footnote>
  <w:footnote w:id="105">
    <w:p w14:paraId="0BB50261" w14:textId="77777777" w:rsidR="005950CD" w:rsidRDefault="005950CD">
      <w:pPr>
        <w:pStyle w:val="FootnoteText"/>
      </w:pPr>
      <w:r>
        <w:rPr>
          <w:rStyle w:val="FootnoteReference"/>
        </w:rPr>
        <w:footnoteRef/>
      </w:r>
      <w:r>
        <w:t xml:space="preserve"> </w:t>
      </w:r>
      <w:r w:rsidRPr="005950CD">
        <w:rPr>
          <w:i/>
        </w:rPr>
        <w:t>Bayatyan</w:t>
      </w:r>
      <w:r w:rsidRPr="005950CD">
        <w:t xml:space="preserve"> v </w:t>
      </w:r>
      <w:r w:rsidRPr="005950CD">
        <w:rPr>
          <w:i/>
        </w:rPr>
        <w:t>Armenia</w:t>
      </w:r>
      <w:r>
        <w:t>, Application</w:t>
      </w:r>
      <w:r w:rsidRPr="005950CD">
        <w:t xml:space="preserve"> 23459/03</w:t>
      </w:r>
      <w:r>
        <w:t>, 7 July 2011, paras 103-104.</w:t>
      </w:r>
    </w:p>
  </w:footnote>
  <w:footnote w:id="106">
    <w:p w14:paraId="3A28FC8F" w14:textId="77777777" w:rsidR="005950CD" w:rsidRDefault="005950CD">
      <w:pPr>
        <w:pStyle w:val="FootnoteText"/>
      </w:pPr>
      <w:r>
        <w:rPr>
          <w:rStyle w:val="FootnoteReference"/>
        </w:rPr>
        <w:footnoteRef/>
      </w:r>
      <w:r>
        <w:t xml:space="preserve"> </w:t>
      </w:r>
      <w:r>
        <w:rPr>
          <w:i/>
        </w:rPr>
        <w:t>Magyar Helsinki Bizottság</w:t>
      </w:r>
      <w:r>
        <w:t xml:space="preserve"> v </w:t>
      </w:r>
      <w:r>
        <w:rPr>
          <w:i/>
        </w:rPr>
        <w:t>Hungary</w:t>
      </w:r>
      <w:r>
        <w:t>, Application 18030/11, 8 November 2016, in particular para 148.</w:t>
      </w:r>
    </w:p>
  </w:footnote>
  <w:footnote w:id="107">
    <w:p w14:paraId="516DD210" w14:textId="7A916EE2" w:rsidR="005950CD" w:rsidRDefault="005950CD" w:rsidP="001D5459">
      <w:pPr>
        <w:pStyle w:val="FootnoteText"/>
      </w:pPr>
      <w:r>
        <w:rPr>
          <w:rStyle w:val="FootnoteReference"/>
        </w:rPr>
        <w:footnoteRef/>
      </w:r>
      <w:r>
        <w:t xml:space="preserve"> </w:t>
      </w:r>
      <w:r w:rsidR="003270D5">
        <w:t>See Djeffal (n 22</w:t>
      </w:r>
      <w:r>
        <w:t>)</w:t>
      </w:r>
      <w:r w:rsidR="00CB2F99">
        <w:t xml:space="preserve"> chapter 10</w:t>
      </w:r>
      <w:r>
        <w:t>.</w:t>
      </w:r>
    </w:p>
  </w:footnote>
  <w:footnote w:id="108">
    <w:p w14:paraId="7D20A107" w14:textId="77777777" w:rsidR="005950CD" w:rsidRDefault="005950CD" w:rsidP="001D5459">
      <w:pPr>
        <w:pStyle w:val="FootnoteText"/>
      </w:pPr>
      <w:r>
        <w:rPr>
          <w:rStyle w:val="FootnoteReference"/>
        </w:rPr>
        <w:footnoteRef/>
      </w:r>
      <w:r>
        <w:t xml:space="preserve"> On which see Brems (n </w:t>
      </w:r>
      <w:r w:rsidR="003270D5">
        <w:t>11</w:t>
      </w:r>
      <w:r>
        <w:t>) 285-286.</w:t>
      </w:r>
    </w:p>
  </w:footnote>
  <w:footnote w:id="109">
    <w:p w14:paraId="67CE74FD" w14:textId="77777777" w:rsidR="005950CD" w:rsidRDefault="005950CD">
      <w:pPr>
        <w:pStyle w:val="FootnoteText"/>
      </w:pPr>
      <w:r>
        <w:rPr>
          <w:rStyle w:val="FootnoteReference"/>
        </w:rPr>
        <w:footnoteRef/>
      </w:r>
      <w:r>
        <w:t xml:space="preserve"> Ibid, 311.</w:t>
      </w:r>
    </w:p>
  </w:footnote>
  <w:footnote w:id="110">
    <w:p w14:paraId="766AFA07" w14:textId="77777777" w:rsidR="00A64ED4" w:rsidRDefault="00A64ED4">
      <w:pPr>
        <w:pStyle w:val="FootnoteText"/>
      </w:pPr>
      <w:r>
        <w:rPr>
          <w:rStyle w:val="FootnoteReference"/>
        </w:rPr>
        <w:footnoteRef/>
      </w:r>
      <w:r>
        <w:t xml:space="preserve"> </w:t>
      </w:r>
      <w:r w:rsidR="00B93C0D" w:rsidRPr="00B93C0D">
        <w:t>As of May 2018, all the contracting parties have signed</w:t>
      </w:r>
      <w:r w:rsidR="00B93C0D">
        <w:t xml:space="preserve">, while 4 of them </w:t>
      </w:r>
      <w:r>
        <w:t>have not ratified</w:t>
      </w:r>
      <w:r w:rsidR="00B93C0D">
        <w:t>,</w:t>
      </w:r>
      <w:r>
        <w:t xml:space="preserve"> that Protocol; see:</w:t>
      </w:r>
      <w:r w:rsidR="00B93C0D">
        <w:t xml:space="preserve"> </w:t>
      </w:r>
      <w:r w:rsidR="00B93C0D" w:rsidRPr="00B93C0D">
        <w:t>www.coe.int/en/web/conventions/full-list/-/conventions/treaty/213/signatures?p_auth=SeaQ9ErP</w:t>
      </w:r>
    </w:p>
  </w:footnote>
  <w:footnote w:id="111">
    <w:p w14:paraId="0106E2DF" w14:textId="77777777" w:rsidR="005950CD" w:rsidRPr="00143B3B" w:rsidRDefault="005950CD" w:rsidP="001D5459">
      <w:pPr>
        <w:pStyle w:val="FootnoteText"/>
        <w:rPr>
          <w:rFonts w:cs="Times New Roman"/>
        </w:rPr>
      </w:pPr>
      <w:r w:rsidRPr="00143B3B">
        <w:rPr>
          <w:rStyle w:val="FootnoteReference"/>
          <w:rFonts w:cs="Times New Roman"/>
        </w:rPr>
        <w:footnoteRef/>
      </w:r>
      <w:r w:rsidRPr="00143B3B">
        <w:rPr>
          <w:rFonts w:cs="Times New Roman"/>
        </w:rPr>
        <w:t xml:space="preserve"> Art 1 of Protocol 15 ECHR.</w:t>
      </w:r>
    </w:p>
  </w:footnote>
  <w:footnote w:id="112">
    <w:p w14:paraId="003A301A" w14:textId="77777777" w:rsidR="005950CD" w:rsidRPr="00C51CF6" w:rsidRDefault="005950CD" w:rsidP="001D5459">
      <w:pPr>
        <w:pStyle w:val="FootnoteText"/>
        <w:jc w:val="both"/>
        <w:rPr>
          <w:rFonts w:cs="Times New Roman"/>
        </w:rPr>
      </w:pPr>
      <w:r w:rsidRPr="00C51CF6">
        <w:rPr>
          <w:rStyle w:val="FootnoteReference"/>
          <w:rFonts w:cs="Times New Roman"/>
        </w:rPr>
        <w:footnoteRef/>
      </w:r>
      <w:r w:rsidRPr="00C51CF6">
        <w:rPr>
          <w:rFonts w:cs="Times New Roman"/>
        </w:rPr>
        <w:t xml:space="preserve"> </w:t>
      </w:r>
      <w:r w:rsidRPr="00143B3B">
        <w:rPr>
          <w:rFonts w:cs="Times New Roman"/>
        </w:rPr>
        <w:t xml:space="preserve">On how the new Preamble might be interpreted see Nikos Vogiatzis, ‘When “reform” meets “judicial restraint”: Protocol 15 amending the European Convention on Human Rights’ </w:t>
      </w:r>
      <w:r w:rsidR="003270D5">
        <w:rPr>
          <w:rFonts w:cs="Times New Roman"/>
        </w:rPr>
        <w:t xml:space="preserve">(2015) </w:t>
      </w:r>
      <w:r w:rsidRPr="00143B3B">
        <w:rPr>
          <w:rFonts w:cs="Times New Roman"/>
        </w:rPr>
        <w:t xml:space="preserve">66 </w:t>
      </w:r>
      <w:r w:rsidRPr="00143B3B">
        <w:rPr>
          <w:rFonts w:cs="Times New Roman"/>
          <w:i/>
        </w:rPr>
        <w:t>Northern Ireland Legal Quarterly</w:t>
      </w:r>
      <w:r w:rsidRPr="00143B3B">
        <w:rPr>
          <w:rFonts w:cs="Times New Roman"/>
        </w:rPr>
        <w:t xml:space="preserve"> </w:t>
      </w:r>
      <w:r>
        <w:t>127</w:t>
      </w:r>
      <w:r>
        <w:rPr>
          <w:rFonts w:cs="Times New Roman"/>
        </w:rPr>
        <w:t>, in particular 141-146.</w:t>
      </w:r>
      <w:r w:rsidRPr="00D602D6">
        <w:rPr>
          <w:rFonts w:cs="Times New Roman"/>
        </w:rPr>
        <w:t xml:space="preserve"> </w:t>
      </w:r>
      <w:r>
        <w:rPr>
          <w:rFonts w:cs="Times New Roman"/>
        </w:rPr>
        <w:t>Importantly, according to that author, Protocol 15 ECHR subjects the margin of appreciation to the ‘supervisory jurisdiction’ of the Court, bringing the latter in an overall stronger position than the one anticipated by the Court’s critics during the Brighton Conference.</w:t>
      </w:r>
    </w:p>
  </w:footnote>
  <w:footnote w:id="113">
    <w:p w14:paraId="5353F391" w14:textId="77777777" w:rsidR="005950CD" w:rsidRPr="00B70F42" w:rsidRDefault="005950CD" w:rsidP="001D5459">
      <w:pPr>
        <w:pStyle w:val="FootnoteText"/>
        <w:jc w:val="both"/>
        <w:rPr>
          <w:rStyle w:val="FootnoteReference"/>
          <w:rFonts w:cs="Times New Roman"/>
        </w:rPr>
      </w:pPr>
      <w:r w:rsidRPr="00B70F42">
        <w:rPr>
          <w:rStyle w:val="FootnoteReference"/>
          <w:rFonts w:cs="Times New Roman"/>
        </w:rPr>
        <w:footnoteRef/>
      </w:r>
      <w:r w:rsidRPr="00B70F42">
        <w:rPr>
          <w:rFonts w:cs="Times New Roman"/>
        </w:rPr>
        <w:t xml:space="preserve"> </w:t>
      </w:r>
      <w:r>
        <w:rPr>
          <w:rFonts w:cs="Times New Roman"/>
        </w:rPr>
        <w:t xml:space="preserve">On the subsidiarity principle see, generally, </w:t>
      </w:r>
      <w:r w:rsidRPr="00B70F42">
        <w:rPr>
          <w:rFonts w:cs="Times New Roman"/>
        </w:rPr>
        <w:t>Christoffersen</w:t>
      </w:r>
      <w:r>
        <w:rPr>
          <w:rFonts w:cs="Times New Roman"/>
        </w:rPr>
        <w:t xml:space="preserve"> (n</w:t>
      </w:r>
      <w:r w:rsidR="00013931">
        <w:rPr>
          <w:rFonts w:cs="Times New Roman"/>
        </w:rPr>
        <w:t xml:space="preserve"> 89</w:t>
      </w:r>
      <w:r>
        <w:rPr>
          <w:rFonts w:cs="Times New Roman"/>
        </w:rPr>
        <w:t>) ch</w:t>
      </w:r>
      <w:r w:rsidR="00C5271B">
        <w:rPr>
          <w:rFonts w:cs="Times New Roman"/>
        </w:rPr>
        <w:t>apter</w:t>
      </w:r>
      <w:r>
        <w:rPr>
          <w:rFonts w:cs="Times New Roman"/>
        </w:rPr>
        <w:t xml:space="preserve"> 3</w:t>
      </w:r>
      <w:r w:rsidRPr="00B70F42">
        <w:rPr>
          <w:rFonts w:cs="Times New Roman"/>
        </w:rPr>
        <w:t xml:space="preserve">; Alastair Mowbray, ‘Subsidiarity and the European Convention on Human Rights’ 15 </w:t>
      </w:r>
      <w:r w:rsidRPr="00B70F42">
        <w:rPr>
          <w:rFonts w:cs="Times New Roman"/>
          <w:i/>
        </w:rPr>
        <w:t>Human Rights Law Review</w:t>
      </w:r>
      <w:r>
        <w:rPr>
          <w:rFonts w:cs="Times New Roman"/>
        </w:rPr>
        <w:t xml:space="preserve"> (2015) 313; </w:t>
      </w:r>
      <w:r w:rsidRPr="00E6093D">
        <w:rPr>
          <w:rFonts w:cs="Times New Roman"/>
        </w:rPr>
        <w:t>Andreas von Staden</w:t>
      </w:r>
      <w:r>
        <w:rPr>
          <w:rFonts w:cs="Times New Roman"/>
        </w:rPr>
        <w:t>, ‘</w:t>
      </w:r>
      <w:r w:rsidRPr="00E6093D">
        <w:rPr>
          <w:rFonts w:cs="Times New Roman"/>
        </w:rPr>
        <w:t>The democratic legitimacy of</w:t>
      </w:r>
      <w:r>
        <w:rPr>
          <w:rFonts w:cs="Times New Roman"/>
        </w:rPr>
        <w:t xml:space="preserve"> </w:t>
      </w:r>
      <w:r w:rsidRPr="00E6093D">
        <w:rPr>
          <w:rFonts w:cs="Times New Roman"/>
        </w:rPr>
        <w:t>judicial review beyond the</w:t>
      </w:r>
      <w:r>
        <w:rPr>
          <w:rFonts w:cs="Times New Roman"/>
        </w:rPr>
        <w:t xml:space="preserve"> </w:t>
      </w:r>
      <w:r w:rsidRPr="00E6093D">
        <w:rPr>
          <w:rFonts w:cs="Times New Roman"/>
        </w:rPr>
        <w:t>state: Normative subsidiarity</w:t>
      </w:r>
      <w:r>
        <w:rPr>
          <w:rFonts w:cs="Times New Roman"/>
        </w:rPr>
        <w:t xml:space="preserve"> </w:t>
      </w:r>
      <w:r w:rsidRPr="00E6093D">
        <w:rPr>
          <w:rFonts w:cs="Times New Roman"/>
        </w:rPr>
        <w:t>and judicial standards of</w:t>
      </w:r>
      <w:r>
        <w:rPr>
          <w:rFonts w:cs="Times New Roman"/>
        </w:rPr>
        <w:t xml:space="preserve"> </w:t>
      </w:r>
      <w:r w:rsidRPr="00E6093D">
        <w:rPr>
          <w:rFonts w:cs="Times New Roman"/>
        </w:rPr>
        <w:t>review</w:t>
      </w:r>
      <w:r>
        <w:rPr>
          <w:rFonts w:cs="Times New Roman"/>
        </w:rPr>
        <w:t xml:space="preserve">’ (2012) 10 </w:t>
      </w:r>
      <w:r w:rsidRPr="00E6093D">
        <w:rPr>
          <w:rFonts w:cs="Times New Roman"/>
          <w:i/>
        </w:rPr>
        <w:t>International Journal of Constitutional Law</w:t>
      </w:r>
      <w:r>
        <w:rPr>
          <w:rFonts w:cs="Times New Roman"/>
        </w:rPr>
        <w:t xml:space="preserve"> 1023.</w:t>
      </w:r>
    </w:p>
  </w:footnote>
  <w:footnote w:id="114">
    <w:p w14:paraId="56B3E7C3" w14:textId="77777777" w:rsidR="005950CD" w:rsidRPr="00AB573C" w:rsidRDefault="005950CD" w:rsidP="001D5459">
      <w:pPr>
        <w:pStyle w:val="FootnoteText"/>
        <w:jc w:val="both"/>
        <w:rPr>
          <w:rFonts w:cs="Times New Roman"/>
        </w:rPr>
      </w:pPr>
      <w:r w:rsidRPr="00AB573C">
        <w:rPr>
          <w:rStyle w:val="FootnoteReference"/>
          <w:rFonts w:cs="Times New Roman"/>
        </w:rPr>
        <w:footnoteRef/>
      </w:r>
      <w:r w:rsidRPr="00AB573C">
        <w:rPr>
          <w:rFonts w:cs="Times New Roman"/>
        </w:rPr>
        <w:t xml:space="preserve"> </w:t>
      </w:r>
      <w:r w:rsidR="00013931">
        <w:rPr>
          <w:rFonts w:cs="Times New Roman"/>
        </w:rPr>
        <w:t>Wildhaber et al (n 20</w:t>
      </w:r>
      <w:r>
        <w:rPr>
          <w:rFonts w:cs="Times New Roman"/>
        </w:rPr>
        <w:t>) 257.</w:t>
      </w:r>
    </w:p>
  </w:footnote>
  <w:footnote w:id="115">
    <w:p w14:paraId="788D2F5C" w14:textId="77777777" w:rsidR="005950CD" w:rsidRDefault="005950CD">
      <w:pPr>
        <w:pStyle w:val="FootnoteText"/>
      </w:pPr>
      <w:r>
        <w:rPr>
          <w:rStyle w:val="FootnoteReference"/>
        </w:rPr>
        <w:footnoteRef/>
      </w:r>
      <w:r>
        <w:t xml:space="preserve"> See the table of signatures and ratifications</w:t>
      </w:r>
      <w:r w:rsidR="00496D28">
        <w:t xml:space="preserve"> as of May 2018</w:t>
      </w:r>
      <w:r>
        <w:t xml:space="preserve"> at: </w:t>
      </w:r>
      <w:r w:rsidRPr="00346B07">
        <w:t>www.coe.int/en/web/conventions/full-list/-/conventions/treaty/214/signatures?p_auth=SjCbMEEd</w:t>
      </w:r>
      <w:r w:rsidR="00496D28">
        <w:t>.</w:t>
      </w:r>
    </w:p>
  </w:footnote>
  <w:footnote w:id="116">
    <w:p w14:paraId="5B5ECEB0" w14:textId="77777777" w:rsidR="005950CD" w:rsidRPr="00143B3B" w:rsidRDefault="005950CD" w:rsidP="001D5459">
      <w:pPr>
        <w:pStyle w:val="FootnoteText"/>
        <w:rPr>
          <w:rFonts w:cs="Times New Roman"/>
        </w:rPr>
      </w:pPr>
      <w:r w:rsidRPr="00143B3B">
        <w:rPr>
          <w:rStyle w:val="FootnoteReference"/>
          <w:rFonts w:cs="Times New Roman"/>
        </w:rPr>
        <w:footnoteRef/>
      </w:r>
      <w:r w:rsidRPr="00143B3B">
        <w:rPr>
          <w:rFonts w:cs="Times New Roman"/>
        </w:rPr>
        <w:t xml:space="preserve"> Art 1(1) of Protocol 16 ECHR.</w:t>
      </w:r>
      <w:r w:rsidRPr="00443507">
        <w:t xml:space="preserve"> </w:t>
      </w:r>
    </w:p>
  </w:footnote>
  <w:footnote w:id="117">
    <w:p w14:paraId="5F2C0FED" w14:textId="77777777" w:rsidR="005950CD" w:rsidRPr="00143B3B" w:rsidRDefault="005950CD" w:rsidP="001D5459">
      <w:pPr>
        <w:pStyle w:val="FootnoteText"/>
        <w:rPr>
          <w:rFonts w:cs="Times New Roman"/>
        </w:rPr>
      </w:pPr>
      <w:r w:rsidRPr="00143B3B">
        <w:rPr>
          <w:rStyle w:val="FootnoteReference"/>
          <w:rFonts w:cs="Times New Roman"/>
        </w:rPr>
        <w:footnoteRef/>
      </w:r>
      <w:r w:rsidRPr="00143B3B">
        <w:rPr>
          <w:rFonts w:cs="Times New Roman"/>
        </w:rPr>
        <w:t xml:space="preserve"> Art 1(2) of Protocol 16 ECHR.</w:t>
      </w:r>
    </w:p>
  </w:footnote>
  <w:footnote w:id="118">
    <w:p w14:paraId="386BD6B5" w14:textId="77777777" w:rsidR="005950CD" w:rsidRPr="00143B3B" w:rsidRDefault="005950CD" w:rsidP="001D5459">
      <w:pPr>
        <w:pStyle w:val="FootnoteText"/>
        <w:rPr>
          <w:rFonts w:cs="Times New Roman"/>
        </w:rPr>
      </w:pPr>
      <w:r w:rsidRPr="00143B3B">
        <w:rPr>
          <w:rStyle w:val="FootnoteReference"/>
          <w:rFonts w:cs="Times New Roman"/>
        </w:rPr>
        <w:footnoteRef/>
      </w:r>
      <w:r w:rsidRPr="00143B3B">
        <w:rPr>
          <w:rFonts w:cs="Times New Roman"/>
        </w:rPr>
        <w:t xml:space="preserve"> Art 5 of Protocol 16 ECHR.</w:t>
      </w:r>
    </w:p>
  </w:footnote>
  <w:footnote w:id="119">
    <w:p w14:paraId="1C18AEE7" w14:textId="23600FD2" w:rsidR="005950CD" w:rsidRPr="00D21413" w:rsidRDefault="005950CD" w:rsidP="00443507">
      <w:pPr>
        <w:pStyle w:val="FootnoteText"/>
        <w:jc w:val="both"/>
        <w:rPr>
          <w:rFonts w:cs="Times New Roman"/>
        </w:rPr>
      </w:pPr>
      <w:r w:rsidRPr="00D21413">
        <w:rPr>
          <w:rStyle w:val="FootnoteReference"/>
          <w:rFonts w:cs="Times New Roman"/>
        </w:rPr>
        <w:footnoteRef/>
      </w:r>
      <w:r w:rsidRPr="00D21413">
        <w:rPr>
          <w:rFonts w:cs="Times New Roman"/>
        </w:rPr>
        <w:t xml:space="preserve"> See</w:t>
      </w:r>
      <w:r w:rsidR="000236A4">
        <w:rPr>
          <w:rFonts w:cs="Times New Roman"/>
        </w:rPr>
        <w:t xml:space="preserve"> </w:t>
      </w:r>
      <w:r w:rsidRPr="00D21413">
        <w:rPr>
          <w:rFonts w:cs="Times New Roman"/>
        </w:rPr>
        <w:t xml:space="preserve">Paul Gragl, ‘(Judicial) love is not a one-way street: The EU preliminary reference procedure as a model for ECtHR advisory opinions under Draft Protocol No. 16’ (2013) </w:t>
      </w:r>
      <w:r>
        <w:rPr>
          <w:rFonts w:cs="Times New Roman"/>
        </w:rPr>
        <w:t xml:space="preserve">38 </w:t>
      </w:r>
      <w:r w:rsidRPr="00D21413">
        <w:rPr>
          <w:rFonts w:cs="Times New Roman"/>
          <w:i/>
        </w:rPr>
        <w:t>European Law Review</w:t>
      </w:r>
      <w:r w:rsidRPr="00D21413">
        <w:rPr>
          <w:rFonts w:cs="Times New Roman"/>
        </w:rPr>
        <w:t xml:space="preserve"> 229; Kanstantsin Dzehtsiarou and Noreen O’Meara, ‘Advisory jurisdiction and the E</w:t>
      </w:r>
      <w:r w:rsidR="00A01A4A">
        <w:rPr>
          <w:rFonts w:cs="Times New Roman"/>
        </w:rPr>
        <w:t>uropean Court of Human Rights: A</w:t>
      </w:r>
      <w:r w:rsidRPr="00D21413">
        <w:rPr>
          <w:rFonts w:cs="Times New Roman"/>
        </w:rPr>
        <w:t xml:space="preserve"> magic bullet for dialogue and docket-control?’ </w:t>
      </w:r>
      <w:r>
        <w:rPr>
          <w:rFonts w:cs="Times New Roman"/>
        </w:rPr>
        <w:t xml:space="preserve">(2014) </w:t>
      </w:r>
      <w:r w:rsidRPr="00D21413">
        <w:rPr>
          <w:rFonts w:cs="Times New Roman"/>
        </w:rPr>
        <w:t xml:space="preserve">34 </w:t>
      </w:r>
      <w:r w:rsidRPr="00D21413">
        <w:rPr>
          <w:rFonts w:cs="Times New Roman"/>
          <w:i/>
        </w:rPr>
        <w:t>Legal Studies</w:t>
      </w:r>
      <w:r w:rsidRPr="00D21413">
        <w:rPr>
          <w:rFonts w:cs="Times New Roman"/>
        </w:rPr>
        <w:t xml:space="preserve"> 444.</w:t>
      </w:r>
    </w:p>
  </w:footnote>
  <w:footnote w:id="120">
    <w:p w14:paraId="79FAA2E4" w14:textId="77777777" w:rsidR="005950CD" w:rsidRPr="008D726E" w:rsidRDefault="005950CD" w:rsidP="001D5459">
      <w:pPr>
        <w:pStyle w:val="FootnoteText"/>
        <w:jc w:val="both"/>
        <w:rPr>
          <w:rFonts w:cs="Times New Roman"/>
        </w:rPr>
      </w:pPr>
      <w:r w:rsidRPr="008D726E">
        <w:rPr>
          <w:rStyle w:val="FootnoteReference"/>
          <w:rFonts w:cs="Times New Roman"/>
        </w:rPr>
        <w:footnoteRef/>
      </w:r>
      <w:r w:rsidRPr="008D726E">
        <w:rPr>
          <w:rFonts w:cs="Times New Roman"/>
        </w:rPr>
        <w:t xml:space="preserve"> </w:t>
      </w:r>
      <w:r>
        <w:rPr>
          <w:rFonts w:cs="Times New Roman"/>
        </w:rPr>
        <w:t>See, for example,</w:t>
      </w:r>
      <w:r w:rsidRPr="007810D7">
        <w:t xml:space="preserve"> </w:t>
      </w:r>
      <w:r w:rsidRPr="007810D7">
        <w:rPr>
          <w:rFonts w:cs="Times New Roman"/>
          <w:i/>
        </w:rPr>
        <w:t>R (Chester)</w:t>
      </w:r>
      <w:r w:rsidRPr="007810D7">
        <w:rPr>
          <w:rFonts w:cs="Times New Roman"/>
        </w:rPr>
        <w:t xml:space="preserve"> v </w:t>
      </w:r>
      <w:r w:rsidRPr="007810D7">
        <w:rPr>
          <w:rFonts w:cs="Times New Roman"/>
          <w:i/>
        </w:rPr>
        <w:t>Secretary of State for Justice</w:t>
      </w:r>
      <w:r w:rsidRPr="00443507">
        <w:rPr>
          <w:rFonts w:cs="Times New Roman"/>
        </w:rPr>
        <w:t>;</w:t>
      </w:r>
      <w:r>
        <w:rPr>
          <w:rFonts w:cs="Times New Roman"/>
        </w:rPr>
        <w:t xml:space="preserve"> </w:t>
      </w:r>
      <w:r w:rsidRPr="00DD2156">
        <w:rPr>
          <w:rFonts w:cs="Times New Roman"/>
          <w:i/>
        </w:rPr>
        <w:t>McGeoch</w:t>
      </w:r>
      <w:r>
        <w:rPr>
          <w:rFonts w:cs="Times New Roman"/>
        </w:rPr>
        <w:t xml:space="preserve"> </w:t>
      </w:r>
      <w:r w:rsidRPr="00DD2156">
        <w:rPr>
          <w:rFonts w:cs="Times New Roman"/>
        </w:rPr>
        <w:t xml:space="preserve">v </w:t>
      </w:r>
      <w:r w:rsidRPr="00DD2156">
        <w:rPr>
          <w:rFonts w:cs="Times New Roman"/>
          <w:i/>
        </w:rPr>
        <w:t>The Lord President of the Council</w:t>
      </w:r>
      <w:r>
        <w:rPr>
          <w:rFonts w:cs="Times New Roman"/>
        </w:rPr>
        <w:t xml:space="preserve"> [2013] UKSC 63,</w:t>
      </w:r>
      <w:r w:rsidRPr="00DD2156">
        <w:rPr>
          <w:rFonts w:cs="Times New Roman"/>
        </w:rPr>
        <w:t xml:space="preserve"> </w:t>
      </w:r>
      <w:r>
        <w:rPr>
          <w:rFonts w:cs="Times New Roman"/>
        </w:rPr>
        <w:t xml:space="preserve">where the UK Supreme Court provided its views on the permissible margin of appreciation under Article 3 of Protocol 1 ECHR, including an assessment of the ECtHR’s case-law. Compare also </w:t>
      </w:r>
      <w:r w:rsidRPr="00DB03EB">
        <w:rPr>
          <w:rFonts w:cs="Times New Roman"/>
          <w:i/>
        </w:rPr>
        <w:t>R (On The Application of Animal Defenders International)</w:t>
      </w:r>
      <w:r w:rsidRPr="00DB03EB">
        <w:rPr>
          <w:rFonts w:cs="Times New Roman"/>
        </w:rPr>
        <w:t xml:space="preserve"> </w:t>
      </w:r>
      <w:r>
        <w:rPr>
          <w:rFonts w:cs="Times New Roman"/>
        </w:rPr>
        <w:t>v</w:t>
      </w:r>
      <w:r w:rsidRPr="00DB03EB">
        <w:rPr>
          <w:rFonts w:cs="Times New Roman"/>
        </w:rPr>
        <w:t xml:space="preserve"> </w:t>
      </w:r>
      <w:r w:rsidRPr="00DB03EB">
        <w:rPr>
          <w:rFonts w:cs="Times New Roman"/>
          <w:i/>
        </w:rPr>
        <w:t>Secretary of State For Culture, Media and Sport</w:t>
      </w:r>
      <w:r>
        <w:rPr>
          <w:rFonts w:cs="Times New Roman"/>
        </w:rPr>
        <w:t xml:space="preserve"> [2008] UKHL 15, </w:t>
      </w:r>
      <w:r w:rsidR="00CD3EC4">
        <w:rPr>
          <w:rFonts w:cs="Times New Roman"/>
        </w:rPr>
        <w:t xml:space="preserve">concerning the </w:t>
      </w:r>
      <w:r w:rsidR="00C434E6">
        <w:rPr>
          <w:rFonts w:cs="Times New Roman"/>
        </w:rPr>
        <w:t xml:space="preserve">scope of the </w:t>
      </w:r>
      <w:r w:rsidR="00CD3EC4">
        <w:rPr>
          <w:rFonts w:cs="Times New Roman"/>
        </w:rPr>
        <w:t xml:space="preserve">ban of political advertising in the UK, </w:t>
      </w:r>
      <w:r>
        <w:rPr>
          <w:rFonts w:cs="Times New Roman"/>
        </w:rPr>
        <w:t xml:space="preserve">where the – then - House of Lords in the UK examined the question of European consensus regarding </w:t>
      </w:r>
      <w:r w:rsidRPr="00931F75">
        <w:rPr>
          <w:rFonts w:cs="Times New Roman"/>
        </w:rPr>
        <w:t>the manner in which religious broadcasting</w:t>
      </w:r>
      <w:r>
        <w:rPr>
          <w:rFonts w:cs="Times New Roman"/>
        </w:rPr>
        <w:t xml:space="preserve"> should be regulated; the case reached the Strasbourg Court afterwards.</w:t>
      </w:r>
    </w:p>
  </w:footnote>
  <w:footnote w:id="121">
    <w:p w14:paraId="1F47EFE7" w14:textId="77777777" w:rsidR="005950CD" w:rsidRPr="002649EC" w:rsidRDefault="005950CD" w:rsidP="00880A4B">
      <w:pPr>
        <w:pStyle w:val="FootnoteText"/>
        <w:jc w:val="both"/>
        <w:rPr>
          <w:rFonts w:cs="Times New Roman"/>
        </w:rPr>
      </w:pPr>
      <w:r w:rsidRPr="002649EC">
        <w:rPr>
          <w:rStyle w:val="FootnoteReference"/>
          <w:rFonts w:cs="Times New Roman"/>
        </w:rPr>
        <w:footnoteRef/>
      </w:r>
      <w:r>
        <w:rPr>
          <w:rFonts w:cs="Times New Roman"/>
        </w:rPr>
        <w:t xml:space="preserve"> </w:t>
      </w:r>
      <w:r w:rsidRPr="002649EC">
        <w:rPr>
          <w:rFonts w:cs="Times New Roman"/>
        </w:rPr>
        <w:t>Opinion 2/2013 of the Court on the Accession of the European Union to the European Convention for the Protection of Human R</w:t>
      </w:r>
      <w:r>
        <w:rPr>
          <w:rFonts w:cs="Times New Roman"/>
        </w:rPr>
        <w:t>ights and Fundamental Freedoms</w:t>
      </w:r>
      <w:r w:rsidRPr="002649EC">
        <w:rPr>
          <w:rFonts w:cs="Times New Roman"/>
        </w:rPr>
        <w:t xml:space="preserve">, </w:t>
      </w:r>
      <w:r w:rsidRPr="00880A4B">
        <w:rPr>
          <w:rFonts w:cs="Times New Roman"/>
        </w:rPr>
        <w:t>EU:C:2014:2454</w:t>
      </w:r>
      <w:r w:rsidRPr="002649EC">
        <w:rPr>
          <w:rFonts w:cs="Times New Roman"/>
        </w:rPr>
        <w:t>.</w:t>
      </w:r>
    </w:p>
  </w:footnote>
  <w:footnote w:id="122">
    <w:p w14:paraId="25CB3A20" w14:textId="77777777" w:rsidR="005950CD" w:rsidRPr="00143B3B" w:rsidRDefault="005950CD" w:rsidP="001D5459">
      <w:pPr>
        <w:pStyle w:val="FootnoteText"/>
        <w:jc w:val="both"/>
        <w:rPr>
          <w:rFonts w:cs="Times New Roman"/>
        </w:rPr>
      </w:pPr>
      <w:r w:rsidRPr="00143B3B">
        <w:rPr>
          <w:rStyle w:val="FootnoteReference"/>
          <w:rFonts w:cs="Times New Roman"/>
        </w:rPr>
        <w:footnoteRef/>
      </w:r>
      <w:r w:rsidRPr="00143B3B">
        <w:rPr>
          <w:rFonts w:cs="Times New Roman"/>
        </w:rPr>
        <w:t xml:space="preserve"> On which see, among others, </w:t>
      </w:r>
      <w:r>
        <w:rPr>
          <w:rFonts w:cs="Times New Roman"/>
        </w:rPr>
        <w:t xml:space="preserve">Tobias Lock, </w:t>
      </w:r>
      <w:r w:rsidRPr="00143B3B">
        <w:rPr>
          <w:rFonts w:cs="Times New Roman"/>
        </w:rPr>
        <w:t xml:space="preserve">‘Walking on a tightrope: The draft ECHR accession agreement and the autonomy of the EU legal order’ </w:t>
      </w:r>
      <w:r>
        <w:rPr>
          <w:rFonts w:cs="Times New Roman"/>
        </w:rPr>
        <w:t xml:space="preserve">(2011) </w:t>
      </w:r>
      <w:r w:rsidRPr="00143B3B">
        <w:rPr>
          <w:rFonts w:cs="Times New Roman"/>
        </w:rPr>
        <w:t xml:space="preserve">48 </w:t>
      </w:r>
      <w:r w:rsidRPr="00143B3B">
        <w:rPr>
          <w:rFonts w:cs="Times New Roman"/>
          <w:i/>
        </w:rPr>
        <w:t>Common Market Law Review</w:t>
      </w:r>
      <w:r>
        <w:rPr>
          <w:rFonts w:cs="Times New Roman"/>
        </w:rPr>
        <w:t xml:space="preserve"> </w:t>
      </w:r>
      <w:r w:rsidRPr="00143B3B">
        <w:rPr>
          <w:rFonts w:cs="Times New Roman"/>
        </w:rPr>
        <w:t xml:space="preserve">1025; Paul Gragl, ‘A giant leap for European human rights? The final agreement on the European Union’s accession to the European Convention on Human Rights’ (2014) 51 </w:t>
      </w:r>
      <w:r w:rsidRPr="00143B3B">
        <w:rPr>
          <w:rFonts w:cs="Times New Roman"/>
          <w:i/>
        </w:rPr>
        <w:t>Common Market Law Review</w:t>
      </w:r>
      <w:r w:rsidRPr="00143B3B">
        <w:rPr>
          <w:rFonts w:cs="Times New Roman"/>
        </w:rPr>
        <w:t xml:space="preserve"> 13; Vasiliki Kosta, Nikos Skoutaris and Vassilis Tzevelekos (eds) </w:t>
      </w:r>
      <w:r w:rsidRPr="00143B3B">
        <w:rPr>
          <w:rFonts w:cs="Times New Roman"/>
          <w:i/>
        </w:rPr>
        <w:t>The EU Accession to the ECHR</w:t>
      </w:r>
      <w:r w:rsidRPr="00143B3B">
        <w:rPr>
          <w:rFonts w:cs="Times New Roman"/>
        </w:rPr>
        <w:t xml:space="preserve"> (Hart Publishing 2014).</w:t>
      </w:r>
    </w:p>
  </w:footnote>
  <w:footnote w:id="123">
    <w:p w14:paraId="0081A2DD" w14:textId="02A9AEA7" w:rsidR="005950CD" w:rsidRPr="00E54048" w:rsidRDefault="005950CD" w:rsidP="001D5459">
      <w:pPr>
        <w:pStyle w:val="FootnoteText"/>
        <w:jc w:val="both"/>
        <w:rPr>
          <w:rFonts w:cs="Times New Roman"/>
        </w:rPr>
      </w:pPr>
      <w:r w:rsidRPr="00143B3B">
        <w:rPr>
          <w:rStyle w:val="FootnoteReference"/>
          <w:rFonts w:cs="Times New Roman"/>
        </w:rPr>
        <w:footnoteRef/>
      </w:r>
      <w:r w:rsidRPr="00143B3B">
        <w:rPr>
          <w:rFonts w:cs="Times New Roman"/>
        </w:rPr>
        <w:t xml:space="preserve"> Opinion 2/2013 </w:t>
      </w:r>
      <w:r w:rsidR="007606D5">
        <w:rPr>
          <w:rFonts w:cs="Times New Roman"/>
        </w:rPr>
        <w:t>(n 12</w:t>
      </w:r>
      <w:r w:rsidR="004671FC">
        <w:rPr>
          <w:rFonts w:cs="Times New Roman"/>
        </w:rPr>
        <w:t>0</w:t>
      </w:r>
      <w:r>
        <w:rPr>
          <w:rFonts w:cs="Times New Roman"/>
        </w:rPr>
        <w:t xml:space="preserve">) </w:t>
      </w:r>
      <w:r w:rsidRPr="00143B3B">
        <w:rPr>
          <w:rFonts w:cs="Times New Roman"/>
        </w:rPr>
        <w:t>paras 196-199.</w:t>
      </w:r>
      <w:r>
        <w:rPr>
          <w:rFonts w:cs="Times New Roman"/>
        </w:rPr>
        <w:t xml:space="preserve"> </w:t>
      </w:r>
      <w:r w:rsidR="004671FC">
        <w:rPr>
          <w:rFonts w:cs="Times New Roman"/>
        </w:rPr>
        <w:t>See further</w:t>
      </w:r>
      <w:r>
        <w:rPr>
          <w:rFonts w:cs="Times New Roman"/>
        </w:rPr>
        <w:t xml:space="preserve"> </w:t>
      </w:r>
      <w:r w:rsidRPr="00143B3B">
        <w:rPr>
          <w:rFonts w:cs="Times New Roman"/>
        </w:rPr>
        <w:t xml:space="preserve">Tobias Lock, ‘The future of the European Union’s accession to the European Convention on Human Rights after Opinion 2/13: Is it still possible and is it still desirable?’ </w:t>
      </w:r>
      <w:r w:rsidRPr="00E54048">
        <w:rPr>
          <w:rFonts w:cs="Times New Roman"/>
        </w:rPr>
        <w:t xml:space="preserve">(2015) 11 </w:t>
      </w:r>
      <w:r w:rsidRPr="00E54048">
        <w:rPr>
          <w:rFonts w:cs="Times New Roman"/>
          <w:i/>
        </w:rPr>
        <w:t>European Constitutional Law Review</w:t>
      </w:r>
      <w:r w:rsidR="00367462">
        <w:rPr>
          <w:rFonts w:cs="Times New Roman"/>
        </w:rPr>
        <w:t xml:space="preserve"> 239, at 263.</w:t>
      </w:r>
    </w:p>
  </w:footnote>
  <w:footnote w:id="124">
    <w:p w14:paraId="0851A578" w14:textId="77777777" w:rsidR="005950CD" w:rsidRPr="00014968" w:rsidRDefault="005950CD" w:rsidP="00014968">
      <w:pPr>
        <w:pStyle w:val="FootnoteText"/>
        <w:jc w:val="both"/>
      </w:pPr>
      <w:r>
        <w:rPr>
          <w:rStyle w:val="FootnoteReference"/>
        </w:rPr>
        <w:footnoteRef/>
      </w:r>
      <w:r w:rsidRPr="00014968">
        <w:t xml:space="preserve"> </w:t>
      </w:r>
      <w:r>
        <w:rPr>
          <w:rFonts w:cs="Times New Roman"/>
        </w:rPr>
        <w:t>See Art 52(3) of the EU Charter, effectively providing that</w:t>
      </w:r>
      <w:r w:rsidRPr="00014968">
        <w:rPr>
          <w:rFonts w:cs="Times New Roman"/>
        </w:rPr>
        <w:t xml:space="preserve"> Union law may provide a higher standard of protection – or </w:t>
      </w:r>
      <w:r w:rsidR="008846FA" w:rsidRPr="008846FA">
        <w:rPr>
          <w:rFonts w:cs="Times New Roman"/>
        </w:rPr>
        <w:t>conversely</w:t>
      </w:r>
      <w:r w:rsidRPr="00014968">
        <w:rPr>
          <w:rFonts w:cs="Times New Roman"/>
        </w:rPr>
        <w:t xml:space="preserve"> that the ECHR serves as the minimum standard</w:t>
      </w:r>
      <w:r>
        <w:rPr>
          <w:rFonts w:cs="Times New Roman"/>
        </w:rPr>
        <w:t>.</w:t>
      </w:r>
    </w:p>
  </w:footnote>
  <w:footnote w:id="125">
    <w:p w14:paraId="3F45B460" w14:textId="77777777" w:rsidR="005950CD" w:rsidRPr="00143B3B" w:rsidRDefault="005950CD" w:rsidP="001D5459">
      <w:pPr>
        <w:pStyle w:val="FootnoteText"/>
        <w:jc w:val="both"/>
        <w:rPr>
          <w:rFonts w:cs="Times New Roman"/>
        </w:rPr>
      </w:pPr>
      <w:r w:rsidRPr="00143B3B">
        <w:rPr>
          <w:rStyle w:val="FootnoteReference"/>
          <w:rFonts w:cs="Times New Roman"/>
        </w:rPr>
        <w:footnoteRef/>
      </w:r>
      <w:r w:rsidRPr="008641DE">
        <w:rPr>
          <w:rFonts w:cs="Times New Roman"/>
          <w:lang w:val="fr-FR"/>
        </w:rPr>
        <w:t xml:space="preserve"> Case C-650/13, </w:t>
      </w:r>
      <w:r w:rsidRPr="008641DE">
        <w:rPr>
          <w:rFonts w:cs="Times New Roman"/>
          <w:i/>
          <w:lang w:val="fr-FR"/>
        </w:rPr>
        <w:t>Delvigne</w:t>
      </w:r>
      <w:r w:rsidRPr="008641DE">
        <w:rPr>
          <w:rFonts w:cs="Times New Roman"/>
          <w:lang w:val="fr-FR"/>
        </w:rPr>
        <w:t xml:space="preserve"> v </w:t>
      </w:r>
      <w:r w:rsidRPr="008641DE">
        <w:rPr>
          <w:rFonts w:cs="Times New Roman"/>
          <w:i/>
          <w:lang w:val="fr-FR"/>
        </w:rPr>
        <w:t>Commune de Lesparre-Médoc</w:t>
      </w:r>
      <w:r w:rsidRPr="008641DE">
        <w:rPr>
          <w:rFonts w:cs="Times New Roman"/>
          <w:lang w:val="fr-FR"/>
        </w:rPr>
        <w:t xml:space="preserve">, EU:C:2015:648. </w:t>
      </w:r>
      <w:r>
        <w:rPr>
          <w:rFonts w:cs="Times New Roman"/>
        </w:rPr>
        <w:t>The CJEU held that any restrictions to the right to vote for the European elections should comply with the proportionality principle.</w:t>
      </w:r>
    </w:p>
  </w:footnote>
  <w:footnote w:id="126">
    <w:p w14:paraId="7025ACAA" w14:textId="59399308" w:rsidR="005950CD" w:rsidRPr="00880A4B" w:rsidRDefault="005950CD" w:rsidP="00880A4B">
      <w:pPr>
        <w:pStyle w:val="FootnoteText"/>
        <w:jc w:val="both"/>
      </w:pPr>
      <w:r w:rsidRPr="00880A4B">
        <w:rPr>
          <w:rStyle w:val="FootnoteReference"/>
        </w:rPr>
        <w:footnoteRef/>
      </w:r>
      <w:r w:rsidRPr="00880A4B">
        <w:t xml:space="preserve"> </w:t>
      </w:r>
      <w:r w:rsidR="00093E69">
        <w:rPr>
          <w:rFonts w:cs="Times New Roman"/>
        </w:rPr>
        <w:t>In</w:t>
      </w:r>
      <w:r w:rsidRPr="00880A4B">
        <w:rPr>
          <w:rFonts w:cs="Times New Roman"/>
        </w:rPr>
        <w:t xml:space="preserve"> </w:t>
      </w:r>
      <w:r w:rsidRPr="00880A4B">
        <w:rPr>
          <w:rFonts w:cs="Times New Roman"/>
          <w:i/>
        </w:rPr>
        <w:t>Matthews</w:t>
      </w:r>
      <w:r w:rsidRPr="00880A4B">
        <w:rPr>
          <w:rFonts w:cs="Times New Roman"/>
        </w:rPr>
        <w:t xml:space="preserve">, the ECtHR </w:t>
      </w:r>
      <w:r w:rsidR="00093E69">
        <w:rPr>
          <w:rFonts w:cs="Times New Roman"/>
        </w:rPr>
        <w:t xml:space="preserve">found that the right to vote for the European elections is covered by Article 3 of Protocol 1; </w:t>
      </w:r>
      <w:r w:rsidRPr="00143B3B">
        <w:rPr>
          <w:rFonts w:cs="Times New Roman"/>
          <w:i/>
        </w:rPr>
        <w:t>Matthews</w:t>
      </w:r>
      <w:r w:rsidRPr="00143B3B">
        <w:rPr>
          <w:rFonts w:cs="Times New Roman"/>
        </w:rPr>
        <w:t xml:space="preserve"> v </w:t>
      </w:r>
      <w:r w:rsidRPr="00143B3B">
        <w:rPr>
          <w:rFonts w:cs="Times New Roman"/>
          <w:i/>
        </w:rPr>
        <w:t>the United Kingdom</w:t>
      </w:r>
      <w:r w:rsidRPr="00143B3B">
        <w:rPr>
          <w:rFonts w:cs="Times New Roman"/>
        </w:rPr>
        <w:t>, Application 24833/94, 18 February 1999, in particular paras 34-35 and 42-44.</w:t>
      </w:r>
    </w:p>
  </w:footnote>
  <w:footnote w:id="127">
    <w:p w14:paraId="5B70410D" w14:textId="77777777" w:rsidR="005950CD" w:rsidRDefault="005950CD" w:rsidP="00014968">
      <w:pPr>
        <w:pStyle w:val="FootnoteText"/>
        <w:jc w:val="both"/>
      </w:pPr>
      <w:r>
        <w:rPr>
          <w:rStyle w:val="FootnoteReference"/>
        </w:rPr>
        <w:footnoteRef/>
      </w:r>
      <w:r>
        <w:t xml:space="preserve"> </w:t>
      </w:r>
      <w:r>
        <w:rPr>
          <w:rFonts w:cs="Times New Roman"/>
        </w:rPr>
        <w:t>S</w:t>
      </w:r>
      <w:r w:rsidRPr="000406F0">
        <w:rPr>
          <w:rFonts w:cs="Times New Roman"/>
        </w:rPr>
        <w:t xml:space="preserve">ee, for example, </w:t>
      </w:r>
      <w:r>
        <w:rPr>
          <w:rFonts w:cs="Times New Roman"/>
        </w:rPr>
        <w:t xml:space="preserve">Sionaidh Douglas-Scott, ‘A tale of two courts: Luxembourg, Strasbourg and the growing European Human Rights </w:t>
      </w:r>
      <w:r w:rsidRPr="00136619">
        <w:rPr>
          <w:rFonts w:cs="Times New Roman"/>
          <w:i/>
        </w:rPr>
        <w:t>acquis</w:t>
      </w:r>
      <w:r>
        <w:rPr>
          <w:rFonts w:cs="Times New Roman"/>
        </w:rPr>
        <w:t xml:space="preserve">’ (2006) 43 </w:t>
      </w:r>
      <w:r w:rsidRPr="00136619">
        <w:rPr>
          <w:rFonts w:cs="Times New Roman"/>
          <w:i/>
        </w:rPr>
        <w:t>Common Market Law Review</w:t>
      </w:r>
      <w:r>
        <w:rPr>
          <w:rFonts w:cs="Times New Roman"/>
        </w:rPr>
        <w:t xml:space="preserve"> 629; Vassilis Tzevelekos, </w:t>
      </w:r>
      <w:r w:rsidRPr="000406F0">
        <w:rPr>
          <w:rFonts w:cs="Times New Roman"/>
        </w:rPr>
        <w:t>‘When</w:t>
      </w:r>
      <w:r>
        <w:rPr>
          <w:rFonts w:cs="Times New Roman"/>
        </w:rPr>
        <w:t xml:space="preserve"> elephants fight it is the grass that suffers: “Hegemonic s</w:t>
      </w:r>
      <w:r w:rsidRPr="000406F0">
        <w:rPr>
          <w:rFonts w:cs="Times New Roman"/>
        </w:rPr>
        <w:t>truggle</w:t>
      </w:r>
      <w:r>
        <w:rPr>
          <w:rFonts w:cs="Times New Roman"/>
        </w:rPr>
        <w:t>” in Europe and its side-effects for i</w:t>
      </w:r>
      <w:r w:rsidRPr="000406F0">
        <w:rPr>
          <w:rFonts w:cs="Times New Roman"/>
        </w:rPr>
        <w:t xml:space="preserve">nternational </w:t>
      </w:r>
      <w:r>
        <w:rPr>
          <w:rFonts w:cs="Times New Roman"/>
        </w:rPr>
        <w:t>l</w:t>
      </w:r>
      <w:r w:rsidRPr="000406F0">
        <w:rPr>
          <w:rFonts w:cs="Times New Roman"/>
        </w:rPr>
        <w:t>aw’ in</w:t>
      </w:r>
      <w:r>
        <w:rPr>
          <w:rFonts w:cs="Times New Roman"/>
        </w:rPr>
        <w:t xml:space="preserve"> Kanstantsin Dz</w:t>
      </w:r>
      <w:r w:rsidRPr="000406F0">
        <w:rPr>
          <w:rFonts w:cs="Times New Roman"/>
        </w:rPr>
        <w:t xml:space="preserve">ehtsiarou </w:t>
      </w:r>
      <w:r>
        <w:rPr>
          <w:rFonts w:cs="Times New Roman"/>
        </w:rPr>
        <w:t>et al</w:t>
      </w:r>
      <w:r w:rsidRPr="000406F0">
        <w:rPr>
          <w:rFonts w:cs="Times New Roman"/>
        </w:rPr>
        <w:t xml:space="preserve"> (eds), </w:t>
      </w:r>
      <w:r w:rsidRPr="00AE3902">
        <w:rPr>
          <w:rFonts w:cs="Times New Roman"/>
          <w:i/>
        </w:rPr>
        <w:t xml:space="preserve">Human Rights Law in Europe: The Influence, Overlaps and Contradictions of the EU and the ECHR </w:t>
      </w:r>
      <w:r w:rsidRPr="000406F0">
        <w:rPr>
          <w:rFonts w:cs="Times New Roman"/>
        </w:rPr>
        <w:t>(Routledge 2014)</w:t>
      </w:r>
      <w:r>
        <w:rPr>
          <w:rFonts w:cs="Times New Roman"/>
        </w:rPr>
        <w:t xml:space="preserve"> 9; </w:t>
      </w:r>
      <w:r w:rsidRPr="00880A4B">
        <w:rPr>
          <w:rFonts w:cs="Times New Roman"/>
        </w:rPr>
        <w:t xml:space="preserve">Federico Fabbrini and Joris Larik, ‘The Past, Present and Future of the Relation between the European Court of Justice and the European Court of Human Rights’ </w:t>
      </w:r>
      <w:r>
        <w:rPr>
          <w:rFonts w:cs="Times New Roman"/>
        </w:rPr>
        <w:t xml:space="preserve">(2016) </w:t>
      </w:r>
      <w:r w:rsidRPr="00880A4B">
        <w:rPr>
          <w:rFonts w:cs="Times New Roman"/>
        </w:rPr>
        <w:t xml:space="preserve">35 </w:t>
      </w:r>
      <w:r w:rsidRPr="00880A4B">
        <w:rPr>
          <w:rFonts w:cs="Times New Roman"/>
          <w:i/>
        </w:rPr>
        <w:t>Yearbook of European Law</w:t>
      </w:r>
      <w:r>
        <w:rPr>
          <w:rFonts w:cs="Times New Roman"/>
        </w:rPr>
        <w:t xml:space="preserve"> </w:t>
      </w:r>
      <w:r w:rsidRPr="00880A4B">
        <w:rPr>
          <w:rFonts w:cs="Times New Roman"/>
        </w:rPr>
        <w:t>145</w:t>
      </w:r>
      <w:r w:rsidR="00C436B9">
        <w:rPr>
          <w:rFonts w:cs="Times New Roman"/>
        </w:rPr>
        <w:t xml:space="preserve">; and, of course, </w:t>
      </w:r>
      <w:r w:rsidR="00C436B9" w:rsidRPr="00C436B9">
        <w:rPr>
          <w:rFonts w:cs="Times New Roman"/>
          <w:i/>
        </w:rPr>
        <w:t>Bosphorus</w:t>
      </w:r>
      <w:r w:rsidR="00C436B9" w:rsidRPr="00C436B9">
        <w:rPr>
          <w:rFonts w:cs="Times New Roman"/>
        </w:rPr>
        <w:t xml:space="preserve"> v </w:t>
      </w:r>
      <w:r w:rsidR="00C436B9" w:rsidRPr="00C436B9">
        <w:rPr>
          <w:rFonts w:cs="Times New Roman"/>
          <w:i/>
        </w:rPr>
        <w:t>Ireland</w:t>
      </w:r>
      <w:r w:rsidR="00C436B9" w:rsidRPr="00C436B9">
        <w:rPr>
          <w:rFonts w:cs="Times New Roman"/>
        </w:rPr>
        <w:t>, Application 45036/98, 30 June 2005, paras 155-165, in particular para 165</w:t>
      </w:r>
      <w:r w:rsidR="00C436B9">
        <w:rPr>
          <w:rFonts w:cs="Times New Roman"/>
        </w:rPr>
        <w:t>.</w:t>
      </w:r>
    </w:p>
  </w:footnote>
  <w:footnote w:id="128">
    <w:p w14:paraId="7C7C8488" w14:textId="77777777" w:rsidR="005950CD" w:rsidRDefault="005950CD">
      <w:pPr>
        <w:pStyle w:val="FootnoteText"/>
      </w:pPr>
      <w:r>
        <w:rPr>
          <w:rStyle w:val="FootnoteReference"/>
        </w:rPr>
        <w:footnoteRef/>
      </w:r>
      <w:r>
        <w:t xml:space="preserve"> See paragraphs 37(a) and 11 of the Copenhagen Declaration, respectively.</w:t>
      </w:r>
    </w:p>
  </w:footnote>
  <w:footnote w:id="129">
    <w:p w14:paraId="4FF55C6D" w14:textId="51C212C9" w:rsidR="005950CD" w:rsidRDefault="005950CD" w:rsidP="00977E21">
      <w:pPr>
        <w:pStyle w:val="FootnoteText"/>
        <w:jc w:val="both"/>
      </w:pPr>
      <w:r>
        <w:rPr>
          <w:rStyle w:val="FootnoteReference"/>
        </w:rPr>
        <w:footnoteRef/>
      </w:r>
      <w:r>
        <w:t xml:space="preserve"> </w:t>
      </w:r>
      <w:r w:rsidRPr="006F25E3">
        <w:t>Alice Donald and Philip Leach, ‘A Wolf in Sheep’s Clothing: Why the Draft Copenhagen Declaration Must be Rewritten’ (2018) EJIL: Talk!, available at: www.ejiltalk.org/a-wolf-in-sheeps-clothing-why-the-draft-copenhagen-declaration-must-be-rewritten</w:t>
      </w:r>
      <w:r>
        <w:t>.</w:t>
      </w:r>
    </w:p>
  </w:footnote>
  <w:footnote w:id="130">
    <w:p w14:paraId="12E7A7BA" w14:textId="77777777" w:rsidR="005950CD" w:rsidRDefault="005950CD" w:rsidP="00977E21">
      <w:pPr>
        <w:pStyle w:val="FootnoteText"/>
        <w:jc w:val="both"/>
      </w:pPr>
      <w:r>
        <w:rPr>
          <w:rStyle w:val="FootnoteReference"/>
        </w:rPr>
        <w:footnoteRef/>
      </w:r>
      <w:r>
        <w:t xml:space="preserve"> See </w:t>
      </w:r>
      <w:r w:rsidRPr="00977E21">
        <w:t>Andreas Follesdal and Geir Ulfstein, ‘The Draft Copenhagen Declaration: Whose Responsibility and Dialogue?’ (2018) EJIL: Talk!, available at: www.ejiltalk.org/the-draft-copenhagen-declaration-whose-responsibility-and-dialogue</w:t>
      </w:r>
      <w:r>
        <w:t>.</w:t>
      </w:r>
    </w:p>
  </w:footnote>
  <w:footnote w:id="131">
    <w:p w14:paraId="5C1A5426" w14:textId="77777777" w:rsidR="005950CD" w:rsidRDefault="005950CD" w:rsidP="001D5459">
      <w:pPr>
        <w:pStyle w:val="FootnoteText"/>
        <w:jc w:val="both"/>
      </w:pPr>
      <w:r>
        <w:rPr>
          <w:rStyle w:val="FootnoteReference"/>
        </w:rPr>
        <w:footnoteRef/>
      </w:r>
      <w:r>
        <w:t xml:space="preserve"> </w:t>
      </w:r>
      <w:r>
        <w:rPr>
          <w:rFonts w:cs="Times New Roman"/>
        </w:rPr>
        <w:t xml:space="preserve">Janneke Gerards, ‘Inadmissibility decisions of the European Court of Human Rights: A critique of the lack of reasoning’ (2014) 14 </w:t>
      </w:r>
      <w:r w:rsidRPr="009714FB">
        <w:rPr>
          <w:rFonts w:cs="Times New Roman"/>
          <w:i/>
        </w:rPr>
        <w:t>Human Rights Law Review</w:t>
      </w:r>
      <w:r>
        <w:rPr>
          <w:rFonts w:cs="Times New Roman"/>
        </w:rPr>
        <w:t xml:space="preserve"> 148; </w:t>
      </w:r>
      <w:r w:rsidRPr="009714FB">
        <w:rPr>
          <w:rFonts w:cs="Times New Roman"/>
        </w:rPr>
        <w:t>Tom Barkhuysen</w:t>
      </w:r>
      <w:r>
        <w:rPr>
          <w:rFonts w:cs="Times New Roman"/>
        </w:rPr>
        <w:t xml:space="preserve"> and </w:t>
      </w:r>
      <w:r w:rsidRPr="009714FB">
        <w:rPr>
          <w:rFonts w:cs="Times New Roman"/>
        </w:rPr>
        <w:t>Michiel</w:t>
      </w:r>
      <w:r>
        <w:rPr>
          <w:rFonts w:cs="Times New Roman"/>
        </w:rPr>
        <w:t xml:space="preserve"> </w:t>
      </w:r>
      <w:r w:rsidRPr="009714FB">
        <w:rPr>
          <w:rFonts w:cs="Times New Roman"/>
        </w:rPr>
        <w:t>Van Emmerik</w:t>
      </w:r>
      <w:r>
        <w:rPr>
          <w:rFonts w:cs="Times New Roman"/>
        </w:rPr>
        <w:t>, ‘</w:t>
      </w:r>
      <w:r w:rsidRPr="009714FB">
        <w:rPr>
          <w:rFonts w:cs="Times New Roman"/>
        </w:rPr>
        <w:t xml:space="preserve">Legitimacy of </w:t>
      </w:r>
      <w:r>
        <w:rPr>
          <w:rFonts w:cs="Times New Roman"/>
        </w:rPr>
        <w:t>European Court of Human Rights judgments: Procedural a</w:t>
      </w:r>
      <w:r w:rsidRPr="009714FB">
        <w:rPr>
          <w:rFonts w:cs="Times New Roman"/>
        </w:rPr>
        <w:t>spects</w:t>
      </w:r>
      <w:r>
        <w:rPr>
          <w:rFonts w:cs="Times New Roman"/>
        </w:rPr>
        <w:t xml:space="preserve">’ in </w:t>
      </w:r>
      <w:r w:rsidRPr="009714FB">
        <w:rPr>
          <w:rFonts w:cs="Times New Roman"/>
        </w:rPr>
        <w:t>Nick Huls</w:t>
      </w:r>
      <w:r>
        <w:rPr>
          <w:rFonts w:cs="Times New Roman"/>
        </w:rPr>
        <w:t xml:space="preserve">, Maurice Adams and </w:t>
      </w:r>
      <w:r w:rsidRPr="009714FB">
        <w:rPr>
          <w:rFonts w:cs="Times New Roman"/>
        </w:rPr>
        <w:t>Jacco Bomhoff</w:t>
      </w:r>
      <w:r>
        <w:rPr>
          <w:rFonts w:cs="Times New Roman"/>
        </w:rPr>
        <w:t xml:space="preserve"> (eds) </w:t>
      </w:r>
      <w:r w:rsidRPr="009714FB">
        <w:rPr>
          <w:rFonts w:cs="Times New Roman"/>
          <w:i/>
        </w:rPr>
        <w:t>T</w:t>
      </w:r>
      <w:r>
        <w:rPr>
          <w:rFonts w:cs="Times New Roman"/>
          <w:i/>
        </w:rPr>
        <w:t xml:space="preserve">he legitimacy of Highest Courts’ </w:t>
      </w:r>
      <w:r w:rsidRPr="009714FB">
        <w:rPr>
          <w:rFonts w:cs="Times New Roman"/>
          <w:i/>
        </w:rPr>
        <w:t>rulings: Judicial deliberations and beyond</w:t>
      </w:r>
      <w:r>
        <w:rPr>
          <w:rFonts w:cs="Times New Roman"/>
        </w:rPr>
        <w:t xml:space="preserve"> (</w:t>
      </w:r>
      <w:r w:rsidRPr="009714FB">
        <w:rPr>
          <w:rFonts w:cs="Times New Roman"/>
        </w:rPr>
        <w:t>T.M.C. Asser Press 2009</w:t>
      </w:r>
      <w:r>
        <w:rPr>
          <w:rFonts w:cs="Times New Roman"/>
        </w:rPr>
        <w:t>) 437.</w:t>
      </w:r>
    </w:p>
  </w:footnote>
  <w:footnote w:id="132">
    <w:p w14:paraId="791B1DE0" w14:textId="77777777" w:rsidR="005950CD" w:rsidRDefault="005950CD" w:rsidP="001D5459">
      <w:pPr>
        <w:pStyle w:val="FootnoteText"/>
        <w:jc w:val="both"/>
      </w:pPr>
      <w:r>
        <w:rPr>
          <w:rStyle w:val="FootnoteReference"/>
        </w:rPr>
        <w:footnoteRef/>
      </w:r>
      <w:r>
        <w:t xml:space="preserve"> Andreas Follesdal, ‘Why the European Court of Human Rights may be democratically legitimate: A modest defense’ (2009) </w:t>
      </w:r>
      <w:r w:rsidRPr="007C28AF">
        <w:t>27</w:t>
      </w:r>
      <w:r w:rsidRPr="007C28AF">
        <w:rPr>
          <w:i/>
        </w:rPr>
        <w:t xml:space="preserve"> Nordic Journal of Human Rights</w:t>
      </w:r>
      <w:r>
        <w:t xml:space="preserve"> 289, at 297. ‘Judicial activism’ is a contested notion in itself; for further discussion see, among others, Brice Dickson (ed) </w:t>
      </w:r>
      <w:r w:rsidRPr="006C646F">
        <w:rPr>
          <w:i/>
        </w:rPr>
        <w:t>Judicial activism in common law Supreme Courts</w:t>
      </w:r>
      <w:r>
        <w:t xml:space="preserve"> (Oxford University Press 2007).</w:t>
      </w:r>
    </w:p>
  </w:footnote>
  <w:footnote w:id="133">
    <w:p w14:paraId="2056260B" w14:textId="77777777" w:rsidR="005950CD" w:rsidRDefault="005950CD" w:rsidP="001D5459">
      <w:pPr>
        <w:pStyle w:val="FootnoteText"/>
        <w:jc w:val="both"/>
      </w:pPr>
      <w:r>
        <w:rPr>
          <w:rStyle w:val="FootnoteReference"/>
        </w:rPr>
        <w:footnoteRef/>
      </w:r>
      <w:r>
        <w:t xml:space="preserve"> This is not the place to discuss the concept of legitimacy in international law, but for a helpful account explaining the different strands of legitimacy discourse (and in particular, the distinction between ‘legal’ and ‘social’ legitimacy) see Christopher Thomas, ‘The uses and abuses of legitimacy in international law’ (2014) 34 </w:t>
      </w:r>
      <w:r w:rsidRPr="00BB05D2">
        <w:rPr>
          <w:i/>
        </w:rPr>
        <w:t>Oxford Journal of Legal Studies</w:t>
      </w:r>
      <w:r>
        <w:t xml:space="preserve"> 729; see also Thomas Franck, ‘Legitimacy in the international system’ (1988) 82 </w:t>
      </w:r>
      <w:r w:rsidRPr="00DC03BB">
        <w:rPr>
          <w:i/>
        </w:rPr>
        <w:t>American Journal of International Law</w:t>
      </w:r>
      <w:r>
        <w:t xml:space="preserve"> 705.</w:t>
      </w:r>
    </w:p>
  </w:footnote>
  <w:footnote w:id="134">
    <w:p w14:paraId="23FE3DA7" w14:textId="0349E363" w:rsidR="005950CD" w:rsidRDefault="005950CD" w:rsidP="001D5459">
      <w:pPr>
        <w:pStyle w:val="FootnoteText"/>
        <w:jc w:val="both"/>
      </w:pPr>
      <w:r>
        <w:rPr>
          <w:rStyle w:val="FootnoteReference"/>
        </w:rPr>
        <w:footnoteRef/>
      </w:r>
      <w:r>
        <w:t xml:space="preserve"> For Franck, compliance entails an ‘obligation’ above states’ ‘sovereign will’, and the ‘obligation derives not from consent to the treaty, or its text, but from membership in a community that endows the parties to the agreement with status, including the capacity to enter i</w:t>
      </w:r>
      <w:r w:rsidR="006219DA">
        <w:t>nto treaties’; see Franck (n 13</w:t>
      </w:r>
      <w:r w:rsidR="004671FC">
        <w:t>2</w:t>
      </w:r>
      <w:r>
        <w:t>) 756.</w:t>
      </w:r>
    </w:p>
  </w:footnote>
  <w:footnote w:id="135">
    <w:p w14:paraId="6B8FF859" w14:textId="77777777" w:rsidR="005950CD" w:rsidRDefault="005950CD" w:rsidP="001D5459">
      <w:pPr>
        <w:pStyle w:val="FootnoteText"/>
        <w:jc w:val="both"/>
      </w:pPr>
      <w:r>
        <w:rPr>
          <w:rStyle w:val="FootnoteReference"/>
        </w:rPr>
        <w:footnoteRef/>
      </w:r>
      <w:r>
        <w:t xml:space="preserve"> Nienke Grossman, ‘The normative legitimacy of international courts’ (2013) 86 </w:t>
      </w:r>
      <w:r w:rsidRPr="00F43C4F">
        <w:rPr>
          <w:i/>
        </w:rPr>
        <w:t>Temple Law Review</w:t>
      </w:r>
      <w:r>
        <w:t xml:space="preserve"> 61, at 68.</w:t>
      </w:r>
    </w:p>
  </w:footnote>
  <w:footnote w:id="136">
    <w:p w14:paraId="0D374F84" w14:textId="77777777" w:rsidR="005950CD" w:rsidRDefault="005950CD" w:rsidP="005A1F00">
      <w:pPr>
        <w:pStyle w:val="FootnoteText"/>
        <w:jc w:val="both"/>
      </w:pPr>
      <w:r>
        <w:rPr>
          <w:rStyle w:val="FootnoteReference"/>
        </w:rPr>
        <w:footnoteRef/>
      </w:r>
      <w:r>
        <w:t xml:space="preserve"> Armin von Bogdandy and Ingo Venzke, ‘On the functions of international courts: An appraisal in light of their burgeoning public authority’ (2013) 26 </w:t>
      </w:r>
      <w:r w:rsidRPr="000C1B2A">
        <w:rPr>
          <w:i/>
        </w:rPr>
        <w:t>Leiden Journal of International Law</w:t>
      </w:r>
      <w:r>
        <w:t xml:space="preserve"> 49, at 50.</w:t>
      </w:r>
    </w:p>
  </w:footnote>
  <w:footnote w:id="137">
    <w:p w14:paraId="1DF2450F" w14:textId="77777777" w:rsidR="005950CD" w:rsidRDefault="005950CD" w:rsidP="001D5459">
      <w:pPr>
        <w:pStyle w:val="FootnoteText"/>
        <w:jc w:val="both"/>
      </w:pPr>
      <w:r>
        <w:rPr>
          <w:rStyle w:val="FootnoteReference"/>
        </w:rPr>
        <w:footnoteRef/>
      </w:r>
      <w:r>
        <w:t xml:space="preserve"> Karen Alter, </w:t>
      </w:r>
      <w:r w:rsidRPr="001F749B">
        <w:rPr>
          <w:i/>
        </w:rPr>
        <w:t>The new terrain of international law: Courts, politics, rights</w:t>
      </w:r>
      <w:r>
        <w:t xml:space="preserve"> (Princeton University Press) 364.</w:t>
      </w:r>
    </w:p>
  </w:footnote>
  <w:footnote w:id="138">
    <w:p w14:paraId="72501C93" w14:textId="4A18644F" w:rsidR="005950CD" w:rsidRDefault="005950CD" w:rsidP="001D5459">
      <w:pPr>
        <w:pStyle w:val="FootnoteText"/>
        <w:jc w:val="both"/>
      </w:pPr>
      <w:r>
        <w:rPr>
          <w:rStyle w:val="FootnoteReference"/>
        </w:rPr>
        <w:footnoteRef/>
      </w:r>
      <w:r w:rsidR="00661A1D">
        <w:t xml:space="preserve"> </w:t>
      </w:r>
      <w:r w:rsidR="007B3886">
        <w:t xml:space="preserve">Alice Donald and Philip Leach, </w:t>
      </w:r>
      <w:r w:rsidR="007B3886" w:rsidRPr="007F3832">
        <w:rPr>
          <w:i/>
        </w:rPr>
        <w:t>Parliaments and the European Court of Human Rights</w:t>
      </w:r>
      <w:r w:rsidR="007B3886">
        <w:t xml:space="preserve"> (Oxford University Press 2016)</w:t>
      </w:r>
      <w:r>
        <w:t xml:space="preserve"> 129.</w:t>
      </w:r>
    </w:p>
  </w:footnote>
  <w:footnote w:id="139">
    <w:p w14:paraId="0665223A" w14:textId="5210DEB4" w:rsidR="005950CD" w:rsidRDefault="005950CD" w:rsidP="001D5459">
      <w:pPr>
        <w:pStyle w:val="FootnoteText"/>
      </w:pPr>
      <w:r>
        <w:rPr>
          <w:rStyle w:val="FootnoteReference"/>
        </w:rPr>
        <w:footnoteRef/>
      </w:r>
      <w:r w:rsidR="00661A1D">
        <w:t xml:space="preserve"> Alter (n 1</w:t>
      </w:r>
      <w:r w:rsidR="004671FC">
        <w:t>36</w:t>
      </w:r>
      <w:r>
        <w:t>).</w:t>
      </w:r>
    </w:p>
  </w:footnote>
  <w:footnote w:id="140">
    <w:p w14:paraId="70DEB10E" w14:textId="77777777" w:rsidR="005950CD" w:rsidRDefault="005950CD" w:rsidP="001D5459">
      <w:pPr>
        <w:pStyle w:val="FootnoteText"/>
        <w:jc w:val="both"/>
      </w:pPr>
      <w:r>
        <w:rPr>
          <w:rStyle w:val="FootnoteReference"/>
        </w:rPr>
        <w:footnoteRef/>
      </w:r>
      <w:r>
        <w:t xml:space="preserve"> Seyla Benhabib, ‘Twilight of sovereignty or the emergence of cosmopolitan norms? Rethinking citizenship in volatile times’ (2007) 11 </w:t>
      </w:r>
      <w:r w:rsidRPr="005A4B20">
        <w:rPr>
          <w:i/>
          <w:iCs/>
        </w:rPr>
        <w:t>Citizenship Studies</w:t>
      </w:r>
      <w:r>
        <w:t xml:space="preserve"> 19, at 33.</w:t>
      </w:r>
    </w:p>
  </w:footnote>
  <w:footnote w:id="141">
    <w:p w14:paraId="2A3B69D0" w14:textId="77777777" w:rsidR="005950CD" w:rsidRDefault="005950CD" w:rsidP="001D5459">
      <w:pPr>
        <w:pStyle w:val="FootnoteText"/>
        <w:jc w:val="both"/>
      </w:pPr>
      <w:r>
        <w:rPr>
          <w:rStyle w:val="FootnoteReference"/>
        </w:rPr>
        <w:footnoteRef/>
      </w:r>
      <w:r>
        <w:t xml:space="preserve"> Mattias Kumm, ‘The legitimacy of international law: A constitutionalist framework of analysis’ (2004) 15 </w:t>
      </w:r>
      <w:r w:rsidRPr="00303A35">
        <w:rPr>
          <w:i/>
        </w:rPr>
        <w:t>European Journal of International Law</w:t>
      </w:r>
      <w:r>
        <w:t xml:space="preserve"> 907, at 926.</w:t>
      </w:r>
    </w:p>
  </w:footnote>
  <w:footnote w:id="142">
    <w:p w14:paraId="445710A0" w14:textId="18921856" w:rsidR="005950CD" w:rsidRDefault="005950CD" w:rsidP="001D5459">
      <w:pPr>
        <w:pStyle w:val="FootnoteText"/>
        <w:jc w:val="both"/>
      </w:pPr>
      <w:r>
        <w:rPr>
          <w:rStyle w:val="FootnoteReference"/>
        </w:rPr>
        <w:footnoteRef/>
      </w:r>
      <w:r>
        <w:t xml:space="preserve"> Follesdal (n </w:t>
      </w:r>
      <w:r w:rsidR="00661A1D">
        <w:t>13</w:t>
      </w:r>
      <w:r w:rsidR="004671FC">
        <w:t>1</w:t>
      </w:r>
      <w:r>
        <w:t>) 291.</w:t>
      </w:r>
    </w:p>
  </w:footnote>
  <w:footnote w:id="143">
    <w:p w14:paraId="5B25AF94" w14:textId="77777777" w:rsidR="005950CD" w:rsidRDefault="005950CD" w:rsidP="001D5459">
      <w:pPr>
        <w:pStyle w:val="FootnoteText"/>
        <w:jc w:val="both"/>
      </w:pPr>
      <w:r>
        <w:rPr>
          <w:rStyle w:val="FootnoteReference"/>
        </w:rPr>
        <w:footnoteRef/>
      </w:r>
      <w:r>
        <w:t xml:space="preserve"> Andreas Follesdal, ‘Curb, channel and c</w:t>
      </w:r>
      <w:r w:rsidRPr="00F61C92">
        <w:t xml:space="preserve">oordinate: The </w:t>
      </w:r>
      <w:r>
        <w:t>constitutionalism of international c</w:t>
      </w:r>
      <w:r w:rsidRPr="00F61C92">
        <w:t>o</w:t>
      </w:r>
      <w:r>
        <w:t>urts and t</w:t>
      </w:r>
      <w:r w:rsidRPr="00F61C92">
        <w:t>ribunals</w:t>
      </w:r>
      <w:r>
        <w:t xml:space="preserve">’ in Geert De Baere and Jan Wouters (eds) </w:t>
      </w:r>
      <w:r>
        <w:rPr>
          <w:i/>
        </w:rPr>
        <w:t>The contribution of international and supranational c</w:t>
      </w:r>
      <w:r w:rsidRPr="00F61C92">
        <w:rPr>
          <w:i/>
        </w:rPr>
        <w:t xml:space="preserve">ourts to the </w:t>
      </w:r>
      <w:r>
        <w:rPr>
          <w:i/>
        </w:rPr>
        <w:t>rule of l</w:t>
      </w:r>
      <w:r w:rsidRPr="00F61C92">
        <w:rPr>
          <w:i/>
        </w:rPr>
        <w:t>aw</w:t>
      </w:r>
      <w:r w:rsidRPr="00F61C92">
        <w:t xml:space="preserve"> </w:t>
      </w:r>
      <w:r>
        <w:t>(Edward Elgar 2015) (emphasis added).</w:t>
      </w:r>
    </w:p>
  </w:footnote>
  <w:footnote w:id="144">
    <w:p w14:paraId="4FCD985B" w14:textId="374BAB77" w:rsidR="005950CD" w:rsidRPr="00C73BFE" w:rsidRDefault="005950CD" w:rsidP="00961D5E">
      <w:pPr>
        <w:pStyle w:val="FootnoteText"/>
        <w:jc w:val="both"/>
        <w:rPr>
          <w:rFonts w:cs="Times New Roman"/>
        </w:rPr>
      </w:pPr>
      <w:r w:rsidRPr="00C73BFE">
        <w:rPr>
          <w:rStyle w:val="FootnoteReference"/>
          <w:rFonts w:cs="Times New Roman"/>
        </w:rPr>
        <w:footnoteRef/>
      </w:r>
      <w:r w:rsidRPr="00C73BFE">
        <w:rPr>
          <w:rFonts w:cs="Times New Roman"/>
        </w:rPr>
        <w:t xml:space="preserve"> </w:t>
      </w:r>
      <w:r>
        <w:rPr>
          <w:rFonts w:cs="Times New Roman"/>
        </w:rPr>
        <w:t xml:space="preserve">George Letsas, ‘The truth is in autonomous concepts: How to interpret the ECHR’ (2004) 15 </w:t>
      </w:r>
      <w:r>
        <w:rPr>
          <w:rFonts w:cs="Times New Roman"/>
          <w:i/>
        </w:rPr>
        <w:t>European Journal of International Law</w:t>
      </w:r>
      <w:r>
        <w:rPr>
          <w:rFonts w:cs="Times New Roman"/>
        </w:rPr>
        <w:t xml:space="preserve"> 279. Letsas is generally critical of consensus, observing on p. 304: ‘</w:t>
      </w:r>
      <w:r w:rsidRPr="00961D5E">
        <w:rPr>
          <w:rFonts w:cs="Times New Roman"/>
        </w:rPr>
        <w:t>If it makes</w:t>
      </w:r>
      <w:r>
        <w:rPr>
          <w:rFonts w:cs="Times New Roman"/>
        </w:rPr>
        <w:t xml:space="preserve"> </w:t>
      </w:r>
      <w:r w:rsidRPr="00961D5E">
        <w:rPr>
          <w:rFonts w:cs="Times New Roman"/>
        </w:rPr>
        <w:t>no sense to let the majorities decide what rights individuals have, then it makes no</w:t>
      </w:r>
      <w:r>
        <w:rPr>
          <w:rFonts w:cs="Times New Roman"/>
        </w:rPr>
        <w:t xml:space="preserve"> </w:t>
      </w:r>
      <w:r w:rsidRPr="00961D5E">
        <w:rPr>
          <w:rFonts w:cs="Times New Roman"/>
        </w:rPr>
        <w:t>sense either to resolve legal disagreement in human rights cases by appealing to what</w:t>
      </w:r>
      <w:r>
        <w:rPr>
          <w:rFonts w:cs="Times New Roman"/>
        </w:rPr>
        <w:t xml:space="preserve"> </w:t>
      </w:r>
      <w:r w:rsidRPr="00961D5E">
        <w:rPr>
          <w:rFonts w:cs="Times New Roman"/>
        </w:rPr>
        <w:t>the majorities now believe or have legislated</w:t>
      </w:r>
      <w:r>
        <w:rPr>
          <w:rFonts w:cs="Times New Roman"/>
        </w:rPr>
        <w:t>’.</w:t>
      </w:r>
    </w:p>
  </w:footnote>
  <w:footnote w:id="145">
    <w:p w14:paraId="1D5AC1DD" w14:textId="77777777" w:rsidR="005950CD" w:rsidRPr="00740FF8" w:rsidRDefault="005950CD" w:rsidP="001D5459">
      <w:pPr>
        <w:pStyle w:val="FootnoteText"/>
        <w:jc w:val="both"/>
        <w:rPr>
          <w:rFonts w:cs="Times New Roman"/>
        </w:rPr>
      </w:pPr>
      <w:r w:rsidRPr="00740FF8">
        <w:rPr>
          <w:rStyle w:val="FootnoteReference"/>
          <w:rFonts w:cs="Times New Roman"/>
        </w:rPr>
        <w:footnoteRef/>
      </w:r>
      <w:r w:rsidRPr="00740FF8">
        <w:rPr>
          <w:rFonts w:cs="Times New Roman"/>
        </w:rPr>
        <w:t xml:space="preserve"> </w:t>
      </w:r>
      <w:r>
        <w:rPr>
          <w:rFonts w:cs="Times New Roman"/>
        </w:rPr>
        <w:t xml:space="preserve">Dimitrios </w:t>
      </w:r>
      <w:r w:rsidRPr="00740FF8">
        <w:rPr>
          <w:rFonts w:cs="Times New Roman"/>
        </w:rPr>
        <w:t>Tsarapatsanis</w:t>
      </w:r>
      <w:r>
        <w:rPr>
          <w:rFonts w:cs="Times New Roman"/>
        </w:rPr>
        <w:t>, ‘</w:t>
      </w:r>
      <w:r w:rsidRPr="0011400F">
        <w:rPr>
          <w:rFonts w:cs="Times New Roman"/>
        </w:rPr>
        <w:t>The margin of appreciation doctrine: a low</w:t>
      </w:r>
      <w:r>
        <w:rPr>
          <w:rFonts w:cs="Times New Roman"/>
        </w:rPr>
        <w:t>-</w:t>
      </w:r>
      <w:r w:rsidRPr="0011400F">
        <w:rPr>
          <w:rFonts w:cs="Times New Roman"/>
        </w:rPr>
        <w:t>level</w:t>
      </w:r>
      <w:r>
        <w:rPr>
          <w:rFonts w:cs="Times New Roman"/>
        </w:rPr>
        <w:t xml:space="preserve"> </w:t>
      </w:r>
      <w:r w:rsidRPr="0011400F">
        <w:rPr>
          <w:rFonts w:cs="Times New Roman"/>
        </w:rPr>
        <w:t>institutional view</w:t>
      </w:r>
      <w:r>
        <w:rPr>
          <w:rFonts w:cs="Times New Roman"/>
        </w:rPr>
        <w:t xml:space="preserve">’ (2015) 35 </w:t>
      </w:r>
      <w:r w:rsidRPr="0011400F">
        <w:rPr>
          <w:rFonts w:cs="Times New Roman"/>
          <w:i/>
        </w:rPr>
        <w:t>Legal Studies</w:t>
      </w:r>
      <w:r>
        <w:rPr>
          <w:rFonts w:cs="Times New Roman"/>
        </w:rPr>
        <w:t xml:space="preserve"> 675. Thus, the author proposes a theory of underenforcement ‘in the interpretation and application of legal norms’, in light of the ‘shared responsibility’ between the ECtHR and the domestic authorities in embedding human rights.</w:t>
      </w:r>
    </w:p>
  </w:footnote>
  <w:footnote w:id="146">
    <w:p w14:paraId="3DCBF6DB" w14:textId="77777777" w:rsidR="005950CD" w:rsidRDefault="005950CD">
      <w:pPr>
        <w:pStyle w:val="FootnoteText"/>
      </w:pPr>
      <w:r>
        <w:rPr>
          <w:rStyle w:val="FootnoteReference"/>
        </w:rPr>
        <w:footnoteRef/>
      </w:r>
      <w:r>
        <w:t xml:space="preserve"> Dzehtsiarou (n 1</w:t>
      </w:r>
      <w:r w:rsidR="000608D4">
        <w:t>4</w:t>
      </w:r>
      <w:r>
        <w:t>) 132-133.</w:t>
      </w:r>
    </w:p>
  </w:footnote>
  <w:footnote w:id="147">
    <w:p w14:paraId="54C9F28B" w14:textId="77777777" w:rsidR="005950CD" w:rsidRPr="00B633C7" w:rsidRDefault="005950CD" w:rsidP="001D5459">
      <w:pPr>
        <w:pStyle w:val="FootnoteText"/>
        <w:jc w:val="both"/>
        <w:rPr>
          <w:rFonts w:cs="Times New Roman"/>
        </w:rPr>
      </w:pPr>
      <w:r w:rsidRPr="00B633C7">
        <w:rPr>
          <w:rStyle w:val="FootnoteReference"/>
          <w:rFonts w:cs="Times New Roman"/>
        </w:rPr>
        <w:footnoteRef/>
      </w:r>
      <w:r w:rsidRPr="00B633C7">
        <w:rPr>
          <w:rFonts w:cs="Times New Roman"/>
        </w:rPr>
        <w:t xml:space="preserve"> </w:t>
      </w:r>
      <w:r>
        <w:rPr>
          <w:rFonts w:cs="Times New Roman"/>
        </w:rPr>
        <w:t xml:space="preserve">See further </w:t>
      </w:r>
      <w:r w:rsidRPr="00B633C7">
        <w:rPr>
          <w:rFonts w:cs="Times New Roman"/>
        </w:rPr>
        <w:t xml:space="preserve">Jean-Paul Costa, ‘On the legitimacy of the European Court of Human Rights’ </w:t>
      </w:r>
      <w:r>
        <w:rPr>
          <w:rFonts w:cs="Times New Roman"/>
        </w:rPr>
        <w:t xml:space="preserve">(2011) </w:t>
      </w:r>
      <w:r w:rsidRPr="00B633C7">
        <w:rPr>
          <w:rFonts w:cs="Times New Roman"/>
        </w:rPr>
        <w:t xml:space="preserve">7 </w:t>
      </w:r>
      <w:r w:rsidRPr="00B633C7">
        <w:rPr>
          <w:rFonts w:cs="Times New Roman"/>
          <w:i/>
        </w:rPr>
        <w:t>European Constitutional Law Review</w:t>
      </w:r>
      <w:r w:rsidRPr="00B633C7">
        <w:rPr>
          <w:rFonts w:cs="Times New Roman"/>
        </w:rPr>
        <w:t xml:space="preserve"> 173, at 174.</w:t>
      </w:r>
      <w:r w:rsidRPr="00B633C7">
        <w:t xml:space="preserve"> </w:t>
      </w:r>
      <w:r w:rsidRPr="00B633C7">
        <w:rPr>
          <w:rFonts w:cs="Times New Roman"/>
        </w:rPr>
        <w:t>Art</w:t>
      </w:r>
      <w:r>
        <w:rPr>
          <w:rFonts w:cs="Times New Roman"/>
        </w:rPr>
        <w:t>icle 26</w:t>
      </w:r>
      <w:r w:rsidRPr="00B633C7">
        <w:rPr>
          <w:rFonts w:cs="Times New Roman"/>
        </w:rPr>
        <w:t xml:space="preserve"> of the Vienna Convention on the </w:t>
      </w:r>
      <w:r>
        <w:rPr>
          <w:rFonts w:cs="Times New Roman"/>
        </w:rPr>
        <w:t>Law of the Treaties states that ‘[e]</w:t>
      </w:r>
      <w:r w:rsidRPr="00B633C7">
        <w:rPr>
          <w:rFonts w:cs="Times New Roman"/>
        </w:rPr>
        <w:t>very</w:t>
      </w:r>
      <w:r>
        <w:rPr>
          <w:rFonts w:cs="Times New Roman"/>
        </w:rPr>
        <w:t xml:space="preserve"> </w:t>
      </w:r>
      <w:r w:rsidRPr="00B633C7">
        <w:rPr>
          <w:rFonts w:cs="Times New Roman"/>
        </w:rPr>
        <w:t>treaty</w:t>
      </w:r>
      <w:r>
        <w:rPr>
          <w:rFonts w:cs="Times New Roman"/>
        </w:rPr>
        <w:t xml:space="preserve"> </w:t>
      </w:r>
      <w:r w:rsidRPr="00B633C7">
        <w:rPr>
          <w:rFonts w:cs="Times New Roman"/>
        </w:rPr>
        <w:t>in</w:t>
      </w:r>
      <w:r>
        <w:rPr>
          <w:rFonts w:cs="Times New Roman"/>
        </w:rPr>
        <w:t xml:space="preserve"> </w:t>
      </w:r>
      <w:r w:rsidRPr="00B633C7">
        <w:rPr>
          <w:rFonts w:cs="Times New Roman"/>
        </w:rPr>
        <w:t>force</w:t>
      </w:r>
      <w:r>
        <w:rPr>
          <w:rFonts w:cs="Times New Roman"/>
        </w:rPr>
        <w:t xml:space="preserve"> </w:t>
      </w:r>
      <w:r w:rsidRPr="00B633C7">
        <w:rPr>
          <w:rFonts w:cs="Times New Roman"/>
        </w:rPr>
        <w:t>is</w:t>
      </w:r>
      <w:r>
        <w:rPr>
          <w:rFonts w:cs="Times New Roman"/>
        </w:rPr>
        <w:t xml:space="preserve"> </w:t>
      </w:r>
      <w:r w:rsidRPr="00B633C7">
        <w:rPr>
          <w:rFonts w:cs="Times New Roman"/>
        </w:rPr>
        <w:t>binding</w:t>
      </w:r>
      <w:r>
        <w:rPr>
          <w:rFonts w:cs="Times New Roman"/>
        </w:rPr>
        <w:t xml:space="preserve"> </w:t>
      </w:r>
      <w:r w:rsidRPr="00B633C7">
        <w:rPr>
          <w:rFonts w:cs="Times New Roman"/>
        </w:rPr>
        <w:t>upon</w:t>
      </w:r>
      <w:r>
        <w:rPr>
          <w:rFonts w:cs="Times New Roman"/>
        </w:rPr>
        <w:t xml:space="preserve"> the parties to it and must be performed by them in good faith’.</w:t>
      </w:r>
    </w:p>
  </w:footnote>
  <w:footnote w:id="148">
    <w:p w14:paraId="626AA72B" w14:textId="77777777" w:rsidR="005950CD" w:rsidRPr="00A74CFA" w:rsidRDefault="005950CD" w:rsidP="001D5459">
      <w:pPr>
        <w:pStyle w:val="FootnoteText"/>
        <w:rPr>
          <w:rFonts w:cs="Times New Roman"/>
        </w:rPr>
      </w:pPr>
      <w:r w:rsidRPr="00A74CFA">
        <w:rPr>
          <w:rStyle w:val="FootnoteReference"/>
          <w:rFonts w:cs="Times New Roman"/>
        </w:rPr>
        <w:footnoteRef/>
      </w:r>
      <w:r w:rsidRPr="00A74CFA">
        <w:rPr>
          <w:rFonts w:cs="Times New Roman"/>
        </w:rPr>
        <w:t xml:space="preserve"> Ibid, 175. See also Art 2 of Protocol 14 and Art 23(1) ECHR.</w:t>
      </w:r>
    </w:p>
  </w:footnote>
  <w:footnote w:id="149">
    <w:p w14:paraId="309C134F" w14:textId="77777777" w:rsidR="005950CD" w:rsidRPr="00BD0EBF" w:rsidRDefault="005950CD" w:rsidP="00CE0F83">
      <w:pPr>
        <w:pStyle w:val="FootnoteText"/>
        <w:jc w:val="both"/>
        <w:rPr>
          <w:rFonts w:cs="Times New Roman"/>
        </w:rPr>
      </w:pPr>
      <w:r w:rsidRPr="00BD0EBF">
        <w:rPr>
          <w:rStyle w:val="FootnoteReference"/>
          <w:rFonts w:cs="Times New Roman"/>
        </w:rPr>
        <w:footnoteRef/>
      </w:r>
      <w:r w:rsidRPr="00BD0EBF">
        <w:rPr>
          <w:rFonts w:cs="Times New Roman"/>
        </w:rPr>
        <w:t xml:space="preserve"> </w:t>
      </w:r>
      <w:r>
        <w:rPr>
          <w:rFonts w:cs="Times New Roman"/>
        </w:rPr>
        <w:t xml:space="preserve">See, for example, Nikos Vogiatzis, </w:t>
      </w:r>
      <w:r w:rsidRPr="00BD0EBF">
        <w:rPr>
          <w:rFonts w:cs="Times New Roman"/>
        </w:rPr>
        <w:t xml:space="preserve">‘The admissibility criterion under Article 35(3)(b) ECHR: A “significant disadvantage” to human rights protection?’ (2016) 65(1) </w:t>
      </w:r>
      <w:r w:rsidRPr="00BD0EBF">
        <w:rPr>
          <w:rFonts w:cs="Times New Roman"/>
          <w:i/>
        </w:rPr>
        <w:t>International and Comparative Law Quarterly</w:t>
      </w:r>
      <w:r>
        <w:rPr>
          <w:rFonts w:cs="Times New Roman"/>
        </w:rPr>
        <w:t xml:space="preserve"> 185. </w:t>
      </w:r>
    </w:p>
  </w:footnote>
  <w:footnote w:id="150">
    <w:p w14:paraId="6E9D8CBF" w14:textId="77777777" w:rsidR="005950CD" w:rsidRPr="00C9562F" w:rsidRDefault="005950CD" w:rsidP="001D5459">
      <w:pPr>
        <w:pStyle w:val="FootnoteText"/>
        <w:jc w:val="both"/>
        <w:rPr>
          <w:rFonts w:cs="Times New Roman"/>
        </w:rPr>
      </w:pPr>
      <w:r w:rsidRPr="00C9562F">
        <w:rPr>
          <w:rStyle w:val="FootnoteReference"/>
          <w:rFonts w:cs="Times New Roman"/>
        </w:rPr>
        <w:footnoteRef/>
      </w:r>
      <w:r w:rsidRPr="00C9562F">
        <w:rPr>
          <w:rFonts w:cs="Times New Roman"/>
        </w:rPr>
        <w:t xml:space="preserve"> </w:t>
      </w:r>
      <w:r>
        <w:rPr>
          <w:rFonts w:cs="Times New Roman"/>
        </w:rPr>
        <w:t xml:space="preserve">See Dzehtsiarou (n </w:t>
      </w:r>
      <w:r w:rsidR="000608D4">
        <w:rPr>
          <w:rFonts w:cs="Times New Roman"/>
        </w:rPr>
        <w:t>14</w:t>
      </w:r>
      <w:r>
        <w:rPr>
          <w:rFonts w:cs="Times New Roman"/>
        </w:rPr>
        <w:t xml:space="preserve">) </w:t>
      </w:r>
      <w:r w:rsidR="00345551">
        <w:rPr>
          <w:rFonts w:cs="Times New Roman"/>
        </w:rPr>
        <w:t>chapter 6</w:t>
      </w:r>
      <w:r>
        <w:rPr>
          <w:rFonts w:cs="Times New Roman"/>
        </w:rPr>
        <w:t xml:space="preserve">. </w:t>
      </w:r>
    </w:p>
  </w:footnote>
  <w:footnote w:id="151">
    <w:p w14:paraId="2D2D6D6E" w14:textId="7D181284" w:rsidR="005950CD" w:rsidRPr="00502A67" w:rsidRDefault="005950CD" w:rsidP="001D5459">
      <w:pPr>
        <w:pStyle w:val="FootnoteText"/>
        <w:jc w:val="both"/>
        <w:rPr>
          <w:rFonts w:cs="Times New Roman"/>
        </w:rPr>
      </w:pPr>
      <w:r w:rsidRPr="003E303C">
        <w:rPr>
          <w:rStyle w:val="FootnoteReference"/>
          <w:rFonts w:cs="Times New Roman"/>
        </w:rPr>
        <w:footnoteRef/>
      </w:r>
      <w:r w:rsidR="00661A1D" w:rsidRPr="00502A67">
        <w:rPr>
          <w:rFonts w:cs="Times New Roman"/>
        </w:rPr>
        <w:t xml:space="preserve"> Gerards (n 13</w:t>
      </w:r>
      <w:r w:rsidR="004671FC">
        <w:rPr>
          <w:rFonts w:cs="Times New Roman"/>
        </w:rPr>
        <w:t>0</w:t>
      </w:r>
      <w:r w:rsidRPr="00502A67">
        <w:rPr>
          <w:rFonts w:cs="Times New Roman"/>
        </w:rPr>
        <w:t>); B</w:t>
      </w:r>
      <w:r w:rsidR="00787E06" w:rsidRPr="00502A67">
        <w:rPr>
          <w:rFonts w:cs="Times New Roman"/>
        </w:rPr>
        <w:t>arkhuysen and Van Em</w:t>
      </w:r>
      <w:r w:rsidR="00661A1D" w:rsidRPr="00502A67">
        <w:rPr>
          <w:rFonts w:cs="Times New Roman"/>
        </w:rPr>
        <w:t>merik (n 13</w:t>
      </w:r>
      <w:r w:rsidR="004671FC">
        <w:rPr>
          <w:rFonts w:cs="Times New Roman"/>
        </w:rPr>
        <w:t>0</w:t>
      </w:r>
      <w:r w:rsidRPr="00502A67">
        <w:rPr>
          <w:rFonts w:cs="Times New Roman"/>
        </w:rPr>
        <w:t>).</w:t>
      </w:r>
    </w:p>
  </w:footnote>
  <w:footnote w:id="152">
    <w:p w14:paraId="42CBDA1F" w14:textId="77777777" w:rsidR="005950CD" w:rsidRPr="001406AF" w:rsidRDefault="005950CD" w:rsidP="001D5459">
      <w:pPr>
        <w:pStyle w:val="FootnoteText"/>
        <w:jc w:val="both"/>
        <w:rPr>
          <w:rFonts w:cs="Times New Roman"/>
        </w:rPr>
      </w:pPr>
      <w:r w:rsidRPr="001406AF">
        <w:rPr>
          <w:rStyle w:val="FootnoteReference"/>
          <w:rFonts w:cs="Times New Roman"/>
        </w:rPr>
        <w:footnoteRef/>
      </w:r>
      <w:r w:rsidRPr="001406AF">
        <w:rPr>
          <w:rFonts w:cs="Times New Roman"/>
        </w:rPr>
        <w:t xml:space="preserve"> </w:t>
      </w:r>
      <w:r>
        <w:rPr>
          <w:rFonts w:cs="Times New Roman"/>
        </w:rPr>
        <w:t xml:space="preserve">Aileen McHarg, ‘Reconciling human rights and the public interest: Conceptual problems and doctrinal uncertainty in the jurisprudence of the European Court of Human Rights’ (1999) 62 </w:t>
      </w:r>
      <w:r w:rsidRPr="001406AF">
        <w:rPr>
          <w:rFonts w:cs="Times New Roman"/>
          <w:i/>
        </w:rPr>
        <w:t>Modern Law Review</w:t>
      </w:r>
      <w:r>
        <w:rPr>
          <w:rFonts w:cs="Times New Roman"/>
        </w:rPr>
        <w:t xml:space="preserve"> 671, at 673.</w:t>
      </w:r>
    </w:p>
  </w:footnote>
  <w:footnote w:id="153">
    <w:p w14:paraId="217BA3D7" w14:textId="77777777" w:rsidR="005950CD" w:rsidRPr="00F2441F" w:rsidRDefault="005950CD" w:rsidP="001D5459">
      <w:pPr>
        <w:pStyle w:val="FootnoteText"/>
        <w:jc w:val="both"/>
        <w:rPr>
          <w:rFonts w:cs="Times New Roman"/>
        </w:rPr>
      </w:pPr>
      <w:r w:rsidRPr="00F2441F">
        <w:rPr>
          <w:rStyle w:val="FootnoteReference"/>
          <w:rFonts w:cs="Times New Roman"/>
        </w:rPr>
        <w:footnoteRef/>
      </w:r>
      <w:r w:rsidRPr="00F2441F">
        <w:rPr>
          <w:rFonts w:cs="Times New Roman"/>
        </w:rPr>
        <w:t xml:space="preserve"> Başak Çalı, Anne Koch and Nicola Bru</w:t>
      </w:r>
      <w:r>
        <w:rPr>
          <w:rFonts w:cs="Times New Roman"/>
        </w:rPr>
        <w:t>ch, ‘The legitimacy of the European Court of Human Rights: The view from the ground’ (UCL Report 2011).</w:t>
      </w:r>
    </w:p>
  </w:footnote>
  <w:footnote w:id="154">
    <w:p w14:paraId="1F493B03" w14:textId="77777777" w:rsidR="005950CD" w:rsidRDefault="005950CD" w:rsidP="001D5459">
      <w:pPr>
        <w:pStyle w:val="FootnoteText"/>
        <w:jc w:val="both"/>
      </w:pPr>
      <w:r>
        <w:rPr>
          <w:rStyle w:val="FootnoteReference"/>
        </w:rPr>
        <w:footnoteRef/>
      </w:r>
      <w:r>
        <w:t xml:space="preserve"> Rachel </w:t>
      </w:r>
      <w:r w:rsidRPr="0007403A">
        <w:t>Cichowski</w:t>
      </w:r>
      <w:r>
        <w:t>, ‘Civil s</w:t>
      </w:r>
      <w:r w:rsidRPr="0007403A">
        <w:t>ociety and the European Court of Human Rights</w:t>
      </w:r>
      <w:r>
        <w:t xml:space="preserve">’ in </w:t>
      </w:r>
      <w:r w:rsidRPr="0007403A">
        <w:t>Jonas Christoffersen</w:t>
      </w:r>
      <w:r>
        <w:t xml:space="preserve"> </w:t>
      </w:r>
      <w:r w:rsidRPr="0007403A">
        <w:t xml:space="preserve">and Mikael Rask Madsen </w:t>
      </w:r>
      <w:r>
        <w:t xml:space="preserve">(eds) </w:t>
      </w:r>
      <w:r w:rsidRPr="0007403A">
        <w:rPr>
          <w:i/>
        </w:rPr>
        <w:t>The European Court of Human Rights between law and politics</w:t>
      </w:r>
      <w:r>
        <w:t xml:space="preserve"> (Oxford University Press 2011) 77, at 95-96.</w:t>
      </w:r>
    </w:p>
  </w:footnote>
  <w:footnote w:id="155">
    <w:p w14:paraId="576995A4" w14:textId="77777777" w:rsidR="005950CD" w:rsidRPr="00D222FF" w:rsidRDefault="005950CD" w:rsidP="001D5459">
      <w:pPr>
        <w:pStyle w:val="FootnoteText"/>
        <w:jc w:val="both"/>
        <w:rPr>
          <w:rFonts w:cs="Times New Roman"/>
        </w:rPr>
      </w:pPr>
      <w:r w:rsidRPr="00D222FF">
        <w:rPr>
          <w:rStyle w:val="FootnoteReference"/>
          <w:rFonts w:cs="Times New Roman"/>
        </w:rPr>
        <w:footnoteRef/>
      </w:r>
      <w:r w:rsidRPr="00D222FF">
        <w:rPr>
          <w:rFonts w:cs="Times New Roman"/>
        </w:rPr>
        <w:t xml:space="preserve"> </w:t>
      </w:r>
      <w:r>
        <w:rPr>
          <w:rFonts w:cs="Times New Roman"/>
        </w:rPr>
        <w:t>Nicolas Bratza, ‘The relationship between the UK courts and Strasbourg’ [2011] European Human Rights Law Review 505, at 506. See also Art 22 ECHR.</w:t>
      </w:r>
    </w:p>
  </w:footnote>
  <w:footnote w:id="156">
    <w:p w14:paraId="089E8D39" w14:textId="77777777" w:rsidR="005950CD" w:rsidRDefault="005950CD" w:rsidP="00DA2B24">
      <w:pPr>
        <w:pStyle w:val="FootnoteText"/>
        <w:jc w:val="both"/>
      </w:pPr>
      <w:r>
        <w:rPr>
          <w:rStyle w:val="FootnoteReference"/>
        </w:rPr>
        <w:footnoteRef/>
      </w:r>
      <w:r>
        <w:t xml:space="preserve"> Resolution 1366 (2004) of the Parliamentary Assembly of the Council of Europe, ‘Candidates for the European Court of Human Rights’. See further Bilyana Petkova, ‘Spillovers in selecting Europe’s judges: </w:t>
      </w:r>
      <w:r w:rsidRPr="00DA2B24">
        <w:t>Will the Criterion of Gender Equality Make it to Luxembourg?</w:t>
      </w:r>
      <w:r>
        <w:t xml:space="preserve">’ in Michal Bobek (ed) </w:t>
      </w:r>
      <w:r w:rsidRPr="004671FC">
        <w:rPr>
          <w:i/>
        </w:rPr>
        <w:t>Selecting Europe’s judges: A critical review of the appointment procedures to the European Courts</w:t>
      </w:r>
      <w:r>
        <w:t xml:space="preserve"> (Oxford University Press 2015) 222.</w:t>
      </w:r>
    </w:p>
  </w:footnote>
  <w:footnote w:id="157">
    <w:p w14:paraId="459C729D" w14:textId="77777777" w:rsidR="005950CD" w:rsidRPr="0042233F" w:rsidRDefault="005950CD" w:rsidP="001D5459">
      <w:pPr>
        <w:pStyle w:val="FootnoteText"/>
        <w:jc w:val="both"/>
        <w:rPr>
          <w:rFonts w:cs="Times New Roman"/>
        </w:rPr>
      </w:pPr>
      <w:r w:rsidRPr="0042233F">
        <w:rPr>
          <w:rStyle w:val="FootnoteReference"/>
          <w:rFonts w:cs="Times New Roman"/>
        </w:rPr>
        <w:footnoteRef/>
      </w:r>
      <w:r w:rsidRPr="0042233F">
        <w:rPr>
          <w:rFonts w:cs="Times New Roman"/>
        </w:rPr>
        <w:t xml:space="preserve"> </w:t>
      </w:r>
      <w:r>
        <w:rPr>
          <w:rFonts w:cs="Times New Roman"/>
        </w:rPr>
        <w:t>Richard Bellamy, ‘The democratic l</w:t>
      </w:r>
      <w:r w:rsidRPr="003D68C4">
        <w:rPr>
          <w:rFonts w:cs="Times New Roman"/>
        </w:rPr>
        <w:t>egitimacy</w:t>
      </w:r>
      <w:r>
        <w:rPr>
          <w:rFonts w:cs="Times New Roman"/>
        </w:rPr>
        <w:t xml:space="preserve"> of </w:t>
      </w:r>
      <w:r w:rsidRPr="003D68C4">
        <w:rPr>
          <w:rFonts w:cs="Times New Roman"/>
        </w:rPr>
        <w:t>International Human</w:t>
      </w:r>
      <w:r>
        <w:rPr>
          <w:rFonts w:cs="Times New Roman"/>
        </w:rPr>
        <w:t xml:space="preserve"> </w:t>
      </w:r>
      <w:r w:rsidRPr="003D68C4">
        <w:rPr>
          <w:rFonts w:cs="Times New Roman"/>
        </w:rPr>
        <w:t>Rights Conventions: Political</w:t>
      </w:r>
      <w:r>
        <w:rPr>
          <w:rFonts w:cs="Times New Roman"/>
        </w:rPr>
        <w:t xml:space="preserve"> c</w:t>
      </w:r>
      <w:r w:rsidRPr="003D68C4">
        <w:rPr>
          <w:rFonts w:cs="Times New Roman"/>
        </w:rPr>
        <w:t>onstitutionalism and the</w:t>
      </w:r>
      <w:r>
        <w:rPr>
          <w:rFonts w:cs="Times New Roman"/>
        </w:rPr>
        <w:t xml:space="preserve"> </w:t>
      </w:r>
      <w:r w:rsidRPr="003D68C4">
        <w:rPr>
          <w:rFonts w:cs="Times New Roman"/>
        </w:rPr>
        <w:t>European Convention on Human</w:t>
      </w:r>
      <w:r>
        <w:rPr>
          <w:rFonts w:cs="Times New Roman"/>
        </w:rPr>
        <w:t xml:space="preserve"> </w:t>
      </w:r>
      <w:r w:rsidRPr="003D68C4">
        <w:rPr>
          <w:rFonts w:cs="Times New Roman"/>
        </w:rPr>
        <w:t>Rights</w:t>
      </w:r>
      <w:r>
        <w:rPr>
          <w:rFonts w:cs="Times New Roman"/>
        </w:rPr>
        <w:t xml:space="preserve">’ (2014) 25 </w:t>
      </w:r>
      <w:r w:rsidRPr="003D68C4">
        <w:rPr>
          <w:rFonts w:cs="Times New Roman"/>
          <w:i/>
        </w:rPr>
        <w:t xml:space="preserve">European Journal of International Law </w:t>
      </w:r>
      <w:r>
        <w:rPr>
          <w:rFonts w:cs="Times New Roman"/>
        </w:rPr>
        <w:t>1019. For Bellamy, ‘t</w:t>
      </w:r>
      <w:r w:rsidRPr="0042233F">
        <w:rPr>
          <w:rFonts w:cs="Times New Roman"/>
        </w:rPr>
        <w:t>he ECtHR could be described as</w:t>
      </w:r>
      <w:r>
        <w:rPr>
          <w:rFonts w:cs="Times New Roman"/>
        </w:rPr>
        <w:t xml:space="preserve"> applying a “</w:t>
      </w:r>
      <w:r w:rsidRPr="0042233F">
        <w:rPr>
          <w:rFonts w:cs="Times New Roman"/>
        </w:rPr>
        <w:t>soft</w:t>
      </w:r>
      <w:r>
        <w:rPr>
          <w:rFonts w:cs="Times New Roman"/>
        </w:rPr>
        <w:t>”</w:t>
      </w:r>
      <w:r w:rsidRPr="0042233F">
        <w:rPr>
          <w:rFonts w:cs="Times New Roman"/>
        </w:rPr>
        <w:t xml:space="preserve"> version of</w:t>
      </w:r>
      <w:r>
        <w:rPr>
          <w:rFonts w:cs="Times New Roman"/>
        </w:rPr>
        <w:t xml:space="preserve"> </w:t>
      </w:r>
      <w:r w:rsidRPr="0042233F">
        <w:rPr>
          <w:rFonts w:cs="Times New Roman"/>
        </w:rPr>
        <w:t>strong review</w:t>
      </w:r>
      <w:r>
        <w:rPr>
          <w:rFonts w:cs="Times New Roman"/>
        </w:rPr>
        <w:t>’, and thus an appropriate adaptation to weak review could be ‘to</w:t>
      </w:r>
      <w:r w:rsidRPr="0042233F">
        <w:rPr>
          <w:rFonts w:cs="Times New Roman"/>
        </w:rPr>
        <w:t xml:space="preserve"> allow the Committee</w:t>
      </w:r>
      <w:r>
        <w:rPr>
          <w:rFonts w:cs="Times New Roman"/>
        </w:rPr>
        <w:t xml:space="preserve"> [of Ministers]</w:t>
      </w:r>
      <w:r w:rsidRPr="0042233F">
        <w:rPr>
          <w:rFonts w:cs="Times New Roman"/>
        </w:rPr>
        <w:t xml:space="preserve"> to</w:t>
      </w:r>
      <w:r>
        <w:rPr>
          <w:rFonts w:cs="Times New Roman"/>
        </w:rPr>
        <w:t xml:space="preserve"> become the final court of </w:t>
      </w:r>
      <w:r w:rsidRPr="0042233F">
        <w:rPr>
          <w:rFonts w:cs="Times New Roman"/>
        </w:rPr>
        <w:t>appeal</w:t>
      </w:r>
      <w:r>
        <w:rPr>
          <w:rFonts w:cs="Times New Roman"/>
        </w:rPr>
        <w:t>’ (ibid, 1037). The UK’s Human Rights Act 1998 under sections 2 – 4, and in so far as the obligations upon domestic courts are concerned, may be viewed as falling under the ‘weak review’ approach.</w:t>
      </w:r>
    </w:p>
  </w:footnote>
  <w:footnote w:id="158">
    <w:p w14:paraId="1DE5BFA3" w14:textId="678F8BB7" w:rsidR="005950CD" w:rsidRDefault="005950CD" w:rsidP="001D5459">
      <w:pPr>
        <w:pStyle w:val="FootnoteText"/>
        <w:jc w:val="both"/>
      </w:pPr>
      <w:r>
        <w:rPr>
          <w:rStyle w:val="FootnoteReference"/>
        </w:rPr>
        <w:footnoteRef/>
      </w:r>
      <w:r>
        <w:t xml:space="preserve"> For the Court’s views on the reference to subsidiarity in Protocol 15 ECHR see </w:t>
      </w:r>
      <w:r w:rsidRPr="00143B3B">
        <w:rPr>
          <w:rFonts w:cs="Times New Roman"/>
        </w:rPr>
        <w:t>Vogiatzis</w:t>
      </w:r>
      <w:r w:rsidR="0021032D">
        <w:rPr>
          <w:rFonts w:cs="Times New Roman"/>
        </w:rPr>
        <w:t xml:space="preserve"> (n 111</w:t>
      </w:r>
      <w:r>
        <w:rPr>
          <w:rFonts w:cs="Times New Roman"/>
        </w:rPr>
        <w:t>)</w:t>
      </w:r>
      <w:r w:rsidRPr="00143B3B">
        <w:rPr>
          <w:rFonts w:cs="Times New Roman"/>
        </w:rPr>
        <w:t xml:space="preserve"> </w:t>
      </w:r>
      <w:r>
        <w:t>139.</w:t>
      </w:r>
    </w:p>
  </w:footnote>
  <w:footnote w:id="159">
    <w:p w14:paraId="15E62B27" w14:textId="77777777" w:rsidR="005950CD" w:rsidRPr="00DF4884" w:rsidRDefault="005950CD" w:rsidP="001D5459">
      <w:pPr>
        <w:pStyle w:val="FootnoteText"/>
        <w:jc w:val="both"/>
        <w:rPr>
          <w:rFonts w:cs="Times New Roman"/>
        </w:rPr>
      </w:pPr>
      <w:r w:rsidRPr="00DF4884">
        <w:rPr>
          <w:rStyle w:val="FootnoteReference"/>
          <w:rFonts w:cs="Times New Roman"/>
        </w:rPr>
        <w:footnoteRef/>
      </w:r>
      <w:r>
        <w:rPr>
          <w:rFonts w:cs="Times New Roman"/>
        </w:rPr>
        <w:t xml:space="preserve"> </w:t>
      </w:r>
      <w:r w:rsidRPr="00DF4884">
        <w:rPr>
          <w:rFonts w:cs="Times New Roman"/>
        </w:rPr>
        <w:t>James Gibson and Gregory Caldeira</w:t>
      </w:r>
      <w:r>
        <w:rPr>
          <w:rFonts w:cs="Times New Roman"/>
        </w:rPr>
        <w:t>,</w:t>
      </w:r>
      <w:r w:rsidRPr="00DF4884">
        <w:t xml:space="preserve"> </w:t>
      </w:r>
      <w:r>
        <w:t>‘</w:t>
      </w:r>
      <w:r>
        <w:rPr>
          <w:rFonts w:cs="Times New Roman"/>
        </w:rPr>
        <w:t>The legitimacy of transnational legal institutions: Compliance, s</w:t>
      </w:r>
      <w:r w:rsidRPr="00DF4884">
        <w:rPr>
          <w:rFonts w:cs="Times New Roman"/>
        </w:rPr>
        <w:t>upport, and the European Court of Justice</w:t>
      </w:r>
      <w:r>
        <w:rPr>
          <w:rFonts w:cs="Times New Roman"/>
        </w:rPr>
        <w:t>’</w:t>
      </w:r>
      <w:r w:rsidRPr="00DF4884">
        <w:rPr>
          <w:rFonts w:cs="Times New Roman"/>
        </w:rPr>
        <w:t xml:space="preserve"> </w:t>
      </w:r>
      <w:r>
        <w:rPr>
          <w:rFonts w:cs="Times New Roman"/>
        </w:rPr>
        <w:t xml:space="preserve">(1995) 39 </w:t>
      </w:r>
      <w:r w:rsidRPr="00DF4884">
        <w:rPr>
          <w:rFonts w:cs="Times New Roman"/>
          <w:i/>
        </w:rPr>
        <w:t>American Journal of Political Science</w:t>
      </w:r>
      <w:r>
        <w:rPr>
          <w:rFonts w:cs="Times New Roman"/>
        </w:rPr>
        <w:t xml:space="preserve"> 459,</w:t>
      </w:r>
      <w:r w:rsidRPr="00DF4884">
        <w:rPr>
          <w:rFonts w:cs="Times New Roman"/>
        </w:rPr>
        <w:t xml:space="preserve"> </w:t>
      </w:r>
      <w:r>
        <w:rPr>
          <w:rFonts w:cs="Times New Roman"/>
        </w:rPr>
        <w:t>at 464.</w:t>
      </w:r>
      <w:r w:rsidRPr="00C00691">
        <w:t xml:space="preserve"> </w:t>
      </w:r>
      <w:r w:rsidRPr="00C00691">
        <w:rPr>
          <w:rFonts w:cs="Times New Roman"/>
        </w:rPr>
        <w:t>Indeed, ‘unless citizens extend their allegiance to a transnational polity, the most direct source of legitimacy is unavailable’</w:t>
      </w:r>
      <w:r>
        <w:rPr>
          <w:rFonts w:cs="Times New Roman"/>
        </w:rPr>
        <w:t>.</w:t>
      </w:r>
    </w:p>
  </w:footnote>
  <w:footnote w:id="160">
    <w:p w14:paraId="3A123390" w14:textId="77777777" w:rsidR="005950CD" w:rsidRDefault="005950CD" w:rsidP="001D5459">
      <w:pPr>
        <w:pStyle w:val="FootnoteText"/>
      </w:pPr>
      <w:r>
        <w:rPr>
          <w:rStyle w:val="FootnoteReference"/>
        </w:rPr>
        <w:footnoteRef/>
      </w:r>
      <w:r>
        <w:t xml:space="preserve"> Ibid.</w:t>
      </w:r>
    </w:p>
  </w:footnote>
  <w:footnote w:id="161">
    <w:p w14:paraId="6750DE39" w14:textId="77777777" w:rsidR="005950CD" w:rsidRPr="00093663" w:rsidRDefault="005950CD" w:rsidP="00E22DF1">
      <w:pPr>
        <w:pStyle w:val="FootnoteText"/>
        <w:jc w:val="both"/>
        <w:rPr>
          <w:rFonts w:cs="Times New Roman"/>
        </w:rPr>
      </w:pPr>
      <w:r w:rsidRPr="00093663">
        <w:rPr>
          <w:rStyle w:val="FootnoteReference"/>
          <w:rFonts w:cs="Times New Roman"/>
        </w:rPr>
        <w:footnoteRef/>
      </w:r>
      <w:r w:rsidRPr="00093663">
        <w:rPr>
          <w:rFonts w:cs="Times New Roman"/>
        </w:rPr>
        <w:t xml:space="preserve"> </w:t>
      </w:r>
      <w:r>
        <w:rPr>
          <w:rFonts w:cs="Times New Roman"/>
        </w:rPr>
        <w:t>Jeremy Waldron, ‘The core of the c</w:t>
      </w:r>
      <w:r w:rsidRPr="00AB4F35">
        <w:rPr>
          <w:rFonts w:cs="Times New Roman"/>
        </w:rPr>
        <w:t>ase agai</w:t>
      </w:r>
      <w:r>
        <w:rPr>
          <w:rFonts w:cs="Times New Roman"/>
        </w:rPr>
        <w:t>nst judicial r</w:t>
      </w:r>
      <w:r w:rsidRPr="00AB4F35">
        <w:rPr>
          <w:rFonts w:cs="Times New Roman"/>
        </w:rPr>
        <w:t>eview</w:t>
      </w:r>
      <w:r>
        <w:rPr>
          <w:rFonts w:cs="Times New Roman"/>
        </w:rPr>
        <w:t>’ (2006)</w:t>
      </w:r>
      <w:r w:rsidRPr="00AB4F35">
        <w:rPr>
          <w:rFonts w:cs="Times New Roman"/>
        </w:rPr>
        <w:t xml:space="preserve"> 115 </w:t>
      </w:r>
      <w:r w:rsidRPr="00AB4F35">
        <w:rPr>
          <w:rFonts w:cs="Times New Roman"/>
          <w:i/>
        </w:rPr>
        <w:t>Yale Law Review</w:t>
      </w:r>
      <w:r w:rsidRPr="00AB4F35">
        <w:rPr>
          <w:rFonts w:cs="Times New Roman"/>
        </w:rPr>
        <w:t xml:space="preserve"> 1346</w:t>
      </w:r>
      <w:r>
        <w:rPr>
          <w:rFonts w:cs="Times New Roman"/>
        </w:rPr>
        <w:t xml:space="preserve">; Mark Tushnet, ‘Abolishing judicial review’ (2011) </w:t>
      </w:r>
      <w:r w:rsidRPr="00363E4B">
        <w:rPr>
          <w:rFonts w:cs="Times New Roman"/>
        </w:rPr>
        <w:t xml:space="preserve">27 </w:t>
      </w:r>
      <w:r w:rsidRPr="00363E4B">
        <w:rPr>
          <w:rFonts w:cs="Times New Roman"/>
          <w:i/>
        </w:rPr>
        <w:t>Constitutional Commentary</w:t>
      </w:r>
      <w:r w:rsidRPr="00363E4B">
        <w:rPr>
          <w:rFonts w:cs="Times New Roman"/>
        </w:rPr>
        <w:t xml:space="preserve"> 581</w:t>
      </w:r>
      <w:r w:rsidR="002C7FAE">
        <w:rPr>
          <w:rFonts w:cs="Times New Roman"/>
        </w:rPr>
        <w:t xml:space="preserve">; Michael Gordon, </w:t>
      </w:r>
      <w:r w:rsidR="002C7FAE" w:rsidRPr="002C7FAE">
        <w:rPr>
          <w:rFonts w:cs="Times New Roman"/>
          <w:i/>
        </w:rPr>
        <w:t>Parliamentary Sovereignty in the UK Constitution: Process, Politics and Democracy</w:t>
      </w:r>
      <w:r w:rsidR="002C7FAE">
        <w:rPr>
          <w:rFonts w:cs="Times New Roman"/>
        </w:rPr>
        <w:t xml:space="preserve"> (Hart Publishing 2015).</w:t>
      </w:r>
    </w:p>
  </w:footnote>
  <w:footnote w:id="162">
    <w:p w14:paraId="246A126A" w14:textId="77777777" w:rsidR="005950CD" w:rsidRDefault="005950CD" w:rsidP="00E22DF1">
      <w:pPr>
        <w:pStyle w:val="FootnoteText"/>
        <w:jc w:val="both"/>
      </w:pPr>
      <w:r>
        <w:rPr>
          <w:rStyle w:val="FootnoteReference"/>
        </w:rPr>
        <w:footnoteRef/>
      </w:r>
      <w:r>
        <w:t xml:space="preserve"> Adam Tomkins, ‘The role of the courts in the political constitution’ (2010) 60 </w:t>
      </w:r>
      <w:r w:rsidRPr="003A7651">
        <w:rPr>
          <w:i/>
        </w:rPr>
        <w:t>University of Toronto Law Journal</w:t>
      </w:r>
      <w:r>
        <w:t xml:space="preserve"> 1, at 4.</w:t>
      </w:r>
    </w:p>
  </w:footnote>
  <w:footnote w:id="163">
    <w:p w14:paraId="145140F4" w14:textId="77777777" w:rsidR="005950CD" w:rsidRDefault="005950CD" w:rsidP="00E22DF1">
      <w:pPr>
        <w:pStyle w:val="FootnoteText"/>
      </w:pPr>
      <w:r>
        <w:rPr>
          <w:rStyle w:val="FootnoteReference"/>
        </w:rPr>
        <w:footnoteRef/>
      </w:r>
      <w:r>
        <w:t xml:space="preserve"> Martin Loughlin, </w:t>
      </w:r>
      <w:r w:rsidRPr="00E32E3B">
        <w:rPr>
          <w:i/>
        </w:rPr>
        <w:t>The idea of public law</w:t>
      </w:r>
      <w:r>
        <w:t xml:space="preserve"> (Oxford University Press 2004) 129.</w:t>
      </w:r>
    </w:p>
  </w:footnote>
  <w:footnote w:id="164">
    <w:p w14:paraId="0C359F52" w14:textId="4163B996" w:rsidR="005950CD" w:rsidRDefault="005950CD" w:rsidP="00E22DF1">
      <w:pPr>
        <w:pStyle w:val="FootnoteText"/>
        <w:jc w:val="both"/>
      </w:pPr>
      <w:r>
        <w:rPr>
          <w:rStyle w:val="FootnoteReference"/>
        </w:rPr>
        <w:footnoteRef/>
      </w:r>
      <w:r>
        <w:t xml:space="preserve"> See, for example, </w:t>
      </w:r>
      <w:r w:rsidRPr="004A67D2">
        <w:t>J. A. G. Griffith</w:t>
      </w:r>
      <w:r>
        <w:t xml:space="preserve">, ‘The political constitution’ (1979) 42 </w:t>
      </w:r>
      <w:r w:rsidRPr="004A67D2">
        <w:rPr>
          <w:i/>
        </w:rPr>
        <w:t>Modern Law Review</w:t>
      </w:r>
      <w:r>
        <w:t xml:space="preserve"> 1; Thomas Poole, ‘Legitimacy, rights and judicial review’ (2005) 25 </w:t>
      </w:r>
      <w:r w:rsidRPr="004A67D2">
        <w:rPr>
          <w:i/>
        </w:rPr>
        <w:t>Oxford Journal of Legal Studies</w:t>
      </w:r>
      <w:r>
        <w:t xml:space="preserve"> 697</w:t>
      </w:r>
      <w:r w:rsidR="00EF6A6A">
        <w:t>.</w:t>
      </w:r>
    </w:p>
  </w:footnote>
  <w:footnote w:id="165">
    <w:p w14:paraId="002DB5A1" w14:textId="77777777" w:rsidR="005950CD" w:rsidRDefault="005950CD" w:rsidP="004416BD">
      <w:pPr>
        <w:pStyle w:val="FootnoteText"/>
        <w:jc w:val="both"/>
      </w:pPr>
      <w:r>
        <w:rPr>
          <w:rStyle w:val="FootnoteReference"/>
        </w:rPr>
        <w:footnoteRef/>
      </w:r>
      <w:r>
        <w:t xml:space="preserve"> K.D. Ewing, ‘The futility of the Human Rights Act’ [2004] Public Law 829; K.D. Ewing, </w:t>
      </w:r>
      <w:r w:rsidRPr="004416BD">
        <w:rPr>
          <w:i/>
        </w:rPr>
        <w:t>The bonfire of the liberties: New Labour, human rights, and the rule of law</w:t>
      </w:r>
      <w:r>
        <w:t xml:space="preserve"> (Oxford University Press 2010).</w:t>
      </w:r>
    </w:p>
  </w:footnote>
  <w:footnote w:id="166">
    <w:p w14:paraId="749D94BD" w14:textId="77777777" w:rsidR="005950CD" w:rsidRDefault="005950CD" w:rsidP="001D5459">
      <w:pPr>
        <w:pStyle w:val="FootnoteText"/>
        <w:jc w:val="both"/>
      </w:pPr>
      <w:r>
        <w:rPr>
          <w:rStyle w:val="FootnoteReference"/>
        </w:rPr>
        <w:footnoteRef/>
      </w:r>
      <w:r>
        <w:t xml:space="preserve"> For a broader discussion of the impact of the Act in the UK see, among others, Patrick Birkinshaw, </w:t>
      </w:r>
      <w:r w:rsidRPr="00014C85">
        <w:rPr>
          <w:i/>
        </w:rPr>
        <w:t>European Public Law: The Achievement and the Challenge</w:t>
      </w:r>
      <w:r>
        <w:t xml:space="preserve"> (Kluwer 2014) 436-482, who concludes (on pp. 480-481) that the Act ‘is a constitutional change which has had the most dramatic impact on the way judges and lawyers think … and a pervasive influence in virtually all areas of governance and administration’.</w:t>
      </w:r>
    </w:p>
  </w:footnote>
  <w:footnote w:id="167">
    <w:p w14:paraId="5C5FF9CA" w14:textId="77777777" w:rsidR="005950CD" w:rsidRDefault="005950CD" w:rsidP="001D5459">
      <w:pPr>
        <w:pStyle w:val="FootnoteText"/>
        <w:jc w:val="both"/>
      </w:pPr>
      <w:r>
        <w:rPr>
          <w:rStyle w:val="FootnoteReference"/>
        </w:rPr>
        <w:footnoteRef/>
      </w:r>
      <w:r>
        <w:t xml:space="preserve"> Conor Gearty, </w:t>
      </w:r>
      <w:r w:rsidRPr="00DE0C91">
        <w:rPr>
          <w:i/>
        </w:rPr>
        <w:t>Principles of human rights adjudication</w:t>
      </w:r>
      <w:r>
        <w:t xml:space="preserve"> (Oxford University Press 2005). See also more recently an elaborate account on why the Human Rights Act should not be repealed in Conor Gearty, </w:t>
      </w:r>
      <w:r w:rsidRPr="00564A42">
        <w:rPr>
          <w:i/>
        </w:rPr>
        <w:t>On fantasy island: Britain, Europe and human rights</w:t>
      </w:r>
      <w:r>
        <w:t xml:space="preserve"> (Oxford University Press 2016).</w:t>
      </w:r>
    </w:p>
  </w:footnote>
  <w:footnote w:id="168">
    <w:p w14:paraId="68FEAE98" w14:textId="77777777" w:rsidR="005950CD" w:rsidRDefault="005950CD">
      <w:pPr>
        <w:pStyle w:val="FootnoteText"/>
      </w:pPr>
      <w:r>
        <w:rPr>
          <w:rStyle w:val="FootnoteReference"/>
        </w:rPr>
        <w:footnoteRef/>
      </w:r>
      <w:r>
        <w:t xml:space="preserve"> Alison Young, </w:t>
      </w:r>
      <w:r w:rsidRPr="0071672A">
        <w:rPr>
          <w:i/>
        </w:rPr>
        <w:t>Parliamentary sovereignty and the Human Rights Act</w:t>
      </w:r>
      <w:r>
        <w:t xml:space="preserve"> (Hart Publishing 2008).</w:t>
      </w:r>
    </w:p>
  </w:footnote>
  <w:footnote w:id="169">
    <w:p w14:paraId="0D7CF2DC" w14:textId="77777777" w:rsidR="005950CD" w:rsidRPr="001E0200" w:rsidRDefault="005950CD" w:rsidP="001D5459">
      <w:pPr>
        <w:pStyle w:val="FootnoteText"/>
        <w:rPr>
          <w:rFonts w:cs="Times New Roman"/>
        </w:rPr>
      </w:pPr>
      <w:r w:rsidRPr="001E0200">
        <w:rPr>
          <w:rStyle w:val="FootnoteReference"/>
          <w:rFonts w:cs="Times New Roman"/>
        </w:rPr>
        <w:footnoteRef/>
      </w:r>
      <w:r w:rsidRPr="001E0200">
        <w:rPr>
          <w:rFonts w:cs="Times New Roman"/>
        </w:rPr>
        <w:t xml:space="preserve"> A point made by Elliott (n 2)</w:t>
      </w:r>
      <w:r>
        <w:rPr>
          <w:rFonts w:cs="Times New Roman"/>
        </w:rPr>
        <w:t xml:space="preserve"> 626-627, who is also critical of such accounts/ approaches.</w:t>
      </w:r>
    </w:p>
  </w:footnote>
  <w:footnote w:id="170">
    <w:p w14:paraId="0D7D9C25" w14:textId="77777777" w:rsidR="005950CD" w:rsidRDefault="005950CD" w:rsidP="00EE7A19">
      <w:pPr>
        <w:pStyle w:val="FootnoteText"/>
        <w:jc w:val="both"/>
      </w:pPr>
      <w:r>
        <w:rPr>
          <w:rStyle w:val="FootnoteReference"/>
        </w:rPr>
        <w:footnoteRef/>
      </w:r>
      <w:r>
        <w:t xml:space="preserve"> Such concerns can vary, and </w:t>
      </w:r>
      <w:r w:rsidR="004F71E0">
        <w:t xml:space="preserve">beyond critical observations they </w:t>
      </w:r>
      <w:r>
        <w:t xml:space="preserve">may </w:t>
      </w:r>
      <w:r w:rsidR="004F71E0">
        <w:t>also</w:t>
      </w:r>
      <w:r>
        <w:t xml:space="preserve"> include voices advocating higher standards of human rights protection in Europe (e.g. that the ECtHR’s standing is undermined as it guarantees minimum standards; or that the CJEU should bring </w:t>
      </w:r>
      <w:r w:rsidR="004F71E0">
        <w:t>additional</w:t>
      </w:r>
      <w:r>
        <w:t xml:space="preserve"> matters within the scope of EU law, thereby </w:t>
      </w:r>
      <w:r w:rsidR="009A4234">
        <w:t xml:space="preserve">extending the reach of </w:t>
      </w:r>
      <w:r>
        <w:t>the Charter, etc).</w:t>
      </w:r>
    </w:p>
  </w:footnote>
  <w:footnote w:id="171">
    <w:p w14:paraId="26DBF017" w14:textId="4BD554DB" w:rsidR="005950CD" w:rsidRPr="00F26EED" w:rsidRDefault="005950CD" w:rsidP="001D5459">
      <w:pPr>
        <w:pStyle w:val="FootnoteText"/>
        <w:jc w:val="both"/>
      </w:pPr>
      <w:r>
        <w:rPr>
          <w:rStyle w:val="FootnoteReference"/>
        </w:rPr>
        <w:footnoteRef/>
      </w:r>
      <w:r>
        <w:t xml:space="preserve"> See Fabbrini and Larik (n 1</w:t>
      </w:r>
      <w:r w:rsidR="004671FC">
        <w:t>26</w:t>
      </w:r>
      <w:r>
        <w:t xml:space="preserve">). </w:t>
      </w:r>
    </w:p>
  </w:footnote>
  <w:footnote w:id="172">
    <w:p w14:paraId="4A3F08D7" w14:textId="77777777" w:rsidR="005950CD" w:rsidRPr="002B18CD" w:rsidRDefault="005950CD" w:rsidP="001D5459">
      <w:pPr>
        <w:pStyle w:val="FootnoteText"/>
        <w:rPr>
          <w:rFonts w:cs="Times New Roman"/>
        </w:rPr>
      </w:pPr>
      <w:r w:rsidRPr="002B18CD">
        <w:rPr>
          <w:rStyle w:val="FootnoteReference"/>
          <w:rFonts w:cs="Times New Roman"/>
        </w:rPr>
        <w:footnoteRef/>
      </w:r>
      <w:r w:rsidRPr="002B18CD">
        <w:rPr>
          <w:rFonts w:cs="Times New Roman"/>
        </w:rPr>
        <w:t xml:space="preserve"> </w:t>
      </w:r>
      <w:r>
        <w:rPr>
          <w:rFonts w:cs="Times New Roman"/>
        </w:rPr>
        <w:t>See Art 46 ECHR.</w:t>
      </w:r>
    </w:p>
  </w:footnote>
  <w:footnote w:id="173">
    <w:p w14:paraId="6F43082E" w14:textId="77777777" w:rsidR="005950CD" w:rsidRPr="002B18CD" w:rsidRDefault="005950CD" w:rsidP="001D5459">
      <w:pPr>
        <w:pStyle w:val="FootnoteText"/>
        <w:jc w:val="both"/>
        <w:rPr>
          <w:rFonts w:cs="Times New Roman"/>
        </w:rPr>
      </w:pPr>
      <w:r w:rsidRPr="002B18CD">
        <w:rPr>
          <w:rStyle w:val="FootnoteReference"/>
          <w:rFonts w:cs="Times New Roman"/>
        </w:rPr>
        <w:footnoteRef/>
      </w:r>
      <w:r w:rsidRPr="002B18CD">
        <w:rPr>
          <w:rFonts w:cs="Times New Roman"/>
        </w:rPr>
        <w:t xml:space="preserve"> </w:t>
      </w:r>
      <w:r>
        <w:rPr>
          <w:rFonts w:cs="Times New Roman"/>
        </w:rPr>
        <w:t xml:space="preserve">Rt Hon Lady Justice Arden DBE, ‘Peaceful or problematic? The relationship between national supreme courts and supranational courts in Europe’ (2010) 29 </w:t>
      </w:r>
      <w:r w:rsidRPr="002B18CD">
        <w:rPr>
          <w:rFonts w:cs="Times New Roman"/>
          <w:i/>
        </w:rPr>
        <w:t>Yearbook of European Law</w:t>
      </w:r>
      <w:r>
        <w:rPr>
          <w:rFonts w:cs="Times New Roman"/>
        </w:rPr>
        <w:t xml:space="preserve"> 3; Merris Amos, ‘The dialogue between United Kingdom courts and the European Court of Human Rights’ (2012) 61 </w:t>
      </w:r>
      <w:r w:rsidRPr="00494E2E">
        <w:rPr>
          <w:rFonts w:cs="Times New Roman"/>
          <w:i/>
        </w:rPr>
        <w:t>International and Comparative Law Quarterly</w:t>
      </w:r>
      <w:r>
        <w:rPr>
          <w:rFonts w:cs="Times New Roman"/>
        </w:rPr>
        <w:t xml:space="preserve"> 557.</w:t>
      </w:r>
    </w:p>
  </w:footnote>
  <w:footnote w:id="174">
    <w:p w14:paraId="799DB203" w14:textId="77777777" w:rsidR="005950CD" w:rsidRPr="002B18CD" w:rsidRDefault="005950CD" w:rsidP="001D5459">
      <w:pPr>
        <w:pStyle w:val="FootnoteText"/>
        <w:jc w:val="both"/>
        <w:rPr>
          <w:rFonts w:cs="Times New Roman"/>
        </w:rPr>
      </w:pPr>
      <w:r w:rsidRPr="002B18CD">
        <w:rPr>
          <w:rStyle w:val="FootnoteReference"/>
          <w:rFonts w:cs="Times New Roman"/>
        </w:rPr>
        <w:footnoteRef/>
      </w:r>
      <w:r w:rsidRPr="002B18CD">
        <w:rPr>
          <w:rFonts w:cs="Times New Roman"/>
        </w:rPr>
        <w:t xml:space="preserve"> Dean Spielmann</w:t>
      </w:r>
      <w:r>
        <w:rPr>
          <w:rFonts w:cs="Times New Roman"/>
        </w:rPr>
        <w:t>, ‘</w:t>
      </w:r>
      <w:r w:rsidRPr="002B18CD">
        <w:rPr>
          <w:rFonts w:cs="Times New Roman"/>
        </w:rPr>
        <w:t>Judgments of the European Court of Human Rights</w:t>
      </w:r>
      <w:r>
        <w:rPr>
          <w:rFonts w:cs="Times New Roman"/>
        </w:rPr>
        <w:t>: Effects and i</w:t>
      </w:r>
      <w:r w:rsidRPr="002B18CD">
        <w:rPr>
          <w:rFonts w:cs="Times New Roman"/>
        </w:rPr>
        <w:t>mplementation</w:t>
      </w:r>
      <w:r>
        <w:rPr>
          <w:rFonts w:cs="Times New Roman"/>
        </w:rPr>
        <w:t xml:space="preserve">’ (2013) </w:t>
      </w:r>
      <w:r w:rsidRPr="002B18CD">
        <w:rPr>
          <w:rFonts w:cs="Times New Roman"/>
        </w:rPr>
        <w:t>Conference at the Paulinerkirche Göttingen</w:t>
      </w:r>
      <w:r>
        <w:rPr>
          <w:rFonts w:cs="Times New Roman"/>
        </w:rPr>
        <w:t xml:space="preserve"> </w:t>
      </w:r>
      <w:r w:rsidRPr="002B18CD">
        <w:rPr>
          <w:rFonts w:cs="Times New Roman"/>
        </w:rPr>
        <w:t>Georg-August-University, Göttingen</w:t>
      </w:r>
      <w:r>
        <w:rPr>
          <w:rFonts w:cs="Times New Roman"/>
        </w:rPr>
        <w:t xml:space="preserve">, available at: </w:t>
      </w:r>
      <w:r w:rsidRPr="002B18CD">
        <w:rPr>
          <w:rFonts w:cs="Times New Roman"/>
        </w:rPr>
        <w:t>www.echr.coe.int/Documents/Speech_20130920_Spielmann_Gottingen_ENG.pdf</w:t>
      </w:r>
      <w:r>
        <w:rPr>
          <w:rFonts w:cs="Times New Roman"/>
        </w:rPr>
        <w:t>, p. 4.</w:t>
      </w:r>
    </w:p>
  </w:footnote>
  <w:footnote w:id="175">
    <w:p w14:paraId="31C30D1C" w14:textId="77777777" w:rsidR="005950CD" w:rsidRDefault="005950CD" w:rsidP="00CA4AB9">
      <w:pPr>
        <w:pStyle w:val="FootnoteText"/>
        <w:jc w:val="both"/>
      </w:pPr>
      <w:r>
        <w:rPr>
          <w:rStyle w:val="FootnoteReference"/>
        </w:rPr>
        <w:footnoteRef/>
      </w:r>
      <w:r>
        <w:t xml:space="preserve"> See, for example, </w:t>
      </w:r>
      <w:r>
        <w:rPr>
          <w:rFonts w:eastAsia="Times New Roman" w:cs="Times New Roman"/>
          <w:i/>
          <w:iCs/>
          <w:color w:val="000000"/>
          <w:lang w:val="en-US" w:eastAsia="en-GB"/>
        </w:rPr>
        <w:t>D.H. and Others</w:t>
      </w:r>
      <w:r>
        <w:rPr>
          <w:rFonts w:eastAsia="Times New Roman" w:cs="Times New Roman"/>
          <w:color w:val="000000"/>
          <w:lang w:val="en-US" w:eastAsia="en-GB"/>
        </w:rPr>
        <w:t xml:space="preserve"> v </w:t>
      </w:r>
      <w:r>
        <w:rPr>
          <w:rFonts w:eastAsia="Times New Roman" w:cs="Times New Roman"/>
          <w:i/>
          <w:iCs/>
          <w:color w:val="000000"/>
          <w:lang w:val="en-US" w:eastAsia="en-GB"/>
        </w:rPr>
        <w:t>Czech Republic</w:t>
      </w:r>
      <w:r>
        <w:rPr>
          <w:rFonts w:eastAsia="Times New Roman" w:cs="Times New Roman"/>
          <w:color w:val="000000"/>
          <w:lang w:val="en-US" w:eastAsia="en-GB"/>
        </w:rPr>
        <w:t xml:space="preserve"> </w:t>
      </w:r>
      <w:r w:rsidR="00661A1D">
        <w:rPr>
          <w:rFonts w:eastAsia="Times New Roman" w:cs="Times New Roman"/>
          <w:color w:val="000000"/>
          <w:lang w:val="en-US" w:eastAsia="en-GB"/>
        </w:rPr>
        <w:t xml:space="preserve">(n 94) </w:t>
      </w:r>
      <w:r>
        <w:rPr>
          <w:rFonts w:eastAsia="Times New Roman" w:cs="Times New Roman"/>
          <w:color w:val="000000"/>
          <w:lang w:val="en-US" w:eastAsia="en-GB"/>
        </w:rPr>
        <w:t xml:space="preserve">(on </w:t>
      </w:r>
      <w:r>
        <w:t>systemic problems of discrimination affecting minorities).</w:t>
      </w:r>
    </w:p>
  </w:footnote>
  <w:footnote w:id="176">
    <w:p w14:paraId="22DAB3EE" w14:textId="77777777" w:rsidR="00E2584D" w:rsidRPr="00502A67" w:rsidRDefault="00E2584D">
      <w:pPr>
        <w:pStyle w:val="FootnoteText"/>
      </w:pPr>
      <w:r>
        <w:rPr>
          <w:rStyle w:val="FootnoteReference"/>
        </w:rPr>
        <w:footnoteRef/>
      </w:r>
      <w:r w:rsidR="00843301" w:rsidRPr="00502A67">
        <w:t xml:space="preserve"> Arai-Takahashi (n 11</w:t>
      </w:r>
      <w:r w:rsidRPr="00502A67">
        <w:t>) 203-204; Dzehtsiarou (n 1</w:t>
      </w:r>
      <w:r w:rsidR="000608D4" w:rsidRPr="00502A67">
        <w:t>4</w:t>
      </w:r>
      <w:r w:rsidRPr="00502A67">
        <w:t>) 132-133.</w:t>
      </w:r>
    </w:p>
  </w:footnote>
  <w:footnote w:id="177">
    <w:p w14:paraId="3B357340" w14:textId="77777777" w:rsidR="005950CD" w:rsidRDefault="005950CD" w:rsidP="001D5459">
      <w:pPr>
        <w:pStyle w:val="FootnoteText"/>
      </w:pPr>
      <w:r>
        <w:rPr>
          <w:rStyle w:val="FootnoteReference"/>
        </w:rPr>
        <w:footnoteRef/>
      </w:r>
      <w:r w:rsidR="00531224">
        <w:t xml:space="preserve"> See Rozakis (n 25</w:t>
      </w:r>
      <w:r>
        <w:t>).</w:t>
      </w:r>
    </w:p>
  </w:footnote>
  <w:footnote w:id="178">
    <w:p w14:paraId="0C932429" w14:textId="77777777" w:rsidR="005950CD" w:rsidRPr="00C60068" w:rsidRDefault="005950CD" w:rsidP="001D5459">
      <w:pPr>
        <w:pStyle w:val="FootnoteText"/>
        <w:jc w:val="both"/>
      </w:pPr>
      <w:r>
        <w:rPr>
          <w:rStyle w:val="FootnoteReference"/>
        </w:rPr>
        <w:footnoteRef/>
      </w:r>
      <w:r>
        <w:t xml:space="preserve"> Johan Karlsson Schaffer, Andreas Follesdal and Geir Ulfstein, ‘International human rights and the </w:t>
      </w:r>
      <w:r w:rsidRPr="00C60068">
        <w:t>challenge of le</w:t>
      </w:r>
      <w:r>
        <w:t>gi</w:t>
      </w:r>
      <w:r w:rsidRPr="00C60068">
        <w:t xml:space="preserve">timacy’ in </w:t>
      </w:r>
      <w:r>
        <w:t xml:space="preserve">Andreas Follesdal, Johan Karlsson Schaffer and Geir Ulfstein (eds) </w:t>
      </w:r>
      <w:r w:rsidRPr="0015669E">
        <w:rPr>
          <w:i/>
        </w:rPr>
        <w:t>The legitimacy of International Human Rights regimes: Legal, political and philosophical perspectives</w:t>
      </w:r>
      <w:r>
        <w:t xml:space="preserve"> (Cambridge University Press 2013)</w:t>
      </w:r>
      <w:r w:rsidRPr="0015669E">
        <w:t xml:space="preserve"> </w:t>
      </w:r>
      <w:r w:rsidRPr="00C60068">
        <w:t>1, at 13.</w:t>
      </w:r>
    </w:p>
  </w:footnote>
  <w:footnote w:id="179">
    <w:p w14:paraId="03DEFE6F" w14:textId="77777777" w:rsidR="005950CD" w:rsidRDefault="005950CD" w:rsidP="00001453">
      <w:pPr>
        <w:pStyle w:val="FootnoteText"/>
        <w:jc w:val="both"/>
      </w:pPr>
      <w:r>
        <w:rPr>
          <w:rStyle w:val="FootnoteReference"/>
        </w:rPr>
        <w:footnoteRef/>
      </w:r>
      <w:r>
        <w:t xml:space="preserve"> See </w:t>
      </w:r>
      <w:r w:rsidR="00E8398D" w:rsidRPr="004D28DF">
        <w:rPr>
          <w:i/>
        </w:rPr>
        <w:t>Evans</w:t>
      </w:r>
      <w:r w:rsidR="00E8398D" w:rsidRPr="004D28DF">
        <w:t xml:space="preserve"> v </w:t>
      </w:r>
      <w:r w:rsidR="00E8398D" w:rsidRPr="004D28DF">
        <w:rPr>
          <w:i/>
        </w:rPr>
        <w:t>the United Kingdom</w:t>
      </w:r>
      <w:r w:rsidR="00E8398D" w:rsidRPr="00532B79">
        <w:rPr>
          <w:i/>
        </w:rPr>
        <w:t xml:space="preserve"> </w:t>
      </w:r>
      <w:r>
        <w:t>(n</w:t>
      </w:r>
      <w:r w:rsidR="004F776D">
        <w:t xml:space="preserve"> 85</w:t>
      </w:r>
      <w:r>
        <w:t xml:space="preserve">) para 77; </w:t>
      </w:r>
      <w:r w:rsidRPr="00001453">
        <w:rPr>
          <w:i/>
        </w:rPr>
        <w:t>A, B and C</w:t>
      </w:r>
      <w:r>
        <w:t xml:space="preserve"> v </w:t>
      </w:r>
      <w:r w:rsidRPr="00001453">
        <w:rPr>
          <w:i/>
        </w:rPr>
        <w:t>Ireland</w:t>
      </w:r>
      <w:r>
        <w:t xml:space="preserve"> (n </w:t>
      </w:r>
      <w:r w:rsidR="004F776D">
        <w:t>37</w:t>
      </w:r>
      <w:r>
        <w:t xml:space="preserve">) para 232; </w:t>
      </w:r>
      <w:r w:rsidRPr="00CA77EE">
        <w:rPr>
          <w:i/>
        </w:rPr>
        <w:t>X and Others</w:t>
      </w:r>
      <w:r>
        <w:t xml:space="preserve"> v </w:t>
      </w:r>
      <w:r w:rsidRPr="00CA77EE">
        <w:rPr>
          <w:i/>
        </w:rPr>
        <w:t xml:space="preserve">Austria </w:t>
      </w:r>
      <w:r>
        <w:t>(n</w:t>
      </w:r>
      <w:r w:rsidR="007E1043">
        <w:t xml:space="preserve"> 79</w:t>
      </w:r>
      <w:r>
        <w:t xml:space="preserve">) para 148; </w:t>
      </w:r>
      <w:r w:rsidRPr="008A33A0">
        <w:rPr>
          <w:i/>
        </w:rPr>
        <w:t>Hämäläinen</w:t>
      </w:r>
      <w:r>
        <w:t xml:space="preserve"> v</w:t>
      </w:r>
      <w:r w:rsidRPr="008A33A0">
        <w:t xml:space="preserve"> </w:t>
      </w:r>
      <w:r w:rsidRPr="008A33A0">
        <w:rPr>
          <w:i/>
        </w:rPr>
        <w:t>Finland</w:t>
      </w:r>
      <w:r w:rsidR="004F776D">
        <w:t xml:space="preserve"> (n 97</w:t>
      </w:r>
      <w:r w:rsidR="00001453">
        <w:t>)</w:t>
      </w:r>
      <w:r>
        <w:t xml:space="preserve"> para 67.</w:t>
      </w:r>
      <w:r w:rsidR="00964D6A">
        <w:t xml:space="preserve"> In </w:t>
      </w:r>
      <w:r w:rsidR="00964D6A" w:rsidRPr="00964D6A">
        <w:rPr>
          <w:i/>
        </w:rPr>
        <w:t>S. and Marper</w:t>
      </w:r>
      <w:r w:rsidR="00964D6A">
        <w:t xml:space="preserve"> v </w:t>
      </w:r>
      <w:r w:rsidR="00964D6A" w:rsidRPr="00964D6A">
        <w:rPr>
          <w:i/>
        </w:rPr>
        <w:t>the United Kingdom</w:t>
      </w:r>
      <w:r w:rsidR="00964D6A">
        <w:t xml:space="preserve"> (n 8</w:t>
      </w:r>
      <w:r w:rsidR="004F776D">
        <w:t>5</w:t>
      </w:r>
      <w:r w:rsidR="00964D6A">
        <w:t>) para 102, the phrase ‘</w:t>
      </w:r>
      <w:r w:rsidR="00964D6A" w:rsidRPr="00964D6A">
        <w:t>particularly where the case raises sensitive moral or ethical issues</w:t>
      </w:r>
      <w:r w:rsidR="00964D6A">
        <w:t>’ was omitted.</w:t>
      </w:r>
    </w:p>
  </w:footnote>
  <w:footnote w:id="180">
    <w:p w14:paraId="1CD38B05" w14:textId="77777777" w:rsidR="005950CD" w:rsidRDefault="005950CD" w:rsidP="00001453">
      <w:pPr>
        <w:pStyle w:val="FootnoteText"/>
        <w:jc w:val="both"/>
      </w:pPr>
      <w:r>
        <w:rPr>
          <w:rStyle w:val="FootnoteReference"/>
        </w:rPr>
        <w:footnoteRef/>
      </w:r>
      <w:r w:rsidRPr="00502A67">
        <w:rPr>
          <w:lang w:val="de-DE"/>
        </w:rPr>
        <w:t xml:space="preserve"> </w:t>
      </w:r>
      <w:r w:rsidRPr="00502A67">
        <w:rPr>
          <w:i/>
          <w:lang w:val="de-DE"/>
        </w:rPr>
        <w:t>Rasmussen</w:t>
      </w:r>
      <w:r w:rsidRPr="00502A67">
        <w:rPr>
          <w:lang w:val="de-DE"/>
        </w:rPr>
        <w:t xml:space="preserve"> </w:t>
      </w:r>
      <w:r w:rsidR="00C46496" w:rsidRPr="00502A67">
        <w:rPr>
          <w:lang w:val="de-DE"/>
        </w:rPr>
        <w:t xml:space="preserve">v </w:t>
      </w:r>
      <w:r w:rsidR="00C46496" w:rsidRPr="00502A67">
        <w:rPr>
          <w:i/>
          <w:lang w:val="de-DE"/>
        </w:rPr>
        <w:t>Denmark</w:t>
      </w:r>
      <w:r w:rsidR="00C46496" w:rsidRPr="00502A67">
        <w:rPr>
          <w:lang w:val="de-DE"/>
        </w:rPr>
        <w:t xml:space="preserve"> </w:t>
      </w:r>
      <w:r w:rsidRPr="00502A67">
        <w:rPr>
          <w:lang w:val="de-DE"/>
        </w:rPr>
        <w:t>(n</w:t>
      </w:r>
      <w:r w:rsidR="004F776D" w:rsidRPr="00502A67">
        <w:rPr>
          <w:lang w:val="de-DE"/>
        </w:rPr>
        <w:t xml:space="preserve"> 100</w:t>
      </w:r>
      <w:r w:rsidRPr="00502A67">
        <w:rPr>
          <w:lang w:val="de-DE"/>
        </w:rPr>
        <w:t xml:space="preserve">) para 40. </w:t>
      </w:r>
      <w:r>
        <w:t xml:space="preserve">See also </w:t>
      </w:r>
      <w:r w:rsidR="00001453" w:rsidRPr="00BC659B">
        <w:rPr>
          <w:i/>
        </w:rPr>
        <w:t>Glor</w:t>
      </w:r>
      <w:r w:rsidR="00001453">
        <w:t xml:space="preserve"> v</w:t>
      </w:r>
      <w:r w:rsidR="00001453" w:rsidRPr="00001453">
        <w:t xml:space="preserve"> </w:t>
      </w:r>
      <w:r w:rsidR="00001453" w:rsidRPr="00BC659B">
        <w:rPr>
          <w:i/>
        </w:rPr>
        <w:t>Switzerland</w:t>
      </w:r>
      <w:r w:rsidR="00001453">
        <w:t xml:space="preserve">, Application </w:t>
      </w:r>
      <w:r w:rsidR="00001453" w:rsidRPr="00001453">
        <w:t>13444/04</w:t>
      </w:r>
      <w:r w:rsidR="00001453">
        <w:t>, 30 April 2009, para 75;</w:t>
      </w:r>
      <w:r>
        <w:t xml:space="preserve"> and </w:t>
      </w:r>
      <w:r w:rsidRPr="00001453">
        <w:rPr>
          <w:i/>
        </w:rPr>
        <w:t>Petrovic</w:t>
      </w:r>
      <w:r>
        <w:t xml:space="preserve"> v </w:t>
      </w:r>
      <w:r w:rsidRPr="00001453">
        <w:rPr>
          <w:i/>
        </w:rPr>
        <w:t>Austria</w:t>
      </w:r>
      <w:r>
        <w:t xml:space="preserve"> (n</w:t>
      </w:r>
      <w:r w:rsidR="009109A1">
        <w:t xml:space="preserve"> 85</w:t>
      </w:r>
      <w:r>
        <w:t>) para 38, concerning Article 14 in conjunction with Article 8 ECHR.</w:t>
      </w:r>
    </w:p>
  </w:footnote>
  <w:footnote w:id="181">
    <w:p w14:paraId="7A88F61C" w14:textId="77777777" w:rsidR="005950CD" w:rsidRPr="00502A67" w:rsidRDefault="005950CD" w:rsidP="005D576B">
      <w:pPr>
        <w:pStyle w:val="FootnoteText"/>
      </w:pPr>
      <w:r>
        <w:rPr>
          <w:rStyle w:val="FootnoteReference"/>
        </w:rPr>
        <w:footnoteRef/>
      </w:r>
      <w:r w:rsidRPr="00502A67">
        <w:t xml:space="preserve"> </w:t>
      </w:r>
      <w:r w:rsidRPr="00502A67">
        <w:rPr>
          <w:i/>
        </w:rPr>
        <w:t>Sitaropoulos and Giakoumopoulos</w:t>
      </w:r>
      <w:r w:rsidRPr="00502A67">
        <w:t xml:space="preserve"> </w:t>
      </w:r>
      <w:r w:rsidR="00E8398D" w:rsidRPr="00502A67">
        <w:t xml:space="preserve">v </w:t>
      </w:r>
      <w:r w:rsidR="00E8398D" w:rsidRPr="00502A67">
        <w:rPr>
          <w:i/>
        </w:rPr>
        <w:t>Greece</w:t>
      </w:r>
      <w:r w:rsidR="00E8398D" w:rsidRPr="00502A67">
        <w:t xml:space="preserve"> </w:t>
      </w:r>
      <w:r w:rsidRPr="00502A67">
        <w:rPr>
          <w:i/>
        </w:rPr>
        <w:t>(Grand Chamber)</w:t>
      </w:r>
      <w:r w:rsidRPr="00502A67">
        <w:t xml:space="preserve"> (n</w:t>
      </w:r>
      <w:r w:rsidR="004F776D" w:rsidRPr="00502A67">
        <w:t xml:space="preserve"> 33</w:t>
      </w:r>
      <w:r w:rsidRPr="00502A67">
        <w:t>) para 66.</w:t>
      </w:r>
    </w:p>
  </w:footnote>
  <w:footnote w:id="182">
    <w:p w14:paraId="73569252" w14:textId="77777777" w:rsidR="005950CD" w:rsidRDefault="005950CD" w:rsidP="005D576B">
      <w:pPr>
        <w:pStyle w:val="FootnoteText"/>
      </w:pPr>
      <w:r>
        <w:rPr>
          <w:rStyle w:val="FootnoteReference"/>
        </w:rPr>
        <w:footnoteRef/>
      </w:r>
      <w:r>
        <w:t xml:space="preserve"> </w:t>
      </w:r>
      <w:r w:rsidRPr="00001453">
        <w:rPr>
          <w:i/>
        </w:rPr>
        <w:t>Khamtokhu and Aksenchik</w:t>
      </w:r>
      <w:r w:rsidRPr="000B4148">
        <w:t xml:space="preserve"> v </w:t>
      </w:r>
      <w:r w:rsidRPr="00001453">
        <w:rPr>
          <w:i/>
        </w:rPr>
        <w:t>Russia</w:t>
      </w:r>
      <w:r>
        <w:t xml:space="preserve"> (n</w:t>
      </w:r>
      <w:r w:rsidR="004F776D">
        <w:t xml:space="preserve"> 85</w:t>
      </w:r>
      <w:r>
        <w:t>) para 79.</w:t>
      </w:r>
    </w:p>
  </w:footnote>
  <w:footnote w:id="183">
    <w:p w14:paraId="5B384142" w14:textId="77777777" w:rsidR="005950CD" w:rsidRPr="00502A67" w:rsidRDefault="005950CD" w:rsidP="005D576B">
      <w:pPr>
        <w:pStyle w:val="FootnoteText"/>
      </w:pPr>
      <w:r>
        <w:rPr>
          <w:rStyle w:val="FootnoteReference"/>
        </w:rPr>
        <w:footnoteRef/>
      </w:r>
      <w:r w:rsidRPr="00502A67">
        <w:t xml:space="preserve"> </w:t>
      </w:r>
      <w:r w:rsidR="00001453" w:rsidRPr="009B00DB">
        <w:rPr>
          <w:i/>
        </w:rPr>
        <w:t>Hamidović</w:t>
      </w:r>
      <w:r w:rsidR="00001453">
        <w:t xml:space="preserve"> v</w:t>
      </w:r>
      <w:r w:rsidR="00001453" w:rsidRPr="009B00DB">
        <w:t xml:space="preserve"> </w:t>
      </w:r>
      <w:r w:rsidR="00001453" w:rsidRPr="009B00DB">
        <w:rPr>
          <w:i/>
        </w:rPr>
        <w:t>Bosnia and Herzegovina</w:t>
      </w:r>
      <w:r w:rsidR="00001453" w:rsidRPr="00502A67">
        <w:t xml:space="preserve"> </w:t>
      </w:r>
      <w:r w:rsidRPr="00502A67">
        <w:t>(n</w:t>
      </w:r>
      <w:r w:rsidR="004F776D" w:rsidRPr="00502A67">
        <w:t xml:space="preserve"> 95</w:t>
      </w:r>
      <w:r w:rsidRPr="00502A67">
        <w:t xml:space="preserve">) para 38; </w:t>
      </w:r>
      <w:r w:rsidRPr="00502A67">
        <w:rPr>
          <w:i/>
        </w:rPr>
        <w:t>S.A.S.</w:t>
      </w:r>
      <w:r w:rsidRPr="00502A67">
        <w:t xml:space="preserve"> v </w:t>
      </w:r>
      <w:r w:rsidRPr="00502A67">
        <w:rPr>
          <w:i/>
        </w:rPr>
        <w:t>France</w:t>
      </w:r>
      <w:r w:rsidRPr="00502A67">
        <w:t xml:space="preserve"> (n</w:t>
      </w:r>
      <w:r w:rsidR="004F776D" w:rsidRPr="00502A67">
        <w:t xml:space="preserve"> 95</w:t>
      </w:r>
      <w:r w:rsidRPr="00502A67">
        <w:t xml:space="preserve">) para 129. </w:t>
      </w:r>
    </w:p>
  </w:footnote>
  <w:footnote w:id="184">
    <w:p w14:paraId="182C695B" w14:textId="3BC898B4" w:rsidR="0041524B" w:rsidRDefault="0041524B" w:rsidP="0041524B">
      <w:pPr>
        <w:pStyle w:val="FootnoteText"/>
        <w:jc w:val="both"/>
      </w:pPr>
      <w:r>
        <w:rPr>
          <w:rStyle w:val="FootnoteReference"/>
        </w:rPr>
        <w:footnoteRef/>
      </w:r>
      <w:r>
        <w:t xml:space="preserve"> For example, a definition along the following lines can be proposed: </w:t>
      </w:r>
      <w:r w:rsidRPr="0041524B">
        <w:rPr>
          <w:i/>
        </w:rPr>
        <w:t xml:space="preserve">in order to decide whether states should be granted the margin of appreciation, one of the factors that the Court may take into consideration, where appropriate, is the presence or lack of consensus. The presence or absence of consensus is often, but not always, </w:t>
      </w:r>
      <w:r w:rsidR="00F7246D">
        <w:rPr>
          <w:i/>
        </w:rPr>
        <w:t>influential in</w:t>
      </w:r>
      <w:r w:rsidRPr="0041524B">
        <w:rPr>
          <w:i/>
        </w:rPr>
        <w:t xml:space="preserve"> the decision on the margin of appreciation</w:t>
      </w:r>
      <w:r w:rsidRPr="0041524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CF36" w14:textId="05B8A532" w:rsidR="00505668" w:rsidRDefault="00505668">
    <w:pPr>
      <w:pStyle w:val="Header"/>
    </w:pPr>
    <w:r>
      <w:t xml:space="preserve">Accepted on 1 November 2018. Forthcoming in 25(3) </w:t>
    </w:r>
    <w:r w:rsidRPr="00505668">
      <w:rPr>
        <w:i/>
      </w:rPr>
      <w:t>European Public Law</w:t>
    </w:r>
    <w: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93"/>
    <w:rsid w:val="00001453"/>
    <w:rsid w:val="00003CFA"/>
    <w:rsid w:val="00013931"/>
    <w:rsid w:val="00014968"/>
    <w:rsid w:val="000171D5"/>
    <w:rsid w:val="00017244"/>
    <w:rsid w:val="000177B5"/>
    <w:rsid w:val="000236A4"/>
    <w:rsid w:val="000269CC"/>
    <w:rsid w:val="00031DD6"/>
    <w:rsid w:val="000416A9"/>
    <w:rsid w:val="00041AB1"/>
    <w:rsid w:val="0005094C"/>
    <w:rsid w:val="00055972"/>
    <w:rsid w:val="00056BD2"/>
    <w:rsid w:val="000608D4"/>
    <w:rsid w:val="000631C0"/>
    <w:rsid w:val="0006333A"/>
    <w:rsid w:val="00064C72"/>
    <w:rsid w:val="00066B6B"/>
    <w:rsid w:val="00073A7E"/>
    <w:rsid w:val="00073BD6"/>
    <w:rsid w:val="00080AB7"/>
    <w:rsid w:val="00085116"/>
    <w:rsid w:val="000900C5"/>
    <w:rsid w:val="00091245"/>
    <w:rsid w:val="00093E69"/>
    <w:rsid w:val="000A03F3"/>
    <w:rsid w:val="000A595A"/>
    <w:rsid w:val="000B0009"/>
    <w:rsid w:val="000B18E7"/>
    <w:rsid w:val="000B4148"/>
    <w:rsid w:val="000C0D7D"/>
    <w:rsid w:val="000C2E30"/>
    <w:rsid w:val="000C3C52"/>
    <w:rsid w:val="000C661A"/>
    <w:rsid w:val="000C6635"/>
    <w:rsid w:val="000D38CB"/>
    <w:rsid w:val="000D6C66"/>
    <w:rsid w:val="000D796C"/>
    <w:rsid w:val="000E02C4"/>
    <w:rsid w:val="000E26D7"/>
    <w:rsid w:val="000E5612"/>
    <w:rsid w:val="000F4ADD"/>
    <w:rsid w:val="00100528"/>
    <w:rsid w:val="00100F2A"/>
    <w:rsid w:val="00103282"/>
    <w:rsid w:val="0011566B"/>
    <w:rsid w:val="00122AE0"/>
    <w:rsid w:val="00124210"/>
    <w:rsid w:val="00124CBF"/>
    <w:rsid w:val="00130C80"/>
    <w:rsid w:val="00133997"/>
    <w:rsid w:val="00134982"/>
    <w:rsid w:val="00140C1D"/>
    <w:rsid w:val="00140F44"/>
    <w:rsid w:val="001412A1"/>
    <w:rsid w:val="001427B7"/>
    <w:rsid w:val="00145916"/>
    <w:rsid w:val="00151E26"/>
    <w:rsid w:val="0015783D"/>
    <w:rsid w:val="00166B2A"/>
    <w:rsid w:val="001676CF"/>
    <w:rsid w:val="00173532"/>
    <w:rsid w:val="0017446D"/>
    <w:rsid w:val="00176683"/>
    <w:rsid w:val="001A1A17"/>
    <w:rsid w:val="001A4617"/>
    <w:rsid w:val="001B367B"/>
    <w:rsid w:val="001B637B"/>
    <w:rsid w:val="001C0C22"/>
    <w:rsid w:val="001C1AAA"/>
    <w:rsid w:val="001D5459"/>
    <w:rsid w:val="001D6C6C"/>
    <w:rsid w:val="001E2897"/>
    <w:rsid w:val="001F0B3E"/>
    <w:rsid w:val="001F367B"/>
    <w:rsid w:val="001F67DF"/>
    <w:rsid w:val="0021032D"/>
    <w:rsid w:val="002241DD"/>
    <w:rsid w:val="0022498B"/>
    <w:rsid w:val="00225149"/>
    <w:rsid w:val="00227379"/>
    <w:rsid w:val="002353C5"/>
    <w:rsid w:val="00235C92"/>
    <w:rsid w:val="00243550"/>
    <w:rsid w:val="00245860"/>
    <w:rsid w:val="00254872"/>
    <w:rsid w:val="002562AF"/>
    <w:rsid w:val="00265ADE"/>
    <w:rsid w:val="00273D28"/>
    <w:rsid w:val="002773A2"/>
    <w:rsid w:val="002820AB"/>
    <w:rsid w:val="00285C09"/>
    <w:rsid w:val="00287FCB"/>
    <w:rsid w:val="00292598"/>
    <w:rsid w:val="0029441C"/>
    <w:rsid w:val="0029526F"/>
    <w:rsid w:val="002A29AF"/>
    <w:rsid w:val="002B0F6E"/>
    <w:rsid w:val="002B6799"/>
    <w:rsid w:val="002C0168"/>
    <w:rsid w:val="002C7FAE"/>
    <w:rsid w:val="002D053F"/>
    <w:rsid w:val="002E1E26"/>
    <w:rsid w:val="002E2510"/>
    <w:rsid w:val="002E3D92"/>
    <w:rsid w:val="002F2207"/>
    <w:rsid w:val="002F423E"/>
    <w:rsid w:val="002F62D6"/>
    <w:rsid w:val="00302E85"/>
    <w:rsid w:val="003064E0"/>
    <w:rsid w:val="0030790E"/>
    <w:rsid w:val="00311148"/>
    <w:rsid w:val="00315B80"/>
    <w:rsid w:val="00320F6B"/>
    <w:rsid w:val="00323095"/>
    <w:rsid w:val="003269F8"/>
    <w:rsid w:val="003270D5"/>
    <w:rsid w:val="00333DD5"/>
    <w:rsid w:val="00334D22"/>
    <w:rsid w:val="00336827"/>
    <w:rsid w:val="0034181F"/>
    <w:rsid w:val="00341BD1"/>
    <w:rsid w:val="00345551"/>
    <w:rsid w:val="00346B07"/>
    <w:rsid w:val="00354826"/>
    <w:rsid w:val="00355BD2"/>
    <w:rsid w:val="00361DE0"/>
    <w:rsid w:val="00362B64"/>
    <w:rsid w:val="00363485"/>
    <w:rsid w:val="00363593"/>
    <w:rsid w:val="00364112"/>
    <w:rsid w:val="00367462"/>
    <w:rsid w:val="00370BEE"/>
    <w:rsid w:val="00370D97"/>
    <w:rsid w:val="003801C9"/>
    <w:rsid w:val="00381339"/>
    <w:rsid w:val="003841B8"/>
    <w:rsid w:val="003852DA"/>
    <w:rsid w:val="00395753"/>
    <w:rsid w:val="00396DBE"/>
    <w:rsid w:val="003A0FD9"/>
    <w:rsid w:val="003B1F92"/>
    <w:rsid w:val="003B2B55"/>
    <w:rsid w:val="003B2E0C"/>
    <w:rsid w:val="003B38A9"/>
    <w:rsid w:val="003B6C5C"/>
    <w:rsid w:val="003B6CC4"/>
    <w:rsid w:val="003C33E4"/>
    <w:rsid w:val="003C5897"/>
    <w:rsid w:val="003C7E4B"/>
    <w:rsid w:val="003E0F2D"/>
    <w:rsid w:val="003E2D67"/>
    <w:rsid w:val="003E7DEF"/>
    <w:rsid w:val="004014D3"/>
    <w:rsid w:val="004055B3"/>
    <w:rsid w:val="00413093"/>
    <w:rsid w:val="00413BC1"/>
    <w:rsid w:val="0041524B"/>
    <w:rsid w:val="0041686E"/>
    <w:rsid w:val="004178D1"/>
    <w:rsid w:val="0042572F"/>
    <w:rsid w:val="004269FB"/>
    <w:rsid w:val="00427348"/>
    <w:rsid w:val="00427F4D"/>
    <w:rsid w:val="00433A17"/>
    <w:rsid w:val="004416BD"/>
    <w:rsid w:val="00443507"/>
    <w:rsid w:val="00446863"/>
    <w:rsid w:val="004557E5"/>
    <w:rsid w:val="00456FE5"/>
    <w:rsid w:val="00463C9F"/>
    <w:rsid w:val="00464EC6"/>
    <w:rsid w:val="004671FC"/>
    <w:rsid w:val="00470F52"/>
    <w:rsid w:val="004738C2"/>
    <w:rsid w:val="0047517A"/>
    <w:rsid w:val="0047588A"/>
    <w:rsid w:val="00475939"/>
    <w:rsid w:val="00482793"/>
    <w:rsid w:val="00484707"/>
    <w:rsid w:val="00484D81"/>
    <w:rsid w:val="004878C7"/>
    <w:rsid w:val="00492375"/>
    <w:rsid w:val="00496D28"/>
    <w:rsid w:val="004A78E6"/>
    <w:rsid w:val="004B7624"/>
    <w:rsid w:val="004C0488"/>
    <w:rsid w:val="004C61EC"/>
    <w:rsid w:val="004C6D22"/>
    <w:rsid w:val="004D28DF"/>
    <w:rsid w:val="004E1F5E"/>
    <w:rsid w:val="004F0591"/>
    <w:rsid w:val="004F3302"/>
    <w:rsid w:val="004F71E0"/>
    <w:rsid w:val="004F776D"/>
    <w:rsid w:val="005007A0"/>
    <w:rsid w:val="00502A67"/>
    <w:rsid w:val="0050496C"/>
    <w:rsid w:val="00505668"/>
    <w:rsid w:val="00507967"/>
    <w:rsid w:val="0051440B"/>
    <w:rsid w:val="005158D0"/>
    <w:rsid w:val="00520D5F"/>
    <w:rsid w:val="005259EA"/>
    <w:rsid w:val="005274F5"/>
    <w:rsid w:val="005305B7"/>
    <w:rsid w:val="00531224"/>
    <w:rsid w:val="00532B79"/>
    <w:rsid w:val="00543170"/>
    <w:rsid w:val="005432B8"/>
    <w:rsid w:val="005450AB"/>
    <w:rsid w:val="00553C5C"/>
    <w:rsid w:val="00566449"/>
    <w:rsid w:val="0057286F"/>
    <w:rsid w:val="0059034D"/>
    <w:rsid w:val="005932A8"/>
    <w:rsid w:val="00594C1D"/>
    <w:rsid w:val="005950CD"/>
    <w:rsid w:val="005A1F00"/>
    <w:rsid w:val="005A2A06"/>
    <w:rsid w:val="005A7231"/>
    <w:rsid w:val="005B30D5"/>
    <w:rsid w:val="005B549F"/>
    <w:rsid w:val="005C31F8"/>
    <w:rsid w:val="005C5413"/>
    <w:rsid w:val="005D5665"/>
    <w:rsid w:val="005D576B"/>
    <w:rsid w:val="005E07B5"/>
    <w:rsid w:val="005E12A5"/>
    <w:rsid w:val="005E765F"/>
    <w:rsid w:val="00600383"/>
    <w:rsid w:val="00601EF8"/>
    <w:rsid w:val="00606835"/>
    <w:rsid w:val="00611DE9"/>
    <w:rsid w:val="006124CE"/>
    <w:rsid w:val="006143BE"/>
    <w:rsid w:val="006165F2"/>
    <w:rsid w:val="006219DA"/>
    <w:rsid w:val="006249D4"/>
    <w:rsid w:val="00626DD5"/>
    <w:rsid w:val="006308D0"/>
    <w:rsid w:val="00637AB9"/>
    <w:rsid w:val="00642CC2"/>
    <w:rsid w:val="00643150"/>
    <w:rsid w:val="006441F9"/>
    <w:rsid w:val="00646C30"/>
    <w:rsid w:val="00647BFA"/>
    <w:rsid w:val="00647F87"/>
    <w:rsid w:val="00661A1D"/>
    <w:rsid w:val="00671624"/>
    <w:rsid w:val="006734C3"/>
    <w:rsid w:val="00673F03"/>
    <w:rsid w:val="00677E8F"/>
    <w:rsid w:val="00682393"/>
    <w:rsid w:val="00683F46"/>
    <w:rsid w:val="00685A57"/>
    <w:rsid w:val="00687C9E"/>
    <w:rsid w:val="00691F52"/>
    <w:rsid w:val="006969C7"/>
    <w:rsid w:val="006A7C7E"/>
    <w:rsid w:val="006B29B2"/>
    <w:rsid w:val="006B30BF"/>
    <w:rsid w:val="006C0CAD"/>
    <w:rsid w:val="006C5254"/>
    <w:rsid w:val="006C5661"/>
    <w:rsid w:val="006C5795"/>
    <w:rsid w:val="006C5F05"/>
    <w:rsid w:val="006C7E97"/>
    <w:rsid w:val="006D0FBD"/>
    <w:rsid w:val="006E33DF"/>
    <w:rsid w:val="006E695B"/>
    <w:rsid w:val="006E75AE"/>
    <w:rsid w:val="006F06CD"/>
    <w:rsid w:val="006F1460"/>
    <w:rsid w:val="006F25E3"/>
    <w:rsid w:val="006F3B16"/>
    <w:rsid w:val="006F3FFE"/>
    <w:rsid w:val="00711449"/>
    <w:rsid w:val="00715D7A"/>
    <w:rsid w:val="0071672A"/>
    <w:rsid w:val="0072103D"/>
    <w:rsid w:val="00721367"/>
    <w:rsid w:val="0073096E"/>
    <w:rsid w:val="00732A9B"/>
    <w:rsid w:val="00732B99"/>
    <w:rsid w:val="0073437C"/>
    <w:rsid w:val="00734C34"/>
    <w:rsid w:val="007422FA"/>
    <w:rsid w:val="00745D9B"/>
    <w:rsid w:val="00750E8E"/>
    <w:rsid w:val="007526CB"/>
    <w:rsid w:val="00753E99"/>
    <w:rsid w:val="00757F35"/>
    <w:rsid w:val="007606D5"/>
    <w:rsid w:val="007631DB"/>
    <w:rsid w:val="00763A18"/>
    <w:rsid w:val="007665E1"/>
    <w:rsid w:val="0076766B"/>
    <w:rsid w:val="007711EA"/>
    <w:rsid w:val="007736EF"/>
    <w:rsid w:val="00773F5A"/>
    <w:rsid w:val="00774D51"/>
    <w:rsid w:val="00777980"/>
    <w:rsid w:val="007804CA"/>
    <w:rsid w:val="00780E9B"/>
    <w:rsid w:val="00783032"/>
    <w:rsid w:val="00784FD2"/>
    <w:rsid w:val="00787A1C"/>
    <w:rsid w:val="00787E06"/>
    <w:rsid w:val="007904C2"/>
    <w:rsid w:val="00792083"/>
    <w:rsid w:val="0079402B"/>
    <w:rsid w:val="007953B7"/>
    <w:rsid w:val="00796396"/>
    <w:rsid w:val="007A35B5"/>
    <w:rsid w:val="007A63B6"/>
    <w:rsid w:val="007B3886"/>
    <w:rsid w:val="007B3B78"/>
    <w:rsid w:val="007B3E05"/>
    <w:rsid w:val="007B57BC"/>
    <w:rsid w:val="007B782E"/>
    <w:rsid w:val="007B7A3D"/>
    <w:rsid w:val="007B7AD7"/>
    <w:rsid w:val="007C03A9"/>
    <w:rsid w:val="007C0F1A"/>
    <w:rsid w:val="007C4F7B"/>
    <w:rsid w:val="007D16CA"/>
    <w:rsid w:val="007E1043"/>
    <w:rsid w:val="007E41B3"/>
    <w:rsid w:val="008026E3"/>
    <w:rsid w:val="0080645E"/>
    <w:rsid w:val="0082058F"/>
    <w:rsid w:val="008324F3"/>
    <w:rsid w:val="008336DE"/>
    <w:rsid w:val="00834C63"/>
    <w:rsid w:val="00835F86"/>
    <w:rsid w:val="0083658E"/>
    <w:rsid w:val="00843301"/>
    <w:rsid w:val="00847A56"/>
    <w:rsid w:val="008534B8"/>
    <w:rsid w:val="008539F5"/>
    <w:rsid w:val="008558F4"/>
    <w:rsid w:val="0086281B"/>
    <w:rsid w:val="00864978"/>
    <w:rsid w:val="008679A9"/>
    <w:rsid w:val="00867CFC"/>
    <w:rsid w:val="00870483"/>
    <w:rsid w:val="00871FDC"/>
    <w:rsid w:val="00873ECE"/>
    <w:rsid w:val="00880A4B"/>
    <w:rsid w:val="008835D6"/>
    <w:rsid w:val="008846FA"/>
    <w:rsid w:val="00885C15"/>
    <w:rsid w:val="008900C9"/>
    <w:rsid w:val="00890E24"/>
    <w:rsid w:val="00891AFE"/>
    <w:rsid w:val="008A1A79"/>
    <w:rsid w:val="008A2DEE"/>
    <w:rsid w:val="008A33A0"/>
    <w:rsid w:val="008A63C7"/>
    <w:rsid w:val="008B00B4"/>
    <w:rsid w:val="008B38D3"/>
    <w:rsid w:val="008B51E7"/>
    <w:rsid w:val="008B6458"/>
    <w:rsid w:val="008B6EB3"/>
    <w:rsid w:val="008B7CCC"/>
    <w:rsid w:val="008C24B3"/>
    <w:rsid w:val="008C7AED"/>
    <w:rsid w:val="008D2530"/>
    <w:rsid w:val="008D459B"/>
    <w:rsid w:val="008E4395"/>
    <w:rsid w:val="008E5049"/>
    <w:rsid w:val="008E54F6"/>
    <w:rsid w:val="008F000F"/>
    <w:rsid w:val="008F20A8"/>
    <w:rsid w:val="008F7837"/>
    <w:rsid w:val="00901B1B"/>
    <w:rsid w:val="009107CD"/>
    <w:rsid w:val="009109A1"/>
    <w:rsid w:val="009138E4"/>
    <w:rsid w:val="00917206"/>
    <w:rsid w:val="00925095"/>
    <w:rsid w:val="009257CC"/>
    <w:rsid w:val="00926662"/>
    <w:rsid w:val="00930B9A"/>
    <w:rsid w:val="00936CA7"/>
    <w:rsid w:val="00940EF2"/>
    <w:rsid w:val="009459A5"/>
    <w:rsid w:val="0095293A"/>
    <w:rsid w:val="00954365"/>
    <w:rsid w:val="009565FC"/>
    <w:rsid w:val="00956A2B"/>
    <w:rsid w:val="00960B0B"/>
    <w:rsid w:val="00961D5E"/>
    <w:rsid w:val="00963CC2"/>
    <w:rsid w:val="00964D6A"/>
    <w:rsid w:val="00973969"/>
    <w:rsid w:val="00975595"/>
    <w:rsid w:val="00977E21"/>
    <w:rsid w:val="00980E8E"/>
    <w:rsid w:val="009811F2"/>
    <w:rsid w:val="00984949"/>
    <w:rsid w:val="00990406"/>
    <w:rsid w:val="009914E7"/>
    <w:rsid w:val="009A4234"/>
    <w:rsid w:val="009B00DB"/>
    <w:rsid w:val="009B6FDC"/>
    <w:rsid w:val="009C6286"/>
    <w:rsid w:val="009D0F9C"/>
    <w:rsid w:val="009D1669"/>
    <w:rsid w:val="009D4752"/>
    <w:rsid w:val="009E0E29"/>
    <w:rsid w:val="009E45F4"/>
    <w:rsid w:val="009E745B"/>
    <w:rsid w:val="009F129B"/>
    <w:rsid w:val="00A01A4A"/>
    <w:rsid w:val="00A12CA2"/>
    <w:rsid w:val="00A14B01"/>
    <w:rsid w:val="00A15A55"/>
    <w:rsid w:val="00A32267"/>
    <w:rsid w:val="00A341CA"/>
    <w:rsid w:val="00A345E3"/>
    <w:rsid w:val="00A4748E"/>
    <w:rsid w:val="00A513E7"/>
    <w:rsid w:val="00A52445"/>
    <w:rsid w:val="00A53912"/>
    <w:rsid w:val="00A53DAA"/>
    <w:rsid w:val="00A63732"/>
    <w:rsid w:val="00A64ED4"/>
    <w:rsid w:val="00A65DB8"/>
    <w:rsid w:val="00A72C32"/>
    <w:rsid w:val="00A80E41"/>
    <w:rsid w:val="00A835C2"/>
    <w:rsid w:val="00A92AB1"/>
    <w:rsid w:val="00A93AC0"/>
    <w:rsid w:val="00A946D1"/>
    <w:rsid w:val="00A969AF"/>
    <w:rsid w:val="00AB01D6"/>
    <w:rsid w:val="00AB2B7C"/>
    <w:rsid w:val="00AB691A"/>
    <w:rsid w:val="00AB7CD6"/>
    <w:rsid w:val="00AC5059"/>
    <w:rsid w:val="00AC6699"/>
    <w:rsid w:val="00AC7F0D"/>
    <w:rsid w:val="00AD010A"/>
    <w:rsid w:val="00AD6F84"/>
    <w:rsid w:val="00AE05F7"/>
    <w:rsid w:val="00AE159D"/>
    <w:rsid w:val="00AE3556"/>
    <w:rsid w:val="00AE590E"/>
    <w:rsid w:val="00AE6FB3"/>
    <w:rsid w:val="00AE77BB"/>
    <w:rsid w:val="00AF0DEB"/>
    <w:rsid w:val="00B0397F"/>
    <w:rsid w:val="00B1020A"/>
    <w:rsid w:val="00B1145F"/>
    <w:rsid w:val="00B12EC4"/>
    <w:rsid w:val="00B21855"/>
    <w:rsid w:val="00B36CE0"/>
    <w:rsid w:val="00B4487C"/>
    <w:rsid w:val="00B473B0"/>
    <w:rsid w:val="00B51BCE"/>
    <w:rsid w:val="00B628CB"/>
    <w:rsid w:val="00B65B71"/>
    <w:rsid w:val="00B740B6"/>
    <w:rsid w:val="00B74B97"/>
    <w:rsid w:val="00B76675"/>
    <w:rsid w:val="00B82290"/>
    <w:rsid w:val="00B846C9"/>
    <w:rsid w:val="00B87D86"/>
    <w:rsid w:val="00B93C0D"/>
    <w:rsid w:val="00BA025E"/>
    <w:rsid w:val="00BA7A8D"/>
    <w:rsid w:val="00BB3021"/>
    <w:rsid w:val="00BB5BA1"/>
    <w:rsid w:val="00BB7576"/>
    <w:rsid w:val="00BC04A2"/>
    <w:rsid w:val="00BC509C"/>
    <w:rsid w:val="00BC659B"/>
    <w:rsid w:val="00BD29CE"/>
    <w:rsid w:val="00BD2C26"/>
    <w:rsid w:val="00BD3DEB"/>
    <w:rsid w:val="00BD4B7C"/>
    <w:rsid w:val="00BE0726"/>
    <w:rsid w:val="00BE23BB"/>
    <w:rsid w:val="00BE642A"/>
    <w:rsid w:val="00BE772D"/>
    <w:rsid w:val="00BF31EA"/>
    <w:rsid w:val="00BF4117"/>
    <w:rsid w:val="00BF41D2"/>
    <w:rsid w:val="00C0147D"/>
    <w:rsid w:val="00C06AE7"/>
    <w:rsid w:val="00C12C03"/>
    <w:rsid w:val="00C16572"/>
    <w:rsid w:val="00C23045"/>
    <w:rsid w:val="00C237A0"/>
    <w:rsid w:val="00C23CD5"/>
    <w:rsid w:val="00C258F9"/>
    <w:rsid w:val="00C434E6"/>
    <w:rsid w:val="00C436B9"/>
    <w:rsid w:val="00C46496"/>
    <w:rsid w:val="00C5271B"/>
    <w:rsid w:val="00C52883"/>
    <w:rsid w:val="00C533BF"/>
    <w:rsid w:val="00C71EDD"/>
    <w:rsid w:val="00C834F2"/>
    <w:rsid w:val="00C85A87"/>
    <w:rsid w:val="00C91B56"/>
    <w:rsid w:val="00C93019"/>
    <w:rsid w:val="00C95203"/>
    <w:rsid w:val="00C95299"/>
    <w:rsid w:val="00C9565A"/>
    <w:rsid w:val="00CA0750"/>
    <w:rsid w:val="00CA1E16"/>
    <w:rsid w:val="00CA3301"/>
    <w:rsid w:val="00CA3C68"/>
    <w:rsid w:val="00CA4AB9"/>
    <w:rsid w:val="00CA77EE"/>
    <w:rsid w:val="00CB0C68"/>
    <w:rsid w:val="00CB2F99"/>
    <w:rsid w:val="00CB3D5C"/>
    <w:rsid w:val="00CB3F37"/>
    <w:rsid w:val="00CC0DCB"/>
    <w:rsid w:val="00CD0567"/>
    <w:rsid w:val="00CD3EC4"/>
    <w:rsid w:val="00CE0F83"/>
    <w:rsid w:val="00CE6076"/>
    <w:rsid w:val="00CE6DB7"/>
    <w:rsid w:val="00CF24A9"/>
    <w:rsid w:val="00CF28D0"/>
    <w:rsid w:val="00CF3DBF"/>
    <w:rsid w:val="00CF4A88"/>
    <w:rsid w:val="00D07AFF"/>
    <w:rsid w:val="00D16E4C"/>
    <w:rsid w:val="00D20996"/>
    <w:rsid w:val="00D25A80"/>
    <w:rsid w:val="00D25EB6"/>
    <w:rsid w:val="00D31159"/>
    <w:rsid w:val="00D340B0"/>
    <w:rsid w:val="00D37300"/>
    <w:rsid w:val="00D4224F"/>
    <w:rsid w:val="00D450D9"/>
    <w:rsid w:val="00D5185E"/>
    <w:rsid w:val="00D5411A"/>
    <w:rsid w:val="00D55BDD"/>
    <w:rsid w:val="00D5619D"/>
    <w:rsid w:val="00D56E33"/>
    <w:rsid w:val="00D5799E"/>
    <w:rsid w:val="00D612EA"/>
    <w:rsid w:val="00D64CF7"/>
    <w:rsid w:val="00D73DCE"/>
    <w:rsid w:val="00D77571"/>
    <w:rsid w:val="00D808CD"/>
    <w:rsid w:val="00D81D71"/>
    <w:rsid w:val="00D849A2"/>
    <w:rsid w:val="00D87B58"/>
    <w:rsid w:val="00D92194"/>
    <w:rsid w:val="00DA2603"/>
    <w:rsid w:val="00DA2B24"/>
    <w:rsid w:val="00DA3D2E"/>
    <w:rsid w:val="00DA4075"/>
    <w:rsid w:val="00DA48DE"/>
    <w:rsid w:val="00DA5E58"/>
    <w:rsid w:val="00DC1101"/>
    <w:rsid w:val="00DC1BBA"/>
    <w:rsid w:val="00DC7828"/>
    <w:rsid w:val="00DE0E0B"/>
    <w:rsid w:val="00DE164C"/>
    <w:rsid w:val="00DE1A13"/>
    <w:rsid w:val="00DE4A8F"/>
    <w:rsid w:val="00DE5C63"/>
    <w:rsid w:val="00DF6250"/>
    <w:rsid w:val="00DF696E"/>
    <w:rsid w:val="00E01403"/>
    <w:rsid w:val="00E01AF2"/>
    <w:rsid w:val="00E053B0"/>
    <w:rsid w:val="00E12E29"/>
    <w:rsid w:val="00E218BC"/>
    <w:rsid w:val="00E22DF1"/>
    <w:rsid w:val="00E250AD"/>
    <w:rsid w:val="00E2584D"/>
    <w:rsid w:val="00E33BC8"/>
    <w:rsid w:val="00E34E64"/>
    <w:rsid w:val="00E37C87"/>
    <w:rsid w:val="00E54048"/>
    <w:rsid w:val="00E540A3"/>
    <w:rsid w:val="00E554FF"/>
    <w:rsid w:val="00E566B2"/>
    <w:rsid w:val="00E57AC7"/>
    <w:rsid w:val="00E61FEF"/>
    <w:rsid w:val="00E61FF0"/>
    <w:rsid w:val="00E672AD"/>
    <w:rsid w:val="00E8398D"/>
    <w:rsid w:val="00E964B9"/>
    <w:rsid w:val="00E97DEC"/>
    <w:rsid w:val="00EA09E9"/>
    <w:rsid w:val="00EA3159"/>
    <w:rsid w:val="00EA3357"/>
    <w:rsid w:val="00EA401E"/>
    <w:rsid w:val="00EA459C"/>
    <w:rsid w:val="00EA585D"/>
    <w:rsid w:val="00EB2E7F"/>
    <w:rsid w:val="00EB5E94"/>
    <w:rsid w:val="00EB7DFD"/>
    <w:rsid w:val="00EC0435"/>
    <w:rsid w:val="00EC2745"/>
    <w:rsid w:val="00EC5EBD"/>
    <w:rsid w:val="00ED2E98"/>
    <w:rsid w:val="00ED41B7"/>
    <w:rsid w:val="00EE4286"/>
    <w:rsid w:val="00EE7242"/>
    <w:rsid w:val="00EE7A19"/>
    <w:rsid w:val="00EF59FA"/>
    <w:rsid w:val="00EF69FD"/>
    <w:rsid w:val="00EF6A6A"/>
    <w:rsid w:val="00F018EE"/>
    <w:rsid w:val="00F01D2E"/>
    <w:rsid w:val="00F0782C"/>
    <w:rsid w:val="00F10846"/>
    <w:rsid w:val="00F12C54"/>
    <w:rsid w:val="00F172D0"/>
    <w:rsid w:val="00F241D6"/>
    <w:rsid w:val="00F27068"/>
    <w:rsid w:val="00F30EA6"/>
    <w:rsid w:val="00F351DC"/>
    <w:rsid w:val="00F36E65"/>
    <w:rsid w:val="00F4403F"/>
    <w:rsid w:val="00F458A6"/>
    <w:rsid w:val="00F46C35"/>
    <w:rsid w:val="00F46D92"/>
    <w:rsid w:val="00F527D4"/>
    <w:rsid w:val="00F552FF"/>
    <w:rsid w:val="00F56E05"/>
    <w:rsid w:val="00F6332C"/>
    <w:rsid w:val="00F64AAA"/>
    <w:rsid w:val="00F704D1"/>
    <w:rsid w:val="00F7246D"/>
    <w:rsid w:val="00F7691A"/>
    <w:rsid w:val="00F7745F"/>
    <w:rsid w:val="00F81906"/>
    <w:rsid w:val="00F82D9C"/>
    <w:rsid w:val="00F83FB3"/>
    <w:rsid w:val="00F862EB"/>
    <w:rsid w:val="00F91A65"/>
    <w:rsid w:val="00F930FD"/>
    <w:rsid w:val="00F94779"/>
    <w:rsid w:val="00F957EF"/>
    <w:rsid w:val="00FB15DB"/>
    <w:rsid w:val="00FB4F52"/>
    <w:rsid w:val="00FC0544"/>
    <w:rsid w:val="00FC08D7"/>
    <w:rsid w:val="00FC0A20"/>
    <w:rsid w:val="00FC3EC7"/>
    <w:rsid w:val="00FD3558"/>
    <w:rsid w:val="00FF0928"/>
    <w:rsid w:val="00FF1922"/>
    <w:rsid w:val="00FF2E70"/>
    <w:rsid w:val="00FF31DA"/>
    <w:rsid w:val="00FF72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D958"/>
  <w15:docId w15:val="{DE3E73E3-451E-4B12-BEA7-2FEA6C53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1D5459"/>
    <w:rPr>
      <w:rFonts w:ascii="Times New Roman" w:hAnsi="Times New Roman"/>
      <w:sz w:val="20"/>
      <w:vertAlign w:val="superscript"/>
    </w:rPr>
  </w:style>
  <w:style w:type="paragraph" w:styleId="FootnoteText">
    <w:name w:val="footnote text"/>
    <w:basedOn w:val="Normal"/>
    <w:link w:val="FootnoteTextChar"/>
    <w:uiPriority w:val="99"/>
    <w:semiHidden/>
    <w:unhideWhenUsed/>
    <w:rsid w:val="001D5459"/>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rsid w:val="001D5459"/>
    <w:rPr>
      <w:rFonts w:ascii="Times New Roman" w:hAnsi="Times New Roman"/>
      <w:sz w:val="20"/>
      <w:szCs w:val="20"/>
      <w:lang w:val="en-GB"/>
    </w:rPr>
  </w:style>
  <w:style w:type="paragraph" w:styleId="Header">
    <w:name w:val="header"/>
    <w:basedOn w:val="Normal"/>
    <w:link w:val="HeaderChar"/>
    <w:uiPriority w:val="99"/>
    <w:unhideWhenUsed/>
    <w:rsid w:val="001D5459"/>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1D5459"/>
    <w:rPr>
      <w:lang w:val="en-GB"/>
    </w:rPr>
  </w:style>
  <w:style w:type="paragraph" w:styleId="Footer">
    <w:name w:val="footer"/>
    <w:basedOn w:val="Normal"/>
    <w:link w:val="FooterChar"/>
    <w:uiPriority w:val="99"/>
    <w:unhideWhenUsed/>
    <w:rsid w:val="001D5459"/>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1D5459"/>
    <w:rPr>
      <w:lang w:val="en-GB"/>
    </w:rPr>
  </w:style>
  <w:style w:type="paragraph" w:styleId="CommentText">
    <w:name w:val="annotation text"/>
    <w:basedOn w:val="Normal"/>
    <w:link w:val="CommentTextChar"/>
    <w:uiPriority w:val="99"/>
    <w:semiHidden/>
    <w:unhideWhenUsed/>
    <w:rsid w:val="001D5459"/>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1D5459"/>
    <w:rPr>
      <w:sz w:val="20"/>
      <w:szCs w:val="20"/>
      <w:lang w:val="en-GB"/>
    </w:rPr>
  </w:style>
  <w:style w:type="character" w:styleId="CommentReference">
    <w:name w:val="annotation reference"/>
    <w:basedOn w:val="DefaultParagraphFont"/>
    <w:uiPriority w:val="99"/>
    <w:semiHidden/>
    <w:unhideWhenUsed/>
    <w:rsid w:val="001D5459"/>
    <w:rPr>
      <w:sz w:val="16"/>
      <w:szCs w:val="16"/>
    </w:rPr>
  </w:style>
  <w:style w:type="paragraph" w:styleId="BalloonText">
    <w:name w:val="Balloon Text"/>
    <w:basedOn w:val="Normal"/>
    <w:link w:val="BalloonTextChar"/>
    <w:uiPriority w:val="99"/>
    <w:semiHidden/>
    <w:unhideWhenUsed/>
    <w:rsid w:val="001D5459"/>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1D5459"/>
    <w:rPr>
      <w:rFonts w:ascii="Segoe UI" w:hAnsi="Segoe UI" w:cs="Segoe UI"/>
      <w:sz w:val="18"/>
      <w:szCs w:val="18"/>
      <w:lang w:val="en-GB"/>
    </w:rPr>
  </w:style>
  <w:style w:type="character" w:styleId="Hyperlink">
    <w:name w:val="Hyperlink"/>
    <w:basedOn w:val="DefaultParagraphFont"/>
    <w:uiPriority w:val="99"/>
    <w:unhideWhenUsed/>
    <w:rsid w:val="001D545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31159"/>
    <w:pPr>
      <w:spacing w:after="160"/>
    </w:pPr>
    <w:rPr>
      <w:b/>
      <w:bCs/>
      <w:lang w:val="en-US"/>
    </w:rPr>
  </w:style>
  <w:style w:type="character" w:customStyle="1" w:styleId="CommentSubjectChar">
    <w:name w:val="Comment Subject Char"/>
    <w:basedOn w:val="CommentTextChar"/>
    <w:link w:val="CommentSubject"/>
    <w:uiPriority w:val="99"/>
    <w:semiHidden/>
    <w:rsid w:val="00D3115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4AC98-3C2D-4395-88F0-E936557E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11505</Words>
  <Characters>65584</Characters>
  <DocSecurity>4</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2018-12-07T12:22:00Z</dcterms:created>
  <dcterms:modified xsi:type="dcterms:W3CDTF">2018-12-07T12:22:00Z</dcterms:modified>
</cp:coreProperties>
</file>