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A7DE5" w14:textId="77777777" w:rsidR="001F081F" w:rsidRDefault="001F081F" w:rsidP="00ED734C">
      <w:pPr>
        <w:jc w:val="center"/>
        <w:outlineLvl w:val="0"/>
        <w:rPr>
          <w:b/>
          <w:lang w:val="en-CA"/>
        </w:rPr>
      </w:pPr>
    </w:p>
    <w:p w14:paraId="076960E8" w14:textId="537DEF7F" w:rsidR="00ED734C" w:rsidRDefault="00ED734C" w:rsidP="00ED734C">
      <w:pPr>
        <w:jc w:val="center"/>
        <w:outlineLvl w:val="0"/>
        <w:rPr>
          <w:b/>
          <w:lang w:val="en-CA"/>
        </w:rPr>
      </w:pPr>
      <w:r>
        <w:rPr>
          <w:b/>
          <w:lang w:val="en-CA"/>
        </w:rPr>
        <w:t xml:space="preserve">History as Organizing: </w:t>
      </w:r>
      <w:r>
        <w:rPr>
          <w:b/>
          <w:lang w:val="en-CA"/>
        </w:rPr>
        <w:br/>
        <w:t>The Uses of the Past in Organization Studies</w:t>
      </w:r>
    </w:p>
    <w:p w14:paraId="1B1DE4DC" w14:textId="77777777" w:rsidR="00127B81" w:rsidRDefault="00127B81" w:rsidP="00127B81">
      <w:pPr>
        <w:rPr>
          <w:lang w:val="en-CA"/>
        </w:rPr>
      </w:pPr>
    </w:p>
    <w:p w14:paraId="69807536" w14:textId="77777777" w:rsidR="00127B81" w:rsidRDefault="00127B81" w:rsidP="00127B81">
      <w:pPr>
        <w:rPr>
          <w:lang w:val="en-CA"/>
        </w:rPr>
      </w:pPr>
    </w:p>
    <w:p w14:paraId="001D9561" w14:textId="77777777" w:rsidR="00127B81" w:rsidRPr="002856C6" w:rsidRDefault="00127B81" w:rsidP="00127B81">
      <w:pPr>
        <w:jc w:val="center"/>
        <w:rPr>
          <w:b/>
          <w:lang w:val="en-CA"/>
        </w:rPr>
      </w:pPr>
      <w:r w:rsidRPr="002856C6">
        <w:rPr>
          <w:b/>
          <w:lang w:val="en-CA"/>
        </w:rPr>
        <w:t>Daniel R. Wadhwani</w:t>
      </w:r>
    </w:p>
    <w:p w14:paraId="09F847EA" w14:textId="0A5F9B7B" w:rsidR="00127B81" w:rsidRDefault="00127B81" w:rsidP="00127B81">
      <w:pPr>
        <w:jc w:val="center"/>
        <w:rPr>
          <w:lang w:val="en-CA"/>
        </w:rPr>
      </w:pPr>
      <w:r>
        <w:rPr>
          <w:lang w:val="en-CA"/>
        </w:rPr>
        <w:t>University of the Pacific</w:t>
      </w:r>
    </w:p>
    <w:p w14:paraId="10DC77CB" w14:textId="77777777" w:rsidR="00127B81" w:rsidRDefault="00127B81" w:rsidP="00127B81">
      <w:pPr>
        <w:jc w:val="center"/>
        <w:rPr>
          <w:lang w:val="en-CA"/>
        </w:rPr>
      </w:pPr>
    </w:p>
    <w:p w14:paraId="15A23DAA" w14:textId="77777777" w:rsidR="00127B81" w:rsidRPr="002856C6" w:rsidRDefault="00127B81" w:rsidP="00127B81">
      <w:pPr>
        <w:jc w:val="center"/>
        <w:rPr>
          <w:b/>
          <w:lang w:val="en-CA"/>
        </w:rPr>
      </w:pPr>
      <w:r w:rsidRPr="002856C6">
        <w:rPr>
          <w:b/>
          <w:lang w:val="en-CA"/>
        </w:rPr>
        <w:t>Roy Suddaby</w:t>
      </w:r>
    </w:p>
    <w:p w14:paraId="0C246333" w14:textId="77777777" w:rsidR="00127B81" w:rsidRDefault="00127B81" w:rsidP="00127B81">
      <w:pPr>
        <w:jc w:val="center"/>
        <w:rPr>
          <w:lang w:val="en-CA"/>
        </w:rPr>
      </w:pPr>
      <w:r>
        <w:rPr>
          <w:lang w:val="en-CA"/>
        </w:rPr>
        <w:t>University of Victoria</w:t>
      </w:r>
    </w:p>
    <w:p w14:paraId="6AFE5718" w14:textId="5B9C03F0" w:rsidR="00127B81" w:rsidRDefault="00127B81" w:rsidP="00127B81">
      <w:pPr>
        <w:jc w:val="center"/>
        <w:rPr>
          <w:lang w:val="en-CA"/>
        </w:rPr>
      </w:pPr>
      <w:r>
        <w:rPr>
          <w:lang w:val="en-CA"/>
        </w:rPr>
        <w:t>&amp;</w:t>
      </w:r>
    </w:p>
    <w:p w14:paraId="3A601D12" w14:textId="77777777" w:rsidR="00127B81" w:rsidRDefault="00127B81" w:rsidP="00127B81">
      <w:pPr>
        <w:jc w:val="center"/>
        <w:rPr>
          <w:lang w:val="en-CA"/>
        </w:rPr>
      </w:pPr>
      <w:r>
        <w:rPr>
          <w:lang w:val="en-CA"/>
        </w:rPr>
        <w:t>University of Liverpool</w:t>
      </w:r>
    </w:p>
    <w:p w14:paraId="1E56BE88" w14:textId="00D81D5C" w:rsidR="00127B81" w:rsidRDefault="00127B81" w:rsidP="00127B81">
      <w:pPr>
        <w:jc w:val="center"/>
        <w:rPr>
          <w:lang w:val="en-CA"/>
        </w:rPr>
      </w:pPr>
    </w:p>
    <w:p w14:paraId="3D17512D" w14:textId="77777777" w:rsidR="00127B81" w:rsidRPr="002856C6" w:rsidRDefault="00127B81" w:rsidP="00127B81">
      <w:pPr>
        <w:jc w:val="center"/>
        <w:rPr>
          <w:b/>
          <w:lang w:val="en-CA"/>
        </w:rPr>
      </w:pPr>
      <w:r w:rsidRPr="002856C6">
        <w:rPr>
          <w:b/>
          <w:lang w:val="en-CA"/>
        </w:rPr>
        <w:t>Mads Mordhorst</w:t>
      </w:r>
    </w:p>
    <w:p w14:paraId="4291FC58" w14:textId="74EC681E" w:rsidR="00127B81" w:rsidRDefault="00127B81" w:rsidP="00127B81">
      <w:pPr>
        <w:jc w:val="center"/>
        <w:rPr>
          <w:lang w:val="en-CA"/>
        </w:rPr>
      </w:pPr>
      <w:r>
        <w:rPr>
          <w:lang w:val="en-CA"/>
        </w:rPr>
        <w:t>Copenhagen Business School</w:t>
      </w:r>
    </w:p>
    <w:p w14:paraId="2C634664" w14:textId="77903361" w:rsidR="00127B81" w:rsidRDefault="00127B81" w:rsidP="00127B81">
      <w:pPr>
        <w:jc w:val="center"/>
        <w:rPr>
          <w:lang w:val="en-CA"/>
        </w:rPr>
      </w:pPr>
    </w:p>
    <w:p w14:paraId="6DE62A46" w14:textId="77777777" w:rsidR="00127B81" w:rsidRPr="002856C6" w:rsidRDefault="00127B81" w:rsidP="00127B81">
      <w:pPr>
        <w:jc w:val="center"/>
        <w:rPr>
          <w:b/>
          <w:lang w:val="en-CA"/>
        </w:rPr>
      </w:pPr>
      <w:r w:rsidRPr="002856C6">
        <w:rPr>
          <w:b/>
          <w:lang w:val="en-CA"/>
        </w:rPr>
        <w:t>Andrew Popp</w:t>
      </w:r>
    </w:p>
    <w:p w14:paraId="0E757F44" w14:textId="77298143" w:rsidR="00127B81" w:rsidRDefault="00127B81" w:rsidP="00ED734C">
      <w:pPr>
        <w:jc w:val="center"/>
        <w:outlineLvl w:val="0"/>
        <w:rPr>
          <w:b/>
          <w:lang w:val="en-CA"/>
        </w:rPr>
      </w:pPr>
      <w:r>
        <w:rPr>
          <w:lang w:val="en-CA"/>
        </w:rPr>
        <w:t>University of Baltimore</w:t>
      </w:r>
      <w:bookmarkStart w:id="0" w:name="_GoBack"/>
      <w:bookmarkEnd w:id="0"/>
    </w:p>
    <w:p w14:paraId="08DF86BB" w14:textId="02405C06" w:rsidR="001F081F" w:rsidRDefault="001F081F" w:rsidP="00ED734C">
      <w:pPr>
        <w:jc w:val="center"/>
        <w:outlineLvl w:val="0"/>
        <w:rPr>
          <w:b/>
          <w:lang w:val="en-CA"/>
        </w:rPr>
      </w:pPr>
    </w:p>
    <w:p w14:paraId="52A359D8" w14:textId="5FBA9925" w:rsidR="001F081F" w:rsidRDefault="001F081F" w:rsidP="001F081F">
      <w:pPr>
        <w:outlineLvl w:val="0"/>
        <w:rPr>
          <w:lang w:val="en-CA"/>
        </w:rPr>
      </w:pPr>
    </w:p>
    <w:p w14:paraId="620793DC" w14:textId="4139EF58" w:rsidR="005B1AD9" w:rsidRPr="005B1AD9" w:rsidRDefault="005B1AD9" w:rsidP="005B1AD9">
      <w:pPr>
        <w:rPr>
          <w:color w:val="000000"/>
        </w:rPr>
      </w:pPr>
      <w:r w:rsidRPr="005B1AD9">
        <w:rPr>
          <w:color w:val="000000"/>
        </w:rPr>
        <w:t xml:space="preserve">Research on the “uses of the past” in organizations and organizing is flourishing as an approach to the integration of history into organization studies. This introduction reviews the status of the field and highlights the contributions </w:t>
      </w:r>
      <w:r w:rsidR="004022CC">
        <w:rPr>
          <w:color w:val="000000"/>
        </w:rPr>
        <w:t xml:space="preserve">that </w:t>
      </w:r>
      <w:r w:rsidRPr="005B1AD9">
        <w:rPr>
          <w:color w:val="000000"/>
        </w:rPr>
        <w:t xml:space="preserve">this special issue </w:t>
      </w:r>
      <w:r w:rsidR="004022CC">
        <w:rPr>
          <w:color w:val="000000"/>
        </w:rPr>
        <w:t xml:space="preserve">of </w:t>
      </w:r>
      <w:r w:rsidR="004022CC">
        <w:rPr>
          <w:i/>
          <w:color w:val="000000"/>
        </w:rPr>
        <w:t xml:space="preserve">Organization Studies </w:t>
      </w:r>
      <w:r w:rsidRPr="005B1AD9">
        <w:rPr>
          <w:color w:val="000000"/>
        </w:rPr>
        <w:t>makes to it. We begin by examining the intellectual origins of the approach and defining why and how it matters to the study of management and organizations. Next, we elaborate on how the articles in the special issue demonstrate the uses of the past in shaping organizational identity, strategy, and power. We also highlight how this work contributes to our understanding of the socially embedded character of history in organizations</w:t>
      </w:r>
      <w:r w:rsidR="00DD29D4">
        <w:rPr>
          <w:color w:val="000000"/>
        </w:rPr>
        <w:t xml:space="preserve"> by accounting for the role of materiality, intertextuality, </w:t>
      </w:r>
      <w:r w:rsidR="003122D0">
        <w:rPr>
          <w:color w:val="000000"/>
        </w:rPr>
        <w:t>competing narratives, practices, and audiences in how the past is used</w:t>
      </w:r>
      <w:r w:rsidRPr="005B1AD9">
        <w:rPr>
          <w:color w:val="000000"/>
        </w:rPr>
        <w:t>. We conclude by considering four research frontiers particularly worthy of further exploration – the influence of temporal form, the role of non-rational knowledge, the range of methods, and the integration of ethics – in studies of the uses of the past in organizations.</w:t>
      </w:r>
    </w:p>
    <w:p w14:paraId="559A74F3" w14:textId="2185686B" w:rsidR="00464AD5" w:rsidRPr="005B1AD9" w:rsidRDefault="00464AD5" w:rsidP="001F081F">
      <w:pPr>
        <w:outlineLvl w:val="0"/>
        <w:rPr>
          <w:lang w:val="en-CA"/>
        </w:rPr>
      </w:pPr>
    </w:p>
    <w:p w14:paraId="41DA7966" w14:textId="2BA46155" w:rsidR="00312823" w:rsidRPr="00B168D1" w:rsidRDefault="00464AD5" w:rsidP="00C235C2">
      <w:pPr>
        <w:outlineLvl w:val="0"/>
        <w:rPr>
          <w:lang w:val="en-CA"/>
        </w:rPr>
      </w:pPr>
      <w:r w:rsidRPr="005B1AD9">
        <w:rPr>
          <w:lang w:val="en-CA"/>
        </w:rPr>
        <w:t>Key</w:t>
      </w:r>
      <w:r w:rsidR="00DE41C9" w:rsidRPr="005B1AD9">
        <w:rPr>
          <w:lang w:val="en-CA"/>
        </w:rPr>
        <w:t>w</w:t>
      </w:r>
      <w:r w:rsidRPr="005B1AD9">
        <w:rPr>
          <w:lang w:val="en-CA"/>
        </w:rPr>
        <w:t>ords: Rhetorical</w:t>
      </w:r>
      <w:r>
        <w:rPr>
          <w:lang w:val="en-CA"/>
        </w:rPr>
        <w:t xml:space="preserve"> History, </w:t>
      </w:r>
      <w:r w:rsidR="00065DDD">
        <w:rPr>
          <w:lang w:val="en-CA"/>
        </w:rPr>
        <w:t xml:space="preserve">Organization Theory, </w:t>
      </w:r>
      <w:r>
        <w:rPr>
          <w:lang w:val="en-CA"/>
        </w:rPr>
        <w:t>Social Memory, Uses of the Past, Historical Consciousness</w:t>
      </w:r>
      <w:r w:rsidR="00B168D1">
        <w:rPr>
          <w:lang w:val="en-CA"/>
        </w:rPr>
        <w:t xml:space="preserve">, </w:t>
      </w:r>
      <w:r w:rsidR="00B168D1" w:rsidRPr="00A969A5">
        <w:rPr>
          <w:lang w:val="en-CA"/>
        </w:rPr>
        <w:t>History, Business History</w:t>
      </w:r>
    </w:p>
    <w:p w14:paraId="042798D2" w14:textId="3A494D2D" w:rsidR="001F081F" w:rsidRDefault="001F081F">
      <w:pPr>
        <w:rPr>
          <w:b/>
          <w:lang w:val="en-CA"/>
        </w:rPr>
      </w:pPr>
    </w:p>
    <w:p w14:paraId="29228FD7" w14:textId="2DF4F270" w:rsidR="001F081F" w:rsidRDefault="001F081F">
      <w:pPr>
        <w:rPr>
          <w:b/>
          <w:lang w:val="en-CA"/>
        </w:rPr>
      </w:pPr>
    </w:p>
    <w:p w14:paraId="0C8E94AC" w14:textId="77777777" w:rsidR="001F081F" w:rsidRDefault="001F081F">
      <w:pPr>
        <w:rPr>
          <w:b/>
          <w:lang w:val="en-CA"/>
        </w:rPr>
      </w:pPr>
    </w:p>
    <w:p w14:paraId="5DEFABCF" w14:textId="09CC7816" w:rsidR="00C235C2" w:rsidRDefault="00C235C2" w:rsidP="00C235C2">
      <w:pPr>
        <w:outlineLvl w:val="0"/>
        <w:rPr>
          <w:b/>
          <w:lang w:val="en-CA"/>
        </w:rPr>
      </w:pPr>
      <w:r>
        <w:rPr>
          <w:b/>
          <w:lang w:val="en-CA"/>
        </w:rPr>
        <w:t>Uses of the Past</w:t>
      </w:r>
    </w:p>
    <w:p w14:paraId="4E9F00CF" w14:textId="77777777" w:rsidR="00C235C2" w:rsidRDefault="00C235C2" w:rsidP="00C235C2">
      <w:pPr>
        <w:rPr>
          <w:b/>
          <w:lang w:val="en-CA"/>
        </w:rPr>
      </w:pPr>
    </w:p>
    <w:p w14:paraId="44EEF285" w14:textId="270ED886" w:rsidR="00C235C2" w:rsidRDefault="00C235C2" w:rsidP="00C235C2">
      <w:pPr>
        <w:spacing w:line="480" w:lineRule="auto"/>
        <w:ind w:firstLine="720"/>
        <w:jc w:val="both"/>
        <w:rPr>
          <w:lang w:val="en-CA"/>
        </w:rPr>
      </w:pPr>
      <w:r w:rsidRPr="007261A2">
        <w:rPr>
          <w:lang w:val="en-CA"/>
        </w:rPr>
        <w:t>Historical approaches to management and organization research have been flourishing in recent years, following</w:t>
      </w:r>
      <w:r>
        <w:rPr>
          <w:lang w:val="en-CA"/>
        </w:rPr>
        <w:t xml:space="preserve"> </w:t>
      </w:r>
      <w:r w:rsidRPr="007261A2">
        <w:rPr>
          <w:lang w:val="en-CA"/>
        </w:rPr>
        <w:t xml:space="preserve">decades when </w:t>
      </w:r>
      <w:r>
        <w:rPr>
          <w:lang w:val="en-CA"/>
        </w:rPr>
        <w:t>they were</w:t>
      </w:r>
      <w:r w:rsidRPr="007261A2">
        <w:rPr>
          <w:lang w:val="en-CA"/>
        </w:rPr>
        <w:t xml:space="preserve"> seen as marginal to the f</w:t>
      </w:r>
      <w:r>
        <w:rPr>
          <w:lang w:val="en-CA"/>
        </w:rPr>
        <w:t>ield</w:t>
      </w:r>
      <w:r w:rsidRPr="007261A2">
        <w:rPr>
          <w:lang w:val="en-CA"/>
        </w:rPr>
        <w:t xml:space="preserve">. The </w:t>
      </w:r>
      <w:r>
        <w:rPr>
          <w:lang w:val="en-CA"/>
        </w:rPr>
        <w:t xml:space="preserve">development </w:t>
      </w:r>
      <w:r w:rsidRPr="007261A2">
        <w:rPr>
          <w:lang w:val="en-CA"/>
        </w:rPr>
        <w:t>has been characterized by plurality in both the conceptualization of organizations in historical time</w:t>
      </w:r>
      <w:r>
        <w:rPr>
          <w:lang w:val="en-CA"/>
        </w:rPr>
        <w:t xml:space="preserve"> </w:t>
      </w:r>
      <w:r w:rsidRPr="007261A2">
        <w:rPr>
          <w:lang w:val="en-CA"/>
        </w:rPr>
        <w:lastRenderedPageBreak/>
        <w:t>(Bucheli and Wadhwani, 2014)</w:t>
      </w:r>
      <w:r>
        <w:rPr>
          <w:lang w:val="en-CA"/>
        </w:rPr>
        <w:t xml:space="preserve"> and in </w:t>
      </w:r>
      <w:r w:rsidRPr="007261A2">
        <w:rPr>
          <w:lang w:val="en-CA"/>
        </w:rPr>
        <w:t>how history is researched (Rowlinson, Hassard, and Decker, 2014)</w:t>
      </w:r>
      <w:r>
        <w:rPr>
          <w:lang w:val="en-CA"/>
        </w:rPr>
        <w:t>. One approach that has received particular attention focuses on how the past is used in business organizations (Suddaby, Foster &amp; Quinn-Trank, 2010)</w:t>
      </w:r>
      <w:r w:rsidRPr="007261A2">
        <w:rPr>
          <w:lang w:val="en-CA"/>
        </w:rPr>
        <w:t>.</w:t>
      </w:r>
      <w:r>
        <w:rPr>
          <w:lang w:val="en-CA"/>
        </w:rPr>
        <w:t xml:space="preserve">  </w:t>
      </w:r>
    </w:p>
    <w:p w14:paraId="1DDAB2AF" w14:textId="6C3BBE9B" w:rsidR="00C235C2" w:rsidRPr="00262459" w:rsidRDefault="00C235C2" w:rsidP="00C235C2">
      <w:pPr>
        <w:spacing w:line="480" w:lineRule="auto"/>
        <w:ind w:firstLine="720"/>
        <w:jc w:val="both"/>
        <w:rPr>
          <w:lang w:val="en-CA"/>
        </w:rPr>
      </w:pPr>
      <w:r>
        <w:rPr>
          <w:lang w:val="en-CA"/>
        </w:rPr>
        <w:t xml:space="preserve">The study of how </w:t>
      </w:r>
      <w:r w:rsidR="00262459">
        <w:rPr>
          <w:lang w:val="en-CA"/>
        </w:rPr>
        <w:t xml:space="preserve">the </w:t>
      </w:r>
      <w:r>
        <w:rPr>
          <w:lang w:val="en-CA"/>
        </w:rPr>
        <w:t xml:space="preserve">past is used for managerial purposes draws together </w:t>
      </w:r>
      <w:r w:rsidRPr="004E1898">
        <w:rPr>
          <w:lang w:val="en-CA"/>
        </w:rPr>
        <w:t xml:space="preserve">threads of organizational research from management scholars (Rowlinson and Hassard, 1993; </w:t>
      </w:r>
      <w:r w:rsidRPr="00065DDD">
        <w:rPr>
          <w:lang w:val="en-CA"/>
        </w:rPr>
        <w:t>Ericson, 2006;</w:t>
      </w:r>
      <w:r>
        <w:rPr>
          <w:lang w:val="en-CA"/>
        </w:rPr>
        <w:t xml:space="preserve"> </w:t>
      </w:r>
      <w:r w:rsidRPr="007261A2">
        <w:rPr>
          <w:lang w:val="en-CA"/>
        </w:rPr>
        <w:t>Foster, et al, 2011; Anteby and Molnar,</w:t>
      </w:r>
      <w:r>
        <w:rPr>
          <w:lang w:val="en-CA"/>
        </w:rPr>
        <w:t xml:space="preserve"> 2012</w:t>
      </w:r>
      <w:r w:rsidRPr="007261A2">
        <w:rPr>
          <w:lang w:val="en-CA"/>
        </w:rPr>
        <w:t>) and business histo</w:t>
      </w:r>
      <w:r>
        <w:rPr>
          <w:lang w:val="en-CA"/>
        </w:rPr>
        <w:t>rians (Hansen, 2012</w:t>
      </w:r>
      <w:r w:rsidRPr="007261A2">
        <w:rPr>
          <w:lang w:val="en-CA"/>
        </w:rPr>
        <w:t>; Mordhorst, 2008, 2014; Kroeze and Keulen</w:t>
      </w:r>
      <w:r>
        <w:rPr>
          <w:lang w:val="en-CA"/>
        </w:rPr>
        <w:t xml:space="preserve"> 2013) that examine the powerful role history plays in broader processes of epistemological and ontological “knowing” in organizations and organizing. The approach, termed “historical consciousness” (Seixas, 2004; Suddaby, 2016), takes history as constitutive</w:t>
      </w:r>
      <w:r w:rsidRPr="007261A2">
        <w:rPr>
          <w:lang w:val="en-CA"/>
        </w:rPr>
        <w:t xml:space="preserve"> (Wadhwani and Bucheli, 2014) in shaping how actors</w:t>
      </w:r>
      <w:r>
        <w:rPr>
          <w:lang w:val="en-CA"/>
        </w:rPr>
        <w:t xml:space="preserve"> </w:t>
      </w:r>
      <w:r w:rsidRPr="007261A2">
        <w:rPr>
          <w:lang w:val="en-CA"/>
        </w:rPr>
        <w:t>define their own sense of self and action in time, and in emphasizing how their interpretation of the</w:t>
      </w:r>
      <w:r>
        <w:rPr>
          <w:lang w:val="en-CA"/>
        </w:rPr>
        <w:t xml:space="preserve"> </w:t>
      </w:r>
      <w:r w:rsidRPr="007261A2">
        <w:rPr>
          <w:lang w:val="en-CA"/>
        </w:rPr>
        <w:t>past shape</w:t>
      </w:r>
      <w:r w:rsidR="008040AD">
        <w:rPr>
          <w:lang w:val="en-CA"/>
        </w:rPr>
        <w:t>s</w:t>
      </w:r>
      <w:r w:rsidRPr="007261A2">
        <w:rPr>
          <w:lang w:val="en-CA"/>
        </w:rPr>
        <w:t xml:space="preserve"> their experience in the present</w:t>
      </w:r>
      <w:r w:rsidR="005E1B2B">
        <w:rPr>
          <w:lang w:val="en-CA"/>
        </w:rPr>
        <w:t>,</w:t>
      </w:r>
      <w:r w:rsidRPr="007261A2">
        <w:rPr>
          <w:lang w:val="en-CA"/>
        </w:rPr>
        <w:t xml:space="preserve"> their expectations f</w:t>
      </w:r>
      <w:r>
        <w:rPr>
          <w:lang w:val="en-CA"/>
        </w:rPr>
        <w:t>or the future</w:t>
      </w:r>
      <w:r w:rsidR="008040AD">
        <w:rPr>
          <w:lang w:val="en-CA"/>
        </w:rPr>
        <w:t>, and the choices they make</w:t>
      </w:r>
      <w:r>
        <w:rPr>
          <w:lang w:val="en-CA"/>
        </w:rPr>
        <w:t xml:space="preserve"> (Kosseleck, 2004). Whereas other approa</w:t>
      </w:r>
      <w:r w:rsidR="00CC0B16">
        <w:rPr>
          <w:lang w:val="en-CA"/>
        </w:rPr>
        <w:t xml:space="preserve">ches to history in </w:t>
      </w:r>
      <w:r w:rsidR="00CC0B16" w:rsidRPr="00262459">
        <w:rPr>
          <w:lang w:val="en-CA"/>
        </w:rPr>
        <w:t xml:space="preserve">organizational research </w:t>
      </w:r>
      <w:r w:rsidRPr="00262459">
        <w:rPr>
          <w:lang w:val="en-CA"/>
        </w:rPr>
        <w:t xml:space="preserve">typically </w:t>
      </w:r>
      <w:r w:rsidR="00D23948" w:rsidRPr="00262459">
        <w:rPr>
          <w:lang w:val="en-CA"/>
        </w:rPr>
        <w:t>involve the use of</w:t>
      </w:r>
      <w:r w:rsidRPr="00262459">
        <w:rPr>
          <w:lang w:val="en-CA"/>
        </w:rPr>
        <w:t xml:space="preserve"> historical methods and evidence as valuable ways for scholars to learn from and theorize about organizations and organizing in the past (e.g. Rowlinson et al, 2014</w:t>
      </w:r>
      <w:r w:rsidR="0025103A" w:rsidRPr="00262459">
        <w:rPr>
          <w:lang w:val="en-CA"/>
        </w:rPr>
        <w:t xml:space="preserve">; </w:t>
      </w:r>
      <w:r w:rsidR="0025103A" w:rsidRPr="00DF2EF0">
        <w:rPr>
          <w:lang w:val="en-CA"/>
        </w:rPr>
        <w:t>Kipping et al, 2014</w:t>
      </w:r>
      <w:r w:rsidRPr="00DF2EF0">
        <w:rPr>
          <w:lang w:val="en-CA"/>
        </w:rPr>
        <w:t>),</w:t>
      </w:r>
      <w:r w:rsidRPr="00262459">
        <w:rPr>
          <w:lang w:val="en-CA"/>
        </w:rPr>
        <w:t xml:space="preserve"> the “uses of the past” approach examines how organizational actors themselves produce and use history for purposes in the present. </w:t>
      </w:r>
    </w:p>
    <w:p w14:paraId="6A05994C" w14:textId="3E4FF8FF" w:rsidR="00C235C2" w:rsidRPr="00DA7491" w:rsidRDefault="00C235C2" w:rsidP="00C235C2">
      <w:pPr>
        <w:spacing w:line="480" w:lineRule="auto"/>
        <w:ind w:firstLine="720"/>
        <w:jc w:val="both"/>
        <w:rPr>
          <w:lang w:val="en-CA"/>
        </w:rPr>
      </w:pPr>
      <w:r w:rsidRPr="007261A2">
        <w:rPr>
          <w:lang w:val="en-CA"/>
        </w:rPr>
        <w:t>The emergence of “uses of the past” perspectives represents an important new direction in how</w:t>
      </w:r>
      <w:r>
        <w:rPr>
          <w:lang w:val="en-CA"/>
        </w:rPr>
        <w:t xml:space="preserve"> </w:t>
      </w:r>
      <w:r w:rsidRPr="007261A2">
        <w:rPr>
          <w:lang w:val="en-CA"/>
        </w:rPr>
        <w:t>history and historical reasoning is integrated into management and organization studies. Previous</w:t>
      </w:r>
      <w:r>
        <w:rPr>
          <w:lang w:val="en-CA"/>
        </w:rPr>
        <w:t xml:space="preserve"> </w:t>
      </w:r>
      <w:r w:rsidRPr="007261A2">
        <w:rPr>
          <w:lang w:val="en-CA"/>
        </w:rPr>
        <w:t>organizational research and theory, even when it took history seriously, typically understood an organization’s</w:t>
      </w:r>
      <w:r>
        <w:rPr>
          <w:lang w:val="en-CA"/>
        </w:rPr>
        <w:t xml:space="preserve"> </w:t>
      </w:r>
      <w:r w:rsidRPr="007261A2">
        <w:rPr>
          <w:lang w:val="en-CA"/>
        </w:rPr>
        <w:t>history and the histories of industries or populations of firms</w:t>
      </w:r>
      <w:r>
        <w:rPr>
          <w:lang w:val="en-CA"/>
        </w:rPr>
        <w:t xml:space="preserve"> </w:t>
      </w:r>
      <w:r w:rsidRPr="007261A2">
        <w:rPr>
          <w:lang w:val="en-CA"/>
        </w:rPr>
        <w:t>(Hannan and Freeman, 1984) as “given” by their path through time. History was synonymous with</w:t>
      </w:r>
      <w:r>
        <w:rPr>
          <w:lang w:val="en-CA"/>
        </w:rPr>
        <w:t xml:space="preserve"> </w:t>
      </w:r>
      <w:r w:rsidRPr="007261A2">
        <w:rPr>
          <w:lang w:val="en-CA"/>
        </w:rPr>
        <w:t>the past, and thus understood as immutable, whether the goal of research was to identify a normative</w:t>
      </w:r>
      <w:r>
        <w:rPr>
          <w:lang w:val="en-CA"/>
        </w:rPr>
        <w:t xml:space="preserve"> </w:t>
      </w:r>
      <w:r w:rsidRPr="007261A2">
        <w:rPr>
          <w:lang w:val="en-CA"/>
        </w:rPr>
        <w:lastRenderedPageBreak/>
        <w:t>evolutionary process (Nelson and Winter, 1982) or a path-dependent one (North, 1990). In contrast,</w:t>
      </w:r>
      <w:r>
        <w:rPr>
          <w:lang w:val="en-CA"/>
        </w:rPr>
        <w:t xml:space="preserve"> </w:t>
      </w:r>
      <w:r w:rsidRPr="007261A2">
        <w:rPr>
          <w:lang w:val="en-CA"/>
        </w:rPr>
        <w:t>the “uses of the past” approach emphasizes not only the malleability of interpretations of the past, but</w:t>
      </w:r>
      <w:r>
        <w:rPr>
          <w:lang w:val="en-CA"/>
        </w:rPr>
        <w:t xml:space="preserve"> </w:t>
      </w:r>
      <w:r w:rsidRPr="007261A2">
        <w:rPr>
          <w:lang w:val="en-CA"/>
        </w:rPr>
        <w:t xml:space="preserve">also </w:t>
      </w:r>
      <w:r w:rsidR="0097364F">
        <w:rPr>
          <w:lang w:val="en-CA"/>
        </w:rPr>
        <w:t>their</w:t>
      </w:r>
      <w:r w:rsidRPr="007261A2">
        <w:rPr>
          <w:lang w:val="en-CA"/>
        </w:rPr>
        <w:t xml:space="preserve"> relationship to how organizational actors experience the present and set expectations for</w:t>
      </w:r>
      <w:r>
        <w:rPr>
          <w:lang w:val="en-CA"/>
        </w:rPr>
        <w:t xml:space="preserve"> the future. The past </w:t>
      </w:r>
      <w:r w:rsidRPr="007261A2">
        <w:rPr>
          <w:lang w:val="en-CA"/>
        </w:rPr>
        <w:t xml:space="preserve">thus </w:t>
      </w:r>
      <w:r>
        <w:rPr>
          <w:lang w:val="en-CA"/>
        </w:rPr>
        <w:t xml:space="preserve">is </w:t>
      </w:r>
      <w:r w:rsidRPr="007261A2">
        <w:rPr>
          <w:lang w:val="en-CA"/>
        </w:rPr>
        <w:t xml:space="preserve">understood as a </w:t>
      </w:r>
      <w:r w:rsidR="008040AD">
        <w:rPr>
          <w:lang w:val="en-CA"/>
        </w:rPr>
        <w:t xml:space="preserve">source </w:t>
      </w:r>
      <w:r>
        <w:rPr>
          <w:lang w:val="en-CA"/>
        </w:rPr>
        <w:t>of social symbolic resources available for a wide variety of creative</w:t>
      </w:r>
      <w:r w:rsidRPr="007261A2">
        <w:rPr>
          <w:lang w:val="en-CA"/>
        </w:rPr>
        <w:t xml:space="preserve"> uses. History and memory</w:t>
      </w:r>
      <w:r>
        <w:rPr>
          <w:lang w:val="en-CA"/>
        </w:rPr>
        <w:t xml:space="preserve"> </w:t>
      </w:r>
      <w:r w:rsidRPr="007261A2">
        <w:rPr>
          <w:lang w:val="en-CA"/>
        </w:rPr>
        <w:t xml:space="preserve">become fields where all actors are simultaneously </w:t>
      </w:r>
      <w:r>
        <w:rPr>
          <w:lang w:val="en-CA"/>
        </w:rPr>
        <w:t xml:space="preserve">producers and consumers </w:t>
      </w:r>
      <w:r w:rsidRPr="007261A2">
        <w:rPr>
          <w:lang w:val="en-CA"/>
        </w:rPr>
        <w:t>of interpretations</w:t>
      </w:r>
      <w:r>
        <w:rPr>
          <w:lang w:val="en-CA"/>
        </w:rPr>
        <w:t xml:space="preserve"> of the past. </w:t>
      </w:r>
      <w:r w:rsidR="00941CDC">
        <w:rPr>
          <w:lang w:val="en-CA"/>
        </w:rPr>
        <w:t xml:space="preserve">Increasingly organizations play a critical role in the ongoing struggle for competing uses of the past. </w:t>
      </w:r>
      <w:r>
        <w:rPr>
          <w:lang w:val="en-CA"/>
        </w:rPr>
        <w:t xml:space="preserve">Not only are organizations </w:t>
      </w:r>
      <w:r w:rsidR="00D23948">
        <w:rPr>
          <w:lang w:val="en-CA"/>
        </w:rPr>
        <w:t xml:space="preserve">treated as </w:t>
      </w:r>
      <w:r>
        <w:rPr>
          <w:lang w:val="en-CA"/>
        </w:rPr>
        <w:t xml:space="preserve">critical sites for the production and consumption of memory (Nora, 1990), they are </w:t>
      </w:r>
      <w:r w:rsidR="0097364F">
        <w:rPr>
          <w:lang w:val="en-CA"/>
        </w:rPr>
        <w:t xml:space="preserve">also </w:t>
      </w:r>
      <w:r>
        <w:rPr>
          <w:lang w:val="en-CA"/>
        </w:rPr>
        <w:t>actors engaged in using history for their own interests (Weindruch, 2016).</w:t>
      </w:r>
    </w:p>
    <w:p w14:paraId="73D6DB83" w14:textId="53DEDF48" w:rsidR="00C235C2" w:rsidRPr="00CF5715" w:rsidRDefault="00C235C2" w:rsidP="005C1C30">
      <w:pPr>
        <w:spacing w:line="480" w:lineRule="auto"/>
        <w:ind w:firstLine="720"/>
        <w:jc w:val="both"/>
        <w:rPr>
          <w:lang w:val="en-CA"/>
        </w:rPr>
      </w:pPr>
      <w:r w:rsidRPr="00DA7491">
        <w:rPr>
          <w:lang w:val="en-CA"/>
        </w:rPr>
        <w:t xml:space="preserve">The approach opens </w:t>
      </w:r>
      <w:r w:rsidR="0097364F">
        <w:rPr>
          <w:lang w:val="en-CA"/>
        </w:rPr>
        <w:t xml:space="preserve">up </w:t>
      </w:r>
      <w:r w:rsidRPr="00DA7491">
        <w:rPr>
          <w:lang w:val="en-CA"/>
        </w:rPr>
        <w:t>the possibility for a range of new research on the various ways</w:t>
      </w:r>
      <w:r>
        <w:rPr>
          <w:lang w:val="en-CA"/>
        </w:rPr>
        <w:t xml:space="preserve"> in which the past </w:t>
      </w:r>
      <w:r w:rsidR="00D23948">
        <w:rPr>
          <w:lang w:val="en-CA"/>
        </w:rPr>
        <w:t>is used in organizations and organizing, a</w:t>
      </w:r>
      <w:r w:rsidR="00262459">
        <w:rPr>
          <w:lang w:val="en-CA"/>
        </w:rPr>
        <w:t xml:space="preserve">n </w:t>
      </w:r>
      <w:r w:rsidR="00D23948">
        <w:rPr>
          <w:lang w:val="en-CA"/>
        </w:rPr>
        <w:t xml:space="preserve">agenda that this </w:t>
      </w:r>
      <w:r w:rsidR="00110B4A">
        <w:rPr>
          <w:lang w:val="en-CA"/>
        </w:rPr>
        <w:t xml:space="preserve">essay </w:t>
      </w:r>
      <w:r w:rsidR="00D23948">
        <w:rPr>
          <w:lang w:val="en-CA"/>
        </w:rPr>
        <w:t xml:space="preserve">and </w:t>
      </w:r>
      <w:r w:rsidR="00110B4A">
        <w:rPr>
          <w:lang w:val="en-CA"/>
        </w:rPr>
        <w:t xml:space="preserve">the </w:t>
      </w:r>
      <w:r w:rsidR="00D23948">
        <w:rPr>
          <w:lang w:val="en-CA"/>
        </w:rPr>
        <w:t>special issue</w:t>
      </w:r>
      <w:r w:rsidR="00CB1C63">
        <w:rPr>
          <w:lang w:val="en-CA"/>
        </w:rPr>
        <w:t xml:space="preserve"> it introduces</w:t>
      </w:r>
      <w:r w:rsidR="00D23948">
        <w:rPr>
          <w:lang w:val="en-CA"/>
        </w:rPr>
        <w:t xml:space="preserve"> survey</w:t>
      </w:r>
      <w:r w:rsidRPr="00DA7491">
        <w:rPr>
          <w:lang w:val="en-CA"/>
        </w:rPr>
        <w:t>.</w:t>
      </w:r>
      <w:r>
        <w:rPr>
          <w:lang w:val="en-CA"/>
        </w:rPr>
        <w:t xml:space="preserve"> </w:t>
      </w:r>
      <w:r w:rsidR="00D23948">
        <w:rPr>
          <w:lang w:val="en-CA"/>
        </w:rPr>
        <w:t>We begin by describing the intellectual origins of the uses of the past perspective</w:t>
      </w:r>
      <w:r w:rsidR="00AA64EE">
        <w:rPr>
          <w:lang w:val="en-CA"/>
        </w:rPr>
        <w:t xml:space="preserve"> and </w:t>
      </w:r>
      <w:r w:rsidR="005C1C30">
        <w:rPr>
          <w:lang w:val="en-CA"/>
        </w:rPr>
        <w:t>outlining the reasons it matters for the study of organizations and organizing broadly.</w:t>
      </w:r>
      <w:r>
        <w:rPr>
          <w:lang w:val="en-CA"/>
        </w:rPr>
        <w:t xml:space="preserve"> Next, </w:t>
      </w:r>
      <w:r w:rsidR="005C1C30">
        <w:rPr>
          <w:lang w:val="en-CA"/>
        </w:rPr>
        <w:t>we highlight</w:t>
      </w:r>
      <w:r>
        <w:rPr>
          <w:lang w:val="en-CA"/>
        </w:rPr>
        <w:t xml:space="preserve"> how the special issue extends and deepens this stream of research</w:t>
      </w:r>
      <w:r w:rsidR="00110B4A">
        <w:rPr>
          <w:lang w:val="en-CA"/>
        </w:rPr>
        <w:t>, both empirically and conceptually,</w:t>
      </w:r>
      <w:r>
        <w:rPr>
          <w:lang w:val="en-CA"/>
        </w:rPr>
        <w:t xml:space="preserve"> by documenting the range of purposes for which history </w:t>
      </w:r>
      <w:r w:rsidR="005C1C30">
        <w:rPr>
          <w:lang w:val="en-CA"/>
        </w:rPr>
        <w:t>is</w:t>
      </w:r>
      <w:r>
        <w:rPr>
          <w:lang w:val="en-CA"/>
        </w:rPr>
        <w:t xml:space="preserve"> deployed </w:t>
      </w:r>
      <w:r w:rsidR="005C1C30">
        <w:rPr>
          <w:lang w:val="en-CA"/>
        </w:rPr>
        <w:t xml:space="preserve">in organizations </w:t>
      </w:r>
      <w:r>
        <w:rPr>
          <w:lang w:val="en-CA"/>
        </w:rPr>
        <w:t>and by exploring the social</w:t>
      </w:r>
      <w:r w:rsidR="005C1C30">
        <w:rPr>
          <w:lang w:val="en-CA"/>
        </w:rPr>
        <w:t>ly embedded character</w:t>
      </w:r>
      <w:r>
        <w:rPr>
          <w:lang w:val="en-CA"/>
        </w:rPr>
        <w:t xml:space="preserve"> of these interpretive processes. Finally, </w:t>
      </w:r>
      <w:r w:rsidR="005C1C30">
        <w:rPr>
          <w:lang w:val="en-CA"/>
        </w:rPr>
        <w:t>we outline</w:t>
      </w:r>
      <w:r>
        <w:rPr>
          <w:lang w:val="en-CA"/>
        </w:rPr>
        <w:t xml:space="preserve"> a set of topics for future research that we see at the frontier of the conversation on the uses of the past in organizing. </w:t>
      </w:r>
    </w:p>
    <w:p w14:paraId="018E9921" w14:textId="77777777" w:rsidR="00C235C2" w:rsidRDefault="00C235C2" w:rsidP="00C235C2">
      <w:pPr>
        <w:spacing w:line="480" w:lineRule="auto"/>
        <w:rPr>
          <w:b/>
        </w:rPr>
      </w:pPr>
    </w:p>
    <w:p w14:paraId="225F32C8" w14:textId="55A6F840" w:rsidR="007F752B" w:rsidRPr="0056493F" w:rsidRDefault="007F752B" w:rsidP="00C235C2">
      <w:pPr>
        <w:spacing w:line="480" w:lineRule="auto"/>
        <w:rPr>
          <w:b/>
        </w:rPr>
      </w:pPr>
      <w:r w:rsidRPr="00FB78BE">
        <w:rPr>
          <w:b/>
        </w:rPr>
        <w:t>Back to the Future</w:t>
      </w:r>
    </w:p>
    <w:p w14:paraId="2C7F48A9" w14:textId="6FB8A1CD" w:rsidR="007F752B" w:rsidRPr="007F6C5F" w:rsidRDefault="007F752B" w:rsidP="00C235C2">
      <w:pPr>
        <w:spacing w:line="480" w:lineRule="auto"/>
        <w:rPr>
          <w:lang w:val="en-CA"/>
        </w:rPr>
      </w:pPr>
      <w:r w:rsidRPr="00FB78BE">
        <w:tab/>
        <w:t xml:space="preserve">While </w:t>
      </w:r>
      <w:r w:rsidR="00762545">
        <w:t xml:space="preserve">the </w:t>
      </w:r>
      <w:r w:rsidRPr="00FB78BE">
        <w:t xml:space="preserve">scholarship on the “uses of the past” represents a new direction in </w:t>
      </w:r>
      <w:r w:rsidR="00762545">
        <w:t xml:space="preserve">contemporary </w:t>
      </w:r>
      <w:r w:rsidRPr="00FB78BE">
        <w:t xml:space="preserve">historical research in organization studies, the approach itself is not new. Indeed, </w:t>
      </w:r>
      <w:r w:rsidR="0056493F">
        <w:t xml:space="preserve">the premise that historical knowledge </w:t>
      </w:r>
      <w:r w:rsidR="0006651B">
        <w:t>is</w:t>
      </w:r>
      <w:r w:rsidR="0056493F">
        <w:t xml:space="preserve"> valuable and usable for decisions in the present </w:t>
      </w:r>
      <w:r w:rsidR="0006651B">
        <w:lastRenderedPageBreak/>
        <w:t>characterized</w:t>
      </w:r>
      <w:r w:rsidRPr="00FB78BE">
        <w:t xml:space="preserve"> the emergence of history </w:t>
      </w:r>
      <w:r w:rsidR="0056493F">
        <w:t xml:space="preserve">as a recognizable form of </w:t>
      </w:r>
      <w:r w:rsidR="0006651B">
        <w:t xml:space="preserve">knowledge </w:t>
      </w:r>
      <w:r w:rsidR="001D144C">
        <w:t>in the first place</w:t>
      </w:r>
      <w:r w:rsidR="0006651B">
        <w:t xml:space="preserve">. </w:t>
      </w:r>
      <w:r w:rsidRPr="00FD0BB5">
        <w:rPr>
          <w:lang w:val="en-CA"/>
        </w:rPr>
        <w:t>In its</w:t>
      </w:r>
      <w:r w:rsidRPr="004C3EEF">
        <w:rPr>
          <w:lang w:val="en-CA"/>
        </w:rPr>
        <w:t xml:space="preserve"> origin</w:t>
      </w:r>
      <w:r w:rsidR="000A40BF">
        <w:rPr>
          <w:lang w:val="en-CA"/>
        </w:rPr>
        <w:t>s</w:t>
      </w:r>
      <w:r w:rsidRPr="004C3EEF">
        <w:rPr>
          <w:lang w:val="en-CA"/>
        </w:rPr>
        <w:t xml:space="preserve"> in ancient Greek and Rom</w:t>
      </w:r>
      <w:r>
        <w:rPr>
          <w:lang w:val="en-CA"/>
        </w:rPr>
        <w:t>e</w:t>
      </w:r>
      <w:r w:rsidR="00EB6B52">
        <w:rPr>
          <w:lang w:val="en-CA"/>
        </w:rPr>
        <w:t>,</w:t>
      </w:r>
      <w:r w:rsidRPr="004C3EEF">
        <w:rPr>
          <w:lang w:val="en-CA"/>
        </w:rPr>
        <w:t xml:space="preserve"> history </w:t>
      </w:r>
      <w:r>
        <w:rPr>
          <w:lang w:val="en-CA"/>
        </w:rPr>
        <w:t xml:space="preserve">was </w:t>
      </w:r>
      <w:r w:rsidRPr="004C3EEF">
        <w:rPr>
          <w:lang w:val="en-CA"/>
        </w:rPr>
        <w:t>seen as a</w:t>
      </w:r>
      <w:r w:rsidR="00EB6B52">
        <w:rPr>
          <w:lang w:val="en-CA"/>
        </w:rPr>
        <w:t xml:space="preserve"> form of</w:t>
      </w:r>
      <w:r w:rsidRPr="004C3EEF">
        <w:rPr>
          <w:lang w:val="en-CA"/>
        </w:rPr>
        <w:t xml:space="preserve"> practice-oriented </w:t>
      </w:r>
      <w:r w:rsidR="00EB6B52">
        <w:rPr>
          <w:lang w:val="en-CA"/>
        </w:rPr>
        <w:t>knowledge</w:t>
      </w:r>
      <w:r w:rsidRPr="004C3EEF">
        <w:rPr>
          <w:lang w:val="en-CA"/>
        </w:rPr>
        <w:t xml:space="preserve"> used for present purposes</w:t>
      </w:r>
      <w:r w:rsidR="001D144C">
        <w:rPr>
          <w:lang w:val="en-CA"/>
        </w:rPr>
        <w:t xml:space="preserve"> (</w:t>
      </w:r>
      <w:r w:rsidR="00984B82">
        <w:rPr>
          <w:lang w:val="en-CA"/>
        </w:rPr>
        <w:t>Koselleck 2004</w:t>
      </w:r>
      <w:r w:rsidR="001D144C">
        <w:rPr>
          <w:lang w:val="en-CA"/>
        </w:rPr>
        <w:t>)</w:t>
      </w:r>
      <w:r w:rsidRPr="004C3EEF">
        <w:rPr>
          <w:lang w:val="en-CA"/>
        </w:rPr>
        <w:t>.</w:t>
      </w:r>
      <w:r w:rsidRPr="00FB78BE">
        <w:t xml:space="preserve"> </w:t>
      </w:r>
      <w:r w:rsidRPr="00BE3E92">
        <w:t>Cicero</w:t>
      </w:r>
      <w:r w:rsidR="00984B82">
        <w:t xml:space="preserve">’s </w:t>
      </w:r>
      <w:r w:rsidR="00984B82">
        <w:rPr>
          <w:i/>
        </w:rPr>
        <w:t>De Oratore</w:t>
      </w:r>
      <w:r w:rsidRPr="00BE3E92">
        <w:t xml:space="preserve"> </w:t>
      </w:r>
      <w:r w:rsidR="000A40BF">
        <w:t>characterized</w:t>
      </w:r>
      <w:r w:rsidRPr="00BE3E92">
        <w:t xml:space="preserve"> </w:t>
      </w:r>
      <w:r w:rsidR="000A40BF">
        <w:t>it</w:t>
      </w:r>
      <w:r w:rsidRPr="00BE3E92">
        <w:t xml:space="preserve"> as </w:t>
      </w:r>
      <w:r w:rsidRPr="00FD0BB5">
        <w:rPr>
          <w:i/>
          <w:lang w:val="en-CA"/>
        </w:rPr>
        <w:t>historia magistra vitae</w:t>
      </w:r>
      <w:r w:rsidRPr="004C3EEF">
        <w:rPr>
          <w:lang w:val="en-CA"/>
        </w:rPr>
        <w:t xml:space="preserve"> – history as life’s teacher</w:t>
      </w:r>
      <w:r w:rsidR="00984B82">
        <w:rPr>
          <w:lang w:val="en-CA"/>
        </w:rPr>
        <w:t xml:space="preserve"> (</w:t>
      </w:r>
      <w:r w:rsidR="00C54673">
        <w:rPr>
          <w:lang w:val="en-CA"/>
        </w:rPr>
        <w:t>Cicero</w:t>
      </w:r>
      <w:r w:rsidR="00984B82">
        <w:rPr>
          <w:lang w:val="en-CA"/>
        </w:rPr>
        <w:t>, 1860)</w:t>
      </w:r>
      <w:r>
        <w:rPr>
          <w:lang w:val="en-CA"/>
        </w:rPr>
        <w:t xml:space="preserve">. </w:t>
      </w:r>
      <w:r w:rsidR="006E1027">
        <w:rPr>
          <w:lang w:val="en-CA"/>
        </w:rPr>
        <w:t>History</w:t>
      </w:r>
      <w:r w:rsidRPr="00FB78BE">
        <w:t xml:space="preserve"> was </w:t>
      </w:r>
      <w:r w:rsidR="001D144C">
        <w:t xml:space="preserve">considered </w:t>
      </w:r>
      <w:r w:rsidRPr="00FB78BE">
        <w:t xml:space="preserve">‘useful’ because </w:t>
      </w:r>
      <w:r w:rsidR="006E1027">
        <w:t>the past</w:t>
      </w:r>
      <w:r w:rsidRPr="00FB78BE">
        <w:t xml:space="preserve"> </w:t>
      </w:r>
      <w:r w:rsidR="00EB6B52">
        <w:t>offered</w:t>
      </w:r>
      <w:r w:rsidRPr="00FB78BE">
        <w:t xml:space="preserve"> a reservoir </w:t>
      </w:r>
      <w:r w:rsidR="00EB6B52">
        <w:t>of cases and examples that served as analogies pertinent to problems in the present</w:t>
      </w:r>
      <w:r w:rsidR="00984B82">
        <w:t>, an understanding that persisted through the medieval and Renaissance periods</w:t>
      </w:r>
      <w:r w:rsidR="006E1027">
        <w:t xml:space="preserve">. </w:t>
      </w:r>
      <w:r w:rsidR="00EB6B52">
        <w:t>Those leaders with</w:t>
      </w:r>
      <w:r w:rsidRPr="00FB78BE">
        <w:t xml:space="preserve"> knowledge of historical events </w:t>
      </w:r>
      <w:r w:rsidR="00EB6B52">
        <w:t xml:space="preserve">and figures </w:t>
      </w:r>
      <w:r w:rsidRPr="00FB78BE">
        <w:t xml:space="preserve">could draw on </w:t>
      </w:r>
      <w:r w:rsidR="00EB6B52">
        <w:t xml:space="preserve">these analogies </w:t>
      </w:r>
      <w:r w:rsidR="000A40BF">
        <w:t>as a guide for decision-making</w:t>
      </w:r>
      <w:r w:rsidR="00CB1C63">
        <w:t xml:space="preserve"> in</w:t>
      </w:r>
      <w:r w:rsidR="000A40BF">
        <w:t xml:space="preserve"> the present</w:t>
      </w:r>
      <w:r w:rsidRPr="00FB78BE">
        <w:t xml:space="preserve">. </w:t>
      </w:r>
      <w:r w:rsidR="00EB6B52">
        <w:t>From</w:t>
      </w:r>
      <w:r w:rsidRPr="00FB78BE">
        <w:t xml:space="preserve"> this perspective, </w:t>
      </w:r>
      <w:r w:rsidR="00EB6B52">
        <w:t>history</w:t>
      </w:r>
      <w:r w:rsidRPr="00FB78BE">
        <w:t xml:space="preserve"> </w:t>
      </w:r>
      <w:r w:rsidR="001D144C">
        <w:t>was understood not primarily as a</w:t>
      </w:r>
      <w:r w:rsidRPr="00FB78BE">
        <w:t xml:space="preserve"> representation of the past, but </w:t>
      </w:r>
      <w:r w:rsidR="001D144C">
        <w:t>rather as</w:t>
      </w:r>
      <w:r w:rsidRPr="00FB78BE">
        <w:t xml:space="preserve"> a rhetorical and didactical tool </w:t>
      </w:r>
      <w:r w:rsidR="001D144C">
        <w:t>that provided</w:t>
      </w:r>
      <w:r w:rsidRPr="00FB78BE">
        <w:t xml:space="preserve"> relevant, useful and applicable plots and morals </w:t>
      </w:r>
      <w:r w:rsidR="001D144C">
        <w:t>that could serve</w:t>
      </w:r>
      <w:r w:rsidRPr="00FB78BE">
        <w:t xml:space="preserve"> strategic purposes in the present</w:t>
      </w:r>
      <w:r w:rsidR="00E64BC6">
        <w:t xml:space="preserve"> (R</w:t>
      </w:r>
      <w:r w:rsidR="005F6988">
        <w:t>ü</w:t>
      </w:r>
      <w:r w:rsidR="00E64BC6">
        <w:t>sen, 1987, Grethlein, 2011)</w:t>
      </w:r>
      <w:r w:rsidRPr="00FB78BE">
        <w:t xml:space="preserve">. </w:t>
      </w:r>
      <w:r w:rsidR="00EB6B52">
        <w:t>A related</w:t>
      </w:r>
      <w:r w:rsidRPr="00FB78BE">
        <w:t xml:space="preserve"> ancient Roman </w:t>
      </w:r>
      <w:r w:rsidR="00EB6B52">
        <w:t>intellectual</w:t>
      </w:r>
      <w:r w:rsidRPr="00FB78BE">
        <w:t xml:space="preserve"> tradition was </w:t>
      </w:r>
      <w:r w:rsidR="00EB6B52">
        <w:t xml:space="preserve">that of rhetorical history, which </w:t>
      </w:r>
      <w:r w:rsidRPr="000A40BF">
        <w:t xml:space="preserve">focused on </w:t>
      </w:r>
      <w:r w:rsidR="00EB6B52" w:rsidRPr="000A40BF">
        <w:t>producing</w:t>
      </w:r>
      <w:r w:rsidRPr="000A40BF">
        <w:t xml:space="preserve"> panegyric historical narratives </w:t>
      </w:r>
      <w:r w:rsidR="00EB6B52" w:rsidRPr="000A40BF">
        <w:t xml:space="preserve">designed to cast </w:t>
      </w:r>
      <w:r w:rsidR="00FB25C5" w:rsidRPr="000A40BF">
        <w:t xml:space="preserve">their subjects in a positive light </w:t>
      </w:r>
      <w:r w:rsidR="00BE3E92" w:rsidRPr="008D1873">
        <w:rPr>
          <w:lang w:val="en-CA"/>
        </w:rPr>
        <w:t>(Mordhorst &amp;</w:t>
      </w:r>
      <w:r w:rsidR="00BE3E92" w:rsidRPr="008D1873">
        <w:rPr>
          <w:color w:val="333333"/>
        </w:rPr>
        <w:t xml:space="preserve"> Schwarzkopf, 2017)</w:t>
      </w:r>
      <w:r w:rsidR="006F49CD" w:rsidRPr="008D1873">
        <w:rPr>
          <w:color w:val="333333"/>
        </w:rPr>
        <w:t>.</w:t>
      </w:r>
      <w:r w:rsidRPr="006F49CD">
        <w:t xml:space="preserve">  </w:t>
      </w:r>
    </w:p>
    <w:p w14:paraId="0E0502CC" w14:textId="6CEA482E" w:rsidR="00B928FC" w:rsidRDefault="007F752B" w:rsidP="00C235C2">
      <w:pPr>
        <w:spacing w:line="480" w:lineRule="auto"/>
        <w:jc w:val="both"/>
        <w:rPr>
          <w:lang w:val="en-CA"/>
        </w:rPr>
      </w:pPr>
      <w:r w:rsidRPr="006F49CD">
        <w:tab/>
      </w:r>
      <w:r>
        <w:rPr>
          <w:lang w:val="en-CA"/>
        </w:rPr>
        <w:t>It was only with</w:t>
      </w:r>
      <w:r w:rsidRPr="00DA7491">
        <w:rPr>
          <w:lang w:val="en-CA"/>
        </w:rPr>
        <w:t xml:space="preserve"> </w:t>
      </w:r>
      <w:r>
        <w:rPr>
          <w:lang w:val="en-CA"/>
        </w:rPr>
        <w:t xml:space="preserve">the </w:t>
      </w:r>
      <w:r w:rsidRPr="00DA7491">
        <w:rPr>
          <w:lang w:val="en-CA"/>
        </w:rPr>
        <w:t>professionalization</w:t>
      </w:r>
      <w:r>
        <w:rPr>
          <w:lang w:val="en-CA"/>
        </w:rPr>
        <w:t xml:space="preserve"> of history </w:t>
      </w:r>
      <w:r w:rsidRPr="00DA7491">
        <w:rPr>
          <w:lang w:val="en-CA"/>
        </w:rPr>
        <w:t xml:space="preserve">in the </w:t>
      </w:r>
      <w:r w:rsidR="00FB25C5">
        <w:rPr>
          <w:lang w:val="en-CA"/>
        </w:rPr>
        <w:t>eighteen and nineteenth centuries that</w:t>
      </w:r>
      <w:r w:rsidRPr="00DA7491">
        <w:rPr>
          <w:lang w:val="en-CA"/>
        </w:rPr>
        <w:t xml:space="preserve"> academic history</w:t>
      </w:r>
      <w:r>
        <w:rPr>
          <w:lang w:val="en-CA"/>
        </w:rPr>
        <w:t xml:space="preserve"> became </w:t>
      </w:r>
      <w:r w:rsidRPr="00DA7491">
        <w:rPr>
          <w:lang w:val="en-CA"/>
        </w:rPr>
        <w:t>oriented to</w:t>
      </w:r>
      <w:r w:rsidR="00FB25C5">
        <w:rPr>
          <w:lang w:val="en-CA"/>
        </w:rPr>
        <w:t>ward</w:t>
      </w:r>
      <w:r w:rsidRPr="00DA7491">
        <w:rPr>
          <w:lang w:val="en-CA"/>
        </w:rPr>
        <w:t xml:space="preserve"> the study of the past in and for itself, a focus that</w:t>
      </w:r>
      <w:r>
        <w:rPr>
          <w:lang w:val="en-CA"/>
        </w:rPr>
        <w:t xml:space="preserve"> </w:t>
      </w:r>
      <w:r w:rsidRPr="00DA7491">
        <w:rPr>
          <w:lang w:val="en-CA"/>
        </w:rPr>
        <w:t xml:space="preserve">remains a central and legitimate endeavour for </w:t>
      </w:r>
      <w:r w:rsidR="003122D0">
        <w:rPr>
          <w:lang w:val="en-CA"/>
        </w:rPr>
        <w:t>scholarly history</w:t>
      </w:r>
      <w:r w:rsidRPr="00DA7491">
        <w:rPr>
          <w:lang w:val="en-CA"/>
        </w:rPr>
        <w:t xml:space="preserve">. </w:t>
      </w:r>
      <w:r w:rsidR="001D144C">
        <w:rPr>
          <w:lang w:val="en-CA"/>
        </w:rPr>
        <w:t xml:space="preserve">Responding to the intellectual </w:t>
      </w:r>
      <w:r w:rsidR="00D61D55">
        <w:rPr>
          <w:lang w:val="en-CA"/>
        </w:rPr>
        <w:t>claims proffered</w:t>
      </w:r>
      <w:r w:rsidR="001D144C">
        <w:rPr>
          <w:lang w:val="en-CA"/>
        </w:rPr>
        <w:t xml:space="preserve"> by</w:t>
      </w:r>
      <w:r w:rsidR="00FB25C5">
        <w:rPr>
          <w:lang w:val="en-CA"/>
        </w:rPr>
        <w:t xml:space="preserve"> Enlightenment</w:t>
      </w:r>
      <w:r w:rsidR="001D144C">
        <w:rPr>
          <w:lang w:val="en-CA"/>
        </w:rPr>
        <w:t xml:space="preserve"> thinkers</w:t>
      </w:r>
      <w:r w:rsidR="00FB25C5">
        <w:rPr>
          <w:lang w:val="en-CA"/>
        </w:rPr>
        <w:t xml:space="preserve">, </w:t>
      </w:r>
      <w:r w:rsidR="000A40BF">
        <w:rPr>
          <w:lang w:val="en-CA"/>
        </w:rPr>
        <w:t xml:space="preserve">modern </w:t>
      </w:r>
      <w:r w:rsidR="00FB25C5">
        <w:rPr>
          <w:lang w:val="en-CA"/>
        </w:rPr>
        <w:t xml:space="preserve">academic history developed around the </w:t>
      </w:r>
      <w:r w:rsidR="00D61D55">
        <w:rPr>
          <w:lang w:val="en-CA"/>
        </w:rPr>
        <w:t xml:space="preserve">argument that scholarly history involved the study of the past </w:t>
      </w:r>
      <w:r w:rsidR="009D7A85">
        <w:rPr>
          <w:lang w:val="en-CA"/>
        </w:rPr>
        <w:t>for its uniqueness</w:t>
      </w:r>
      <w:r w:rsidR="00D61D55">
        <w:rPr>
          <w:lang w:val="en-CA"/>
        </w:rPr>
        <w:t xml:space="preserve"> rather than for universal or present-oriented purposes </w:t>
      </w:r>
      <w:r w:rsidR="006E1027">
        <w:rPr>
          <w:lang w:val="en-CA"/>
        </w:rPr>
        <w:t>(Novick, 1988</w:t>
      </w:r>
      <w:r w:rsidR="00C54673" w:rsidRPr="00C54673">
        <w:rPr>
          <w:lang w:val="en-CA"/>
        </w:rPr>
        <w:t>).</w:t>
      </w:r>
      <w:r w:rsidR="00C54673">
        <w:rPr>
          <w:lang w:val="en-CA"/>
        </w:rPr>
        <w:t xml:space="preserve"> </w:t>
      </w:r>
      <w:r w:rsidRPr="00DA7491">
        <w:rPr>
          <w:lang w:val="en-CA"/>
        </w:rPr>
        <w:t>As Leopold von Ranke (1824) put it, the purpose of scholarly history was not</w:t>
      </w:r>
      <w:r>
        <w:rPr>
          <w:lang w:val="en-CA"/>
        </w:rPr>
        <w:t xml:space="preserve"> </w:t>
      </w:r>
      <w:r w:rsidRPr="00DA7491">
        <w:rPr>
          <w:lang w:val="en-CA"/>
        </w:rPr>
        <w:t>to “judg[e] the past for the benefit of future generations … it merely seeks to show the past as</w:t>
      </w:r>
      <w:r>
        <w:rPr>
          <w:lang w:val="en-CA"/>
        </w:rPr>
        <w:t xml:space="preserve"> </w:t>
      </w:r>
      <w:r w:rsidRPr="00DA7491">
        <w:rPr>
          <w:lang w:val="en-CA"/>
        </w:rPr>
        <w:t>it once was (</w:t>
      </w:r>
      <w:r w:rsidRPr="008D1873">
        <w:rPr>
          <w:lang w:val="en-CA"/>
        </w:rPr>
        <w:t>Ranke, 1824</w:t>
      </w:r>
      <w:r w:rsidRPr="00DA7491">
        <w:rPr>
          <w:lang w:val="en-CA"/>
        </w:rPr>
        <w:t xml:space="preserve">).” While most modern </w:t>
      </w:r>
      <w:r w:rsidR="000A40BF">
        <w:rPr>
          <w:lang w:val="en-CA"/>
        </w:rPr>
        <w:t xml:space="preserve">academic </w:t>
      </w:r>
      <w:r w:rsidRPr="00DA7491">
        <w:rPr>
          <w:lang w:val="en-CA"/>
        </w:rPr>
        <w:t xml:space="preserve">historians reject Rankean scientism, they </w:t>
      </w:r>
      <w:r w:rsidR="00B928FC">
        <w:rPr>
          <w:lang w:val="en-CA"/>
        </w:rPr>
        <w:t xml:space="preserve">often </w:t>
      </w:r>
      <w:r w:rsidRPr="00DA7491">
        <w:rPr>
          <w:lang w:val="en-CA"/>
        </w:rPr>
        <w:t>still</w:t>
      </w:r>
      <w:r>
        <w:rPr>
          <w:lang w:val="en-CA"/>
        </w:rPr>
        <w:t xml:space="preserve"> </w:t>
      </w:r>
      <w:r w:rsidRPr="00DA7491">
        <w:rPr>
          <w:lang w:val="en-CA"/>
        </w:rPr>
        <w:t>embrace Rankean professional norms in seeking to understand and represent actors and actions in</w:t>
      </w:r>
      <w:r>
        <w:rPr>
          <w:lang w:val="en-CA"/>
        </w:rPr>
        <w:t xml:space="preserve"> </w:t>
      </w:r>
      <w:r w:rsidRPr="00DA7491">
        <w:rPr>
          <w:lang w:val="en-CA"/>
        </w:rPr>
        <w:t>the past “on their own terms.”</w:t>
      </w:r>
      <w:r>
        <w:rPr>
          <w:lang w:val="en-CA"/>
        </w:rPr>
        <w:t xml:space="preserve"> </w:t>
      </w:r>
    </w:p>
    <w:p w14:paraId="4C7B524F" w14:textId="7A2AA8D4" w:rsidR="005838DC" w:rsidRDefault="005838DC" w:rsidP="005838DC">
      <w:pPr>
        <w:spacing w:line="480" w:lineRule="auto"/>
        <w:ind w:firstLine="720"/>
        <w:jc w:val="both"/>
        <w:rPr>
          <w:lang w:val="en-CA"/>
        </w:rPr>
      </w:pPr>
      <w:r>
        <w:rPr>
          <w:lang w:val="en-CA"/>
        </w:rPr>
        <w:lastRenderedPageBreak/>
        <w:t xml:space="preserve">One of the most biting </w:t>
      </w:r>
      <w:r w:rsidR="00C54673">
        <w:rPr>
          <w:lang w:val="en-CA"/>
        </w:rPr>
        <w:t xml:space="preserve">and enduring </w:t>
      </w:r>
      <w:r>
        <w:rPr>
          <w:lang w:val="en-CA"/>
        </w:rPr>
        <w:t xml:space="preserve">critics of this </w:t>
      </w:r>
      <w:r w:rsidR="00C54673">
        <w:rPr>
          <w:lang w:val="en-CA"/>
        </w:rPr>
        <w:t>view</w:t>
      </w:r>
      <w:r>
        <w:rPr>
          <w:lang w:val="en-CA"/>
        </w:rPr>
        <w:t xml:space="preserve"> was Friedrich Nietzsche, who in his essay ‘On the Use and Abuse of History for Life’ (1874) accused </w:t>
      </w:r>
      <w:r w:rsidR="00C54673">
        <w:rPr>
          <w:lang w:val="en-CA"/>
        </w:rPr>
        <w:t>academic</w:t>
      </w:r>
      <w:r>
        <w:rPr>
          <w:lang w:val="en-CA"/>
        </w:rPr>
        <w:t xml:space="preserve"> </w:t>
      </w:r>
      <w:r w:rsidR="00A26CAC">
        <w:rPr>
          <w:lang w:val="en-CA"/>
        </w:rPr>
        <w:t>history</w:t>
      </w:r>
      <w:r w:rsidR="00C54673">
        <w:rPr>
          <w:lang w:val="en-CA"/>
        </w:rPr>
        <w:t xml:space="preserve"> </w:t>
      </w:r>
      <w:r w:rsidR="00E80375">
        <w:rPr>
          <w:lang w:val="en-CA"/>
        </w:rPr>
        <w:t xml:space="preserve">of </w:t>
      </w:r>
      <w:r>
        <w:rPr>
          <w:lang w:val="en-CA"/>
        </w:rPr>
        <w:t xml:space="preserve">neglecting </w:t>
      </w:r>
      <w:r w:rsidR="00C54673">
        <w:rPr>
          <w:lang w:val="en-CA"/>
        </w:rPr>
        <w:t>the role of history in living life</w:t>
      </w:r>
      <w:r>
        <w:rPr>
          <w:lang w:val="en-CA"/>
        </w:rPr>
        <w:t xml:space="preserve"> in the present. </w:t>
      </w:r>
      <w:r w:rsidR="00C54673">
        <w:rPr>
          <w:lang w:val="en-CA"/>
        </w:rPr>
        <w:t xml:space="preserve">Nietzsche instead articulated </w:t>
      </w:r>
      <w:r w:rsidR="00C54673" w:rsidRPr="008D1873">
        <w:rPr>
          <w:lang w:val="en-CA"/>
        </w:rPr>
        <w:t xml:space="preserve">three varieties of uses of </w:t>
      </w:r>
      <w:r w:rsidR="00E80375" w:rsidRPr="008D1873">
        <w:rPr>
          <w:lang w:val="en-CA"/>
        </w:rPr>
        <w:t>past</w:t>
      </w:r>
      <w:r w:rsidR="00C54673" w:rsidRPr="008D1873">
        <w:rPr>
          <w:lang w:val="en-CA"/>
        </w:rPr>
        <w:t xml:space="preserve"> in the present</w:t>
      </w:r>
      <w:r w:rsidR="00C84CD9" w:rsidRPr="008D1873">
        <w:rPr>
          <w:lang w:val="en-CA"/>
        </w:rPr>
        <w:t>: monumental, antiquarian and critical</w:t>
      </w:r>
      <w:r w:rsidR="00C54673">
        <w:rPr>
          <w:lang w:val="en-CA"/>
        </w:rPr>
        <w:t>. With</w:t>
      </w:r>
      <w:r>
        <w:rPr>
          <w:lang w:val="en-CA"/>
        </w:rPr>
        <w:t xml:space="preserve"> that Nietzsche paved the road for a return to </w:t>
      </w:r>
      <w:r w:rsidR="00E80375">
        <w:rPr>
          <w:lang w:val="en-CA"/>
        </w:rPr>
        <w:t xml:space="preserve">the study of </w:t>
      </w:r>
      <w:r>
        <w:rPr>
          <w:lang w:val="en-CA"/>
        </w:rPr>
        <w:t xml:space="preserve">how everyday actors – and not just scholars – “use” history in the present and </w:t>
      </w:r>
      <w:r w:rsidR="00E80375">
        <w:rPr>
          <w:lang w:val="en-CA"/>
        </w:rPr>
        <w:t>subsequently</w:t>
      </w:r>
      <w:r w:rsidR="00C54673">
        <w:rPr>
          <w:lang w:val="en-CA"/>
        </w:rPr>
        <w:t xml:space="preserve"> </w:t>
      </w:r>
      <w:r w:rsidR="005F6988">
        <w:rPr>
          <w:lang w:val="en-CA"/>
        </w:rPr>
        <w:t xml:space="preserve">for </w:t>
      </w:r>
      <w:r>
        <w:rPr>
          <w:lang w:val="en-CA"/>
        </w:rPr>
        <w:t xml:space="preserve">the emergence of intellectual claims about the </w:t>
      </w:r>
      <w:r w:rsidR="005F6988">
        <w:rPr>
          <w:lang w:val="en-CA"/>
        </w:rPr>
        <w:t>phenomenological</w:t>
      </w:r>
      <w:r>
        <w:rPr>
          <w:lang w:val="en-CA"/>
        </w:rPr>
        <w:t xml:space="preserve"> and linguistic character of historical knowledge. </w:t>
      </w:r>
    </w:p>
    <w:p w14:paraId="196FFFE1" w14:textId="00B1A887" w:rsidR="005838DC" w:rsidRDefault="00C54673" w:rsidP="00C54673">
      <w:pPr>
        <w:spacing w:line="480" w:lineRule="auto"/>
        <w:ind w:firstLine="720"/>
        <w:jc w:val="both"/>
        <w:rPr>
          <w:lang w:val="en-CA"/>
        </w:rPr>
      </w:pPr>
      <w:r>
        <w:rPr>
          <w:lang w:val="en-CA"/>
        </w:rPr>
        <w:t>This influence can be seen in Wilhelm Dilthey’s</w:t>
      </w:r>
      <w:r w:rsidR="00A26CAC">
        <w:rPr>
          <w:lang w:val="en-CA"/>
        </w:rPr>
        <w:t xml:space="preserve"> (1910)</w:t>
      </w:r>
      <w:r>
        <w:rPr>
          <w:lang w:val="en-CA"/>
        </w:rPr>
        <w:t xml:space="preserve"> argument that “we are historical beings first, before we are observers of history, and only because we are the former do we become the latter” (cited in Carr, 1991: 4). </w:t>
      </w:r>
      <w:r w:rsidR="00A96DAD">
        <w:rPr>
          <w:lang w:val="en-CA"/>
        </w:rPr>
        <w:t xml:space="preserve">A number of intellectual traditions in twentieth-century epistemological and ontological thought </w:t>
      </w:r>
      <w:r>
        <w:rPr>
          <w:lang w:val="en-CA"/>
        </w:rPr>
        <w:t xml:space="preserve">began to explore the ways in which historical consciousness was central to how human beings experienced the world and drew scholarly attention back to the relationship between past and present in shaping understandings of everyday experience (Heidegger, 1927; </w:t>
      </w:r>
      <w:r w:rsidR="00A96DAD">
        <w:rPr>
          <w:lang w:val="en-CA"/>
        </w:rPr>
        <w:t xml:space="preserve">Mead, 1932; </w:t>
      </w:r>
      <w:r w:rsidR="00701551" w:rsidRPr="008D1873">
        <w:rPr>
          <w:lang w:val="en-CA"/>
        </w:rPr>
        <w:t>Gadamer, 1989</w:t>
      </w:r>
      <w:r w:rsidRPr="008D1873">
        <w:rPr>
          <w:lang w:val="en-CA"/>
        </w:rPr>
        <w:t>; Koselleck, 2004). The linguistic turn further deepened scholarly appreciation of the interpretive and agentic aspects of historical knowledge by pointing to the representational character of history (</w:t>
      </w:r>
      <w:r w:rsidR="00A26CAC">
        <w:rPr>
          <w:lang w:val="en-CA"/>
        </w:rPr>
        <w:t xml:space="preserve">Danto, 1965; </w:t>
      </w:r>
      <w:r w:rsidRPr="008D1873">
        <w:rPr>
          <w:lang w:val="en-CA"/>
        </w:rPr>
        <w:t>White, 1966, 1973).</w:t>
      </w:r>
      <w:r>
        <w:rPr>
          <w:lang w:val="en-CA"/>
        </w:rPr>
        <w:t xml:space="preserve"> These intellectual developments </w:t>
      </w:r>
      <w:r w:rsidR="00A26CAC">
        <w:rPr>
          <w:lang w:val="en-CA"/>
        </w:rPr>
        <w:t>brought the focus back</w:t>
      </w:r>
      <w:r>
        <w:rPr>
          <w:lang w:val="en-CA"/>
        </w:rPr>
        <w:t xml:space="preserve"> to the role of “the present” in the formation of historical knowledge and re-expanded the scope of history from a specific kind of scholarly knowledge to a broad form of everyday knowing. Unlike in the ancient world, however, the “uses of the past” in </w:t>
      </w:r>
      <w:r w:rsidR="00A26CAC">
        <w:rPr>
          <w:lang w:val="en-CA"/>
        </w:rPr>
        <w:t>modern</w:t>
      </w:r>
      <w:r>
        <w:rPr>
          <w:lang w:val="en-CA"/>
        </w:rPr>
        <w:t xml:space="preserve"> thought focused less on history as a didactical tool and more </w:t>
      </w:r>
      <w:r w:rsidR="00A32C2C">
        <w:rPr>
          <w:lang w:val="en-CA"/>
        </w:rPr>
        <w:t>on its role in</w:t>
      </w:r>
      <w:r>
        <w:rPr>
          <w:lang w:val="en-CA"/>
        </w:rPr>
        <w:t xml:space="preserve"> the human epistemological and ontological construction of the world.</w:t>
      </w:r>
    </w:p>
    <w:p w14:paraId="454D8CDA" w14:textId="18FA7F2A" w:rsidR="002C2F56" w:rsidRDefault="00B57CC9" w:rsidP="00DA7926">
      <w:pPr>
        <w:spacing w:line="480" w:lineRule="auto"/>
        <w:ind w:firstLine="720"/>
        <w:jc w:val="both"/>
        <w:rPr>
          <w:lang w:val="en-CA"/>
        </w:rPr>
      </w:pPr>
      <w:r>
        <w:rPr>
          <w:lang w:val="en-CA"/>
        </w:rPr>
        <w:t xml:space="preserve">Within </w:t>
      </w:r>
      <w:r w:rsidR="00A530D1">
        <w:rPr>
          <w:lang w:val="en-CA"/>
        </w:rPr>
        <w:t>the discipline of history</w:t>
      </w:r>
      <w:r>
        <w:rPr>
          <w:lang w:val="en-CA"/>
        </w:rPr>
        <w:t xml:space="preserve">, a growing body of scholarship </w:t>
      </w:r>
      <w:r w:rsidR="000B14F6">
        <w:rPr>
          <w:lang w:val="en-CA"/>
        </w:rPr>
        <w:t xml:space="preserve">has </w:t>
      </w:r>
      <w:r>
        <w:rPr>
          <w:lang w:val="en-CA"/>
        </w:rPr>
        <w:t xml:space="preserve">considered how </w:t>
      </w:r>
      <w:r w:rsidR="00A530D1">
        <w:rPr>
          <w:lang w:val="en-CA"/>
        </w:rPr>
        <w:t>historical representations</w:t>
      </w:r>
      <w:r>
        <w:rPr>
          <w:lang w:val="en-CA"/>
        </w:rPr>
        <w:t xml:space="preserve"> </w:t>
      </w:r>
      <w:r w:rsidR="00A32C2C">
        <w:rPr>
          <w:lang w:val="en-CA"/>
        </w:rPr>
        <w:t>organize</w:t>
      </w:r>
      <w:r>
        <w:rPr>
          <w:lang w:val="en-CA"/>
        </w:rPr>
        <w:t xml:space="preserve"> everyday social, political, and </w:t>
      </w:r>
      <w:r w:rsidR="00A32C2C">
        <w:rPr>
          <w:lang w:val="en-CA"/>
        </w:rPr>
        <w:t>economic</w:t>
      </w:r>
      <w:r>
        <w:rPr>
          <w:lang w:val="en-CA"/>
        </w:rPr>
        <w:t xml:space="preserve"> life, both in the present </w:t>
      </w:r>
      <w:r>
        <w:rPr>
          <w:lang w:val="en-CA"/>
        </w:rPr>
        <w:lastRenderedPageBreak/>
        <w:t xml:space="preserve">and the past. Some of this work emphasized the interpretive – or even “invented” – nature of </w:t>
      </w:r>
      <w:r w:rsidR="00DD2E65">
        <w:rPr>
          <w:lang w:val="en-CA"/>
        </w:rPr>
        <w:t>history</w:t>
      </w:r>
      <w:r>
        <w:rPr>
          <w:lang w:val="en-CA"/>
        </w:rPr>
        <w:t xml:space="preserve">, and the role of these </w:t>
      </w:r>
      <w:r w:rsidR="00DA7926">
        <w:rPr>
          <w:lang w:val="en-CA"/>
        </w:rPr>
        <w:t xml:space="preserve">traditions </w:t>
      </w:r>
      <w:r>
        <w:rPr>
          <w:lang w:val="en-CA"/>
        </w:rPr>
        <w:t>in shaping group identities</w:t>
      </w:r>
      <w:r w:rsidR="001B1E3B">
        <w:rPr>
          <w:lang w:val="en-CA"/>
        </w:rPr>
        <w:t xml:space="preserve"> (Hobsbawm and Ranger, 1983</w:t>
      </w:r>
      <w:r w:rsidR="005678E4">
        <w:rPr>
          <w:lang w:val="en-CA"/>
        </w:rPr>
        <w:t>)</w:t>
      </w:r>
      <w:r>
        <w:rPr>
          <w:lang w:val="en-CA"/>
        </w:rPr>
        <w:t xml:space="preserve">. </w:t>
      </w:r>
      <w:r w:rsidR="00DA7926">
        <w:rPr>
          <w:lang w:val="en-CA"/>
        </w:rPr>
        <w:t>But, e</w:t>
      </w:r>
      <w:r w:rsidR="00A530D1">
        <w:rPr>
          <w:lang w:val="en-CA"/>
        </w:rPr>
        <w:t xml:space="preserve">ven more significantly, </w:t>
      </w:r>
      <w:r w:rsidR="00DA7926">
        <w:rPr>
          <w:lang w:val="en-CA"/>
        </w:rPr>
        <w:t>the growing scholarly interest in the constitutive character of historical knowledge shaped the</w:t>
      </w:r>
      <w:r w:rsidR="00A530D1">
        <w:rPr>
          <w:lang w:val="en-CA"/>
        </w:rPr>
        <w:t xml:space="preserve"> critical examination of who </w:t>
      </w:r>
      <w:r w:rsidR="00DA7926">
        <w:rPr>
          <w:lang w:val="en-CA"/>
        </w:rPr>
        <w:t>such forms of knowledge</w:t>
      </w:r>
      <w:r w:rsidR="00A530D1">
        <w:rPr>
          <w:lang w:val="en-CA"/>
        </w:rPr>
        <w:t xml:space="preserve"> represented and who </w:t>
      </w:r>
      <w:r w:rsidR="00DA7926">
        <w:rPr>
          <w:lang w:val="en-CA"/>
        </w:rPr>
        <w:t>it left out (Appleby, et al, 1994), as well as the implications of how such historical representations shaped perceptions, legitimacy, and power in the present (</w:t>
      </w:r>
      <w:r w:rsidR="00DC11D2">
        <w:rPr>
          <w:lang w:val="en-CA"/>
        </w:rPr>
        <w:t xml:space="preserve">Foucault, 1972; </w:t>
      </w:r>
      <w:r w:rsidR="00DA7926">
        <w:rPr>
          <w:lang w:val="en-CA"/>
        </w:rPr>
        <w:t>Said, 1978; Wolf, 1982). These critiques prompted the</w:t>
      </w:r>
      <w:r w:rsidR="00A530D1">
        <w:rPr>
          <w:lang w:val="en-CA"/>
        </w:rPr>
        <w:t xml:space="preserve"> growth of </w:t>
      </w:r>
      <w:r w:rsidR="00DA7926">
        <w:rPr>
          <w:lang w:val="en-CA"/>
        </w:rPr>
        <w:t xml:space="preserve">historical </w:t>
      </w:r>
      <w:r w:rsidR="00A530D1">
        <w:rPr>
          <w:lang w:val="en-CA"/>
        </w:rPr>
        <w:t xml:space="preserve">scholarship on people and nations whose historical voices had been previously marginalized. It </w:t>
      </w:r>
      <w:r w:rsidR="00D17C99">
        <w:rPr>
          <w:lang w:val="en-CA"/>
        </w:rPr>
        <w:t xml:space="preserve">also led to </w:t>
      </w:r>
      <w:r w:rsidR="00DA7926">
        <w:rPr>
          <w:lang w:val="en-CA"/>
        </w:rPr>
        <w:t xml:space="preserve">a </w:t>
      </w:r>
      <w:r w:rsidR="00D17C99">
        <w:rPr>
          <w:lang w:val="en-CA"/>
        </w:rPr>
        <w:t>robust body of scholarship that examined places and practices in which public memory and history entered the everyday life of ordinary people</w:t>
      </w:r>
      <w:r w:rsidR="006E1027">
        <w:rPr>
          <w:lang w:val="en-CA"/>
        </w:rPr>
        <w:t xml:space="preserve"> (Nora, 1996)</w:t>
      </w:r>
      <w:r w:rsidR="00D17C99">
        <w:rPr>
          <w:lang w:val="en-CA"/>
        </w:rPr>
        <w:t xml:space="preserve">. </w:t>
      </w:r>
      <w:r w:rsidR="00B3084B">
        <w:rPr>
          <w:lang w:val="en-CA"/>
        </w:rPr>
        <w:t>Business</w:t>
      </w:r>
      <w:r w:rsidR="00BA1487">
        <w:rPr>
          <w:lang w:val="en-CA"/>
        </w:rPr>
        <w:t xml:space="preserve"> historians </w:t>
      </w:r>
      <w:r w:rsidR="00B3084B">
        <w:rPr>
          <w:lang w:val="en-CA"/>
        </w:rPr>
        <w:t>too</w:t>
      </w:r>
      <w:r w:rsidR="00BA1487">
        <w:rPr>
          <w:lang w:val="en-CA"/>
        </w:rPr>
        <w:t xml:space="preserve"> became increasingly interested in how </w:t>
      </w:r>
      <w:r w:rsidR="00B3084B">
        <w:rPr>
          <w:lang w:val="en-CA"/>
        </w:rPr>
        <w:t xml:space="preserve">historical narratives shaped identity and understanding in markets and organizations </w:t>
      </w:r>
      <w:r w:rsidR="006E1027">
        <w:rPr>
          <w:lang w:val="en-CA"/>
        </w:rPr>
        <w:t>(Hansen, 2012, 2018)</w:t>
      </w:r>
      <w:r w:rsidR="00BA1487">
        <w:rPr>
          <w:lang w:val="en-CA"/>
        </w:rPr>
        <w:t xml:space="preserve">, and how conflicts </w:t>
      </w:r>
      <w:r w:rsidR="00B3084B">
        <w:rPr>
          <w:lang w:val="en-CA"/>
        </w:rPr>
        <w:t xml:space="preserve">and disagreements </w:t>
      </w:r>
      <w:r w:rsidR="00BA1487">
        <w:rPr>
          <w:lang w:val="en-CA"/>
        </w:rPr>
        <w:t xml:space="preserve">over </w:t>
      </w:r>
      <w:r w:rsidR="00B3084B">
        <w:rPr>
          <w:lang w:val="en-CA"/>
        </w:rPr>
        <w:t>representations</w:t>
      </w:r>
      <w:r w:rsidR="00BA1487">
        <w:rPr>
          <w:lang w:val="en-CA"/>
        </w:rPr>
        <w:t xml:space="preserve"> shape</w:t>
      </w:r>
      <w:r w:rsidR="00D94343">
        <w:rPr>
          <w:lang w:val="en-CA"/>
        </w:rPr>
        <w:t>d</w:t>
      </w:r>
      <w:r w:rsidR="00BA1487">
        <w:rPr>
          <w:lang w:val="en-CA"/>
        </w:rPr>
        <w:t xml:space="preserve"> and constrain</w:t>
      </w:r>
      <w:r w:rsidR="00D94343">
        <w:rPr>
          <w:lang w:val="en-CA"/>
        </w:rPr>
        <w:t>ed</w:t>
      </w:r>
      <w:r w:rsidR="00BA1487">
        <w:rPr>
          <w:lang w:val="en-CA"/>
        </w:rPr>
        <w:t xml:space="preserve"> strategy</w:t>
      </w:r>
      <w:r w:rsidR="006E1027">
        <w:rPr>
          <w:lang w:val="en-CA"/>
        </w:rPr>
        <w:t xml:space="preserve"> (Mordhorst, </w:t>
      </w:r>
      <w:r w:rsidR="00A32C2C">
        <w:rPr>
          <w:lang w:val="en-CA"/>
        </w:rPr>
        <w:t>2014</w:t>
      </w:r>
      <w:r w:rsidR="006E1027">
        <w:rPr>
          <w:lang w:val="en-CA"/>
        </w:rPr>
        <w:t>)</w:t>
      </w:r>
      <w:r w:rsidR="00BA1487">
        <w:rPr>
          <w:lang w:val="en-CA"/>
        </w:rPr>
        <w:t>.</w:t>
      </w:r>
    </w:p>
    <w:p w14:paraId="169705D1" w14:textId="0CEFEB03" w:rsidR="00BA1487" w:rsidRDefault="00A32C2C" w:rsidP="008D3A08">
      <w:pPr>
        <w:spacing w:line="480" w:lineRule="auto"/>
        <w:ind w:firstLine="720"/>
        <w:jc w:val="both"/>
        <w:rPr>
          <w:lang w:val="en-CA"/>
        </w:rPr>
      </w:pPr>
      <w:r>
        <w:rPr>
          <w:lang w:val="en-CA"/>
        </w:rPr>
        <w:t>Organization scholars</w:t>
      </w:r>
      <w:r w:rsidR="00BF766D">
        <w:rPr>
          <w:lang w:val="en-CA"/>
        </w:rPr>
        <w:t xml:space="preserve"> working in </w:t>
      </w:r>
      <w:r w:rsidR="00B3084B">
        <w:rPr>
          <w:lang w:val="en-CA"/>
        </w:rPr>
        <w:t xml:space="preserve">the </w:t>
      </w:r>
      <w:r w:rsidR="00BF766D">
        <w:rPr>
          <w:lang w:val="en-CA"/>
        </w:rPr>
        <w:t xml:space="preserve">social constructivist tradition </w:t>
      </w:r>
      <w:r w:rsidR="00B3084B">
        <w:rPr>
          <w:lang w:val="en-CA"/>
        </w:rPr>
        <w:t xml:space="preserve">(Berger and Luckman, 1967) </w:t>
      </w:r>
      <w:r w:rsidR="00BF766D">
        <w:rPr>
          <w:lang w:val="en-CA"/>
        </w:rPr>
        <w:t xml:space="preserve">have also </w:t>
      </w:r>
      <w:r>
        <w:rPr>
          <w:lang w:val="en-CA"/>
        </w:rPr>
        <w:t>elaborated on</w:t>
      </w:r>
      <w:r w:rsidR="00AC42FA">
        <w:rPr>
          <w:lang w:val="en-CA"/>
        </w:rPr>
        <w:t xml:space="preserve"> </w:t>
      </w:r>
      <w:r w:rsidR="00BF766D">
        <w:rPr>
          <w:lang w:val="en-CA"/>
        </w:rPr>
        <w:t xml:space="preserve">the “uses of the past” approach as </w:t>
      </w:r>
      <w:r>
        <w:rPr>
          <w:lang w:val="en-CA"/>
        </w:rPr>
        <w:t xml:space="preserve">a </w:t>
      </w:r>
      <w:r w:rsidR="00BF766D">
        <w:rPr>
          <w:lang w:val="en-CA"/>
        </w:rPr>
        <w:t xml:space="preserve">way </w:t>
      </w:r>
      <w:r w:rsidR="00D94343">
        <w:rPr>
          <w:lang w:val="en-CA"/>
        </w:rPr>
        <w:t xml:space="preserve">of </w:t>
      </w:r>
      <w:r w:rsidR="00AC42FA">
        <w:rPr>
          <w:lang w:val="en-CA"/>
        </w:rPr>
        <w:t>integrating</w:t>
      </w:r>
      <w:r w:rsidR="00BF766D">
        <w:rPr>
          <w:lang w:val="en-CA"/>
        </w:rPr>
        <w:t xml:space="preserve"> history into </w:t>
      </w:r>
      <w:r w:rsidR="00AC42FA">
        <w:rPr>
          <w:lang w:val="en-CA"/>
        </w:rPr>
        <w:t>organization theory</w:t>
      </w:r>
      <w:r w:rsidR="00BF766D">
        <w:rPr>
          <w:lang w:val="en-CA"/>
        </w:rPr>
        <w:t xml:space="preserve">. This work has pointed to the value of history as a cultural </w:t>
      </w:r>
      <w:r w:rsidR="00B3084B">
        <w:rPr>
          <w:lang w:val="en-CA"/>
        </w:rPr>
        <w:t xml:space="preserve">or knowledge </w:t>
      </w:r>
      <w:r w:rsidR="00BF766D">
        <w:rPr>
          <w:lang w:val="en-CA"/>
        </w:rPr>
        <w:t>resource available to organizations, and</w:t>
      </w:r>
      <w:r w:rsidR="00CF02FA">
        <w:rPr>
          <w:lang w:val="en-CA"/>
        </w:rPr>
        <w:t xml:space="preserve"> </w:t>
      </w:r>
      <w:r w:rsidR="00BF766D">
        <w:rPr>
          <w:lang w:val="en-CA"/>
        </w:rPr>
        <w:t xml:space="preserve">has emphasized the way in which </w:t>
      </w:r>
      <w:r w:rsidR="00B3084B">
        <w:rPr>
          <w:lang w:val="en-CA"/>
        </w:rPr>
        <w:t xml:space="preserve">the </w:t>
      </w:r>
      <w:r w:rsidR="00BF766D">
        <w:rPr>
          <w:lang w:val="en-CA"/>
        </w:rPr>
        <w:t xml:space="preserve">interpretive character of history may </w:t>
      </w:r>
      <w:r w:rsidR="00AC42FA">
        <w:rPr>
          <w:lang w:val="en-CA"/>
        </w:rPr>
        <w:t>provide</w:t>
      </w:r>
      <w:r w:rsidR="00BF766D">
        <w:rPr>
          <w:lang w:val="en-CA"/>
        </w:rPr>
        <w:t xml:space="preserve"> managers agency in how </w:t>
      </w:r>
      <w:r w:rsidR="00AC42FA">
        <w:rPr>
          <w:lang w:val="en-CA"/>
        </w:rPr>
        <w:t>historical knowledge</w:t>
      </w:r>
      <w:r w:rsidR="00BF766D">
        <w:rPr>
          <w:lang w:val="en-CA"/>
        </w:rPr>
        <w:t xml:space="preserve"> is used to achieve goals in the present</w:t>
      </w:r>
      <w:r w:rsidR="005678E4">
        <w:rPr>
          <w:lang w:val="en-CA"/>
        </w:rPr>
        <w:t xml:space="preserve"> (Suddaby et al, 2010)</w:t>
      </w:r>
      <w:r w:rsidR="00BF766D">
        <w:rPr>
          <w:lang w:val="en-CA"/>
        </w:rPr>
        <w:t xml:space="preserve">. </w:t>
      </w:r>
      <w:r w:rsidR="00B3084B">
        <w:rPr>
          <w:lang w:val="en-CA"/>
        </w:rPr>
        <w:t xml:space="preserve">Whereas </w:t>
      </w:r>
      <w:r w:rsidR="008D3A08">
        <w:rPr>
          <w:lang w:val="en-CA"/>
        </w:rPr>
        <w:t>historians</w:t>
      </w:r>
      <w:r w:rsidR="00B3084B">
        <w:rPr>
          <w:lang w:val="en-CA"/>
        </w:rPr>
        <w:t xml:space="preserve"> </w:t>
      </w:r>
      <w:r w:rsidR="008D3A08">
        <w:rPr>
          <w:lang w:val="en-CA"/>
        </w:rPr>
        <w:t>have</w:t>
      </w:r>
      <w:r w:rsidR="00B3084B">
        <w:rPr>
          <w:lang w:val="en-CA"/>
        </w:rPr>
        <w:t xml:space="preserve"> tended to </w:t>
      </w:r>
      <w:r w:rsidR="004163C1">
        <w:rPr>
          <w:lang w:val="en-CA"/>
        </w:rPr>
        <w:t>examine</w:t>
      </w:r>
      <w:r w:rsidR="00B3084B">
        <w:rPr>
          <w:lang w:val="en-CA"/>
        </w:rPr>
        <w:t xml:space="preserve"> the broader contexts </w:t>
      </w:r>
      <w:r w:rsidR="004163C1">
        <w:rPr>
          <w:lang w:val="en-CA"/>
        </w:rPr>
        <w:t>in</w:t>
      </w:r>
      <w:r w:rsidR="00B3084B">
        <w:rPr>
          <w:lang w:val="en-CA"/>
        </w:rPr>
        <w:t xml:space="preserve"> which historical representations </w:t>
      </w:r>
      <w:r w:rsidR="001B15FF">
        <w:rPr>
          <w:lang w:val="en-CA"/>
        </w:rPr>
        <w:t>organize</w:t>
      </w:r>
      <w:r w:rsidR="00B3084B">
        <w:rPr>
          <w:lang w:val="en-CA"/>
        </w:rPr>
        <w:t xml:space="preserve"> actors, their interests, and their struggles, management scholars have tended to focus on the micro-foundational processes</w:t>
      </w:r>
      <w:r w:rsidR="008D1873">
        <w:rPr>
          <w:lang w:val="en-CA"/>
        </w:rPr>
        <w:t xml:space="preserve"> and temporal structures</w:t>
      </w:r>
      <w:r w:rsidR="00B3084B">
        <w:rPr>
          <w:lang w:val="en-CA"/>
        </w:rPr>
        <w:t xml:space="preserve"> by which history is used in organizations, including the types of </w:t>
      </w:r>
      <w:r w:rsidR="008D3A08">
        <w:rPr>
          <w:lang w:val="en-CA"/>
        </w:rPr>
        <w:t xml:space="preserve">artifacts used to recall the past (Schultz and Hernes, 2013) and the processes </w:t>
      </w:r>
      <w:r w:rsidR="00AC42FA">
        <w:rPr>
          <w:lang w:val="en-CA"/>
        </w:rPr>
        <w:t xml:space="preserve">by which organizations recover, use, and forget </w:t>
      </w:r>
      <w:r w:rsidR="008D3A08">
        <w:rPr>
          <w:lang w:val="en-CA"/>
        </w:rPr>
        <w:t xml:space="preserve">their </w:t>
      </w:r>
      <w:r w:rsidR="008D3A08">
        <w:rPr>
          <w:lang w:val="en-CA"/>
        </w:rPr>
        <w:lastRenderedPageBreak/>
        <w:t>history</w:t>
      </w:r>
      <w:r w:rsidR="005678E4">
        <w:rPr>
          <w:lang w:val="en-CA"/>
        </w:rPr>
        <w:t xml:space="preserve"> (</w:t>
      </w:r>
      <w:r w:rsidR="004163C1">
        <w:rPr>
          <w:lang w:val="en-CA"/>
        </w:rPr>
        <w:t xml:space="preserve">Rowlins and Hassard, 1993; </w:t>
      </w:r>
      <w:r w:rsidR="005678E4">
        <w:rPr>
          <w:lang w:val="en-CA"/>
        </w:rPr>
        <w:t>Hatch and Schultz, 2017; Anteby and Molnar, 2013</w:t>
      </w:r>
      <w:r w:rsidR="008D1873">
        <w:rPr>
          <w:lang w:val="en-CA"/>
        </w:rPr>
        <w:t>; Ravasi, et al, forthcoming</w:t>
      </w:r>
      <w:r w:rsidR="005678E4">
        <w:rPr>
          <w:lang w:val="en-CA"/>
        </w:rPr>
        <w:t>)</w:t>
      </w:r>
      <w:r w:rsidR="00AC42FA">
        <w:rPr>
          <w:lang w:val="en-CA"/>
        </w:rPr>
        <w:t xml:space="preserve">, </w:t>
      </w:r>
      <w:r w:rsidR="008D3A08">
        <w:rPr>
          <w:lang w:val="en-CA"/>
        </w:rPr>
        <w:t>research</w:t>
      </w:r>
      <w:r w:rsidR="00AC42FA">
        <w:rPr>
          <w:lang w:val="en-CA"/>
        </w:rPr>
        <w:t xml:space="preserve"> that is seen as particularly closely aligned with </w:t>
      </w:r>
      <w:r w:rsidR="004163C1">
        <w:rPr>
          <w:lang w:val="en-CA"/>
        </w:rPr>
        <w:t>social memory studies</w:t>
      </w:r>
      <w:r w:rsidR="00A96DAD">
        <w:rPr>
          <w:lang w:val="en-CA"/>
        </w:rPr>
        <w:t xml:space="preserve"> (Halbwachs, 1925)</w:t>
      </w:r>
      <w:r w:rsidR="004163C1">
        <w:rPr>
          <w:lang w:val="en-CA"/>
        </w:rPr>
        <w:t xml:space="preserve">  and </w:t>
      </w:r>
      <w:r w:rsidR="00AC42FA">
        <w:rPr>
          <w:lang w:val="en-CA"/>
        </w:rPr>
        <w:t>process research on organizations</w:t>
      </w:r>
      <w:r w:rsidR="005678E4">
        <w:rPr>
          <w:lang w:val="en-CA"/>
        </w:rPr>
        <w:t xml:space="preserve"> (Hernes, 2014)</w:t>
      </w:r>
      <w:r w:rsidR="00AC42FA">
        <w:rPr>
          <w:lang w:val="en-CA"/>
        </w:rPr>
        <w:t xml:space="preserve">. </w:t>
      </w:r>
    </w:p>
    <w:p w14:paraId="19A966E8" w14:textId="48AE8AC3" w:rsidR="00126D14" w:rsidRPr="00423469" w:rsidRDefault="00126D14" w:rsidP="008D3A08">
      <w:pPr>
        <w:spacing w:line="480" w:lineRule="auto"/>
        <w:ind w:firstLine="720"/>
        <w:jc w:val="both"/>
        <w:rPr>
          <w:u w:val="single"/>
          <w:lang w:val="en-CA"/>
        </w:rPr>
      </w:pPr>
      <w:r>
        <w:rPr>
          <w:lang w:val="en-CA"/>
        </w:rPr>
        <w:t xml:space="preserve">In bringing together these distinct intellectual threads and traditions, the special issue creates a robust interdisciplinary forum for re-examining the fundamental questions of why and how the uses of the past matter in organizations and organizing, as well as </w:t>
      </w:r>
      <w:r w:rsidR="00173031">
        <w:rPr>
          <w:lang w:val="en-CA"/>
        </w:rPr>
        <w:t xml:space="preserve">how to continue to develop this emerging stream of research. We begin that project by clarifying key constructs and assumptions of the conversation. </w:t>
      </w:r>
    </w:p>
    <w:p w14:paraId="50EE8653" w14:textId="3CF773E4" w:rsidR="00C235C2" w:rsidRDefault="00C235C2" w:rsidP="00C235C2">
      <w:pPr>
        <w:spacing w:line="480" w:lineRule="auto"/>
        <w:outlineLvl w:val="0"/>
        <w:rPr>
          <w:b/>
          <w:lang w:val="en-CA"/>
        </w:rPr>
      </w:pPr>
    </w:p>
    <w:p w14:paraId="6AC96F9D" w14:textId="549B24A5" w:rsidR="00C235C2" w:rsidRDefault="00C235C2" w:rsidP="00C235C2">
      <w:pPr>
        <w:spacing w:line="480" w:lineRule="auto"/>
        <w:outlineLvl w:val="0"/>
        <w:rPr>
          <w:b/>
          <w:lang w:val="en-CA"/>
        </w:rPr>
      </w:pPr>
      <w:r>
        <w:rPr>
          <w:b/>
          <w:lang w:val="en-CA"/>
        </w:rPr>
        <w:t>The Performativity of History</w:t>
      </w:r>
      <w:r w:rsidR="00245AE3">
        <w:rPr>
          <w:b/>
          <w:lang w:val="en-CA"/>
        </w:rPr>
        <w:t>: Definitions, Assumptions, Implications</w:t>
      </w:r>
    </w:p>
    <w:p w14:paraId="4CCBD5D1" w14:textId="09D45B48" w:rsidR="00C235C2" w:rsidRDefault="00C235C2" w:rsidP="00C235C2">
      <w:pPr>
        <w:spacing w:line="480" w:lineRule="auto"/>
        <w:ind w:firstLine="720"/>
        <w:jc w:val="both"/>
        <w:rPr>
          <w:lang w:val="en-CA"/>
        </w:rPr>
      </w:pPr>
      <w:r>
        <w:rPr>
          <w:lang w:val="en-CA"/>
        </w:rPr>
        <w:t xml:space="preserve">The term “history” </w:t>
      </w:r>
      <w:r w:rsidR="00F25AFE">
        <w:rPr>
          <w:lang w:val="en-CA"/>
        </w:rPr>
        <w:t>can be</w:t>
      </w:r>
      <w:r>
        <w:rPr>
          <w:lang w:val="en-CA"/>
        </w:rPr>
        <w:t xml:space="preserve"> deceptively slippery. In general use, it sometimes refers to the past and, at other times, to our claims to knowledge about the past. The recent emergence of a historical consciousness in organizations studies (Bucheli &amp; Wadhwani, 2014; Rowlinson, Hassard &amp; Decker, 2014; Suddaby, 2016) has hinged on distinguishing between these two usages. Because of the profound implications for each use, in this article and throughout the papers that comprise this special issue, we adopt a clear distinction between “the past” and “history”. We refer to the past as all events that occur chronologically before the present, independent of our knowledge of a particular event. We define history, by contrast, as the mobilization of the past in the present. History, therefore, can be thought of as the various ways of </w:t>
      </w:r>
      <w:r w:rsidRPr="001F3D24">
        <w:rPr>
          <w:i/>
          <w:lang w:val="en-CA"/>
        </w:rPr>
        <w:t>making the past present</w:t>
      </w:r>
      <w:r>
        <w:rPr>
          <w:lang w:val="en-CA"/>
        </w:rPr>
        <w:t>. In contrast to the assumed objectivity of the past, history is a uniquely humanist form of knowledge that continually integrates facts about the past with the values, desires, and interpretive processes of actors in the present.</w:t>
      </w:r>
    </w:p>
    <w:p w14:paraId="42D68F76" w14:textId="23E9039F" w:rsidR="00C235C2" w:rsidRDefault="002B37B4" w:rsidP="002B37B4">
      <w:pPr>
        <w:spacing w:line="480" w:lineRule="auto"/>
        <w:ind w:firstLine="720"/>
        <w:jc w:val="both"/>
        <w:rPr>
          <w:lang w:val="en-CA"/>
        </w:rPr>
      </w:pPr>
      <w:r>
        <w:rPr>
          <w:lang w:val="en-CA"/>
        </w:rPr>
        <w:lastRenderedPageBreak/>
        <w:t>Building</w:t>
      </w:r>
      <w:r w:rsidR="00C235C2">
        <w:rPr>
          <w:lang w:val="en-CA"/>
        </w:rPr>
        <w:t xml:space="preserve"> on this distinction, history </w:t>
      </w:r>
      <w:r>
        <w:rPr>
          <w:lang w:val="en-CA"/>
        </w:rPr>
        <w:t>can be seen as</w:t>
      </w:r>
      <w:r w:rsidR="00C235C2">
        <w:rPr>
          <w:lang w:val="en-CA"/>
        </w:rPr>
        <w:t xml:space="preserve"> </w:t>
      </w:r>
      <w:r>
        <w:rPr>
          <w:lang w:val="en-CA"/>
        </w:rPr>
        <w:t>inherently</w:t>
      </w:r>
      <w:r w:rsidR="00C235C2">
        <w:rPr>
          <w:lang w:val="en-CA"/>
        </w:rPr>
        <w:t xml:space="preserve"> performative. </w:t>
      </w:r>
      <w:r>
        <w:rPr>
          <w:lang w:val="en-CA"/>
        </w:rPr>
        <w:t>From a phenomenological perspective, an actor’s interpretation of the past shapes how they experience the present</w:t>
      </w:r>
      <w:r w:rsidR="00700C37">
        <w:rPr>
          <w:lang w:val="en-CA"/>
        </w:rPr>
        <w:t>,</w:t>
      </w:r>
      <w:r>
        <w:rPr>
          <w:lang w:val="en-CA"/>
        </w:rPr>
        <w:t xml:space="preserve"> the expectations they have of the future</w:t>
      </w:r>
      <w:r w:rsidR="00700C37">
        <w:rPr>
          <w:lang w:val="en-CA"/>
        </w:rPr>
        <w:t>, the choices they make, and the actions they take</w:t>
      </w:r>
      <w:r>
        <w:rPr>
          <w:lang w:val="en-CA"/>
        </w:rPr>
        <w:t>; as Koselleck (2004) put it, history acts as the nexus between the “space of experience” and the “horizon of expectations.” Seen as a</w:t>
      </w:r>
      <w:r w:rsidR="00C235C2">
        <w:rPr>
          <w:lang w:val="en-CA"/>
        </w:rPr>
        <w:t xml:space="preserve"> speech act, history holds the capacity to consummate action (Austin, 1962</w:t>
      </w:r>
      <w:r w:rsidR="00783078">
        <w:rPr>
          <w:lang w:val="en-CA"/>
        </w:rPr>
        <w:t>; Zundel et al, 2016</w:t>
      </w:r>
      <w:r w:rsidR="00C235C2">
        <w:rPr>
          <w:lang w:val="en-CA"/>
        </w:rPr>
        <w:t>). Historical narratives bring into being the relationships they describe. One’s gender, as Butler (1986: 40) observes, is not an essentialist fact of nature, but rather is a subtle but distinct historical strategy in which one chooses “a tacit project to renew one’s cultural history in one’s own terms”. Because of this, it is important to avoid essentializing history as an objective view of the past but, rather, to see it as a</w:t>
      </w:r>
      <w:r w:rsidR="00992279">
        <w:rPr>
          <w:lang w:val="en-CA"/>
        </w:rPr>
        <w:t>n</w:t>
      </w:r>
      <w:r w:rsidR="00C235C2">
        <w:rPr>
          <w:lang w:val="en-CA"/>
        </w:rPr>
        <w:t xml:space="preserve"> </w:t>
      </w:r>
      <w:r w:rsidR="005A5F67">
        <w:rPr>
          <w:lang w:val="en-CA"/>
        </w:rPr>
        <w:t>interpretive process</w:t>
      </w:r>
      <w:r w:rsidR="00C235C2">
        <w:rPr>
          <w:lang w:val="en-CA"/>
        </w:rPr>
        <w:t xml:space="preserve"> </w:t>
      </w:r>
      <w:r w:rsidR="005A5F67">
        <w:rPr>
          <w:lang w:val="en-CA"/>
        </w:rPr>
        <w:t>involving</w:t>
      </w:r>
      <w:r w:rsidR="00C235C2">
        <w:rPr>
          <w:lang w:val="en-CA"/>
        </w:rPr>
        <w:t xml:space="preserve"> the interpenetration of objective facts and contemporary values</w:t>
      </w:r>
      <w:r>
        <w:rPr>
          <w:lang w:val="en-CA"/>
        </w:rPr>
        <w:t xml:space="preserve"> (Gadamer, 1960)</w:t>
      </w:r>
      <w:r w:rsidR="00C235C2">
        <w:rPr>
          <w:lang w:val="en-CA"/>
        </w:rPr>
        <w:t xml:space="preserve">. By adopting a view of history as </w:t>
      </w:r>
      <w:r w:rsidR="005A5F67">
        <w:rPr>
          <w:lang w:val="en-CA"/>
        </w:rPr>
        <w:t>performative</w:t>
      </w:r>
      <w:r w:rsidR="00C235C2">
        <w:rPr>
          <w:lang w:val="en-CA"/>
        </w:rPr>
        <w:t xml:space="preserve"> we begin to see history as an ongoing set of practices through which the past is used to help </w:t>
      </w:r>
      <w:r w:rsidR="005A5F67">
        <w:rPr>
          <w:lang w:val="en-CA"/>
        </w:rPr>
        <w:t>actors</w:t>
      </w:r>
      <w:r w:rsidR="00C235C2">
        <w:rPr>
          <w:lang w:val="en-CA"/>
        </w:rPr>
        <w:t xml:space="preserve"> make sense of the present and imagine the future. The performativity of history draws attention to the ways in which the everyday use of history – sometimes consciously and reflexively but often habitually and unconsciously – makes a particular view of the past true by embedding it in collective memory as fact.</w:t>
      </w:r>
    </w:p>
    <w:p w14:paraId="3C4A8838" w14:textId="35CABE4F" w:rsidR="00C235C2" w:rsidRDefault="00C235C2" w:rsidP="00C235C2">
      <w:pPr>
        <w:spacing w:line="480" w:lineRule="auto"/>
        <w:ind w:firstLine="720"/>
        <w:jc w:val="both"/>
        <w:rPr>
          <w:lang w:val="en-CA"/>
        </w:rPr>
      </w:pPr>
      <w:r>
        <w:rPr>
          <w:lang w:val="en-CA"/>
        </w:rPr>
        <w:t xml:space="preserve">The performativity of history – i.e. “history work” – is not limited to the professional representations of the past produced by historians. Rather the production and dissemination of history occurs across a broad range of actors, both individual – i.e. historians, curators, archivists – and collective – i.e. museums, historical societies, media (the History Channel, National Geographic), historical re-enactment groups, corporations and nation states. History is performed in a wide variety of mnemonic </w:t>
      </w:r>
      <w:r w:rsidRPr="0031594D">
        <w:rPr>
          <w:lang w:val="en-CA"/>
        </w:rPr>
        <w:t xml:space="preserve">communities (Zerubavel, 2012) </w:t>
      </w:r>
      <w:r w:rsidR="00BE4549" w:rsidRPr="0031594D">
        <w:rPr>
          <w:lang w:val="en-CA"/>
        </w:rPr>
        <w:t xml:space="preserve">that </w:t>
      </w:r>
      <w:r w:rsidRPr="0031594D">
        <w:rPr>
          <w:lang w:val="en-CA"/>
        </w:rPr>
        <w:t xml:space="preserve">constitute a diverse array of mnemonic fields </w:t>
      </w:r>
      <w:r w:rsidRPr="00065DDD">
        <w:rPr>
          <w:lang w:val="en-CA"/>
        </w:rPr>
        <w:t>(Coraiola et al, 2018</w:t>
      </w:r>
      <w:r w:rsidRPr="0031594D">
        <w:rPr>
          <w:lang w:val="en-CA"/>
        </w:rPr>
        <w:t>). Seen in</w:t>
      </w:r>
      <w:r>
        <w:rPr>
          <w:lang w:val="en-CA"/>
        </w:rPr>
        <w:t xml:space="preserve"> this way, the performance of history is integral to </w:t>
      </w:r>
      <w:r>
        <w:rPr>
          <w:lang w:val="en-CA"/>
        </w:rPr>
        <w:lastRenderedPageBreak/>
        <w:t xml:space="preserve">how any actor navigates their world and academic history emerges only secondarily as </w:t>
      </w:r>
      <w:r w:rsidR="00CE2102">
        <w:rPr>
          <w:lang w:val="en-CA"/>
        </w:rPr>
        <w:t>involving a</w:t>
      </w:r>
      <w:r>
        <w:rPr>
          <w:lang w:val="en-CA"/>
        </w:rPr>
        <w:t xml:space="preserve"> reflexive </w:t>
      </w:r>
      <w:r w:rsidR="00CE2102">
        <w:rPr>
          <w:lang w:val="en-CA"/>
        </w:rPr>
        <w:t>and professionalized set of practices by which scholars</w:t>
      </w:r>
      <w:r>
        <w:rPr>
          <w:lang w:val="en-CA"/>
        </w:rPr>
        <w:t xml:space="preserve"> interpret and use the past </w:t>
      </w:r>
      <w:r w:rsidR="00CE2102">
        <w:rPr>
          <w:lang w:val="en-CA"/>
        </w:rPr>
        <w:t>in the present</w:t>
      </w:r>
      <w:r w:rsidR="005A5F67">
        <w:rPr>
          <w:lang w:val="en-CA"/>
        </w:rPr>
        <w:t xml:space="preserve"> (Carr, 1991)</w:t>
      </w:r>
      <w:r>
        <w:rPr>
          <w:lang w:val="en-CA"/>
        </w:rPr>
        <w:t xml:space="preserve">. </w:t>
      </w:r>
    </w:p>
    <w:p w14:paraId="1C16405C" w14:textId="2A46A67F" w:rsidR="006D4FEE" w:rsidRDefault="00500614" w:rsidP="00C235C2">
      <w:pPr>
        <w:spacing w:line="480" w:lineRule="auto"/>
        <w:ind w:firstLine="720"/>
        <w:jc w:val="both"/>
        <w:rPr>
          <w:lang w:val="en-CA"/>
        </w:rPr>
      </w:pPr>
      <w:r>
        <w:rPr>
          <w:lang w:val="en-CA"/>
        </w:rPr>
        <w:t xml:space="preserve">History makes social orders. </w:t>
      </w:r>
      <w:r w:rsidR="006D4FEE">
        <w:rPr>
          <w:lang w:val="en-CA"/>
        </w:rPr>
        <w:t xml:space="preserve">Shared interpretations and understandings of the past form the basis for “imagined communities” of all sorts because </w:t>
      </w:r>
      <w:r w:rsidR="00D94343">
        <w:rPr>
          <w:lang w:val="en-CA"/>
        </w:rPr>
        <w:t>they</w:t>
      </w:r>
      <w:r w:rsidR="006D4FEE">
        <w:rPr>
          <w:lang w:val="en-CA"/>
        </w:rPr>
        <w:t xml:space="preserve"> shape the common knowledge through which the present is experienced and the future perceived. </w:t>
      </w:r>
      <w:r w:rsidR="003C23CA">
        <w:rPr>
          <w:lang w:val="en-CA"/>
        </w:rPr>
        <w:t xml:space="preserve">The role of history in the organization of mnemonic communities has been most extensively studied in the context of the formation of modern nations (Anderson, 1983), and to a lesser extent of social groups (Hobsbawm and Ranger, 1983). But contemporary work in organizations has increasingly emphasized the performative role of history </w:t>
      </w:r>
      <w:r w:rsidR="00D94343">
        <w:rPr>
          <w:lang w:val="en-CA"/>
        </w:rPr>
        <w:t>for</w:t>
      </w:r>
      <w:r w:rsidR="003C23CA">
        <w:rPr>
          <w:lang w:val="en-CA"/>
        </w:rPr>
        <w:t xml:space="preserve"> organizing fields (Coraiola et al, 2018</w:t>
      </w:r>
      <w:r w:rsidR="00992279">
        <w:rPr>
          <w:lang w:val="en-CA"/>
        </w:rPr>
        <w:t>)</w:t>
      </w:r>
      <w:r w:rsidR="003C23CA">
        <w:rPr>
          <w:lang w:val="en-CA"/>
        </w:rPr>
        <w:t xml:space="preserve">, categories (Hansen, 2018; Khaire and Wadhwani, 2010), and </w:t>
      </w:r>
      <w:r w:rsidR="00992279">
        <w:rPr>
          <w:lang w:val="en-CA"/>
        </w:rPr>
        <w:t>organizations</w:t>
      </w:r>
      <w:r w:rsidR="003C23CA">
        <w:rPr>
          <w:lang w:val="en-CA"/>
        </w:rPr>
        <w:t xml:space="preserve"> (Hatch and Schultz, 2017; Anteby and Molnar, 2013</w:t>
      </w:r>
      <w:r w:rsidR="00992279">
        <w:rPr>
          <w:lang w:val="en-CA"/>
        </w:rPr>
        <w:t>; Ravasi et al, forthcoming</w:t>
      </w:r>
      <w:r w:rsidR="003C23CA">
        <w:rPr>
          <w:lang w:val="en-CA"/>
        </w:rPr>
        <w:t xml:space="preserve">).  </w:t>
      </w:r>
    </w:p>
    <w:p w14:paraId="52DDB7E7" w14:textId="77777777" w:rsidR="00C235C2" w:rsidRDefault="00C235C2" w:rsidP="00C235C2">
      <w:pPr>
        <w:spacing w:line="480" w:lineRule="auto"/>
        <w:outlineLvl w:val="0"/>
        <w:rPr>
          <w:b/>
          <w:lang w:val="en-CA"/>
        </w:rPr>
      </w:pPr>
    </w:p>
    <w:p w14:paraId="1258AAD5" w14:textId="7AA6A342" w:rsidR="00C235C2" w:rsidRPr="00F73EAD" w:rsidRDefault="00C235C2" w:rsidP="00C235C2">
      <w:pPr>
        <w:spacing w:line="480" w:lineRule="auto"/>
        <w:outlineLvl w:val="0"/>
        <w:rPr>
          <w:b/>
          <w:lang w:val="en-CA"/>
        </w:rPr>
      </w:pPr>
      <w:r>
        <w:rPr>
          <w:b/>
          <w:lang w:val="en-CA"/>
        </w:rPr>
        <w:t xml:space="preserve">Why Organizations </w:t>
      </w:r>
      <w:r w:rsidR="00CE2102">
        <w:rPr>
          <w:b/>
          <w:lang w:val="en-CA"/>
        </w:rPr>
        <w:t>Use</w:t>
      </w:r>
      <w:r>
        <w:rPr>
          <w:b/>
          <w:lang w:val="en-CA"/>
        </w:rPr>
        <w:t xml:space="preserve"> History</w:t>
      </w:r>
    </w:p>
    <w:p w14:paraId="6E9E62BA" w14:textId="32B1F1A8" w:rsidR="00C235C2" w:rsidRDefault="00C235C2" w:rsidP="00C235C2">
      <w:pPr>
        <w:spacing w:line="480" w:lineRule="auto"/>
        <w:ind w:firstLine="720"/>
        <w:jc w:val="both"/>
        <w:rPr>
          <w:lang w:val="en-CA"/>
        </w:rPr>
      </w:pPr>
      <w:r>
        <w:rPr>
          <w:lang w:val="en-CA"/>
        </w:rPr>
        <w:t xml:space="preserve">The performativity of history is acutely apparent in organizations. While it is perhaps not recognized as such, a variety of organizational scholars, working in a range of paradigms, have implicitly or explicitly described how history-work performs a number of basic tasks in organizations. </w:t>
      </w:r>
      <w:r w:rsidRPr="007261A2">
        <w:rPr>
          <w:lang w:val="en-CA"/>
        </w:rPr>
        <w:t>Research of this type has examined how actors have interpreted the past to forge organizational</w:t>
      </w:r>
      <w:r>
        <w:rPr>
          <w:lang w:val="en-CA"/>
        </w:rPr>
        <w:t xml:space="preserve"> identities (</w:t>
      </w:r>
      <w:r w:rsidRPr="007261A2">
        <w:rPr>
          <w:lang w:val="en-CA"/>
        </w:rPr>
        <w:t>Mordhorst, 2014</w:t>
      </w:r>
      <w:r>
        <w:rPr>
          <w:lang w:val="en-CA"/>
        </w:rPr>
        <w:t>; Suddaby &amp; Foster, 2016</w:t>
      </w:r>
      <w:r w:rsidR="00FA05FF">
        <w:rPr>
          <w:lang w:val="en-CA"/>
        </w:rPr>
        <w:t>; Ravasi et al, forthcoming</w:t>
      </w:r>
      <w:r w:rsidRPr="007261A2">
        <w:rPr>
          <w:lang w:val="en-CA"/>
        </w:rPr>
        <w:t>), consolidate</w:t>
      </w:r>
      <w:r>
        <w:rPr>
          <w:lang w:val="en-CA"/>
        </w:rPr>
        <w:t xml:space="preserve"> </w:t>
      </w:r>
      <w:r w:rsidRPr="007261A2">
        <w:rPr>
          <w:lang w:val="en-CA"/>
        </w:rPr>
        <w:t xml:space="preserve">social memory (Rowlinson, et al 2010), set strategic </w:t>
      </w:r>
      <w:r>
        <w:rPr>
          <w:lang w:val="en-CA"/>
        </w:rPr>
        <w:t>direction (</w:t>
      </w:r>
      <w:r w:rsidRPr="007261A2">
        <w:rPr>
          <w:lang w:val="en-CA"/>
        </w:rPr>
        <w:t>Schultz</w:t>
      </w:r>
      <w:r>
        <w:rPr>
          <w:lang w:val="en-CA"/>
        </w:rPr>
        <w:t xml:space="preserve"> </w:t>
      </w:r>
      <w:r w:rsidRPr="007261A2">
        <w:rPr>
          <w:lang w:val="en-CA"/>
        </w:rPr>
        <w:t>and Hernes, 2013), understand entrepreneurial opportunities (Popp and Holt, 2013a, 2013b), redefine</w:t>
      </w:r>
      <w:r>
        <w:rPr>
          <w:lang w:val="en-CA"/>
        </w:rPr>
        <w:t xml:space="preserve"> </w:t>
      </w:r>
      <w:r w:rsidRPr="007261A2">
        <w:rPr>
          <w:lang w:val="en-CA"/>
        </w:rPr>
        <w:t>market categories (Khaire and Wadhwani, 2010), shape understandings of products (Hansen, 2006,</w:t>
      </w:r>
      <w:r>
        <w:rPr>
          <w:lang w:val="en-CA"/>
        </w:rPr>
        <w:t xml:space="preserve"> 2010), </w:t>
      </w:r>
      <w:r w:rsidRPr="007261A2">
        <w:rPr>
          <w:lang w:val="en-CA"/>
        </w:rPr>
        <w:t>establish new</w:t>
      </w:r>
      <w:r>
        <w:rPr>
          <w:lang w:val="en-CA"/>
        </w:rPr>
        <w:t xml:space="preserve"> industries (Kirsch, 2000</w:t>
      </w:r>
      <w:r w:rsidRPr="007261A2">
        <w:rPr>
          <w:lang w:val="en-CA"/>
        </w:rPr>
        <w:t>)</w:t>
      </w:r>
      <w:r w:rsidR="00F36F0D">
        <w:rPr>
          <w:lang w:val="en-CA"/>
        </w:rPr>
        <w:t xml:space="preserve">, forge social movements (Wadhwani, 2018), </w:t>
      </w:r>
      <w:r>
        <w:rPr>
          <w:lang w:val="en-CA"/>
        </w:rPr>
        <w:t xml:space="preserve">and manage </w:t>
      </w:r>
      <w:r>
        <w:rPr>
          <w:lang w:val="en-CA"/>
        </w:rPr>
        <w:lastRenderedPageBreak/>
        <w:t>the perception of change (Suddaby &amp; Foster, 2017; Dalpiaz &amp; Stefano, 2018)</w:t>
      </w:r>
      <w:r w:rsidRPr="007261A2">
        <w:rPr>
          <w:lang w:val="en-CA"/>
        </w:rPr>
        <w:t>. It thus suggests the tremendous variety in</w:t>
      </w:r>
      <w:r>
        <w:rPr>
          <w:lang w:val="en-CA"/>
        </w:rPr>
        <w:t xml:space="preserve"> </w:t>
      </w:r>
      <w:r w:rsidRPr="007261A2">
        <w:rPr>
          <w:lang w:val="en-CA"/>
        </w:rPr>
        <w:t>how, why and with what consequences the past might be used in organizations and organizing.</w:t>
      </w:r>
      <w:r>
        <w:rPr>
          <w:lang w:val="en-CA"/>
        </w:rPr>
        <w:t xml:space="preserve"> </w:t>
      </w:r>
    </w:p>
    <w:p w14:paraId="4D3E5FFF" w14:textId="4D978BEA" w:rsidR="00C235C2" w:rsidRDefault="00C235C2" w:rsidP="00C235C2">
      <w:pPr>
        <w:spacing w:line="480" w:lineRule="auto"/>
        <w:ind w:firstLine="720"/>
        <w:jc w:val="both"/>
        <w:rPr>
          <w:lang w:val="en-CA"/>
        </w:rPr>
      </w:pPr>
      <w:r>
        <w:rPr>
          <w:lang w:val="en-CA"/>
        </w:rPr>
        <w:t>The papers that comprise our special issue exemplify and extend these nascent observations of how history is performed in organizations. Our submissions reflect and elaborate the ways in which organizations interpret the past and use history in three key organizational processes; t</w:t>
      </w:r>
      <w:r w:rsidRPr="005D50EB">
        <w:rPr>
          <w:lang w:val="en-CA"/>
        </w:rPr>
        <w:t>o create and manage identity and identification</w:t>
      </w:r>
      <w:r>
        <w:rPr>
          <w:lang w:val="en-CA"/>
        </w:rPr>
        <w:t>, t</w:t>
      </w:r>
      <w:r w:rsidRPr="005D50EB">
        <w:rPr>
          <w:lang w:val="en-CA"/>
        </w:rPr>
        <w:t>o create and manage strategic change</w:t>
      </w:r>
      <w:r>
        <w:rPr>
          <w:lang w:val="en-CA"/>
        </w:rPr>
        <w:t xml:space="preserve"> and to </w:t>
      </w:r>
      <w:r w:rsidRPr="005D50EB">
        <w:rPr>
          <w:lang w:val="en-CA"/>
        </w:rPr>
        <w:t>create and manage power dependencies</w:t>
      </w:r>
      <w:r>
        <w:rPr>
          <w:lang w:val="en-CA"/>
        </w:rPr>
        <w:t xml:space="preserve">. We elaborate </w:t>
      </w:r>
      <w:r w:rsidR="00992279">
        <w:rPr>
          <w:lang w:val="en-CA"/>
        </w:rPr>
        <w:t xml:space="preserve">on </w:t>
      </w:r>
      <w:r>
        <w:rPr>
          <w:lang w:val="en-CA"/>
        </w:rPr>
        <w:t>each of these uses of the past in the balance of this section.</w:t>
      </w:r>
    </w:p>
    <w:p w14:paraId="4F19BB78" w14:textId="77777777" w:rsidR="00C235C2" w:rsidRDefault="00C235C2" w:rsidP="00C235C2">
      <w:pPr>
        <w:spacing w:line="480" w:lineRule="auto"/>
        <w:jc w:val="both"/>
        <w:outlineLvl w:val="0"/>
        <w:rPr>
          <w:i/>
          <w:lang w:val="en-CA"/>
        </w:rPr>
      </w:pPr>
    </w:p>
    <w:p w14:paraId="6CF59F2A" w14:textId="1EE4EB0B" w:rsidR="00C235C2" w:rsidRDefault="00C235C2" w:rsidP="00C235C2">
      <w:pPr>
        <w:spacing w:line="480" w:lineRule="auto"/>
        <w:jc w:val="both"/>
        <w:outlineLvl w:val="0"/>
        <w:rPr>
          <w:i/>
          <w:lang w:val="en-CA"/>
        </w:rPr>
      </w:pPr>
      <w:r>
        <w:rPr>
          <w:i/>
          <w:lang w:val="en-CA"/>
        </w:rPr>
        <w:t>Identity and Identification</w:t>
      </w:r>
    </w:p>
    <w:p w14:paraId="25E7ECD2" w14:textId="17A8E039" w:rsidR="00C235C2" w:rsidRDefault="00C235C2" w:rsidP="00C235C2">
      <w:pPr>
        <w:spacing w:line="480" w:lineRule="auto"/>
        <w:ind w:firstLine="720"/>
        <w:jc w:val="both"/>
        <w:rPr>
          <w:lang w:val="en-CA"/>
        </w:rPr>
      </w:pPr>
      <w:r>
        <w:rPr>
          <w:lang w:val="en-CA"/>
        </w:rPr>
        <w:t xml:space="preserve">Organizational identification, or the perceived affiliation, oneness and belonging that an individual acquires with an organization, is a historical process that unfolds over time (Suddaby, Foster &amp; Quinn-Trank, 2013). As Benedict Anderson (1991) observed, history produces an “imagined community”, distinguishing who belongs and who does not by locating the sense of belonging in the experience of a common past. Anderson’s focal “imagined community” was the nation-state and his critical insight is that nations are socially constructed communities that, often, override ethnic, racial and linguistic differences to construct a common identity based on an assumed history. Perceptions of a common identity are often predicated on what Eric Hobsbawm and Terence Ranger (1983) termed “invented traditions”. By “invention” the authors refer to deceptive or purposely inaccurate representations of the past designed to make certain communities, typically nation-states, appear natural, more grounded in a teleological past, and much older than they actually are. Governments have been particularly effective at using </w:t>
      </w:r>
      <w:r>
        <w:rPr>
          <w:lang w:val="en-CA"/>
        </w:rPr>
        <w:lastRenderedPageBreak/>
        <w:t>techniques of invented tradition and imagined communities to create a powerful sense of loyalty amongst their citizens to weave together a set of constructs – nation, territory, citizen, nationalism – that produce such a compelling sense of identity that individuals willingly sacrifice their property and lives for the preservation of a socially constructed community.</w:t>
      </w:r>
    </w:p>
    <w:p w14:paraId="4D74F0C1" w14:textId="77777777" w:rsidR="00C235C2" w:rsidRDefault="00C235C2" w:rsidP="007B7FBB">
      <w:pPr>
        <w:spacing w:line="480" w:lineRule="auto"/>
        <w:ind w:firstLine="720"/>
        <w:jc w:val="both"/>
        <w:rPr>
          <w:lang w:val="en-CA"/>
        </w:rPr>
      </w:pPr>
      <w:r>
        <w:rPr>
          <w:lang w:val="en-CA"/>
        </w:rPr>
        <w:t xml:space="preserve">Organizations are also “imagined communities” that use “invented traditions” to build identity. Recent empirical research has reinforced the powerful role of history in processes of identification. Walsh and Glynn (2008) introduce the term organizational legacy to describe how employees of Digital Equipment Corporation (DEC) so strongly identified with their company that they maintained many of the informal traditions long after the company ceased to exist. By ritual storytelling, the employees drew from central identity elements of their shared past to keep their strong sense of communal belonging alive. </w:t>
      </w:r>
    </w:p>
    <w:p w14:paraId="1A450C5C" w14:textId="77777777" w:rsidR="00C235C2" w:rsidRDefault="00C235C2" w:rsidP="00C235C2">
      <w:pPr>
        <w:spacing w:line="480" w:lineRule="auto"/>
        <w:ind w:firstLine="720"/>
        <w:jc w:val="both"/>
        <w:rPr>
          <w:lang w:val="en-CA"/>
        </w:rPr>
      </w:pPr>
      <w:r>
        <w:rPr>
          <w:lang w:val="en-CA"/>
        </w:rPr>
        <w:t>Anteby and Molnar (2012), by contrast, demonstrate how the management of a French aeronautical firm engaged in strategic forgetting in order to construct a coherent organizational identity that mapped onto the employee’s sense of French national identity by systematically and conveniently excising elements of their historical collaboration with American firms. Ybema’s (2014) study of a Dutch company, which survived by strategically shifting from a politically motivated newspaper to one more focused on popular culture, describes how the firm reconstructed their imagined history through “temporal discontinuity” talk to alter the firm’s traditional “missionary” identity to a “open and newsy” one.</w:t>
      </w:r>
    </w:p>
    <w:p w14:paraId="65F7DCA4" w14:textId="77AE6898" w:rsidR="00C235C2" w:rsidRDefault="00C235C2" w:rsidP="00C235C2">
      <w:pPr>
        <w:spacing w:line="480" w:lineRule="auto"/>
        <w:ind w:firstLine="720"/>
        <w:jc w:val="both"/>
        <w:rPr>
          <w:lang w:val="en-CA"/>
        </w:rPr>
      </w:pPr>
      <w:r>
        <w:rPr>
          <w:lang w:val="en-CA"/>
        </w:rPr>
        <w:t>Although each of the papers that form this special issue speak to</w:t>
      </w:r>
      <w:r w:rsidR="00F61219">
        <w:rPr>
          <w:lang w:val="en-CA"/>
        </w:rPr>
        <w:t xml:space="preserve"> some degree to</w:t>
      </w:r>
      <w:r>
        <w:rPr>
          <w:lang w:val="en-CA"/>
        </w:rPr>
        <w:t xml:space="preserve"> the issue of how the past is used to construct organizational identity, two papers directly address how organizations use the past to manage identity. In the first, “Invoking Alphonse: The founder figure as a historical resource for organizational identity work”, Basque</w:t>
      </w:r>
      <w:r w:rsidR="00A7621C">
        <w:rPr>
          <w:lang w:val="en-CA"/>
        </w:rPr>
        <w:t xml:space="preserve"> and Langley</w:t>
      </w:r>
      <w:r>
        <w:rPr>
          <w:lang w:val="en-CA"/>
        </w:rPr>
        <w:t xml:space="preserve"> (2018) describe the </w:t>
      </w:r>
      <w:r>
        <w:rPr>
          <w:lang w:val="en-CA"/>
        </w:rPr>
        <w:lastRenderedPageBreak/>
        <w:t xml:space="preserve">process by which the memory of the founder of a financial cooperative was invoked by executives to engage in organizational identity work over a period of eighty years. The authors identify five methods by which executives in the present spoke through the founder </w:t>
      </w:r>
      <w:r w:rsidR="00EA6FD8">
        <w:rPr>
          <w:lang w:val="en-CA"/>
        </w:rPr>
        <w:t>–</w:t>
      </w:r>
      <w:r>
        <w:rPr>
          <w:lang w:val="en-CA"/>
        </w:rPr>
        <w:t xml:space="preserve"> a strategy of historical ventriloquism – in order to articulate, stretch, preserve or refresh expressions of organizational identity. Collectively, the founder invocations serve a dual purpose. Not only do they allow managers in the present to justify and legitimate action in the present, they also serve to enhance the mythology of the founder, further elevating his symbolic power within the organization. </w:t>
      </w:r>
      <w:r w:rsidR="00A7621C">
        <w:rPr>
          <w:lang w:val="en-CA"/>
        </w:rPr>
        <w:t>Basque and Langley</w:t>
      </w:r>
      <w:r>
        <w:rPr>
          <w:lang w:val="en-CA"/>
        </w:rPr>
        <w:t xml:space="preserve"> (2018) elaborate </w:t>
      </w:r>
      <w:r w:rsidR="00E825B9">
        <w:rPr>
          <w:lang w:val="en-CA"/>
        </w:rPr>
        <w:t xml:space="preserve">on </w:t>
      </w:r>
      <w:r>
        <w:rPr>
          <w:lang w:val="en-CA"/>
        </w:rPr>
        <w:t>our understanding of processes of identification – i.e., how the past is used to create internal social cohesion through symbolic acts of re-membering (Suddaby et al, 2016).</w:t>
      </w:r>
    </w:p>
    <w:p w14:paraId="70D87AC2" w14:textId="77777777" w:rsidR="00C235C2" w:rsidRDefault="00C235C2" w:rsidP="007B7FBB">
      <w:pPr>
        <w:spacing w:line="480" w:lineRule="auto"/>
        <w:ind w:firstLine="720"/>
        <w:jc w:val="both"/>
        <w:rPr>
          <w:lang w:val="en-CA"/>
        </w:rPr>
      </w:pPr>
      <w:r>
        <w:rPr>
          <w:lang w:val="en-CA"/>
        </w:rPr>
        <w:t>The second paper that analyzes how the past is used to construct organizational identity is “History as a Source of Organizational Identity Creation” in which Oertel et al (2018) describe the use of history in self-representations of a regional cluster of twelve watch-making firms located in the Saxonian region of Germany. The authors divide the firms into three groups; mature firms founded in the region in the early 19</w:t>
      </w:r>
      <w:r w:rsidRPr="00110FF5">
        <w:rPr>
          <w:vertAlign w:val="superscript"/>
          <w:lang w:val="en-CA"/>
        </w:rPr>
        <w:t>th</w:t>
      </w:r>
      <w:r>
        <w:rPr>
          <w:lang w:val="en-CA"/>
        </w:rPr>
        <w:t xml:space="preserve"> century and with continuity of family ownership, GDR rooted firms which were also founded in the region in the early 19</w:t>
      </w:r>
      <w:r w:rsidRPr="00110FF5">
        <w:rPr>
          <w:vertAlign w:val="superscript"/>
          <w:lang w:val="en-CA"/>
        </w:rPr>
        <w:t>th</w:t>
      </w:r>
      <w:r>
        <w:rPr>
          <w:lang w:val="en-CA"/>
        </w:rPr>
        <w:t xml:space="preserve"> century but which were subsequently sold to non-family owners, and new firms that relocated relatively recently to the region. </w:t>
      </w:r>
    </w:p>
    <w:p w14:paraId="3BEA55FE" w14:textId="38C3DE31" w:rsidR="00C235C2" w:rsidRDefault="00C235C2" w:rsidP="00C235C2">
      <w:pPr>
        <w:spacing w:line="480" w:lineRule="auto"/>
        <w:ind w:firstLine="720"/>
        <w:jc w:val="both"/>
        <w:rPr>
          <w:lang w:val="en-CA"/>
        </w:rPr>
      </w:pPr>
      <w:r>
        <w:rPr>
          <w:lang w:val="en-CA"/>
        </w:rPr>
        <w:t>The analysis demonstrates considerable variation in how each of these groups use history to craft their identity. The new firms leaned heavily on using the history of the region, rather than their own firm history, in their online promotions. More interestingly, two of the new firms refer to founders who had no actual link with the firms. Mature firms</w:t>
      </w:r>
      <w:r w:rsidR="007B7FBB">
        <w:rPr>
          <w:lang w:val="en-CA"/>
        </w:rPr>
        <w:t xml:space="preserve"> </w:t>
      </w:r>
      <w:r>
        <w:rPr>
          <w:lang w:val="en-CA"/>
        </w:rPr>
        <w:t xml:space="preserve">leaned heavily on their firm history, particularly founder stories, rather than the regional history. And the GDR rooted firms </w:t>
      </w:r>
      <w:r>
        <w:rPr>
          <w:lang w:val="en-CA"/>
        </w:rPr>
        <w:lastRenderedPageBreak/>
        <w:t xml:space="preserve">typically did not disclose much about their firm history at all. Collectively the firms demonstrate a wide range of experimental variation as they each adopt different vocabularies of the past as they create their individual identity narratives. In contrast to the </w:t>
      </w:r>
      <w:r w:rsidR="007B7FBB">
        <w:rPr>
          <w:lang w:val="en-CA"/>
        </w:rPr>
        <w:t>Basque and Langley</w:t>
      </w:r>
      <w:r>
        <w:rPr>
          <w:lang w:val="en-CA"/>
        </w:rPr>
        <w:t xml:space="preserve"> (2018) study, which demonstrates the malleability of a single source of history over time, this study illustrates how history can also be a multi-level resource that can be constructed from historical resources that exist at the individual (founder), organizational and field (or regional) level of analysis. In processes of identity creation, history is a highly fungible resource that, when used skilfully, can be </w:t>
      </w:r>
      <w:r w:rsidR="00EA6FD8">
        <w:rPr>
          <w:lang w:val="en-CA"/>
        </w:rPr>
        <w:t xml:space="preserve">utilized </w:t>
      </w:r>
      <w:r>
        <w:rPr>
          <w:lang w:val="en-CA"/>
        </w:rPr>
        <w:t xml:space="preserve">to fashion </w:t>
      </w:r>
      <w:r w:rsidRPr="00CF387F">
        <w:rPr>
          <w:i/>
          <w:lang w:val="en-CA"/>
        </w:rPr>
        <w:t>identity spillovers</w:t>
      </w:r>
      <w:r>
        <w:rPr>
          <w:lang w:val="en-CA"/>
        </w:rPr>
        <w:t xml:space="preserve"> between organizations or from one cluster of organizations to another.</w:t>
      </w:r>
    </w:p>
    <w:p w14:paraId="27F1D24F" w14:textId="77777777" w:rsidR="00C235C2" w:rsidRDefault="00C235C2" w:rsidP="00C235C2">
      <w:pPr>
        <w:spacing w:line="480" w:lineRule="auto"/>
        <w:jc w:val="both"/>
        <w:rPr>
          <w:lang w:val="en-CA"/>
        </w:rPr>
      </w:pPr>
    </w:p>
    <w:p w14:paraId="031DDCCC" w14:textId="77777777" w:rsidR="00C235C2" w:rsidRDefault="00C235C2" w:rsidP="00C235C2">
      <w:pPr>
        <w:spacing w:line="480" w:lineRule="auto"/>
        <w:jc w:val="both"/>
        <w:outlineLvl w:val="0"/>
        <w:rPr>
          <w:i/>
          <w:lang w:val="en-CA"/>
        </w:rPr>
      </w:pPr>
      <w:r>
        <w:rPr>
          <w:i/>
          <w:lang w:val="en-CA"/>
        </w:rPr>
        <w:t>Strategic Change</w:t>
      </w:r>
    </w:p>
    <w:p w14:paraId="2BAC2526" w14:textId="2EFA35F1" w:rsidR="00C235C2" w:rsidRDefault="00C235C2" w:rsidP="00C235C2">
      <w:pPr>
        <w:spacing w:line="480" w:lineRule="auto"/>
        <w:jc w:val="both"/>
        <w:rPr>
          <w:lang w:val="en-CA"/>
        </w:rPr>
      </w:pPr>
      <w:r>
        <w:rPr>
          <w:lang w:val="en-CA"/>
        </w:rPr>
        <w:tab/>
        <w:t>Organizational scholars are beginning to systematically analyze how history is used to manage processes of strategic change (Suddaby &amp; Foster, 2017). Studies have shown how historical narratives legitimate novelty by making it cognitively familiar and therefore less risky. Hargadon and Douglas (</w:t>
      </w:r>
      <w:r w:rsidR="00CA0B9A">
        <w:rPr>
          <w:lang w:val="en-CA"/>
        </w:rPr>
        <w:t>2001</w:t>
      </w:r>
      <w:r>
        <w:rPr>
          <w:lang w:val="en-CA"/>
        </w:rPr>
        <w:t xml:space="preserve">), for example, observe how historically familiar designs can facilitate the adoption of new technology – i.e. the electric light – by making it seem continuous with prior technology. Others have demonstrated how history can be used to disrupt existing organizational arrangements. Wadhwani (2018), for example, shows how new interpretations of economic history </w:t>
      </w:r>
      <w:r w:rsidR="008B69AB">
        <w:rPr>
          <w:lang w:val="en-CA"/>
        </w:rPr>
        <w:t>formed the basis for the social movement that delegitimized</w:t>
      </w:r>
      <w:r>
        <w:rPr>
          <w:lang w:val="en-CA"/>
        </w:rPr>
        <w:t xml:space="preserve"> the Poor Laws of the nineteenth century and create</w:t>
      </w:r>
      <w:r w:rsidR="008B69AB">
        <w:rPr>
          <w:lang w:val="en-CA"/>
        </w:rPr>
        <w:t>d</w:t>
      </w:r>
      <w:r>
        <w:rPr>
          <w:lang w:val="en-CA"/>
        </w:rPr>
        <w:t xml:space="preserve"> the foundations of new social institutions for alleviating poverty. Another stream of research demonstrates how a strategic narration of history can be used to create new product and competitive categories in furniture design (Hansen, 2006; Hansen, </w:t>
      </w:r>
      <w:r>
        <w:rPr>
          <w:lang w:val="en-CA"/>
        </w:rPr>
        <w:lastRenderedPageBreak/>
        <w:t>2018), Indian art (Khaire &amp; Wadhwani, 2010), and fast food (Boje, Hayley &amp; Saylors, 2016; Foster, Suddaby, Minkus &amp; Wiebe, 2011).</w:t>
      </w:r>
    </w:p>
    <w:p w14:paraId="0619EEA3" w14:textId="779B3BD1" w:rsidR="00C235C2" w:rsidRDefault="00C235C2" w:rsidP="00C235C2">
      <w:pPr>
        <w:spacing w:line="480" w:lineRule="auto"/>
        <w:jc w:val="both"/>
        <w:rPr>
          <w:lang w:val="en-CA"/>
        </w:rPr>
      </w:pPr>
      <w:r>
        <w:rPr>
          <w:lang w:val="en-CA"/>
        </w:rPr>
        <w:tab/>
        <w:t>Each of these studies provide an empirical illustration of rhetorical history. Defined as “the strategic use of the past as a persuasive strategy to manage key stakeholders of the firm” (Suddaby, Foster &amp; Quinn-Trank, 2010: 157)</w:t>
      </w:r>
      <w:r w:rsidR="00EA6FD8">
        <w:rPr>
          <w:lang w:val="en-CA"/>
        </w:rPr>
        <w:t>,</w:t>
      </w:r>
      <w:r>
        <w:rPr>
          <w:lang w:val="en-CA"/>
        </w:rPr>
        <w:t xml:space="preserve"> rhetorical history draws attention to how the narration of history has been used strategically by organizations to facilitate processes of change. The construct is premised on the observation that strategic adaptation is based on how well a firm is able to conceptualize and act on demands to change imposed by the competitive environment. Variations in how we conceptualize change, in turn, “are underpinned by different assumptions about history and its relationship to our capacity for change” (Suddaby &amp; Foster, 2017). When history is used to characterize the past as fixed and immutable, the agency for change is seen as limited or “path dependent” (David, 2005). When history is used to characterize the past as open to reconstruction, however, agency for change is high and organizational actors employ a variety of strategies – periodization, memorialization and strategic forgetting – to encourage the subjective perception of continuity or discontinuity with the past in order to promote a particular version of organizational change.</w:t>
      </w:r>
    </w:p>
    <w:p w14:paraId="2BE4A6CD" w14:textId="77777777" w:rsidR="00C235C2" w:rsidRDefault="00C235C2" w:rsidP="00C235C2">
      <w:pPr>
        <w:spacing w:line="480" w:lineRule="auto"/>
        <w:jc w:val="both"/>
        <w:rPr>
          <w:lang w:val="en-CA"/>
        </w:rPr>
      </w:pPr>
      <w:r>
        <w:rPr>
          <w:lang w:val="en-CA"/>
        </w:rPr>
        <w:tab/>
        <w:t xml:space="preserve">Again, each of our papers demonstrates how the past is reconstructed in order to facilitate or inhibit strategic change. Two papers, however, focus explicitly on the causal relationship between history and adaptation. In the first, “Intertextuality, Rhetorical History and the Uses of the Past in Organizational Transition” Maclean and Harvey (2018) introduce intertextuality as a unique form of historical rhetoric used to transform Procter &amp; Gamble (P&amp;G) from a multinational to a truly global business enterprise. The authors demonstrate how, in order to facilitate the transition to a globalized firm, P&amp;G engaged in linguistic practices that anchored the </w:t>
      </w:r>
      <w:r>
        <w:rPr>
          <w:lang w:val="en-CA"/>
        </w:rPr>
        <w:lastRenderedPageBreak/>
        <w:t xml:space="preserve">organization’s history to its ongoing and future prosperity by mythologizing selective elements of the firm’s past. The myths were strategically repeated and reinforced across a range of texts generated by the company in order to enable change while appearing to stay the same. </w:t>
      </w:r>
    </w:p>
    <w:p w14:paraId="7DDFDA2A" w14:textId="7CF98C98" w:rsidR="00C235C2" w:rsidRDefault="00C235C2" w:rsidP="00C235C2">
      <w:pPr>
        <w:spacing w:line="480" w:lineRule="auto"/>
        <w:jc w:val="both"/>
        <w:rPr>
          <w:lang w:val="en-CA"/>
        </w:rPr>
      </w:pPr>
      <w:r>
        <w:rPr>
          <w:lang w:val="en-CA"/>
        </w:rPr>
        <w:tab/>
        <w:t>In the second paper, “The Career of a Catalog: Organizational Memory, Materiality and the Dual Nature of the Past at the British Museum,</w:t>
      </w:r>
      <w:r w:rsidR="008B69AB">
        <w:rPr>
          <w:lang w:val="en-CA"/>
        </w:rPr>
        <w:t>”</w:t>
      </w:r>
      <w:r>
        <w:rPr>
          <w:lang w:val="en-CA"/>
        </w:rPr>
        <w:t xml:space="preserve"> Blagoev </w:t>
      </w:r>
      <w:r w:rsidR="00A71DB3">
        <w:rPr>
          <w:lang w:val="en-CA"/>
        </w:rPr>
        <w:t xml:space="preserve">et al. </w:t>
      </w:r>
      <w:r>
        <w:rPr>
          <w:lang w:val="en-CA"/>
        </w:rPr>
        <w:t xml:space="preserve">(2018) extend our understanding of rhetorical history to encompass not only the skilful use of language to facilitate strategic change, but also the strategic use of material objects and the material technologies of memory in processes of facilitating strategic change. Blagoev </w:t>
      </w:r>
      <w:r w:rsidR="00A71DB3">
        <w:rPr>
          <w:lang w:val="en-CA"/>
        </w:rPr>
        <w:t>e</w:t>
      </w:r>
      <w:r w:rsidR="005A2385">
        <w:rPr>
          <w:lang w:val="en-CA"/>
        </w:rPr>
        <w:t>t</w:t>
      </w:r>
      <w:r w:rsidR="00A71DB3">
        <w:rPr>
          <w:lang w:val="en-CA"/>
        </w:rPr>
        <w:t xml:space="preserve"> al. </w:t>
      </w:r>
      <w:r>
        <w:rPr>
          <w:lang w:val="en-CA"/>
        </w:rPr>
        <w:t>(2018) analyze the process of digitization of artefacts in the British Museum and demonstrate both the critical importance of physical objects in processes of constructing organizational memory and in processes of using history as a form of rhetorical persuasion. The study also focuses our attention on the interaction between technology and social practices in processes of constructing organizational memory. Materiality, the visual, tactile and olfactory elements of archives, thus, is an important but largely understudied element of the persuasive use of the past.</w:t>
      </w:r>
    </w:p>
    <w:p w14:paraId="287F4482" w14:textId="77777777" w:rsidR="00C235C2" w:rsidRDefault="00C235C2" w:rsidP="00C235C2">
      <w:pPr>
        <w:spacing w:line="480" w:lineRule="auto"/>
        <w:jc w:val="both"/>
        <w:outlineLvl w:val="0"/>
        <w:rPr>
          <w:i/>
          <w:lang w:val="en-CA"/>
        </w:rPr>
      </w:pPr>
    </w:p>
    <w:p w14:paraId="0FC17958" w14:textId="2939C675" w:rsidR="00C235C2" w:rsidRDefault="00C235C2" w:rsidP="00C235C2">
      <w:pPr>
        <w:spacing w:line="480" w:lineRule="auto"/>
        <w:jc w:val="both"/>
        <w:outlineLvl w:val="0"/>
        <w:rPr>
          <w:i/>
          <w:lang w:val="en-CA"/>
        </w:rPr>
      </w:pPr>
      <w:r>
        <w:rPr>
          <w:i/>
          <w:lang w:val="en-CA"/>
        </w:rPr>
        <w:t>Dependencies of Power</w:t>
      </w:r>
    </w:p>
    <w:p w14:paraId="0C58D0A8" w14:textId="2AAF2642" w:rsidR="00C235C2" w:rsidRDefault="00C235C2" w:rsidP="00C235C2">
      <w:pPr>
        <w:spacing w:line="480" w:lineRule="auto"/>
        <w:jc w:val="both"/>
        <w:rPr>
          <w:lang w:val="en-CA"/>
        </w:rPr>
      </w:pPr>
      <w:r>
        <w:rPr>
          <w:lang w:val="en-CA"/>
        </w:rPr>
        <w:tab/>
        <w:t>It is commonly understood that the ability to control the narrative of history confers power on the narrator. This was George Orwell’s observation in his now famous aphorism “Who controls the past controls the future … who controls the present controls the past” (Orwell, 1949: 32). The understanding of how power becomes embedded in academic history is reflected in Charles Beard’s classical response to Theodore Clarke Smith’s 1933 presidential address to the American Historical Association</w:t>
      </w:r>
      <w:r w:rsidR="005A2385">
        <w:rPr>
          <w:lang w:val="en-CA"/>
        </w:rPr>
        <w:t>,</w:t>
      </w:r>
      <w:r>
        <w:rPr>
          <w:lang w:val="en-CA"/>
        </w:rPr>
        <w:t xml:space="preserve"> in which Smith proclaimed objectivity to be the “noble dream” of the professional academic historian. Beard (1935: 83) responded that history was not a science but an </w:t>
      </w:r>
      <w:r>
        <w:rPr>
          <w:lang w:val="en-CA"/>
        </w:rPr>
        <w:lastRenderedPageBreak/>
        <w:t xml:space="preserve">act of </w:t>
      </w:r>
      <w:r w:rsidR="00FE7165">
        <w:rPr>
          <w:lang w:val="en-CA"/>
        </w:rPr>
        <w:t>interpretation</w:t>
      </w:r>
      <w:r>
        <w:rPr>
          <w:lang w:val="en-CA"/>
        </w:rPr>
        <w:t xml:space="preserve"> and despite the aspiration of objectivity, the academic historian “remains human, a creature of time, place, circumstance, interests, predilections, [and] culture”, all of which conspired to erode the noble dream. Within academic history, the challenge to objectivity erupted in large part based on the critique that who wrote history and whose history was told had strong implications for who was ascribed power and who was seen as invisible and powerless. Beginning in the 1960s, this critique of power spurred the proliferation of a number of new fields – gendered history, </w:t>
      </w:r>
      <w:r w:rsidR="00391354">
        <w:rPr>
          <w:lang w:val="en-CA"/>
        </w:rPr>
        <w:t>post-</w:t>
      </w:r>
      <w:r>
        <w:rPr>
          <w:lang w:val="en-CA"/>
        </w:rPr>
        <w:t>colonial history, history of race, etc. – each of which sought to both critique the dominant narratives produced by powerful actors and produce histories that represented previously marginalized people (</w:t>
      </w:r>
      <w:r w:rsidR="00391354">
        <w:rPr>
          <w:lang w:val="en-CA"/>
        </w:rPr>
        <w:t xml:space="preserve">Said, 1978; </w:t>
      </w:r>
      <w:r>
        <w:rPr>
          <w:lang w:val="en-CA"/>
        </w:rPr>
        <w:t xml:space="preserve">Novick, 1988; Lerner, 1982; </w:t>
      </w:r>
      <w:proofErr w:type="gramStart"/>
      <w:r w:rsidRPr="0031594D">
        <w:rPr>
          <w:lang w:val="en-CA"/>
        </w:rPr>
        <w:t>Appleby,</w:t>
      </w:r>
      <w:r w:rsidR="008B69AB">
        <w:rPr>
          <w:lang w:val="en-CA"/>
        </w:rPr>
        <w:t>et</w:t>
      </w:r>
      <w:proofErr w:type="gramEnd"/>
      <w:r w:rsidR="008B69AB">
        <w:rPr>
          <w:lang w:val="en-CA"/>
        </w:rPr>
        <w:t xml:space="preserve"> al, 1994</w:t>
      </w:r>
      <w:r w:rsidR="008B69AB" w:rsidRPr="008B69AB">
        <w:rPr>
          <w:rStyle w:val="nlmsourcecontrib"/>
          <w:bCs/>
          <w:color w:val="000000"/>
        </w:rPr>
        <w:t xml:space="preserve"> </w:t>
      </w:r>
      <w:r w:rsidRPr="0031594D">
        <w:rPr>
          <w:lang w:val="en-CA"/>
        </w:rPr>
        <w:t>;</w:t>
      </w:r>
      <w:r>
        <w:rPr>
          <w:lang w:val="en-CA"/>
        </w:rPr>
        <w:t xml:space="preserve"> Wolff, 1982). Business and labor historians, too, paid considerable attention to issues of power in their accounts of the histories of firms, industries, and economies, more extensively incorporating less-powerful actors and foregrounding conflict and struggle in narratives of change over time (</w:t>
      </w:r>
      <w:r w:rsidRPr="008B69AB">
        <w:rPr>
          <w:lang w:val="en-CA"/>
        </w:rPr>
        <w:t xml:space="preserve">Thompson, </w:t>
      </w:r>
      <w:r w:rsidR="00391354" w:rsidRPr="008B69AB">
        <w:rPr>
          <w:lang w:val="en-CA"/>
        </w:rPr>
        <w:t>19</w:t>
      </w:r>
      <w:r w:rsidR="005843C9" w:rsidRPr="008B69AB">
        <w:rPr>
          <w:lang w:val="en-CA"/>
        </w:rPr>
        <w:t>66</w:t>
      </w:r>
      <w:r w:rsidR="00391354">
        <w:rPr>
          <w:lang w:val="en-CA"/>
        </w:rPr>
        <w:t>; Licht, 1983</w:t>
      </w:r>
      <w:r>
        <w:rPr>
          <w:lang w:val="en-CA"/>
        </w:rPr>
        <w:t xml:space="preserve">), but with relatively little attention to how actors used the past in these struggles. </w:t>
      </w:r>
    </w:p>
    <w:p w14:paraId="46496C89" w14:textId="5D964B26" w:rsidR="00C235C2" w:rsidRDefault="00C235C2" w:rsidP="00C235C2">
      <w:pPr>
        <w:spacing w:line="480" w:lineRule="auto"/>
        <w:jc w:val="both"/>
        <w:rPr>
          <w:lang w:val="en-CA"/>
        </w:rPr>
      </w:pPr>
      <w:r>
        <w:rPr>
          <w:lang w:val="en-CA"/>
        </w:rPr>
        <w:tab/>
        <w:t xml:space="preserve">Management scholars have a long-held understanding of organizations as historical accretions of power (Stinchcombe, 1965; Clegg, 1981; Selznick, 1996). Research has demonstrated how history can be used to claim power through </w:t>
      </w:r>
      <w:r w:rsidRPr="005A6FFD">
        <w:rPr>
          <w:i/>
          <w:lang w:val="en-CA"/>
        </w:rPr>
        <w:t>legitimacy</w:t>
      </w:r>
      <w:r>
        <w:rPr>
          <w:lang w:val="en-CA"/>
        </w:rPr>
        <w:t xml:space="preserve"> – i.e. by legitimating a new organizational form (Suddaby &amp; Greenwood, 2005), a new product (Hargadon &amp; Douglas, 2001) and a new market </w:t>
      </w:r>
      <w:r w:rsidR="00386328">
        <w:rPr>
          <w:lang w:val="en-CA"/>
        </w:rPr>
        <w:t>or industry (Navis &amp; Glynn, 2010)</w:t>
      </w:r>
      <w:r>
        <w:rPr>
          <w:lang w:val="en-CA"/>
        </w:rPr>
        <w:t xml:space="preserve">. Similarly, related research has shown how history has been used to claim market power by bolstering claims of </w:t>
      </w:r>
      <w:r w:rsidRPr="005A6FFD">
        <w:rPr>
          <w:i/>
          <w:lang w:val="en-CA"/>
        </w:rPr>
        <w:t>authenticity</w:t>
      </w:r>
      <w:r>
        <w:rPr>
          <w:lang w:val="en-CA"/>
        </w:rPr>
        <w:t xml:space="preserve"> in the context of heritage brands (Beverland, 2005), tourism (Halewood &amp; Hannam; Waitt, 2000), music (Peterson, 2005) and food (Lu &amp; Fine, 1995).</w:t>
      </w:r>
    </w:p>
    <w:p w14:paraId="09D5A3C2" w14:textId="5493A1AD" w:rsidR="00C235C2" w:rsidRDefault="00C235C2" w:rsidP="00C235C2">
      <w:pPr>
        <w:spacing w:line="480" w:lineRule="auto"/>
        <w:ind w:firstLine="720"/>
        <w:jc w:val="both"/>
        <w:rPr>
          <w:lang w:val="en-CA"/>
        </w:rPr>
      </w:pPr>
      <w:r>
        <w:rPr>
          <w:lang w:val="en-CA"/>
        </w:rPr>
        <w:t xml:space="preserve">Arguably the most influential view of history/power relations in management scholarship, however, has been reflected in the application of Michel Foucault’s theories of the archaeology of </w:t>
      </w:r>
      <w:r>
        <w:rPr>
          <w:lang w:val="en-CA"/>
        </w:rPr>
        <w:lastRenderedPageBreak/>
        <w:t xml:space="preserve">knowledge to organizations (Burrell, 1988; McKinley &amp; Starkey, 1998). </w:t>
      </w:r>
      <w:r w:rsidR="00FE7165">
        <w:rPr>
          <w:lang w:val="en-CA"/>
        </w:rPr>
        <w:t xml:space="preserve">Foucault, in a sense, transferred </w:t>
      </w:r>
      <w:r w:rsidR="00484E9A">
        <w:rPr>
          <w:lang w:val="en-CA"/>
        </w:rPr>
        <w:t xml:space="preserve">the locus of </w:t>
      </w:r>
      <w:r w:rsidR="00FE7165">
        <w:rPr>
          <w:lang w:val="en-CA"/>
        </w:rPr>
        <w:t xml:space="preserve">power in history from </w:t>
      </w:r>
      <w:r w:rsidR="00484E9A">
        <w:rPr>
          <w:lang w:val="en-CA"/>
        </w:rPr>
        <w:t xml:space="preserve">the </w:t>
      </w:r>
      <w:r w:rsidR="003A3275">
        <w:rPr>
          <w:lang w:val="en-CA"/>
        </w:rPr>
        <w:t>narrator</w:t>
      </w:r>
      <w:r w:rsidR="00484E9A">
        <w:rPr>
          <w:lang w:val="en-CA"/>
        </w:rPr>
        <w:t xml:space="preserve"> to the historical discourse</w:t>
      </w:r>
      <w:r w:rsidR="003A3275">
        <w:rPr>
          <w:lang w:val="en-CA"/>
        </w:rPr>
        <w:t>, and hence opened up possibilities for more complex and nuanced ways to analyze power and how it is wielded through history</w:t>
      </w:r>
      <w:r w:rsidR="00484E9A">
        <w:rPr>
          <w:lang w:val="en-CA"/>
        </w:rPr>
        <w:t xml:space="preserve">. </w:t>
      </w:r>
      <w:r>
        <w:rPr>
          <w:lang w:val="en-CA"/>
        </w:rPr>
        <w:t>But, as some organizational theorists (Suddaby, 2016) and business historians (Fear, 2001) have observed, the potential contribution that historians might make to the study of organizational power has not been fully realized, in part because of historians’ tendency to eschew theory in favour of emp</w:t>
      </w:r>
      <w:r w:rsidR="00C32110">
        <w:rPr>
          <w:lang w:val="en-CA"/>
        </w:rPr>
        <w:t>irical observation (Fear, 2001)</w:t>
      </w:r>
      <w:r>
        <w:rPr>
          <w:lang w:val="en-CA"/>
        </w:rPr>
        <w:t>.</w:t>
      </w:r>
    </w:p>
    <w:p w14:paraId="63F7F0BD" w14:textId="21C01623" w:rsidR="00C235C2" w:rsidRDefault="00C235C2" w:rsidP="00C235C2">
      <w:pPr>
        <w:spacing w:line="480" w:lineRule="auto"/>
        <w:jc w:val="both"/>
        <w:rPr>
          <w:lang w:val="en-CA"/>
        </w:rPr>
      </w:pPr>
      <w:r>
        <w:rPr>
          <w:lang w:val="en-CA"/>
        </w:rPr>
        <w:tab/>
        <w:t xml:space="preserve">Two contributions to this special issue, however, begin to bridge this gap by demonstrating how historical analyses can provide an understanding of how power is expressed in organizations. </w:t>
      </w:r>
      <w:r w:rsidR="005A2385">
        <w:rPr>
          <w:lang w:val="en-CA"/>
        </w:rPr>
        <w:t>In t</w:t>
      </w:r>
      <w:r>
        <w:rPr>
          <w:lang w:val="en-CA"/>
        </w:rPr>
        <w:t xml:space="preserve">he first, “From ‘History as Told’ to ‘History as Experienced’: Contextualizing the uses of the past”, Lubinski (2018) demonstrates how politically motivated </w:t>
      </w:r>
      <w:r w:rsidR="00484E9A">
        <w:rPr>
          <w:lang w:val="en-CA"/>
        </w:rPr>
        <w:t>struggles</w:t>
      </w:r>
      <w:r>
        <w:rPr>
          <w:lang w:val="en-CA"/>
        </w:rPr>
        <w:t xml:space="preserve"> to define the historical context contribute to the construction of </w:t>
      </w:r>
      <w:r w:rsidR="00484E9A">
        <w:rPr>
          <w:lang w:val="en-CA"/>
        </w:rPr>
        <w:t xml:space="preserve">organizational </w:t>
      </w:r>
      <w:r>
        <w:rPr>
          <w:lang w:val="en-CA"/>
        </w:rPr>
        <w:t xml:space="preserve">reality. Based on a historical analysis of German business organizations’ efforts to build affiliation with colonial India during the </w:t>
      </w:r>
      <w:r w:rsidR="005A2385">
        <w:rPr>
          <w:lang w:val="en-CA"/>
        </w:rPr>
        <w:t>interwar period</w:t>
      </w:r>
      <w:r>
        <w:rPr>
          <w:lang w:val="en-CA"/>
        </w:rPr>
        <w:t xml:space="preserve">, Lubinski (2018) demonstrates how such historical claims must be moderated by legitimation with multiple audiences and, as a result, </w:t>
      </w:r>
      <w:r w:rsidR="00AD412D">
        <w:rPr>
          <w:lang w:val="en-CA"/>
        </w:rPr>
        <w:t>can be</w:t>
      </w:r>
      <w:r>
        <w:rPr>
          <w:lang w:val="en-CA"/>
        </w:rPr>
        <w:t xml:space="preserve"> critiqued</w:t>
      </w:r>
      <w:r w:rsidR="00AD412D">
        <w:rPr>
          <w:lang w:val="en-CA"/>
        </w:rPr>
        <w:t>, contradicted</w:t>
      </w:r>
      <w:r>
        <w:rPr>
          <w:lang w:val="en-CA"/>
        </w:rPr>
        <w:t xml:space="preserve"> and revised. While history is narrated, the study shows, the more </w:t>
      </w:r>
      <w:r w:rsidR="005A2385">
        <w:rPr>
          <w:lang w:val="en-CA"/>
        </w:rPr>
        <w:t xml:space="preserve">this history is made </w:t>
      </w:r>
      <w:r>
        <w:rPr>
          <w:lang w:val="en-CA"/>
        </w:rPr>
        <w:t xml:space="preserve">plausible </w:t>
      </w:r>
      <w:r w:rsidR="005A2385">
        <w:rPr>
          <w:lang w:val="en-CA"/>
        </w:rPr>
        <w:t>in practice and through negotiations</w:t>
      </w:r>
      <w:r w:rsidR="00D53628">
        <w:rPr>
          <w:lang w:val="en-CA"/>
        </w:rPr>
        <w:t xml:space="preserve"> with audiences</w:t>
      </w:r>
      <w:r>
        <w:rPr>
          <w:lang w:val="en-CA"/>
        </w:rPr>
        <w:t>, the more likely it is to be accepted.</w:t>
      </w:r>
    </w:p>
    <w:p w14:paraId="39DB6365" w14:textId="644D07F0" w:rsidR="00C235C2" w:rsidRDefault="00C235C2" w:rsidP="00C235C2">
      <w:pPr>
        <w:spacing w:line="480" w:lineRule="auto"/>
        <w:ind w:firstLine="720"/>
        <w:jc w:val="both"/>
        <w:rPr>
          <w:lang w:val="en-CA"/>
        </w:rPr>
      </w:pPr>
      <w:r>
        <w:rPr>
          <w:lang w:val="en-CA"/>
        </w:rPr>
        <w:t xml:space="preserve">In the second paper, “‘Do not expect me to stay quiet’: Challenges in managing a historical strategic resource”, Cailluet (2018) demonstrates some serious limitations on the ability of an organization to manage history as a competitive resource. Based on an analysis of Emmaus, a large charitable organization in France, and its founder, Abbé Pierre, the study shows how organizations use four management dimensions – appropriation, ownership, maintenance and distancing – to manage history as a competitive resource. Despite these efforts, however, Cailluet cautions that </w:t>
      </w:r>
      <w:r>
        <w:rPr>
          <w:lang w:val="en-CA"/>
        </w:rPr>
        <w:lastRenderedPageBreak/>
        <w:t>because the image, stories and related attributes of the founder form part of the common property of historical experience, there are serious limits on the ability of the organization to fully ‘manage’ the historical resource. As the study demonstrates, the value of any organizational historical resource is diminished when it is available as a public good and can</w:t>
      </w:r>
      <w:r w:rsidR="005A2385">
        <w:rPr>
          <w:lang w:val="en-CA"/>
        </w:rPr>
        <w:t xml:space="preserve"> be</w:t>
      </w:r>
      <w:r>
        <w:rPr>
          <w:lang w:val="en-CA"/>
        </w:rPr>
        <w:t xml:space="preserve"> interpreted and used by external actors in ways that conflict the strategic purpose of the organization.</w:t>
      </w:r>
    </w:p>
    <w:p w14:paraId="5D04C133" w14:textId="77777777" w:rsidR="00A964F3" w:rsidRDefault="00A964F3" w:rsidP="00C235C2">
      <w:pPr>
        <w:spacing w:line="480" w:lineRule="auto"/>
        <w:jc w:val="both"/>
        <w:rPr>
          <w:lang w:val="en-CA"/>
        </w:rPr>
      </w:pPr>
    </w:p>
    <w:p w14:paraId="4953623D" w14:textId="3B93600E" w:rsidR="00C235C2" w:rsidRPr="00A964F3" w:rsidRDefault="00A964F3" w:rsidP="00C235C2">
      <w:pPr>
        <w:spacing w:line="480" w:lineRule="auto"/>
        <w:jc w:val="both"/>
        <w:rPr>
          <w:b/>
          <w:lang w:val="en-CA"/>
        </w:rPr>
      </w:pPr>
      <w:r w:rsidRPr="00A964F3">
        <w:rPr>
          <w:b/>
          <w:lang w:val="en-CA"/>
        </w:rPr>
        <w:t xml:space="preserve">The Social Embeddedness of Historical </w:t>
      </w:r>
      <w:r w:rsidR="00C32110">
        <w:rPr>
          <w:b/>
          <w:lang w:val="en-CA"/>
        </w:rPr>
        <w:t>Consciousness</w:t>
      </w:r>
    </w:p>
    <w:p w14:paraId="20F4BA04" w14:textId="74448500" w:rsidR="00A964F3" w:rsidRDefault="00C32110" w:rsidP="00A964F3">
      <w:pPr>
        <w:spacing w:line="480" w:lineRule="auto"/>
        <w:jc w:val="both"/>
        <w:rPr>
          <w:lang w:val="en-CA"/>
        </w:rPr>
      </w:pPr>
      <w:r>
        <w:rPr>
          <w:lang w:val="en-CA"/>
        </w:rPr>
        <w:tab/>
        <w:t xml:space="preserve">In addition to </w:t>
      </w:r>
      <w:r w:rsidR="002A77FD">
        <w:rPr>
          <w:lang w:val="en-CA"/>
        </w:rPr>
        <w:t>demonstrating</w:t>
      </w:r>
      <w:r>
        <w:rPr>
          <w:lang w:val="en-CA"/>
        </w:rPr>
        <w:t xml:space="preserve"> the range of organizational uses to which history is put, the papers in the special issue also </w:t>
      </w:r>
      <w:r w:rsidR="005E4310">
        <w:rPr>
          <w:lang w:val="en-CA"/>
        </w:rPr>
        <w:t>deepen our understanding of the socially embedded character of the interpretive processes that shape historical consciousness in organizations</w:t>
      </w:r>
      <w:r w:rsidR="002E7064">
        <w:rPr>
          <w:lang w:val="en-CA"/>
        </w:rPr>
        <w:t xml:space="preserve"> and fields</w:t>
      </w:r>
      <w:r w:rsidR="005E4310">
        <w:rPr>
          <w:lang w:val="en-CA"/>
        </w:rPr>
        <w:t xml:space="preserve">. </w:t>
      </w:r>
      <w:r w:rsidR="00820CC6">
        <w:rPr>
          <w:lang w:val="en-CA"/>
        </w:rPr>
        <w:t xml:space="preserve">They do so by incorporating and theorizing the roles of </w:t>
      </w:r>
      <w:r w:rsidR="00DC29E4">
        <w:rPr>
          <w:lang w:val="en-CA"/>
        </w:rPr>
        <w:t>materiality</w:t>
      </w:r>
      <w:r w:rsidR="00820CC6">
        <w:rPr>
          <w:lang w:val="en-CA"/>
        </w:rPr>
        <w:t xml:space="preserve">, intertextuality, competing narratives, practices, audiences, and other stakeholders </w:t>
      </w:r>
      <w:r w:rsidR="00500614">
        <w:rPr>
          <w:lang w:val="en-CA"/>
        </w:rPr>
        <w:t>in the historical process.</w:t>
      </w:r>
    </w:p>
    <w:p w14:paraId="4C20B83E" w14:textId="62D60E84" w:rsidR="00A964F3" w:rsidRDefault="005E4310" w:rsidP="00A964F3">
      <w:pPr>
        <w:spacing w:line="480" w:lineRule="auto"/>
        <w:ind w:firstLine="720"/>
        <w:jc w:val="both"/>
        <w:rPr>
          <w:lang w:val="en-CA"/>
        </w:rPr>
      </w:pPr>
      <w:r>
        <w:rPr>
          <w:lang w:val="en-CA"/>
        </w:rPr>
        <w:t xml:space="preserve">The “uses of the past” approach, and rhetorical history in particular, has </w:t>
      </w:r>
      <w:r w:rsidR="002E7064">
        <w:rPr>
          <w:lang w:val="en-CA"/>
        </w:rPr>
        <w:t>posited</w:t>
      </w:r>
      <w:r>
        <w:rPr>
          <w:lang w:val="en-CA"/>
        </w:rPr>
        <w:t xml:space="preserve"> an agentic role for management in part by emphasizing the interpretive character of history within organizations</w:t>
      </w:r>
      <w:r w:rsidR="00A964F3">
        <w:rPr>
          <w:lang w:val="en-CA"/>
        </w:rPr>
        <w:t xml:space="preserve"> (i.e. Suddaby et al, 2010; </w:t>
      </w:r>
      <w:r w:rsidRPr="008B69AB">
        <w:rPr>
          <w:lang w:val="en-CA"/>
        </w:rPr>
        <w:t>Garud et al, 2010</w:t>
      </w:r>
      <w:r w:rsidR="00A964F3">
        <w:rPr>
          <w:lang w:val="en-CA"/>
        </w:rPr>
        <w:t xml:space="preserve">). Management research </w:t>
      </w:r>
      <w:r w:rsidR="002E7064">
        <w:rPr>
          <w:lang w:val="en-CA"/>
        </w:rPr>
        <w:t>had</w:t>
      </w:r>
      <w:r w:rsidR="00A964F3">
        <w:rPr>
          <w:lang w:val="en-CA"/>
        </w:rPr>
        <w:t xml:space="preserve"> traditionally conflated “history” with “the past”, an assumption that seriously </w:t>
      </w:r>
      <w:r w:rsidR="002E7064">
        <w:rPr>
          <w:lang w:val="en-CA"/>
        </w:rPr>
        <w:t>restricted</w:t>
      </w:r>
      <w:r w:rsidR="00A964F3">
        <w:rPr>
          <w:lang w:val="en-CA"/>
        </w:rPr>
        <w:t xml:space="preserve"> the range of agency afforded </w:t>
      </w:r>
      <w:r w:rsidR="005A2385">
        <w:rPr>
          <w:lang w:val="en-CA"/>
        </w:rPr>
        <w:t xml:space="preserve">to </w:t>
      </w:r>
      <w:r w:rsidR="00A964F3">
        <w:rPr>
          <w:lang w:val="en-CA"/>
        </w:rPr>
        <w:t xml:space="preserve">managers. Perhaps the best example of this is the way in which history is theorized in evolutionary economics (i.e. Nelson &amp; Winter, 1982) where key historical events </w:t>
      </w:r>
      <w:r w:rsidR="005A2385">
        <w:rPr>
          <w:lang w:val="en-CA"/>
        </w:rPr>
        <w:t>–</w:t>
      </w:r>
      <w:r w:rsidR="00A964F3">
        <w:rPr>
          <w:lang w:val="en-CA"/>
        </w:rPr>
        <w:t xml:space="preserve"> primarily changes in technology and routines – provide key sources of variation in managerial agency, but which are subsumed under the agency of the market which selects winners and losers. The market </w:t>
      </w:r>
      <w:r w:rsidR="002E7064">
        <w:rPr>
          <w:lang w:val="en-CA"/>
        </w:rPr>
        <w:t>was</w:t>
      </w:r>
      <w:r w:rsidR="00A964F3">
        <w:rPr>
          <w:lang w:val="en-CA"/>
        </w:rPr>
        <w:t xml:space="preserve"> seen to exist outside the agency of managers, in the same way that the environment is theorized as being exogenous to the agency of organisms in evolutionary theory in biology</w:t>
      </w:r>
      <w:r w:rsidR="00C428AB">
        <w:rPr>
          <w:lang w:val="en-CA"/>
        </w:rPr>
        <w:t xml:space="preserve"> (Penrose, 1952)</w:t>
      </w:r>
      <w:r w:rsidR="00A964F3">
        <w:rPr>
          <w:lang w:val="en-CA"/>
        </w:rPr>
        <w:t xml:space="preserve">. </w:t>
      </w:r>
    </w:p>
    <w:p w14:paraId="1E4911F2" w14:textId="76E7BE3F" w:rsidR="00A964F3" w:rsidRDefault="00A964F3" w:rsidP="00A964F3">
      <w:pPr>
        <w:spacing w:line="480" w:lineRule="auto"/>
        <w:ind w:firstLine="720"/>
        <w:jc w:val="both"/>
        <w:rPr>
          <w:lang w:val="en-CA"/>
        </w:rPr>
      </w:pPr>
      <w:r>
        <w:rPr>
          <w:lang w:val="en-CA"/>
        </w:rPr>
        <w:lastRenderedPageBreak/>
        <w:t xml:space="preserve">In both cases, history </w:t>
      </w:r>
      <w:r w:rsidR="002E7064">
        <w:rPr>
          <w:lang w:val="en-CA"/>
        </w:rPr>
        <w:t>was</w:t>
      </w:r>
      <w:r>
        <w:rPr>
          <w:lang w:val="en-CA"/>
        </w:rPr>
        <w:t xml:space="preserve"> treated as the longitudinal sequence of past events with which organizations or organisms must contend and the capacity of organizations or organisms to influence their environment is largely ignored. A variety of constructs – “path dependence”, “legacy”, “imprinting” </w:t>
      </w:r>
      <w:r w:rsidR="005A2385">
        <w:rPr>
          <w:lang w:val="en-CA"/>
        </w:rPr>
        <w:t>–</w:t>
      </w:r>
      <w:r>
        <w:rPr>
          <w:lang w:val="en-CA"/>
        </w:rPr>
        <w:t xml:space="preserve"> are used to locate agency in the flow of events that comprise the past, rather than in the managers who populate the organizations. Notably, the absence of human agency has been criticized in both biological and economic theories of evolution </w:t>
      </w:r>
      <w:r w:rsidRPr="008B69AB">
        <w:rPr>
          <w:lang w:val="en-CA"/>
        </w:rPr>
        <w:t>(</w:t>
      </w:r>
      <w:r w:rsidR="002E7064" w:rsidRPr="008B69AB">
        <w:rPr>
          <w:lang w:val="en-CA"/>
        </w:rPr>
        <w:t>Penrose, 1952</w:t>
      </w:r>
      <w:r w:rsidRPr="008B69AB">
        <w:rPr>
          <w:lang w:val="en-CA"/>
        </w:rPr>
        <w:t>).</w:t>
      </w:r>
    </w:p>
    <w:p w14:paraId="74422835" w14:textId="77E0B8B5" w:rsidR="00A964F3" w:rsidRDefault="00A964F3" w:rsidP="00A964F3">
      <w:pPr>
        <w:spacing w:line="480" w:lineRule="auto"/>
        <w:ind w:firstLine="720"/>
        <w:jc w:val="both"/>
        <w:rPr>
          <w:lang w:val="en-CA"/>
        </w:rPr>
      </w:pPr>
      <w:r>
        <w:rPr>
          <w:lang w:val="en-CA"/>
        </w:rPr>
        <w:t xml:space="preserve">By contrast, </w:t>
      </w:r>
      <w:r w:rsidR="002E7064">
        <w:rPr>
          <w:lang w:val="en-CA"/>
        </w:rPr>
        <w:t xml:space="preserve">when history is understood as an act of interpretation </w:t>
      </w:r>
      <w:r>
        <w:rPr>
          <w:lang w:val="en-CA"/>
        </w:rPr>
        <w:t>that is conceptually distinct from the flow of events that comprise the past, that is mobilized in the present, the degree of agency in how descriptions of those events might be summarized, ordered</w:t>
      </w:r>
      <w:r w:rsidR="0032513A">
        <w:rPr>
          <w:lang w:val="en-CA"/>
        </w:rPr>
        <w:t>,</w:t>
      </w:r>
      <w:r>
        <w:rPr>
          <w:lang w:val="en-CA"/>
        </w:rPr>
        <w:t xml:space="preserve"> infused with meaning and value</w:t>
      </w:r>
      <w:r w:rsidR="0032513A">
        <w:rPr>
          <w:lang w:val="en-CA"/>
        </w:rPr>
        <w:t>, and projected</w:t>
      </w:r>
      <w:r>
        <w:rPr>
          <w:lang w:val="en-CA"/>
        </w:rPr>
        <w:t xml:space="preserve"> becomes apparent. The mobilization of the past as history occurs through symbolic action, most typically language or rhetoric, defined by Kenneth Burke</w:t>
      </w:r>
      <w:r w:rsidR="00D53628">
        <w:rPr>
          <w:lang w:val="en-CA"/>
        </w:rPr>
        <w:t xml:space="preserve"> (1962: 565)</w:t>
      </w:r>
      <w:r>
        <w:rPr>
          <w:lang w:val="en-CA"/>
        </w:rPr>
        <w:t xml:space="preserve"> as the “</w:t>
      </w:r>
      <w:r w:rsidRPr="007F68AE">
        <w:rPr>
          <w:lang w:val="en-CA"/>
        </w:rPr>
        <w:t>use of words by human agents to form attitudes or to induc</w:t>
      </w:r>
      <w:r>
        <w:rPr>
          <w:lang w:val="en-CA"/>
        </w:rPr>
        <w:t>e actions in other human agents.” Rhetoric can, of course, be extended to visual rhetoric, to incorporate artefacts, music and other images used with similar intent (Barthes, 1977</w:t>
      </w:r>
      <w:r w:rsidR="00F64D5A">
        <w:rPr>
          <w:lang w:val="en-CA"/>
        </w:rPr>
        <w:t>)</w:t>
      </w:r>
      <w:r>
        <w:rPr>
          <w:lang w:val="en-CA"/>
        </w:rPr>
        <w:t xml:space="preserve">. </w:t>
      </w:r>
    </w:p>
    <w:p w14:paraId="7649DAF7" w14:textId="444146CA" w:rsidR="00DC29E4" w:rsidRDefault="00A964F3" w:rsidP="00CA01F3">
      <w:pPr>
        <w:spacing w:line="480" w:lineRule="auto"/>
        <w:ind w:firstLine="720"/>
        <w:jc w:val="both"/>
        <w:rPr>
          <w:lang w:val="en-CA"/>
        </w:rPr>
      </w:pPr>
      <w:r>
        <w:rPr>
          <w:lang w:val="en-CA"/>
        </w:rPr>
        <w:t xml:space="preserve">While maintaining the fundamentally interpretive and </w:t>
      </w:r>
      <w:r w:rsidR="002E7064">
        <w:rPr>
          <w:lang w:val="en-CA"/>
        </w:rPr>
        <w:t xml:space="preserve">potentially </w:t>
      </w:r>
      <w:r>
        <w:rPr>
          <w:lang w:val="en-CA"/>
        </w:rPr>
        <w:t xml:space="preserve">agentic character of historical </w:t>
      </w:r>
      <w:r w:rsidR="00CA01F3">
        <w:rPr>
          <w:lang w:val="en-CA"/>
        </w:rPr>
        <w:t>interpretation</w:t>
      </w:r>
      <w:r>
        <w:rPr>
          <w:lang w:val="en-CA"/>
        </w:rPr>
        <w:t xml:space="preserve">, </w:t>
      </w:r>
      <w:r w:rsidR="00DC29E4">
        <w:rPr>
          <w:lang w:val="en-CA"/>
        </w:rPr>
        <w:t xml:space="preserve">recent work by both organization theorists </w:t>
      </w:r>
      <w:r w:rsidR="001553C7">
        <w:rPr>
          <w:lang w:val="en-CA"/>
        </w:rPr>
        <w:t xml:space="preserve">(Hatch and Schultz, 2017; Ravasi et al, forthcoming) </w:t>
      </w:r>
      <w:r w:rsidR="00DC29E4">
        <w:rPr>
          <w:lang w:val="en-CA"/>
        </w:rPr>
        <w:t xml:space="preserve">and organizational historians </w:t>
      </w:r>
      <w:r w:rsidR="001553C7">
        <w:rPr>
          <w:lang w:val="en-CA"/>
        </w:rPr>
        <w:t>(Hansen 2012b, 2018; Mordhorst, 2014) has</w:t>
      </w:r>
      <w:r w:rsidR="00DC29E4">
        <w:rPr>
          <w:lang w:val="en-CA"/>
        </w:rPr>
        <w:t xml:space="preserve"> emphasized the socially embedded processes through </w:t>
      </w:r>
      <w:r w:rsidR="001553C7">
        <w:rPr>
          <w:lang w:val="en-CA"/>
        </w:rPr>
        <w:t xml:space="preserve">historical interpretations gain authenticity and influence, as well as the ways in which historical interpretations may be contested.  A number of the papers in the special issue contribute to this development. </w:t>
      </w:r>
    </w:p>
    <w:p w14:paraId="51C0DD10" w14:textId="0C805AA9" w:rsidR="00A964F3" w:rsidRDefault="00A964F3" w:rsidP="001553C7">
      <w:pPr>
        <w:spacing w:line="480" w:lineRule="auto"/>
        <w:ind w:firstLine="720"/>
        <w:jc w:val="both"/>
      </w:pPr>
      <w:r>
        <w:rPr>
          <w:lang w:val="en-CA"/>
        </w:rPr>
        <w:t>Maclean et al</w:t>
      </w:r>
      <w:r w:rsidR="002B7583">
        <w:rPr>
          <w:lang w:val="en-CA"/>
        </w:rPr>
        <w:t>.</w:t>
      </w:r>
      <w:r w:rsidR="00CA01F3">
        <w:rPr>
          <w:lang w:val="en-CA"/>
        </w:rPr>
        <w:t xml:space="preserve"> (2018)</w:t>
      </w:r>
      <w:r>
        <w:rPr>
          <w:lang w:val="en-CA"/>
        </w:rPr>
        <w:t xml:space="preserve">, for instance, highlight the role of intertextuality in the production of historical knowledge. Rather than focusing on the single text or speech act, the authors demonstrate historical texts acquire their rhetorical power in part by the way they “appropriate prior works to </w:t>
      </w:r>
      <w:r>
        <w:rPr>
          <w:lang w:val="en-CA"/>
        </w:rPr>
        <w:lastRenderedPageBreak/>
        <w:t xml:space="preserve">produce new </w:t>
      </w:r>
      <w:r w:rsidRPr="00D10E74">
        <w:t>texts</w:t>
      </w:r>
      <w:r>
        <w:rPr>
          <w:lang w:val="en-CA"/>
        </w:rPr>
        <w:t>.”</w:t>
      </w:r>
      <w:r w:rsidR="00CA01F3">
        <w:rPr>
          <w:lang w:val="en-CA"/>
        </w:rPr>
        <w:t xml:space="preserve"> </w:t>
      </w:r>
      <w:r>
        <w:rPr>
          <w:lang w:val="en-CA"/>
        </w:rPr>
        <w:t>Blagoev et al</w:t>
      </w:r>
      <w:r w:rsidR="002B7583">
        <w:rPr>
          <w:lang w:val="en-CA"/>
        </w:rPr>
        <w:t>.</w:t>
      </w:r>
      <w:r>
        <w:rPr>
          <w:lang w:val="en-CA"/>
        </w:rPr>
        <w:t xml:space="preserve"> </w:t>
      </w:r>
      <w:r w:rsidR="00CA01F3">
        <w:rPr>
          <w:lang w:val="en-CA"/>
        </w:rPr>
        <w:t xml:space="preserve">(2018) </w:t>
      </w:r>
      <w:r>
        <w:rPr>
          <w:lang w:val="en-CA"/>
        </w:rPr>
        <w:t xml:space="preserve">move beyond the linguistic quality of the texts themselves to also </w:t>
      </w:r>
      <w:proofErr w:type="gramStart"/>
      <w:r>
        <w:rPr>
          <w:lang w:val="en-CA"/>
        </w:rPr>
        <w:t>take into account</w:t>
      </w:r>
      <w:proofErr w:type="gramEnd"/>
      <w:r>
        <w:rPr>
          <w:lang w:val="en-CA"/>
        </w:rPr>
        <w:t xml:space="preserve"> their materiality – what </w:t>
      </w:r>
      <w:r w:rsidR="00CA01F3">
        <w:rPr>
          <w:lang w:val="en-CA"/>
        </w:rPr>
        <w:t>the</w:t>
      </w:r>
      <w:r>
        <w:rPr>
          <w:lang w:val="en-CA"/>
        </w:rPr>
        <w:t xml:space="preserve"> </w:t>
      </w:r>
      <w:r w:rsidR="008D6865">
        <w:rPr>
          <w:lang w:val="en-CA"/>
        </w:rPr>
        <w:t xml:space="preserve">authors </w:t>
      </w:r>
      <w:r>
        <w:rPr>
          <w:lang w:val="en-CA"/>
        </w:rPr>
        <w:t xml:space="preserve">call the “technologies of memory.” Using the case of </w:t>
      </w:r>
      <w:r w:rsidR="00CA01F3">
        <w:rPr>
          <w:lang w:val="en-CA"/>
        </w:rPr>
        <w:t>the digitalization at the British Archives</w:t>
      </w:r>
      <w:r>
        <w:rPr>
          <w:lang w:val="en-CA"/>
        </w:rPr>
        <w:t xml:space="preserve">, they show how the material and technical qualities of a text or </w:t>
      </w:r>
      <w:r w:rsidR="001553C7">
        <w:rPr>
          <w:lang w:val="en-CA"/>
        </w:rPr>
        <w:t>artefact</w:t>
      </w:r>
      <w:r>
        <w:rPr>
          <w:lang w:val="en-CA"/>
        </w:rPr>
        <w:t xml:space="preserve"> played a role in </w:t>
      </w:r>
      <w:r w:rsidR="00257789">
        <w:rPr>
          <w:lang w:val="en-CA"/>
        </w:rPr>
        <w:t xml:space="preserve">“actively orienting organizational </w:t>
      </w:r>
      <w:r>
        <w:t>action in the present.”</w:t>
      </w:r>
      <w:r w:rsidR="00CA01F3">
        <w:t xml:space="preserve"> The paper emphasizes “how the materiality of objects inherited from the past also actively constrained and oriented how actors worked upon various obstacles on the path to digitization”</w:t>
      </w:r>
    </w:p>
    <w:p w14:paraId="4C9CE400" w14:textId="38C3AE8A" w:rsidR="00257789" w:rsidRDefault="00257789" w:rsidP="00CA01F3">
      <w:pPr>
        <w:spacing w:line="480" w:lineRule="auto"/>
        <w:ind w:firstLine="720"/>
        <w:jc w:val="both"/>
      </w:pPr>
      <w:r>
        <w:t xml:space="preserve">Lubinski </w:t>
      </w:r>
      <w:r w:rsidR="00CA01F3">
        <w:t xml:space="preserve">(2018) </w:t>
      </w:r>
      <w:r>
        <w:t xml:space="preserve">draws in several other </w:t>
      </w:r>
      <w:r w:rsidR="00CA01F3">
        <w:t xml:space="preserve">contextual </w:t>
      </w:r>
      <w:r>
        <w:t xml:space="preserve">elements that </w:t>
      </w:r>
      <w:proofErr w:type="gramStart"/>
      <w:r>
        <w:t>take into account</w:t>
      </w:r>
      <w:proofErr w:type="gramEnd"/>
      <w:r>
        <w:t xml:space="preserve"> the situated character of the uses of the past. In particular, she emphasizes the ways in which historical representation does not acquire influence </w:t>
      </w:r>
      <w:r w:rsidR="00E92C8E">
        <w:t>through the act of interpretation</w:t>
      </w:r>
      <w:r>
        <w:t xml:space="preserve"> </w:t>
      </w:r>
      <w:r w:rsidR="00E92C8E">
        <w:t xml:space="preserve">in </w:t>
      </w:r>
      <w:r>
        <w:t xml:space="preserve">isolation but in relation to </w:t>
      </w:r>
      <w:r w:rsidR="00E92C8E">
        <w:t>its reception and response by various</w:t>
      </w:r>
      <w:r>
        <w:t xml:space="preserve"> audiences, </w:t>
      </w:r>
      <w:r w:rsidR="00E92C8E">
        <w:t xml:space="preserve">through critique of </w:t>
      </w:r>
      <w:r>
        <w:t xml:space="preserve">existing </w:t>
      </w:r>
      <w:r w:rsidR="001553C7">
        <w:t>or</w:t>
      </w:r>
      <w:r w:rsidR="00E92C8E">
        <w:t xml:space="preserve"> competing</w:t>
      </w:r>
      <w:r>
        <w:t xml:space="preserve"> narratives, and </w:t>
      </w:r>
      <w:r w:rsidR="00E92C8E">
        <w:t xml:space="preserve">in </w:t>
      </w:r>
      <w:r>
        <w:t xml:space="preserve">the social practices in which they are embedded. Overall, </w:t>
      </w:r>
      <w:r w:rsidR="00E92C8E">
        <w:t xml:space="preserve">Lubinski argues, </w:t>
      </w:r>
      <w:r>
        <w:t xml:space="preserve">these elements </w:t>
      </w:r>
      <w:r w:rsidR="00E92C8E">
        <w:t>point to a need for organization scholars to move beyond examining history as</w:t>
      </w:r>
      <w:r>
        <w:t xml:space="preserve"> </w:t>
      </w:r>
      <w:r w:rsidR="00F64D5A">
        <w:t>“t</w:t>
      </w:r>
      <w:r>
        <w:t xml:space="preserve">old” to </w:t>
      </w:r>
      <w:r w:rsidR="00E92C8E">
        <w:t xml:space="preserve">examining </w:t>
      </w:r>
      <w:r>
        <w:t xml:space="preserve">history </w:t>
      </w:r>
      <w:proofErr w:type="gramStart"/>
      <w:r>
        <w:t>as ”experienced</w:t>
      </w:r>
      <w:proofErr w:type="gramEnd"/>
      <w:r>
        <w:t>”</w:t>
      </w:r>
      <w:r w:rsidR="001553C7">
        <w:t xml:space="preserve"> and to </w:t>
      </w:r>
      <w:r w:rsidR="0075156F">
        <w:t xml:space="preserve">study the uses of history as a dialogical process. </w:t>
      </w:r>
    </w:p>
    <w:p w14:paraId="7132BD4F" w14:textId="00DE8120" w:rsidR="00257789" w:rsidRDefault="00257789" w:rsidP="00A964F3">
      <w:pPr>
        <w:spacing w:line="480" w:lineRule="auto"/>
        <w:ind w:firstLine="720"/>
        <w:jc w:val="both"/>
      </w:pPr>
      <w:r>
        <w:t>Finally, Cailluet et al</w:t>
      </w:r>
      <w:r w:rsidR="002B7583">
        <w:t>.</w:t>
      </w:r>
      <w:r>
        <w:t xml:space="preserve"> </w:t>
      </w:r>
      <w:r w:rsidR="00E92C8E">
        <w:t xml:space="preserve">(2018) </w:t>
      </w:r>
      <w:r>
        <w:t xml:space="preserve">emphasize the way in which attempts to shape history </w:t>
      </w:r>
      <w:proofErr w:type="gramStart"/>
      <w:r>
        <w:t xml:space="preserve">often </w:t>
      </w:r>
      <w:r w:rsidR="00E92C8E">
        <w:t>”</w:t>
      </w:r>
      <w:r>
        <w:t>eludes</w:t>
      </w:r>
      <w:proofErr w:type="gramEnd"/>
      <w:r>
        <w:t xml:space="preserve"> the sole control of the organization.” Like Lubinski, they emphasize the role </w:t>
      </w:r>
      <w:proofErr w:type="gramStart"/>
      <w:r>
        <w:t>of ”various</w:t>
      </w:r>
      <w:proofErr w:type="gramEnd"/>
      <w:r>
        <w:t xml:space="preserve"> stakeholders” in shaping history, which makes it ”both </w:t>
      </w:r>
      <w:r w:rsidR="0075156F">
        <w:t>an</w:t>
      </w:r>
      <w:r>
        <w:t xml:space="preserve"> asset and an arena for struggle.” </w:t>
      </w:r>
      <w:r w:rsidR="00E92C8E">
        <w:t xml:space="preserve">Both papers see history as a complex historical resource for managers in that interpretations of the past are constantly subject to contestation. </w:t>
      </w:r>
    </w:p>
    <w:p w14:paraId="797E09DB" w14:textId="4B88CBFB" w:rsidR="00257789" w:rsidRDefault="00257789" w:rsidP="00A964F3">
      <w:pPr>
        <w:spacing w:line="480" w:lineRule="auto"/>
        <w:ind w:firstLine="720"/>
        <w:jc w:val="both"/>
        <w:rPr>
          <w:lang w:val="en-CA"/>
        </w:rPr>
      </w:pPr>
      <w:r>
        <w:t xml:space="preserve">The special issue hence </w:t>
      </w:r>
      <w:r w:rsidR="003B0F76">
        <w:t>recognizes the interpretive agency of managers in uses of the past but d</w:t>
      </w:r>
      <w:r w:rsidR="00E92C8E">
        <w:t>oes so in ways that considerably</w:t>
      </w:r>
      <w:r w:rsidR="003B0F76">
        <w:t xml:space="preserve"> deepens our understanding of the complex social processes at play in </w:t>
      </w:r>
      <w:r w:rsidR="0075156F">
        <w:t>how it shapes order and disorder in organizations</w:t>
      </w:r>
      <w:r w:rsidR="003B0F76">
        <w:t xml:space="preserve">. </w:t>
      </w:r>
    </w:p>
    <w:p w14:paraId="11FA49B0" w14:textId="23BC52D5" w:rsidR="00D10E74" w:rsidRDefault="00D10E74" w:rsidP="00D10E74">
      <w:pPr>
        <w:spacing w:line="480" w:lineRule="auto"/>
        <w:jc w:val="both"/>
        <w:rPr>
          <w:lang w:val="en-CA"/>
        </w:rPr>
      </w:pPr>
    </w:p>
    <w:p w14:paraId="0AC28CAD" w14:textId="31F85064" w:rsidR="00D10E74" w:rsidRDefault="00743DF8" w:rsidP="00D10E74">
      <w:pPr>
        <w:spacing w:line="480" w:lineRule="auto"/>
        <w:jc w:val="both"/>
        <w:rPr>
          <w:b/>
          <w:lang w:val="en-CA"/>
        </w:rPr>
      </w:pPr>
      <w:r>
        <w:rPr>
          <w:b/>
          <w:lang w:val="en-CA"/>
        </w:rPr>
        <w:t>New Frontiers of the Past</w:t>
      </w:r>
    </w:p>
    <w:p w14:paraId="4B22D5B5" w14:textId="73C01AA3" w:rsidR="00E92C8E" w:rsidRDefault="006B50BE" w:rsidP="00D10E74">
      <w:pPr>
        <w:spacing w:line="480" w:lineRule="auto"/>
        <w:jc w:val="both"/>
        <w:rPr>
          <w:lang w:val="en-CA"/>
        </w:rPr>
      </w:pPr>
      <w:r>
        <w:rPr>
          <w:lang w:val="en-CA"/>
        </w:rPr>
        <w:tab/>
      </w:r>
      <w:r w:rsidR="000B260D">
        <w:rPr>
          <w:lang w:val="en-CA"/>
        </w:rPr>
        <w:t xml:space="preserve">While </w:t>
      </w:r>
      <w:r w:rsidR="00771777">
        <w:rPr>
          <w:lang w:val="en-CA"/>
        </w:rPr>
        <w:t>the scholarship</w:t>
      </w:r>
      <w:r w:rsidR="000B260D">
        <w:rPr>
          <w:lang w:val="en-CA"/>
        </w:rPr>
        <w:t xml:space="preserve"> on the uses of </w:t>
      </w:r>
      <w:r w:rsidR="00771777">
        <w:rPr>
          <w:lang w:val="en-CA"/>
        </w:rPr>
        <w:t>the past</w:t>
      </w:r>
      <w:r w:rsidR="000B260D">
        <w:rPr>
          <w:lang w:val="en-CA"/>
        </w:rPr>
        <w:t xml:space="preserve"> in organizations and organizing has developed rapidly over the last decade, the field still remains ripe for further exploration. In this section, we consider four promising research frontiers that </w:t>
      </w:r>
      <w:r w:rsidR="00841E93">
        <w:rPr>
          <w:lang w:val="en-CA"/>
        </w:rPr>
        <w:t xml:space="preserve">represent </w:t>
      </w:r>
      <w:r w:rsidR="00771777">
        <w:rPr>
          <w:lang w:val="en-CA"/>
        </w:rPr>
        <w:t>significant new research opportunities.</w:t>
      </w:r>
    </w:p>
    <w:p w14:paraId="0656609F" w14:textId="77777777" w:rsidR="00E92C8E" w:rsidRDefault="00E92C8E" w:rsidP="00D10E74">
      <w:pPr>
        <w:spacing w:line="480" w:lineRule="auto"/>
        <w:jc w:val="both"/>
        <w:rPr>
          <w:lang w:val="en-CA"/>
        </w:rPr>
      </w:pPr>
    </w:p>
    <w:p w14:paraId="03E000A9" w14:textId="37831E19" w:rsidR="00D10E74" w:rsidRPr="00E146AB" w:rsidRDefault="00D10E74" w:rsidP="00D10E74">
      <w:pPr>
        <w:spacing w:line="480" w:lineRule="auto"/>
        <w:jc w:val="both"/>
        <w:rPr>
          <w:i/>
          <w:lang w:val="en-CA"/>
        </w:rPr>
      </w:pPr>
      <w:r w:rsidRPr="00E146AB">
        <w:rPr>
          <w:i/>
          <w:lang w:val="en-CA"/>
        </w:rPr>
        <w:t xml:space="preserve">The Role of Form in the Uses of </w:t>
      </w:r>
      <w:r w:rsidR="00771777">
        <w:rPr>
          <w:i/>
          <w:lang w:val="en-CA"/>
        </w:rPr>
        <w:t>the Past</w:t>
      </w:r>
    </w:p>
    <w:p w14:paraId="6175117A" w14:textId="52C7FF77" w:rsidR="00D60C19" w:rsidRDefault="00E146AB" w:rsidP="00191363">
      <w:pPr>
        <w:spacing w:line="480" w:lineRule="auto"/>
        <w:jc w:val="both"/>
        <w:rPr>
          <w:lang w:val="en-CA"/>
        </w:rPr>
      </w:pPr>
      <w:r>
        <w:rPr>
          <w:lang w:val="en-CA"/>
        </w:rPr>
        <w:tab/>
        <w:t>Although organizational researchers have b</w:t>
      </w:r>
      <w:r w:rsidR="008A0990">
        <w:rPr>
          <w:lang w:val="en-CA"/>
        </w:rPr>
        <w:t xml:space="preserve">een attentive to analyzing the </w:t>
      </w:r>
      <w:r w:rsidR="008A0990" w:rsidRPr="008A0990">
        <w:rPr>
          <w:i/>
          <w:lang w:val="en-CA"/>
        </w:rPr>
        <w:t>content</w:t>
      </w:r>
      <w:r>
        <w:rPr>
          <w:lang w:val="en-CA"/>
        </w:rPr>
        <w:t xml:space="preserve"> of historical </w:t>
      </w:r>
      <w:r w:rsidR="008A0990">
        <w:rPr>
          <w:lang w:val="en-CA"/>
        </w:rPr>
        <w:t>representations</w:t>
      </w:r>
      <w:r>
        <w:rPr>
          <w:lang w:val="en-CA"/>
        </w:rPr>
        <w:t xml:space="preserve"> and the </w:t>
      </w:r>
      <w:r w:rsidRPr="008A0990">
        <w:rPr>
          <w:i/>
          <w:lang w:val="en-CA"/>
        </w:rPr>
        <w:t>processes</w:t>
      </w:r>
      <w:r>
        <w:rPr>
          <w:lang w:val="en-CA"/>
        </w:rPr>
        <w:t xml:space="preserve"> by which the past is evoked in studying the performative power of history in organizing, </w:t>
      </w:r>
      <w:r w:rsidR="000F1DE9">
        <w:rPr>
          <w:lang w:val="en-CA"/>
        </w:rPr>
        <w:t>less</w:t>
      </w:r>
      <w:r>
        <w:rPr>
          <w:lang w:val="en-CA"/>
        </w:rPr>
        <w:t xml:space="preserve"> attention has been paid to the crucial issue of the </w:t>
      </w:r>
      <w:r w:rsidRPr="00E32E66">
        <w:rPr>
          <w:i/>
          <w:lang w:val="en-CA"/>
        </w:rPr>
        <w:t>form</w:t>
      </w:r>
      <w:r>
        <w:rPr>
          <w:i/>
          <w:lang w:val="en-CA"/>
        </w:rPr>
        <w:t xml:space="preserve"> </w:t>
      </w:r>
      <w:r w:rsidR="00191363">
        <w:rPr>
          <w:lang w:val="en-CA"/>
        </w:rPr>
        <w:t>in which history is represented</w:t>
      </w:r>
      <w:r>
        <w:rPr>
          <w:lang w:val="en-CA"/>
        </w:rPr>
        <w:t xml:space="preserve"> (but see </w:t>
      </w:r>
      <w:r w:rsidR="00092547">
        <w:rPr>
          <w:lang w:val="en-CA"/>
        </w:rPr>
        <w:t xml:space="preserve">Hansen, 2012b and </w:t>
      </w:r>
      <w:r w:rsidR="0047254A">
        <w:rPr>
          <w:lang w:val="en-CA"/>
        </w:rPr>
        <w:t>Daliaz and Stefano, 2018</w:t>
      </w:r>
      <w:r>
        <w:rPr>
          <w:lang w:val="en-CA"/>
        </w:rPr>
        <w:t xml:space="preserve"> for </w:t>
      </w:r>
      <w:r w:rsidR="002B7583">
        <w:rPr>
          <w:lang w:val="en-CA"/>
        </w:rPr>
        <w:t>notable exceptions</w:t>
      </w:r>
      <w:r>
        <w:rPr>
          <w:lang w:val="en-CA"/>
        </w:rPr>
        <w:t>). White (1987)</w:t>
      </w:r>
      <w:r w:rsidR="00CC55EB">
        <w:rPr>
          <w:lang w:val="en-CA"/>
        </w:rPr>
        <w:t>, Carr (1991</w:t>
      </w:r>
      <w:r w:rsidR="00191363">
        <w:rPr>
          <w:lang w:val="en-CA"/>
        </w:rPr>
        <w:t>)</w:t>
      </w:r>
      <w:r>
        <w:rPr>
          <w:lang w:val="en-CA"/>
        </w:rPr>
        <w:t xml:space="preserve"> and </w:t>
      </w:r>
      <w:r w:rsidR="00092547">
        <w:rPr>
          <w:lang w:val="en-CA"/>
        </w:rPr>
        <w:t>a handful of</w:t>
      </w:r>
      <w:r w:rsidR="00191363">
        <w:rPr>
          <w:lang w:val="en-CA"/>
        </w:rPr>
        <w:t xml:space="preserve"> </w:t>
      </w:r>
      <w:r w:rsidR="00804477">
        <w:rPr>
          <w:lang w:val="en-CA"/>
        </w:rPr>
        <w:t xml:space="preserve">other </w:t>
      </w:r>
      <w:r w:rsidR="00191363">
        <w:rPr>
          <w:lang w:val="en-CA"/>
        </w:rPr>
        <w:t xml:space="preserve">philosophers </w:t>
      </w:r>
      <w:r w:rsidR="00092547">
        <w:rPr>
          <w:lang w:val="en-CA"/>
        </w:rPr>
        <w:t>and historians</w:t>
      </w:r>
      <w:r>
        <w:rPr>
          <w:lang w:val="en-CA"/>
        </w:rPr>
        <w:t xml:space="preserve"> (see Roberts, 2001</w:t>
      </w:r>
      <w:r w:rsidR="00092547">
        <w:rPr>
          <w:lang w:val="en-CA"/>
        </w:rPr>
        <w:t>; Mordhorst, 2008; Hansen, 2012</w:t>
      </w:r>
      <w:r w:rsidR="00CC55EB" w:rsidRPr="00C879A2">
        <w:rPr>
          <w:lang w:val="en-CA"/>
        </w:rPr>
        <w:t>;</w:t>
      </w:r>
      <w:r w:rsidR="00CC55EB" w:rsidRPr="00C879A2">
        <w:t xml:space="preserve"> Mordhorst &amp; Schwarzkopf, 2017</w:t>
      </w:r>
      <w:r w:rsidRPr="00C879A2">
        <w:rPr>
          <w:lang w:val="en-CA"/>
        </w:rPr>
        <w:t>)</w:t>
      </w:r>
      <w:r w:rsidR="00191363">
        <w:rPr>
          <w:lang w:val="en-CA"/>
        </w:rPr>
        <w:t xml:space="preserve"> have</w:t>
      </w:r>
      <w:r>
        <w:rPr>
          <w:lang w:val="en-CA"/>
        </w:rPr>
        <w:t xml:space="preserve"> highlight</w:t>
      </w:r>
      <w:r w:rsidR="00191363">
        <w:rPr>
          <w:lang w:val="en-CA"/>
        </w:rPr>
        <w:t>ed</w:t>
      </w:r>
      <w:r>
        <w:rPr>
          <w:lang w:val="en-CA"/>
        </w:rPr>
        <w:t xml:space="preserve"> the importance of </w:t>
      </w:r>
      <w:r w:rsidR="00191363">
        <w:rPr>
          <w:lang w:val="en-CA"/>
        </w:rPr>
        <w:t>form, and particularly of narrative structure</w:t>
      </w:r>
      <w:r>
        <w:rPr>
          <w:lang w:val="en-CA"/>
        </w:rPr>
        <w:t xml:space="preserve"> – a beginning in which a central problem arises, a middle in which the tension grows and struggles play out, and an end where they are resolved</w:t>
      </w:r>
      <w:r w:rsidR="00191363">
        <w:rPr>
          <w:lang w:val="en-CA"/>
        </w:rPr>
        <w:t xml:space="preserve"> – in </w:t>
      </w:r>
      <w:r w:rsidR="00D60C19">
        <w:rPr>
          <w:lang w:val="en-CA"/>
        </w:rPr>
        <w:t>shaping the relationship between past, present, and future</w:t>
      </w:r>
      <w:r w:rsidR="00191363">
        <w:rPr>
          <w:lang w:val="en-CA"/>
        </w:rPr>
        <w:t xml:space="preserve"> that historical representations convey. </w:t>
      </w:r>
      <w:r w:rsidR="00D60C19">
        <w:rPr>
          <w:lang w:val="en-CA"/>
        </w:rPr>
        <w:t>This</w:t>
      </w:r>
      <w:r w:rsidR="00191363">
        <w:rPr>
          <w:lang w:val="en-CA"/>
        </w:rPr>
        <w:t xml:space="preserve"> work has brought attention to the role of form in the representation of the past </w:t>
      </w:r>
      <w:r w:rsidR="00804477">
        <w:rPr>
          <w:lang w:val="en-CA"/>
        </w:rPr>
        <w:t>by academic historians</w:t>
      </w:r>
      <w:r w:rsidR="00191363">
        <w:rPr>
          <w:lang w:val="en-CA"/>
        </w:rPr>
        <w:t xml:space="preserve"> </w:t>
      </w:r>
      <w:r w:rsidR="00CC55EB">
        <w:rPr>
          <w:lang w:val="en-CA"/>
        </w:rPr>
        <w:t>(White, 1973</w:t>
      </w:r>
      <w:r w:rsidR="00092547">
        <w:rPr>
          <w:lang w:val="en-CA"/>
        </w:rPr>
        <w:t xml:space="preserve">) </w:t>
      </w:r>
      <w:r w:rsidR="00191363">
        <w:rPr>
          <w:lang w:val="en-CA"/>
        </w:rPr>
        <w:t xml:space="preserve">and in the construction of reality </w:t>
      </w:r>
      <w:r w:rsidR="00804477">
        <w:rPr>
          <w:lang w:val="en-CA"/>
        </w:rPr>
        <w:t>by</w:t>
      </w:r>
      <w:r w:rsidR="00191363">
        <w:rPr>
          <w:lang w:val="en-CA"/>
        </w:rPr>
        <w:t xml:space="preserve"> everyday actors</w:t>
      </w:r>
      <w:r w:rsidR="00092547">
        <w:rPr>
          <w:lang w:val="en-CA"/>
        </w:rPr>
        <w:t xml:space="preserve"> (Carr, 1986)</w:t>
      </w:r>
      <w:r>
        <w:rPr>
          <w:lang w:val="en-CA"/>
        </w:rPr>
        <w:t xml:space="preserve">, </w:t>
      </w:r>
      <w:r w:rsidR="00D60C19">
        <w:rPr>
          <w:lang w:val="en-CA"/>
        </w:rPr>
        <w:t xml:space="preserve">and there is a valuable opportunity </w:t>
      </w:r>
      <w:r w:rsidR="00DF1378">
        <w:rPr>
          <w:lang w:val="en-CA"/>
        </w:rPr>
        <w:t>in</w:t>
      </w:r>
      <w:r w:rsidR="00D60C19">
        <w:rPr>
          <w:lang w:val="en-CA"/>
        </w:rPr>
        <w:t xml:space="preserve"> link</w:t>
      </w:r>
      <w:r w:rsidR="00DF1378">
        <w:rPr>
          <w:lang w:val="en-CA"/>
        </w:rPr>
        <w:t>ing</w:t>
      </w:r>
      <w:r w:rsidR="00D60C19">
        <w:rPr>
          <w:lang w:val="en-CA"/>
        </w:rPr>
        <w:t xml:space="preserve"> this work to the burgeoning research on “temporal structures” in organizations (</w:t>
      </w:r>
      <w:r w:rsidR="00D60C19" w:rsidRPr="00DF1378">
        <w:rPr>
          <w:lang w:val="en-CA"/>
        </w:rPr>
        <w:t>Kaplan and Orlikowski</w:t>
      </w:r>
      <w:r w:rsidR="00DF1378">
        <w:rPr>
          <w:lang w:val="en-CA"/>
        </w:rPr>
        <w:t>, 2013</w:t>
      </w:r>
      <w:r w:rsidR="00D60C19" w:rsidRPr="00DF1378">
        <w:rPr>
          <w:lang w:val="en-CA"/>
        </w:rPr>
        <w:t xml:space="preserve">; </w:t>
      </w:r>
      <w:r w:rsidR="00C820B1" w:rsidRPr="00DF1378">
        <w:rPr>
          <w:lang w:val="en-CA"/>
        </w:rPr>
        <w:t>Hernes</w:t>
      </w:r>
      <w:r w:rsidR="00DF1378">
        <w:rPr>
          <w:lang w:val="en-CA"/>
        </w:rPr>
        <w:t>, 2014</w:t>
      </w:r>
      <w:r w:rsidR="00C820B1" w:rsidRPr="00DF1378">
        <w:rPr>
          <w:lang w:val="en-CA"/>
        </w:rPr>
        <w:t>)</w:t>
      </w:r>
      <w:r w:rsidR="00DF1378">
        <w:rPr>
          <w:lang w:val="en-CA"/>
        </w:rPr>
        <w:t>.</w:t>
      </w:r>
    </w:p>
    <w:p w14:paraId="79C6CECE" w14:textId="3E9CD0B2" w:rsidR="00E146AB" w:rsidRDefault="00DF1378" w:rsidP="00DF1378">
      <w:pPr>
        <w:spacing w:line="480" w:lineRule="auto"/>
        <w:ind w:firstLine="720"/>
        <w:jc w:val="both"/>
        <w:rPr>
          <w:lang w:val="en-CA"/>
        </w:rPr>
      </w:pPr>
      <w:r>
        <w:rPr>
          <w:lang w:val="en-CA"/>
        </w:rPr>
        <w:t>Indeed</w:t>
      </w:r>
      <w:r w:rsidR="00E146AB">
        <w:rPr>
          <w:lang w:val="en-CA"/>
        </w:rPr>
        <w:t xml:space="preserve">, the </w:t>
      </w:r>
      <w:r>
        <w:rPr>
          <w:lang w:val="en-CA"/>
        </w:rPr>
        <w:t xml:space="preserve">temporal </w:t>
      </w:r>
      <w:r w:rsidR="00E146AB">
        <w:rPr>
          <w:lang w:val="en-CA"/>
        </w:rPr>
        <w:t xml:space="preserve">form that historical representations take in organizations may be as important as the content of that representation </w:t>
      </w:r>
      <w:r w:rsidR="0065253F">
        <w:rPr>
          <w:lang w:val="en-CA"/>
        </w:rPr>
        <w:t xml:space="preserve">in shaping </w:t>
      </w:r>
      <w:proofErr w:type="gramStart"/>
      <w:r w:rsidR="0065253F">
        <w:rPr>
          <w:lang w:val="en-CA"/>
        </w:rPr>
        <w:t>actors</w:t>
      </w:r>
      <w:proofErr w:type="gramEnd"/>
      <w:r w:rsidR="0065253F">
        <w:rPr>
          <w:lang w:val="en-CA"/>
        </w:rPr>
        <w:t xml:space="preserve"> perceptions of the temporal </w:t>
      </w:r>
      <w:r w:rsidR="0065253F">
        <w:rPr>
          <w:lang w:val="en-CA"/>
        </w:rPr>
        <w:lastRenderedPageBreak/>
        <w:t>relationship between past, present, and future</w:t>
      </w:r>
      <w:r w:rsidR="00E146AB">
        <w:rPr>
          <w:lang w:val="en-CA"/>
        </w:rPr>
        <w:t xml:space="preserve">. </w:t>
      </w:r>
      <w:r w:rsidR="00092547">
        <w:rPr>
          <w:lang w:val="en-CA"/>
        </w:rPr>
        <w:t>One clear opportunity lies in extending the work that has been produced on how variations in the narrative structure of historical representation shapes perception, choice, and action in organization</w:t>
      </w:r>
      <w:r w:rsidR="00804477">
        <w:rPr>
          <w:lang w:val="en-CA"/>
        </w:rPr>
        <w:t>s</w:t>
      </w:r>
      <w:r w:rsidR="00092547">
        <w:rPr>
          <w:lang w:val="en-CA"/>
        </w:rPr>
        <w:t xml:space="preserve">. For example, </w:t>
      </w:r>
      <w:r w:rsidR="0065253F">
        <w:rPr>
          <w:lang w:val="en-CA"/>
        </w:rPr>
        <w:t>such research</w:t>
      </w:r>
      <w:r w:rsidR="00092547">
        <w:rPr>
          <w:lang w:val="en-CA"/>
        </w:rPr>
        <w:t xml:space="preserve"> </w:t>
      </w:r>
      <w:r w:rsidR="0065253F">
        <w:rPr>
          <w:lang w:val="en-CA"/>
        </w:rPr>
        <w:t>could</w:t>
      </w:r>
      <w:r w:rsidR="00092547">
        <w:rPr>
          <w:lang w:val="en-CA"/>
        </w:rPr>
        <w:t xml:space="preserve"> elaborate on how </w:t>
      </w:r>
      <w:r w:rsidR="007135F4">
        <w:rPr>
          <w:lang w:val="en-CA"/>
        </w:rPr>
        <w:t>narrative structure</w:t>
      </w:r>
      <w:r w:rsidR="00092547">
        <w:rPr>
          <w:lang w:val="en-CA"/>
        </w:rPr>
        <w:t xml:space="preserve"> shapes strategy (</w:t>
      </w:r>
      <w:r w:rsidR="00092547" w:rsidRPr="00C879A2">
        <w:rPr>
          <w:lang w:val="en-CA"/>
        </w:rPr>
        <w:t>Brunninge, 2009</w:t>
      </w:r>
      <w:r w:rsidR="00092547">
        <w:rPr>
          <w:lang w:val="en-CA"/>
        </w:rPr>
        <w:t>; Dalpiaz et al, 2018; Mordhorst, 2008) or understandings of value (</w:t>
      </w:r>
      <w:r w:rsidR="0065253F">
        <w:rPr>
          <w:lang w:val="en-CA"/>
        </w:rPr>
        <w:t>Hansen, 2012b; 2018). Historical narrative forms that look to the past as a source for reinvention</w:t>
      </w:r>
      <w:r>
        <w:rPr>
          <w:lang w:val="en-CA"/>
        </w:rPr>
        <w:t xml:space="preserve"> in the present</w:t>
      </w:r>
      <w:r w:rsidR="0065253F">
        <w:rPr>
          <w:lang w:val="en-CA"/>
        </w:rPr>
        <w:t xml:space="preserve">, as is illustrated in the case of Carlsberg’s use of the motto </w:t>
      </w:r>
      <w:r w:rsidR="0065253F" w:rsidRPr="0065253F">
        <w:rPr>
          <w:i/>
          <w:lang w:val="en-CA"/>
        </w:rPr>
        <w:t>semper ardens</w:t>
      </w:r>
      <w:r w:rsidR="0065253F">
        <w:rPr>
          <w:lang w:val="en-CA"/>
        </w:rPr>
        <w:t xml:space="preserve"> (Hatch and Schultz, 201</w:t>
      </w:r>
      <w:r w:rsidR="00CC55EB">
        <w:rPr>
          <w:lang w:val="en-CA"/>
        </w:rPr>
        <w:t>7</w:t>
      </w:r>
      <w:r w:rsidR="0065253F">
        <w:rPr>
          <w:lang w:val="en-CA"/>
        </w:rPr>
        <w:t xml:space="preserve">) may have very different performative implications than historical narratives that imply the need for a revolutionary break from the past, as is exemplified by the </w:t>
      </w:r>
      <w:r w:rsidR="007135F4">
        <w:rPr>
          <w:lang w:val="en-CA"/>
        </w:rPr>
        <w:t>spread of narratives of</w:t>
      </w:r>
      <w:r w:rsidR="0065253F">
        <w:rPr>
          <w:lang w:val="en-CA"/>
        </w:rPr>
        <w:t xml:space="preserve"> “disruptive innovation</w:t>
      </w:r>
      <w:r w:rsidR="0065253F" w:rsidRPr="00C879A2">
        <w:rPr>
          <w:lang w:val="en-CA"/>
        </w:rPr>
        <w:t>” (</w:t>
      </w:r>
      <w:r w:rsidR="00812858" w:rsidRPr="00C879A2">
        <w:rPr>
          <w:lang w:val="en-CA"/>
        </w:rPr>
        <w:t>Lepore, 2014</w:t>
      </w:r>
      <w:r w:rsidR="0065253F">
        <w:rPr>
          <w:lang w:val="en-CA"/>
        </w:rPr>
        <w:t>). There are also opportunities for organizational researchers to examine non-narrative forms by which the past is made present in organizations. For instance, the</w:t>
      </w:r>
      <w:r w:rsidR="008E3FD9">
        <w:rPr>
          <w:lang w:val="en-CA"/>
        </w:rPr>
        <w:t xml:space="preserve"> use of timelines as a form that c</w:t>
      </w:r>
      <w:r w:rsidR="0065253F">
        <w:rPr>
          <w:lang w:val="en-CA"/>
        </w:rPr>
        <w:t xml:space="preserve">onveys continuity and progress </w:t>
      </w:r>
      <w:r w:rsidR="008E3FD9">
        <w:rPr>
          <w:lang w:val="en-CA"/>
        </w:rPr>
        <w:t xml:space="preserve">may be very different than the performance of historical rituals that emphasize tradition and a constant return to the past. </w:t>
      </w:r>
    </w:p>
    <w:p w14:paraId="029FF50A" w14:textId="0AA66F3F" w:rsidR="007E1A9B" w:rsidRDefault="007E1A9B" w:rsidP="00A35898">
      <w:pPr>
        <w:spacing w:line="480" w:lineRule="auto"/>
        <w:jc w:val="both"/>
        <w:rPr>
          <w:lang w:val="en-CA"/>
        </w:rPr>
      </w:pPr>
      <w:r>
        <w:rPr>
          <w:lang w:val="en-CA"/>
        </w:rPr>
        <w:tab/>
      </w:r>
      <w:r w:rsidR="00623BDF">
        <w:rPr>
          <w:lang w:val="en-CA"/>
        </w:rPr>
        <w:t>Research on historical forms</w:t>
      </w:r>
      <w:r>
        <w:rPr>
          <w:lang w:val="en-CA"/>
        </w:rPr>
        <w:t xml:space="preserve"> </w:t>
      </w:r>
      <w:r w:rsidR="003C5255">
        <w:rPr>
          <w:lang w:val="en-CA"/>
        </w:rPr>
        <w:t xml:space="preserve">can </w:t>
      </w:r>
      <w:r>
        <w:rPr>
          <w:lang w:val="en-CA"/>
        </w:rPr>
        <w:t>also be fruitfully applied to examining the social organization of space as well as the social experience of time</w:t>
      </w:r>
      <w:r w:rsidR="00884778">
        <w:rPr>
          <w:lang w:val="en-CA"/>
        </w:rPr>
        <w:t xml:space="preserve"> </w:t>
      </w:r>
      <w:r w:rsidR="00884778" w:rsidRPr="00C879A2">
        <w:rPr>
          <w:lang w:val="en-CA"/>
        </w:rPr>
        <w:t>(Linde, 2008).</w:t>
      </w:r>
      <w:r w:rsidR="00C879A2" w:rsidRPr="00C879A2">
        <w:rPr>
          <w:lang w:val="en-CA"/>
        </w:rPr>
        <w:t xml:space="preserve"> </w:t>
      </w:r>
      <w:r>
        <w:rPr>
          <w:lang w:val="en-CA"/>
        </w:rPr>
        <w:t>Indeed</w:t>
      </w:r>
      <w:r w:rsidR="00623BDF">
        <w:rPr>
          <w:lang w:val="en-CA"/>
        </w:rPr>
        <w:t>,</w:t>
      </w:r>
      <w:r>
        <w:rPr>
          <w:lang w:val="en-CA"/>
        </w:rPr>
        <w:t xml:space="preserve"> the form</w:t>
      </w:r>
      <w:r w:rsidR="00517DFE">
        <w:rPr>
          <w:lang w:val="en-CA"/>
        </w:rPr>
        <w:t xml:space="preserve"> in which history is represented</w:t>
      </w:r>
      <w:r>
        <w:rPr>
          <w:lang w:val="en-CA"/>
        </w:rPr>
        <w:t xml:space="preserve"> varies widely across social </w:t>
      </w:r>
      <w:r w:rsidR="00517DFE">
        <w:rPr>
          <w:lang w:val="en-CA"/>
        </w:rPr>
        <w:t xml:space="preserve">and organizational </w:t>
      </w:r>
      <w:r>
        <w:rPr>
          <w:lang w:val="en-CA"/>
        </w:rPr>
        <w:t>fields</w:t>
      </w:r>
      <w:r w:rsidR="00517DFE">
        <w:rPr>
          <w:lang w:val="en-CA"/>
        </w:rPr>
        <w:t xml:space="preserve">, and researchers have the opportunity to examine how these variations shape differences in the way in which the past is used. To begin, the </w:t>
      </w:r>
      <w:r w:rsidR="008D6865">
        <w:rPr>
          <w:lang w:val="en-CA"/>
        </w:rPr>
        <w:t xml:space="preserve">material </w:t>
      </w:r>
      <w:r w:rsidR="00517DFE">
        <w:rPr>
          <w:lang w:val="en-CA"/>
        </w:rPr>
        <w:t xml:space="preserve">media </w:t>
      </w:r>
      <w:r w:rsidR="00623BDF">
        <w:rPr>
          <w:lang w:val="en-CA"/>
        </w:rPr>
        <w:t>(</w:t>
      </w:r>
      <w:r w:rsidR="003C5255">
        <w:rPr>
          <w:lang w:val="en-CA"/>
        </w:rPr>
        <w:t xml:space="preserve">e.g. </w:t>
      </w:r>
      <w:r w:rsidR="00D8775C">
        <w:rPr>
          <w:lang w:val="en-CA"/>
        </w:rPr>
        <w:t xml:space="preserve">journal articles, academic </w:t>
      </w:r>
      <w:r w:rsidR="00623BDF">
        <w:rPr>
          <w:lang w:val="en-CA"/>
        </w:rPr>
        <w:t xml:space="preserve">books, exhibits, movies, </w:t>
      </w:r>
      <w:r w:rsidR="00D8775C">
        <w:rPr>
          <w:lang w:val="en-CA"/>
        </w:rPr>
        <w:t xml:space="preserve">documentaries, </w:t>
      </w:r>
      <w:r w:rsidR="00623BDF">
        <w:rPr>
          <w:lang w:val="en-CA"/>
        </w:rPr>
        <w:t xml:space="preserve">advertisements, etc.) </w:t>
      </w:r>
      <w:r w:rsidR="00517DFE">
        <w:rPr>
          <w:lang w:val="en-CA"/>
        </w:rPr>
        <w:t>though which past is represented varies widely</w:t>
      </w:r>
      <w:r w:rsidR="000F4993">
        <w:rPr>
          <w:lang w:val="en-CA"/>
        </w:rPr>
        <w:t xml:space="preserve"> (Schultz and Hernes, 2013; Ravasi et al, forthcoming)</w:t>
      </w:r>
      <w:r w:rsidR="00517DFE">
        <w:rPr>
          <w:lang w:val="en-CA"/>
        </w:rPr>
        <w:t xml:space="preserve">, as do the physical spaces </w:t>
      </w:r>
      <w:r w:rsidR="003C5255">
        <w:rPr>
          <w:lang w:val="en-CA"/>
        </w:rPr>
        <w:t xml:space="preserve">(e.g. museums, libraries, theatres, websites) </w:t>
      </w:r>
      <w:r w:rsidR="00517DFE">
        <w:rPr>
          <w:lang w:val="en-CA"/>
        </w:rPr>
        <w:t xml:space="preserve">in </w:t>
      </w:r>
      <w:r w:rsidR="000F4993">
        <w:rPr>
          <w:lang w:val="en-CA"/>
        </w:rPr>
        <w:t xml:space="preserve">and through </w:t>
      </w:r>
      <w:r w:rsidR="00517DFE">
        <w:rPr>
          <w:lang w:val="en-CA"/>
        </w:rPr>
        <w:t>which these representations are made visible to actors</w:t>
      </w:r>
      <w:r w:rsidR="000F4993">
        <w:rPr>
          <w:lang w:val="en-CA"/>
        </w:rPr>
        <w:t xml:space="preserve"> (Decker, 2014; Giovannoni and Quattrone, 2017)</w:t>
      </w:r>
      <w:r w:rsidR="00517DFE">
        <w:rPr>
          <w:lang w:val="en-CA"/>
        </w:rPr>
        <w:t>. The display and curation of artifacts in museum</w:t>
      </w:r>
      <w:r w:rsidR="007135F4">
        <w:rPr>
          <w:lang w:val="en-CA"/>
        </w:rPr>
        <w:t>s</w:t>
      </w:r>
      <w:r w:rsidR="00623BDF">
        <w:rPr>
          <w:lang w:val="en-CA"/>
        </w:rPr>
        <w:t xml:space="preserve"> (Hooper-Greenhill, 1992</w:t>
      </w:r>
      <w:r w:rsidR="000F4993">
        <w:rPr>
          <w:lang w:val="en-CA"/>
        </w:rPr>
        <w:t>; Ravasi et al, forthcoming</w:t>
      </w:r>
      <w:r w:rsidR="00623BDF">
        <w:rPr>
          <w:lang w:val="en-CA"/>
        </w:rPr>
        <w:t>)</w:t>
      </w:r>
      <w:r w:rsidR="00517DFE">
        <w:rPr>
          <w:lang w:val="en-CA"/>
        </w:rPr>
        <w:t xml:space="preserve">, for instance, is a form of historical </w:t>
      </w:r>
      <w:r w:rsidR="00517DFE">
        <w:rPr>
          <w:lang w:val="en-CA"/>
        </w:rPr>
        <w:lastRenderedPageBreak/>
        <w:t xml:space="preserve">representation that differs markedly from the </w:t>
      </w:r>
      <w:r w:rsidR="00A35898">
        <w:rPr>
          <w:lang w:val="en-CA"/>
        </w:rPr>
        <w:t xml:space="preserve">incorporation of history into </w:t>
      </w:r>
      <w:r w:rsidR="00623BDF">
        <w:rPr>
          <w:lang w:val="en-CA"/>
        </w:rPr>
        <w:t>advertising and branding in corporate communications and marketing (</w:t>
      </w:r>
      <w:r w:rsidR="003C5255">
        <w:rPr>
          <w:lang w:val="en-CA"/>
        </w:rPr>
        <w:t>Holt, 2004)</w:t>
      </w:r>
      <w:r w:rsidR="00A35898">
        <w:rPr>
          <w:lang w:val="en-CA"/>
        </w:rPr>
        <w:t xml:space="preserve"> and from the publication of an academic book within a university setting</w:t>
      </w:r>
      <w:r w:rsidR="00623BDF">
        <w:rPr>
          <w:lang w:val="en-CA"/>
        </w:rPr>
        <w:t xml:space="preserve"> </w:t>
      </w:r>
      <w:r w:rsidR="00623BDF" w:rsidRPr="00751278">
        <w:rPr>
          <w:lang w:val="en-CA"/>
        </w:rPr>
        <w:t>(Igge</w:t>
      </w:r>
      <w:r w:rsidR="00884778">
        <w:rPr>
          <w:lang w:val="en-CA"/>
        </w:rPr>
        <w:t>rs, 1997</w:t>
      </w:r>
      <w:r w:rsidR="00623BDF" w:rsidRPr="00751278">
        <w:rPr>
          <w:lang w:val="en-CA"/>
        </w:rPr>
        <w:t>)</w:t>
      </w:r>
      <w:r w:rsidR="00A35898">
        <w:rPr>
          <w:lang w:val="en-CA"/>
        </w:rPr>
        <w:t>.</w:t>
      </w:r>
      <w:r w:rsidR="00517D42" w:rsidRPr="00517D42">
        <w:rPr>
          <w:lang w:val="en-CA"/>
        </w:rPr>
        <w:t xml:space="preserve"> </w:t>
      </w:r>
      <w:r w:rsidR="00517D42">
        <w:rPr>
          <w:lang w:val="en-CA"/>
        </w:rPr>
        <w:t>Organizational narratives also take a range of softer forms, embedded in information and communication systems, hierarchies, processes, and myriad</w:t>
      </w:r>
      <w:r w:rsidR="002B7583">
        <w:rPr>
          <w:lang w:val="en-CA"/>
        </w:rPr>
        <w:t>s</w:t>
      </w:r>
      <w:r w:rsidR="00517D42">
        <w:rPr>
          <w:lang w:val="en-CA"/>
        </w:rPr>
        <w:t xml:space="preserve"> </w:t>
      </w:r>
      <w:r w:rsidR="002B7583">
        <w:rPr>
          <w:lang w:val="en-CA"/>
        </w:rPr>
        <w:t xml:space="preserve">of </w:t>
      </w:r>
      <w:r w:rsidR="00517D42">
        <w:rPr>
          <w:lang w:val="en-CA"/>
        </w:rPr>
        <w:t xml:space="preserve">other non-textual and non-material forms. </w:t>
      </w:r>
      <w:r w:rsidR="00A35898">
        <w:rPr>
          <w:lang w:val="en-CA"/>
        </w:rPr>
        <w:t xml:space="preserve">These </w:t>
      </w:r>
      <w:r w:rsidR="007135F4">
        <w:rPr>
          <w:lang w:val="en-CA"/>
        </w:rPr>
        <w:t>material</w:t>
      </w:r>
      <w:r w:rsidR="00517D42">
        <w:rPr>
          <w:lang w:val="en-CA"/>
        </w:rPr>
        <w:t>,</w:t>
      </w:r>
      <w:r w:rsidR="007135F4">
        <w:rPr>
          <w:lang w:val="en-CA"/>
        </w:rPr>
        <w:t xml:space="preserve"> spatial</w:t>
      </w:r>
      <w:r w:rsidR="00517D42">
        <w:rPr>
          <w:lang w:val="en-CA"/>
        </w:rPr>
        <w:t>, and other</w:t>
      </w:r>
      <w:r w:rsidR="007135F4">
        <w:rPr>
          <w:lang w:val="en-CA"/>
        </w:rPr>
        <w:t xml:space="preserve"> </w:t>
      </w:r>
      <w:r w:rsidR="00A35898">
        <w:rPr>
          <w:lang w:val="en-CA"/>
        </w:rPr>
        <w:t xml:space="preserve">forms </w:t>
      </w:r>
      <w:r w:rsidR="001D1F58">
        <w:rPr>
          <w:lang w:val="en-CA"/>
        </w:rPr>
        <w:t>through which the past is made present</w:t>
      </w:r>
      <w:r w:rsidR="00D8775C">
        <w:rPr>
          <w:lang w:val="en-CA"/>
        </w:rPr>
        <w:t xml:space="preserve"> </w:t>
      </w:r>
      <w:r w:rsidR="00A35898">
        <w:rPr>
          <w:lang w:val="en-CA"/>
        </w:rPr>
        <w:t>in turn shape the practices through which history is produced and consumed with</w:t>
      </w:r>
      <w:r w:rsidR="002B7583">
        <w:rPr>
          <w:lang w:val="en-CA"/>
        </w:rPr>
        <w:t>in</w:t>
      </w:r>
      <w:r w:rsidR="00A35898">
        <w:rPr>
          <w:lang w:val="en-CA"/>
        </w:rPr>
        <w:t xml:space="preserve"> </w:t>
      </w:r>
      <w:r w:rsidR="00804477">
        <w:rPr>
          <w:lang w:val="en-CA"/>
        </w:rPr>
        <w:t>a</w:t>
      </w:r>
      <w:r w:rsidR="00A35898">
        <w:rPr>
          <w:lang w:val="en-CA"/>
        </w:rPr>
        <w:t xml:space="preserve"> field, as well as the kinds of </w:t>
      </w:r>
      <w:r w:rsidR="00D8775C">
        <w:rPr>
          <w:lang w:val="en-CA"/>
        </w:rPr>
        <w:t>“</w:t>
      </w:r>
      <w:r w:rsidR="00A35898">
        <w:rPr>
          <w:lang w:val="en-CA"/>
        </w:rPr>
        <w:t>knowledge</w:t>
      </w:r>
      <w:r w:rsidR="00D8775C">
        <w:rPr>
          <w:lang w:val="en-CA"/>
        </w:rPr>
        <w:t xml:space="preserve">” </w:t>
      </w:r>
      <w:r w:rsidR="00A35898">
        <w:rPr>
          <w:lang w:val="en-CA"/>
        </w:rPr>
        <w:t xml:space="preserve">that that history conveys. The practices that surround the production and consumption of an exhibit </w:t>
      </w:r>
      <w:r w:rsidR="00804477">
        <w:rPr>
          <w:lang w:val="en-CA"/>
        </w:rPr>
        <w:t xml:space="preserve">designed to </w:t>
      </w:r>
      <w:r w:rsidR="00A35898">
        <w:rPr>
          <w:lang w:val="en-CA"/>
        </w:rPr>
        <w:t xml:space="preserve">convey </w:t>
      </w:r>
      <w:r w:rsidR="00804477">
        <w:rPr>
          <w:lang w:val="en-CA"/>
        </w:rPr>
        <w:t xml:space="preserve">the authenticity of an </w:t>
      </w:r>
      <w:r w:rsidR="00A35898">
        <w:rPr>
          <w:lang w:val="en-CA"/>
        </w:rPr>
        <w:t>identity</w:t>
      </w:r>
      <w:r w:rsidR="003C5255">
        <w:rPr>
          <w:lang w:val="en-CA"/>
        </w:rPr>
        <w:t xml:space="preserve"> </w:t>
      </w:r>
      <w:r w:rsidR="003C5255" w:rsidRPr="00C879A2">
        <w:rPr>
          <w:lang w:val="en-CA"/>
        </w:rPr>
        <w:t>(Gilmore and P</w:t>
      </w:r>
      <w:r w:rsidR="00884778" w:rsidRPr="00C879A2">
        <w:rPr>
          <w:lang w:val="en-CA"/>
        </w:rPr>
        <w:t>i</w:t>
      </w:r>
      <w:r w:rsidR="00146895" w:rsidRPr="00C879A2">
        <w:rPr>
          <w:lang w:val="en-CA"/>
        </w:rPr>
        <w:t>ne, 2007;</w:t>
      </w:r>
      <w:r w:rsidR="00146895" w:rsidRPr="00C879A2">
        <w:rPr>
          <w:color w:val="333333"/>
          <w:spacing w:val="4"/>
          <w:shd w:val="clear" w:color="auto" w:fill="FCFCFC"/>
        </w:rPr>
        <w:t xml:space="preserve"> Evrard &amp; Krebs A., 2018</w:t>
      </w:r>
      <w:r w:rsidR="003C5255" w:rsidRPr="00C879A2">
        <w:rPr>
          <w:lang w:val="en-CA"/>
        </w:rPr>
        <w:t>)</w:t>
      </w:r>
      <w:r w:rsidR="00A35898" w:rsidRPr="00C879A2">
        <w:rPr>
          <w:lang w:val="en-CA"/>
        </w:rPr>
        <w:t>,</w:t>
      </w:r>
      <w:r w:rsidR="00A35898">
        <w:rPr>
          <w:lang w:val="en-CA"/>
        </w:rPr>
        <w:t xml:space="preserve"> </w:t>
      </w:r>
      <w:r w:rsidR="00812858">
        <w:rPr>
          <w:lang w:val="en-CA"/>
        </w:rPr>
        <w:t>differ</w:t>
      </w:r>
      <w:r w:rsidR="00D8775C">
        <w:rPr>
          <w:lang w:val="en-CA"/>
        </w:rPr>
        <w:t>s</w:t>
      </w:r>
      <w:r w:rsidR="00812858">
        <w:rPr>
          <w:lang w:val="en-CA"/>
        </w:rPr>
        <w:t xml:space="preserve"> from the</w:t>
      </w:r>
      <w:r w:rsidR="00A35898">
        <w:rPr>
          <w:lang w:val="en-CA"/>
        </w:rPr>
        <w:t xml:space="preserve"> practices related to the incorporation of history into entertainment designed to </w:t>
      </w:r>
      <w:r w:rsidR="00D8775C">
        <w:rPr>
          <w:lang w:val="en-CA"/>
        </w:rPr>
        <w:t>infuse</w:t>
      </w:r>
      <w:r w:rsidR="00A35898">
        <w:rPr>
          <w:lang w:val="en-CA"/>
        </w:rPr>
        <w:t xml:space="preserve"> a sense of realism </w:t>
      </w:r>
      <w:r w:rsidR="00D8775C">
        <w:rPr>
          <w:lang w:val="en-CA"/>
        </w:rPr>
        <w:t>into the production of</w:t>
      </w:r>
      <w:r w:rsidR="00A35898">
        <w:rPr>
          <w:lang w:val="en-CA"/>
        </w:rPr>
        <w:t xml:space="preserve"> amusement. Thus, explorations of how historical form shapes such social spaces </w:t>
      </w:r>
      <w:r w:rsidR="00804477">
        <w:rPr>
          <w:lang w:val="en-CA"/>
        </w:rPr>
        <w:t xml:space="preserve">and practices </w:t>
      </w:r>
      <w:r w:rsidR="00A35898">
        <w:rPr>
          <w:lang w:val="en-CA"/>
        </w:rPr>
        <w:t xml:space="preserve">in organizations </w:t>
      </w:r>
      <w:r w:rsidR="008D6865">
        <w:rPr>
          <w:lang w:val="en-CA"/>
        </w:rPr>
        <w:t xml:space="preserve">and organizing </w:t>
      </w:r>
      <w:r w:rsidR="00A35898">
        <w:rPr>
          <w:lang w:val="en-CA"/>
        </w:rPr>
        <w:t xml:space="preserve">remains a significant research opportunity that would </w:t>
      </w:r>
      <w:r w:rsidR="00804477">
        <w:rPr>
          <w:lang w:val="en-CA"/>
        </w:rPr>
        <w:t>expand</w:t>
      </w:r>
      <w:r w:rsidR="00A35898">
        <w:rPr>
          <w:lang w:val="en-CA"/>
        </w:rPr>
        <w:t xml:space="preserve"> the conversation about the uses of the past.</w:t>
      </w:r>
      <w:r w:rsidR="00AB0CA2">
        <w:rPr>
          <w:lang w:val="en-CA"/>
        </w:rPr>
        <w:t xml:space="preserve"> </w:t>
      </w:r>
    </w:p>
    <w:p w14:paraId="41A937F4" w14:textId="438238F6" w:rsidR="007E1A9B" w:rsidRDefault="007E1A9B" w:rsidP="00E146AB">
      <w:pPr>
        <w:spacing w:line="480" w:lineRule="auto"/>
        <w:jc w:val="both"/>
        <w:rPr>
          <w:lang w:val="en-CA"/>
        </w:rPr>
      </w:pPr>
    </w:p>
    <w:p w14:paraId="534F137F" w14:textId="46659E99" w:rsidR="007E1A9B" w:rsidRPr="007E1A9B" w:rsidRDefault="007E1A9B" w:rsidP="00E146AB">
      <w:pPr>
        <w:spacing w:line="480" w:lineRule="auto"/>
        <w:jc w:val="both"/>
        <w:rPr>
          <w:i/>
          <w:lang w:val="en-CA"/>
        </w:rPr>
      </w:pPr>
      <w:r>
        <w:rPr>
          <w:i/>
          <w:lang w:val="en-CA"/>
        </w:rPr>
        <w:t xml:space="preserve">Varieties of Historical </w:t>
      </w:r>
      <w:r w:rsidR="001811EF">
        <w:rPr>
          <w:i/>
          <w:lang w:val="en-CA"/>
        </w:rPr>
        <w:t>Knowing</w:t>
      </w:r>
    </w:p>
    <w:p w14:paraId="605EB2F7" w14:textId="41F515C9" w:rsidR="00E21341" w:rsidRDefault="0093006E" w:rsidP="00D10E74">
      <w:pPr>
        <w:spacing w:line="480" w:lineRule="auto"/>
        <w:jc w:val="both"/>
        <w:rPr>
          <w:lang w:val="en-CA"/>
        </w:rPr>
      </w:pPr>
      <w:r>
        <w:rPr>
          <w:lang w:val="en-CA"/>
        </w:rPr>
        <w:tab/>
        <w:t xml:space="preserve">Given that the recent work on the “uses of the past” in organizations has focused on the strategic value of history to managers, </w:t>
      </w:r>
      <w:r w:rsidR="00677886">
        <w:rPr>
          <w:lang w:val="en-CA"/>
        </w:rPr>
        <w:t>much</w:t>
      </w:r>
      <w:r>
        <w:rPr>
          <w:lang w:val="en-CA"/>
        </w:rPr>
        <w:t xml:space="preserve"> of the empirical work in the emerging field has </w:t>
      </w:r>
      <w:r w:rsidR="007B5B0D">
        <w:rPr>
          <w:lang w:val="en-CA"/>
        </w:rPr>
        <w:t>concentrated on</w:t>
      </w:r>
      <w:r>
        <w:rPr>
          <w:lang w:val="en-CA"/>
        </w:rPr>
        <w:t xml:space="preserve"> the rational or calculative </w:t>
      </w:r>
      <w:r w:rsidR="001811EF">
        <w:rPr>
          <w:lang w:val="en-CA"/>
        </w:rPr>
        <w:t>processes</w:t>
      </w:r>
      <w:r>
        <w:rPr>
          <w:lang w:val="en-CA"/>
        </w:rPr>
        <w:t xml:space="preserve"> to which the past </w:t>
      </w:r>
      <w:r w:rsidR="001811EF">
        <w:rPr>
          <w:lang w:val="en-CA"/>
        </w:rPr>
        <w:t>is</w:t>
      </w:r>
      <w:r>
        <w:rPr>
          <w:lang w:val="en-CA"/>
        </w:rPr>
        <w:t xml:space="preserve"> deployed</w:t>
      </w:r>
      <w:r w:rsidR="001811EF">
        <w:rPr>
          <w:lang w:val="en-CA"/>
        </w:rPr>
        <w:t xml:space="preserve"> in the present</w:t>
      </w:r>
      <w:r>
        <w:rPr>
          <w:lang w:val="en-CA"/>
        </w:rPr>
        <w:t xml:space="preserve">. Yet the “uses of </w:t>
      </w:r>
      <w:r w:rsidR="001811EF">
        <w:rPr>
          <w:lang w:val="en-CA"/>
        </w:rPr>
        <w:t>past</w:t>
      </w:r>
      <w:r>
        <w:rPr>
          <w:lang w:val="en-CA"/>
        </w:rPr>
        <w:t>” approach rests on the much broader assumption that humans are historical beings who</w:t>
      </w:r>
      <w:r w:rsidR="001811EF">
        <w:rPr>
          <w:lang w:val="en-CA"/>
        </w:rPr>
        <w:t xml:space="preserve"> experience the world through </w:t>
      </w:r>
      <w:r>
        <w:rPr>
          <w:lang w:val="en-CA"/>
        </w:rPr>
        <w:t>historical consciousness in ways that are not limited only to rational and reflective relationships with the past</w:t>
      </w:r>
      <w:r w:rsidR="007A0F83">
        <w:rPr>
          <w:lang w:val="en-CA"/>
        </w:rPr>
        <w:t xml:space="preserve"> (</w:t>
      </w:r>
      <w:r w:rsidR="00146895">
        <w:rPr>
          <w:lang w:val="en-CA"/>
        </w:rPr>
        <w:t>Carr, 1991</w:t>
      </w:r>
      <w:r w:rsidR="00101098">
        <w:rPr>
          <w:lang w:val="en-CA"/>
        </w:rPr>
        <w:t>)</w:t>
      </w:r>
      <w:r>
        <w:rPr>
          <w:lang w:val="en-CA"/>
        </w:rPr>
        <w:t xml:space="preserve">. A robust set of research opportunities </w:t>
      </w:r>
      <w:r w:rsidR="00E21341">
        <w:rPr>
          <w:lang w:val="en-CA"/>
        </w:rPr>
        <w:t>exist for scholars interested in non-rational and non-strategic ways in which history performs organizational work.</w:t>
      </w:r>
    </w:p>
    <w:p w14:paraId="318B8988" w14:textId="20421399" w:rsidR="0093006E" w:rsidRDefault="00E21341" w:rsidP="00B16D26">
      <w:pPr>
        <w:spacing w:line="480" w:lineRule="auto"/>
        <w:jc w:val="both"/>
        <w:rPr>
          <w:lang w:val="en-CA"/>
        </w:rPr>
      </w:pPr>
      <w:r>
        <w:rPr>
          <w:lang w:val="en-CA"/>
        </w:rPr>
        <w:lastRenderedPageBreak/>
        <w:tab/>
        <w:t>One domain for further exploration would be in craft-based industries and professions in which historical knowledge ma</w:t>
      </w:r>
      <w:r w:rsidR="00D93D8D">
        <w:rPr>
          <w:lang w:val="en-CA"/>
        </w:rPr>
        <w:t xml:space="preserve">y be embodied as much in skills, </w:t>
      </w:r>
      <w:r>
        <w:rPr>
          <w:lang w:val="en-CA"/>
        </w:rPr>
        <w:t>practices</w:t>
      </w:r>
      <w:r w:rsidR="00D93D8D">
        <w:rPr>
          <w:lang w:val="en-CA"/>
        </w:rPr>
        <w:t>, and aesthetic sensibilities</w:t>
      </w:r>
      <w:r>
        <w:rPr>
          <w:lang w:val="en-CA"/>
        </w:rPr>
        <w:t xml:space="preserve"> as in language. </w:t>
      </w:r>
      <w:r w:rsidR="00896B30">
        <w:rPr>
          <w:lang w:val="en-CA"/>
        </w:rPr>
        <w:t xml:space="preserve">Hatch and Schultz (2017:32), for instance, find that at Carlsburg the authenticity of the historical motto “semper ardens” rested in large part of the perception among actors that it was “true to craft.”  </w:t>
      </w:r>
      <w:r w:rsidR="00B16D26">
        <w:rPr>
          <w:lang w:val="en-CA"/>
        </w:rPr>
        <w:t>R</w:t>
      </w:r>
      <w:r w:rsidR="00D93D8D">
        <w:rPr>
          <w:lang w:val="en-CA"/>
        </w:rPr>
        <w:t xml:space="preserve">esearch in women’s (Ulrich, 2001) and labor history (Gutman, 1977) provide </w:t>
      </w:r>
      <w:r w:rsidR="00B16D26">
        <w:rPr>
          <w:lang w:val="en-CA"/>
        </w:rPr>
        <w:t xml:space="preserve">similarly </w:t>
      </w:r>
      <w:r w:rsidR="00D93D8D">
        <w:rPr>
          <w:lang w:val="en-CA"/>
        </w:rPr>
        <w:t xml:space="preserve">rich examples of the ways in which </w:t>
      </w:r>
      <w:r w:rsidR="00B16D26">
        <w:rPr>
          <w:lang w:val="en-CA"/>
        </w:rPr>
        <w:t>craft-based</w:t>
      </w:r>
      <w:r w:rsidR="00D93D8D">
        <w:rPr>
          <w:lang w:val="en-CA"/>
        </w:rPr>
        <w:t xml:space="preserve"> p</w:t>
      </w:r>
      <w:r w:rsidR="00A97AA4">
        <w:rPr>
          <w:lang w:val="en-CA"/>
        </w:rPr>
        <w:t>ractices and sensibilities formed</w:t>
      </w:r>
      <w:r w:rsidR="00D93D8D">
        <w:rPr>
          <w:lang w:val="en-CA"/>
        </w:rPr>
        <w:t xml:space="preserve"> </w:t>
      </w:r>
      <w:r w:rsidR="00B16D26">
        <w:rPr>
          <w:lang w:val="en-CA"/>
        </w:rPr>
        <w:t>mode by which</w:t>
      </w:r>
      <w:r w:rsidR="00D93D8D">
        <w:rPr>
          <w:lang w:val="en-CA"/>
        </w:rPr>
        <w:t xml:space="preserve"> actors engage</w:t>
      </w:r>
      <w:r w:rsidR="00A97AA4">
        <w:rPr>
          <w:lang w:val="en-CA"/>
        </w:rPr>
        <w:t>d</w:t>
      </w:r>
      <w:r w:rsidR="00D93D8D">
        <w:rPr>
          <w:lang w:val="en-CA"/>
        </w:rPr>
        <w:t xml:space="preserve"> with the past. </w:t>
      </w:r>
      <w:r>
        <w:rPr>
          <w:lang w:val="en-CA"/>
        </w:rPr>
        <w:t xml:space="preserve">History and tradition play important roles in such embodied knowledge, but the processes by which these are conveyed and </w:t>
      </w:r>
      <w:r w:rsidR="00D93D8D">
        <w:rPr>
          <w:lang w:val="en-CA"/>
        </w:rPr>
        <w:t xml:space="preserve">the </w:t>
      </w:r>
      <w:r>
        <w:rPr>
          <w:lang w:val="en-CA"/>
        </w:rPr>
        <w:t xml:space="preserve">organizational implications for the continuity and coherence of </w:t>
      </w:r>
      <w:r w:rsidR="00D93D8D">
        <w:rPr>
          <w:lang w:val="en-CA"/>
        </w:rPr>
        <w:t>a practice or</w:t>
      </w:r>
      <w:r>
        <w:rPr>
          <w:lang w:val="en-CA"/>
        </w:rPr>
        <w:t xml:space="preserve"> profession may be very different than in cases where historical identity is </w:t>
      </w:r>
      <w:r w:rsidR="007B5B0D">
        <w:rPr>
          <w:lang w:val="en-CA"/>
        </w:rPr>
        <w:t>represented</w:t>
      </w:r>
      <w:r>
        <w:rPr>
          <w:lang w:val="en-CA"/>
        </w:rPr>
        <w:t xml:space="preserve"> in more well-defined narratives. </w:t>
      </w:r>
    </w:p>
    <w:p w14:paraId="3FAC0774" w14:textId="47A96DD6" w:rsidR="00E21341" w:rsidRDefault="00E21341" w:rsidP="00D10E74">
      <w:pPr>
        <w:spacing w:line="480" w:lineRule="auto"/>
        <w:jc w:val="both"/>
        <w:rPr>
          <w:lang w:val="en-CA"/>
        </w:rPr>
      </w:pPr>
      <w:r>
        <w:rPr>
          <w:lang w:val="en-CA"/>
        </w:rPr>
        <w:tab/>
        <w:t xml:space="preserve">Likewise, </w:t>
      </w:r>
      <w:r w:rsidR="00B16D26">
        <w:rPr>
          <w:lang w:val="en-CA"/>
        </w:rPr>
        <w:t>recent research (Howard-Grenville et al, 2014; Ravasi et al, forthcoming) indicates the potential for exploring the</w:t>
      </w:r>
      <w:r>
        <w:rPr>
          <w:lang w:val="en-CA"/>
        </w:rPr>
        <w:t xml:space="preserve"> role of </w:t>
      </w:r>
      <w:r w:rsidR="003922DC">
        <w:rPr>
          <w:lang w:val="en-CA"/>
        </w:rPr>
        <w:t xml:space="preserve">emotions in </w:t>
      </w:r>
      <w:r w:rsidR="00A97AA4">
        <w:rPr>
          <w:lang w:val="en-CA"/>
        </w:rPr>
        <w:t>the “</w:t>
      </w:r>
      <w:r>
        <w:rPr>
          <w:lang w:val="en-CA"/>
        </w:rPr>
        <w:t xml:space="preserve">history </w:t>
      </w:r>
      <w:r w:rsidR="003922DC">
        <w:rPr>
          <w:lang w:val="en-CA"/>
        </w:rPr>
        <w:t>work</w:t>
      </w:r>
      <w:r w:rsidR="00A97AA4">
        <w:rPr>
          <w:lang w:val="en-CA"/>
        </w:rPr>
        <w:t>”</w:t>
      </w:r>
      <w:r w:rsidR="003922DC">
        <w:rPr>
          <w:lang w:val="en-CA"/>
        </w:rPr>
        <w:t xml:space="preserve"> performed by</w:t>
      </w:r>
      <w:r>
        <w:rPr>
          <w:lang w:val="en-CA"/>
        </w:rPr>
        <w:t xml:space="preserve"> organizations</w:t>
      </w:r>
      <w:r w:rsidR="003922DC">
        <w:rPr>
          <w:lang w:val="en-CA"/>
        </w:rPr>
        <w:t xml:space="preserve"> – or to the </w:t>
      </w:r>
      <w:r w:rsidR="00A97AA4">
        <w:rPr>
          <w:lang w:val="en-CA"/>
        </w:rPr>
        <w:t>“</w:t>
      </w:r>
      <w:r w:rsidR="003922DC">
        <w:rPr>
          <w:lang w:val="en-CA"/>
        </w:rPr>
        <w:t>emotion</w:t>
      </w:r>
      <w:r w:rsidR="00A97AA4">
        <w:rPr>
          <w:lang w:val="en-CA"/>
        </w:rPr>
        <w:t>al</w:t>
      </w:r>
      <w:r w:rsidR="003922DC">
        <w:rPr>
          <w:lang w:val="en-CA"/>
        </w:rPr>
        <w:t xml:space="preserve"> work</w:t>
      </w:r>
      <w:r w:rsidR="00A97AA4">
        <w:rPr>
          <w:lang w:val="en-CA"/>
        </w:rPr>
        <w:t>”</w:t>
      </w:r>
      <w:r w:rsidR="003922DC">
        <w:rPr>
          <w:lang w:val="en-CA"/>
        </w:rPr>
        <w:t xml:space="preserve"> history performs</w:t>
      </w:r>
      <w:r>
        <w:rPr>
          <w:lang w:val="en-CA"/>
        </w:rPr>
        <w:t xml:space="preserve">. </w:t>
      </w:r>
      <w:r w:rsidR="003922DC">
        <w:rPr>
          <w:lang w:val="en-CA"/>
        </w:rPr>
        <w:t>A handful of business historians have begun to bring emotions into their work (</w:t>
      </w:r>
      <w:r w:rsidR="008A52E0">
        <w:rPr>
          <w:lang w:val="en-CA"/>
        </w:rPr>
        <w:t xml:space="preserve">Holt and </w:t>
      </w:r>
      <w:r w:rsidR="003922DC">
        <w:rPr>
          <w:lang w:val="en-CA"/>
        </w:rPr>
        <w:t>Popp, 2013)</w:t>
      </w:r>
      <w:r w:rsidR="00C97463">
        <w:rPr>
          <w:lang w:val="en-CA"/>
        </w:rPr>
        <w:t>, reflecting the growth of the broader scholarly interest in the history of emotions (</w:t>
      </w:r>
      <w:r w:rsidR="00C97463" w:rsidRPr="00C879A2">
        <w:rPr>
          <w:lang w:val="en-CA"/>
        </w:rPr>
        <w:t>Reddy, 2001; Plamper, 2010),</w:t>
      </w:r>
      <w:r w:rsidR="00C97463">
        <w:rPr>
          <w:lang w:val="en-CA"/>
        </w:rPr>
        <w:t xml:space="preserve"> </w:t>
      </w:r>
      <w:r w:rsidR="003922DC">
        <w:rPr>
          <w:lang w:val="en-CA"/>
        </w:rPr>
        <w:t xml:space="preserve">but this work has typically examined the past of emotional experiences </w:t>
      </w:r>
      <w:r w:rsidR="00A97AA4">
        <w:rPr>
          <w:lang w:val="en-CA"/>
        </w:rPr>
        <w:t>rather tha</w:t>
      </w:r>
      <w:r w:rsidR="003922DC">
        <w:rPr>
          <w:lang w:val="en-CA"/>
        </w:rPr>
        <w:t xml:space="preserve">n how emotions might be recruited or evoked when organizations use history. One </w:t>
      </w:r>
      <w:r>
        <w:rPr>
          <w:lang w:val="en-CA"/>
        </w:rPr>
        <w:t xml:space="preserve">notable exception has been research on nostalgia </w:t>
      </w:r>
      <w:r w:rsidR="002B7583">
        <w:rPr>
          <w:lang w:val="en-CA"/>
        </w:rPr>
        <w:t>when</w:t>
      </w:r>
      <w:r>
        <w:rPr>
          <w:lang w:val="en-CA"/>
        </w:rPr>
        <w:t xml:space="preserve"> an organizational community engages with the past in ways that shape </w:t>
      </w:r>
      <w:r w:rsidR="00441936">
        <w:rPr>
          <w:lang w:val="en-CA"/>
        </w:rPr>
        <w:t>experience and action in the present</w:t>
      </w:r>
      <w:r w:rsidR="00DF5693">
        <w:rPr>
          <w:lang w:val="en-CA"/>
        </w:rPr>
        <w:t xml:space="preserve"> (</w:t>
      </w:r>
      <w:r w:rsidR="00C97463">
        <w:rPr>
          <w:lang w:val="en-CA"/>
        </w:rPr>
        <w:t>Howard-Grenville et al, 2013</w:t>
      </w:r>
      <w:r w:rsidR="00DF5693">
        <w:rPr>
          <w:lang w:val="en-CA"/>
        </w:rPr>
        <w:t>)</w:t>
      </w:r>
      <w:r w:rsidR="00441936">
        <w:rPr>
          <w:lang w:val="en-CA"/>
        </w:rPr>
        <w:t>.</w:t>
      </w:r>
      <w:r w:rsidR="003922DC">
        <w:rPr>
          <w:lang w:val="en-CA"/>
        </w:rPr>
        <w:t xml:space="preserve"> </w:t>
      </w:r>
      <w:proofErr w:type="gramStart"/>
      <w:r w:rsidR="003922DC">
        <w:rPr>
          <w:lang w:val="en-CA"/>
        </w:rPr>
        <w:t>Likewise</w:t>
      </w:r>
      <w:proofErr w:type="gramEnd"/>
      <w:r w:rsidR="003922DC">
        <w:rPr>
          <w:lang w:val="en-CA"/>
        </w:rPr>
        <w:t xml:space="preserve"> Popp (2018) has examined some of the emotions</w:t>
      </w:r>
      <w:r w:rsidR="0029556E">
        <w:rPr>
          <w:lang w:val="en-CA"/>
        </w:rPr>
        <w:t>, most</w:t>
      </w:r>
      <w:r w:rsidR="003922DC">
        <w:rPr>
          <w:lang w:val="en-CA"/>
        </w:rPr>
        <w:t xml:space="preserve"> </w:t>
      </w:r>
      <w:r w:rsidR="0029556E">
        <w:rPr>
          <w:lang w:val="en-CA"/>
        </w:rPr>
        <w:t xml:space="preserve">notably nostalgia, </w:t>
      </w:r>
      <w:r w:rsidR="003922DC">
        <w:rPr>
          <w:lang w:val="en-CA"/>
        </w:rPr>
        <w:t>contained in and provoked by sites of industrial heritage</w:t>
      </w:r>
      <w:r w:rsidR="0029556E">
        <w:rPr>
          <w:lang w:val="en-CA"/>
        </w:rPr>
        <w:t xml:space="preserve"> (themselves an important form of organizational narrative</w:t>
      </w:r>
      <w:r w:rsidR="008A52E0">
        <w:rPr>
          <w:lang w:val="en-CA"/>
        </w:rPr>
        <w:t xml:space="preserve"> or representation</w:t>
      </w:r>
      <w:r w:rsidR="0029556E">
        <w:rPr>
          <w:lang w:val="en-CA"/>
        </w:rPr>
        <w:t>)</w:t>
      </w:r>
      <w:r w:rsidR="003922DC">
        <w:rPr>
          <w:lang w:val="en-CA"/>
        </w:rPr>
        <w:t>.</w:t>
      </w:r>
      <w:r w:rsidR="00441936">
        <w:rPr>
          <w:lang w:val="en-CA"/>
        </w:rPr>
        <w:t xml:space="preserve"> But nostalgia remains only one of a range of ways in which historical </w:t>
      </w:r>
      <w:r w:rsidR="00A97AA4">
        <w:rPr>
          <w:lang w:val="en-CA"/>
        </w:rPr>
        <w:t>representations</w:t>
      </w:r>
      <w:r w:rsidR="00441936">
        <w:rPr>
          <w:lang w:val="en-CA"/>
        </w:rPr>
        <w:t xml:space="preserve"> work to perform emotions in organizations, especially in certain firms such as family businesses.</w:t>
      </w:r>
    </w:p>
    <w:p w14:paraId="03F6E6C9" w14:textId="77777777" w:rsidR="003922DC" w:rsidRDefault="003922DC" w:rsidP="00D10E74">
      <w:pPr>
        <w:spacing w:line="480" w:lineRule="auto"/>
        <w:jc w:val="both"/>
        <w:rPr>
          <w:lang w:val="en-CA"/>
        </w:rPr>
      </w:pPr>
    </w:p>
    <w:p w14:paraId="765DB534" w14:textId="065A0309" w:rsidR="00743DF8" w:rsidRPr="002F4F17" w:rsidRDefault="002F4F17" w:rsidP="00D10E74">
      <w:pPr>
        <w:spacing w:line="480" w:lineRule="auto"/>
        <w:jc w:val="both"/>
        <w:rPr>
          <w:i/>
          <w:lang w:val="en-CA"/>
        </w:rPr>
      </w:pPr>
      <w:r>
        <w:rPr>
          <w:i/>
          <w:lang w:val="en-CA"/>
        </w:rPr>
        <w:t>A Broader Range of Methods</w:t>
      </w:r>
    </w:p>
    <w:p w14:paraId="7C927F59" w14:textId="70B922EB" w:rsidR="00CC41D9" w:rsidRDefault="00DF5693" w:rsidP="008C78BB">
      <w:pPr>
        <w:spacing w:line="480" w:lineRule="auto"/>
        <w:jc w:val="both"/>
        <w:rPr>
          <w:lang w:val="en-CA"/>
        </w:rPr>
      </w:pPr>
      <w:r>
        <w:rPr>
          <w:lang w:val="en-CA"/>
        </w:rPr>
        <w:tab/>
      </w:r>
      <w:r w:rsidR="002F4F17">
        <w:rPr>
          <w:lang w:val="en-CA"/>
        </w:rPr>
        <w:t xml:space="preserve">Much of the empirical research on the uses of the past </w:t>
      </w:r>
      <w:r w:rsidR="0081078D">
        <w:rPr>
          <w:lang w:val="en-CA"/>
        </w:rPr>
        <w:t xml:space="preserve">in leading management journals (Anteby and Molnar, 2013; Hatch and Schultz, 2017, Ravasi et al, forthcoming) </w:t>
      </w:r>
      <w:r w:rsidR="002F4F17">
        <w:rPr>
          <w:lang w:val="en-CA"/>
        </w:rPr>
        <w:t xml:space="preserve">has employed </w:t>
      </w:r>
      <w:r w:rsidR="000B6359">
        <w:rPr>
          <w:lang w:val="en-CA"/>
        </w:rPr>
        <w:t xml:space="preserve">widely accepted </w:t>
      </w:r>
      <w:r w:rsidR="002F4F17">
        <w:rPr>
          <w:lang w:val="en-CA"/>
        </w:rPr>
        <w:t xml:space="preserve">qualitative </w:t>
      </w:r>
      <w:r w:rsidR="000B6359">
        <w:rPr>
          <w:lang w:val="en-CA"/>
        </w:rPr>
        <w:t>and process-</w:t>
      </w:r>
      <w:r w:rsidR="00551984">
        <w:rPr>
          <w:lang w:val="en-CA"/>
        </w:rPr>
        <w:t>oriented</w:t>
      </w:r>
      <w:r w:rsidR="000B6359">
        <w:rPr>
          <w:lang w:val="en-CA"/>
        </w:rPr>
        <w:t xml:space="preserve"> </w:t>
      </w:r>
      <w:r w:rsidR="002F4F17">
        <w:rPr>
          <w:lang w:val="en-CA"/>
        </w:rPr>
        <w:t xml:space="preserve">methods in organization studies, </w:t>
      </w:r>
      <w:r w:rsidR="000B6359">
        <w:rPr>
          <w:lang w:val="en-CA"/>
        </w:rPr>
        <w:t xml:space="preserve">which </w:t>
      </w:r>
      <w:r w:rsidR="00551984">
        <w:rPr>
          <w:lang w:val="en-CA"/>
        </w:rPr>
        <w:t>use</w:t>
      </w:r>
      <w:r w:rsidR="000B6359">
        <w:rPr>
          <w:lang w:val="en-CA"/>
        </w:rPr>
        <w:t xml:space="preserve"> procedures for codifying</w:t>
      </w:r>
      <w:r w:rsidR="002F4F17">
        <w:rPr>
          <w:lang w:val="en-CA"/>
        </w:rPr>
        <w:t xml:space="preserve"> the processes by which particular representations of the past are generated and performed</w:t>
      </w:r>
      <w:r w:rsidR="001D16EC">
        <w:rPr>
          <w:lang w:val="en-CA"/>
        </w:rPr>
        <w:t xml:space="preserve"> (e.g. Glaser and Strauss, 1967; Langley, 1999</w:t>
      </w:r>
      <w:r w:rsidR="000B6359">
        <w:rPr>
          <w:lang w:val="en-CA"/>
        </w:rPr>
        <w:t>)</w:t>
      </w:r>
      <w:r w:rsidR="002F4F17">
        <w:rPr>
          <w:lang w:val="en-CA"/>
        </w:rPr>
        <w:t xml:space="preserve">. These methods are excellent for examining </w:t>
      </w:r>
      <w:r w:rsidR="000B6359">
        <w:rPr>
          <w:lang w:val="en-CA"/>
        </w:rPr>
        <w:t xml:space="preserve">and formalizing </w:t>
      </w:r>
      <w:r w:rsidR="002F4F17">
        <w:rPr>
          <w:lang w:val="en-CA"/>
        </w:rPr>
        <w:t xml:space="preserve">the processes and actions managers and organizations may take </w:t>
      </w:r>
      <w:r w:rsidR="000B6359">
        <w:rPr>
          <w:lang w:val="en-CA"/>
        </w:rPr>
        <w:t>to generate</w:t>
      </w:r>
      <w:r w:rsidR="002F4F17">
        <w:rPr>
          <w:lang w:val="en-CA"/>
        </w:rPr>
        <w:t xml:space="preserve"> particular historical knowledge claims</w:t>
      </w:r>
      <w:r w:rsidR="0081078D">
        <w:rPr>
          <w:lang w:val="en-CA"/>
        </w:rPr>
        <w:t xml:space="preserve">, and should continue to form one set of </w:t>
      </w:r>
      <w:r w:rsidR="008C78BB">
        <w:rPr>
          <w:lang w:val="en-CA"/>
        </w:rPr>
        <w:t>techniques</w:t>
      </w:r>
      <w:r w:rsidR="0081078D">
        <w:rPr>
          <w:lang w:val="en-CA"/>
        </w:rPr>
        <w:t xml:space="preserve"> for studying the uses of the past in organizations and organizing. However, particularly novel insights may also be found by employing a range of other methods</w:t>
      </w:r>
      <w:r w:rsidR="008C78BB">
        <w:rPr>
          <w:lang w:val="en-CA"/>
        </w:rPr>
        <w:t xml:space="preserve">, </w:t>
      </w:r>
      <w:r w:rsidR="0081078D">
        <w:rPr>
          <w:lang w:val="en-CA"/>
        </w:rPr>
        <w:t>most notably historical methods and experimental</w:t>
      </w:r>
      <w:r w:rsidR="008C78BB">
        <w:rPr>
          <w:lang w:val="en-CA"/>
        </w:rPr>
        <w:t xml:space="preserve"> techniques</w:t>
      </w:r>
      <w:r w:rsidR="0081078D">
        <w:rPr>
          <w:lang w:val="en-CA"/>
        </w:rPr>
        <w:t xml:space="preserve">. </w:t>
      </w:r>
    </w:p>
    <w:p w14:paraId="487D3B35" w14:textId="2D5B535C" w:rsidR="00D941EC" w:rsidRDefault="00CC41D9" w:rsidP="00A520DD">
      <w:pPr>
        <w:spacing w:line="480" w:lineRule="auto"/>
        <w:jc w:val="both"/>
        <w:rPr>
          <w:lang w:val="en-CA"/>
        </w:rPr>
      </w:pPr>
      <w:r>
        <w:rPr>
          <w:lang w:val="en-CA"/>
        </w:rPr>
        <w:tab/>
      </w:r>
      <w:r w:rsidR="001903A6">
        <w:rPr>
          <w:lang w:val="en-CA"/>
        </w:rPr>
        <w:t xml:space="preserve">One promising opportunity lies in </w:t>
      </w:r>
      <w:r w:rsidR="008C78BB">
        <w:rPr>
          <w:lang w:val="en-CA"/>
        </w:rPr>
        <w:t xml:space="preserve">more expansively </w:t>
      </w:r>
      <w:r w:rsidR="00AC41C0">
        <w:rPr>
          <w:lang w:val="en-CA"/>
        </w:rPr>
        <w:t>using</w:t>
      </w:r>
      <w:r w:rsidR="001903A6">
        <w:rPr>
          <w:lang w:val="en-CA"/>
        </w:rPr>
        <w:t xml:space="preserve"> historical research methods </w:t>
      </w:r>
      <w:r w:rsidR="008C78BB">
        <w:rPr>
          <w:lang w:val="en-CA"/>
        </w:rPr>
        <w:t xml:space="preserve">in studying the uses of the past in organizations </w:t>
      </w:r>
      <w:r w:rsidR="00130821">
        <w:rPr>
          <w:lang w:val="en-CA"/>
        </w:rPr>
        <w:t>(e.g. Rowlinson and Hassard</w:t>
      </w:r>
      <w:r w:rsidR="00551984">
        <w:rPr>
          <w:lang w:val="en-CA"/>
        </w:rPr>
        <w:t>, 1993</w:t>
      </w:r>
      <w:r w:rsidR="00130821">
        <w:rPr>
          <w:lang w:val="en-CA"/>
        </w:rPr>
        <w:t xml:space="preserve">; </w:t>
      </w:r>
      <w:r w:rsidR="00AC41C0">
        <w:rPr>
          <w:lang w:val="en-CA"/>
        </w:rPr>
        <w:t>Hansen</w:t>
      </w:r>
      <w:r w:rsidR="00551984">
        <w:rPr>
          <w:lang w:val="en-CA"/>
        </w:rPr>
        <w:t>, 2012b</w:t>
      </w:r>
      <w:r w:rsidR="00AC41C0">
        <w:rPr>
          <w:lang w:val="en-CA"/>
        </w:rPr>
        <w:t>; Lubinski</w:t>
      </w:r>
      <w:r w:rsidR="00551984">
        <w:rPr>
          <w:lang w:val="en-CA"/>
        </w:rPr>
        <w:t xml:space="preserve">, </w:t>
      </w:r>
      <w:r w:rsidR="008C78BB">
        <w:rPr>
          <w:lang w:val="en-CA"/>
        </w:rPr>
        <w:t>this issue</w:t>
      </w:r>
      <w:r w:rsidR="00AC41C0">
        <w:rPr>
          <w:lang w:val="en-CA"/>
        </w:rPr>
        <w:t>)</w:t>
      </w:r>
      <w:r w:rsidR="001903A6">
        <w:rPr>
          <w:lang w:val="en-CA"/>
        </w:rPr>
        <w:t>. Historical methods</w:t>
      </w:r>
      <w:r w:rsidR="00A520DD">
        <w:rPr>
          <w:lang w:val="en-CA"/>
        </w:rPr>
        <w:t xml:space="preserve"> involve abductive reasoning using a retrospective point of view, a vantage point that allows </w:t>
      </w:r>
      <w:r w:rsidR="0046415C">
        <w:rPr>
          <w:lang w:val="en-CA"/>
        </w:rPr>
        <w:t>the researcher to interpret</w:t>
      </w:r>
      <w:r w:rsidR="00A520DD">
        <w:rPr>
          <w:lang w:val="en-CA"/>
        </w:rPr>
        <w:t xml:space="preserve"> actions or events based on their consequences as well as their causes (Wadhwani and Decker, 2018). The use of historical perspective allows scholars to generate </w:t>
      </w:r>
      <w:r w:rsidR="001903A6">
        <w:rPr>
          <w:lang w:val="en-CA"/>
        </w:rPr>
        <w:t xml:space="preserve">robust contextualization of organizational action and rhetoric because it </w:t>
      </w:r>
      <w:r w:rsidR="00551984">
        <w:rPr>
          <w:lang w:val="en-CA"/>
        </w:rPr>
        <w:t xml:space="preserve">typically </w:t>
      </w:r>
      <w:proofErr w:type="gramStart"/>
      <w:r w:rsidR="001903A6">
        <w:rPr>
          <w:lang w:val="en-CA"/>
        </w:rPr>
        <w:t>takes into account</w:t>
      </w:r>
      <w:proofErr w:type="gramEnd"/>
      <w:r w:rsidR="001903A6">
        <w:rPr>
          <w:lang w:val="en-CA"/>
        </w:rPr>
        <w:t xml:space="preserve"> both longer spans of time and broader set</w:t>
      </w:r>
      <w:r w:rsidR="00551984">
        <w:rPr>
          <w:lang w:val="en-CA"/>
        </w:rPr>
        <w:t>s</w:t>
      </w:r>
      <w:r w:rsidR="001903A6">
        <w:rPr>
          <w:lang w:val="en-CA"/>
        </w:rPr>
        <w:t xml:space="preserve"> of actors and developments beyond the organization</w:t>
      </w:r>
      <w:r w:rsidR="00551984">
        <w:rPr>
          <w:lang w:val="en-CA"/>
        </w:rPr>
        <w:t xml:space="preserve"> in interpreting a particular action</w:t>
      </w:r>
      <w:r w:rsidR="00AC41C0">
        <w:rPr>
          <w:lang w:val="en-CA"/>
        </w:rPr>
        <w:t xml:space="preserve"> </w:t>
      </w:r>
      <w:r w:rsidR="00A520DD">
        <w:rPr>
          <w:lang w:val="en-CA"/>
        </w:rPr>
        <w:t>(e.g. Hargadon and Douglas</w:t>
      </w:r>
      <w:r w:rsidR="0046415C">
        <w:rPr>
          <w:lang w:val="en-CA"/>
        </w:rPr>
        <w:t>, 2001)</w:t>
      </w:r>
      <w:r w:rsidR="00A520DD">
        <w:rPr>
          <w:lang w:val="en-CA"/>
        </w:rPr>
        <w:t xml:space="preserve">, including </w:t>
      </w:r>
      <w:r w:rsidR="0046415C">
        <w:rPr>
          <w:lang w:val="en-CA"/>
        </w:rPr>
        <w:t>with the aim of analyzing</w:t>
      </w:r>
      <w:r w:rsidR="00A520DD">
        <w:rPr>
          <w:lang w:val="en-CA"/>
        </w:rPr>
        <w:t xml:space="preserve"> complex social processes </w:t>
      </w:r>
      <w:r w:rsidR="00A520DD" w:rsidRPr="00C879A2">
        <w:rPr>
          <w:lang w:val="en-CA"/>
        </w:rPr>
        <w:t>(Maclean et al</w:t>
      </w:r>
      <w:r w:rsidR="002B7583" w:rsidRPr="00C879A2">
        <w:rPr>
          <w:lang w:val="en-CA"/>
        </w:rPr>
        <w:t>.</w:t>
      </w:r>
      <w:r w:rsidR="00A520DD" w:rsidRPr="00C879A2">
        <w:rPr>
          <w:lang w:val="en-CA"/>
        </w:rPr>
        <w:t>, 201</w:t>
      </w:r>
      <w:r w:rsidR="00C879A2" w:rsidRPr="00C879A2">
        <w:rPr>
          <w:lang w:val="en-CA"/>
        </w:rPr>
        <w:t>4</w:t>
      </w:r>
      <w:r w:rsidR="00A520DD" w:rsidRPr="00C879A2">
        <w:rPr>
          <w:lang w:val="en-CA"/>
        </w:rPr>
        <w:t>)</w:t>
      </w:r>
      <w:r w:rsidR="001903A6" w:rsidRPr="00C879A2">
        <w:rPr>
          <w:lang w:val="en-CA"/>
        </w:rPr>
        <w:t>.</w:t>
      </w:r>
      <w:r w:rsidR="001903A6">
        <w:rPr>
          <w:lang w:val="en-CA"/>
        </w:rPr>
        <w:t xml:space="preserve"> </w:t>
      </w:r>
      <w:r w:rsidR="00551984">
        <w:rPr>
          <w:lang w:val="en-CA"/>
        </w:rPr>
        <w:t>For</w:t>
      </w:r>
      <w:r w:rsidR="00895641">
        <w:rPr>
          <w:lang w:val="en-CA"/>
        </w:rPr>
        <w:t xml:space="preserve"> instance, </w:t>
      </w:r>
      <w:r w:rsidR="00551984">
        <w:rPr>
          <w:lang w:val="en-CA"/>
        </w:rPr>
        <w:t xml:space="preserve">historical perspective allows </w:t>
      </w:r>
      <w:r w:rsidR="0046415C">
        <w:rPr>
          <w:lang w:val="en-CA"/>
        </w:rPr>
        <w:t>the researcher to trace</w:t>
      </w:r>
      <w:r w:rsidR="00895641">
        <w:rPr>
          <w:lang w:val="en-CA"/>
        </w:rPr>
        <w:t xml:space="preserve"> the reception of historical claims among multiple audiences, and </w:t>
      </w:r>
      <w:r w:rsidR="0046415C">
        <w:rPr>
          <w:lang w:val="en-CA"/>
        </w:rPr>
        <w:t xml:space="preserve">to </w:t>
      </w:r>
      <w:proofErr w:type="gramStart"/>
      <w:r w:rsidR="0046415C">
        <w:rPr>
          <w:lang w:val="en-CA"/>
        </w:rPr>
        <w:t>take into account</w:t>
      </w:r>
      <w:proofErr w:type="gramEnd"/>
      <w:r w:rsidR="0046415C">
        <w:rPr>
          <w:lang w:val="en-CA"/>
        </w:rPr>
        <w:t xml:space="preserve"> </w:t>
      </w:r>
      <w:r w:rsidR="00551984">
        <w:rPr>
          <w:lang w:val="en-CA"/>
        </w:rPr>
        <w:t xml:space="preserve">evolving </w:t>
      </w:r>
      <w:r w:rsidR="00895641">
        <w:rPr>
          <w:lang w:val="en-CA"/>
        </w:rPr>
        <w:t xml:space="preserve">responses and contestations </w:t>
      </w:r>
      <w:r w:rsidR="00895641">
        <w:rPr>
          <w:lang w:val="en-CA"/>
        </w:rPr>
        <w:lastRenderedPageBreak/>
        <w:t xml:space="preserve">over </w:t>
      </w:r>
      <w:r w:rsidR="00551984">
        <w:rPr>
          <w:lang w:val="en-CA"/>
        </w:rPr>
        <w:t>a particular</w:t>
      </w:r>
      <w:r w:rsidR="0046415C">
        <w:rPr>
          <w:lang w:val="en-CA"/>
        </w:rPr>
        <w:t xml:space="preserve"> </w:t>
      </w:r>
      <w:r w:rsidR="00C35F65">
        <w:rPr>
          <w:lang w:val="en-CA"/>
        </w:rPr>
        <w:t>use of the past (Mordhorst, 2014</w:t>
      </w:r>
      <w:r w:rsidR="0046415C">
        <w:rPr>
          <w:lang w:val="en-CA"/>
        </w:rPr>
        <w:t>)</w:t>
      </w:r>
      <w:r w:rsidR="00895641">
        <w:rPr>
          <w:lang w:val="en-CA"/>
        </w:rPr>
        <w:t xml:space="preserve">. </w:t>
      </w:r>
      <w:r w:rsidR="008C78BB">
        <w:rPr>
          <w:lang w:val="en-CA"/>
        </w:rPr>
        <w:t xml:space="preserve">It also allows researchers to account for surprise and irony in the use of history – crucial factors that can confound the intentional use of history in organizations. </w:t>
      </w:r>
      <w:r w:rsidR="00551984">
        <w:rPr>
          <w:lang w:val="en-CA"/>
        </w:rPr>
        <w:t>Some</w:t>
      </w:r>
      <w:r w:rsidR="0046415C">
        <w:rPr>
          <w:lang w:val="en-CA"/>
        </w:rPr>
        <w:t xml:space="preserve"> varieties of historical methods – such as microhistory and ethnographic history – hold particular promise in analyzing the socially-embedded dynamics involved in the uses of the past over time</w:t>
      </w:r>
      <w:r w:rsidR="00551984">
        <w:rPr>
          <w:lang w:val="en-CA"/>
        </w:rPr>
        <w:t xml:space="preserve"> (Rowlinson et al, 2014)</w:t>
      </w:r>
      <w:r w:rsidR="0046415C">
        <w:rPr>
          <w:lang w:val="en-CA"/>
        </w:rPr>
        <w:t xml:space="preserve">. </w:t>
      </w:r>
      <w:r w:rsidR="00551984">
        <w:rPr>
          <w:lang w:val="en-CA"/>
        </w:rPr>
        <w:t>The</w:t>
      </w:r>
      <w:r w:rsidR="000177E2">
        <w:rPr>
          <w:lang w:val="en-CA"/>
        </w:rPr>
        <w:t xml:space="preserve"> abductive character </w:t>
      </w:r>
      <w:r w:rsidR="00551984">
        <w:rPr>
          <w:lang w:val="en-CA"/>
        </w:rPr>
        <w:t xml:space="preserve">of historical methods </w:t>
      </w:r>
      <w:r w:rsidR="006D2CD4">
        <w:rPr>
          <w:lang w:val="en-CA"/>
        </w:rPr>
        <w:t xml:space="preserve">can also open up opportunities for a more reflexive </w:t>
      </w:r>
      <w:r w:rsidR="00551984">
        <w:rPr>
          <w:lang w:val="en-CA"/>
        </w:rPr>
        <w:t>examination</w:t>
      </w:r>
      <w:r w:rsidR="006D2CD4">
        <w:rPr>
          <w:lang w:val="en-CA"/>
        </w:rPr>
        <w:t xml:space="preserve"> on the role of the researcher in the analysis of the uses of the past, since it embraces the stance that methods are not only procedural</w:t>
      </w:r>
      <w:r w:rsidR="00551984">
        <w:rPr>
          <w:lang w:val="en-CA"/>
        </w:rPr>
        <w:t xml:space="preserve"> but inherently subjective</w:t>
      </w:r>
      <w:r w:rsidR="006D2CD4">
        <w:rPr>
          <w:lang w:val="en-CA"/>
        </w:rPr>
        <w:t xml:space="preserve"> (Mantere</w:t>
      </w:r>
      <w:r w:rsidR="00C2073A">
        <w:rPr>
          <w:lang w:val="en-CA"/>
        </w:rPr>
        <w:t xml:space="preserve"> and Kitokivi, 2013</w:t>
      </w:r>
      <w:r w:rsidR="006D2CD4">
        <w:rPr>
          <w:lang w:val="en-CA"/>
        </w:rPr>
        <w:t>). Popp and Holt (2013</w:t>
      </w:r>
      <w:r w:rsidR="008A52E0">
        <w:rPr>
          <w:lang w:val="en-CA"/>
        </w:rPr>
        <w:t>a</w:t>
      </w:r>
      <w:r w:rsidR="006D2CD4">
        <w:rPr>
          <w:lang w:val="en-CA"/>
        </w:rPr>
        <w:t>), for instance, highlight the value of this reflexivity in examining how a historical researcher</w:t>
      </w:r>
      <w:r w:rsidR="00551984">
        <w:rPr>
          <w:lang w:val="en-CA"/>
        </w:rPr>
        <w:t>’</w:t>
      </w:r>
      <w:r w:rsidR="006D2CD4">
        <w:rPr>
          <w:lang w:val="en-CA"/>
        </w:rPr>
        <w:t>s perspective on an organizational opportunity differs fundamentally from that of the subject of research because of the researcher’s situatedness in time and place.</w:t>
      </w:r>
    </w:p>
    <w:p w14:paraId="2F82B3A5" w14:textId="18C45691" w:rsidR="0046415C" w:rsidRDefault="00D941EC" w:rsidP="00A520DD">
      <w:pPr>
        <w:spacing w:line="480" w:lineRule="auto"/>
        <w:jc w:val="both"/>
        <w:rPr>
          <w:lang w:val="en-CA"/>
        </w:rPr>
      </w:pPr>
      <w:r>
        <w:rPr>
          <w:lang w:val="en-CA"/>
        </w:rPr>
        <w:tab/>
        <w:t xml:space="preserve">Engagement with historical methods would also </w:t>
      </w:r>
      <w:r w:rsidR="008C78BB">
        <w:rPr>
          <w:lang w:val="en-CA"/>
        </w:rPr>
        <w:t>allow</w:t>
      </w:r>
      <w:r>
        <w:rPr>
          <w:lang w:val="en-CA"/>
        </w:rPr>
        <w:t xml:space="preserve"> organizational scholars to redefine and expand the boundaries of what they consider appropriate sources; in particular it means a greater critical engagement with archival sources, sources that are currently viewed with something close to suspicion</w:t>
      </w:r>
      <w:r w:rsidR="008C78BB">
        <w:rPr>
          <w:lang w:val="en-CA"/>
        </w:rPr>
        <w:t xml:space="preserve"> (Yates, 2014)</w:t>
      </w:r>
      <w:r>
        <w:rPr>
          <w:lang w:val="en-CA"/>
        </w:rPr>
        <w:t>. Organizational choices around archiving are one of the subtlest but most powerful ways in which historical representations become encoded</w:t>
      </w:r>
      <w:r w:rsidR="008A6002">
        <w:rPr>
          <w:lang w:val="en-CA"/>
        </w:rPr>
        <w:t xml:space="preserve"> within an organization</w:t>
      </w:r>
      <w:r w:rsidR="000D4BE7">
        <w:rPr>
          <w:lang w:val="en-CA"/>
        </w:rPr>
        <w:t>. First, archives form the primary source of materials organizations draw on in shaping their historical representations</w:t>
      </w:r>
      <w:r w:rsidR="009777A5">
        <w:rPr>
          <w:lang w:val="en-CA"/>
        </w:rPr>
        <w:t xml:space="preserve"> (Decker, 2013; Schwarzkopf, 2013)</w:t>
      </w:r>
      <w:r w:rsidR="000D4BE7">
        <w:rPr>
          <w:lang w:val="en-CA"/>
        </w:rPr>
        <w:t>. Second, archives always reflect acts of choosing, even if that is to neglect to choose</w:t>
      </w:r>
      <w:r w:rsidR="009777A5">
        <w:rPr>
          <w:lang w:val="en-CA"/>
        </w:rPr>
        <w:t xml:space="preserve"> (Fellman and Popp, 2013; Lipartito, 2014)</w:t>
      </w:r>
      <w:r w:rsidR="008A6002">
        <w:rPr>
          <w:lang w:val="en-CA"/>
        </w:rPr>
        <w:t xml:space="preserve">. </w:t>
      </w:r>
      <w:r w:rsidR="000D4BE7">
        <w:rPr>
          <w:lang w:val="en-CA"/>
        </w:rPr>
        <w:t>Thus, w</w:t>
      </w:r>
      <w:r w:rsidR="008A6002">
        <w:rPr>
          <w:lang w:val="en-CA"/>
        </w:rPr>
        <w:t xml:space="preserve">e can interpret not only the contents of </w:t>
      </w:r>
      <w:r w:rsidR="000D4BE7">
        <w:rPr>
          <w:lang w:val="en-CA"/>
        </w:rPr>
        <w:t xml:space="preserve">the </w:t>
      </w:r>
      <w:r w:rsidR="008A6002">
        <w:rPr>
          <w:lang w:val="en-CA"/>
        </w:rPr>
        <w:t>archive to gain insight in</w:t>
      </w:r>
      <w:r w:rsidR="000D4BE7">
        <w:rPr>
          <w:lang w:val="en-CA"/>
        </w:rPr>
        <w:t>to</w:t>
      </w:r>
      <w:r w:rsidR="008A6002">
        <w:rPr>
          <w:lang w:val="en-CA"/>
        </w:rPr>
        <w:t xml:space="preserve"> the organizational past</w:t>
      </w:r>
      <w:r w:rsidR="000D4BE7">
        <w:rPr>
          <w:lang w:val="en-CA"/>
        </w:rPr>
        <w:t xml:space="preserve"> itself</w:t>
      </w:r>
      <w:r w:rsidR="008A6002">
        <w:rPr>
          <w:lang w:val="en-CA"/>
        </w:rPr>
        <w:t xml:space="preserve"> but we can also</w:t>
      </w:r>
      <w:r>
        <w:rPr>
          <w:lang w:val="en-CA"/>
        </w:rPr>
        <w:t xml:space="preserve"> </w:t>
      </w:r>
      <w:r w:rsidR="008A6002">
        <w:rPr>
          <w:lang w:val="en-CA"/>
        </w:rPr>
        <w:t>interrogate the archive, the fact of its existence and the choices and practices it has been shaped by, as</w:t>
      </w:r>
      <w:r w:rsidR="000D4BE7">
        <w:rPr>
          <w:lang w:val="en-CA"/>
        </w:rPr>
        <w:t xml:space="preserve"> a</w:t>
      </w:r>
      <w:r w:rsidR="008A6002">
        <w:rPr>
          <w:lang w:val="en-CA"/>
        </w:rPr>
        <w:t xml:space="preserve"> representational mechanism</w:t>
      </w:r>
      <w:r w:rsidR="000D4BE7">
        <w:rPr>
          <w:lang w:val="en-CA"/>
        </w:rPr>
        <w:t xml:space="preserve"> and form</w:t>
      </w:r>
      <w:r w:rsidR="008A6002">
        <w:rPr>
          <w:lang w:val="en-CA"/>
        </w:rPr>
        <w:t>.</w:t>
      </w:r>
    </w:p>
    <w:p w14:paraId="1D781DD1" w14:textId="38FDC85C" w:rsidR="00DF5693" w:rsidRDefault="00895641" w:rsidP="00250EB3">
      <w:pPr>
        <w:spacing w:line="480" w:lineRule="auto"/>
        <w:jc w:val="both"/>
        <w:rPr>
          <w:lang w:val="en-CA"/>
        </w:rPr>
      </w:pPr>
      <w:r>
        <w:rPr>
          <w:lang w:val="en-CA"/>
        </w:rPr>
        <w:lastRenderedPageBreak/>
        <w:tab/>
        <w:t xml:space="preserve">Another methodological opportunity lies in the use of experimental methods to examine how particular historical representations or analogies actually shape organizational actors’ choices and behavior. Indeed, work in experimental psychology has already proven powerful in showing how knowledge </w:t>
      </w:r>
      <w:r w:rsidR="00E2454E">
        <w:rPr>
          <w:lang w:val="en-CA"/>
        </w:rPr>
        <w:t xml:space="preserve">of a historical outcome significantly increases subjects’ estimations of the likelihood of that outcome, and that subjects are largely unaware of how knowledge of historical outcomes </w:t>
      </w:r>
      <w:proofErr w:type="gramStart"/>
      <w:r w:rsidR="00E2454E">
        <w:rPr>
          <w:lang w:val="en-CA"/>
        </w:rPr>
        <w:t>shape</w:t>
      </w:r>
      <w:proofErr w:type="gramEnd"/>
      <w:r w:rsidR="00E2454E">
        <w:rPr>
          <w:lang w:val="en-CA"/>
        </w:rPr>
        <w:t xml:space="preserve"> their own perceptions and </w:t>
      </w:r>
      <w:r w:rsidR="00771434">
        <w:rPr>
          <w:lang w:val="en-CA"/>
        </w:rPr>
        <w:t>the</w:t>
      </w:r>
      <w:r w:rsidR="00E2454E">
        <w:rPr>
          <w:lang w:val="en-CA"/>
        </w:rPr>
        <w:t xml:space="preserve"> perceptions of others (Fischoff, 1975, Fischoff and Beyth, 1975). </w:t>
      </w:r>
      <w:r w:rsidR="00250EB3">
        <w:rPr>
          <w:lang w:val="en-CA"/>
        </w:rPr>
        <w:t>March et al</w:t>
      </w:r>
      <w:r w:rsidR="00E843EF">
        <w:rPr>
          <w:lang w:val="en-CA"/>
        </w:rPr>
        <w:t>.</w:t>
      </w:r>
      <w:r w:rsidR="00250EB3">
        <w:rPr>
          <w:lang w:val="en-CA"/>
        </w:rPr>
        <w:t xml:space="preserve"> (1991) discuss the importance of such experimental research for understanding how organizations learn or don’t learn from “samples of one of fewer,” yet there has been relatively little experimental follow up work that explicitly looks a</w:t>
      </w:r>
      <w:r w:rsidR="00E843EF">
        <w:rPr>
          <w:lang w:val="en-CA"/>
        </w:rPr>
        <w:t>t</w:t>
      </w:r>
      <w:r w:rsidR="00250EB3">
        <w:rPr>
          <w:lang w:val="en-CA"/>
        </w:rPr>
        <w:t xml:space="preserve"> how historical knowledge shapes decisions related to risk and uncertainty in organizations. S</w:t>
      </w:r>
      <w:r>
        <w:rPr>
          <w:lang w:val="en-CA"/>
        </w:rPr>
        <w:t xml:space="preserve">uch experimental approaches </w:t>
      </w:r>
      <w:r w:rsidR="00250EB3">
        <w:rPr>
          <w:lang w:val="en-CA"/>
        </w:rPr>
        <w:t>therefore continue to represent an untapped methodological approach for</w:t>
      </w:r>
      <w:r>
        <w:rPr>
          <w:lang w:val="en-CA"/>
        </w:rPr>
        <w:t xml:space="preserve"> </w:t>
      </w:r>
      <w:r w:rsidR="00A13BE3">
        <w:rPr>
          <w:lang w:val="en-CA"/>
        </w:rPr>
        <w:t xml:space="preserve">examining the consequences of historical analogies on decision making in organizations. </w:t>
      </w:r>
    </w:p>
    <w:p w14:paraId="3F7BFD3C" w14:textId="77777777" w:rsidR="00A13BE3" w:rsidRDefault="00A13BE3" w:rsidP="00D10E74">
      <w:pPr>
        <w:spacing w:line="480" w:lineRule="auto"/>
        <w:jc w:val="both"/>
        <w:rPr>
          <w:lang w:val="en-CA"/>
        </w:rPr>
      </w:pPr>
    </w:p>
    <w:p w14:paraId="4A55D728" w14:textId="01F0ADC2" w:rsidR="00D10E74" w:rsidRDefault="00A13BE3" w:rsidP="00D10E74">
      <w:pPr>
        <w:spacing w:line="480" w:lineRule="auto"/>
        <w:jc w:val="both"/>
        <w:rPr>
          <w:lang w:val="en-CA"/>
        </w:rPr>
      </w:pPr>
      <w:r>
        <w:rPr>
          <w:i/>
          <w:lang w:val="en-CA"/>
        </w:rPr>
        <w:t xml:space="preserve">Ethics and the Uses of </w:t>
      </w:r>
      <w:r w:rsidR="00197B08">
        <w:rPr>
          <w:i/>
          <w:lang w:val="en-CA"/>
        </w:rPr>
        <w:t>the Past</w:t>
      </w:r>
      <w:r>
        <w:rPr>
          <w:i/>
          <w:lang w:val="en-CA"/>
        </w:rPr>
        <w:t xml:space="preserve"> in Organizations</w:t>
      </w:r>
    </w:p>
    <w:p w14:paraId="726A1249" w14:textId="2FC83412" w:rsidR="00A13BE3" w:rsidRDefault="00A13BE3" w:rsidP="00D10E74">
      <w:pPr>
        <w:spacing w:line="480" w:lineRule="auto"/>
        <w:jc w:val="both"/>
        <w:rPr>
          <w:lang w:val="en-CA"/>
        </w:rPr>
      </w:pPr>
      <w:r>
        <w:rPr>
          <w:lang w:val="en-CA"/>
        </w:rPr>
        <w:tab/>
      </w:r>
      <w:r w:rsidR="00056FDC">
        <w:rPr>
          <w:lang w:val="en-CA"/>
        </w:rPr>
        <w:t xml:space="preserve">The </w:t>
      </w:r>
      <w:r w:rsidR="00152469">
        <w:rPr>
          <w:lang w:val="en-CA"/>
        </w:rPr>
        <w:t xml:space="preserve">field’s </w:t>
      </w:r>
      <w:r w:rsidR="00056FDC">
        <w:rPr>
          <w:lang w:val="en-CA"/>
        </w:rPr>
        <w:t xml:space="preserve">initial emphasis on examining the strategic value of history in organizations begs for an equally important but distinct line of inquiry into questions </w:t>
      </w:r>
      <w:r w:rsidR="00152469">
        <w:rPr>
          <w:lang w:val="en-CA"/>
        </w:rPr>
        <w:t>of</w:t>
      </w:r>
      <w:r w:rsidR="00056FDC">
        <w:rPr>
          <w:lang w:val="en-CA"/>
        </w:rPr>
        <w:t xml:space="preserve"> the</w:t>
      </w:r>
      <w:r w:rsidR="00152469">
        <w:rPr>
          <w:lang w:val="en-CA"/>
        </w:rPr>
        <w:t xml:space="preserve"> ethics of the uses of </w:t>
      </w:r>
      <w:r w:rsidR="00B124FF">
        <w:rPr>
          <w:lang w:val="en-CA"/>
        </w:rPr>
        <w:t>the past</w:t>
      </w:r>
      <w:r w:rsidR="00152469">
        <w:rPr>
          <w:lang w:val="en-CA"/>
        </w:rPr>
        <w:t xml:space="preserve"> by managers. The research finding that a particular historical representation can be a powerful resource for a manager in shaping organizations and organizing does not </w:t>
      </w:r>
      <w:r w:rsidR="00B124FF">
        <w:rPr>
          <w:lang w:val="en-CA"/>
        </w:rPr>
        <w:t>address</w:t>
      </w:r>
      <w:r w:rsidR="00152469">
        <w:rPr>
          <w:lang w:val="en-CA"/>
        </w:rPr>
        <w:t xml:space="preserve"> the question of whether that representation </w:t>
      </w:r>
      <w:r w:rsidR="00152469">
        <w:rPr>
          <w:i/>
          <w:lang w:val="en-CA"/>
        </w:rPr>
        <w:t xml:space="preserve">should </w:t>
      </w:r>
      <w:r w:rsidR="00152469">
        <w:rPr>
          <w:lang w:val="en-CA"/>
        </w:rPr>
        <w:t xml:space="preserve">be used by the manager. Thus far, the latter question has not received </w:t>
      </w:r>
      <w:r w:rsidR="00C66A53">
        <w:rPr>
          <w:lang w:val="en-CA"/>
        </w:rPr>
        <w:t>significant</w:t>
      </w:r>
      <w:r w:rsidR="00152469">
        <w:rPr>
          <w:lang w:val="en-CA"/>
        </w:rPr>
        <w:t xml:space="preserve"> attention by organizational researchers, despite its profoundly important implications for both </w:t>
      </w:r>
      <w:r w:rsidR="00B124FF">
        <w:rPr>
          <w:lang w:val="en-CA"/>
        </w:rPr>
        <w:t>theory</w:t>
      </w:r>
      <w:r w:rsidR="00152469">
        <w:rPr>
          <w:lang w:val="en-CA"/>
        </w:rPr>
        <w:t xml:space="preserve"> and </w:t>
      </w:r>
      <w:r w:rsidR="00B124FF">
        <w:rPr>
          <w:lang w:val="en-CA"/>
        </w:rPr>
        <w:t>practice in</w:t>
      </w:r>
      <w:r w:rsidR="00152469">
        <w:rPr>
          <w:lang w:val="en-CA"/>
        </w:rPr>
        <w:t xml:space="preserve"> the world we face today.</w:t>
      </w:r>
    </w:p>
    <w:p w14:paraId="0307B5FE" w14:textId="6705D44B" w:rsidR="00B124FF" w:rsidRDefault="00152469" w:rsidP="00D10E74">
      <w:pPr>
        <w:spacing w:line="480" w:lineRule="auto"/>
        <w:jc w:val="both"/>
        <w:rPr>
          <w:lang w:val="en-CA"/>
        </w:rPr>
      </w:pPr>
      <w:r>
        <w:rPr>
          <w:lang w:val="en-CA"/>
        </w:rPr>
        <w:tab/>
        <w:t xml:space="preserve">The question of the ethics of the uses of the past in organizations deserves sustained and extensive attention, but we suggest it involves at least </w:t>
      </w:r>
      <w:r w:rsidR="00B124FF">
        <w:rPr>
          <w:lang w:val="en-CA"/>
        </w:rPr>
        <w:t>three</w:t>
      </w:r>
      <w:r>
        <w:rPr>
          <w:lang w:val="en-CA"/>
        </w:rPr>
        <w:t xml:space="preserve"> dimensions</w:t>
      </w:r>
      <w:r w:rsidR="00B124FF">
        <w:rPr>
          <w:lang w:val="en-CA"/>
        </w:rPr>
        <w:t xml:space="preserve"> with implications </w:t>
      </w:r>
      <w:r w:rsidR="00E843EF">
        <w:rPr>
          <w:lang w:val="en-CA"/>
        </w:rPr>
        <w:t xml:space="preserve">for </w:t>
      </w:r>
      <w:r w:rsidR="00B124FF">
        <w:rPr>
          <w:lang w:val="en-CA"/>
        </w:rPr>
        <w:t xml:space="preserve">both </w:t>
      </w:r>
      <w:r w:rsidR="00B124FF">
        <w:rPr>
          <w:lang w:val="en-CA"/>
        </w:rPr>
        <w:lastRenderedPageBreak/>
        <w:t>managers and scholars</w:t>
      </w:r>
      <w:r>
        <w:rPr>
          <w:lang w:val="en-CA"/>
        </w:rPr>
        <w:t xml:space="preserve">. The first is a matter of the ethics of falsifying incorrect representations. The matter is not as simple as it at first appears in part because some mischaracterizations may do little harm and still represent the </w:t>
      </w:r>
      <w:r w:rsidR="00FA46D8">
        <w:rPr>
          <w:lang w:val="en-CA"/>
        </w:rPr>
        <w:t>past</w:t>
      </w:r>
      <w:r>
        <w:rPr>
          <w:lang w:val="en-CA"/>
        </w:rPr>
        <w:t xml:space="preserve"> in an essentially truthful light, while other dist</w:t>
      </w:r>
      <w:r w:rsidR="00FA46D8">
        <w:rPr>
          <w:lang w:val="en-CA"/>
        </w:rPr>
        <w:t xml:space="preserve">ortions of events or people may </w:t>
      </w:r>
      <w:r w:rsidR="00D272F9">
        <w:rPr>
          <w:lang w:val="en-CA"/>
        </w:rPr>
        <w:t xml:space="preserve">be </w:t>
      </w:r>
      <w:r w:rsidR="00FA46D8">
        <w:rPr>
          <w:lang w:val="en-CA"/>
        </w:rPr>
        <w:t xml:space="preserve">deeply destructive in imperceptible ways. </w:t>
      </w:r>
      <w:r w:rsidR="00B124FF">
        <w:rPr>
          <w:lang w:val="en-CA"/>
        </w:rPr>
        <w:t xml:space="preserve">Indeed, we suggest that the ethical role of falsification in the uses of past may have more to do </w:t>
      </w:r>
      <w:r w:rsidR="00997F91">
        <w:rPr>
          <w:lang w:val="en-CA"/>
        </w:rPr>
        <w:t>with critique of</w:t>
      </w:r>
      <w:r w:rsidR="00B124FF">
        <w:rPr>
          <w:lang w:val="en-CA"/>
        </w:rPr>
        <w:t xml:space="preserve"> powerful actors and myths than it has to do with objectivity. </w:t>
      </w:r>
      <w:r w:rsidR="00B83ADD">
        <w:rPr>
          <w:lang w:val="en-CA"/>
        </w:rPr>
        <w:t xml:space="preserve">For instance, O’Connor’s (1999) study falsifying and revising the claim that the “human relations school” originated in fundamentally humanistic motives in contrast to the efficiency-oriented motives of F.W. Taylor is designed as a critique of a powerful actor (Harvard Business School) and a powerful identity myth in management thought. </w:t>
      </w:r>
    </w:p>
    <w:p w14:paraId="1E02E94B" w14:textId="4D483AD5" w:rsidR="00361899" w:rsidRDefault="00B83ADD" w:rsidP="00B83ADD">
      <w:pPr>
        <w:spacing w:line="480" w:lineRule="auto"/>
        <w:ind w:firstLine="720"/>
        <w:jc w:val="both"/>
        <w:rPr>
          <w:lang w:val="en-CA"/>
        </w:rPr>
      </w:pPr>
      <w:r>
        <w:rPr>
          <w:lang w:val="en-CA"/>
        </w:rPr>
        <w:t>A</w:t>
      </w:r>
      <w:r w:rsidR="00FA46D8">
        <w:rPr>
          <w:lang w:val="en-CA"/>
        </w:rPr>
        <w:t xml:space="preserve"> second </w:t>
      </w:r>
      <w:r>
        <w:rPr>
          <w:lang w:val="en-CA"/>
        </w:rPr>
        <w:t>dimension involves</w:t>
      </w:r>
      <w:r w:rsidR="00FA46D8">
        <w:rPr>
          <w:lang w:val="en-CA"/>
        </w:rPr>
        <w:t xml:space="preserve"> </w:t>
      </w:r>
      <w:r>
        <w:rPr>
          <w:lang w:val="en-CA"/>
        </w:rPr>
        <w:t>the</w:t>
      </w:r>
      <w:r w:rsidR="00FA46D8">
        <w:rPr>
          <w:lang w:val="en-CA"/>
        </w:rPr>
        <w:t xml:space="preserve"> matter of whether organizations and managers may at times have a positive ethical obligation to examine and consider the past seriously and reflexively even when it may </w:t>
      </w:r>
      <w:r w:rsidR="00421E6D">
        <w:rPr>
          <w:lang w:val="en-CA"/>
        </w:rPr>
        <w:t xml:space="preserve">challenge organizational identities, values, or goals in the present. </w:t>
      </w:r>
      <w:r w:rsidR="00FA46D8">
        <w:rPr>
          <w:lang w:val="en-CA"/>
        </w:rPr>
        <w:t>Given that historical interpretation inherently involves value judgments held in the present, are there moments when organizations should turn to the past to challenge and confront those values</w:t>
      </w:r>
      <w:r>
        <w:rPr>
          <w:lang w:val="en-CA"/>
        </w:rPr>
        <w:t>, self-identities,</w:t>
      </w:r>
      <w:r w:rsidR="00FA46D8">
        <w:rPr>
          <w:lang w:val="en-CA"/>
        </w:rPr>
        <w:t xml:space="preserve"> and ways of seeing the world rather than using the past to enforce them?</w:t>
      </w:r>
      <w:r>
        <w:rPr>
          <w:lang w:val="en-CA"/>
        </w:rPr>
        <w:t xml:space="preserve"> </w:t>
      </w:r>
      <w:r w:rsidR="00D272F9">
        <w:rPr>
          <w:lang w:val="en-CA"/>
        </w:rPr>
        <w:t>Examples</w:t>
      </w:r>
      <w:r>
        <w:rPr>
          <w:lang w:val="en-CA"/>
        </w:rPr>
        <w:t xml:space="preserve"> of instances where firms ought to have </w:t>
      </w:r>
      <w:r w:rsidR="008753FF">
        <w:rPr>
          <w:lang w:val="en-CA"/>
        </w:rPr>
        <w:t>or</w:t>
      </w:r>
      <w:r>
        <w:rPr>
          <w:lang w:val="en-CA"/>
        </w:rPr>
        <w:t xml:space="preserve"> needed to </w:t>
      </w:r>
      <w:r w:rsidR="0091351B">
        <w:rPr>
          <w:lang w:val="en-CA"/>
        </w:rPr>
        <w:t xml:space="preserve">engage with the past on ethical grounds include German firms that have reckoned with their </w:t>
      </w:r>
      <w:r w:rsidR="00D272F9">
        <w:rPr>
          <w:lang w:val="en-CA"/>
        </w:rPr>
        <w:t>role in National Socialism</w:t>
      </w:r>
      <w:r w:rsidR="0091351B">
        <w:rPr>
          <w:lang w:val="en-CA"/>
        </w:rPr>
        <w:t xml:space="preserve"> (Wiesen, 2001) and </w:t>
      </w:r>
      <w:r w:rsidR="008753FF">
        <w:rPr>
          <w:lang w:val="en-CA"/>
        </w:rPr>
        <w:t>the entanglement of American firms and American capitalism with American</w:t>
      </w:r>
      <w:r w:rsidR="0091351B">
        <w:rPr>
          <w:lang w:val="en-CA"/>
        </w:rPr>
        <w:t xml:space="preserve"> slavery</w:t>
      </w:r>
      <w:r w:rsidR="008753FF">
        <w:rPr>
          <w:lang w:val="en-CA"/>
        </w:rPr>
        <w:t xml:space="preserve"> (Murphy, 2005; Baptist, 2014)</w:t>
      </w:r>
      <w:r w:rsidR="0091351B">
        <w:rPr>
          <w:lang w:val="en-CA"/>
        </w:rPr>
        <w:t xml:space="preserve">. </w:t>
      </w:r>
      <w:r w:rsidR="00421E6D">
        <w:rPr>
          <w:lang w:val="en-CA"/>
        </w:rPr>
        <w:t xml:space="preserve">Likewise, an increasingly important issue pertains to how firms that have engaged in environmental degradation in the past should grapple with that history and its implications for their identities and strategies in the present. </w:t>
      </w:r>
      <w:r w:rsidR="0091351B">
        <w:rPr>
          <w:lang w:val="en-CA"/>
        </w:rPr>
        <w:t>Scholarship in these area</w:t>
      </w:r>
      <w:r w:rsidR="00421E6D">
        <w:rPr>
          <w:lang w:val="en-CA"/>
        </w:rPr>
        <w:t>s could</w:t>
      </w:r>
      <w:r w:rsidR="0091351B">
        <w:rPr>
          <w:lang w:val="en-CA"/>
        </w:rPr>
        <w:t xml:space="preserve"> </w:t>
      </w:r>
      <w:r w:rsidR="00421E6D">
        <w:rPr>
          <w:lang w:val="en-CA"/>
        </w:rPr>
        <w:t>examine</w:t>
      </w:r>
      <w:r w:rsidR="00361899">
        <w:rPr>
          <w:lang w:val="en-CA"/>
        </w:rPr>
        <w:t xml:space="preserve"> </w:t>
      </w:r>
      <w:r w:rsidR="00D272F9">
        <w:rPr>
          <w:lang w:val="en-CA"/>
        </w:rPr>
        <w:t xml:space="preserve">examples of situations </w:t>
      </w:r>
      <w:r w:rsidR="00421E6D">
        <w:rPr>
          <w:lang w:val="en-CA"/>
        </w:rPr>
        <w:t>in which</w:t>
      </w:r>
      <w:r w:rsidR="00D272F9">
        <w:rPr>
          <w:lang w:val="en-CA"/>
        </w:rPr>
        <w:t xml:space="preserve"> organizations ought to have</w:t>
      </w:r>
      <w:r w:rsidR="00421E6D">
        <w:rPr>
          <w:lang w:val="en-CA"/>
        </w:rPr>
        <w:t xml:space="preserve"> or did</w:t>
      </w:r>
      <w:r w:rsidR="00D272F9">
        <w:rPr>
          <w:lang w:val="en-CA"/>
        </w:rPr>
        <w:t xml:space="preserve"> grappl</w:t>
      </w:r>
      <w:r w:rsidR="00421E6D">
        <w:rPr>
          <w:lang w:val="en-CA"/>
        </w:rPr>
        <w:t>e</w:t>
      </w:r>
      <w:r w:rsidR="00D272F9">
        <w:rPr>
          <w:lang w:val="en-CA"/>
        </w:rPr>
        <w:t xml:space="preserve"> with a past </w:t>
      </w:r>
      <w:r w:rsidR="00A675F4">
        <w:rPr>
          <w:lang w:val="en-CA"/>
        </w:rPr>
        <w:t>that transgressed values held in the present</w:t>
      </w:r>
      <w:r w:rsidR="00473268">
        <w:rPr>
          <w:lang w:val="en-CA"/>
        </w:rPr>
        <w:t xml:space="preserve">, yet research in the areas of business ethics and corporate responsibility tends </w:t>
      </w:r>
      <w:r w:rsidR="00473268">
        <w:rPr>
          <w:lang w:val="en-CA"/>
        </w:rPr>
        <w:lastRenderedPageBreak/>
        <w:t>to be separated from the growing empirical and theoretical scholarship on the “uses of the past</w:t>
      </w:r>
      <w:r w:rsidR="00361899">
        <w:rPr>
          <w:lang w:val="en-CA"/>
        </w:rPr>
        <w:t>.</w:t>
      </w:r>
      <w:r w:rsidR="00473268">
        <w:rPr>
          <w:lang w:val="en-CA"/>
        </w:rPr>
        <w:t>” As Schrempf-Stirling et al (2014: 700) point out, “there is little or no scholarly theorizing about the ways contemporary managers engage with these critiques or how this corporate engagement with the past affects the legitimacy of current business.”</w:t>
      </w:r>
    </w:p>
    <w:p w14:paraId="66CD9525" w14:textId="2E496708" w:rsidR="00152469" w:rsidRDefault="00361899" w:rsidP="00B83ADD">
      <w:pPr>
        <w:spacing w:line="480" w:lineRule="auto"/>
        <w:ind w:firstLine="720"/>
        <w:jc w:val="both"/>
        <w:rPr>
          <w:lang w:val="en-CA"/>
        </w:rPr>
      </w:pPr>
      <w:r>
        <w:rPr>
          <w:lang w:val="en-CA"/>
        </w:rPr>
        <w:t xml:space="preserve">A third dimension involves the question of whether, when, and how managers and organization scholars have any obligation to represent less powerful and more marginal actors within the history of the organization, even when these representations do not align with management’s representation of the past. </w:t>
      </w:r>
      <w:r w:rsidR="00364B9C">
        <w:rPr>
          <w:lang w:val="en-CA"/>
        </w:rPr>
        <w:t>Motivated by the insight that historical representation is important to identity and power in the present, academic historians have been driven at least in part by ethical considerations in developing historical fields focused on underrepresented groups and regions of the world (Appleby et al</w:t>
      </w:r>
      <w:r w:rsidR="00E843EF">
        <w:rPr>
          <w:lang w:val="en-CA"/>
        </w:rPr>
        <w:t>.</w:t>
      </w:r>
      <w:r w:rsidR="00364B9C">
        <w:rPr>
          <w:lang w:val="en-CA"/>
        </w:rPr>
        <w:t xml:space="preserve">, 1994). </w:t>
      </w:r>
      <w:r w:rsidR="00282C4B">
        <w:rPr>
          <w:lang w:val="en-CA"/>
        </w:rPr>
        <w:t>It is not clear whether and on what grounds managers ought to be drive</w:t>
      </w:r>
      <w:r w:rsidR="00E843EF">
        <w:rPr>
          <w:lang w:val="en-CA"/>
        </w:rPr>
        <w:t>n</w:t>
      </w:r>
      <w:r w:rsidR="00282C4B">
        <w:rPr>
          <w:lang w:val="en-CA"/>
        </w:rPr>
        <w:t xml:space="preserve"> by similar professional ethics as academic historians, but we posit that a clearer case could be made that organization scholars – increasingly aware of the power that historical representation holds – do have a positive ethical </w:t>
      </w:r>
      <w:r w:rsidR="00A675F4">
        <w:rPr>
          <w:lang w:val="en-CA"/>
        </w:rPr>
        <w:t xml:space="preserve">and normative </w:t>
      </w:r>
      <w:r w:rsidR="00282C4B">
        <w:rPr>
          <w:lang w:val="en-CA"/>
        </w:rPr>
        <w:t>obligation to critique the uses of the past by managers, and not just describe and theorize it</w:t>
      </w:r>
      <w:r w:rsidR="00A675F4">
        <w:rPr>
          <w:lang w:val="en-CA"/>
        </w:rPr>
        <w:t xml:space="preserve"> </w:t>
      </w:r>
      <w:r w:rsidR="00473268">
        <w:rPr>
          <w:lang w:val="en-CA"/>
        </w:rPr>
        <w:t>(Stutz and Sachs, 2018)</w:t>
      </w:r>
      <w:r w:rsidR="00282C4B">
        <w:rPr>
          <w:lang w:val="en-CA"/>
        </w:rPr>
        <w:t>.</w:t>
      </w:r>
    </w:p>
    <w:p w14:paraId="74C38DD6" w14:textId="7840E794" w:rsidR="00FA46D8" w:rsidRPr="00A13BE3" w:rsidRDefault="00FA46D8" w:rsidP="00506ECA">
      <w:pPr>
        <w:spacing w:line="480" w:lineRule="auto"/>
        <w:jc w:val="both"/>
        <w:rPr>
          <w:lang w:val="en-CA"/>
        </w:rPr>
      </w:pPr>
      <w:r>
        <w:rPr>
          <w:lang w:val="en-CA"/>
        </w:rPr>
        <w:tab/>
        <w:t xml:space="preserve">Indeed, studies of the ethics of the uses of the past in organizations may prove to be one of the most original lines of inquiry in this field. In a sense, the finding that powerful actors </w:t>
      </w:r>
      <w:r w:rsidR="00775DD5">
        <w:rPr>
          <w:lang w:val="en-CA"/>
        </w:rPr>
        <w:t xml:space="preserve">proffer interpretations of the past to further their strategic aims in the present can be seen as </w:t>
      </w:r>
      <w:r w:rsidR="00282C4B">
        <w:rPr>
          <w:lang w:val="en-CA"/>
        </w:rPr>
        <w:t>commonplace</w:t>
      </w:r>
      <w:r w:rsidR="00775DD5">
        <w:rPr>
          <w:lang w:val="en-CA"/>
        </w:rPr>
        <w:t xml:space="preserve"> in the world we now inhabit. And </w:t>
      </w:r>
      <w:r w:rsidR="00484F09">
        <w:rPr>
          <w:lang w:val="en-CA"/>
        </w:rPr>
        <w:t>potentially</w:t>
      </w:r>
      <w:r w:rsidR="00775DD5">
        <w:rPr>
          <w:lang w:val="en-CA"/>
        </w:rPr>
        <w:t xml:space="preserve"> insightful and impactful research lies ahead in considering when and how this power to use </w:t>
      </w:r>
      <w:r w:rsidR="00282C4B">
        <w:rPr>
          <w:lang w:val="en-CA"/>
        </w:rPr>
        <w:t>the past</w:t>
      </w:r>
      <w:r w:rsidR="00775DD5">
        <w:rPr>
          <w:lang w:val="en-CA"/>
        </w:rPr>
        <w:t xml:space="preserve"> in the present should be </w:t>
      </w:r>
      <w:r w:rsidR="00282C4B">
        <w:rPr>
          <w:lang w:val="en-CA"/>
        </w:rPr>
        <w:t>scrutinized</w:t>
      </w:r>
      <w:r w:rsidR="00775DD5">
        <w:rPr>
          <w:lang w:val="en-CA"/>
        </w:rPr>
        <w:t xml:space="preserve">. </w:t>
      </w:r>
    </w:p>
    <w:p w14:paraId="6523E118" w14:textId="6207B10C" w:rsidR="007F752B" w:rsidRDefault="007F752B" w:rsidP="00506ECA">
      <w:pPr>
        <w:spacing w:line="480" w:lineRule="auto"/>
      </w:pPr>
    </w:p>
    <w:p w14:paraId="20584451" w14:textId="2CA522BB" w:rsidR="00D10E74" w:rsidRDefault="00D10E74" w:rsidP="00506ECA">
      <w:pPr>
        <w:spacing w:line="480" w:lineRule="auto"/>
      </w:pPr>
      <w:r>
        <w:rPr>
          <w:b/>
        </w:rPr>
        <w:t>Conclusion</w:t>
      </w:r>
    </w:p>
    <w:p w14:paraId="5632308E" w14:textId="6CD53448" w:rsidR="002F4F17" w:rsidRDefault="00506ECA" w:rsidP="00506ECA">
      <w:pPr>
        <w:spacing w:line="480" w:lineRule="auto"/>
      </w:pPr>
      <w:r>
        <w:lastRenderedPageBreak/>
        <w:tab/>
        <w:t xml:space="preserve">Interest in the uses of the past in organizations and organizing has flourished in recent years. The articles in this special issue – along with an array of other publications in leading management journals – attest to both the significance of this line of research and the substantive conceptual and empirical contributions that have recently been made to it. </w:t>
      </w:r>
      <w:r w:rsidR="00AA64EE">
        <w:t>Moreover</w:t>
      </w:r>
      <w:r>
        <w:t xml:space="preserve">, as this article highlights, important research vistas within the stream remain largely unexplored, and open to scholars interested in entering the conversation. Indeed, the </w:t>
      </w:r>
      <w:r w:rsidR="00AA64EE">
        <w:t>‘</w:t>
      </w:r>
      <w:r>
        <w:t xml:space="preserve">uses of the past’ remains </w:t>
      </w:r>
      <w:r w:rsidR="00DF1251">
        <w:t>fertile ground for further exploration</w:t>
      </w:r>
      <w:r>
        <w:t xml:space="preserve"> within management and organizational research.</w:t>
      </w:r>
    </w:p>
    <w:p w14:paraId="2C310329" w14:textId="29D48905" w:rsidR="00937246" w:rsidRDefault="00937246" w:rsidP="00506ECA">
      <w:pPr>
        <w:spacing w:line="480" w:lineRule="auto"/>
      </w:pPr>
      <w:r>
        <w:tab/>
        <w:t xml:space="preserve">The field </w:t>
      </w:r>
      <w:r w:rsidR="004C16F6">
        <w:t>represents</w:t>
      </w:r>
      <w:r>
        <w:t xml:space="preserve"> an especially rich opportunity for interdisciplinary dialogue and engagement. Rooted in common intellectual origins in </w:t>
      </w:r>
      <w:r w:rsidR="00AA64EE">
        <w:t>hermeneutics</w:t>
      </w:r>
      <w:r>
        <w:t xml:space="preserve"> and the linguistic turn, both </w:t>
      </w:r>
      <w:r w:rsidR="00AA64EE">
        <w:t>organization scholars and historians</w:t>
      </w:r>
      <w:r>
        <w:t xml:space="preserve"> have developed significant theoretical and empirical literature on the uses of </w:t>
      </w:r>
      <w:r w:rsidR="003F7BA2">
        <w:t>the past</w:t>
      </w:r>
      <w:r>
        <w:t xml:space="preserve">. Yet, their approaches to the </w:t>
      </w:r>
      <w:r w:rsidR="003F7BA2">
        <w:t>subject</w:t>
      </w:r>
      <w:r>
        <w:t xml:space="preserve"> have differed in important and interesting ways</w:t>
      </w:r>
      <w:r w:rsidR="00B92F44">
        <w:t>.  While o</w:t>
      </w:r>
      <w:r>
        <w:t xml:space="preserve">rganization scholars </w:t>
      </w:r>
      <w:r w:rsidR="00B92F44">
        <w:t>have f</w:t>
      </w:r>
      <w:r>
        <w:t xml:space="preserve">ocused on the micro-processes </w:t>
      </w:r>
      <w:r w:rsidR="00F75CF1">
        <w:t xml:space="preserve">and temporal structures </w:t>
      </w:r>
      <w:r>
        <w:t xml:space="preserve">of </w:t>
      </w:r>
      <w:r w:rsidR="003F7BA2">
        <w:t>historical</w:t>
      </w:r>
      <w:r>
        <w:t xml:space="preserve"> interpretation</w:t>
      </w:r>
      <w:r w:rsidR="003F7BA2">
        <w:t xml:space="preserve"> in organizations</w:t>
      </w:r>
      <w:r w:rsidR="00B92F44">
        <w:t xml:space="preserve">, </w:t>
      </w:r>
      <w:r w:rsidR="003F7BA2">
        <w:t xml:space="preserve">historians </w:t>
      </w:r>
      <w:r w:rsidR="00B92F44">
        <w:t xml:space="preserve">have been primarily </w:t>
      </w:r>
      <w:r w:rsidR="004C16F6">
        <w:t>concerned with</w:t>
      </w:r>
      <w:r w:rsidR="003F7BA2">
        <w:t xml:space="preserve"> the contexts </w:t>
      </w:r>
      <w:r w:rsidR="004C16F6">
        <w:t xml:space="preserve">within which this occurs </w:t>
      </w:r>
      <w:r w:rsidR="003F7BA2">
        <w:t xml:space="preserve">and </w:t>
      </w:r>
      <w:r w:rsidR="004C16F6">
        <w:t xml:space="preserve">the </w:t>
      </w:r>
      <w:r w:rsidR="003F7BA2">
        <w:t xml:space="preserve">struggles between firms and other actors to define the past. This special issue and introduction </w:t>
      </w:r>
      <w:proofErr w:type="gramStart"/>
      <w:r w:rsidR="003F7BA2">
        <w:t>has</w:t>
      </w:r>
      <w:proofErr w:type="gramEnd"/>
      <w:r w:rsidR="003F7BA2">
        <w:t xml:space="preserve"> provided a forum for bringing these perspectives together and has highlighted the opportunities that lie at the nexus of the two disciplines.</w:t>
      </w:r>
      <w:r w:rsidR="006637DB">
        <w:t xml:space="preserve"> </w:t>
      </w:r>
    </w:p>
    <w:p w14:paraId="03EFB61B" w14:textId="76BE53D5" w:rsidR="00337CAC" w:rsidRDefault="00506ECA" w:rsidP="003F7BA2">
      <w:pPr>
        <w:spacing w:line="480" w:lineRule="auto"/>
      </w:pPr>
      <w:r>
        <w:tab/>
      </w:r>
      <w:r w:rsidR="00824392">
        <w:t xml:space="preserve"> </w:t>
      </w:r>
      <w:r w:rsidR="0076240F">
        <w:t xml:space="preserve">Implicit within </w:t>
      </w:r>
      <w:r w:rsidR="00BD7B7C">
        <w:t>the</w:t>
      </w:r>
      <w:r w:rsidR="0076240F">
        <w:t xml:space="preserve"> emergence of the “uses of the past” approach is a</w:t>
      </w:r>
      <w:r w:rsidR="00DF1251">
        <w:t xml:space="preserve">n embrace </w:t>
      </w:r>
      <w:r w:rsidR="0076240F">
        <w:t xml:space="preserve">of </w:t>
      </w:r>
      <w:r w:rsidR="006637DB">
        <w:t xml:space="preserve">what Mayer Zald </w:t>
      </w:r>
      <w:r w:rsidR="00484F09">
        <w:t xml:space="preserve">(1996: 256) </w:t>
      </w:r>
      <w:r w:rsidR="006637DB">
        <w:t>called the</w:t>
      </w:r>
      <w:r w:rsidR="0076240F">
        <w:t xml:space="preserve"> essential “historicity of organizational life</w:t>
      </w:r>
      <w:r w:rsidR="00DF1251">
        <w:t>.</w:t>
      </w:r>
      <w:r w:rsidR="0076240F">
        <w:t xml:space="preserve">” </w:t>
      </w:r>
      <w:r w:rsidR="004C16F6">
        <w:t xml:space="preserve">History, in this sense, is not </w:t>
      </w:r>
      <w:r w:rsidR="00124C54">
        <w:t>only</w:t>
      </w:r>
      <w:r w:rsidR="004C16F6">
        <w:t xml:space="preserve"> a topic </w:t>
      </w:r>
      <w:r w:rsidR="00DF1251">
        <w:t>or method within organization studies</w:t>
      </w:r>
      <w:r w:rsidR="00124C54">
        <w:t xml:space="preserve">. It is integral to the very process </w:t>
      </w:r>
      <w:r w:rsidR="00484F09">
        <w:t>that create</w:t>
      </w:r>
      <w:r w:rsidR="00124C54">
        <w:t xml:space="preserve"> order and disorder in organizations</w:t>
      </w:r>
      <w:r w:rsidR="004C16F6">
        <w:t xml:space="preserve">. </w:t>
      </w:r>
    </w:p>
    <w:p w14:paraId="52BD4B2D" w14:textId="42F9EEA4" w:rsidR="003927DA" w:rsidRDefault="003927DA" w:rsidP="00197B08">
      <w:pPr>
        <w:ind w:firstLine="720"/>
      </w:pPr>
    </w:p>
    <w:p w14:paraId="22B99674" w14:textId="44CDA5C0" w:rsidR="00A13BE3" w:rsidRDefault="00A13BE3"/>
    <w:p w14:paraId="7AE25EC1" w14:textId="5959FBFC" w:rsidR="00A13BE3" w:rsidRDefault="00A13BE3"/>
    <w:p w14:paraId="088D0AE0" w14:textId="77777777" w:rsidR="00783078" w:rsidRDefault="00783078" w:rsidP="00783078">
      <w:pPr>
        <w:spacing w:line="480" w:lineRule="auto"/>
        <w:outlineLvl w:val="0"/>
        <w:rPr>
          <w:b/>
          <w:lang w:val="en-CA"/>
        </w:rPr>
      </w:pPr>
      <w:r>
        <w:rPr>
          <w:b/>
          <w:lang w:val="en-CA"/>
        </w:rPr>
        <w:t>References</w:t>
      </w:r>
    </w:p>
    <w:p w14:paraId="25E6EA60" w14:textId="77777777" w:rsidR="00783078" w:rsidRDefault="00783078" w:rsidP="00783078">
      <w:pPr>
        <w:jc w:val="both"/>
        <w:rPr>
          <w:lang w:val="en-CA"/>
        </w:rPr>
      </w:pPr>
      <w:r>
        <w:rPr>
          <w:lang w:val="en-CA"/>
        </w:rPr>
        <w:lastRenderedPageBreak/>
        <w:t>Anderso</w:t>
      </w:r>
      <w:r w:rsidRPr="00727477">
        <w:rPr>
          <w:lang w:val="en-CA"/>
        </w:rPr>
        <w:t xml:space="preserve">n, B. (1991). </w:t>
      </w:r>
      <w:r w:rsidRPr="00912E3A">
        <w:rPr>
          <w:i/>
          <w:lang w:val="en-CA"/>
        </w:rPr>
        <w:t>Imagined communities. Reflections on the origin and spread of nationalism.</w:t>
      </w:r>
      <w:r w:rsidRPr="00727477">
        <w:rPr>
          <w:lang w:val="en-CA"/>
        </w:rPr>
        <w:t xml:space="preserve"> New York: Verso.</w:t>
      </w:r>
    </w:p>
    <w:p w14:paraId="26BA24CA" w14:textId="77777777" w:rsidR="00783078" w:rsidRDefault="00783078" w:rsidP="00783078">
      <w:pPr>
        <w:jc w:val="both"/>
        <w:rPr>
          <w:lang w:val="en-CA"/>
        </w:rPr>
      </w:pPr>
    </w:p>
    <w:p w14:paraId="4E2230E6" w14:textId="77777777" w:rsidR="00783078" w:rsidRDefault="00783078" w:rsidP="00783078">
      <w:pPr>
        <w:jc w:val="both"/>
        <w:rPr>
          <w:lang w:val="en-CA"/>
        </w:rPr>
      </w:pPr>
      <w:r w:rsidRPr="009D49F9">
        <w:rPr>
          <w:lang w:val="en-CA"/>
        </w:rPr>
        <w:t>Anteby, M.</w:t>
      </w:r>
      <w:r>
        <w:rPr>
          <w:lang w:val="en-CA"/>
        </w:rPr>
        <w:t>,</w:t>
      </w:r>
      <w:r w:rsidRPr="009D49F9">
        <w:rPr>
          <w:lang w:val="en-CA"/>
        </w:rPr>
        <w:t xml:space="preserve"> &amp; Molnar, V. (2012). Collective memory meets organizational identity: Remembering to forget in a firm's rhetorical history. </w:t>
      </w:r>
      <w:r w:rsidRPr="00912E3A">
        <w:rPr>
          <w:i/>
          <w:lang w:val="en-CA"/>
        </w:rPr>
        <w:t>Academy of Management Journal</w:t>
      </w:r>
      <w:r w:rsidRPr="009D49F9">
        <w:rPr>
          <w:lang w:val="en-CA"/>
        </w:rPr>
        <w:t>, 55(3), 515-540.</w:t>
      </w:r>
    </w:p>
    <w:p w14:paraId="10BAC764" w14:textId="77777777" w:rsidR="00783078" w:rsidRDefault="00783078" w:rsidP="00783078">
      <w:pPr>
        <w:jc w:val="both"/>
        <w:rPr>
          <w:lang w:val="en-CA"/>
        </w:rPr>
      </w:pPr>
    </w:p>
    <w:p w14:paraId="68800704" w14:textId="77777777" w:rsidR="00783078" w:rsidRDefault="00783078" w:rsidP="00783078">
      <w:pPr>
        <w:jc w:val="both"/>
        <w:rPr>
          <w:lang w:val="en-CA"/>
        </w:rPr>
      </w:pPr>
      <w:r w:rsidRPr="003E0E59">
        <w:rPr>
          <w:lang w:val="en-CA"/>
        </w:rPr>
        <w:t>Appleby, J., Hunt, L.</w:t>
      </w:r>
      <w:r>
        <w:rPr>
          <w:lang w:val="en-CA"/>
        </w:rPr>
        <w:t>,</w:t>
      </w:r>
      <w:r w:rsidRPr="003E0E59">
        <w:rPr>
          <w:lang w:val="en-CA"/>
        </w:rPr>
        <w:t xml:space="preserve"> &amp; Jacob, M. (</w:t>
      </w:r>
      <w:r>
        <w:rPr>
          <w:lang w:val="en-CA"/>
        </w:rPr>
        <w:t>1994</w:t>
      </w:r>
      <w:r w:rsidRPr="003E0E59">
        <w:rPr>
          <w:lang w:val="en-CA"/>
        </w:rPr>
        <w:t xml:space="preserve">). </w:t>
      </w:r>
      <w:r w:rsidRPr="008439A3">
        <w:rPr>
          <w:i/>
          <w:lang w:val="en-CA"/>
        </w:rPr>
        <w:t>Telling the truth about history.</w:t>
      </w:r>
      <w:r w:rsidRPr="003E0E59">
        <w:rPr>
          <w:lang w:val="en-CA"/>
        </w:rPr>
        <w:t xml:space="preserve"> </w:t>
      </w:r>
      <w:r>
        <w:rPr>
          <w:lang w:val="en-CA"/>
        </w:rPr>
        <w:t xml:space="preserve">New York, London: </w:t>
      </w:r>
      <w:r w:rsidRPr="003E0E59">
        <w:rPr>
          <w:lang w:val="en-CA"/>
        </w:rPr>
        <w:t>WW Norton &amp; Company.</w:t>
      </w:r>
    </w:p>
    <w:p w14:paraId="129A0D6E" w14:textId="77777777" w:rsidR="00783078" w:rsidRDefault="00783078" w:rsidP="00783078">
      <w:pPr>
        <w:jc w:val="both"/>
        <w:rPr>
          <w:lang w:val="en-CA"/>
        </w:rPr>
      </w:pPr>
    </w:p>
    <w:p w14:paraId="3B01FACB" w14:textId="77777777" w:rsidR="00783078" w:rsidRDefault="00783078" w:rsidP="00783078">
      <w:pPr>
        <w:jc w:val="both"/>
        <w:outlineLvl w:val="0"/>
        <w:rPr>
          <w:lang w:val="en-CA"/>
        </w:rPr>
      </w:pPr>
      <w:r>
        <w:rPr>
          <w:lang w:val="en-CA"/>
        </w:rPr>
        <w:t xml:space="preserve">Austin, J.L. (1962). </w:t>
      </w:r>
      <w:r w:rsidRPr="008439A3">
        <w:rPr>
          <w:i/>
          <w:lang w:val="en-CA"/>
        </w:rPr>
        <w:t>How to do things with words.</w:t>
      </w:r>
      <w:r>
        <w:rPr>
          <w:lang w:val="en-CA"/>
        </w:rPr>
        <w:t xml:space="preserve"> Cambridge, UK: Clarendon Press.</w:t>
      </w:r>
    </w:p>
    <w:p w14:paraId="55FF22AC" w14:textId="77777777" w:rsidR="00783078" w:rsidRDefault="00783078" w:rsidP="00783078">
      <w:pPr>
        <w:jc w:val="both"/>
        <w:rPr>
          <w:lang w:val="en-CA"/>
        </w:rPr>
      </w:pPr>
    </w:p>
    <w:p w14:paraId="37E21406" w14:textId="77777777" w:rsidR="00783078" w:rsidRPr="002803C1" w:rsidRDefault="00783078" w:rsidP="00783078">
      <w:pPr>
        <w:jc w:val="both"/>
        <w:rPr>
          <w:lang w:val="en-CA"/>
        </w:rPr>
      </w:pPr>
      <w:r w:rsidRPr="002803C1">
        <w:rPr>
          <w:lang w:val="en-CA"/>
        </w:rPr>
        <w:t xml:space="preserve">Balmer, J. M. (2017). Corporate heritage, corporate heritage marketing, and total corporate heritage communications: What are they? What of them? In </w:t>
      </w:r>
      <w:r>
        <w:rPr>
          <w:lang w:val="en-CA"/>
        </w:rPr>
        <w:t xml:space="preserve">Balmer, J. M. (Ed.) </w:t>
      </w:r>
      <w:r w:rsidRPr="008439A3">
        <w:rPr>
          <w:i/>
          <w:lang w:val="en-CA"/>
        </w:rPr>
        <w:t>Foundations of Corporate Heritage</w:t>
      </w:r>
      <w:r w:rsidRPr="002803C1">
        <w:rPr>
          <w:lang w:val="en-CA"/>
        </w:rPr>
        <w:t xml:space="preserve"> (pp.</w:t>
      </w:r>
      <w:r>
        <w:rPr>
          <w:lang w:val="en-CA"/>
        </w:rPr>
        <w:t xml:space="preserve"> 89-129)</w:t>
      </w:r>
      <w:r w:rsidRPr="002803C1">
        <w:rPr>
          <w:lang w:val="en-CA"/>
        </w:rPr>
        <w:t xml:space="preserve">. </w:t>
      </w:r>
      <w:r>
        <w:rPr>
          <w:lang w:val="en-CA"/>
        </w:rPr>
        <w:t xml:space="preserve">London and New York: </w:t>
      </w:r>
      <w:r w:rsidRPr="002803C1">
        <w:rPr>
          <w:lang w:val="en-CA"/>
        </w:rPr>
        <w:t>Routledge.</w:t>
      </w:r>
    </w:p>
    <w:p w14:paraId="77270776" w14:textId="77777777" w:rsidR="00783078" w:rsidRPr="002803C1" w:rsidRDefault="00783078" w:rsidP="00783078">
      <w:pPr>
        <w:jc w:val="both"/>
        <w:rPr>
          <w:lang w:val="en-CA"/>
        </w:rPr>
      </w:pPr>
    </w:p>
    <w:p w14:paraId="2F563F8A" w14:textId="77777777" w:rsidR="00783078" w:rsidRPr="002803C1" w:rsidRDefault="00783078" w:rsidP="00783078">
      <w:pPr>
        <w:jc w:val="both"/>
        <w:outlineLvl w:val="0"/>
        <w:rPr>
          <w:lang w:val="en-CA"/>
        </w:rPr>
      </w:pPr>
      <w:r w:rsidRPr="002803C1">
        <w:rPr>
          <w:lang w:val="en-CA"/>
        </w:rPr>
        <w:t xml:space="preserve">Baptist, E. (2014). </w:t>
      </w:r>
      <w:r w:rsidRPr="008439A3">
        <w:rPr>
          <w:i/>
          <w:lang w:val="en-CA"/>
        </w:rPr>
        <w:t>The half has never been told: Slavery and the making of American Capitalism.</w:t>
      </w:r>
      <w:r w:rsidRPr="002803C1">
        <w:rPr>
          <w:lang w:val="en-CA"/>
        </w:rPr>
        <w:t xml:space="preserve"> New York: Basic Books. </w:t>
      </w:r>
    </w:p>
    <w:p w14:paraId="1AD06CC6" w14:textId="77777777" w:rsidR="00783078" w:rsidRPr="002803C1" w:rsidRDefault="00783078" w:rsidP="00783078">
      <w:pPr>
        <w:jc w:val="both"/>
        <w:outlineLvl w:val="0"/>
        <w:rPr>
          <w:lang w:val="en-CA"/>
        </w:rPr>
      </w:pPr>
    </w:p>
    <w:p w14:paraId="48E9A106" w14:textId="77777777" w:rsidR="00783078" w:rsidRPr="002803C1" w:rsidRDefault="00783078" w:rsidP="00783078">
      <w:pPr>
        <w:jc w:val="both"/>
        <w:outlineLvl w:val="0"/>
        <w:rPr>
          <w:lang w:val="en-CA"/>
        </w:rPr>
      </w:pPr>
      <w:r w:rsidRPr="002803C1">
        <w:rPr>
          <w:lang w:val="en-CA"/>
        </w:rPr>
        <w:t xml:space="preserve">Barthes, R. </w:t>
      </w:r>
      <w:r>
        <w:rPr>
          <w:lang w:val="en-CA"/>
        </w:rPr>
        <w:t>(</w:t>
      </w:r>
      <w:r w:rsidRPr="002803C1">
        <w:rPr>
          <w:lang w:val="en-CA"/>
        </w:rPr>
        <w:t>1977</w:t>
      </w:r>
      <w:r>
        <w:rPr>
          <w:lang w:val="en-CA"/>
        </w:rPr>
        <w:t>)</w:t>
      </w:r>
      <w:r w:rsidRPr="002803C1">
        <w:rPr>
          <w:lang w:val="en-CA"/>
        </w:rPr>
        <w:t xml:space="preserve">. </w:t>
      </w:r>
      <w:r w:rsidRPr="008439A3">
        <w:rPr>
          <w:i/>
          <w:lang w:val="en-CA"/>
        </w:rPr>
        <w:t>Image, music, text.</w:t>
      </w:r>
      <w:r w:rsidRPr="002803C1">
        <w:rPr>
          <w:lang w:val="en-CA"/>
        </w:rPr>
        <w:t xml:space="preserve"> </w:t>
      </w:r>
      <w:r>
        <w:rPr>
          <w:lang w:val="en-CA"/>
        </w:rPr>
        <w:t>translated by Heath, S.</w:t>
      </w:r>
      <w:r w:rsidRPr="002803C1">
        <w:rPr>
          <w:lang w:val="en-CA"/>
        </w:rPr>
        <w:t xml:space="preserve"> New York: Hill and Wang.</w:t>
      </w:r>
    </w:p>
    <w:p w14:paraId="45D34CC1" w14:textId="77777777" w:rsidR="00783078" w:rsidRPr="002803C1" w:rsidRDefault="00783078" w:rsidP="00783078">
      <w:pPr>
        <w:jc w:val="both"/>
        <w:rPr>
          <w:lang w:val="en-CA"/>
        </w:rPr>
      </w:pPr>
    </w:p>
    <w:p w14:paraId="56345F54" w14:textId="77777777" w:rsidR="00783078" w:rsidRPr="002803C1" w:rsidRDefault="00783078" w:rsidP="00783078">
      <w:pPr>
        <w:jc w:val="both"/>
        <w:outlineLvl w:val="0"/>
        <w:rPr>
          <w:lang w:val="en-CA"/>
        </w:rPr>
      </w:pPr>
      <w:r w:rsidRPr="002803C1">
        <w:rPr>
          <w:lang w:val="en-CA"/>
        </w:rPr>
        <w:t xml:space="preserve">Beard, C. A. (1935). That noble dream. </w:t>
      </w:r>
      <w:r w:rsidRPr="008439A3">
        <w:rPr>
          <w:i/>
          <w:lang w:val="en-CA"/>
        </w:rPr>
        <w:t xml:space="preserve">The American </w:t>
      </w:r>
      <w:r>
        <w:rPr>
          <w:i/>
          <w:lang w:val="en-CA"/>
        </w:rPr>
        <w:t>H</w:t>
      </w:r>
      <w:r w:rsidRPr="008439A3">
        <w:rPr>
          <w:i/>
          <w:lang w:val="en-CA"/>
        </w:rPr>
        <w:t xml:space="preserve">istorical </w:t>
      </w:r>
      <w:r>
        <w:rPr>
          <w:i/>
          <w:lang w:val="en-CA"/>
        </w:rPr>
        <w:t>R</w:t>
      </w:r>
      <w:r w:rsidRPr="008439A3">
        <w:rPr>
          <w:i/>
          <w:lang w:val="en-CA"/>
        </w:rPr>
        <w:t>eview</w:t>
      </w:r>
      <w:r w:rsidRPr="002803C1">
        <w:rPr>
          <w:lang w:val="en-CA"/>
        </w:rPr>
        <w:t>, 41(1), 74-87.</w:t>
      </w:r>
    </w:p>
    <w:p w14:paraId="323A03D7" w14:textId="77777777" w:rsidR="00783078" w:rsidRPr="002803C1" w:rsidRDefault="00783078" w:rsidP="00783078">
      <w:pPr>
        <w:jc w:val="both"/>
        <w:rPr>
          <w:lang w:val="en-CA"/>
        </w:rPr>
      </w:pPr>
    </w:p>
    <w:p w14:paraId="76B21F47" w14:textId="77777777" w:rsidR="00783078" w:rsidRDefault="00783078" w:rsidP="00783078">
      <w:pPr>
        <w:jc w:val="both"/>
        <w:rPr>
          <w:lang w:val="en-CA"/>
        </w:rPr>
      </w:pPr>
      <w:r w:rsidRPr="002803C1">
        <w:rPr>
          <w:lang w:val="en-CA"/>
        </w:rPr>
        <w:t xml:space="preserve">Bell, E., &amp; Taylor, S. (2016). Vernacular mourning and corporate memorialization in framing the death of Steve Jobs. </w:t>
      </w:r>
      <w:r w:rsidRPr="008439A3">
        <w:rPr>
          <w:i/>
          <w:lang w:val="en-CA"/>
        </w:rPr>
        <w:t>Organization</w:t>
      </w:r>
      <w:r w:rsidRPr="002803C1">
        <w:rPr>
          <w:lang w:val="en-CA"/>
        </w:rPr>
        <w:t>, 23(1), 114-132.</w:t>
      </w:r>
    </w:p>
    <w:p w14:paraId="2A66CE45" w14:textId="77777777" w:rsidR="00783078" w:rsidRDefault="00783078" w:rsidP="00783078">
      <w:pPr>
        <w:jc w:val="both"/>
        <w:rPr>
          <w:lang w:val="en-CA"/>
        </w:rPr>
      </w:pPr>
    </w:p>
    <w:p w14:paraId="45040110" w14:textId="77777777" w:rsidR="00783078" w:rsidRPr="00C879A2" w:rsidRDefault="00783078" w:rsidP="00783078">
      <w:pPr>
        <w:jc w:val="both"/>
        <w:rPr>
          <w:rFonts w:eastAsia="Arial Unicode MS"/>
          <w:color w:val="000000"/>
          <w:shd w:val="clear" w:color="auto" w:fill="FFFFFF"/>
        </w:rPr>
      </w:pPr>
      <w:r w:rsidRPr="00C879A2">
        <w:rPr>
          <w:rFonts w:eastAsia="Arial Unicode MS"/>
          <w:color w:val="000000"/>
          <w:shd w:val="clear" w:color="auto" w:fill="FFFFFF"/>
        </w:rPr>
        <w:t>Berger, P. L., &amp; Luckmann, T. (1967). </w:t>
      </w:r>
      <w:r w:rsidRPr="008439A3">
        <w:rPr>
          <w:rFonts w:eastAsia="Arial Unicode MS"/>
          <w:i/>
          <w:iCs/>
          <w:color w:val="000000"/>
          <w:shd w:val="clear" w:color="auto" w:fill="FFFFFF"/>
        </w:rPr>
        <w:t>The social construction of reality: A treatise in the sociology of knowledge</w:t>
      </w:r>
      <w:r w:rsidRPr="008439A3">
        <w:rPr>
          <w:rFonts w:eastAsia="Arial Unicode MS"/>
          <w:i/>
          <w:color w:val="000000"/>
          <w:shd w:val="clear" w:color="auto" w:fill="FFFFFF"/>
        </w:rPr>
        <w:t>.</w:t>
      </w:r>
      <w:r w:rsidRPr="00C879A2">
        <w:rPr>
          <w:rFonts w:eastAsia="Arial Unicode MS"/>
          <w:color w:val="000000"/>
          <w:shd w:val="clear" w:color="auto" w:fill="FFFFFF"/>
        </w:rPr>
        <w:t xml:space="preserve"> Garden City, N.Y: Doubleday</w:t>
      </w:r>
    </w:p>
    <w:p w14:paraId="45A98E0A" w14:textId="77777777" w:rsidR="00783078" w:rsidRPr="00C879A2" w:rsidRDefault="00783078" w:rsidP="00783078">
      <w:pPr>
        <w:jc w:val="both"/>
        <w:rPr>
          <w:lang w:val="en-CA"/>
        </w:rPr>
      </w:pPr>
    </w:p>
    <w:p w14:paraId="14BAFD90" w14:textId="77777777" w:rsidR="00783078" w:rsidRPr="00C879A2" w:rsidRDefault="00783078" w:rsidP="00783078">
      <w:pPr>
        <w:jc w:val="both"/>
        <w:rPr>
          <w:lang w:val="en-CA"/>
        </w:rPr>
      </w:pPr>
      <w:r w:rsidRPr="00C879A2">
        <w:rPr>
          <w:lang w:val="en-CA"/>
        </w:rPr>
        <w:t xml:space="preserve">Beverland, M. B. (2005). Crafting brand authenticity: The case of luxury wines. </w:t>
      </w:r>
      <w:r w:rsidRPr="008439A3">
        <w:rPr>
          <w:i/>
          <w:lang w:val="en-CA"/>
        </w:rPr>
        <w:t xml:space="preserve">Journal of </w:t>
      </w:r>
      <w:r>
        <w:rPr>
          <w:i/>
          <w:lang w:val="en-CA"/>
        </w:rPr>
        <w:t>M</w:t>
      </w:r>
      <w:r w:rsidRPr="008439A3">
        <w:rPr>
          <w:i/>
          <w:lang w:val="en-CA"/>
        </w:rPr>
        <w:t xml:space="preserve">anagement </w:t>
      </w:r>
      <w:r>
        <w:rPr>
          <w:i/>
          <w:lang w:val="en-CA"/>
        </w:rPr>
        <w:t>S</w:t>
      </w:r>
      <w:r w:rsidRPr="008439A3">
        <w:rPr>
          <w:i/>
          <w:lang w:val="en-CA"/>
        </w:rPr>
        <w:t>tudies</w:t>
      </w:r>
      <w:r w:rsidRPr="00C879A2">
        <w:rPr>
          <w:lang w:val="en-CA"/>
        </w:rPr>
        <w:t>, 42(5), 1003-1029.</w:t>
      </w:r>
    </w:p>
    <w:p w14:paraId="649E2E50" w14:textId="77777777" w:rsidR="00783078" w:rsidRPr="00C879A2" w:rsidRDefault="00783078" w:rsidP="00783078">
      <w:pPr>
        <w:jc w:val="both"/>
        <w:rPr>
          <w:lang w:val="en-CA"/>
        </w:rPr>
      </w:pPr>
    </w:p>
    <w:p w14:paraId="2363AB53" w14:textId="77777777" w:rsidR="00783078" w:rsidRPr="00C879A2" w:rsidRDefault="00783078" w:rsidP="00783078">
      <w:pPr>
        <w:jc w:val="both"/>
        <w:rPr>
          <w:lang w:val="en-CA"/>
        </w:rPr>
      </w:pPr>
      <w:r w:rsidRPr="00C879A2">
        <w:rPr>
          <w:lang w:val="en-CA"/>
        </w:rPr>
        <w:t xml:space="preserve">Blageov, B. (2018). </w:t>
      </w:r>
      <w:r w:rsidRPr="006C1D30">
        <w:rPr>
          <w:lang w:val="en-CA"/>
        </w:rPr>
        <w:t>The career of a catalog: Organizational memory, materiality and the dual nature of the past at the British Museum.</w:t>
      </w:r>
      <w:r w:rsidRPr="00C879A2">
        <w:rPr>
          <w:lang w:val="en-CA"/>
        </w:rPr>
        <w:t xml:space="preserve"> </w:t>
      </w:r>
      <w:r w:rsidRPr="006C1D30">
        <w:rPr>
          <w:i/>
          <w:lang w:val="en-CA"/>
        </w:rPr>
        <w:t>This volume.</w:t>
      </w:r>
    </w:p>
    <w:p w14:paraId="41B05715" w14:textId="77777777" w:rsidR="00783078" w:rsidRPr="00C879A2" w:rsidRDefault="00783078" w:rsidP="00783078">
      <w:pPr>
        <w:jc w:val="both"/>
        <w:rPr>
          <w:lang w:val="en-CA"/>
        </w:rPr>
      </w:pPr>
    </w:p>
    <w:p w14:paraId="2509A8DB" w14:textId="77777777" w:rsidR="00783078" w:rsidRPr="00C879A2" w:rsidRDefault="00783078" w:rsidP="00783078">
      <w:pPr>
        <w:jc w:val="both"/>
        <w:rPr>
          <w:lang w:val="en-CA"/>
        </w:rPr>
      </w:pPr>
      <w:r w:rsidRPr="00C879A2">
        <w:rPr>
          <w:lang w:val="en-CA"/>
        </w:rPr>
        <w:t xml:space="preserve">Boje, D. M., Haley, U. C., &amp; Saylors, R. (2016). Antenarratives of organizational change: The microstoria of Burger King’s storytelling in space, time and strategic context. </w:t>
      </w:r>
      <w:r>
        <w:rPr>
          <w:i/>
          <w:lang w:val="en-CA"/>
        </w:rPr>
        <w:t>H</w:t>
      </w:r>
      <w:r w:rsidRPr="008439A3">
        <w:rPr>
          <w:i/>
          <w:lang w:val="en-CA"/>
        </w:rPr>
        <w:t xml:space="preserve">uman </w:t>
      </w:r>
      <w:r>
        <w:rPr>
          <w:i/>
          <w:lang w:val="en-CA"/>
        </w:rPr>
        <w:t>R</w:t>
      </w:r>
      <w:r w:rsidRPr="008439A3">
        <w:rPr>
          <w:i/>
          <w:lang w:val="en-CA"/>
        </w:rPr>
        <w:t>elations</w:t>
      </w:r>
      <w:r w:rsidRPr="00C879A2">
        <w:rPr>
          <w:lang w:val="en-CA"/>
        </w:rPr>
        <w:t>, 69(2), 391-418.</w:t>
      </w:r>
    </w:p>
    <w:p w14:paraId="7E9FA66E" w14:textId="77777777" w:rsidR="00783078" w:rsidRPr="00C879A2" w:rsidRDefault="00783078" w:rsidP="00783078">
      <w:pPr>
        <w:jc w:val="both"/>
        <w:rPr>
          <w:lang w:val="en-CA"/>
        </w:rPr>
      </w:pPr>
    </w:p>
    <w:p w14:paraId="4DC0D819" w14:textId="77777777" w:rsidR="00783078" w:rsidRDefault="00783078" w:rsidP="00783078">
      <w:pPr>
        <w:jc w:val="both"/>
        <w:rPr>
          <w:lang w:val="en-CA"/>
        </w:rPr>
      </w:pPr>
      <w:r w:rsidRPr="00C879A2">
        <w:t xml:space="preserve">Brunninge, O. (2009). Using history in organizations: How managers make purposeful reference to history in strategy processes, </w:t>
      </w:r>
      <w:r w:rsidRPr="008439A3">
        <w:rPr>
          <w:i/>
        </w:rPr>
        <w:t>Journal of Organizational Change Management</w:t>
      </w:r>
      <w:r w:rsidRPr="00C879A2">
        <w:t>, 22</w:t>
      </w:r>
      <w:r>
        <w:t>(</w:t>
      </w:r>
      <w:r w:rsidRPr="00C879A2">
        <w:t>1</w:t>
      </w:r>
      <w:r>
        <w:t>)</w:t>
      </w:r>
      <w:r w:rsidRPr="00C879A2">
        <w:t>, 8-26</w:t>
      </w:r>
      <w:r>
        <w:t>.</w:t>
      </w:r>
    </w:p>
    <w:p w14:paraId="7A2F26F2" w14:textId="77777777" w:rsidR="00783078" w:rsidRDefault="00783078" w:rsidP="00783078">
      <w:pPr>
        <w:jc w:val="both"/>
        <w:rPr>
          <w:lang w:val="en-CA"/>
        </w:rPr>
      </w:pPr>
    </w:p>
    <w:p w14:paraId="7DF61962" w14:textId="77777777" w:rsidR="00783078" w:rsidRDefault="00783078" w:rsidP="00783078">
      <w:pPr>
        <w:jc w:val="both"/>
        <w:rPr>
          <w:lang w:val="en-CA"/>
        </w:rPr>
      </w:pPr>
      <w:r w:rsidRPr="00191BBC">
        <w:rPr>
          <w:lang w:val="en-CA"/>
        </w:rPr>
        <w:t xml:space="preserve">Bucheli, M., &amp; Wadhwani, R. D. (Eds.) (2014). </w:t>
      </w:r>
      <w:r w:rsidRPr="00191BBC">
        <w:rPr>
          <w:i/>
          <w:lang w:val="en-CA"/>
        </w:rPr>
        <w:t>Organizations in time. History, theory, methods.</w:t>
      </w:r>
      <w:r w:rsidRPr="00191BBC">
        <w:rPr>
          <w:lang w:val="en-CA"/>
        </w:rPr>
        <w:t xml:space="preserve"> Oxford: Oxford University Press.</w:t>
      </w:r>
    </w:p>
    <w:p w14:paraId="6538AE06" w14:textId="77777777" w:rsidR="00783078" w:rsidRDefault="00783078" w:rsidP="00783078">
      <w:pPr>
        <w:jc w:val="both"/>
        <w:rPr>
          <w:lang w:val="en-CA"/>
        </w:rPr>
      </w:pPr>
    </w:p>
    <w:p w14:paraId="4A790BE6" w14:textId="77777777" w:rsidR="00783078" w:rsidRDefault="00783078" w:rsidP="00783078">
      <w:pPr>
        <w:jc w:val="both"/>
        <w:rPr>
          <w:lang w:val="en-CA"/>
        </w:rPr>
      </w:pPr>
      <w:r w:rsidRPr="003E0E59">
        <w:rPr>
          <w:lang w:val="en-CA"/>
        </w:rPr>
        <w:t xml:space="preserve">Burrell, G. (1988). Modernism, post modernism and organizational analysis 2: The contribution of Michel Foucault. </w:t>
      </w:r>
      <w:r w:rsidRPr="006C1D30">
        <w:rPr>
          <w:i/>
          <w:lang w:val="en-CA"/>
        </w:rPr>
        <w:t xml:space="preserve">Organization </w:t>
      </w:r>
      <w:r>
        <w:rPr>
          <w:i/>
          <w:lang w:val="en-CA"/>
        </w:rPr>
        <w:t>S</w:t>
      </w:r>
      <w:r w:rsidRPr="006C1D30">
        <w:rPr>
          <w:i/>
          <w:lang w:val="en-CA"/>
        </w:rPr>
        <w:t>tudies</w:t>
      </w:r>
      <w:r w:rsidRPr="003E0E59">
        <w:rPr>
          <w:lang w:val="en-CA"/>
        </w:rPr>
        <w:t>, 9(2), 221-235.</w:t>
      </w:r>
    </w:p>
    <w:p w14:paraId="20CA49BA" w14:textId="77777777" w:rsidR="00783078" w:rsidRDefault="00783078" w:rsidP="00783078">
      <w:pPr>
        <w:jc w:val="both"/>
        <w:rPr>
          <w:lang w:val="en-CA"/>
        </w:rPr>
      </w:pPr>
    </w:p>
    <w:p w14:paraId="0B7B2FE0" w14:textId="77777777" w:rsidR="00783078" w:rsidRDefault="00783078" w:rsidP="00783078">
      <w:pPr>
        <w:jc w:val="both"/>
        <w:rPr>
          <w:lang w:val="en-CA"/>
        </w:rPr>
      </w:pPr>
      <w:r>
        <w:rPr>
          <w:lang w:val="en-CA"/>
        </w:rPr>
        <w:t xml:space="preserve">Burke (1962). </w:t>
      </w:r>
      <w:r w:rsidRPr="006C1D30">
        <w:rPr>
          <w:i/>
          <w:lang w:val="en-CA"/>
        </w:rPr>
        <w:t>A Rhetoric of motives.</w:t>
      </w:r>
      <w:r>
        <w:rPr>
          <w:lang w:val="en-CA"/>
        </w:rPr>
        <w:t xml:space="preserve"> Cleveland: World Publishing Company. </w:t>
      </w:r>
    </w:p>
    <w:p w14:paraId="0FE86CE9" w14:textId="77777777" w:rsidR="00783078" w:rsidRDefault="00783078" w:rsidP="00783078">
      <w:pPr>
        <w:jc w:val="both"/>
        <w:rPr>
          <w:lang w:val="en-CA"/>
        </w:rPr>
      </w:pPr>
    </w:p>
    <w:p w14:paraId="62A6D386" w14:textId="77777777" w:rsidR="00783078" w:rsidRDefault="00783078" w:rsidP="00783078">
      <w:pPr>
        <w:jc w:val="both"/>
        <w:rPr>
          <w:lang w:val="en-CA"/>
        </w:rPr>
      </w:pPr>
      <w:r w:rsidRPr="0092048F">
        <w:rPr>
          <w:lang w:val="en-CA"/>
        </w:rPr>
        <w:t xml:space="preserve">Butler, J. (1986). Sex and gender in Simone de Beauvoir's Second Sex. </w:t>
      </w:r>
      <w:r w:rsidRPr="006C1D30">
        <w:rPr>
          <w:i/>
          <w:lang w:val="en-CA"/>
        </w:rPr>
        <w:t>Yale French Studies</w:t>
      </w:r>
      <w:r w:rsidRPr="0092048F">
        <w:rPr>
          <w:lang w:val="en-CA"/>
        </w:rPr>
        <w:t xml:space="preserve"> 72, 35-49.</w:t>
      </w:r>
    </w:p>
    <w:p w14:paraId="350DB451" w14:textId="77777777" w:rsidR="00783078" w:rsidRDefault="00783078" w:rsidP="00783078">
      <w:pPr>
        <w:jc w:val="both"/>
        <w:rPr>
          <w:lang w:val="en-CA"/>
        </w:rPr>
      </w:pPr>
    </w:p>
    <w:p w14:paraId="69CB4BD5" w14:textId="77777777" w:rsidR="00783078" w:rsidRDefault="00783078" w:rsidP="00783078">
      <w:pPr>
        <w:jc w:val="both"/>
        <w:rPr>
          <w:lang w:val="en-CA"/>
        </w:rPr>
      </w:pPr>
      <w:r>
        <w:rPr>
          <w:lang w:val="en-CA"/>
        </w:rPr>
        <w:t xml:space="preserve">Cailluet, L. (2018). Do not expect me to stay quiet: Challenges in managing a historical strategic resource. </w:t>
      </w:r>
      <w:r w:rsidRPr="006C1D30">
        <w:rPr>
          <w:i/>
          <w:lang w:val="en-CA"/>
        </w:rPr>
        <w:t>This volume.</w:t>
      </w:r>
    </w:p>
    <w:p w14:paraId="3729245D" w14:textId="77777777" w:rsidR="00783078" w:rsidRDefault="00783078" w:rsidP="00783078">
      <w:pPr>
        <w:jc w:val="both"/>
        <w:rPr>
          <w:lang w:val="en-CA"/>
        </w:rPr>
      </w:pPr>
    </w:p>
    <w:p w14:paraId="4064D289" w14:textId="77777777" w:rsidR="00783078" w:rsidRDefault="00783078" w:rsidP="00783078">
      <w:pPr>
        <w:jc w:val="both"/>
        <w:outlineLvl w:val="0"/>
        <w:rPr>
          <w:lang w:val="en-CA"/>
        </w:rPr>
      </w:pPr>
      <w:r>
        <w:rPr>
          <w:lang w:val="en-CA"/>
        </w:rPr>
        <w:t xml:space="preserve">Carr, D. (1991). </w:t>
      </w:r>
      <w:r w:rsidRPr="006C1D30">
        <w:rPr>
          <w:i/>
          <w:lang w:val="en-CA"/>
        </w:rPr>
        <w:t>Time, narrative and history.</w:t>
      </w:r>
      <w:r>
        <w:rPr>
          <w:lang w:val="en-CA"/>
        </w:rPr>
        <w:t xml:space="preserve"> Bloomington, IN: Indiana University Press.</w:t>
      </w:r>
    </w:p>
    <w:p w14:paraId="76EDA7EF" w14:textId="77777777" w:rsidR="00783078" w:rsidRPr="00065DDD" w:rsidRDefault="00783078" w:rsidP="00783078">
      <w:pPr>
        <w:jc w:val="both"/>
        <w:rPr>
          <w:lang w:val="en-CA"/>
        </w:rPr>
      </w:pPr>
    </w:p>
    <w:p w14:paraId="165077AF" w14:textId="77777777" w:rsidR="00783078" w:rsidRPr="00065DDD" w:rsidRDefault="00783078" w:rsidP="00783078">
      <w:pPr>
        <w:jc w:val="both"/>
        <w:outlineLvl w:val="0"/>
        <w:rPr>
          <w:rStyle w:val="HTMLCite"/>
          <w:i w:val="0"/>
        </w:rPr>
      </w:pPr>
      <w:r w:rsidRPr="00065DDD">
        <w:rPr>
          <w:rStyle w:val="HTMLCite"/>
          <w:i w:val="0"/>
        </w:rPr>
        <w:t xml:space="preserve">Cicero, M. T. (1860). </w:t>
      </w:r>
      <w:hyperlink r:id="rId8" w:history="1">
        <w:r w:rsidRPr="00065DDD">
          <w:rPr>
            <w:rStyle w:val="Hyperlink"/>
            <w:i/>
            <w:color w:val="auto"/>
            <w:u w:val="none"/>
          </w:rPr>
          <w:t>On oratory and orators</w:t>
        </w:r>
      </w:hyperlink>
      <w:r w:rsidRPr="00065DDD">
        <w:rPr>
          <w:rStyle w:val="HTMLCite"/>
          <w:i w:val="0"/>
        </w:rPr>
        <w:t>. (Translated by Watson, J. S). New York: Harper &amp; Brothers.</w:t>
      </w:r>
    </w:p>
    <w:p w14:paraId="280C31CB" w14:textId="77777777" w:rsidR="00783078" w:rsidRPr="00065DDD" w:rsidRDefault="00783078" w:rsidP="00783078">
      <w:pPr>
        <w:jc w:val="both"/>
        <w:outlineLvl w:val="0"/>
        <w:rPr>
          <w:lang w:val="en-CA"/>
        </w:rPr>
      </w:pPr>
    </w:p>
    <w:p w14:paraId="76DEFB94" w14:textId="77777777" w:rsidR="00783078" w:rsidRPr="00065DDD" w:rsidRDefault="00783078" w:rsidP="00783078">
      <w:pPr>
        <w:jc w:val="both"/>
        <w:outlineLvl w:val="0"/>
        <w:rPr>
          <w:lang w:val="en-CA"/>
        </w:rPr>
      </w:pPr>
      <w:r w:rsidRPr="00065DDD">
        <w:rPr>
          <w:lang w:val="en-CA"/>
        </w:rPr>
        <w:t xml:space="preserve">Clegg, S. (1981). Organization and control. </w:t>
      </w:r>
      <w:r w:rsidRPr="006C1D30">
        <w:rPr>
          <w:i/>
          <w:lang w:val="en-CA"/>
        </w:rPr>
        <w:t xml:space="preserve">Administrative </w:t>
      </w:r>
      <w:r>
        <w:rPr>
          <w:i/>
          <w:lang w:val="en-CA"/>
        </w:rPr>
        <w:t>S</w:t>
      </w:r>
      <w:r w:rsidRPr="006C1D30">
        <w:rPr>
          <w:i/>
          <w:lang w:val="en-CA"/>
        </w:rPr>
        <w:t xml:space="preserve">cience </w:t>
      </w:r>
      <w:r>
        <w:rPr>
          <w:i/>
          <w:lang w:val="en-CA"/>
        </w:rPr>
        <w:t>Q</w:t>
      </w:r>
      <w:r w:rsidRPr="006C1D30">
        <w:rPr>
          <w:i/>
          <w:lang w:val="en-CA"/>
        </w:rPr>
        <w:t>uarterly</w:t>
      </w:r>
      <w:r w:rsidRPr="00065DDD">
        <w:rPr>
          <w:lang w:val="en-CA"/>
        </w:rPr>
        <w:t>,</w:t>
      </w:r>
      <w:r>
        <w:rPr>
          <w:lang w:val="en-CA"/>
        </w:rPr>
        <w:t xml:space="preserve"> 26(4),</w:t>
      </w:r>
      <w:r w:rsidRPr="00065DDD">
        <w:rPr>
          <w:lang w:val="en-CA"/>
        </w:rPr>
        <w:t xml:space="preserve"> 545-562.</w:t>
      </w:r>
    </w:p>
    <w:p w14:paraId="63665DDE" w14:textId="77777777" w:rsidR="00783078" w:rsidRPr="00065DDD" w:rsidRDefault="00783078" w:rsidP="00783078">
      <w:pPr>
        <w:jc w:val="both"/>
        <w:rPr>
          <w:lang w:val="en-CA"/>
        </w:rPr>
      </w:pPr>
    </w:p>
    <w:p w14:paraId="692BE649" w14:textId="77777777" w:rsidR="00783078" w:rsidRPr="00065DDD" w:rsidRDefault="00783078" w:rsidP="00783078">
      <w:r w:rsidRPr="00065DDD">
        <w:rPr>
          <w:color w:val="000000"/>
        </w:rPr>
        <w:t>Coraiola, D., Suddaby, R.</w:t>
      </w:r>
      <w:r>
        <w:rPr>
          <w:color w:val="000000"/>
        </w:rPr>
        <w:t>,</w:t>
      </w:r>
      <w:r w:rsidRPr="00065DDD">
        <w:rPr>
          <w:color w:val="000000"/>
        </w:rPr>
        <w:t xml:space="preserve"> &amp; Foster, W. (2018)</w:t>
      </w:r>
      <w:r>
        <w:rPr>
          <w:color w:val="000000"/>
        </w:rPr>
        <w:t>.</w:t>
      </w:r>
      <w:r w:rsidRPr="00065DDD">
        <w:rPr>
          <w:color w:val="000000"/>
        </w:rPr>
        <w:t xml:space="preserve"> Organizational </w:t>
      </w:r>
      <w:r>
        <w:rPr>
          <w:color w:val="000000"/>
        </w:rPr>
        <w:t>f</w:t>
      </w:r>
      <w:r w:rsidRPr="00065DDD">
        <w:rPr>
          <w:color w:val="000000"/>
        </w:rPr>
        <w:t xml:space="preserve">ields as </w:t>
      </w:r>
      <w:r>
        <w:rPr>
          <w:color w:val="000000"/>
        </w:rPr>
        <w:t>m</w:t>
      </w:r>
      <w:r w:rsidRPr="00065DDD">
        <w:rPr>
          <w:color w:val="000000"/>
        </w:rPr>
        <w:t xml:space="preserve">nemonic </w:t>
      </w:r>
      <w:r>
        <w:rPr>
          <w:color w:val="000000"/>
        </w:rPr>
        <w:t>c</w:t>
      </w:r>
      <w:r w:rsidRPr="00065DDD">
        <w:rPr>
          <w:color w:val="000000"/>
        </w:rPr>
        <w:t xml:space="preserve">ommunities, </w:t>
      </w:r>
      <w:r>
        <w:rPr>
          <w:color w:val="000000"/>
        </w:rPr>
        <w:t xml:space="preserve">In J. </w:t>
      </w:r>
      <w:r w:rsidRPr="00065DDD">
        <w:rPr>
          <w:color w:val="000000"/>
        </w:rPr>
        <w:t xml:space="preserve">Glücker, </w:t>
      </w:r>
      <w:r>
        <w:rPr>
          <w:color w:val="000000"/>
        </w:rPr>
        <w:t xml:space="preserve">R. </w:t>
      </w:r>
      <w:r w:rsidRPr="00065DDD">
        <w:rPr>
          <w:color w:val="000000"/>
        </w:rPr>
        <w:t>Suddaby</w:t>
      </w:r>
      <w:r>
        <w:rPr>
          <w:color w:val="000000"/>
        </w:rPr>
        <w:t>,</w:t>
      </w:r>
      <w:r w:rsidRPr="00065DDD">
        <w:rPr>
          <w:color w:val="000000"/>
        </w:rPr>
        <w:t xml:space="preserve"> &amp; </w:t>
      </w:r>
      <w:r>
        <w:rPr>
          <w:color w:val="000000"/>
        </w:rPr>
        <w:t xml:space="preserve">R. </w:t>
      </w:r>
      <w:r w:rsidRPr="00065DDD">
        <w:rPr>
          <w:color w:val="000000"/>
        </w:rPr>
        <w:t>Lenz (Eds.)</w:t>
      </w:r>
      <w:r>
        <w:rPr>
          <w:color w:val="000000"/>
        </w:rPr>
        <w:t xml:space="preserve"> </w:t>
      </w:r>
      <w:r w:rsidRPr="00065DDD">
        <w:rPr>
          <w:color w:val="000000"/>
        </w:rPr>
        <w:t>Knowledge and Institutions</w:t>
      </w:r>
      <w:r>
        <w:rPr>
          <w:color w:val="000000"/>
        </w:rPr>
        <w:t xml:space="preserve"> (p</w:t>
      </w:r>
      <w:r w:rsidRPr="00065DDD">
        <w:rPr>
          <w:color w:val="000000"/>
        </w:rPr>
        <w:t>p. 45-6</w:t>
      </w:r>
      <w:r>
        <w:rPr>
          <w:color w:val="000000"/>
        </w:rPr>
        <w:t>8).</w:t>
      </w:r>
      <w:r w:rsidRPr="00065DDD">
        <w:rPr>
          <w:color w:val="000000"/>
        </w:rPr>
        <w:t xml:space="preserve"> </w:t>
      </w:r>
      <w:r>
        <w:rPr>
          <w:color w:val="000000"/>
        </w:rPr>
        <w:t xml:space="preserve">Cham: </w:t>
      </w:r>
      <w:r w:rsidRPr="00065DDD">
        <w:rPr>
          <w:color w:val="000000"/>
        </w:rPr>
        <w:t>Springer International Publishing.</w:t>
      </w:r>
    </w:p>
    <w:p w14:paraId="542E7A26" w14:textId="77777777" w:rsidR="00783078" w:rsidRPr="00065DDD" w:rsidRDefault="00783078" w:rsidP="00783078">
      <w:pPr>
        <w:jc w:val="both"/>
        <w:rPr>
          <w:lang w:val="en-CA"/>
        </w:rPr>
      </w:pPr>
      <w:r w:rsidRPr="00065DDD">
        <w:rPr>
          <w:lang w:val="en-CA"/>
        </w:rPr>
        <w:t xml:space="preserve"> </w:t>
      </w:r>
    </w:p>
    <w:p w14:paraId="1610F8C5" w14:textId="77777777" w:rsidR="00783078" w:rsidRDefault="00783078" w:rsidP="00783078">
      <w:pPr>
        <w:jc w:val="both"/>
        <w:rPr>
          <w:lang w:val="en-CA"/>
        </w:rPr>
      </w:pPr>
      <w:r w:rsidRPr="00065DDD">
        <w:rPr>
          <w:lang w:val="en-CA"/>
        </w:rPr>
        <w:t>Cross, G. (2015).</w:t>
      </w:r>
      <w:r w:rsidRPr="000D3BE1">
        <w:rPr>
          <w:lang w:val="en-CA"/>
        </w:rPr>
        <w:t xml:space="preserve"> </w:t>
      </w:r>
      <w:r w:rsidRPr="006C1D30">
        <w:rPr>
          <w:i/>
          <w:lang w:val="en-CA"/>
        </w:rPr>
        <w:t>Consumed nostalgia: Memory in the age of fast capitalism.</w:t>
      </w:r>
      <w:r w:rsidRPr="000D3BE1">
        <w:rPr>
          <w:lang w:val="en-CA"/>
        </w:rPr>
        <w:t xml:space="preserve"> </w:t>
      </w:r>
      <w:r>
        <w:rPr>
          <w:lang w:val="en-CA"/>
        </w:rPr>
        <w:t xml:space="preserve">New York: </w:t>
      </w:r>
      <w:r w:rsidRPr="000D3BE1">
        <w:rPr>
          <w:lang w:val="en-CA"/>
        </w:rPr>
        <w:t>Columbia University Press.</w:t>
      </w:r>
    </w:p>
    <w:p w14:paraId="242465CD" w14:textId="77777777" w:rsidR="00783078" w:rsidRDefault="00783078" w:rsidP="00783078">
      <w:pPr>
        <w:jc w:val="both"/>
        <w:rPr>
          <w:lang w:val="en-CA"/>
        </w:rPr>
      </w:pPr>
    </w:p>
    <w:p w14:paraId="236220D9" w14:textId="77777777" w:rsidR="00783078" w:rsidRDefault="00783078" w:rsidP="00783078">
      <w:pPr>
        <w:jc w:val="both"/>
        <w:rPr>
          <w:lang w:val="en-CA"/>
        </w:rPr>
      </w:pPr>
      <w:r>
        <w:rPr>
          <w:lang w:val="en-CA"/>
        </w:rPr>
        <w:t xml:space="preserve">Dalpiaz, E., &amp; Stefano, G. (2018). A universe of stories: Mobilizing narrative practices during moments of change. </w:t>
      </w:r>
      <w:r w:rsidRPr="006C1D30">
        <w:rPr>
          <w:i/>
          <w:lang w:val="en-CA"/>
        </w:rPr>
        <w:t>Strategic Management Journal</w:t>
      </w:r>
      <w:r>
        <w:rPr>
          <w:lang w:val="en-CA"/>
        </w:rPr>
        <w:t>, 39(3): 664-696.</w:t>
      </w:r>
    </w:p>
    <w:p w14:paraId="0692E13A" w14:textId="77777777" w:rsidR="00783078" w:rsidRDefault="00783078" w:rsidP="00783078">
      <w:pPr>
        <w:jc w:val="both"/>
        <w:rPr>
          <w:lang w:val="en-CA"/>
        </w:rPr>
      </w:pPr>
    </w:p>
    <w:p w14:paraId="4BD730FB" w14:textId="77777777" w:rsidR="00783078" w:rsidRPr="00C11FF5" w:rsidRDefault="00783078" w:rsidP="00783078">
      <w:pPr>
        <w:jc w:val="both"/>
        <w:rPr>
          <w:lang w:val="en-CA"/>
        </w:rPr>
      </w:pPr>
      <w:r w:rsidRPr="00E2068E">
        <w:rPr>
          <w:lang w:val="en-CA"/>
        </w:rPr>
        <w:t xml:space="preserve">David, P. </w:t>
      </w:r>
      <w:r w:rsidRPr="00C11FF5">
        <w:rPr>
          <w:lang w:val="en-CA"/>
        </w:rPr>
        <w:t xml:space="preserve">A. (2005). Path dependence in economic processes: </w:t>
      </w:r>
      <w:r>
        <w:rPr>
          <w:lang w:val="en-CA"/>
        </w:rPr>
        <w:t>I</w:t>
      </w:r>
      <w:r w:rsidRPr="00C11FF5">
        <w:rPr>
          <w:lang w:val="en-CA"/>
        </w:rPr>
        <w:t xml:space="preserve">mplications for policy analysis in dynamical systems contexts. </w:t>
      </w:r>
      <w:r>
        <w:rPr>
          <w:lang w:val="en-CA"/>
        </w:rPr>
        <w:t xml:space="preserve">In K. Dopfer (Ed.), </w:t>
      </w:r>
      <w:r w:rsidRPr="006C1D30">
        <w:rPr>
          <w:i/>
          <w:lang w:val="en-CA"/>
        </w:rPr>
        <w:t>The evolutionary foundations of economics</w:t>
      </w:r>
      <w:r>
        <w:rPr>
          <w:lang w:val="en-CA"/>
        </w:rPr>
        <w:t xml:space="preserve"> (pp.</w:t>
      </w:r>
      <w:r w:rsidRPr="00C11FF5">
        <w:rPr>
          <w:lang w:val="en-CA"/>
        </w:rPr>
        <w:t xml:space="preserve"> 151-194</w:t>
      </w:r>
      <w:r>
        <w:rPr>
          <w:lang w:val="en-CA"/>
        </w:rPr>
        <w:t>)</w:t>
      </w:r>
      <w:r w:rsidRPr="00C11FF5">
        <w:rPr>
          <w:lang w:val="en-CA"/>
        </w:rPr>
        <w:t>.</w:t>
      </w:r>
      <w:r>
        <w:rPr>
          <w:lang w:val="en-CA"/>
        </w:rPr>
        <w:t xml:space="preserve"> Cambridge: Cambridge University Press.</w:t>
      </w:r>
    </w:p>
    <w:p w14:paraId="197EEEE5" w14:textId="77777777" w:rsidR="00783078" w:rsidRPr="00C11FF5" w:rsidRDefault="00783078" w:rsidP="00783078">
      <w:pPr>
        <w:jc w:val="both"/>
        <w:rPr>
          <w:lang w:val="en-CA"/>
        </w:rPr>
      </w:pPr>
    </w:p>
    <w:p w14:paraId="359F7546" w14:textId="77777777" w:rsidR="00783078" w:rsidRDefault="00783078" w:rsidP="00783078">
      <w:pPr>
        <w:jc w:val="both"/>
        <w:rPr>
          <w:rFonts w:eastAsiaTheme="minorHAnsi"/>
        </w:rPr>
      </w:pPr>
      <w:r w:rsidRPr="00C11FF5">
        <w:rPr>
          <w:rFonts w:eastAsiaTheme="minorHAnsi"/>
        </w:rPr>
        <w:t>Decker, Stephanie.</w:t>
      </w:r>
      <w:r>
        <w:rPr>
          <w:rFonts w:eastAsiaTheme="minorHAnsi"/>
        </w:rPr>
        <w:t xml:space="preserve"> (2013).</w:t>
      </w:r>
      <w:r w:rsidRPr="00C11FF5">
        <w:rPr>
          <w:rFonts w:eastAsiaTheme="minorHAnsi"/>
        </w:rPr>
        <w:t xml:space="preserve"> The </w:t>
      </w:r>
      <w:r>
        <w:rPr>
          <w:rFonts w:eastAsiaTheme="minorHAnsi"/>
        </w:rPr>
        <w:t>s</w:t>
      </w:r>
      <w:r w:rsidRPr="00C11FF5">
        <w:rPr>
          <w:rFonts w:eastAsiaTheme="minorHAnsi"/>
        </w:rPr>
        <w:t xml:space="preserve">ilence of the </w:t>
      </w:r>
      <w:r>
        <w:rPr>
          <w:rFonts w:eastAsiaTheme="minorHAnsi"/>
        </w:rPr>
        <w:t>a</w:t>
      </w:r>
      <w:r w:rsidRPr="00C11FF5">
        <w:rPr>
          <w:rFonts w:eastAsiaTheme="minorHAnsi"/>
        </w:rPr>
        <w:t xml:space="preserve">rchives: Business History, Post-Colonialism and Archival Ethnography. </w:t>
      </w:r>
      <w:r w:rsidRPr="00BF68EB">
        <w:rPr>
          <w:rFonts w:eastAsiaTheme="minorHAnsi"/>
          <w:i/>
          <w:iCs/>
        </w:rPr>
        <w:t>Management and Organizational History</w:t>
      </w:r>
      <w:r w:rsidRPr="00C11FF5">
        <w:rPr>
          <w:rFonts w:eastAsiaTheme="minorHAnsi"/>
          <w:i/>
          <w:iCs/>
        </w:rPr>
        <w:t xml:space="preserve"> </w:t>
      </w:r>
      <w:r w:rsidRPr="00C11FF5">
        <w:rPr>
          <w:rFonts w:eastAsiaTheme="minorHAnsi"/>
        </w:rPr>
        <w:t>8</w:t>
      </w:r>
      <w:r>
        <w:rPr>
          <w:rFonts w:eastAsiaTheme="minorHAnsi"/>
        </w:rPr>
        <w:t>(2),</w:t>
      </w:r>
      <w:r w:rsidRPr="00C11FF5">
        <w:rPr>
          <w:rFonts w:eastAsiaTheme="minorHAnsi"/>
        </w:rPr>
        <w:t xml:space="preserve"> 155-73.</w:t>
      </w:r>
    </w:p>
    <w:p w14:paraId="4162CD1B" w14:textId="77777777" w:rsidR="00783078" w:rsidRDefault="00783078" w:rsidP="00783078">
      <w:pPr>
        <w:jc w:val="both"/>
        <w:rPr>
          <w:rFonts w:eastAsiaTheme="minorHAnsi"/>
        </w:rPr>
      </w:pPr>
    </w:p>
    <w:p w14:paraId="06635403" w14:textId="77777777" w:rsidR="00783078" w:rsidRPr="00C11FF5" w:rsidRDefault="00783078" w:rsidP="00783078">
      <w:pPr>
        <w:jc w:val="both"/>
        <w:rPr>
          <w:rFonts w:eastAsiaTheme="minorHAnsi"/>
        </w:rPr>
      </w:pPr>
      <w:r>
        <w:rPr>
          <w:rFonts w:eastAsiaTheme="minorHAnsi"/>
        </w:rPr>
        <w:t xml:space="preserve">Decker, Stephanie. (2014). Solid intentions: An archival ethnography of corporate architecture and organizational remembering. </w:t>
      </w:r>
      <w:r w:rsidRPr="00BF68EB">
        <w:rPr>
          <w:rFonts w:eastAsiaTheme="minorHAnsi"/>
          <w:i/>
        </w:rPr>
        <w:t>Organization</w:t>
      </w:r>
      <w:r>
        <w:rPr>
          <w:rFonts w:eastAsiaTheme="minorHAnsi"/>
        </w:rPr>
        <w:t xml:space="preserve"> 21(4), 514-542.</w:t>
      </w:r>
    </w:p>
    <w:p w14:paraId="2B9AAA58" w14:textId="77777777" w:rsidR="00783078" w:rsidRPr="00065DDD" w:rsidRDefault="00783078" w:rsidP="00783078">
      <w:pPr>
        <w:jc w:val="both"/>
        <w:rPr>
          <w:lang w:val="en-CA"/>
        </w:rPr>
      </w:pPr>
    </w:p>
    <w:p w14:paraId="6785AEBC" w14:textId="77777777" w:rsidR="00783078" w:rsidRDefault="00783078" w:rsidP="00783078">
      <w:pPr>
        <w:jc w:val="both"/>
        <w:rPr>
          <w:lang w:val="en-CA"/>
        </w:rPr>
      </w:pPr>
      <w:r w:rsidRPr="00065DDD">
        <w:rPr>
          <w:lang w:val="en-CA"/>
        </w:rPr>
        <w:t>Dilthey, W. (</w:t>
      </w:r>
      <w:r>
        <w:rPr>
          <w:lang w:val="en-CA"/>
        </w:rPr>
        <w:t>2010 [1910]</w:t>
      </w:r>
      <w:r w:rsidRPr="00065DDD">
        <w:rPr>
          <w:lang w:val="en-CA"/>
        </w:rPr>
        <w:t xml:space="preserve">). </w:t>
      </w:r>
      <w:r w:rsidRPr="00BF68EB">
        <w:rPr>
          <w:i/>
          <w:lang w:val="en-CA"/>
        </w:rPr>
        <w:t>The formation of the human world in the human sciences</w:t>
      </w:r>
      <w:r w:rsidRPr="00065DDD">
        <w:rPr>
          <w:lang w:val="en-CA"/>
        </w:rPr>
        <w:t xml:space="preserve">. </w:t>
      </w:r>
      <w:r>
        <w:rPr>
          <w:lang w:val="en-CA"/>
        </w:rPr>
        <w:t>Princeton: Princeton University Press.</w:t>
      </w:r>
    </w:p>
    <w:p w14:paraId="0E8D480E" w14:textId="77777777" w:rsidR="00783078" w:rsidRDefault="00783078" w:rsidP="00783078">
      <w:pPr>
        <w:jc w:val="both"/>
        <w:rPr>
          <w:color w:val="000000"/>
        </w:rPr>
      </w:pPr>
    </w:p>
    <w:p w14:paraId="5D11E7D3" w14:textId="77777777" w:rsidR="00783078" w:rsidRDefault="00783078" w:rsidP="00783078">
      <w:pPr>
        <w:jc w:val="both"/>
        <w:rPr>
          <w:color w:val="000000"/>
        </w:rPr>
      </w:pPr>
      <w:r w:rsidRPr="00065DDD">
        <w:rPr>
          <w:color w:val="000000"/>
        </w:rPr>
        <w:t xml:space="preserve">Ericson, M. (2006) Exploring the future, exploiting the past. </w:t>
      </w:r>
      <w:r w:rsidRPr="00BF68EB">
        <w:rPr>
          <w:i/>
          <w:color w:val="000000"/>
        </w:rPr>
        <w:t>Journal of Management History</w:t>
      </w:r>
      <w:r w:rsidRPr="00065DDD">
        <w:rPr>
          <w:color w:val="000000"/>
        </w:rPr>
        <w:t>, 12(2)</w:t>
      </w:r>
      <w:r>
        <w:rPr>
          <w:color w:val="000000"/>
        </w:rPr>
        <w:t>,</w:t>
      </w:r>
      <w:r w:rsidRPr="00065DDD">
        <w:rPr>
          <w:color w:val="000000"/>
        </w:rPr>
        <w:t xml:space="preserve"> 121-136.</w:t>
      </w:r>
    </w:p>
    <w:p w14:paraId="12F75FF9" w14:textId="77777777" w:rsidR="00783078" w:rsidRDefault="00783078" w:rsidP="00783078">
      <w:pPr>
        <w:jc w:val="both"/>
        <w:rPr>
          <w:color w:val="333333"/>
          <w:spacing w:val="4"/>
          <w:shd w:val="clear" w:color="auto" w:fill="FCFCFC"/>
        </w:rPr>
      </w:pPr>
    </w:p>
    <w:p w14:paraId="37299086" w14:textId="77777777" w:rsidR="00783078" w:rsidRPr="00065DDD" w:rsidRDefault="00783078" w:rsidP="00783078">
      <w:pPr>
        <w:jc w:val="both"/>
        <w:rPr>
          <w:rStyle w:val="u-inline-block"/>
          <w:lang w:val="en-CA"/>
        </w:rPr>
      </w:pPr>
      <w:r w:rsidRPr="00BF68EB">
        <w:rPr>
          <w:rStyle w:val="articlecitationyear"/>
          <w:color w:val="333333"/>
          <w:spacing w:val="4"/>
        </w:rPr>
        <w:t>Evrard, Y.</w:t>
      </w:r>
      <w:r>
        <w:rPr>
          <w:rStyle w:val="articlecitationyear"/>
          <w:color w:val="333333"/>
          <w:spacing w:val="4"/>
        </w:rPr>
        <w:t>,</w:t>
      </w:r>
      <w:r w:rsidRPr="00BF68EB">
        <w:rPr>
          <w:rStyle w:val="articlecitationyear"/>
          <w:color w:val="333333"/>
          <w:spacing w:val="4"/>
        </w:rPr>
        <w:t xml:space="preserve"> &amp; Krebs A. (</w:t>
      </w:r>
      <w:r w:rsidRPr="00146895">
        <w:rPr>
          <w:rStyle w:val="articlecitationyear"/>
          <w:color w:val="333333"/>
          <w:spacing w:val="4"/>
        </w:rPr>
        <w:t xml:space="preserve">2018) </w:t>
      </w:r>
      <w:r w:rsidRPr="00146895">
        <w:rPr>
          <w:color w:val="333333"/>
          <w:spacing w:val="2"/>
          <w:lang w:val="en"/>
        </w:rPr>
        <w:t>The authenticity of the museum experience in the digital age: the case of the Louvre.</w:t>
      </w:r>
      <w:r w:rsidRPr="00BF68EB">
        <w:t xml:space="preserve"> </w:t>
      </w:r>
      <w:r w:rsidRPr="00BF68EB">
        <w:rPr>
          <w:i/>
          <w:color w:val="333333"/>
          <w:spacing w:val="2"/>
          <w:lang w:val="en"/>
        </w:rPr>
        <w:t>Journal of Cultural Economics</w:t>
      </w:r>
      <w:r w:rsidRPr="00146895">
        <w:rPr>
          <w:color w:val="333333"/>
          <w:spacing w:val="4"/>
        </w:rPr>
        <w:t>,</w:t>
      </w:r>
      <w:r w:rsidRPr="00146895">
        <w:rPr>
          <w:rStyle w:val="articlecitationvolume"/>
          <w:color w:val="333333"/>
          <w:spacing w:val="4"/>
        </w:rPr>
        <w:t xml:space="preserve"> 42</w:t>
      </w:r>
      <w:r>
        <w:rPr>
          <w:rStyle w:val="articlecitationvolume"/>
          <w:color w:val="333333"/>
          <w:spacing w:val="4"/>
        </w:rPr>
        <w:t>(3)</w:t>
      </w:r>
      <w:r w:rsidRPr="00146895">
        <w:rPr>
          <w:color w:val="333333"/>
          <w:spacing w:val="4"/>
        </w:rPr>
        <w:t>:</w:t>
      </w:r>
      <w:r w:rsidRPr="00146895">
        <w:rPr>
          <w:rStyle w:val="articlecitationpages"/>
          <w:color w:val="333333"/>
          <w:spacing w:val="4"/>
        </w:rPr>
        <w:t xml:space="preserve"> 353–363</w:t>
      </w:r>
      <w:r>
        <w:rPr>
          <w:rStyle w:val="u-inline-block"/>
          <w:color w:val="333333"/>
          <w:spacing w:val="4"/>
        </w:rPr>
        <w:t>.</w:t>
      </w:r>
    </w:p>
    <w:p w14:paraId="509A3FF1" w14:textId="77777777" w:rsidR="00783078" w:rsidRPr="00146895" w:rsidRDefault="00783078" w:rsidP="00783078">
      <w:pPr>
        <w:pStyle w:val="Heading2"/>
        <w:shd w:val="clear" w:color="auto" w:fill="FFFFFF"/>
        <w:spacing w:before="0" w:beforeAutospacing="0" w:after="0" w:afterAutospacing="0" w:line="360" w:lineRule="atLeast"/>
        <w:rPr>
          <w:b w:val="0"/>
          <w:bCs w:val="0"/>
          <w:color w:val="555555"/>
          <w:sz w:val="24"/>
          <w:szCs w:val="24"/>
        </w:rPr>
      </w:pPr>
    </w:p>
    <w:p w14:paraId="4893E388" w14:textId="77777777" w:rsidR="00783078" w:rsidRPr="00C11FF5" w:rsidRDefault="00783078" w:rsidP="00783078">
      <w:pPr>
        <w:jc w:val="both"/>
        <w:rPr>
          <w:lang w:val="en-CA"/>
        </w:rPr>
      </w:pPr>
      <w:r w:rsidRPr="00C11FF5">
        <w:rPr>
          <w:lang w:val="en-CA"/>
        </w:rPr>
        <w:lastRenderedPageBreak/>
        <w:t xml:space="preserve">Fear, J. R. (2001). Thinking historically about organizational learning. </w:t>
      </w:r>
      <w:r>
        <w:rPr>
          <w:lang w:val="en-CA"/>
        </w:rPr>
        <w:t xml:space="preserve">In M. Dierkes, A. Berthoin Antal, J. Child, &amp; I. Nonaka (Eds.), </w:t>
      </w:r>
      <w:r w:rsidRPr="00BF68EB">
        <w:rPr>
          <w:i/>
          <w:lang w:val="en-CA"/>
        </w:rPr>
        <w:t>The handbook of organizational learning and knowledge</w:t>
      </w:r>
      <w:r>
        <w:rPr>
          <w:i/>
          <w:lang w:val="en-CA"/>
        </w:rPr>
        <w:t xml:space="preserve"> </w:t>
      </w:r>
      <w:r w:rsidRPr="00BF68EB">
        <w:rPr>
          <w:lang w:val="en-CA"/>
        </w:rPr>
        <w:t>(pp.</w:t>
      </w:r>
      <w:r>
        <w:rPr>
          <w:i/>
          <w:lang w:val="en-CA"/>
        </w:rPr>
        <w:t xml:space="preserve"> </w:t>
      </w:r>
      <w:r w:rsidRPr="00C11FF5">
        <w:rPr>
          <w:lang w:val="en-CA"/>
        </w:rPr>
        <w:t>162-191</w:t>
      </w:r>
      <w:r>
        <w:rPr>
          <w:lang w:val="en-CA"/>
        </w:rPr>
        <w:t>). Oxford: Oxford University Press.</w:t>
      </w:r>
    </w:p>
    <w:p w14:paraId="6C8CB038" w14:textId="77777777" w:rsidR="00783078" w:rsidRPr="00C11FF5" w:rsidRDefault="00783078" w:rsidP="00783078">
      <w:pPr>
        <w:jc w:val="both"/>
      </w:pPr>
    </w:p>
    <w:p w14:paraId="6C51500C" w14:textId="77777777" w:rsidR="00783078" w:rsidRPr="00C11FF5" w:rsidRDefault="00783078" w:rsidP="00783078">
      <w:pPr>
        <w:jc w:val="both"/>
        <w:rPr>
          <w:lang w:val="en-CA"/>
        </w:rPr>
      </w:pPr>
      <w:r w:rsidRPr="00C11FF5">
        <w:t>Fellman</w:t>
      </w:r>
      <w:r>
        <w:t xml:space="preserve">, S., &amp; Popp, </w:t>
      </w:r>
      <w:r w:rsidRPr="00C11FF5">
        <w:t>A</w:t>
      </w:r>
      <w:r>
        <w:t xml:space="preserve">. (2013). </w:t>
      </w:r>
      <w:r w:rsidRPr="00C11FF5">
        <w:t xml:space="preserve">Lost in the </w:t>
      </w:r>
      <w:r>
        <w:t>a</w:t>
      </w:r>
      <w:r w:rsidRPr="00C11FF5">
        <w:t xml:space="preserve">rchives: The </w:t>
      </w:r>
      <w:r>
        <w:t>b</w:t>
      </w:r>
      <w:r w:rsidRPr="00C11FF5">
        <w:t xml:space="preserve">usiness </w:t>
      </w:r>
      <w:r>
        <w:t>h</w:t>
      </w:r>
      <w:r w:rsidRPr="00C11FF5">
        <w:t xml:space="preserve">istorian in </w:t>
      </w:r>
      <w:r>
        <w:t>d</w:t>
      </w:r>
      <w:r w:rsidRPr="00C11FF5">
        <w:t>istress. In</w:t>
      </w:r>
      <w:r>
        <w:t xml:space="preserve"> B. </w:t>
      </w:r>
      <w:r w:rsidRPr="00C11FF5">
        <w:t>Czarniawska</w:t>
      </w:r>
      <w:r>
        <w:t xml:space="preserve"> &amp; O.</w:t>
      </w:r>
      <w:r w:rsidRPr="00C11FF5">
        <w:t xml:space="preserve"> Löfgren </w:t>
      </w:r>
      <w:r>
        <w:t xml:space="preserve">(Eds.), </w:t>
      </w:r>
      <w:r w:rsidRPr="00C11FF5">
        <w:rPr>
          <w:i/>
          <w:iCs/>
        </w:rPr>
        <w:t xml:space="preserve">Coping with </w:t>
      </w:r>
      <w:r>
        <w:rPr>
          <w:i/>
          <w:iCs/>
        </w:rPr>
        <w:t>e</w:t>
      </w:r>
      <w:r w:rsidRPr="00C11FF5">
        <w:rPr>
          <w:i/>
          <w:iCs/>
        </w:rPr>
        <w:t xml:space="preserve">xcess: How </w:t>
      </w:r>
      <w:r>
        <w:rPr>
          <w:i/>
          <w:iCs/>
        </w:rPr>
        <w:t>o</w:t>
      </w:r>
      <w:r w:rsidRPr="00C11FF5">
        <w:rPr>
          <w:i/>
          <w:iCs/>
        </w:rPr>
        <w:t xml:space="preserve">rganizations, </w:t>
      </w:r>
      <w:r>
        <w:rPr>
          <w:i/>
          <w:iCs/>
        </w:rPr>
        <w:t>c</w:t>
      </w:r>
      <w:r w:rsidRPr="00C11FF5">
        <w:rPr>
          <w:i/>
          <w:iCs/>
        </w:rPr>
        <w:t xml:space="preserve">ommunities and </w:t>
      </w:r>
      <w:r>
        <w:rPr>
          <w:i/>
          <w:iCs/>
        </w:rPr>
        <w:t>i</w:t>
      </w:r>
      <w:r w:rsidRPr="00C11FF5">
        <w:rPr>
          <w:i/>
          <w:iCs/>
        </w:rPr>
        <w:t xml:space="preserve">ndividuals </w:t>
      </w:r>
      <w:r>
        <w:rPr>
          <w:i/>
          <w:iCs/>
        </w:rPr>
        <w:t>m</w:t>
      </w:r>
      <w:r w:rsidRPr="00C11FF5">
        <w:rPr>
          <w:i/>
          <w:iCs/>
        </w:rPr>
        <w:t xml:space="preserve">anage </w:t>
      </w:r>
      <w:r>
        <w:rPr>
          <w:i/>
          <w:iCs/>
        </w:rPr>
        <w:t>o</w:t>
      </w:r>
      <w:r w:rsidRPr="00C11FF5">
        <w:rPr>
          <w:i/>
          <w:iCs/>
        </w:rPr>
        <w:t>verflows</w:t>
      </w:r>
      <w:r w:rsidRPr="00C11FF5">
        <w:t xml:space="preserve">, </w:t>
      </w:r>
      <w:r>
        <w:t>(pp.</w:t>
      </w:r>
      <w:r w:rsidRPr="00C11FF5">
        <w:t xml:space="preserve"> 216-43</w:t>
      </w:r>
      <w:r>
        <w:t>)</w:t>
      </w:r>
      <w:r w:rsidRPr="00C11FF5">
        <w:t>. Cheltenham, UK: Edward Elgar.</w:t>
      </w:r>
    </w:p>
    <w:p w14:paraId="0678D85F" w14:textId="77777777" w:rsidR="00783078" w:rsidRPr="00C11FF5" w:rsidRDefault="00783078" w:rsidP="00783078">
      <w:pPr>
        <w:rPr>
          <w:lang w:val="en-CA"/>
        </w:rPr>
      </w:pPr>
    </w:p>
    <w:p w14:paraId="6511594D" w14:textId="77777777" w:rsidR="00783078" w:rsidRDefault="00783078" w:rsidP="00783078">
      <w:pPr>
        <w:rPr>
          <w:color w:val="333333"/>
          <w:shd w:val="clear" w:color="auto" w:fill="FFFFFF"/>
        </w:rPr>
      </w:pPr>
      <w:r w:rsidRPr="00C11FF5">
        <w:rPr>
          <w:lang w:val="en-CA"/>
        </w:rPr>
        <w:t xml:space="preserve">Fischoff, H. (1975). Hindsight is </w:t>
      </w:r>
      <w:r>
        <w:rPr>
          <w:lang w:val="en-CA"/>
        </w:rPr>
        <w:t>n</w:t>
      </w:r>
      <w:r w:rsidRPr="00C11FF5">
        <w:rPr>
          <w:lang w:val="en-CA"/>
        </w:rPr>
        <w:t xml:space="preserve">ot </w:t>
      </w:r>
      <w:r>
        <w:rPr>
          <w:lang w:val="en-CA"/>
        </w:rPr>
        <w:t>e</w:t>
      </w:r>
      <w:r w:rsidRPr="00C11FF5">
        <w:rPr>
          <w:lang w:val="en-CA"/>
        </w:rPr>
        <w:t xml:space="preserve">qual to </w:t>
      </w:r>
      <w:r>
        <w:rPr>
          <w:lang w:val="en-CA"/>
        </w:rPr>
        <w:t>f</w:t>
      </w:r>
      <w:r w:rsidRPr="00C11FF5">
        <w:rPr>
          <w:lang w:val="en-CA"/>
        </w:rPr>
        <w:t xml:space="preserve">oresight: The </w:t>
      </w:r>
      <w:r>
        <w:rPr>
          <w:lang w:val="en-CA"/>
        </w:rPr>
        <w:t>e</w:t>
      </w:r>
      <w:r w:rsidRPr="00C11FF5">
        <w:rPr>
          <w:lang w:val="en-CA"/>
        </w:rPr>
        <w:t xml:space="preserve">ffect of </w:t>
      </w:r>
      <w:r>
        <w:rPr>
          <w:lang w:val="en-CA"/>
        </w:rPr>
        <w:t>o</w:t>
      </w:r>
      <w:r w:rsidRPr="00C11FF5">
        <w:rPr>
          <w:lang w:val="en-CA"/>
        </w:rPr>
        <w:t xml:space="preserve">utcome </w:t>
      </w:r>
      <w:r>
        <w:rPr>
          <w:lang w:val="en-CA"/>
        </w:rPr>
        <w:t>k</w:t>
      </w:r>
      <w:r w:rsidRPr="00C11FF5">
        <w:rPr>
          <w:lang w:val="en-CA"/>
        </w:rPr>
        <w:t xml:space="preserve">nowledge on </w:t>
      </w:r>
      <w:r>
        <w:rPr>
          <w:lang w:val="en-CA"/>
        </w:rPr>
        <w:t>j</w:t>
      </w:r>
      <w:r w:rsidRPr="00C11FF5">
        <w:rPr>
          <w:lang w:val="en-CA"/>
        </w:rPr>
        <w:t xml:space="preserve">udgment </w:t>
      </w:r>
      <w:r>
        <w:rPr>
          <w:lang w:val="en-CA"/>
        </w:rPr>
        <w:t>u</w:t>
      </w:r>
      <w:r w:rsidRPr="00C11FF5">
        <w:rPr>
          <w:lang w:val="en-CA"/>
        </w:rPr>
        <w:t xml:space="preserve">nder </w:t>
      </w:r>
      <w:r>
        <w:rPr>
          <w:lang w:val="en-CA"/>
        </w:rPr>
        <w:t>u</w:t>
      </w:r>
      <w:r w:rsidRPr="00C11FF5">
        <w:rPr>
          <w:lang w:val="en-CA"/>
        </w:rPr>
        <w:t>ncert</w:t>
      </w:r>
      <w:r w:rsidRPr="00E2454E">
        <w:rPr>
          <w:lang w:val="en-CA"/>
        </w:rPr>
        <w:t>ainty</w:t>
      </w:r>
      <w:r w:rsidRPr="00E2454E">
        <w:rPr>
          <w:i/>
          <w:lang w:val="en-CA"/>
        </w:rPr>
        <w:t xml:space="preserve">. </w:t>
      </w:r>
      <w:r w:rsidRPr="00BF68EB">
        <w:rPr>
          <w:rStyle w:val="Emphasis"/>
          <w:color w:val="333333"/>
          <w:shd w:val="clear" w:color="auto" w:fill="FFFFFF"/>
        </w:rPr>
        <w:t>Journal of Experimental Psychology: Human Perception and Performance</w:t>
      </w:r>
      <w:r w:rsidRPr="00E2454E">
        <w:rPr>
          <w:rStyle w:val="Emphasis"/>
          <w:i w:val="0"/>
          <w:color w:val="333333"/>
          <w:shd w:val="clear" w:color="auto" w:fill="FFFFFF"/>
        </w:rPr>
        <w:t>, 1</w:t>
      </w:r>
      <w:r w:rsidRPr="00E2454E">
        <w:rPr>
          <w:color w:val="333333"/>
          <w:shd w:val="clear" w:color="auto" w:fill="FFFFFF"/>
        </w:rPr>
        <w:t>(3), 288-299</w:t>
      </w:r>
      <w:r>
        <w:rPr>
          <w:color w:val="333333"/>
          <w:shd w:val="clear" w:color="auto" w:fill="FFFFFF"/>
        </w:rPr>
        <w:t>.</w:t>
      </w:r>
    </w:p>
    <w:p w14:paraId="659BBFEE" w14:textId="77777777" w:rsidR="00783078" w:rsidRDefault="00783078" w:rsidP="00783078"/>
    <w:p w14:paraId="231EE8F3" w14:textId="77777777" w:rsidR="00783078" w:rsidRPr="00E2454E" w:rsidRDefault="00783078" w:rsidP="00783078">
      <w:r>
        <w:t xml:space="preserve">Fischoff, H. and Beyth, R. (1975). ‘I knew it would happen:’ Remembered probabilities of once-future things. </w:t>
      </w:r>
      <w:r w:rsidRPr="003912D2">
        <w:rPr>
          <w:i/>
        </w:rPr>
        <w:t>Organizational Behavior and Human Performance</w:t>
      </w:r>
      <w:r>
        <w:t>, 13(1), 1-16.</w:t>
      </w:r>
    </w:p>
    <w:p w14:paraId="73DB83CC" w14:textId="77777777" w:rsidR="00783078" w:rsidRPr="001B1E3B" w:rsidRDefault="00783078" w:rsidP="00783078">
      <w:pPr>
        <w:jc w:val="both"/>
      </w:pPr>
    </w:p>
    <w:p w14:paraId="475C1AED" w14:textId="77777777" w:rsidR="00783078" w:rsidRDefault="00783078" w:rsidP="00783078">
      <w:pPr>
        <w:jc w:val="both"/>
        <w:rPr>
          <w:lang w:val="en-CA"/>
        </w:rPr>
      </w:pPr>
      <w:r w:rsidRPr="009D49F9">
        <w:rPr>
          <w:lang w:val="en-CA"/>
        </w:rPr>
        <w:t xml:space="preserve">Foster, W. M., Suddaby, R., Minkus, A., &amp; Wiebe, E. (2011). History as social memory assets: The example of Tim Hortons. </w:t>
      </w:r>
      <w:r w:rsidRPr="003912D2">
        <w:rPr>
          <w:i/>
          <w:lang w:val="en-CA"/>
        </w:rPr>
        <w:t>Management &amp; Organizational History</w:t>
      </w:r>
      <w:r w:rsidRPr="009D49F9">
        <w:rPr>
          <w:lang w:val="en-CA"/>
        </w:rPr>
        <w:t>, 6(1), 101-120.</w:t>
      </w:r>
    </w:p>
    <w:p w14:paraId="3381CCA4" w14:textId="77777777" w:rsidR="00783078" w:rsidRPr="00C879A2" w:rsidRDefault="00783078" w:rsidP="00783078">
      <w:pPr>
        <w:shd w:val="clear" w:color="auto" w:fill="FFFFFF"/>
        <w:spacing w:before="100" w:beforeAutospacing="1" w:after="150" w:line="312" w:lineRule="atLeast"/>
        <w:rPr>
          <w:rFonts w:eastAsia="Arial Unicode MS"/>
        </w:rPr>
      </w:pPr>
      <w:r w:rsidRPr="00C879A2">
        <w:rPr>
          <w:rFonts w:eastAsia="Arial Unicode MS"/>
        </w:rPr>
        <w:t>Foucault, M. (1972). </w:t>
      </w:r>
      <w:r w:rsidRPr="003912D2">
        <w:rPr>
          <w:rFonts w:eastAsia="Arial Unicode MS"/>
          <w:i/>
          <w:iCs/>
        </w:rPr>
        <w:t>The archaeology of knowledge</w:t>
      </w:r>
      <w:r w:rsidRPr="003912D2">
        <w:rPr>
          <w:rFonts w:eastAsia="Arial Unicode MS"/>
          <w:i/>
        </w:rPr>
        <w:t>.</w:t>
      </w:r>
      <w:r w:rsidRPr="00C879A2">
        <w:rPr>
          <w:rFonts w:eastAsia="Arial Unicode MS"/>
        </w:rPr>
        <w:t xml:space="preserve"> New York: Pantheon Books.</w:t>
      </w:r>
    </w:p>
    <w:p w14:paraId="1594818D"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Gadamer, H-G. (1989). </w:t>
      </w:r>
      <w:r w:rsidRPr="003912D2">
        <w:rPr>
          <w:rFonts w:eastAsia="Arial Unicode MS"/>
          <w:i/>
        </w:rPr>
        <w:t xml:space="preserve">Truth and method. </w:t>
      </w:r>
      <w:r w:rsidRPr="003912D2">
        <w:rPr>
          <w:rFonts w:eastAsia="Arial Unicode MS"/>
        </w:rPr>
        <w:t>New York: Continuum.</w:t>
      </w:r>
    </w:p>
    <w:p w14:paraId="7D3ACD1E"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Gilmore, J. H., &amp; Pine, B. J. (2007). </w:t>
      </w:r>
      <w:r w:rsidRPr="003912D2">
        <w:rPr>
          <w:rFonts w:eastAsia="Arial Unicode MS"/>
          <w:i/>
        </w:rPr>
        <w:t>Authenticity: What consumers really want.</w:t>
      </w:r>
      <w:r w:rsidRPr="003912D2">
        <w:rPr>
          <w:rFonts w:eastAsia="Arial Unicode MS"/>
        </w:rPr>
        <w:t xml:space="preserve"> </w:t>
      </w:r>
      <w:r>
        <w:rPr>
          <w:rFonts w:eastAsia="Arial Unicode MS"/>
        </w:rPr>
        <w:t xml:space="preserve">Boston: </w:t>
      </w:r>
      <w:r w:rsidRPr="003912D2">
        <w:rPr>
          <w:rFonts w:eastAsia="Arial Unicode MS"/>
        </w:rPr>
        <w:t xml:space="preserve">Harvard Business </w:t>
      </w:r>
      <w:r>
        <w:rPr>
          <w:rFonts w:eastAsia="Arial Unicode MS"/>
        </w:rPr>
        <w:t>Review</w:t>
      </w:r>
      <w:r w:rsidRPr="003912D2">
        <w:rPr>
          <w:rFonts w:eastAsia="Arial Unicode MS"/>
        </w:rPr>
        <w:t xml:space="preserve"> Press.</w:t>
      </w:r>
    </w:p>
    <w:p w14:paraId="53DC025D"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Garud, R., Kumaraswamy, A, Karnøe, P. (2010). Path </w:t>
      </w:r>
      <w:r>
        <w:rPr>
          <w:rFonts w:eastAsia="Arial Unicode MS"/>
        </w:rPr>
        <w:t>d</w:t>
      </w:r>
      <w:r w:rsidRPr="003912D2">
        <w:rPr>
          <w:rFonts w:eastAsia="Arial Unicode MS"/>
        </w:rPr>
        <w:t xml:space="preserve">ependence or </w:t>
      </w:r>
      <w:r>
        <w:rPr>
          <w:rFonts w:eastAsia="Arial Unicode MS"/>
        </w:rPr>
        <w:t>p</w:t>
      </w:r>
      <w:r w:rsidRPr="003912D2">
        <w:rPr>
          <w:rFonts w:eastAsia="Arial Unicode MS"/>
        </w:rPr>
        <w:t xml:space="preserve">ath </w:t>
      </w:r>
      <w:r>
        <w:rPr>
          <w:rFonts w:eastAsia="Arial Unicode MS"/>
        </w:rPr>
        <w:t>c</w:t>
      </w:r>
      <w:r w:rsidRPr="003912D2">
        <w:rPr>
          <w:rFonts w:eastAsia="Arial Unicode MS"/>
        </w:rPr>
        <w:t xml:space="preserve">reation? </w:t>
      </w:r>
      <w:r w:rsidRPr="003912D2">
        <w:rPr>
          <w:rFonts w:eastAsia="Arial Unicode MS"/>
          <w:i/>
        </w:rPr>
        <w:t>Journal of Management Studies</w:t>
      </w:r>
      <w:r w:rsidRPr="003912D2">
        <w:rPr>
          <w:rFonts w:eastAsia="Arial Unicode MS"/>
        </w:rPr>
        <w:t xml:space="preserve">, 47(4), 760-774.  </w:t>
      </w:r>
    </w:p>
    <w:p w14:paraId="3A539D66"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Glaser, B.</w:t>
      </w:r>
      <w:r>
        <w:rPr>
          <w:rFonts w:eastAsia="Arial Unicode MS"/>
        </w:rPr>
        <w:t xml:space="preserve"> </w:t>
      </w:r>
      <w:r w:rsidRPr="003912D2">
        <w:rPr>
          <w:rFonts w:eastAsia="Arial Unicode MS"/>
        </w:rPr>
        <w:t>G.</w:t>
      </w:r>
      <w:r>
        <w:rPr>
          <w:rFonts w:eastAsia="Arial Unicode MS"/>
        </w:rPr>
        <w:t>,</w:t>
      </w:r>
      <w:r w:rsidRPr="003912D2">
        <w:rPr>
          <w:rFonts w:eastAsia="Arial Unicode MS"/>
        </w:rPr>
        <w:t xml:space="preserve"> </w:t>
      </w:r>
      <w:r>
        <w:rPr>
          <w:rFonts w:eastAsia="Arial Unicode MS"/>
        </w:rPr>
        <w:t>&amp;</w:t>
      </w:r>
      <w:r w:rsidRPr="003912D2">
        <w:rPr>
          <w:rFonts w:eastAsia="Arial Unicode MS"/>
        </w:rPr>
        <w:t xml:space="preserve"> Strauss, A.</w:t>
      </w:r>
      <w:r>
        <w:rPr>
          <w:rFonts w:eastAsia="Arial Unicode MS"/>
        </w:rPr>
        <w:t xml:space="preserve"> </w:t>
      </w:r>
      <w:r w:rsidRPr="003912D2">
        <w:rPr>
          <w:rFonts w:eastAsia="Arial Unicode MS"/>
        </w:rPr>
        <w:t xml:space="preserve">L. (1967). </w:t>
      </w:r>
      <w:r w:rsidRPr="003912D2">
        <w:rPr>
          <w:rFonts w:eastAsia="Arial Unicode MS"/>
          <w:i/>
        </w:rPr>
        <w:t>The discovery of grounded theory: Strategies for qualitative research.</w:t>
      </w:r>
      <w:r w:rsidRPr="003912D2">
        <w:rPr>
          <w:rFonts w:eastAsia="Arial Unicode MS"/>
        </w:rPr>
        <w:t xml:space="preserve"> New York: Aldine.</w:t>
      </w:r>
    </w:p>
    <w:p w14:paraId="34CA364F"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Greenhill, E. H. (1992). </w:t>
      </w:r>
      <w:r w:rsidRPr="003912D2">
        <w:rPr>
          <w:rFonts w:eastAsia="Arial Unicode MS"/>
          <w:i/>
        </w:rPr>
        <w:t>Museums and the shaping of knowledge.</w:t>
      </w:r>
      <w:r w:rsidRPr="003912D2">
        <w:rPr>
          <w:rFonts w:eastAsia="Arial Unicode MS"/>
        </w:rPr>
        <w:t xml:space="preserve"> New York: Routledge.</w:t>
      </w:r>
    </w:p>
    <w:p w14:paraId="4C924FE3"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Grethlein, J. (2011). Historia Magistra Vitae in Herotodus and Thucydides? The </w:t>
      </w:r>
      <w:r>
        <w:rPr>
          <w:rFonts w:eastAsia="Arial Unicode MS"/>
        </w:rPr>
        <w:t>e</w:t>
      </w:r>
      <w:r w:rsidRPr="003912D2">
        <w:rPr>
          <w:rFonts w:eastAsia="Arial Unicode MS"/>
        </w:rPr>
        <w:t xml:space="preserve">xemplary </w:t>
      </w:r>
      <w:r>
        <w:rPr>
          <w:rFonts w:eastAsia="Arial Unicode MS"/>
        </w:rPr>
        <w:t>u</w:t>
      </w:r>
      <w:r w:rsidRPr="003912D2">
        <w:rPr>
          <w:rFonts w:eastAsia="Arial Unicode MS"/>
        </w:rPr>
        <w:t xml:space="preserve">se of the </w:t>
      </w:r>
      <w:r>
        <w:rPr>
          <w:rFonts w:eastAsia="Arial Unicode MS"/>
        </w:rPr>
        <w:t>p</w:t>
      </w:r>
      <w:r w:rsidRPr="003912D2">
        <w:rPr>
          <w:rFonts w:eastAsia="Arial Unicode MS"/>
        </w:rPr>
        <w:t xml:space="preserve">ast and </w:t>
      </w:r>
      <w:r>
        <w:rPr>
          <w:rFonts w:eastAsia="Arial Unicode MS"/>
        </w:rPr>
        <w:t>a</w:t>
      </w:r>
      <w:r w:rsidRPr="003912D2">
        <w:rPr>
          <w:rFonts w:eastAsia="Arial Unicode MS"/>
        </w:rPr>
        <w:t xml:space="preserve">ncient and </w:t>
      </w:r>
      <w:r>
        <w:rPr>
          <w:rFonts w:eastAsia="Arial Unicode MS"/>
        </w:rPr>
        <w:t>m</w:t>
      </w:r>
      <w:r w:rsidRPr="003912D2">
        <w:rPr>
          <w:rFonts w:eastAsia="Arial Unicode MS"/>
        </w:rPr>
        <w:t xml:space="preserve">odern </w:t>
      </w:r>
      <w:r>
        <w:rPr>
          <w:rFonts w:eastAsia="Arial Unicode MS"/>
        </w:rPr>
        <w:t>t</w:t>
      </w:r>
      <w:r w:rsidRPr="003912D2">
        <w:rPr>
          <w:rFonts w:eastAsia="Arial Unicode MS"/>
        </w:rPr>
        <w:t xml:space="preserve">emporalities. In </w:t>
      </w:r>
      <w:r>
        <w:rPr>
          <w:rFonts w:eastAsia="Arial Unicode MS"/>
        </w:rPr>
        <w:t>A.</w:t>
      </w:r>
      <w:r w:rsidRPr="003912D2">
        <w:rPr>
          <w:rFonts w:eastAsia="Arial Unicode MS"/>
        </w:rPr>
        <w:t xml:space="preserve"> Lianeri</w:t>
      </w:r>
      <w:r>
        <w:rPr>
          <w:rFonts w:eastAsia="Arial Unicode MS"/>
        </w:rPr>
        <w:t xml:space="preserve"> (E</w:t>
      </w:r>
      <w:r w:rsidRPr="003912D2">
        <w:rPr>
          <w:rFonts w:eastAsia="Arial Unicode MS"/>
        </w:rPr>
        <w:t>d.</w:t>
      </w:r>
      <w:r>
        <w:rPr>
          <w:rFonts w:eastAsia="Arial Unicode MS"/>
        </w:rPr>
        <w:t>),</w:t>
      </w:r>
      <w:r w:rsidRPr="003912D2">
        <w:rPr>
          <w:rFonts w:eastAsia="Arial Unicode MS"/>
        </w:rPr>
        <w:t xml:space="preserve"> </w:t>
      </w:r>
      <w:r w:rsidRPr="003912D2">
        <w:rPr>
          <w:rFonts w:eastAsia="Arial Unicode MS"/>
          <w:i/>
        </w:rPr>
        <w:t>The Western time of ancient history: Historiographical encounters with the Greek and Roman pasts</w:t>
      </w:r>
      <w:r>
        <w:rPr>
          <w:rFonts w:eastAsia="Arial Unicode MS"/>
        </w:rPr>
        <w:t xml:space="preserve"> (pp. 247-263).</w:t>
      </w:r>
      <w:r w:rsidRPr="003912D2">
        <w:rPr>
          <w:rFonts w:eastAsia="Arial Unicode MS"/>
        </w:rPr>
        <w:t xml:space="preserve"> New York: Cambridge University Press</w:t>
      </w:r>
      <w:r>
        <w:rPr>
          <w:rFonts w:eastAsia="Arial Unicode MS"/>
        </w:rPr>
        <w:t>.</w:t>
      </w:r>
    </w:p>
    <w:p w14:paraId="240F937B"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Gutman, </w:t>
      </w:r>
      <w:r>
        <w:rPr>
          <w:rFonts w:eastAsia="Arial Unicode MS"/>
        </w:rPr>
        <w:t>G.</w:t>
      </w:r>
      <w:r w:rsidRPr="003912D2">
        <w:rPr>
          <w:rFonts w:eastAsia="Arial Unicode MS"/>
        </w:rPr>
        <w:t xml:space="preserve"> H</w:t>
      </w:r>
      <w:r>
        <w:rPr>
          <w:rFonts w:eastAsia="Arial Unicode MS"/>
        </w:rPr>
        <w:t>.</w:t>
      </w:r>
      <w:r w:rsidRPr="003912D2">
        <w:rPr>
          <w:rFonts w:eastAsia="Arial Unicode MS"/>
        </w:rPr>
        <w:t xml:space="preserve"> (1977). </w:t>
      </w:r>
      <w:r w:rsidRPr="003912D2">
        <w:rPr>
          <w:rFonts w:eastAsia="Arial Unicode MS"/>
          <w:i/>
        </w:rPr>
        <w:t>Work, culture, and society in industrializing America: Essays in American working-class and social history.</w:t>
      </w:r>
      <w:r w:rsidRPr="003912D2">
        <w:rPr>
          <w:rFonts w:eastAsia="Arial Unicode MS"/>
        </w:rPr>
        <w:t xml:space="preserve"> New York: Vintage Books.</w:t>
      </w:r>
    </w:p>
    <w:p w14:paraId="4CB5C6F6" w14:textId="563AD455" w:rsidR="00797CA4" w:rsidRPr="00797CA4" w:rsidRDefault="00797CA4" w:rsidP="00783078">
      <w:pPr>
        <w:shd w:val="clear" w:color="auto" w:fill="FFFFFF"/>
        <w:spacing w:before="100" w:beforeAutospacing="1" w:after="150" w:line="312" w:lineRule="atLeast"/>
        <w:rPr>
          <w:rFonts w:eastAsia="Arial Unicode MS"/>
        </w:rPr>
      </w:pPr>
      <w:r>
        <w:rPr>
          <w:rFonts w:eastAsia="Arial Unicode MS"/>
        </w:rPr>
        <w:t xml:space="preserve">Halbwachs, M. (1992 [1925]). </w:t>
      </w:r>
      <w:r>
        <w:rPr>
          <w:rFonts w:eastAsia="Arial Unicode MS"/>
          <w:i/>
        </w:rPr>
        <w:t xml:space="preserve">On collective memory. </w:t>
      </w:r>
      <w:r>
        <w:rPr>
          <w:rFonts w:eastAsia="Arial Unicode MS"/>
        </w:rPr>
        <w:t>Chicago: University of Chicago Press.</w:t>
      </w:r>
    </w:p>
    <w:p w14:paraId="04998B43" w14:textId="426C3839"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lastRenderedPageBreak/>
        <w:t xml:space="preserve">Halewood, C., &amp; Hannam, K. (2001). Viking heritage tourism: Authenticity and commodification. </w:t>
      </w:r>
      <w:r w:rsidRPr="003912D2">
        <w:rPr>
          <w:rFonts w:eastAsia="Arial Unicode MS"/>
          <w:i/>
        </w:rPr>
        <w:t xml:space="preserve">Annals of </w:t>
      </w:r>
      <w:r>
        <w:rPr>
          <w:rFonts w:eastAsia="Arial Unicode MS"/>
          <w:i/>
        </w:rPr>
        <w:t>T</w:t>
      </w:r>
      <w:r w:rsidRPr="003912D2">
        <w:rPr>
          <w:rFonts w:eastAsia="Arial Unicode MS"/>
          <w:i/>
        </w:rPr>
        <w:t xml:space="preserve">ourism </w:t>
      </w:r>
      <w:r>
        <w:rPr>
          <w:rFonts w:eastAsia="Arial Unicode MS"/>
          <w:i/>
        </w:rPr>
        <w:t>R</w:t>
      </w:r>
      <w:r w:rsidRPr="003912D2">
        <w:rPr>
          <w:rFonts w:eastAsia="Arial Unicode MS"/>
          <w:i/>
        </w:rPr>
        <w:t>esearch</w:t>
      </w:r>
      <w:r w:rsidRPr="003912D2">
        <w:rPr>
          <w:rFonts w:eastAsia="Arial Unicode MS"/>
        </w:rPr>
        <w:t>, 28(3), 565-580.</w:t>
      </w:r>
    </w:p>
    <w:p w14:paraId="118037F3"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Hannan, M. T., &amp; Freeman, J. (1984). Structural inertia and organizational change. </w:t>
      </w:r>
      <w:r w:rsidRPr="003912D2">
        <w:rPr>
          <w:rFonts w:eastAsia="Arial Unicode MS"/>
          <w:i/>
        </w:rPr>
        <w:t>American Sociological Review</w:t>
      </w:r>
      <w:r w:rsidRPr="003912D2">
        <w:rPr>
          <w:rFonts w:eastAsia="Arial Unicode MS"/>
        </w:rPr>
        <w:t>,</w:t>
      </w:r>
      <w:r>
        <w:rPr>
          <w:rFonts w:eastAsia="Arial Unicode MS"/>
        </w:rPr>
        <w:t xml:space="preserve"> 49(2),</w:t>
      </w:r>
      <w:r w:rsidRPr="003912D2">
        <w:rPr>
          <w:rFonts w:eastAsia="Arial Unicode MS"/>
        </w:rPr>
        <w:t xml:space="preserve"> 149-164.</w:t>
      </w:r>
    </w:p>
    <w:p w14:paraId="7EEF1800"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Hansen, P. H. (2006). Networks, narratives, and new markets: The rise and decline of Danish modern furniture design, 1930–1970. </w:t>
      </w:r>
      <w:r w:rsidRPr="003912D2">
        <w:rPr>
          <w:rFonts w:eastAsia="Arial Unicode MS"/>
          <w:i/>
        </w:rPr>
        <w:t>Business History Review</w:t>
      </w:r>
      <w:r w:rsidRPr="003912D2">
        <w:rPr>
          <w:rFonts w:eastAsia="Arial Unicode MS"/>
        </w:rPr>
        <w:t>, 80(3), 449-483.</w:t>
      </w:r>
    </w:p>
    <w:p w14:paraId="3578B714"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Hansen, P. H. (2007). Organizational culture and organizational change: The transformation of savings banks in Denmark, 1965–1990. </w:t>
      </w:r>
      <w:r w:rsidRPr="003912D2">
        <w:rPr>
          <w:rFonts w:eastAsia="Arial Unicode MS"/>
          <w:i/>
        </w:rPr>
        <w:t>Enterprise &amp; Society,</w:t>
      </w:r>
      <w:r w:rsidRPr="003912D2">
        <w:rPr>
          <w:rFonts w:eastAsia="Arial Unicode MS"/>
        </w:rPr>
        <w:t xml:space="preserve"> 8(4), 920-953.</w:t>
      </w:r>
    </w:p>
    <w:p w14:paraId="73145680"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Hansen, P. H. (2010). Cobranding product and nation: Danish modern furniture and Denmark in the United States, 1940–1970. In T. da Silva Lopes, &amp; P. Duguid (Eds.),</w:t>
      </w:r>
      <w:r>
        <w:rPr>
          <w:rFonts w:eastAsia="Arial Unicode MS"/>
        </w:rPr>
        <w:t xml:space="preserve"> </w:t>
      </w:r>
      <w:r w:rsidRPr="003912D2">
        <w:rPr>
          <w:rFonts w:eastAsia="Arial Unicode MS"/>
          <w:i/>
        </w:rPr>
        <w:t>Trademarks, Brands, and Competitiveness</w:t>
      </w:r>
      <w:r w:rsidRPr="003912D2">
        <w:rPr>
          <w:rFonts w:eastAsia="Arial Unicode MS"/>
        </w:rPr>
        <w:t xml:space="preserve"> (pp. 95-120).</w:t>
      </w:r>
      <w:r>
        <w:rPr>
          <w:rFonts w:eastAsia="Arial Unicode MS"/>
        </w:rPr>
        <w:t xml:space="preserve"> New York:</w:t>
      </w:r>
      <w:r w:rsidRPr="003912D2">
        <w:rPr>
          <w:rFonts w:eastAsia="Arial Unicode MS"/>
        </w:rPr>
        <w:t xml:space="preserve"> Routledge.</w:t>
      </w:r>
    </w:p>
    <w:p w14:paraId="6E475D57"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Hansen, P. H. (2012). Business history: A cultural and narrative approach. </w:t>
      </w:r>
      <w:r w:rsidRPr="003912D2">
        <w:rPr>
          <w:rFonts w:eastAsia="Arial Unicode MS"/>
          <w:i/>
        </w:rPr>
        <w:t>Business History Review,</w:t>
      </w:r>
      <w:r w:rsidRPr="003912D2">
        <w:rPr>
          <w:rFonts w:eastAsia="Arial Unicode MS"/>
        </w:rPr>
        <w:t xml:space="preserve"> 86(4), 693-717.</w:t>
      </w:r>
    </w:p>
    <w:p w14:paraId="42D4C1B9"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Hansen, P.H. (2012). Making </w:t>
      </w:r>
      <w:r>
        <w:rPr>
          <w:rFonts w:eastAsia="Arial Unicode MS"/>
        </w:rPr>
        <w:t>s</w:t>
      </w:r>
      <w:r w:rsidRPr="003912D2">
        <w:rPr>
          <w:rFonts w:eastAsia="Arial Unicode MS"/>
        </w:rPr>
        <w:t xml:space="preserve">ense of </w:t>
      </w:r>
      <w:r>
        <w:rPr>
          <w:rFonts w:eastAsia="Arial Unicode MS"/>
        </w:rPr>
        <w:t>f</w:t>
      </w:r>
      <w:r w:rsidRPr="003912D2">
        <w:rPr>
          <w:rFonts w:eastAsia="Arial Unicode MS"/>
        </w:rPr>
        <w:t xml:space="preserve">inancial </w:t>
      </w:r>
      <w:r>
        <w:rPr>
          <w:rFonts w:eastAsia="Arial Unicode MS"/>
        </w:rPr>
        <w:t>c</w:t>
      </w:r>
      <w:r w:rsidRPr="003912D2">
        <w:rPr>
          <w:rFonts w:eastAsia="Arial Unicode MS"/>
        </w:rPr>
        <w:t xml:space="preserve">risis and </w:t>
      </w:r>
      <w:r>
        <w:rPr>
          <w:rFonts w:eastAsia="Arial Unicode MS"/>
        </w:rPr>
        <w:t>s</w:t>
      </w:r>
      <w:r w:rsidRPr="003912D2">
        <w:rPr>
          <w:rFonts w:eastAsia="Arial Unicode MS"/>
        </w:rPr>
        <w:t xml:space="preserve">candal: A Danish Bank </w:t>
      </w:r>
      <w:r>
        <w:rPr>
          <w:rFonts w:eastAsia="Arial Unicode MS"/>
        </w:rPr>
        <w:t>f</w:t>
      </w:r>
      <w:r w:rsidRPr="003912D2">
        <w:rPr>
          <w:rFonts w:eastAsia="Arial Unicode MS"/>
        </w:rPr>
        <w:t xml:space="preserve">ailure in the </w:t>
      </w:r>
      <w:r>
        <w:rPr>
          <w:rFonts w:eastAsia="Arial Unicode MS"/>
        </w:rPr>
        <w:t>f</w:t>
      </w:r>
      <w:r w:rsidRPr="003912D2">
        <w:rPr>
          <w:rFonts w:eastAsia="Arial Unicode MS"/>
        </w:rPr>
        <w:t xml:space="preserve">irst </w:t>
      </w:r>
      <w:r>
        <w:rPr>
          <w:rFonts w:eastAsia="Arial Unicode MS"/>
        </w:rPr>
        <w:t>e</w:t>
      </w:r>
      <w:r w:rsidRPr="003912D2">
        <w:rPr>
          <w:rFonts w:eastAsia="Arial Unicode MS"/>
        </w:rPr>
        <w:t xml:space="preserve">ra of </w:t>
      </w:r>
      <w:r>
        <w:rPr>
          <w:rFonts w:eastAsia="Arial Unicode MS"/>
        </w:rPr>
        <w:t>f</w:t>
      </w:r>
      <w:r w:rsidRPr="003912D2">
        <w:rPr>
          <w:rFonts w:eastAsia="Arial Unicode MS"/>
        </w:rPr>
        <w:t xml:space="preserve">inance </w:t>
      </w:r>
      <w:r>
        <w:rPr>
          <w:rFonts w:eastAsia="Arial Unicode MS"/>
        </w:rPr>
        <w:t>c</w:t>
      </w:r>
      <w:r w:rsidRPr="003912D2">
        <w:rPr>
          <w:rFonts w:eastAsia="Arial Unicode MS"/>
        </w:rPr>
        <w:t xml:space="preserve">apitalism. </w:t>
      </w:r>
      <w:r w:rsidRPr="003912D2">
        <w:rPr>
          <w:rFonts w:eastAsia="Arial Unicode MS"/>
          <w:i/>
        </w:rPr>
        <w:t>Enterprise &amp; Society</w:t>
      </w:r>
      <w:r>
        <w:rPr>
          <w:rFonts w:eastAsia="Arial Unicode MS"/>
        </w:rPr>
        <w:t>,</w:t>
      </w:r>
      <w:r w:rsidRPr="003912D2">
        <w:rPr>
          <w:rFonts w:eastAsia="Arial Unicode MS"/>
        </w:rPr>
        <w:t xml:space="preserve"> 13</w:t>
      </w:r>
      <w:r>
        <w:rPr>
          <w:rFonts w:eastAsia="Arial Unicode MS"/>
        </w:rPr>
        <w:t>(3),</w:t>
      </w:r>
      <w:r w:rsidRPr="003912D2">
        <w:rPr>
          <w:rFonts w:eastAsia="Arial Unicode MS"/>
        </w:rPr>
        <w:t xml:space="preserve"> 672-706.</w:t>
      </w:r>
    </w:p>
    <w:p w14:paraId="0B4E7534" w14:textId="0441620F"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Hansen, P.H. (2018). </w:t>
      </w:r>
      <w:r w:rsidRPr="003912D2">
        <w:rPr>
          <w:rFonts w:eastAsia="Arial Unicode MS"/>
          <w:i/>
        </w:rPr>
        <w:t>Danish Modern furniture, 1930-2016: The rise, decline, and re-emergence of a cultural market category.</w:t>
      </w:r>
      <w:r w:rsidRPr="003912D2">
        <w:rPr>
          <w:rFonts w:eastAsia="Arial Unicode MS"/>
        </w:rPr>
        <w:t xml:space="preserve"> Odense: University of Southern Denmark Press.</w:t>
      </w:r>
    </w:p>
    <w:p w14:paraId="5BF30D74"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Hargadon, A. B., &amp; Douglas, Y. (2001). When innovations meet institutions: Edison and the design of the electric light. </w:t>
      </w:r>
      <w:r w:rsidRPr="003912D2">
        <w:rPr>
          <w:rFonts w:eastAsia="Arial Unicode MS"/>
          <w:i/>
        </w:rPr>
        <w:t xml:space="preserve">Administrative </w:t>
      </w:r>
      <w:r>
        <w:rPr>
          <w:rFonts w:eastAsia="Arial Unicode MS"/>
          <w:i/>
        </w:rPr>
        <w:t>S</w:t>
      </w:r>
      <w:r w:rsidRPr="003912D2">
        <w:rPr>
          <w:rFonts w:eastAsia="Arial Unicode MS"/>
          <w:i/>
        </w:rPr>
        <w:t xml:space="preserve">cience </w:t>
      </w:r>
      <w:r>
        <w:rPr>
          <w:rFonts w:eastAsia="Arial Unicode MS"/>
          <w:i/>
        </w:rPr>
        <w:t>Q</w:t>
      </w:r>
      <w:r w:rsidRPr="003912D2">
        <w:rPr>
          <w:rFonts w:eastAsia="Arial Unicode MS"/>
          <w:i/>
        </w:rPr>
        <w:t>uarterly</w:t>
      </w:r>
      <w:r w:rsidRPr="003912D2">
        <w:rPr>
          <w:rFonts w:eastAsia="Arial Unicode MS"/>
        </w:rPr>
        <w:t>, 46(3), 476-501.</w:t>
      </w:r>
    </w:p>
    <w:p w14:paraId="1657F283"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Hatch, M. J., &amp; Schultz, M. (2017). Toward a theory of using history authentically: Historicizing in the Carlsberg Group. </w:t>
      </w:r>
      <w:r w:rsidRPr="003912D2">
        <w:rPr>
          <w:rFonts w:eastAsia="Arial Unicode MS"/>
          <w:i/>
        </w:rPr>
        <w:t>Administrative Science Quarterly</w:t>
      </w:r>
      <w:r w:rsidRPr="003912D2">
        <w:rPr>
          <w:rFonts w:eastAsia="Arial Unicode MS"/>
        </w:rPr>
        <w:t>, 62(4), 657-697.</w:t>
      </w:r>
    </w:p>
    <w:p w14:paraId="46FF3720"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Heidegger, M. (2008). </w:t>
      </w:r>
      <w:r w:rsidRPr="003912D2">
        <w:rPr>
          <w:rFonts w:eastAsia="Arial Unicode MS"/>
          <w:i/>
        </w:rPr>
        <w:t>Being and time.</w:t>
      </w:r>
      <w:r w:rsidRPr="003912D2">
        <w:rPr>
          <w:rFonts w:eastAsia="Arial Unicode MS"/>
        </w:rPr>
        <w:t xml:space="preserve"> New York: Harper Perennial.</w:t>
      </w:r>
    </w:p>
    <w:p w14:paraId="47F28E8E"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Hernes, T. (2014). </w:t>
      </w:r>
      <w:r w:rsidRPr="003912D2">
        <w:rPr>
          <w:rFonts w:eastAsia="Arial Unicode MS"/>
          <w:i/>
        </w:rPr>
        <w:t>A process theory of organization.</w:t>
      </w:r>
      <w:r w:rsidRPr="003912D2">
        <w:rPr>
          <w:rFonts w:eastAsia="Arial Unicode MS"/>
        </w:rPr>
        <w:t xml:space="preserve"> Oxford: Oxford University Press</w:t>
      </w:r>
    </w:p>
    <w:p w14:paraId="3F53C5D0" w14:textId="77777777" w:rsidR="00783078" w:rsidRPr="003912D2" w:rsidRDefault="00783078" w:rsidP="00783078">
      <w:pPr>
        <w:shd w:val="clear" w:color="auto" w:fill="FFFFFF"/>
        <w:spacing w:before="100" w:beforeAutospacing="1" w:after="150" w:line="312" w:lineRule="atLeast"/>
        <w:rPr>
          <w:rFonts w:eastAsia="Arial Unicode MS"/>
        </w:rPr>
      </w:pPr>
      <w:r w:rsidRPr="00191BBC">
        <w:rPr>
          <w:rFonts w:eastAsia="Arial Unicode MS"/>
        </w:rPr>
        <w:t xml:space="preserve">Hobsbawm, E. J., &amp; Ranger T. (Eds.) (1983). </w:t>
      </w:r>
      <w:r w:rsidRPr="00191BBC">
        <w:rPr>
          <w:rFonts w:eastAsia="Arial Unicode MS"/>
          <w:i/>
        </w:rPr>
        <w:t>The invention of tradition.</w:t>
      </w:r>
      <w:r w:rsidRPr="00191BBC">
        <w:rPr>
          <w:rFonts w:eastAsia="Arial Unicode MS"/>
        </w:rPr>
        <w:t xml:space="preserve"> New York: Cambridge University Press.</w:t>
      </w:r>
    </w:p>
    <w:p w14:paraId="0BD88971"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Holt, R., &amp; Popp, A. (2013). Emotion, </w:t>
      </w:r>
      <w:r>
        <w:rPr>
          <w:rFonts w:eastAsia="Arial Unicode MS"/>
        </w:rPr>
        <w:t>s</w:t>
      </w:r>
      <w:r w:rsidRPr="003912D2">
        <w:rPr>
          <w:rFonts w:eastAsia="Arial Unicode MS"/>
        </w:rPr>
        <w:t xml:space="preserve">ensibility, and the </w:t>
      </w:r>
      <w:r>
        <w:rPr>
          <w:rFonts w:eastAsia="Arial Unicode MS"/>
        </w:rPr>
        <w:t>f</w:t>
      </w:r>
      <w:r w:rsidRPr="003912D2">
        <w:rPr>
          <w:rFonts w:eastAsia="Arial Unicode MS"/>
        </w:rPr>
        <w:t xml:space="preserve">amily </w:t>
      </w:r>
      <w:r>
        <w:rPr>
          <w:rFonts w:eastAsia="Arial Unicode MS"/>
        </w:rPr>
        <w:t>f</w:t>
      </w:r>
      <w:r w:rsidRPr="003912D2">
        <w:rPr>
          <w:rFonts w:eastAsia="Arial Unicode MS"/>
        </w:rPr>
        <w:t xml:space="preserve">irm: Josiah Wedgwood and Sons. </w:t>
      </w:r>
      <w:r w:rsidRPr="003912D2">
        <w:rPr>
          <w:rFonts w:eastAsia="Arial Unicode MS"/>
          <w:i/>
        </w:rPr>
        <w:t>Business History,</w:t>
      </w:r>
      <w:r w:rsidRPr="003912D2">
        <w:rPr>
          <w:rFonts w:eastAsia="Arial Unicode MS"/>
        </w:rPr>
        <w:t xml:space="preserve"> 55(6), 892–909</w:t>
      </w:r>
      <w:r>
        <w:rPr>
          <w:rFonts w:eastAsia="Arial Unicode MS"/>
        </w:rPr>
        <w:t>.</w:t>
      </w:r>
    </w:p>
    <w:p w14:paraId="0D1D7577"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lastRenderedPageBreak/>
        <w:t xml:space="preserve">Howard-Grenville, J., Metzger, M. L., &amp; Meyer, A. D. (2013). Rekindling the flame: Processes of identity resurrection. </w:t>
      </w:r>
      <w:r w:rsidRPr="003912D2">
        <w:rPr>
          <w:rFonts w:eastAsia="Arial Unicode MS"/>
          <w:i/>
        </w:rPr>
        <w:t>Academy of Management Journal,</w:t>
      </w:r>
      <w:r w:rsidRPr="003912D2">
        <w:rPr>
          <w:rFonts w:eastAsia="Arial Unicode MS"/>
        </w:rPr>
        <w:t xml:space="preserve"> 56(1), 113-136.</w:t>
      </w:r>
    </w:p>
    <w:p w14:paraId="3E301FA9"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Hunt, L., Jacob, M C.</w:t>
      </w:r>
      <w:r>
        <w:rPr>
          <w:rFonts w:eastAsia="Arial Unicode MS"/>
        </w:rPr>
        <w:t>,</w:t>
      </w:r>
      <w:r w:rsidRPr="003912D2">
        <w:rPr>
          <w:rFonts w:eastAsia="Arial Unicode MS"/>
        </w:rPr>
        <w:t xml:space="preserve"> &amp; Mijnhardt, W. (2010)</w:t>
      </w:r>
      <w:r>
        <w:rPr>
          <w:rFonts w:eastAsia="Arial Unicode MS"/>
        </w:rPr>
        <w:t>.</w:t>
      </w:r>
      <w:r w:rsidRPr="003912D2">
        <w:rPr>
          <w:rFonts w:eastAsia="Arial Unicode MS"/>
        </w:rPr>
        <w:t xml:space="preserve"> </w:t>
      </w:r>
      <w:r w:rsidRPr="003912D2">
        <w:rPr>
          <w:rFonts w:eastAsia="Arial Unicode MS"/>
          <w:i/>
        </w:rPr>
        <w:t xml:space="preserve">The </w:t>
      </w:r>
      <w:r>
        <w:rPr>
          <w:rFonts w:eastAsia="Arial Unicode MS"/>
          <w:i/>
        </w:rPr>
        <w:t>b</w:t>
      </w:r>
      <w:r w:rsidRPr="003912D2">
        <w:rPr>
          <w:rFonts w:eastAsia="Arial Unicode MS"/>
          <w:i/>
        </w:rPr>
        <w:t xml:space="preserve">ook </w:t>
      </w:r>
      <w:r>
        <w:rPr>
          <w:rFonts w:eastAsia="Arial Unicode MS"/>
          <w:i/>
        </w:rPr>
        <w:t>t</w:t>
      </w:r>
      <w:r w:rsidRPr="003912D2">
        <w:rPr>
          <w:rFonts w:eastAsia="Arial Unicode MS"/>
          <w:i/>
        </w:rPr>
        <w:t xml:space="preserve">hat </w:t>
      </w:r>
      <w:r>
        <w:rPr>
          <w:rFonts w:eastAsia="Arial Unicode MS"/>
          <w:i/>
        </w:rPr>
        <w:t>c</w:t>
      </w:r>
      <w:r w:rsidRPr="003912D2">
        <w:rPr>
          <w:rFonts w:eastAsia="Arial Unicode MS"/>
          <w:i/>
        </w:rPr>
        <w:t xml:space="preserve">hanged Europe: Picart and Bernard's </w:t>
      </w:r>
      <w:r>
        <w:rPr>
          <w:rFonts w:eastAsia="Arial Unicode MS"/>
          <w:i/>
        </w:rPr>
        <w:t>r</w:t>
      </w:r>
      <w:r w:rsidRPr="003912D2">
        <w:rPr>
          <w:rFonts w:eastAsia="Arial Unicode MS"/>
          <w:i/>
        </w:rPr>
        <w:t xml:space="preserve">eligious </w:t>
      </w:r>
      <w:r>
        <w:rPr>
          <w:rFonts w:eastAsia="Arial Unicode MS"/>
          <w:i/>
        </w:rPr>
        <w:t>c</w:t>
      </w:r>
      <w:r w:rsidRPr="003912D2">
        <w:rPr>
          <w:rFonts w:eastAsia="Arial Unicode MS"/>
          <w:i/>
        </w:rPr>
        <w:t>eremonies of the</w:t>
      </w:r>
      <w:r>
        <w:rPr>
          <w:rFonts w:eastAsia="Arial Unicode MS"/>
          <w:i/>
        </w:rPr>
        <w:t xml:space="preserve"> w</w:t>
      </w:r>
      <w:r w:rsidRPr="003912D2">
        <w:rPr>
          <w:rFonts w:eastAsia="Arial Unicode MS"/>
          <w:i/>
        </w:rPr>
        <w:t xml:space="preserve">orld. </w:t>
      </w:r>
      <w:r w:rsidRPr="003912D2">
        <w:rPr>
          <w:rFonts w:eastAsia="Arial Unicode MS"/>
        </w:rPr>
        <w:t>Cambridge, MA: Harvard University Press, Belknap Press.</w:t>
      </w:r>
    </w:p>
    <w:p w14:paraId="573B7088"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Iggers, G. </w:t>
      </w:r>
      <w:r>
        <w:rPr>
          <w:rFonts w:eastAsia="Arial Unicode MS"/>
        </w:rPr>
        <w:t>(</w:t>
      </w:r>
      <w:r w:rsidRPr="003912D2">
        <w:rPr>
          <w:rFonts w:eastAsia="Arial Unicode MS"/>
        </w:rPr>
        <w:t>1997</w:t>
      </w:r>
      <w:r>
        <w:rPr>
          <w:rFonts w:eastAsia="Arial Unicode MS"/>
        </w:rPr>
        <w:t>)</w:t>
      </w:r>
      <w:r w:rsidRPr="003912D2">
        <w:rPr>
          <w:rFonts w:eastAsia="Arial Unicode MS"/>
        </w:rPr>
        <w:t xml:space="preserve">. </w:t>
      </w:r>
      <w:r w:rsidRPr="003912D2">
        <w:rPr>
          <w:rFonts w:eastAsia="Arial Unicode MS"/>
          <w:i/>
        </w:rPr>
        <w:t>Historiography in the twentieth century. From scientific objectivity to the postmodern challenge.</w:t>
      </w:r>
      <w:r w:rsidRPr="003912D2">
        <w:rPr>
          <w:rFonts w:eastAsia="Arial Unicode MS"/>
        </w:rPr>
        <w:t xml:space="preserve"> Hanover, NH: Wesleyan University Press. </w:t>
      </w:r>
    </w:p>
    <w:p w14:paraId="1E58FEF4"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Kaplan, S.</w:t>
      </w:r>
      <w:r>
        <w:rPr>
          <w:rFonts w:eastAsia="Arial Unicode MS"/>
        </w:rPr>
        <w:t>,</w:t>
      </w:r>
      <w:r w:rsidRPr="003912D2">
        <w:rPr>
          <w:rFonts w:eastAsia="Arial Unicode MS"/>
        </w:rPr>
        <w:t xml:space="preserve"> </w:t>
      </w:r>
      <w:r>
        <w:rPr>
          <w:rFonts w:eastAsia="Arial Unicode MS"/>
        </w:rPr>
        <w:t>&amp;</w:t>
      </w:r>
      <w:r w:rsidRPr="003912D2">
        <w:rPr>
          <w:rFonts w:eastAsia="Arial Unicode MS"/>
        </w:rPr>
        <w:t xml:space="preserve"> Orlikowski, W.</w:t>
      </w:r>
      <w:r>
        <w:rPr>
          <w:rFonts w:eastAsia="Arial Unicode MS"/>
        </w:rPr>
        <w:t xml:space="preserve"> (</w:t>
      </w:r>
      <w:r w:rsidRPr="003912D2">
        <w:rPr>
          <w:rFonts w:eastAsia="Arial Unicode MS"/>
        </w:rPr>
        <w:t>2013</w:t>
      </w:r>
      <w:r>
        <w:rPr>
          <w:rFonts w:eastAsia="Arial Unicode MS"/>
        </w:rPr>
        <w:t>)</w:t>
      </w:r>
      <w:r w:rsidRPr="003912D2">
        <w:rPr>
          <w:rFonts w:eastAsia="Arial Unicode MS"/>
        </w:rPr>
        <w:t>. Temporal Work in Strategy Making.</w:t>
      </w:r>
      <w:r>
        <w:rPr>
          <w:rFonts w:eastAsia="Arial Unicode MS"/>
        </w:rPr>
        <w:t xml:space="preserve"> </w:t>
      </w:r>
      <w:r w:rsidRPr="00E92A05">
        <w:rPr>
          <w:rFonts w:eastAsia="Arial Unicode MS"/>
          <w:i/>
        </w:rPr>
        <w:t>Organization Science</w:t>
      </w:r>
      <w:r>
        <w:rPr>
          <w:rFonts w:eastAsia="Arial Unicode MS"/>
          <w:i/>
        </w:rPr>
        <w:t>,</w:t>
      </w:r>
      <w:r w:rsidRPr="003912D2">
        <w:rPr>
          <w:rFonts w:eastAsia="Arial Unicode MS"/>
        </w:rPr>
        <w:t xml:space="preserve"> 24(4)</w:t>
      </w:r>
      <w:r>
        <w:rPr>
          <w:rFonts w:eastAsia="Arial Unicode MS"/>
        </w:rPr>
        <w:t>, 965-995.</w:t>
      </w:r>
      <w:r w:rsidRPr="003912D2">
        <w:rPr>
          <w:rFonts w:eastAsia="Arial Unicode MS"/>
        </w:rPr>
        <w:t xml:space="preserve"> </w:t>
      </w:r>
    </w:p>
    <w:p w14:paraId="57399F8B"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Khaire, M.</w:t>
      </w:r>
      <w:r>
        <w:rPr>
          <w:rFonts w:eastAsia="Arial Unicode MS"/>
        </w:rPr>
        <w:t>,</w:t>
      </w:r>
      <w:r w:rsidRPr="003912D2">
        <w:rPr>
          <w:rFonts w:eastAsia="Arial Unicode MS"/>
        </w:rPr>
        <w:t xml:space="preserve"> &amp; Wadhwani, R. D. (2010). Changing landscapes: The construction of meaning and value in a new market category—Modern Indian art. </w:t>
      </w:r>
      <w:r w:rsidRPr="00E92A05">
        <w:rPr>
          <w:rFonts w:eastAsia="Arial Unicode MS"/>
          <w:i/>
        </w:rPr>
        <w:t>Academy of Management Journal,</w:t>
      </w:r>
      <w:r w:rsidRPr="003912D2">
        <w:rPr>
          <w:rFonts w:eastAsia="Arial Unicode MS"/>
        </w:rPr>
        <w:t xml:space="preserve"> 53(6), 1281-1304.</w:t>
      </w:r>
    </w:p>
    <w:p w14:paraId="58AA8D95" w14:textId="77777777" w:rsidR="00783078" w:rsidRPr="003912D2" w:rsidRDefault="00D46EF7" w:rsidP="00783078">
      <w:pPr>
        <w:shd w:val="clear" w:color="auto" w:fill="FFFFFF"/>
        <w:spacing w:before="100" w:beforeAutospacing="1" w:after="150" w:line="312" w:lineRule="atLeast"/>
        <w:rPr>
          <w:rFonts w:eastAsia="Arial Unicode MS"/>
        </w:rPr>
      </w:pPr>
      <w:hyperlink r:id="rId9" w:history="1">
        <w:r w:rsidR="00783078" w:rsidRPr="003912D2">
          <w:rPr>
            <w:rFonts w:eastAsia="Arial Unicode MS"/>
          </w:rPr>
          <w:t>Kipping, M.</w:t>
        </w:r>
      </w:hyperlink>
      <w:r w:rsidR="00783078">
        <w:rPr>
          <w:rFonts w:eastAsia="Arial Unicode MS"/>
        </w:rPr>
        <w:t>,</w:t>
      </w:r>
      <w:r w:rsidR="00783078" w:rsidRPr="003912D2">
        <w:rPr>
          <w:rFonts w:eastAsia="Arial Unicode MS"/>
        </w:rPr>
        <w:t xml:space="preserve"> &amp; Westerhuis G. (2014).</w:t>
      </w:r>
      <w:r w:rsidR="00783078">
        <w:rPr>
          <w:rFonts w:eastAsia="Arial Unicode MS"/>
        </w:rPr>
        <w:t xml:space="preserve"> </w:t>
      </w:r>
      <w:r w:rsidR="00783078" w:rsidRPr="003912D2">
        <w:rPr>
          <w:rFonts w:eastAsia="Arial Unicode MS"/>
        </w:rPr>
        <w:t xml:space="preserve">The managerialization of banking: </w:t>
      </w:r>
      <w:r w:rsidR="00783078">
        <w:rPr>
          <w:rFonts w:eastAsia="Arial Unicode MS"/>
        </w:rPr>
        <w:t>F</w:t>
      </w:r>
      <w:r w:rsidR="00783078" w:rsidRPr="003912D2">
        <w:rPr>
          <w:rFonts w:eastAsia="Arial Unicode MS"/>
        </w:rPr>
        <w:t>rom blueprint to reality</w:t>
      </w:r>
      <w:r w:rsidR="00783078">
        <w:rPr>
          <w:rFonts w:eastAsia="Arial Unicode MS"/>
        </w:rPr>
        <w:t>.</w:t>
      </w:r>
      <w:r w:rsidR="00783078" w:rsidRPr="003912D2">
        <w:rPr>
          <w:rFonts w:eastAsia="Arial Unicode MS"/>
        </w:rPr>
        <w:t xml:space="preserve"> </w:t>
      </w:r>
      <w:r w:rsidR="00783078" w:rsidRPr="00E92A05">
        <w:rPr>
          <w:rFonts w:eastAsia="Arial Unicode MS"/>
          <w:i/>
        </w:rPr>
        <w:t>Management &amp; Organizational History,</w:t>
      </w:r>
      <w:r w:rsidR="00783078" w:rsidRPr="003912D2">
        <w:rPr>
          <w:rFonts w:eastAsia="Arial Unicode MS"/>
        </w:rPr>
        <w:t xml:space="preserve"> 9(4), 1-20</w:t>
      </w:r>
      <w:r w:rsidR="00783078">
        <w:rPr>
          <w:rFonts w:eastAsia="Arial Unicode MS"/>
        </w:rPr>
        <w:t>.</w:t>
      </w:r>
    </w:p>
    <w:p w14:paraId="6C2FF82D" w14:textId="29F0AFA0"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Kirsch, D. (2000). </w:t>
      </w:r>
      <w:r w:rsidRPr="00E92A05">
        <w:rPr>
          <w:rFonts w:eastAsia="Arial Unicode MS"/>
          <w:i/>
        </w:rPr>
        <w:t>The electric car and the burden of history.</w:t>
      </w:r>
      <w:r w:rsidRPr="00E92A05">
        <w:rPr>
          <w:rFonts w:eastAsia="Arial Unicode MS"/>
        </w:rPr>
        <w:t xml:space="preserve"> New Brunswick: </w:t>
      </w:r>
      <w:r w:rsidRPr="003912D2">
        <w:rPr>
          <w:rFonts w:eastAsia="Arial Unicode MS"/>
        </w:rPr>
        <w:t>Rutgers University Press.</w:t>
      </w:r>
    </w:p>
    <w:p w14:paraId="0750BEBA"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Koselleck, R. (2004). </w:t>
      </w:r>
      <w:r w:rsidRPr="00E92A05">
        <w:rPr>
          <w:rFonts w:eastAsia="Arial Unicode MS"/>
          <w:i/>
        </w:rPr>
        <w:t>Futures past: on the semantics of historical time.</w:t>
      </w:r>
      <w:r w:rsidRPr="003912D2">
        <w:rPr>
          <w:rFonts w:eastAsia="Arial Unicode MS"/>
        </w:rPr>
        <w:t xml:space="preserve"> </w:t>
      </w:r>
      <w:r>
        <w:rPr>
          <w:rFonts w:eastAsia="Arial Unicode MS"/>
        </w:rPr>
        <w:t xml:space="preserve">New York: </w:t>
      </w:r>
      <w:r w:rsidRPr="003912D2">
        <w:rPr>
          <w:rFonts w:eastAsia="Arial Unicode MS"/>
        </w:rPr>
        <w:t>Columbia University Press.</w:t>
      </w:r>
    </w:p>
    <w:p w14:paraId="3FB19A18"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Kroeze, R., &amp; Keulen, S. (2013). Leading a multinational is history in practice: The use of invented traditions and narratives at AkzoNobel, Shell, Philips and ABN AMRO. </w:t>
      </w:r>
      <w:r w:rsidRPr="00E92A05">
        <w:rPr>
          <w:rFonts w:eastAsia="Arial Unicode MS"/>
          <w:i/>
        </w:rPr>
        <w:t xml:space="preserve">Business History, </w:t>
      </w:r>
      <w:r w:rsidRPr="003912D2">
        <w:rPr>
          <w:rFonts w:eastAsia="Arial Unicode MS"/>
        </w:rPr>
        <w:t>55(8), 1265-1287.</w:t>
      </w:r>
    </w:p>
    <w:p w14:paraId="1B717139"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Langley, A. 1999. Strategies for </w:t>
      </w:r>
      <w:r>
        <w:rPr>
          <w:rFonts w:eastAsia="Arial Unicode MS"/>
        </w:rPr>
        <w:t>t</w:t>
      </w:r>
      <w:r w:rsidRPr="003912D2">
        <w:rPr>
          <w:rFonts w:eastAsia="Arial Unicode MS"/>
        </w:rPr>
        <w:t xml:space="preserve">heorizing from </w:t>
      </w:r>
      <w:r>
        <w:rPr>
          <w:rFonts w:eastAsia="Arial Unicode MS"/>
        </w:rPr>
        <w:t>p</w:t>
      </w:r>
      <w:r w:rsidRPr="003912D2">
        <w:rPr>
          <w:rFonts w:eastAsia="Arial Unicode MS"/>
        </w:rPr>
        <w:t xml:space="preserve">rocess </w:t>
      </w:r>
      <w:r>
        <w:rPr>
          <w:rFonts w:eastAsia="Arial Unicode MS"/>
        </w:rPr>
        <w:t>d</w:t>
      </w:r>
      <w:r w:rsidRPr="003912D2">
        <w:rPr>
          <w:rFonts w:eastAsia="Arial Unicode MS"/>
        </w:rPr>
        <w:t xml:space="preserve">ata. </w:t>
      </w:r>
      <w:r w:rsidRPr="00E92A05">
        <w:rPr>
          <w:rFonts w:eastAsia="Arial Unicode MS"/>
          <w:i/>
        </w:rPr>
        <w:t>Academy of Management Review</w:t>
      </w:r>
      <w:r>
        <w:rPr>
          <w:rFonts w:eastAsia="Arial Unicode MS"/>
        </w:rPr>
        <w:t>,</w:t>
      </w:r>
      <w:r w:rsidRPr="003912D2">
        <w:rPr>
          <w:rFonts w:eastAsia="Arial Unicode MS"/>
        </w:rPr>
        <w:t xml:space="preserve"> 24</w:t>
      </w:r>
      <w:r>
        <w:rPr>
          <w:rFonts w:eastAsia="Arial Unicode MS"/>
        </w:rPr>
        <w:t>(4),</w:t>
      </w:r>
      <w:r w:rsidRPr="003912D2">
        <w:rPr>
          <w:rFonts w:eastAsia="Arial Unicode MS"/>
        </w:rPr>
        <w:t xml:space="preserve"> 69</w:t>
      </w:r>
      <w:r>
        <w:rPr>
          <w:rFonts w:eastAsia="Arial Unicode MS"/>
        </w:rPr>
        <w:t>1</w:t>
      </w:r>
      <w:r w:rsidRPr="003912D2">
        <w:rPr>
          <w:rFonts w:eastAsia="Arial Unicode MS"/>
        </w:rPr>
        <w:t>-710.</w:t>
      </w:r>
    </w:p>
    <w:p w14:paraId="6A115DC3" w14:textId="77777777" w:rsidR="00783078" w:rsidRPr="00E92A05" w:rsidRDefault="00783078" w:rsidP="00783078">
      <w:pPr>
        <w:shd w:val="clear" w:color="auto" w:fill="FFFFFF"/>
        <w:spacing w:before="100" w:beforeAutospacing="1" w:after="150" w:line="312" w:lineRule="atLeast"/>
        <w:rPr>
          <w:rFonts w:eastAsia="Arial Unicode MS"/>
          <w:i/>
        </w:rPr>
      </w:pPr>
      <w:r w:rsidRPr="003912D2">
        <w:rPr>
          <w:rFonts w:eastAsia="Arial Unicode MS"/>
        </w:rPr>
        <w:t>Langley, A.</w:t>
      </w:r>
      <w:r>
        <w:rPr>
          <w:rFonts w:eastAsia="Arial Unicode MS"/>
        </w:rPr>
        <w:t>,</w:t>
      </w:r>
      <w:r w:rsidRPr="003912D2">
        <w:rPr>
          <w:rFonts w:eastAsia="Arial Unicode MS"/>
        </w:rPr>
        <w:t xml:space="preserve"> &amp; Basque, J. (2018). Invoking Alphonse: The founding figure as a historical resource for organizational identity work. </w:t>
      </w:r>
      <w:r w:rsidRPr="00E92A05">
        <w:rPr>
          <w:rFonts w:eastAsia="Arial Unicode MS"/>
          <w:i/>
        </w:rPr>
        <w:t>This volume.</w:t>
      </w:r>
    </w:p>
    <w:p w14:paraId="3746FBAD"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Leon, W.</w:t>
      </w:r>
      <w:r>
        <w:rPr>
          <w:rFonts w:eastAsia="Arial Unicode MS"/>
        </w:rPr>
        <w:t>,</w:t>
      </w:r>
      <w:r w:rsidRPr="003912D2">
        <w:rPr>
          <w:rFonts w:eastAsia="Arial Unicode MS"/>
        </w:rPr>
        <w:t xml:space="preserve"> &amp; Rosenzweig, R.</w:t>
      </w:r>
      <w:r>
        <w:rPr>
          <w:rFonts w:eastAsia="Arial Unicode MS"/>
        </w:rPr>
        <w:t xml:space="preserve"> </w:t>
      </w:r>
      <w:r w:rsidRPr="003912D2">
        <w:rPr>
          <w:rFonts w:eastAsia="Arial Unicode MS"/>
        </w:rPr>
        <w:t xml:space="preserve">(1989). </w:t>
      </w:r>
      <w:r w:rsidRPr="00E92A05">
        <w:rPr>
          <w:rFonts w:eastAsia="Arial Unicode MS"/>
          <w:i/>
        </w:rPr>
        <w:t xml:space="preserve">History museums in the United States: </w:t>
      </w:r>
      <w:r>
        <w:rPr>
          <w:rFonts w:eastAsia="Arial Unicode MS"/>
          <w:i/>
        </w:rPr>
        <w:t>A</w:t>
      </w:r>
      <w:r w:rsidRPr="00E92A05">
        <w:rPr>
          <w:rFonts w:eastAsia="Arial Unicode MS"/>
          <w:i/>
        </w:rPr>
        <w:t xml:space="preserve"> critical assessment.</w:t>
      </w:r>
      <w:r w:rsidRPr="003912D2">
        <w:rPr>
          <w:rFonts w:eastAsia="Arial Unicode MS"/>
        </w:rPr>
        <w:t xml:space="preserve"> U</w:t>
      </w:r>
      <w:r>
        <w:rPr>
          <w:rFonts w:eastAsia="Arial Unicode MS"/>
        </w:rPr>
        <w:t>rbana &amp; Chicago: U</w:t>
      </w:r>
      <w:r w:rsidRPr="003912D2">
        <w:rPr>
          <w:rFonts w:eastAsia="Arial Unicode MS"/>
        </w:rPr>
        <w:t>niversity of Illinois Press.</w:t>
      </w:r>
    </w:p>
    <w:p w14:paraId="3931DCA9"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Lerner, G. (1982). The necessity of history and the professional historian. </w:t>
      </w:r>
      <w:r w:rsidRPr="00E92A05">
        <w:rPr>
          <w:rFonts w:eastAsia="Arial Unicode MS"/>
          <w:i/>
        </w:rPr>
        <w:t xml:space="preserve">The Journal of American History, </w:t>
      </w:r>
      <w:r w:rsidRPr="003912D2">
        <w:rPr>
          <w:rFonts w:eastAsia="Arial Unicode MS"/>
        </w:rPr>
        <w:t>69(1), 7-20.</w:t>
      </w:r>
    </w:p>
    <w:p w14:paraId="48EB1DCE"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lastRenderedPageBreak/>
        <w:t xml:space="preserve">Licht, W. (1983). </w:t>
      </w:r>
      <w:r w:rsidRPr="00E92A05">
        <w:rPr>
          <w:rFonts w:eastAsia="Arial Unicode MS"/>
          <w:i/>
        </w:rPr>
        <w:t>Working for the railroad: The organization of work in the nineteenth century.</w:t>
      </w:r>
      <w:r w:rsidRPr="003912D2">
        <w:rPr>
          <w:rFonts w:eastAsia="Arial Unicode MS"/>
        </w:rPr>
        <w:t xml:space="preserve"> Princeton: Princeton University Press.</w:t>
      </w:r>
    </w:p>
    <w:p w14:paraId="7EE33C94"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Linde, C. (2008). </w:t>
      </w:r>
      <w:r w:rsidRPr="00E92A05">
        <w:rPr>
          <w:rFonts w:eastAsia="Arial Unicode MS"/>
          <w:i/>
        </w:rPr>
        <w:t>Working the past: Narrative and institutional memory.</w:t>
      </w:r>
      <w:r w:rsidRPr="003912D2">
        <w:rPr>
          <w:rFonts w:eastAsia="Arial Unicode MS"/>
        </w:rPr>
        <w:t xml:space="preserve"> </w:t>
      </w:r>
      <w:r>
        <w:rPr>
          <w:rFonts w:eastAsia="Arial Unicode MS"/>
        </w:rPr>
        <w:t xml:space="preserve">Oxford: </w:t>
      </w:r>
      <w:r w:rsidRPr="003912D2">
        <w:rPr>
          <w:rFonts w:eastAsia="Arial Unicode MS"/>
        </w:rPr>
        <w:t>Oxford University Press</w:t>
      </w:r>
      <w:r>
        <w:rPr>
          <w:rFonts w:eastAsia="Arial Unicode MS"/>
        </w:rPr>
        <w:t>.</w:t>
      </w:r>
    </w:p>
    <w:p w14:paraId="6E97E450"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Lipartito, K. (2014). Historical </w:t>
      </w:r>
      <w:r>
        <w:rPr>
          <w:rFonts w:eastAsia="Arial Unicode MS"/>
        </w:rPr>
        <w:t>s</w:t>
      </w:r>
      <w:r w:rsidRPr="003912D2">
        <w:rPr>
          <w:rFonts w:eastAsia="Arial Unicode MS"/>
        </w:rPr>
        <w:t xml:space="preserve">ources and </w:t>
      </w:r>
      <w:r>
        <w:rPr>
          <w:rFonts w:eastAsia="Arial Unicode MS"/>
        </w:rPr>
        <w:t>d</w:t>
      </w:r>
      <w:r w:rsidRPr="003912D2">
        <w:rPr>
          <w:rFonts w:eastAsia="Arial Unicode MS"/>
        </w:rPr>
        <w:t xml:space="preserve">ata. In </w:t>
      </w:r>
      <w:r>
        <w:rPr>
          <w:rFonts w:eastAsia="Arial Unicode MS"/>
        </w:rPr>
        <w:t>M.</w:t>
      </w:r>
      <w:r w:rsidRPr="003912D2">
        <w:rPr>
          <w:rFonts w:eastAsia="Arial Unicode MS"/>
        </w:rPr>
        <w:t xml:space="preserve"> Bucheli and R. </w:t>
      </w:r>
      <w:r>
        <w:rPr>
          <w:rFonts w:eastAsia="Arial Unicode MS"/>
        </w:rPr>
        <w:t>D.</w:t>
      </w:r>
      <w:r w:rsidRPr="003912D2">
        <w:rPr>
          <w:rFonts w:eastAsia="Arial Unicode MS"/>
        </w:rPr>
        <w:t xml:space="preserve"> Wadhwani</w:t>
      </w:r>
      <w:r>
        <w:rPr>
          <w:rFonts w:eastAsia="Arial Unicode MS"/>
        </w:rPr>
        <w:t xml:space="preserve"> (Eds.)</w:t>
      </w:r>
      <w:r w:rsidRPr="003912D2">
        <w:rPr>
          <w:rFonts w:eastAsia="Arial Unicode MS"/>
        </w:rPr>
        <w:t xml:space="preserve">, </w:t>
      </w:r>
      <w:r w:rsidRPr="00E92A05">
        <w:rPr>
          <w:rFonts w:eastAsia="Arial Unicode MS"/>
          <w:i/>
        </w:rPr>
        <w:t>Organizations in time: History, theory, methods</w:t>
      </w:r>
      <w:r>
        <w:rPr>
          <w:rFonts w:eastAsia="Arial Unicode MS"/>
        </w:rPr>
        <w:t xml:space="preserve"> (pp. 284-304)</w:t>
      </w:r>
      <w:r w:rsidRPr="003912D2">
        <w:rPr>
          <w:rFonts w:eastAsia="Arial Unicode MS"/>
        </w:rPr>
        <w:t>. New York: Oxford University Press.</w:t>
      </w:r>
    </w:p>
    <w:p w14:paraId="541EB64A" w14:textId="77777777" w:rsidR="00783078" w:rsidRPr="00E92A05" w:rsidRDefault="00783078" w:rsidP="00783078">
      <w:pPr>
        <w:shd w:val="clear" w:color="auto" w:fill="FFFFFF"/>
        <w:spacing w:before="100" w:beforeAutospacing="1" w:after="150" w:line="312" w:lineRule="atLeast"/>
        <w:rPr>
          <w:rFonts w:eastAsia="Arial Unicode MS"/>
          <w:i/>
        </w:rPr>
      </w:pPr>
      <w:r w:rsidRPr="003912D2">
        <w:rPr>
          <w:rFonts w:eastAsia="Arial Unicode MS"/>
        </w:rPr>
        <w:t xml:space="preserve">Lubinski, C. (2018). From ‘history as told’ to ‘history as experienced’: Contextualizing uses of the past. </w:t>
      </w:r>
      <w:r w:rsidRPr="00E92A05">
        <w:rPr>
          <w:rFonts w:eastAsia="Arial Unicode MS"/>
          <w:i/>
        </w:rPr>
        <w:t>This volume.</w:t>
      </w:r>
    </w:p>
    <w:p w14:paraId="39441E02" w14:textId="77777777" w:rsidR="00783078" w:rsidRPr="00E92A05" w:rsidRDefault="00783078" w:rsidP="00783078">
      <w:pPr>
        <w:shd w:val="clear" w:color="auto" w:fill="FFFFFF"/>
        <w:spacing w:before="100" w:beforeAutospacing="1" w:after="150" w:line="312" w:lineRule="atLeast"/>
        <w:rPr>
          <w:rFonts w:eastAsia="Arial Unicode MS"/>
          <w:i/>
        </w:rPr>
      </w:pPr>
      <w:r w:rsidRPr="003912D2">
        <w:rPr>
          <w:rFonts w:eastAsia="Arial Unicode MS"/>
        </w:rPr>
        <w:t>Maclean, M.</w:t>
      </w:r>
      <w:r>
        <w:rPr>
          <w:rFonts w:eastAsia="Arial Unicode MS"/>
        </w:rPr>
        <w:t>,</w:t>
      </w:r>
      <w:r w:rsidRPr="003912D2">
        <w:rPr>
          <w:rFonts w:eastAsia="Arial Unicode MS"/>
        </w:rPr>
        <w:t xml:space="preserve"> &amp; Harvey, C. (2018). Intertextuality, rhetorical history and the uses of the past in organizational transition. </w:t>
      </w:r>
      <w:r w:rsidRPr="00E92A05">
        <w:rPr>
          <w:rFonts w:eastAsia="Arial Unicode MS"/>
          <w:i/>
        </w:rPr>
        <w:t>This volume.</w:t>
      </w:r>
    </w:p>
    <w:p w14:paraId="05400680"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McKinley, A., &amp; Starkey, K. (1998). </w:t>
      </w:r>
      <w:r w:rsidRPr="00E92A05">
        <w:rPr>
          <w:rFonts w:eastAsia="Arial Unicode MS"/>
          <w:i/>
        </w:rPr>
        <w:t>Foucault, management and organization theory.</w:t>
      </w:r>
      <w:r w:rsidRPr="003912D2">
        <w:rPr>
          <w:rFonts w:eastAsia="Arial Unicode MS"/>
        </w:rPr>
        <w:t xml:space="preserve"> London: Sage.</w:t>
      </w:r>
    </w:p>
    <w:p w14:paraId="044612D4"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Mantere, S.</w:t>
      </w:r>
      <w:r>
        <w:rPr>
          <w:rFonts w:eastAsia="Arial Unicode MS"/>
        </w:rPr>
        <w:t>,</w:t>
      </w:r>
      <w:r w:rsidRPr="003912D2">
        <w:rPr>
          <w:rFonts w:eastAsia="Arial Unicode MS"/>
        </w:rPr>
        <w:t xml:space="preserve"> </w:t>
      </w:r>
      <w:r>
        <w:rPr>
          <w:rFonts w:eastAsia="Arial Unicode MS"/>
        </w:rPr>
        <w:t>&amp;</w:t>
      </w:r>
      <w:r w:rsidRPr="003912D2">
        <w:rPr>
          <w:rFonts w:eastAsia="Arial Unicode MS"/>
        </w:rPr>
        <w:t xml:space="preserve"> Ketokivi, M. (2013). Reasoning in Organization Science. </w:t>
      </w:r>
      <w:r w:rsidRPr="00E92A05">
        <w:rPr>
          <w:rFonts w:eastAsia="Arial Unicode MS"/>
          <w:i/>
        </w:rPr>
        <w:t xml:space="preserve">Academy of Management Review, </w:t>
      </w:r>
      <w:r w:rsidRPr="003912D2">
        <w:rPr>
          <w:rFonts w:eastAsia="Arial Unicode MS"/>
        </w:rPr>
        <w:t>38(1), 70-89.</w:t>
      </w:r>
    </w:p>
    <w:p w14:paraId="0F4CF695"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March, J. Sproull, L, </w:t>
      </w:r>
      <w:r>
        <w:rPr>
          <w:rFonts w:eastAsia="Arial Unicode MS"/>
        </w:rPr>
        <w:t>&amp;</w:t>
      </w:r>
      <w:r w:rsidRPr="003912D2">
        <w:rPr>
          <w:rFonts w:eastAsia="Arial Unicode MS"/>
        </w:rPr>
        <w:t xml:space="preserve"> Tamuz, M. (1991). Learning from </w:t>
      </w:r>
      <w:r>
        <w:rPr>
          <w:rFonts w:eastAsia="Arial Unicode MS"/>
        </w:rPr>
        <w:t>s</w:t>
      </w:r>
      <w:r w:rsidRPr="003912D2">
        <w:rPr>
          <w:rFonts w:eastAsia="Arial Unicode MS"/>
        </w:rPr>
        <w:t xml:space="preserve">amples of </w:t>
      </w:r>
      <w:r>
        <w:rPr>
          <w:rFonts w:eastAsia="Arial Unicode MS"/>
        </w:rPr>
        <w:t>o</w:t>
      </w:r>
      <w:r w:rsidRPr="003912D2">
        <w:rPr>
          <w:rFonts w:eastAsia="Arial Unicode MS"/>
        </w:rPr>
        <w:t xml:space="preserve">ne or </w:t>
      </w:r>
      <w:r>
        <w:rPr>
          <w:rFonts w:eastAsia="Arial Unicode MS"/>
        </w:rPr>
        <w:t>f</w:t>
      </w:r>
      <w:r w:rsidRPr="003912D2">
        <w:rPr>
          <w:rFonts w:eastAsia="Arial Unicode MS"/>
        </w:rPr>
        <w:t xml:space="preserve">ewer. </w:t>
      </w:r>
      <w:r w:rsidRPr="00E92A05">
        <w:rPr>
          <w:rFonts w:eastAsia="Arial Unicode MS"/>
          <w:i/>
        </w:rPr>
        <w:t>Organization Science</w:t>
      </w:r>
      <w:r w:rsidRPr="003912D2">
        <w:rPr>
          <w:rFonts w:eastAsia="Arial Unicode MS"/>
        </w:rPr>
        <w:t xml:space="preserve"> 2: 1-13.</w:t>
      </w:r>
    </w:p>
    <w:p w14:paraId="2C811C0C" w14:textId="66EABCD8" w:rsidR="00797CA4" w:rsidRPr="00797CA4" w:rsidRDefault="00797CA4" w:rsidP="00783078">
      <w:pPr>
        <w:shd w:val="clear" w:color="auto" w:fill="FFFFFF"/>
        <w:spacing w:before="100" w:beforeAutospacing="1" w:after="150" w:line="312" w:lineRule="atLeast"/>
        <w:rPr>
          <w:rFonts w:eastAsia="Arial Unicode MS"/>
        </w:rPr>
      </w:pPr>
      <w:r>
        <w:rPr>
          <w:rFonts w:eastAsia="Arial Unicode MS"/>
        </w:rPr>
        <w:t xml:space="preserve">Mead, G.H. (1932). </w:t>
      </w:r>
      <w:r>
        <w:rPr>
          <w:rFonts w:eastAsia="Arial Unicode MS"/>
          <w:i/>
        </w:rPr>
        <w:t xml:space="preserve">The philosophy of the present. </w:t>
      </w:r>
      <w:r>
        <w:rPr>
          <w:rFonts w:eastAsia="Arial Unicode MS"/>
        </w:rPr>
        <w:t xml:space="preserve">London: The Open Court Company. </w:t>
      </w:r>
    </w:p>
    <w:p w14:paraId="169C6203" w14:textId="673D0F4E"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Mordhorst, M. (2008). From counterfactual history to counter-narrative history. </w:t>
      </w:r>
      <w:r w:rsidRPr="00E92A05">
        <w:rPr>
          <w:rFonts w:eastAsia="Arial Unicode MS"/>
          <w:i/>
        </w:rPr>
        <w:t>Management &amp; Organizational History,</w:t>
      </w:r>
      <w:r w:rsidRPr="003912D2">
        <w:rPr>
          <w:rFonts w:eastAsia="Arial Unicode MS"/>
        </w:rPr>
        <w:t xml:space="preserve"> 3(1), 5-26.</w:t>
      </w:r>
    </w:p>
    <w:p w14:paraId="0868C331"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Mordhorst, M. (2014). Arla and Danish national identity–business history as cultural history. </w:t>
      </w:r>
      <w:r w:rsidRPr="00E92A05">
        <w:rPr>
          <w:rFonts w:eastAsia="Arial Unicode MS"/>
          <w:i/>
        </w:rPr>
        <w:t>Business History, 56(1),</w:t>
      </w:r>
      <w:r w:rsidRPr="003912D2">
        <w:rPr>
          <w:rFonts w:eastAsia="Arial Unicode MS"/>
        </w:rPr>
        <w:t xml:space="preserve"> 116-133.</w:t>
      </w:r>
    </w:p>
    <w:p w14:paraId="3614E7D2"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Mordhorst, M.</w:t>
      </w:r>
      <w:r>
        <w:rPr>
          <w:rFonts w:eastAsia="Arial Unicode MS"/>
        </w:rPr>
        <w:t>,</w:t>
      </w:r>
      <w:r w:rsidRPr="003912D2">
        <w:rPr>
          <w:rFonts w:eastAsia="Arial Unicode MS"/>
        </w:rPr>
        <w:t xml:space="preserve"> &amp; Schwarzkopf S., (2017) Theorising narrative in business history, </w:t>
      </w:r>
      <w:r w:rsidRPr="00E92A05">
        <w:rPr>
          <w:rFonts w:eastAsia="Arial Unicode MS"/>
          <w:i/>
        </w:rPr>
        <w:t>Business History,</w:t>
      </w:r>
      <w:r w:rsidRPr="003912D2">
        <w:rPr>
          <w:rFonts w:eastAsia="Arial Unicode MS"/>
        </w:rPr>
        <w:t xml:space="preserve"> 59</w:t>
      </w:r>
      <w:r>
        <w:rPr>
          <w:rFonts w:eastAsia="Arial Unicode MS"/>
        </w:rPr>
        <w:t>(</w:t>
      </w:r>
      <w:r w:rsidRPr="003912D2">
        <w:rPr>
          <w:rFonts w:eastAsia="Arial Unicode MS"/>
        </w:rPr>
        <w:t>8</w:t>
      </w:r>
      <w:r>
        <w:rPr>
          <w:rFonts w:eastAsia="Arial Unicode MS"/>
        </w:rPr>
        <w:t>)</w:t>
      </w:r>
      <w:r w:rsidRPr="003912D2">
        <w:rPr>
          <w:rFonts w:eastAsia="Arial Unicode MS"/>
        </w:rPr>
        <w:t>, 1155-1175</w:t>
      </w:r>
      <w:r>
        <w:rPr>
          <w:rFonts w:eastAsia="Arial Unicode MS"/>
        </w:rPr>
        <w:t>.</w:t>
      </w:r>
    </w:p>
    <w:p w14:paraId="5B0E45E5"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Murphy, S.A. (2005). Securing </w:t>
      </w:r>
      <w:r>
        <w:rPr>
          <w:rFonts w:eastAsia="Arial Unicode MS"/>
        </w:rPr>
        <w:t>h</w:t>
      </w:r>
      <w:r w:rsidRPr="003912D2">
        <w:rPr>
          <w:rFonts w:eastAsia="Arial Unicode MS"/>
        </w:rPr>
        <w:t xml:space="preserve">uman </w:t>
      </w:r>
      <w:r>
        <w:rPr>
          <w:rFonts w:eastAsia="Arial Unicode MS"/>
        </w:rPr>
        <w:t>p</w:t>
      </w:r>
      <w:r w:rsidRPr="003912D2">
        <w:rPr>
          <w:rFonts w:eastAsia="Arial Unicode MS"/>
        </w:rPr>
        <w:t xml:space="preserve">roperty: Slavery, </w:t>
      </w:r>
      <w:r>
        <w:rPr>
          <w:rFonts w:eastAsia="Arial Unicode MS"/>
        </w:rPr>
        <w:t>l</w:t>
      </w:r>
      <w:r w:rsidRPr="003912D2">
        <w:rPr>
          <w:rFonts w:eastAsia="Arial Unicode MS"/>
        </w:rPr>
        <w:t xml:space="preserve">ife </w:t>
      </w:r>
      <w:r>
        <w:rPr>
          <w:rFonts w:eastAsia="Arial Unicode MS"/>
        </w:rPr>
        <w:t>i</w:t>
      </w:r>
      <w:r w:rsidRPr="003912D2">
        <w:rPr>
          <w:rFonts w:eastAsia="Arial Unicode MS"/>
        </w:rPr>
        <w:t xml:space="preserve">nsurance, and </w:t>
      </w:r>
      <w:r>
        <w:rPr>
          <w:rFonts w:eastAsia="Arial Unicode MS"/>
        </w:rPr>
        <w:t>i</w:t>
      </w:r>
      <w:r w:rsidRPr="003912D2">
        <w:rPr>
          <w:rFonts w:eastAsia="Arial Unicode MS"/>
        </w:rPr>
        <w:t xml:space="preserve">ndustrialization in the Upper South. </w:t>
      </w:r>
      <w:r w:rsidRPr="00E92A05">
        <w:rPr>
          <w:rFonts w:eastAsia="Arial Unicode MS"/>
          <w:i/>
        </w:rPr>
        <w:t>Journal of the Early Republic</w:t>
      </w:r>
      <w:r>
        <w:rPr>
          <w:rFonts w:eastAsia="Arial Unicode MS"/>
          <w:i/>
        </w:rPr>
        <w:t>,</w:t>
      </w:r>
      <w:r w:rsidRPr="003912D2">
        <w:rPr>
          <w:rFonts w:eastAsia="Arial Unicode MS"/>
        </w:rPr>
        <w:t xml:space="preserve"> 25(4), 615-652.</w:t>
      </w:r>
    </w:p>
    <w:p w14:paraId="4D9C3D87"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Navis, C., &amp; Glynn, M. A. (2010). How new market categories emerge: Temporal dynamics of legitimacy, identity, and entrepreneurship in satellite radio, 1990–2005. </w:t>
      </w:r>
      <w:r w:rsidRPr="00E92A05">
        <w:rPr>
          <w:rFonts w:eastAsia="Arial Unicode MS"/>
          <w:i/>
        </w:rPr>
        <w:t>Administrative Science Quarterly,</w:t>
      </w:r>
      <w:r w:rsidRPr="003912D2">
        <w:rPr>
          <w:rFonts w:eastAsia="Arial Unicode MS"/>
        </w:rPr>
        <w:t xml:space="preserve"> 55(3), 439-471.</w:t>
      </w:r>
    </w:p>
    <w:p w14:paraId="7DF14DFD"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lastRenderedPageBreak/>
        <w:t xml:space="preserve">Nelson, R. R., &amp; Winter, S.G. (1982). </w:t>
      </w:r>
      <w:r w:rsidRPr="00E92A05">
        <w:rPr>
          <w:rFonts w:eastAsia="Arial Unicode MS"/>
          <w:i/>
        </w:rPr>
        <w:t>An evolutionary theory of economic change.</w:t>
      </w:r>
      <w:r>
        <w:rPr>
          <w:rFonts w:eastAsia="Arial Unicode MS"/>
        </w:rPr>
        <w:t xml:space="preserve"> </w:t>
      </w:r>
      <w:r w:rsidRPr="003912D2">
        <w:rPr>
          <w:rFonts w:eastAsia="Arial Unicode MS"/>
        </w:rPr>
        <w:t>Cambridge</w:t>
      </w:r>
      <w:r>
        <w:rPr>
          <w:rFonts w:eastAsia="Arial Unicode MS"/>
        </w:rPr>
        <w:t>, Mass.</w:t>
      </w:r>
      <w:r w:rsidRPr="003912D2">
        <w:rPr>
          <w:rFonts w:eastAsia="Arial Unicode MS"/>
        </w:rPr>
        <w:t>: Harvard University Press.</w:t>
      </w:r>
    </w:p>
    <w:p w14:paraId="2D49DCF8"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Nora, P. (1996). </w:t>
      </w:r>
      <w:r w:rsidRPr="00E92A05">
        <w:rPr>
          <w:rFonts w:eastAsia="Arial Unicode MS"/>
          <w:i/>
        </w:rPr>
        <w:t>Realms of memory: Conflicts and divisions (Vol. 1).</w:t>
      </w:r>
      <w:r w:rsidRPr="003912D2">
        <w:rPr>
          <w:rFonts w:eastAsia="Arial Unicode MS"/>
        </w:rPr>
        <w:t xml:space="preserve"> </w:t>
      </w:r>
      <w:r>
        <w:rPr>
          <w:rFonts w:eastAsia="Arial Unicode MS"/>
        </w:rPr>
        <w:t xml:space="preserve">New York: </w:t>
      </w:r>
      <w:r w:rsidRPr="003912D2">
        <w:rPr>
          <w:rFonts w:eastAsia="Arial Unicode MS"/>
        </w:rPr>
        <w:t>Columbia University Press.</w:t>
      </w:r>
    </w:p>
    <w:p w14:paraId="05AEEBE4"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North, D.</w:t>
      </w:r>
      <w:r>
        <w:rPr>
          <w:rFonts w:eastAsia="Arial Unicode MS"/>
        </w:rPr>
        <w:t xml:space="preserve"> </w:t>
      </w:r>
      <w:r w:rsidRPr="003912D2">
        <w:rPr>
          <w:rFonts w:eastAsia="Arial Unicode MS"/>
        </w:rPr>
        <w:t xml:space="preserve">C. (1990). </w:t>
      </w:r>
      <w:r w:rsidRPr="00E92A05">
        <w:rPr>
          <w:rFonts w:eastAsia="Arial Unicode MS"/>
          <w:i/>
        </w:rPr>
        <w:t xml:space="preserve">Institutions, institutional change and economic performance. </w:t>
      </w:r>
      <w:r w:rsidRPr="003912D2">
        <w:rPr>
          <w:rFonts w:eastAsia="Arial Unicode MS"/>
        </w:rPr>
        <w:t>Cambridge, UK: Cambridge University Press.</w:t>
      </w:r>
    </w:p>
    <w:p w14:paraId="229C3C7B"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Nietzsche, F. (1876)</w:t>
      </w:r>
      <w:r>
        <w:rPr>
          <w:rFonts w:eastAsia="Arial Unicode MS"/>
        </w:rPr>
        <w:t>.</w:t>
      </w:r>
      <w:r w:rsidRPr="003912D2">
        <w:rPr>
          <w:rFonts w:eastAsia="Arial Unicode MS"/>
        </w:rPr>
        <w:t xml:space="preserve"> </w:t>
      </w:r>
      <w:r w:rsidRPr="00E92A05">
        <w:rPr>
          <w:rFonts w:eastAsia="Arial Unicode MS"/>
          <w:i/>
        </w:rPr>
        <w:t>On the advantage and disadvantage of history for life.</w:t>
      </w:r>
      <w:r w:rsidRPr="003912D2">
        <w:rPr>
          <w:rFonts w:eastAsia="Arial Unicode MS"/>
        </w:rPr>
        <w:t xml:space="preserve"> (trans 1980). Indianapolis: Hackett Publishing Company.</w:t>
      </w:r>
    </w:p>
    <w:p w14:paraId="5EC90C6E"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Novick, P. (1988). </w:t>
      </w:r>
      <w:r w:rsidRPr="00E92A05">
        <w:rPr>
          <w:rFonts w:eastAsia="Arial Unicode MS"/>
          <w:i/>
        </w:rPr>
        <w:t>That noble dream: The 'objectivity question' and the American historical profession (Vol. 13).</w:t>
      </w:r>
      <w:r w:rsidRPr="003912D2">
        <w:rPr>
          <w:rFonts w:eastAsia="Arial Unicode MS"/>
        </w:rPr>
        <w:t xml:space="preserve"> </w:t>
      </w:r>
      <w:r>
        <w:rPr>
          <w:rFonts w:eastAsia="Arial Unicode MS"/>
        </w:rPr>
        <w:t xml:space="preserve">Cambridge, UK: </w:t>
      </w:r>
      <w:r w:rsidRPr="003912D2">
        <w:rPr>
          <w:rFonts w:eastAsia="Arial Unicode MS"/>
        </w:rPr>
        <w:t>Cambridge University Press.</w:t>
      </w:r>
    </w:p>
    <w:p w14:paraId="61EEB851"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O’Connor, E. (1999). The </w:t>
      </w:r>
      <w:r>
        <w:rPr>
          <w:rFonts w:eastAsia="Arial Unicode MS"/>
        </w:rPr>
        <w:t>p</w:t>
      </w:r>
      <w:r w:rsidRPr="003912D2">
        <w:rPr>
          <w:rFonts w:eastAsia="Arial Unicode MS"/>
        </w:rPr>
        <w:t xml:space="preserve">olitics of </w:t>
      </w:r>
      <w:r>
        <w:rPr>
          <w:rFonts w:eastAsia="Arial Unicode MS"/>
        </w:rPr>
        <w:t>m</w:t>
      </w:r>
      <w:r w:rsidRPr="003912D2">
        <w:rPr>
          <w:rFonts w:eastAsia="Arial Unicode MS"/>
        </w:rPr>
        <w:t xml:space="preserve">anagement </w:t>
      </w:r>
      <w:r>
        <w:rPr>
          <w:rFonts w:eastAsia="Arial Unicode MS"/>
        </w:rPr>
        <w:t>t</w:t>
      </w:r>
      <w:r w:rsidRPr="003912D2">
        <w:rPr>
          <w:rFonts w:eastAsia="Arial Unicode MS"/>
        </w:rPr>
        <w:t xml:space="preserve">hought: A </w:t>
      </w:r>
      <w:r>
        <w:rPr>
          <w:rFonts w:eastAsia="Arial Unicode MS"/>
        </w:rPr>
        <w:t>c</w:t>
      </w:r>
      <w:r w:rsidRPr="003912D2">
        <w:rPr>
          <w:rFonts w:eastAsia="Arial Unicode MS"/>
        </w:rPr>
        <w:t xml:space="preserve">ase </w:t>
      </w:r>
      <w:r>
        <w:rPr>
          <w:rFonts w:eastAsia="Arial Unicode MS"/>
        </w:rPr>
        <w:t>s</w:t>
      </w:r>
      <w:r w:rsidRPr="003912D2">
        <w:rPr>
          <w:rFonts w:eastAsia="Arial Unicode MS"/>
        </w:rPr>
        <w:t xml:space="preserve">tudy of the Harvard Business School and the Human Relations School. </w:t>
      </w:r>
      <w:r w:rsidRPr="00E92A05">
        <w:rPr>
          <w:rFonts w:eastAsia="Arial Unicode MS"/>
          <w:i/>
        </w:rPr>
        <w:t>Academy of Management Review</w:t>
      </w:r>
      <w:r>
        <w:rPr>
          <w:rFonts w:eastAsia="Arial Unicode MS"/>
          <w:i/>
        </w:rPr>
        <w:t>,</w:t>
      </w:r>
      <w:r w:rsidRPr="003912D2">
        <w:rPr>
          <w:rFonts w:eastAsia="Arial Unicode MS"/>
        </w:rPr>
        <w:t xml:space="preserve"> 24</w:t>
      </w:r>
      <w:r>
        <w:rPr>
          <w:rFonts w:eastAsia="Arial Unicode MS"/>
        </w:rPr>
        <w:t>(</w:t>
      </w:r>
      <w:r w:rsidRPr="003912D2">
        <w:rPr>
          <w:rFonts w:eastAsia="Arial Unicode MS"/>
        </w:rPr>
        <w:t>1</w:t>
      </w:r>
      <w:r>
        <w:rPr>
          <w:rFonts w:eastAsia="Arial Unicode MS"/>
        </w:rPr>
        <w:t>)</w:t>
      </w:r>
      <w:r w:rsidRPr="003912D2">
        <w:rPr>
          <w:rFonts w:eastAsia="Arial Unicode MS"/>
        </w:rPr>
        <w:t>, 117-</w:t>
      </w:r>
      <w:r>
        <w:rPr>
          <w:rFonts w:eastAsia="Arial Unicode MS"/>
        </w:rPr>
        <w:t>1</w:t>
      </w:r>
      <w:r w:rsidRPr="003912D2">
        <w:rPr>
          <w:rFonts w:eastAsia="Arial Unicode MS"/>
        </w:rPr>
        <w:t>31.</w:t>
      </w:r>
    </w:p>
    <w:p w14:paraId="1E21EBE5" w14:textId="77777777" w:rsidR="00783078" w:rsidRPr="00E92A05" w:rsidRDefault="00783078" w:rsidP="00783078">
      <w:pPr>
        <w:shd w:val="clear" w:color="auto" w:fill="FFFFFF"/>
        <w:spacing w:before="100" w:beforeAutospacing="1" w:after="150" w:line="312" w:lineRule="atLeast"/>
        <w:rPr>
          <w:rFonts w:eastAsia="Arial Unicode MS"/>
          <w:i/>
        </w:rPr>
      </w:pPr>
      <w:r w:rsidRPr="003912D2">
        <w:rPr>
          <w:rFonts w:eastAsia="Arial Unicode MS"/>
        </w:rPr>
        <w:t>Oertel,</w:t>
      </w:r>
      <w:r>
        <w:rPr>
          <w:rFonts w:eastAsia="Arial Unicode MS"/>
        </w:rPr>
        <w:t xml:space="preserve"> S.</w:t>
      </w:r>
      <w:r w:rsidRPr="003912D2">
        <w:rPr>
          <w:rFonts w:eastAsia="Arial Unicode MS"/>
        </w:rPr>
        <w:t xml:space="preserve"> </w:t>
      </w:r>
      <w:r>
        <w:rPr>
          <w:rFonts w:eastAsia="Arial Unicode MS"/>
        </w:rPr>
        <w:t xml:space="preserve">&amp; Thommes, K. </w:t>
      </w:r>
      <w:r w:rsidRPr="003912D2">
        <w:rPr>
          <w:rFonts w:eastAsia="Arial Unicode MS"/>
        </w:rPr>
        <w:t xml:space="preserve">(2018). History as a source of organizational identity creation. </w:t>
      </w:r>
      <w:r w:rsidRPr="00E92A05">
        <w:rPr>
          <w:rFonts w:eastAsia="Arial Unicode MS"/>
          <w:i/>
        </w:rPr>
        <w:t>This volume.</w:t>
      </w:r>
    </w:p>
    <w:p w14:paraId="01A51E40" w14:textId="2CAD320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Orwell, G. </w:t>
      </w:r>
      <w:r>
        <w:rPr>
          <w:rFonts w:eastAsia="Arial Unicode MS"/>
        </w:rPr>
        <w:t>(</w:t>
      </w:r>
      <w:r w:rsidRPr="003912D2">
        <w:rPr>
          <w:rFonts w:eastAsia="Arial Unicode MS"/>
        </w:rPr>
        <w:t>1949</w:t>
      </w:r>
      <w:r>
        <w:rPr>
          <w:rFonts w:eastAsia="Arial Unicode MS"/>
        </w:rPr>
        <w:t>)</w:t>
      </w:r>
      <w:r w:rsidRPr="003912D2">
        <w:rPr>
          <w:rFonts w:eastAsia="Arial Unicode MS"/>
        </w:rPr>
        <w:t xml:space="preserve">. </w:t>
      </w:r>
      <w:r w:rsidRPr="00E92A05">
        <w:rPr>
          <w:rFonts w:eastAsia="Arial Unicode MS"/>
          <w:i/>
        </w:rPr>
        <w:t>1984.</w:t>
      </w:r>
      <w:r w:rsidRPr="003912D2">
        <w:rPr>
          <w:rFonts w:eastAsia="Arial Unicode MS"/>
        </w:rPr>
        <w:t xml:space="preserve"> New York: Harcourt Brace. </w:t>
      </w:r>
    </w:p>
    <w:p w14:paraId="3686232A"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Penrose, L.</w:t>
      </w:r>
      <w:r>
        <w:rPr>
          <w:rFonts w:eastAsia="Arial Unicode MS"/>
        </w:rPr>
        <w:t xml:space="preserve"> </w:t>
      </w:r>
      <w:r w:rsidRPr="003912D2">
        <w:rPr>
          <w:rFonts w:eastAsia="Arial Unicode MS"/>
        </w:rPr>
        <w:t xml:space="preserve">S. (1952). Distance, size and shape. </w:t>
      </w:r>
      <w:r w:rsidRPr="00E92A05">
        <w:rPr>
          <w:rFonts w:eastAsia="Arial Unicode MS"/>
          <w:i/>
        </w:rPr>
        <w:t>Annales of Eugenics,</w:t>
      </w:r>
      <w:r w:rsidRPr="003912D2">
        <w:rPr>
          <w:rFonts w:eastAsia="Arial Unicode MS"/>
        </w:rPr>
        <w:t xml:space="preserve"> 17(1), 337-343.</w:t>
      </w:r>
    </w:p>
    <w:p w14:paraId="52FFD8A7"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Peterson, R. A. (2005). In search of authenticity. </w:t>
      </w:r>
      <w:r w:rsidRPr="008B6657">
        <w:rPr>
          <w:rFonts w:eastAsia="Arial Unicode MS"/>
          <w:i/>
        </w:rPr>
        <w:t xml:space="preserve">Journal of Management Studies, </w:t>
      </w:r>
      <w:r w:rsidRPr="003912D2">
        <w:rPr>
          <w:rFonts w:eastAsia="Arial Unicode MS"/>
        </w:rPr>
        <w:t>42(5), 1083-1098.</w:t>
      </w:r>
    </w:p>
    <w:p w14:paraId="3C274E2B" w14:textId="77777777" w:rsidR="00783078"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Plamper, J. (2010). The </w:t>
      </w:r>
      <w:r>
        <w:rPr>
          <w:rFonts w:eastAsia="Arial Unicode MS"/>
        </w:rPr>
        <w:t>h</w:t>
      </w:r>
      <w:r w:rsidRPr="003912D2">
        <w:rPr>
          <w:rFonts w:eastAsia="Arial Unicode MS"/>
        </w:rPr>
        <w:t xml:space="preserve">istory of </w:t>
      </w:r>
      <w:r>
        <w:rPr>
          <w:rFonts w:eastAsia="Arial Unicode MS"/>
        </w:rPr>
        <w:t>e</w:t>
      </w:r>
      <w:r w:rsidRPr="003912D2">
        <w:rPr>
          <w:rFonts w:eastAsia="Arial Unicode MS"/>
        </w:rPr>
        <w:t>motions</w:t>
      </w:r>
      <w:r>
        <w:rPr>
          <w:rFonts w:eastAsia="Arial Unicode MS"/>
        </w:rPr>
        <w:t xml:space="preserve">. </w:t>
      </w:r>
      <w:r w:rsidRPr="008B6657">
        <w:rPr>
          <w:rFonts w:eastAsia="Arial Unicode MS"/>
          <w:i/>
        </w:rPr>
        <w:t>History and Theory,</w:t>
      </w:r>
      <w:r w:rsidRPr="003912D2">
        <w:rPr>
          <w:rFonts w:eastAsia="Arial Unicode MS"/>
        </w:rPr>
        <w:t xml:space="preserve"> 49(2)</w:t>
      </w:r>
      <w:r>
        <w:rPr>
          <w:rFonts w:eastAsia="Arial Unicode MS"/>
        </w:rPr>
        <w:t>,</w:t>
      </w:r>
      <w:r w:rsidRPr="003912D2">
        <w:rPr>
          <w:rFonts w:eastAsia="Arial Unicode MS"/>
        </w:rPr>
        <w:t xml:space="preserve"> 237-265</w:t>
      </w:r>
      <w:r>
        <w:rPr>
          <w:rFonts w:eastAsia="Arial Unicode MS"/>
        </w:rPr>
        <w:t>.</w:t>
      </w:r>
    </w:p>
    <w:p w14:paraId="4AEE96BF"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Popp, A., &amp; Holt, R. (2013a). The presence of entrepreneurial opportunity. </w:t>
      </w:r>
      <w:r w:rsidRPr="008B6657">
        <w:rPr>
          <w:rFonts w:eastAsia="Arial Unicode MS"/>
          <w:i/>
        </w:rPr>
        <w:t>Business History,</w:t>
      </w:r>
      <w:r w:rsidRPr="003912D2">
        <w:rPr>
          <w:rFonts w:eastAsia="Arial Unicode MS"/>
        </w:rPr>
        <w:t xml:space="preserve"> 55(1), 9-28.</w:t>
      </w:r>
    </w:p>
    <w:p w14:paraId="3E19F008"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Popp, A., &amp; Holt R. (2013b). Entrepreneurship and </w:t>
      </w:r>
      <w:r>
        <w:rPr>
          <w:rFonts w:eastAsia="Arial Unicode MS"/>
        </w:rPr>
        <w:t>b</w:t>
      </w:r>
      <w:r w:rsidRPr="003912D2">
        <w:rPr>
          <w:rFonts w:eastAsia="Arial Unicode MS"/>
        </w:rPr>
        <w:t xml:space="preserve">eing: The </w:t>
      </w:r>
      <w:r>
        <w:rPr>
          <w:rFonts w:eastAsia="Arial Unicode MS"/>
        </w:rPr>
        <w:t>c</w:t>
      </w:r>
      <w:r w:rsidRPr="003912D2">
        <w:rPr>
          <w:rFonts w:eastAsia="Arial Unicode MS"/>
        </w:rPr>
        <w:t xml:space="preserve">ase of the Shaws. </w:t>
      </w:r>
      <w:r w:rsidRPr="008B6657">
        <w:rPr>
          <w:rFonts w:eastAsia="Arial Unicode MS"/>
          <w:i/>
        </w:rPr>
        <w:t>Entrepreneurship and Regional Development,</w:t>
      </w:r>
      <w:r w:rsidRPr="003912D2">
        <w:rPr>
          <w:rFonts w:eastAsia="Arial Unicode MS"/>
        </w:rPr>
        <w:t xml:space="preserve"> 25(1-2), 52–68</w:t>
      </w:r>
      <w:r>
        <w:rPr>
          <w:rFonts w:eastAsia="Arial Unicode MS"/>
        </w:rPr>
        <w:t>.</w:t>
      </w:r>
    </w:p>
    <w:p w14:paraId="041A4A29"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Popp, A. (2018). Industrial </w:t>
      </w:r>
      <w:r>
        <w:rPr>
          <w:rFonts w:eastAsia="Arial Unicode MS"/>
        </w:rPr>
        <w:t>h</w:t>
      </w:r>
      <w:r w:rsidRPr="003912D2">
        <w:rPr>
          <w:rFonts w:eastAsia="Arial Unicode MS"/>
        </w:rPr>
        <w:t xml:space="preserve">eritage, </w:t>
      </w:r>
      <w:r>
        <w:rPr>
          <w:rFonts w:eastAsia="Arial Unicode MS"/>
        </w:rPr>
        <w:t>c</w:t>
      </w:r>
      <w:r w:rsidRPr="003912D2">
        <w:rPr>
          <w:rFonts w:eastAsia="Arial Unicode MS"/>
        </w:rPr>
        <w:t xml:space="preserve">apitalism, and </w:t>
      </w:r>
      <w:r>
        <w:rPr>
          <w:rFonts w:eastAsia="Arial Unicode MS"/>
        </w:rPr>
        <w:t>b</w:t>
      </w:r>
      <w:r w:rsidRPr="003912D2">
        <w:rPr>
          <w:rFonts w:eastAsia="Arial Unicode MS"/>
        </w:rPr>
        <w:t xml:space="preserve">usiness. </w:t>
      </w:r>
      <w:r w:rsidRPr="008B6657">
        <w:rPr>
          <w:rFonts w:eastAsia="Arial Unicode MS"/>
          <w:i/>
        </w:rPr>
        <w:t>Enterprises et Histoire</w:t>
      </w:r>
      <w:r>
        <w:rPr>
          <w:rFonts w:eastAsia="Arial Unicode MS"/>
          <w:i/>
        </w:rPr>
        <w:t>,</w:t>
      </w:r>
      <w:r w:rsidRPr="003912D2">
        <w:rPr>
          <w:rFonts w:eastAsia="Arial Unicode MS"/>
        </w:rPr>
        <w:t xml:space="preserve"> 87, 14–19.</w:t>
      </w:r>
    </w:p>
    <w:p w14:paraId="7F9BC5E8"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Giovannoni, E.</w:t>
      </w:r>
      <w:r>
        <w:rPr>
          <w:rFonts w:eastAsia="Arial Unicode MS"/>
        </w:rPr>
        <w:t>,</w:t>
      </w:r>
      <w:r w:rsidRPr="003912D2">
        <w:rPr>
          <w:rFonts w:eastAsia="Arial Unicode MS"/>
        </w:rPr>
        <w:t xml:space="preserve"> </w:t>
      </w:r>
      <w:r>
        <w:rPr>
          <w:rFonts w:eastAsia="Arial Unicode MS"/>
        </w:rPr>
        <w:t>&amp;</w:t>
      </w:r>
      <w:r w:rsidRPr="003912D2">
        <w:rPr>
          <w:rFonts w:eastAsia="Arial Unicode MS"/>
        </w:rPr>
        <w:t xml:space="preserve"> Quattrone, P. </w:t>
      </w:r>
      <w:r>
        <w:rPr>
          <w:rFonts w:eastAsia="Arial Unicode MS"/>
        </w:rPr>
        <w:t>(</w:t>
      </w:r>
      <w:r w:rsidRPr="003912D2">
        <w:rPr>
          <w:rFonts w:eastAsia="Arial Unicode MS"/>
        </w:rPr>
        <w:t>2018</w:t>
      </w:r>
      <w:r>
        <w:rPr>
          <w:rFonts w:eastAsia="Arial Unicode MS"/>
        </w:rPr>
        <w:t>)</w:t>
      </w:r>
      <w:r w:rsidRPr="003912D2">
        <w:rPr>
          <w:rFonts w:eastAsia="Arial Unicode MS"/>
        </w:rPr>
        <w:t xml:space="preserve">. The </w:t>
      </w:r>
      <w:r>
        <w:rPr>
          <w:rFonts w:eastAsia="Arial Unicode MS"/>
        </w:rPr>
        <w:t>m</w:t>
      </w:r>
      <w:r w:rsidRPr="003912D2">
        <w:rPr>
          <w:rFonts w:eastAsia="Arial Unicode MS"/>
        </w:rPr>
        <w:t xml:space="preserve">ateriality of </w:t>
      </w:r>
      <w:r>
        <w:rPr>
          <w:rFonts w:eastAsia="Arial Unicode MS"/>
        </w:rPr>
        <w:t>a</w:t>
      </w:r>
      <w:r w:rsidRPr="003912D2">
        <w:rPr>
          <w:rFonts w:eastAsia="Arial Unicode MS"/>
        </w:rPr>
        <w:t xml:space="preserve">bsence: Organizing and the </w:t>
      </w:r>
      <w:r>
        <w:rPr>
          <w:rFonts w:eastAsia="Arial Unicode MS"/>
        </w:rPr>
        <w:t>c</w:t>
      </w:r>
      <w:r w:rsidRPr="003912D2">
        <w:rPr>
          <w:rFonts w:eastAsia="Arial Unicode MS"/>
        </w:rPr>
        <w:t xml:space="preserve">ase of the </w:t>
      </w:r>
      <w:r>
        <w:rPr>
          <w:rFonts w:eastAsia="Arial Unicode MS"/>
        </w:rPr>
        <w:t>i</w:t>
      </w:r>
      <w:r w:rsidRPr="003912D2">
        <w:rPr>
          <w:rFonts w:eastAsia="Arial Unicode MS"/>
        </w:rPr>
        <w:t xml:space="preserve">ncomplete </w:t>
      </w:r>
      <w:r>
        <w:rPr>
          <w:rFonts w:eastAsia="Arial Unicode MS"/>
        </w:rPr>
        <w:t>c</w:t>
      </w:r>
      <w:r w:rsidRPr="003912D2">
        <w:rPr>
          <w:rFonts w:eastAsia="Arial Unicode MS"/>
        </w:rPr>
        <w:t xml:space="preserve">athedral. </w:t>
      </w:r>
      <w:r w:rsidRPr="008B6657">
        <w:rPr>
          <w:rFonts w:eastAsia="Arial Unicode MS"/>
          <w:i/>
        </w:rPr>
        <w:t>Organization Studies</w:t>
      </w:r>
      <w:r>
        <w:rPr>
          <w:rFonts w:eastAsia="Arial Unicode MS"/>
          <w:i/>
        </w:rPr>
        <w:t>,</w:t>
      </w:r>
      <w:r>
        <w:rPr>
          <w:rFonts w:eastAsia="Arial Unicode MS"/>
        </w:rPr>
        <w:t xml:space="preserve"> </w:t>
      </w:r>
      <w:r w:rsidRPr="003912D2">
        <w:rPr>
          <w:rFonts w:eastAsia="Arial Unicode MS"/>
        </w:rPr>
        <w:t>39(7): 849-871.</w:t>
      </w:r>
    </w:p>
    <w:p w14:paraId="16044C45" w14:textId="77777777" w:rsidR="00783078" w:rsidRPr="008B6657" w:rsidRDefault="00783078" w:rsidP="00783078">
      <w:pPr>
        <w:shd w:val="clear" w:color="auto" w:fill="FFFFFF"/>
        <w:spacing w:before="100" w:beforeAutospacing="1" w:after="150" w:line="312" w:lineRule="atLeast"/>
        <w:rPr>
          <w:rFonts w:eastAsia="Arial Unicode MS"/>
          <w:i/>
        </w:rPr>
      </w:pPr>
      <w:r w:rsidRPr="003912D2">
        <w:rPr>
          <w:rFonts w:eastAsia="Arial Unicode MS"/>
        </w:rPr>
        <w:t xml:space="preserve">Ravasi, D., Rindova, V., </w:t>
      </w:r>
      <w:r>
        <w:rPr>
          <w:rFonts w:eastAsia="Arial Unicode MS"/>
        </w:rPr>
        <w:t>&amp;</w:t>
      </w:r>
      <w:r w:rsidRPr="003912D2">
        <w:rPr>
          <w:rFonts w:eastAsia="Arial Unicode MS"/>
        </w:rPr>
        <w:t xml:space="preserve"> Stigliani</w:t>
      </w:r>
      <w:r>
        <w:rPr>
          <w:rFonts w:eastAsia="Arial Unicode MS"/>
        </w:rPr>
        <w:t xml:space="preserve"> (</w:t>
      </w:r>
      <w:r w:rsidRPr="003912D2">
        <w:rPr>
          <w:rFonts w:eastAsia="Arial Unicode MS"/>
        </w:rPr>
        <w:t>Forthcoming</w:t>
      </w:r>
      <w:r>
        <w:rPr>
          <w:rFonts w:eastAsia="Arial Unicode MS"/>
        </w:rPr>
        <w:t>).</w:t>
      </w:r>
      <w:r w:rsidRPr="003912D2">
        <w:rPr>
          <w:rFonts w:eastAsia="Arial Unicode MS"/>
        </w:rPr>
        <w:t xml:space="preserve"> History, </w:t>
      </w:r>
      <w:r>
        <w:rPr>
          <w:rFonts w:eastAsia="Arial Unicode MS"/>
        </w:rPr>
        <w:t>m</w:t>
      </w:r>
      <w:r w:rsidRPr="003912D2">
        <w:rPr>
          <w:rFonts w:eastAsia="Arial Unicode MS"/>
        </w:rPr>
        <w:t xml:space="preserve">aterial </w:t>
      </w:r>
      <w:r>
        <w:rPr>
          <w:rFonts w:eastAsia="Arial Unicode MS"/>
        </w:rPr>
        <w:t>m</w:t>
      </w:r>
      <w:r w:rsidRPr="003912D2">
        <w:rPr>
          <w:rFonts w:eastAsia="Arial Unicode MS"/>
        </w:rPr>
        <w:t xml:space="preserve">emory, and the </w:t>
      </w:r>
      <w:r>
        <w:rPr>
          <w:rFonts w:eastAsia="Arial Unicode MS"/>
        </w:rPr>
        <w:t>t</w:t>
      </w:r>
      <w:r w:rsidRPr="003912D2">
        <w:rPr>
          <w:rFonts w:eastAsia="Arial Unicode MS"/>
        </w:rPr>
        <w:t xml:space="preserve">emporality of </w:t>
      </w:r>
      <w:r>
        <w:rPr>
          <w:rFonts w:eastAsia="Arial Unicode MS"/>
        </w:rPr>
        <w:t>i</w:t>
      </w:r>
      <w:r w:rsidRPr="003912D2">
        <w:rPr>
          <w:rFonts w:eastAsia="Arial Unicode MS"/>
        </w:rPr>
        <w:t xml:space="preserve">dentity </w:t>
      </w:r>
      <w:r>
        <w:rPr>
          <w:rFonts w:eastAsia="Arial Unicode MS"/>
        </w:rPr>
        <w:t>c</w:t>
      </w:r>
      <w:r w:rsidRPr="003912D2">
        <w:rPr>
          <w:rFonts w:eastAsia="Arial Unicode MS"/>
        </w:rPr>
        <w:t xml:space="preserve">onstruction. </w:t>
      </w:r>
      <w:r w:rsidRPr="008B6657">
        <w:rPr>
          <w:rFonts w:eastAsia="Arial Unicode MS"/>
          <w:i/>
        </w:rPr>
        <w:t>Academy of Management Journal.</w:t>
      </w:r>
    </w:p>
    <w:p w14:paraId="3DEEB7A0"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lastRenderedPageBreak/>
        <w:t xml:space="preserve">Reddy, W. D. (2001). The </w:t>
      </w:r>
      <w:r>
        <w:rPr>
          <w:rFonts w:eastAsia="Arial Unicode MS"/>
        </w:rPr>
        <w:t>l</w:t>
      </w:r>
      <w:r w:rsidRPr="003912D2">
        <w:rPr>
          <w:rFonts w:eastAsia="Arial Unicode MS"/>
        </w:rPr>
        <w:t xml:space="preserve">ogic of </w:t>
      </w:r>
      <w:r>
        <w:rPr>
          <w:rFonts w:eastAsia="Arial Unicode MS"/>
        </w:rPr>
        <w:t>a</w:t>
      </w:r>
      <w:r w:rsidRPr="003912D2">
        <w:rPr>
          <w:rFonts w:eastAsia="Arial Unicode MS"/>
        </w:rPr>
        <w:t xml:space="preserve">ction: Indeterminacy, </w:t>
      </w:r>
      <w:r>
        <w:rPr>
          <w:rFonts w:eastAsia="Arial Unicode MS"/>
        </w:rPr>
        <w:t>e</w:t>
      </w:r>
      <w:r w:rsidRPr="003912D2">
        <w:rPr>
          <w:rFonts w:eastAsia="Arial Unicode MS"/>
        </w:rPr>
        <w:t xml:space="preserve">motion, and </w:t>
      </w:r>
      <w:r>
        <w:rPr>
          <w:rFonts w:eastAsia="Arial Unicode MS"/>
        </w:rPr>
        <w:t>h</w:t>
      </w:r>
      <w:r w:rsidRPr="003912D2">
        <w:rPr>
          <w:rFonts w:eastAsia="Arial Unicode MS"/>
        </w:rPr>
        <w:t xml:space="preserve">istorical </w:t>
      </w:r>
      <w:r>
        <w:rPr>
          <w:rFonts w:eastAsia="Arial Unicode MS"/>
        </w:rPr>
        <w:t>n</w:t>
      </w:r>
      <w:r w:rsidRPr="003912D2">
        <w:rPr>
          <w:rFonts w:eastAsia="Arial Unicode MS"/>
        </w:rPr>
        <w:t xml:space="preserve">arrative. </w:t>
      </w:r>
      <w:r w:rsidRPr="008B6657">
        <w:rPr>
          <w:rFonts w:eastAsia="Arial Unicode MS"/>
          <w:i/>
        </w:rPr>
        <w:t xml:space="preserve">History and Theory, </w:t>
      </w:r>
      <w:r w:rsidRPr="003912D2">
        <w:rPr>
          <w:rFonts w:eastAsia="Arial Unicode MS"/>
        </w:rPr>
        <w:t>40(4), 10-33</w:t>
      </w:r>
    </w:p>
    <w:p w14:paraId="0A0756AF"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Ranke, L. (1824). </w:t>
      </w:r>
      <w:r w:rsidRPr="008B6657">
        <w:rPr>
          <w:rFonts w:eastAsia="Arial Unicode MS"/>
          <w:i/>
        </w:rPr>
        <w:t>Geschichten der romanischen und germanischen Völker von 1494 bis 1514 </w:t>
      </w:r>
      <w:r w:rsidRPr="003912D2">
        <w:rPr>
          <w:rFonts w:eastAsia="Arial Unicode MS"/>
        </w:rPr>
        <w:t>(Histories of the Romanic and Germanic Peoples from 1494 to 1514)</w:t>
      </w:r>
      <w:r>
        <w:rPr>
          <w:rFonts w:eastAsia="Arial Unicode MS"/>
        </w:rPr>
        <w:t>, Leipzig: Duncker &amp; Humblot.</w:t>
      </w:r>
    </w:p>
    <w:p w14:paraId="56953E15"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Roberts, G. (Ed.). (2001). </w:t>
      </w:r>
      <w:r w:rsidRPr="008B6657">
        <w:rPr>
          <w:rFonts w:eastAsia="Arial Unicode MS"/>
          <w:i/>
        </w:rPr>
        <w:t xml:space="preserve">The history and narrative reader. </w:t>
      </w:r>
      <w:r w:rsidRPr="003912D2">
        <w:rPr>
          <w:rFonts w:eastAsia="Arial Unicode MS"/>
        </w:rPr>
        <w:t>Psychology Press.</w:t>
      </w:r>
    </w:p>
    <w:p w14:paraId="367B828C"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Rowlinson, M., and Hassard, J. (1993). The </w:t>
      </w:r>
      <w:r>
        <w:rPr>
          <w:rFonts w:eastAsia="Arial Unicode MS"/>
        </w:rPr>
        <w:t>i</w:t>
      </w:r>
      <w:r w:rsidRPr="003912D2">
        <w:rPr>
          <w:rFonts w:eastAsia="Arial Unicode MS"/>
        </w:rPr>
        <w:t xml:space="preserve">nvention of </w:t>
      </w:r>
      <w:r>
        <w:rPr>
          <w:rFonts w:eastAsia="Arial Unicode MS"/>
        </w:rPr>
        <w:t>c</w:t>
      </w:r>
      <w:r w:rsidRPr="003912D2">
        <w:rPr>
          <w:rFonts w:eastAsia="Arial Unicode MS"/>
        </w:rPr>
        <w:t xml:space="preserve">orporate </w:t>
      </w:r>
      <w:r>
        <w:rPr>
          <w:rFonts w:eastAsia="Arial Unicode MS"/>
        </w:rPr>
        <w:t>c</w:t>
      </w:r>
      <w:r w:rsidRPr="003912D2">
        <w:rPr>
          <w:rFonts w:eastAsia="Arial Unicode MS"/>
        </w:rPr>
        <w:t xml:space="preserve">ulture: A </w:t>
      </w:r>
      <w:r>
        <w:rPr>
          <w:rFonts w:eastAsia="Arial Unicode MS"/>
        </w:rPr>
        <w:t>h</w:t>
      </w:r>
      <w:r w:rsidRPr="003912D2">
        <w:rPr>
          <w:rFonts w:eastAsia="Arial Unicode MS"/>
        </w:rPr>
        <w:t xml:space="preserve">istory of the </w:t>
      </w:r>
      <w:r>
        <w:rPr>
          <w:rFonts w:eastAsia="Arial Unicode MS"/>
        </w:rPr>
        <w:t>h</w:t>
      </w:r>
      <w:r w:rsidRPr="003912D2">
        <w:rPr>
          <w:rFonts w:eastAsia="Arial Unicode MS"/>
        </w:rPr>
        <w:t xml:space="preserve">istories of Cadbury. </w:t>
      </w:r>
      <w:r w:rsidRPr="008B6657">
        <w:rPr>
          <w:rFonts w:eastAsia="Arial Unicode MS"/>
          <w:i/>
        </w:rPr>
        <w:t>Human Relations,</w:t>
      </w:r>
      <w:r w:rsidRPr="003912D2">
        <w:rPr>
          <w:rFonts w:eastAsia="Arial Unicode MS"/>
        </w:rPr>
        <w:t xml:space="preserve"> 46</w:t>
      </w:r>
      <w:r>
        <w:rPr>
          <w:rFonts w:eastAsia="Arial Unicode MS"/>
        </w:rPr>
        <w:t>(3),</w:t>
      </w:r>
      <w:r w:rsidRPr="003912D2">
        <w:rPr>
          <w:rFonts w:eastAsia="Arial Unicode MS"/>
        </w:rPr>
        <w:t xml:space="preserve"> 299-326.</w:t>
      </w:r>
    </w:p>
    <w:p w14:paraId="3B4C034F"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Rowlinson, M., Booth, C., Clark, P., Delahaye, A., &amp; Procter, S. (2010). Social remembering and organizational memory. </w:t>
      </w:r>
      <w:r w:rsidRPr="008B6657">
        <w:rPr>
          <w:rFonts w:eastAsia="Arial Unicode MS"/>
          <w:i/>
        </w:rPr>
        <w:t xml:space="preserve">Organization </w:t>
      </w:r>
      <w:r>
        <w:rPr>
          <w:rFonts w:eastAsia="Arial Unicode MS"/>
          <w:i/>
        </w:rPr>
        <w:t>S</w:t>
      </w:r>
      <w:r w:rsidRPr="008B6657">
        <w:rPr>
          <w:rFonts w:eastAsia="Arial Unicode MS"/>
          <w:i/>
        </w:rPr>
        <w:t>tudies,</w:t>
      </w:r>
      <w:r w:rsidRPr="003912D2">
        <w:rPr>
          <w:rFonts w:eastAsia="Arial Unicode MS"/>
        </w:rPr>
        <w:t xml:space="preserve"> 31(1), 69-87.</w:t>
      </w:r>
    </w:p>
    <w:p w14:paraId="6E27CE5B"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Rowlinson, M., Hassard, J.</w:t>
      </w:r>
      <w:r>
        <w:rPr>
          <w:rFonts w:eastAsia="Arial Unicode MS"/>
        </w:rPr>
        <w:t>,</w:t>
      </w:r>
      <w:r w:rsidRPr="003912D2">
        <w:rPr>
          <w:rFonts w:eastAsia="Arial Unicode MS"/>
        </w:rPr>
        <w:t xml:space="preserve"> &amp; Decker, S. (2014). Research strategies for organizational history: A dialogue between historical theory and organization theory. </w:t>
      </w:r>
      <w:r w:rsidRPr="008B6657">
        <w:rPr>
          <w:rFonts w:eastAsia="Arial Unicode MS"/>
          <w:i/>
        </w:rPr>
        <w:t>Academy of Management Review,</w:t>
      </w:r>
      <w:r w:rsidRPr="003912D2">
        <w:rPr>
          <w:rFonts w:eastAsia="Arial Unicode MS"/>
        </w:rPr>
        <w:t xml:space="preserve"> 39(3), 250-274.</w:t>
      </w:r>
    </w:p>
    <w:p w14:paraId="08245F0A"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Rusen, </w:t>
      </w:r>
      <w:r>
        <w:rPr>
          <w:rFonts w:eastAsia="Arial Unicode MS"/>
        </w:rPr>
        <w:t>J.</w:t>
      </w:r>
      <w:r w:rsidRPr="003912D2">
        <w:rPr>
          <w:rFonts w:eastAsia="Arial Unicode MS"/>
        </w:rPr>
        <w:t xml:space="preserve"> (1987). Historical </w:t>
      </w:r>
      <w:r>
        <w:rPr>
          <w:rFonts w:eastAsia="Arial Unicode MS"/>
        </w:rPr>
        <w:t>n</w:t>
      </w:r>
      <w:r w:rsidRPr="003912D2">
        <w:rPr>
          <w:rFonts w:eastAsia="Arial Unicode MS"/>
        </w:rPr>
        <w:t xml:space="preserve">arration: Foundation, </w:t>
      </w:r>
      <w:r>
        <w:rPr>
          <w:rFonts w:eastAsia="Arial Unicode MS"/>
        </w:rPr>
        <w:t>t</w:t>
      </w:r>
      <w:r w:rsidRPr="003912D2">
        <w:rPr>
          <w:rFonts w:eastAsia="Arial Unicode MS"/>
        </w:rPr>
        <w:t xml:space="preserve">ypes, </w:t>
      </w:r>
      <w:r>
        <w:rPr>
          <w:rFonts w:eastAsia="Arial Unicode MS"/>
        </w:rPr>
        <w:t>r</w:t>
      </w:r>
      <w:r w:rsidRPr="003912D2">
        <w:rPr>
          <w:rFonts w:eastAsia="Arial Unicode MS"/>
        </w:rPr>
        <w:t xml:space="preserve">eason. </w:t>
      </w:r>
      <w:r w:rsidRPr="008B6657">
        <w:rPr>
          <w:rFonts w:eastAsia="Arial Unicode MS"/>
          <w:i/>
        </w:rPr>
        <w:t>History and Theory</w:t>
      </w:r>
      <w:r>
        <w:rPr>
          <w:rFonts w:eastAsia="Arial Unicode MS"/>
        </w:rPr>
        <w:t>,</w:t>
      </w:r>
      <w:r w:rsidRPr="003912D2">
        <w:rPr>
          <w:rFonts w:eastAsia="Arial Unicode MS"/>
        </w:rPr>
        <w:t xml:space="preserve"> 26: 87-97.</w:t>
      </w:r>
    </w:p>
    <w:p w14:paraId="765EBE59"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Said, E. W. (1978). </w:t>
      </w:r>
      <w:r w:rsidRPr="008B6657">
        <w:rPr>
          <w:rFonts w:eastAsia="Arial Unicode MS"/>
          <w:i/>
        </w:rPr>
        <w:t>Orientalism.</w:t>
      </w:r>
      <w:r w:rsidRPr="003912D2">
        <w:rPr>
          <w:rFonts w:eastAsia="Arial Unicode MS"/>
        </w:rPr>
        <w:t xml:space="preserve"> New York: Pantheon Books</w:t>
      </w:r>
    </w:p>
    <w:p w14:paraId="2BB9539F"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Schrempf-Stirling, J., Palazzo, G., </w:t>
      </w:r>
      <w:r>
        <w:rPr>
          <w:rFonts w:eastAsia="Arial Unicode MS"/>
        </w:rPr>
        <w:t>&amp;</w:t>
      </w:r>
      <w:r w:rsidRPr="003912D2">
        <w:rPr>
          <w:rFonts w:eastAsia="Arial Unicode MS"/>
        </w:rPr>
        <w:t xml:space="preserve"> Phillips, R. </w:t>
      </w:r>
      <w:r>
        <w:rPr>
          <w:rFonts w:eastAsia="Arial Unicode MS"/>
        </w:rPr>
        <w:t>(</w:t>
      </w:r>
      <w:r w:rsidRPr="003912D2">
        <w:rPr>
          <w:rFonts w:eastAsia="Arial Unicode MS"/>
        </w:rPr>
        <w:t>2016</w:t>
      </w:r>
      <w:r>
        <w:rPr>
          <w:rFonts w:eastAsia="Arial Unicode MS"/>
        </w:rPr>
        <w:t>)</w:t>
      </w:r>
      <w:r w:rsidRPr="003912D2">
        <w:rPr>
          <w:rFonts w:eastAsia="Arial Unicode MS"/>
        </w:rPr>
        <w:t xml:space="preserve">. Historic </w:t>
      </w:r>
      <w:r>
        <w:rPr>
          <w:rFonts w:eastAsia="Arial Unicode MS"/>
        </w:rPr>
        <w:t>c</w:t>
      </w:r>
      <w:r w:rsidRPr="003912D2">
        <w:rPr>
          <w:rFonts w:eastAsia="Arial Unicode MS"/>
        </w:rPr>
        <w:t xml:space="preserve">orporate </w:t>
      </w:r>
      <w:r>
        <w:rPr>
          <w:rFonts w:eastAsia="Arial Unicode MS"/>
        </w:rPr>
        <w:t>s</w:t>
      </w:r>
      <w:r w:rsidRPr="003912D2">
        <w:rPr>
          <w:rFonts w:eastAsia="Arial Unicode MS"/>
        </w:rPr>
        <w:t xml:space="preserve">ocial </w:t>
      </w:r>
      <w:r>
        <w:rPr>
          <w:rFonts w:eastAsia="Arial Unicode MS"/>
        </w:rPr>
        <w:t>r</w:t>
      </w:r>
      <w:r w:rsidRPr="003912D2">
        <w:rPr>
          <w:rFonts w:eastAsia="Arial Unicode MS"/>
        </w:rPr>
        <w:t xml:space="preserve">esponsibility. </w:t>
      </w:r>
      <w:r w:rsidRPr="008B6657">
        <w:rPr>
          <w:rFonts w:eastAsia="Arial Unicode MS"/>
          <w:i/>
        </w:rPr>
        <w:t>Academy of Management Review</w:t>
      </w:r>
      <w:r>
        <w:rPr>
          <w:rFonts w:eastAsia="Arial Unicode MS"/>
          <w:i/>
        </w:rPr>
        <w:t>,</w:t>
      </w:r>
      <w:r w:rsidRPr="003912D2">
        <w:rPr>
          <w:rFonts w:eastAsia="Arial Unicode MS"/>
        </w:rPr>
        <w:t xml:space="preserve"> 41</w:t>
      </w:r>
      <w:r>
        <w:rPr>
          <w:rFonts w:eastAsia="Arial Unicode MS"/>
        </w:rPr>
        <w:t>(</w:t>
      </w:r>
      <w:r w:rsidRPr="003912D2">
        <w:rPr>
          <w:rFonts w:eastAsia="Arial Unicode MS"/>
        </w:rPr>
        <w:t>4</w:t>
      </w:r>
      <w:r>
        <w:rPr>
          <w:rFonts w:eastAsia="Arial Unicode MS"/>
        </w:rPr>
        <w:t>)</w:t>
      </w:r>
      <w:r w:rsidRPr="003912D2">
        <w:rPr>
          <w:rFonts w:eastAsia="Arial Unicode MS"/>
        </w:rPr>
        <w:t>, 700-719.</w:t>
      </w:r>
    </w:p>
    <w:p w14:paraId="7FC9B4D4"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Schultz, M., &amp; Hernes, T. (2013). A temporal perspective on organizational identity. </w:t>
      </w:r>
      <w:r w:rsidRPr="008B6657">
        <w:rPr>
          <w:rFonts w:eastAsia="Arial Unicode MS"/>
          <w:i/>
        </w:rPr>
        <w:t>Organization Science,</w:t>
      </w:r>
      <w:r w:rsidRPr="003912D2">
        <w:rPr>
          <w:rFonts w:eastAsia="Arial Unicode MS"/>
        </w:rPr>
        <w:t xml:space="preserve"> 24(1), 1-21.</w:t>
      </w:r>
    </w:p>
    <w:p w14:paraId="782B2073"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Schwarzkopf, S. </w:t>
      </w:r>
      <w:r>
        <w:rPr>
          <w:rFonts w:eastAsia="Arial Unicode MS"/>
        </w:rPr>
        <w:t xml:space="preserve">(2013). </w:t>
      </w:r>
      <w:r w:rsidRPr="003912D2">
        <w:rPr>
          <w:rFonts w:eastAsia="Arial Unicode MS"/>
        </w:rPr>
        <w:t xml:space="preserve">Why </w:t>
      </w:r>
      <w:r>
        <w:rPr>
          <w:rFonts w:eastAsia="Arial Unicode MS"/>
        </w:rPr>
        <w:t>b</w:t>
      </w:r>
      <w:r w:rsidRPr="003912D2">
        <w:rPr>
          <w:rFonts w:eastAsia="Arial Unicode MS"/>
        </w:rPr>
        <w:t xml:space="preserve">usiness </w:t>
      </w:r>
      <w:r>
        <w:rPr>
          <w:rFonts w:eastAsia="Arial Unicode MS"/>
        </w:rPr>
        <w:t>h</w:t>
      </w:r>
      <w:r w:rsidRPr="003912D2">
        <w:rPr>
          <w:rFonts w:eastAsia="Arial Unicode MS"/>
        </w:rPr>
        <w:t xml:space="preserve">istorians </w:t>
      </w:r>
      <w:r>
        <w:rPr>
          <w:rFonts w:eastAsia="Arial Unicode MS"/>
        </w:rPr>
        <w:t>n</w:t>
      </w:r>
      <w:r w:rsidRPr="003912D2">
        <w:rPr>
          <w:rFonts w:eastAsia="Arial Unicode MS"/>
        </w:rPr>
        <w:t xml:space="preserve">eed a </w:t>
      </w:r>
      <w:r>
        <w:rPr>
          <w:rFonts w:eastAsia="Arial Unicode MS"/>
        </w:rPr>
        <w:t>c</w:t>
      </w:r>
      <w:r w:rsidRPr="003912D2">
        <w:rPr>
          <w:rFonts w:eastAsia="Arial Unicode MS"/>
        </w:rPr>
        <w:t xml:space="preserve">onstructive </w:t>
      </w:r>
      <w:r>
        <w:rPr>
          <w:rFonts w:eastAsia="Arial Unicode MS"/>
        </w:rPr>
        <w:t>t</w:t>
      </w:r>
      <w:r w:rsidRPr="003912D2">
        <w:rPr>
          <w:rFonts w:eastAsia="Arial Unicode MS"/>
        </w:rPr>
        <w:t xml:space="preserve">heory of the </w:t>
      </w:r>
      <w:r>
        <w:rPr>
          <w:rFonts w:eastAsia="Arial Unicode MS"/>
        </w:rPr>
        <w:t>a</w:t>
      </w:r>
      <w:r w:rsidRPr="003912D2">
        <w:rPr>
          <w:rFonts w:eastAsia="Arial Unicode MS"/>
        </w:rPr>
        <w:t>rchive</w:t>
      </w:r>
      <w:r>
        <w:rPr>
          <w:rFonts w:eastAsia="Arial Unicode MS"/>
        </w:rPr>
        <w:t xml:space="preserve">. </w:t>
      </w:r>
      <w:r w:rsidRPr="008B6657">
        <w:rPr>
          <w:rFonts w:eastAsia="Arial Unicode MS"/>
          <w:i/>
        </w:rPr>
        <w:t>Business Archives</w:t>
      </w:r>
      <w:r>
        <w:rPr>
          <w:rFonts w:eastAsia="Arial Unicode MS"/>
          <w:i/>
        </w:rPr>
        <w:t>, 105(12),</w:t>
      </w:r>
      <w:r w:rsidRPr="003912D2">
        <w:rPr>
          <w:rFonts w:eastAsia="Arial Unicode MS"/>
        </w:rPr>
        <w:t xml:space="preserve"> 1-9.</w:t>
      </w:r>
    </w:p>
    <w:p w14:paraId="2988CA4C"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Seixas, P. </w:t>
      </w:r>
      <w:r>
        <w:rPr>
          <w:rFonts w:eastAsia="Arial Unicode MS"/>
        </w:rPr>
        <w:t>(</w:t>
      </w:r>
      <w:r w:rsidRPr="003912D2">
        <w:rPr>
          <w:rFonts w:eastAsia="Arial Unicode MS"/>
        </w:rPr>
        <w:t>2004</w:t>
      </w:r>
      <w:r>
        <w:rPr>
          <w:rFonts w:eastAsia="Arial Unicode MS"/>
        </w:rPr>
        <w:t>)</w:t>
      </w:r>
      <w:r w:rsidRPr="003912D2">
        <w:rPr>
          <w:rFonts w:eastAsia="Arial Unicode MS"/>
        </w:rPr>
        <w:t xml:space="preserve">. Introduction. </w:t>
      </w:r>
      <w:r>
        <w:rPr>
          <w:rFonts w:eastAsia="Arial Unicode MS"/>
        </w:rPr>
        <w:t xml:space="preserve">In P. Seixas (Ed.), </w:t>
      </w:r>
      <w:r w:rsidRPr="003912D2">
        <w:rPr>
          <w:rFonts w:eastAsia="Arial Unicode MS"/>
        </w:rPr>
        <w:t xml:space="preserve">Theorizing </w:t>
      </w:r>
      <w:r>
        <w:rPr>
          <w:rFonts w:eastAsia="Arial Unicode MS"/>
        </w:rPr>
        <w:t>h</w:t>
      </w:r>
      <w:r w:rsidRPr="003912D2">
        <w:rPr>
          <w:rFonts w:eastAsia="Arial Unicode MS"/>
        </w:rPr>
        <w:t xml:space="preserve">istorical </w:t>
      </w:r>
      <w:r>
        <w:rPr>
          <w:rFonts w:eastAsia="Arial Unicode MS"/>
        </w:rPr>
        <w:t>c</w:t>
      </w:r>
      <w:r w:rsidRPr="003912D2">
        <w:rPr>
          <w:rFonts w:eastAsia="Arial Unicode MS"/>
        </w:rPr>
        <w:t>onsciousness</w:t>
      </w:r>
      <w:r>
        <w:rPr>
          <w:rFonts w:eastAsia="Arial Unicode MS"/>
        </w:rPr>
        <w:t xml:space="preserve"> (pp.</w:t>
      </w:r>
      <w:r w:rsidRPr="003912D2">
        <w:rPr>
          <w:rFonts w:eastAsia="Arial Unicode MS"/>
        </w:rPr>
        <w:t xml:space="preserve"> 3-24</w:t>
      </w:r>
      <w:r>
        <w:rPr>
          <w:rFonts w:eastAsia="Arial Unicode MS"/>
        </w:rPr>
        <w:t>).</w:t>
      </w:r>
      <w:r w:rsidRPr="003912D2">
        <w:rPr>
          <w:rFonts w:eastAsia="Arial Unicode MS"/>
        </w:rPr>
        <w:t xml:space="preserve"> Toronto, ON: University of Toronto Press.</w:t>
      </w:r>
    </w:p>
    <w:p w14:paraId="7FC59C73"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Selznick, P. (1996). Institutionalism</w:t>
      </w:r>
      <w:r>
        <w:rPr>
          <w:rFonts w:eastAsia="Arial Unicode MS"/>
        </w:rPr>
        <w:t xml:space="preserve"> </w:t>
      </w:r>
      <w:r w:rsidRPr="003912D2">
        <w:rPr>
          <w:rFonts w:eastAsia="Arial Unicode MS"/>
        </w:rPr>
        <w:t xml:space="preserve">"old" and" new". </w:t>
      </w:r>
      <w:r w:rsidRPr="008B6657">
        <w:rPr>
          <w:rFonts w:eastAsia="Arial Unicode MS"/>
          <w:i/>
        </w:rPr>
        <w:t xml:space="preserve">Administrative </w:t>
      </w:r>
      <w:r>
        <w:rPr>
          <w:rFonts w:eastAsia="Arial Unicode MS"/>
          <w:i/>
        </w:rPr>
        <w:t>S</w:t>
      </w:r>
      <w:r w:rsidRPr="008B6657">
        <w:rPr>
          <w:rFonts w:eastAsia="Arial Unicode MS"/>
          <w:i/>
        </w:rPr>
        <w:t xml:space="preserve">cience </w:t>
      </w:r>
      <w:r>
        <w:rPr>
          <w:rFonts w:eastAsia="Arial Unicode MS"/>
          <w:i/>
        </w:rPr>
        <w:t>Q</w:t>
      </w:r>
      <w:r w:rsidRPr="008B6657">
        <w:rPr>
          <w:rFonts w:eastAsia="Arial Unicode MS"/>
          <w:i/>
        </w:rPr>
        <w:t>uarterly,</w:t>
      </w:r>
      <w:r w:rsidRPr="003912D2">
        <w:rPr>
          <w:rFonts w:eastAsia="Arial Unicode MS"/>
        </w:rPr>
        <w:t xml:space="preserve"> </w:t>
      </w:r>
      <w:r>
        <w:rPr>
          <w:rFonts w:eastAsia="Arial Unicode MS"/>
        </w:rPr>
        <w:t xml:space="preserve">41(2), </w:t>
      </w:r>
      <w:r w:rsidRPr="003912D2">
        <w:rPr>
          <w:rFonts w:eastAsia="Arial Unicode MS"/>
        </w:rPr>
        <w:t>270-277.</w:t>
      </w:r>
    </w:p>
    <w:p w14:paraId="72A6B71A" w14:textId="3A02D45F" w:rsidR="00783078" w:rsidRPr="00783078" w:rsidRDefault="00783078" w:rsidP="00783078">
      <w:pPr>
        <w:shd w:val="clear" w:color="auto" w:fill="FFFFFF"/>
        <w:spacing w:before="100" w:beforeAutospacing="1" w:after="150" w:line="312" w:lineRule="atLeast"/>
        <w:rPr>
          <w:rFonts w:eastAsia="Arial Unicode MS"/>
        </w:rPr>
      </w:pPr>
      <w:r>
        <w:rPr>
          <w:rFonts w:eastAsia="Arial Unicode MS"/>
        </w:rPr>
        <w:t xml:space="preserve">Smith, A., &amp; Simeonie, D. (2017). Learning to use the past: The development of rhetorical history strategy by the London Headquarters of the Hudson’s Bay Company. </w:t>
      </w:r>
      <w:r>
        <w:rPr>
          <w:rFonts w:eastAsia="Arial Unicode MS"/>
          <w:i/>
        </w:rPr>
        <w:t xml:space="preserve">Management &amp; Organizational History </w:t>
      </w:r>
      <w:r>
        <w:rPr>
          <w:rFonts w:eastAsia="Arial Unicode MS"/>
        </w:rPr>
        <w:t>12 (4), 334-356.</w:t>
      </w:r>
    </w:p>
    <w:p w14:paraId="5B0FD59F" w14:textId="00CB5E54"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lastRenderedPageBreak/>
        <w:t xml:space="preserve">Starn, R. (2005). A historian's brief guide to new museum studies. </w:t>
      </w:r>
      <w:r w:rsidRPr="008B6657">
        <w:rPr>
          <w:rFonts w:eastAsia="Arial Unicode MS"/>
          <w:i/>
        </w:rPr>
        <w:t xml:space="preserve">The American Historical Review, </w:t>
      </w:r>
      <w:r w:rsidRPr="003912D2">
        <w:rPr>
          <w:rFonts w:eastAsia="Arial Unicode MS"/>
        </w:rPr>
        <w:t>110(1), 68-98.</w:t>
      </w:r>
    </w:p>
    <w:p w14:paraId="098319B2"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Stinchcombe, A. L. (1965). Organizations and social structure. </w:t>
      </w:r>
      <w:r w:rsidRPr="008B6657">
        <w:rPr>
          <w:rFonts w:eastAsia="Arial Unicode MS"/>
          <w:i/>
        </w:rPr>
        <w:t xml:space="preserve">Handbook of organizations, </w:t>
      </w:r>
      <w:r w:rsidRPr="003912D2">
        <w:rPr>
          <w:rFonts w:eastAsia="Arial Unicode MS"/>
        </w:rPr>
        <w:t>44(2), 142-193.</w:t>
      </w:r>
    </w:p>
    <w:p w14:paraId="057D687B"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Stutz, C.</w:t>
      </w:r>
      <w:r>
        <w:rPr>
          <w:rFonts w:eastAsia="Arial Unicode MS"/>
        </w:rPr>
        <w:t>,</w:t>
      </w:r>
      <w:r w:rsidRPr="003912D2">
        <w:rPr>
          <w:rFonts w:eastAsia="Arial Unicode MS"/>
        </w:rPr>
        <w:t xml:space="preserve"> </w:t>
      </w:r>
      <w:r>
        <w:rPr>
          <w:rFonts w:eastAsia="Arial Unicode MS"/>
        </w:rPr>
        <w:t>&amp;</w:t>
      </w:r>
      <w:r w:rsidRPr="003912D2">
        <w:rPr>
          <w:rFonts w:eastAsia="Arial Unicode MS"/>
        </w:rPr>
        <w:t xml:space="preserve"> Sachs, S.</w:t>
      </w:r>
      <w:r>
        <w:rPr>
          <w:rFonts w:eastAsia="Arial Unicode MS"/>
        </w:rPr>
        <w:t xml:space="preserve"> (2018).</w:t>
      </w:r>
      <w:r w:rsidRPr="003912D2">
        <w:rPr>
          <w:rFonts w:eastAsia="Arial Unicode MS"/>
        </w:rPr>
        <w:t xml:space="preserve"> Facing the </w:t>
      </w:r>
      <w:r>
        <w:rPr>
          <w:rFonts w:eastAsia="Arial Unicode MS"/>
        </w:rPr>
        <w:t>n</w:t>
      </w:r>
      <w:r w:rsidRPr="003912D2">
        <w:rPr>
          <w:rFonts w:eastAsia="Arial Unicode MS"/>
        </w:rPr>
        <w:t xml:space="preserve">ormative </w:t>
      </w:r>
      <w:r>
        <w:rPr>
          <w:rFonts w:eastAsia="Arial Unicode MS"/>
        </w:rPr>
        <w:t>c</w:t>
      </w:r>
      <w:r w:rsidRPr="003912D2">
        <w:rPr>
          <w:rFonts w:eastAsia="Arial Unicode MS"/>
        </w:rPr>
        <w:t xml:space="preserve">hallenge: The </w:t>
      </w:r>
      <w:r>
        <w:rPr>
          <w:rFonts w:eastAsia="Arial Unicode MS"/>
        </w:rPr>
        <w:t>p</w:t>
      </w:r>
      <w:r w:rsidRPr="003912D2">
        <w:rPr>
          <w:rFonts w:eastAsia="Arial Unicode MS"/>
        </w:rPr>
        <w:t xml:space="preserve">otential of </w:t>
      </w:r>
      <w:r>
        <w:rPr>
          <w:rFonts w:eastAsia="Arial Unicode MS"/>
        </w:rPr>
        <w:t>r</w:t>
      </w:r>
      <w:r w:rsidRPr="003912D2">
        <w:rPr>
          <w:rFonts w:eastAsia="Arial Unicode MS"/>
        </w:rPr>
        <w:t xml:space="preserve">eflexive </w:t>
      </w:r>
      <w:r>
        <w:rPr>
          <w:rFonts w:eastAsia="Arial Unicode MS"/>
        </w:rPr>
        <w:t>h</w:t>
      </w:r>
      <w:r w:rsidRPr="003912D2">
        <w:rPr>
          <w:rFonts w:eastAsia="Arial Unicode MS"/>
        </w:rPr>
        <w:t xml:space="preserve">istorical </w:t>
      </w:r>
      <w:r>
        <w:rPr>
          <w:rFonts w:eastAsia="Arial Unicode MS"/>
        </w:rPr>
        <w:t>r</w:t>
      </w:r>
      <w:r w:rsidRPr="003912D2">
        <w:rPr>
          <w:rFonts w:eastAsia="Arial Unicode MS"/>
        </w:rPr>
        <w:t xml:space="preserve">esearch. </w:t>
      </w:r>
      <w:r w:rsidRPr="00B270FB">
        <w:rPr>
          <w:rFonts w:eastAsia="Arial Unicode MS"/>
          <w:i/>
        </w:rPr>
        <w:t>Business &amp; Society,</w:t>
      </w:r>
      <w:r>
        <w:rPr>
          <w:rFonts w:eastAsia="Arial Unicode MS"/>
        </w:rPr>
        <w:t xml:space="preserve"> </w:t>
      </w:r>
      <w:r w:rsidRPr="003912D2">
        <w:rPr>
          <w:rFonts w:eastAsia="Arial Unicode MS"/>
        </w:rPr>
        <w:t>57(1): 98-130.</w:t>
      </w:r>
    </w:p>
    <w:p w14:paraId="371DED9B"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Suddaby, R. (2016). Toward a historical consciousness: Following the historic turn in management thought. </w:t>
      </w:r>
      <w:r w:rsidRPr="00B270FB">
        <w:rPr>
          <w:rFonts w:eastAsia="Arial Unicode MS"/>
          <w:i/>
        </w:rPr>
        <w:t>M@ n@gement,</w:t>
      </w:r>
      <w:r w:rsidRPr="003912D2">
        <w:rPr>
          <w:rFonts w:eastAsia="Arial Unicode MS"/>
        </w:rPr>
        <w:t xml:space="preserve"> 19(1), 46-60.</w:t>
      </w:r>
    </w:p>
    <w:p w14:paraId="1231329F"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Suddaby, R.</w:t>
      </w:r>
      <w:r>
        <w:rPr>
          <w:rFonts w:eastAsia="Arial Unicode MS"/>
        </w:rPr>
        <w:t>,</w:t>
      </w:r>
      <w:r w:rsidRPr="003912D2">
        <w:rPr>
          <w:rFonts w:eastAsia="Arial Unicode MS"/>
        </w:rPr>
        <w:t xml:space="preserve"> &amp; Foster, W. (2017). History and organizational change. </w:t>
      </w:r>
      <w:r w:rsidRPr="00B270FB">
        <w:rPr>
          <w:rFonts w:eastAsia="Arial Unicode MS"/>
          <w:i/>
        </w:rPr>
        <w:t>Journal of Management,</w:t>
      </w:r>
      <w:r w:rsidRPr="003912D2">
        <w:rPr>
          <w:rFonts w:eastAsia="Arial Unicode MS"/>
        </w:rPr>
        <w:t xml:space="preserve"> 43(1): 19-38.</w:t>
      </w:r>
    </w:p>
    <w:p w14:paraId="046FB30A"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Suddaby, R. &amp; Foster, W. (2016). Organizational Re-Membering: The use of rhetorical history to create identification</w:t>
      </w:r>
      <w:r>
        <w:rPr>
          <w:rFonts w:eastAsia="Arial Unicode MS"/>
        </w:rPr>
        <w:t xml:space="preserve">. In M. Pratt, M. Schultz, B. Ashforth &amp; D. Ravasi (Eds.), </w:t>
      </w:r>
      <w:r w:rsidRPr="00B270FB">
        <w:rPr>
          <w:rFonts w:eastAsia="Arial Unicode MS"/>
          <w:i/>
        </w:rPr>
        <w:t>Oxford Handbook of Organizational Identity</w:t>
      </w:r>
      <w:r>
        <w:rPr>
          <w:rFonts w:eastAsia="Arial Unicode MS"/>
        </w:rPr>
        <w:t xml:space="preserve"> (pp. 297-316). </w:t>
      </w:r>
      <w:r w:rsidRPr="003912D2">
        <w:rPr>
          <w:rFonts w:eastAsia="Arial Unicode MS"/>
        </w:rPr>
        <w:t>Oxford: Oxford University Press.</w:t>
      </w:r>
    </w:p>
    <w:p w14:paraId="4C343FBA"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Suddaby, R., Foster, W. M.</w:t>
      </w:r>
      <w:r>
        <w:rPr>
          <w:rFonts w:eastAsia="Arial Unicode MS"/>
        </w:rPr>
        <w:t>,</w:t>
      </w:r>
      <w:r w:rsidRPr="003912D2">
        <w:rPr>
          <w:rFonts w:eastAsia="Arial Unicode MS"/>
        </w:rPr>
        <w:t xml:space="preserve"> &amp; Quinn Trank, C. (2010). Rhetorical history as a source of competitive advantage. In </w:t>
      </w:r>
      <w:r w:rsidRPr="00B270FB">
        <w:rPr>
          <w:rFonts w:eastAsia="Arial Unicode MS"/>
          <w:i/>
        </w:rPr>
        <w:t>The globalization of strategy research</w:t>
      </w:r>
      <w:r w:rsidRPr="003912D2">
        <w:rPr>
          <w:rFonts w:eastAsia="Arial Unicode MS"/>
        </w:rPr>
        <w:t xml:space="preserve"> (pp. 147-173). Emerald Group Publishing Limited.</w:t>
      </w:r>
    </w:p>
    <w:p w14:paraId="0B7DAC26"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Suddaby, R.</w:t>
      </w:r>
      <w:r>
        <w:rPr>
          <w:rFonts w:eastAsia="Arial Unicode MS"/>
        </w:rPr>
        <w:t>,</w:t>
      </w:r>
      <w:r w:rsidRPr="003912D2">
        <w:rPr>
          <w:rFonts w:eastAsia="Arial Unicode MS"/>
        </w:rPr>
        <w:t xml:space="preserve"> &amp; Greenwood, R. (2005). Rhetorical strategies of legitimacy. </w:t>
      </w:r>
      <w:r w:rsidRPr="00B270FB">
        <w:rPr>
          <w:rFonts w:eastAsia="Arial Unicode MS"/>
          <w:i/>
        </w:rPr>
        <w:t xml:space="preserve">Administrative </w:t>
      </w:r>
      <w:r>
        <w:rPr>
          <w:rFonts w:eastAsia="Arial Unicode MS"/>
          <w:i/>
        </w:rPr>
        <w:t>S</w:t>
      </w:r>
      <w:r w:rsidRPr="00B270FB">
        <w:rPr>
          <w:rFonts w:eastAsia="Arial Unicode MS"/>
          <w:i/>
        </w:rPr>
        <w:t xml:space="preserve">cience </w:t>
      </w:r>
      <w:r>
        <w:rPr>
          <w:rFonts w:eastAsia="Arial Unicode MS"/>
          <w:i/>
        </w:rPr>
        <w:t>Q</w:t>
      </w:r>
      <w:r w:rsidRPr="00B270FB">
        <w:rPr>
          <w:rFonts w:eastAsia="Arial Unicode MS"/>
          <w:i/>
        </w:rPr>
        <w:t xml:space="preserve">uarterly, </w:t>
      </w:r>
      <w:r w:rsidRPr="003912D2">
        <w:rPr>
          <w:rFonts w:eastAsia="Arial Unicode MS"/>
        </w:rPr>
        <w:t>50(1), 35-67.</w:t>
      </w:r>
    </w:p>
    <w:p w14:paraId="6F41DEA8"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Thompson, E. P. (1966). </w:t>
      </w:r>
      <w:r w:rsidRPr="00B270FB">
        <w:rPr>
          <w:rFonts w:eastAsia="Arial Unicode MS"/>
          <w:i/>
        </w:rPr>
        <w:t>The making of the English working class.</w:t>
      </w:r>
      <w:r w:rsidRPr="003912D2">
        <w:rPr>
          <w:rFonts w:eastAsia="Arial Unicode MS"/>
        </w:rPr>
        <w:t xml:space="preserve"> New York: Vintage Books.</w:t>
      </w:r>
    </w:p>
    <w:p w14:paraId="4D07BD5B"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Ulrich, </w:t>
      </w:r>
      <w:r>
        <w:rPr>
          <w:rFonts w:eastAsia="Arial Unicode MS"/>
        </w:rPr>
        <w:t>L. T.</w:t>
      </w:r>
      <w:r w:rsidRPr="003912D2">
        <w:rPr>
          <w:rFonts w:eastAsia="Arial Unicode MS"/>
        </w:rPr>
        <w:t xml:space="preserve"> (2001). </w:t>
      </w:r>
      <w:r w:rsidRPr="00B270FB">
        <w:rPr>
          <w:rFonts w:eastAsia="Arial Unicode MS"/>
          <w:i/>
        </w:rPr>
        <w:t>The Age of homespun: Objects and stories in the creation of an American myth.</w:t>
      </w:r>
      <w:r w:rsidRPr="003912D2">
        <w:rPr>
          <w:rFonts w:eastAsia="Arial Unicode MS"/>
        </w:rPr>
        <w:t xml:space="preserve"> New York: Alfred Knopf. </w:t>
      </w:r>
    </w:p>
    <w:p w14:paraId="3CF81C4F"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Vanhamme, J.</w:t>
      </w:r>
      <w:r>
        <w:rPr>
          <w:rFonts w:eastAsia="Arial Unicode MS"/>
        </w:rPr>
        <w:t>,</w:t>
      </w:r>
      <w:r w:rsidRPr="003912D2">
        <w:rPr>
          <w:rFonts w:eastAsia="Arial Unicode MS"/>
        </w:rPr>
        <w:t xml:space="preserve"> &amp; Grobben, B. (2009). “Too good to be true!”. The effectiveness of CSR history in countering negative publicity. </w:t>
      </w:r>
      <w:r w:rsidRPr="00B270FB">
        <w:rPr>
          <w:rFonts w:eastAsia="Arial Unicode MS"/>
          <w:i/>
        </w:rPr>
        <w:t>Journal of Business Ethics,</w:t>
      </w:r>
      <w:r w:rsidRPr="003912D2">
        <w:rPr>
          <w:rFonts w:eastAsia="Arial Unicode MS"/>
        </w:rPr>
        <w:t xml:space="preserve"> 85(2), 273.</w:t>
      </w:r>
    </w:p>
    <w:p w14:paraId="1562CAC8"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Wadhwani, R. D. (2018). Poverty's </w:t>
      </w:r>
      <w:r>
        <w:rPr>
          <w:rFonts w:eastAsia="Arial Unicode MS"/>
        </w:rPr>
        <w:t>m</w:t>
      </w:r>
      <w:r w:rsidRPr="003912D2">
        <w:rPr>
          <w:rFonts w:eastAsia="Arial Unicode MS"/>
        </w:rPr>
        <w:t xml:space="preserve">onument: Social </w:t>
      </w:r>
      <w:r>
        <w:rPr>
          <w:rFonts w:eastAsia="Arial Unicode MS"/>
        </w:rPr>
        <w:t>p</w:t>
      </w:r>
      <w:r w:rsidRPr="003912D2">
        <w:rPr>
          <w:rFonts w:eastAsia="Arial Unicode MS"/>
        </w:rPr>
        <w:t xml:space="preserve">roblems and </w:t>
      </w:r>
      <w:r>
        <w:rPr>
          <w:rFonts w:eastAsia="Arial Unicode MS"/>
        </w:rPr>
        <w:t>o</w:t>
      </w:r>
      <w:r w:rsidRPr="003912D2">
        <w:rPr>
          <w:rFonts w:eastAsia="Arial Unicode MS"/>
        </w:rPr>
        <w:t xml:space="preserve">rganizational </w:t>
      </w:r>
      <w:r>
        <w:rPr>
          <w:rFonts w:eastAsia="Arial Unicode MS"/>
        </w:rPr>
        <w:t>f</w:t>
      </w:r>
      <w:r w:rsidRPr="003912D2">
        <w:rPr>
          <w:rFonts w:eastAsia="Arial Unicode MS"/>
        </w:rPr>
        <w:t xml:space="preserve">ield </w:t>
      </w:r>
      <w:r>
        <w:rPr>
          <w:rFonts w:eastAsia="Arial Unicode MS"/>
        </w:rPr>
        <w:t>e</w:t>
      </w:r>
      <w:r w:rsidRPr="003912D2">
        <w:rPr>
          <w:rFonts w:eastAsia="Arial Unicode MS"/>
        </w:rPr>
        <w:t xml:space="preserve">mergence in </w:t>
      </w:r>
      <w:r>
        <w:rPr>
          <w:rFonts w:eastAsia="Arial Unicode MS"/>
        </w:rPr>
        <w:t>h</w:t>
      </w:r>
      <w:r w:rsidRPr="003912D2">
        <w:rPr>
          <w:rFonts w:eastAsia="Arial Unicode MS"/>
        </w:rPr>
        <w:t xml:space="preserve">istorical </w:t>
      </w:r>
      <w:r>
        <w:rPr>
          <w:rFonts w:eastAsia="Arial Unicode MS"/>
        </w:rPr>
        <w:t>p</w:t>
      </w:r>
      <w:r w:rsidRPr="003912D2">
        <w:rPr>
          <w:rFonts w:eastAsia="Arial Unicode MS"/>
        </w:rPr>
        <w:t xml:space="preserve">erspective. </w:t>
      </w:r>
      <w:r w:rsidRPr="00B270FB">
        <w:rPr>
          <w:rFonts w:eastAsia="Arial Unicode MS"/>
          <w:i/>
        </w:rPr>
        <w:t xml:space="preserve">Journal of Management Studies, </w:t>
      </w:r>
      <w:r w:rsidRPr="003912D2">
        <w:rPr>
          <w:rFonts w:eastAsia="Arial Unicode MS"/>
        </w:rPr>
        <w:t>55(3), 545-577.</w:t>
      </w:r>
    </w:p>
    <w:p w14:paraId="0A0A2A75"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Wadhwani, R. D., &amp; Bucheli, M. (2014). The future of the past in management and organization studies. </w:t>
      </w:r>
      <w:r>
        <w:rPr>
          <w:rFonts w:eastAsia="Arial Unicode MS"/>
        </w:rPr>
        <w:t xml:space="preserve">In M. Bucheli &amp; R. D. Wadhwani (Eds.), </w:t>
      </w:r>
      <w:r w:rsidRPr="00B270FB">
        <w:rPr>
          <w:rFonts w:eastAsia="Arial Unicode MS"/>
          <w:i/>
        </w:rPr>
        <w:t>Organizations in time: History, theory, methods,</w:t>
      </w:r>
      <w:r w:rsidRPr="003912D2">
        <w:rPr>
          <w:rFonts w:eastAsia="Arial Unicode MS"/>
        </w:rPr>
        <w:t xml:space="preserve"> </w:t>
      </w:r>
      <w:r>
        <w:rPr>
          <w:rFonts w:eastAsia="Arial Unicode MS"/>
        </w:rPr>
        <w:t xml:space="preserve">(pp. </w:t>
      </w:r>
      <w:r w:rsidRPr="003912D2">
        <w:rPr>
          <w:rFonts w:eastAsia="Arial Unicode MS"/>
        </w:rPr>
        <w:t>3-32</w:t>
      </w:r>
      <w:r>
        <w:rPr>
          <w:rFonts w:eastAsia="Arial Unicode MS"/>
        </w:rPr>
        <w:t>). Oxford: Oxford University Press.</w:t>
      </w:r>
    </w:p>
    <w:p w14:paraId="430B8F23"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lastRenderedPageBreak/>
        <w:t xml:space="preserve">Waitt, G. (2000). Consuming heritage: Perceived historical authenticity. </w:t>
      </w:r>
      <w:r w:rsidRPr="00B270FB">
        <w:rPr>
          <w:rFonts w:eastAsia="Arial Unicode MS"/>
          <w:i/>
        </w:rPr>
        <w:t xml:space="preserve">Annals of </w:t>
      </w:r>
      <w:r>
        <w:rPr>
          <w:rFonts w:eastAsia="Arial Unicode MS"/>
          <w:i/>
        </w:rPr>
        <w:t>T</w:t>
      </w:r>
      <w:r w:rsidRPr="00B270FB">
        <w:rPr>
          <w:rFonts w:eastAsia="Arial Unicode MS"/>
          <w:i/>
        </w:rPr>
        <w:t xml:space="preserve">ourism </w:t>
      </w:r>
      <w:r>
        <w:rPr>
          <w:rFonts w:eastAsia="Arial Unicode MS"/>
          <w:i/>
        </w:rPr>
        <w:t>R</w:t>
      </w:r>
      <w:r w:rsidRPr="00B270FB">
        <w:rPr>
          <w:rFonts w:eastAsia="Arial Unicode MS"/>
          <w:i/>
        </w:rPr>
        <w:t xml:space="preserve">esearch, </w:t>
      </w:r>
      <w:r w:rsidRPr="003912D2">
        <w:rPr>
          <w:rFonts w:eastAsia="Arial Unicode MS"/>
        </w:rPr>
        <w:t>27(4), 835-862.</w:t>
      </w:r>
    </w:p>
    <w:p w14:paraId="2D7F1A3E"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Walsh, I. J.</w:t>
      </w:r>
      <w:r>
        <w:rPr>
          <w:rFonts w:eastAsia="Arial Unicode MS"/>
        </w:rPr>
        <w:t>,</w:t>
      </w:r>
      <w:r w:rsidRPr="003912D2">
        <w:rPr>
          <w:rFonts w:eastAsia="Arial Unicode MS"/>
        </w:rPr>
        <w:t xml:space="preserve"> &amp; Glynn, M. A. (2008). The way we were: Legacy organizational identity and the role of leadership. </w:t>
      </w:r>
      <w:r w:rsidRPr="00B270FB">
        <w:rPr>
          <w:rFonts w:eastAsia="Arial Unicode MS"/>
          <w:i/>
        </w:rPr>
        <w:t xml:space="preserve">Corporate Reputation Review, </w:t>
      </w:r>
      <w:r w:rsidRPr="003912D2">
        <w:rPr>
          <w:rFonts w:eastAsia="Arial Unicode MS"/>
        </w:rPr>
        <w:t>11(3), 262-276.</w:t>
      </w:r>
    </w:p>
    <w:p w14:paraId="001E7EEA"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Weindruch, B. </w:t>
      </w:r>
      <w:r>
        <w:rPr>
          <w:rFonts w:eastAsia="Arial Unicode MS"/>
        </w:rPr>
        <w:t>(</w:t>
      </w:r>
      <w:r w:rsidRPr="003912D2">
        <w:rPr>
          <w:rFonts w:eastAsia="Arial Unicode MS"/>
        </w:rPr>
        <w:t>2016</w:t>
      </w:r>
      <w:r>
        <w:rPr>
          <w:rFonts w:eastAsia="Arial Unicode MS"/>
        </w:rPr>
        <w:t>)</w:t>
      </w:r>
      <w:r w:rsidRPr="003912D2">
        <w:rPr>
          <w:rFonts w:eastAsia="Arial Unicode MS"/>
        </w:rPr>
        <w:t xml:space="preserve">. </w:t>
      </w:r>
      <w:r w:rsidRPr="00B270FB">
        <w:rPr>
          <w:rFonts w:eastAsia="Arial Unicode MS"/>
          <w:i/>
        </w:rPr>
        <w:t xml:space="preserve">Start with the future and work back: A heritage management manifesto. </w:t>
      </w:r>
      <w:r w:rsidRPr="003912D2">
        <w:rPr>
          <w:rFonts w:eastAsia="Arial Unicode MS"/>
        </w:rPr>
        <w:t>London, UK: Hamilton.</w:t>
      </w:r>
    </w:p>
    <w:p w14:paraId="2CF787F0" w14:textId="0B24B3DA"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White, H.</w:t>
      </w:r>
      <w:r w:rsidR="00797CA4">
        <w:rPr>
          <w:rFonts w:eastAsia="Arial Unicode MS"/>
        </w:rPr>
        <w:t xml:space="preserve"> </w:t>
      </w:r>
      <w:r w:rsidRPr="003912D2">
        <w:rPr>
          <w:rFonts w:eastAsia="Arial Unicode MS"/>
        </w:rPr>
        <w:t xml:space="preserve">(1966). The burden of history. </w:t>
      </w:r>
      <w:r w:rsidRPr="00B270FB">
        <w:rPr>
          <w:rFonts w:eastAsia="Arial Unicode MS"/>
          <w:i/>
        </w:rPr>
        <w:t>History and Theory,</w:t>
      </w:r>
      <w:r w:rsidRPr="003912D2">
        <w:rPr>
          <w:rFonts w:eastAsia="Arial Unicode MS"/>
        </w:rPr>
        <w:t xml:space="preserve"> 5(2), 111-134.</w:t>
      </w:r>
    </w:p>
    <w:p w14:paraId="2F26CD1E" w14:textId="6F56A75F"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White, </w:t>
      </w:r>
      <w:r w:rsidR="00797CA4">
        <w:rPr>
          <w:rFonts w:eastAsia="Arial Unicode MS"/>
        </w:rPr>
        <w:t>H</w:t>
      </w:r>
      <w:r w:rsidRPr="003912D2">
        <w:rPr>
          <w:rFonts w:eastAsia="Arial Unicode MS"/>
        </w:rPr>
        <w:t xml:space="preserve">. (1973). </w:t>
      </w:r>
      <w:r w:rsidRPr="00B270FB">
        <w:rPr>
          <w:rFonts w:eastAsia="Arial Unicode MS"/>
          <w:i/>
        </w:rPr>
        <w:t xml:space="preserve">Metahistory: The historical imagination in nineteenth-century Europe.  </w:t>
      </w:r>
      <w:r w:rsidRPr="003912D2">
        <w:rPr>
          <w:rFonts w:eastAsia="Arial Unicode MS"/>
        </w:rPr>
        <w:t>Baltimore, MD: Johns Hopkins Press.</w:t>
      </w:r>
    </w:p>
    <w:p w14:paraId="7E97D255" w14:textId="696D99AB"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White, H.</w:t>
      </w:r>
      <w:r w:rsidR="00797CA4">
        <w:rPr>
          <w:rFonts w:eastAsia="Arial Unicode MS"/>
        </w:rPr>
        <w:t xml:space="preserve"> </w:t>
      </w:r>
      <w:r w:rsidRPr="003912D2">
        <w:rPr>
          <w:rFonts w:eastAsia="Arial Unicode MS"/>
        </w:rPr>
        <w:t xml:space="preserve">(1987). </w:t>
      </w:r>
      <w:r w:rsidRPr="00B270FB">
        <w:rPr>
          <w:rFonts w:eastAsia="Arial Unicode MS"/>
          <w:i/>
        </w:rPr>
        <w:t>The content of the form: Narrative discourse and historical representation.</w:t>
      </w:r>
      <w:r w:rsidRPr="003912D2">
        <w:rPr>
          <w:rFonts w:eastAsia="Arial Unicode MS"/>
        </w:rPr>
        <w:t xml:space="preserve"> Baltimore, MD: Johns Hopkins Press.</w:t>
      </w:r>
    </w:p>
    <w:p w14:paraId="216D104D"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Wiesen, S. (2001). </w:t>
      </w:r>
      <w:r w:rsidRPr="00B270FB">
        <w:rPr>
          <w:rFonts w:eastAsia="Arial Unicode MS"/>
          <w:i/>
        </w:rPr>
        <w:t>West German Industry and the challenge of the Nazi Past, 1945-55.</w:t>
      </w:r>
      <w:r w:rsidRPr="003912D2">
        <w:rPr>
          <w:rFonts w:eastAsia="Arial Unicode MS"/>
        </w:rPr>
        <w:t xml:space="preserve"> Chapel Hill: University of North Carolina Press.</w:t>
      </w:r>
    </w:p>
    <w:p w14:paraId="7017128A"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Wolf, E. R. (1982). </w:t>
      </w:r>
      <w:r w:rsidRPr="00B270FB">
        <w:rPr>
          <w:rFonts w:eastAsia="Arial Unicode MS"/>
          <w:i/>
        </w:rPr>
        <w:t xml:space="preserve">Europe and the people without history. </w:t>
      </w:r>
      <w:r w:rsidRPr="003912D2">
        <w:rPr>
          <w:rFonts w:eastAsia="Arial Unicode MS"/>
        </w:rPr>
        <w:t>Berkeley: University of California Press.</w:t>
      </w:r>
    </w:p>
    <w:p w14:paraId="402F3DA8"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Ybema, S. (2014). The invention of transitions: History as a symbolic site for discursive struggles over organizational change. </w:t>
      </w:r>
      <w:r w:rsidRPr="00B270FB">
        <w:rPr>
          <w:rFonts w:eastAsia="Arial Unicode MS"/>
          <w:i/>
        </w:rPr>
        <w:t>Organization,</w:t>
      </w:r>
      <w:r w:rsidRPr="003912D2">
        <w:rPr>
          <w:rFonts w:eastAsia="Arial Unicode MS"/>
        </w:rPr>
        <w:t xml:space="preserve"> 21(4), 495-513.</w:t>
      </w:r>
    </w:p>
    <w:p w14:paraId="6F5D23E1" w14:textId="77777777" w:rsidR="00783078" w:rsidRPr="003912D2" w:rsidRDefault="00783078" w:rsidP="00783078">
      <w:pPr>
        <w:shd w:val="clear" w:color="auto" w:fill="FFFFFF"/>
        <w:spacing w:before="100" w:beforeAutospacing="1" w:after="150" w:line="312" w:lineRule="atLeast"/>
        <w:rPr>
          <w:rFonts w:eastAsia="Arial Unicode MS"/>
        </w:rPr>
      </w:pPr>
      <w:r w:rsidRPr="003912D2">
        <w:rPr>
          <w:rFonts w:eastAsia="Arial Unicode MS"/>
        </w:rPr>
        <w:t xml:space="preserve">Zald, M. (1996). More </w:t>
      </w:r>
      <w:r>
        <w:rPr>
          <w:rFonts w:eastAsia="Arial Unicode MS"/>
        </w:rPr>
        <w:t>f</w:t>
      </w:r>
      <w:r w:rsidRPr="003912D2">
        <w:rPr>
          <w:rFonts w:eastAsia="Arial Unicode MS"/>
        </w:rPr>
        <w:t xml:space="preserve">ragmentation? Unfinished </w:t>
      </w:r>
      <w:r>
        <w:rPr>
          <w:rFonts w:eastAsia="Arial Unicode MS"/>
        </w:rPr>
        <w:t>b</w:t>
      </w:r>
      <w:r w:rsidRPr="003912D2">
        <w:rPr>
          <w:rFonts w:eastAsia="Arial Unicode MS"/>
        </w:rPr>
        <w:t xml:space="preserve">usiness in </w:t>
      </w:r>
      <w:r>
        <w:rPr>
          <w:rFonts w:eastAsia="Arial Unicode MS"/>
        </w:rPr>
        <w:t>l</w:t>
      </w:r>
      <w:r w:rsidRPr="003912D2">
        <w:rPr>
          <w:rFonts w:eastAsia="Arial Unicode MS"/>
        </w:rPr>
        <w:t xml:space="preserve">inking the Social Sciences and the Humanities. </w:t>
      </w:r>
      <w:r w:rsidRPr="00B270FB">
        <w:rPr>
          <w:rFonts w:eastAsia="Arial Unicode MS"/>
          <w:i/>
        </w:rPr>
        <w:t>Administrative Sciences Quarterly,</w:t>
      </w:r>
      <w:r w:rsidRPr="003912D2">
        <w:rPr>
          <w:rFonts w:eastAsia="Arial Unicode MS"/>
        </w:rPr>
        <w:t xml:space="preserve"> 41, 251-261.</w:t>
      </w:r>
    </w:p>
    <w:p w14:paraId="63366460" w14:textId="7928FD03" w:rsidR="00783078" w:rsidRDefault="00783078" w:rsidP="00783078">
      <w:pPr>
        <w:shd w:val="clear" w:color="auto" w:fill="FFFFFF"/>
        <w:rPr>
          <w:rFonts w:eastAsia="Arial Unicode MS"/>
        </w:rPr>
      </w:pPr>
      <w:r w:rsidRPr="003912D2">
        <w:rPr>
          <w:rFonts w:eastAsia="Arial Unicode MS"/>
        </w:rPr>
        <w:t xml:space="preserve">Zerubavel, E. (2012). </w:t>
      </w:r>
      <w:r w:rsidRPr="00B270FB">
        <w:rPr>
          <w:rFonts w:eastAsia="Arial Unicode MS"/>
          <w:i/>
        </w:rPr>
        <w:t>Time maps: Collective memory and the social shape of the past.</w:t>
      </w:r>
      <w:r w:rsidRPr="003912D2">
        <w:rPr>
          <w:rFonts w:eastAsia="Arial Unicode MS"/>
        </w:rPr>
        <w:t xml:space="preserve"> </w:t>
      </w:r>
      <w:r>
        <w:rPr>
          <w:rFonts w:eastAsia="Arial Unicode MS"/>
        </w:rPr>
        <w:t xml:space="preserve">Chicago: </w:t>
      </w:r>
      <w:r w:rsidRPr="003912D2">
        <w:rPr>
          <w:rFonts w:eastAsia="Arial Unicode MS"/>
        </w:rPr>
        <w:t>University of Chicago Press.</w:t>
      </w:r>
    </w:p>
    <w:p w14:paraId="347F679B" w14:textId="77777777" w:rsidR="00783078" w:rsidRPr="003912D2" w:rsidRDefault="00783078" w:rsidP="00783078">
      <w:pPr>
        <w:shd w:val="clear" w:color="auto" w:fill="FFFFFF"/>
        <w:rPr>
          <w:rFonts w:eastAsia="Arial Unicode MS"/>
        </w:rPr>
      </w:pPr>
    </w:p>
    <w:p w14:paraId="682BA689" w14:textId="7E9D22E2" w:rsidR="002F4F17" w:rsidRPr="00783078" w:rsidRDefault="00783078" w:rsidP="00783078">
      <w:pPr>
        <w:jc w:val="both"/>
        <w:rPr>
          <w:lang w:val="en-CA"/>
        </w:rPr>
      </w:pPr>
      <w:r>
        <w:rPr>
          <w:lang w:val="en-CA"/>
        </w:rPr>
        <w:t xml:space="preserve">Zundel, M., Holt, R., &amp; Popp, A. (2016). Using History in the Creation of Organizational Identity. </w:t>
      </w:r>
      <w:r>
        <w:rPr>
          <w:i/>
          <w:lang w:val="en-CA"/>
        </w:rPr>
        <w:t>Management and Organizational History</w:t>
      </w:r>
      <w:r>
        <w:rPr>
          <w:lang w:val="en-CA"/>
        </w:rPr>
        <w:t>, 11 (2), 211-235.</w:t>
      </w:r>
    </w:p>
    <w:p w14:paraId="310CA8F6" w14:textId="77777777" w:rsidR="002F4F17" w:rsidRPr="002F4F17" w:rsidRDefault="002F4F17"/>
    <w:sectPr w:rsidR="002F4F17" w:rsidRPr="002F4F17" w:rsidSect="00BF218B">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FCD0F" w14:textId="77777777" w:rsidR="00D46EF7" w:rsidRDefault="00D46EF7" w:rsidP="00176C6E">
      <w:r>
        <w:separator/>
      </w:r>
    </w:p>
  </w:endnote>
  <w:endnote w:type="continuationSeparator" w:id="0">
    <w:p w14:paraId="64DD34F0" w14:textId="77777777" w:rsidR="00D46EF7" w:rsidRDefault="00D46EF7" w:rsidP="0017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7427316"/>
      <w:docPartObj>
        <w:docPartGallery w:val="Page Numbers (Bottom of Page)"/>
        <w:docPartUnique/>
      </w:docPartObj>
    </w:sdtPr>
    <w:sdtEndPr>
      <w:rPr>
        <w:rStyle w:val="PageNumber"/>
      </w:rPr>
    </w:sdtEndPr>
    <w:sdtContent>
      <w:p w14:paraId="37C09C80" w14:textId="1283EA29" w:rsidR="00797CA4" w:rsidRDefault="00797CA4" w:rsidP="004A2B4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F76F41" w14:textId="77777777" w:rsidR="00783078" w:rsidRDefault="00783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0432989"/>
      <w:docPartObj>
        <w:docPartGallery w:val="Page Numbers (Bottom of Page)"/>
        <w:docPartUnique/>
      </w:docPartObj>
    </w:sdtPr>
    <w:sdtEndPr>
      <w:rPr>
        <w:rStyle w:val="PageNumber"/>
      </w:rPr>
    </w:sdtEndPr>
    <w:sdtContent>
      <w:p w14:paraId="3ACA7EE0" w14:textId="79186F33" w:rsidR="00797CA4" w:rsidRDefault="00797CA4" w:rsidP="004A2B4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169D9C5B" w14:textId="77777777" w:rsidR="00783078" w:rsidRDefault="00783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5D960" w14:textId="77777777" w:rsidR="00D46EF7" w:rsidRDefault="00D46EF7" w:rsidP="00176C6E">
      <w:r>
        <w:separator/>
      </w:r>
    </w:p>
  </w:footnote>
  <w:footnote w:type="continuationSeparator" w:id="0">
    <w:p w14:paraId="7C5CEAA2" w14:textId="77777777" w:rsidR="00D46EF7" w:rsidRDefault="00D46EF7" w:rsidP="00176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D5818"/>
    <w:multiLevelType w:val="multilevel"/>
    <w:tmpl w:val="AFBA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F4473"/>
    <w:multiLevelType w:val="multilevel"/>
    <w:tmpl w:val="6842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AC3822"/>
    <w:multiLevelType w:val="multilevel"/>
    <w:tmpl w:val="41B2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54085F"/>
    <w:multiLevelType w:val="multilevel"/>
    <w:tmpl w:val="C5E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3A5A5A"/>
    <w:multiLevelType w:val="multilevel"/>
    <w:tmpl w:val="F80E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9A336A"/>
    <w:multiLevelType w:val="multilevel"/>
    <w:tmpl w:val="422CD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hideSpellingErrors/>
  <w:hideGrammatical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52B"/>
    <w:rsid w:val="000019BF"/>
    <w:rsid w:val="0001214E"/>
    <w:rsid w:val="000177E2"/>
    <w:rsid w:val="00021AA4"/>
    <w:rsid w:val="000231D6"/>
    <w:rsid w:val="00034213"/>
    <w:rsid w:val="0004650B"/>
    <w:rsid w:val="00056FDC"/>
    <w:rsid w:val="00065DDD"/>
    <w:rsid w:val="0006651B"/>
    <w:rsid w:val="00091D55"/>
    <w:rsid w:val="00092547"/>
    <w:rsid w:val="0009413F"/>
    <w:rsid w:val="000A40BF"/>
    <w:rsid w:val="000A5292"/>
    <w:rsid w:val="000B14F6"/>
    <w:rsid w:val="000B260D"/>
    <w:rsid w:val="000B6223"/>
    <w:rsid w:val="000B6359"/>
    <w:rsid w:val="000C70EC"/>
    <w:rsid w:val="000D4BE7"/>
    <w:rsid w:val="000D5CE7"/>
    <w:rsid w:val="000F1DE9"/>
    <w:rsid w:val="000F42A6"/>
    <w:rsid w:val="000F4993"/>
    <w:rsid w:val="00101098"/>
    <w:rsid w:val="00110B4A"/>
    <w:rsid w:val="00124114"/>
    <w:rsid w:val="00124C54"/>
    <w:rsid w:val="001251EA"/>
    <w:rsid w:val="00125291"/>
    <w:rsid w:val="00125720"/>
    <w:rsid w:val="00126D14"/>
    <w:rsid w:val="00127B81"/>
    <w:rsid w:val="00130821"/>
    <w:rsid w:val="001359DD"/>
    <w:rsid w:val="00146895"/>
    <w:rsid w:val="00152469"/>
    <w:rsid w:val="001553C7"/>
    <w:rsid w:val="00173031"/>
    <w:rsid w:val="00173E6F"/>
    <w:rsid w:val="00176C6E"/>
    <w:rsid w:val="001811EF"/>
    <w:rsid w:val="001903A6"/>
    <w:rsid w:val="00191363"/>
    <w:rsid w:val="00197B08"/>
    <w:rsid w:val="001B15FF"/>
    <w:rsid w:val="001B1E3B"/>
    <w:rsid w:val="001C089E"/>
    <w:rsid w:val="001C1341"/>
    <w:rsid w:val="001D144C"/>
    <w:rsid w:val="001D16EC"/>
    <w:rsid w:val="001D1F58"/>
    <w:rsid w:val="001D2592"/>
    <w:rsid w:val="001D4EF2"/>
    <w:rsid w:val="001F081F"/>
    <w:rsid w:val="001F4F6F"/>
    <w:rsid w:val="001F6B6C"/>
    <w:rsid w:val="00205B32"/>
    <w:rsid w:val="00222EAC"/>
    <w:rsid w:val="002245C6"/>
    <w:rsid w:val="002374A8"/>
    <w:rsid w:val="00245AE3"/>
    <w:rsid w:val="00250EB3"/>
    <w:rsid w:val="0025103A"/>
    <w:rsid w:val="00252E90"/>
    <w:rsid w:val="00257789"/>
    <w:rsid w:val="00262459"/>
    <w:rsid w:val="002803C1"/>
    <w:rsid w:val="002822EE"/>
    <w:rsid w:val="00282C4B"/>
    <w:rsid w:val="00292818"/>
    <w:rsid w:val="0029556E"/>
    <w:rsid w:val="002A56CD"/>
    <w:rsid w:val="002A5F7A"/>
    <w:rsid w:val="002A77FD"/>
    <w:rsid w:val="002B1AC0"/>
    <w:rsid w:val="002B26D6"/>
    <w:rsid w:val="002B37B4"/>
    <w:rsid w:val="002B6928"/>
    <w:rsid w:val="002B6936"/>
    <w:rsid w:val="002B7583"/>
    <w:rsid w:val="002C2F56"/>
    <w:rsid w:val="002C6CD5"/>
    <w:rsid w:val="002D5FE8"/>
    <w:rsid w:val="002E7064"/>
    <w:rsid w:val="002E7343"/>
    <w:rsid w:val="002F41F5"/>
    <w:rsid w:val="002F4F17"/>
    <w:rsid w:val="002F7732"/>
    <w:rsid w:val="00311C03"/>
    <w:rsid w:val="003122D0"/>
    <w:rsid w:val="00312823"/>
    <w:rsid w:val="0031594D"/>
    <w:rsid w:val="00317C07"/>
    <w:rsid w:val="003241B5"/>
    <w:rsid w:val="0032513A"/>
    <w:rsid w:val="003267D1"/>
    <w:rsid w:val="00333475"/>
    <w:rsid w:val="00337CAC"/>
    <w:rsid w:val="003557C6"/>
    <w:rsid w:val="00361899"/>
    <w:rsid w:val="00364B9C"/>
    <w:rsid w:val="00372E18"/>
    <w:rsid w:val="00381232"/>
    <w:rsid w:val="00386328"/>
    <w:rsid w:val="00391354"/>
    <w:rsid w:val="003922DC"/>
    <w:rsid w:val="003927DA"/>
    <w:rsid w:val="00397E79"/>
    <w:rsid w:val="003A3275"/>
    <w:rsid w:val="003A4FAC"/>
    <w:rsid w:val="003A6DEA"/>
    <w:rsid w:val="003B0F76"/>
    <w:rsid w:val="003C2017"/>
    <w:rsid w:val="003C23CA"/>
    <w:rsid w:val="003C5255"/>
    <w:rsid w:val="003D1799"/>
    <w:rsid w:val="003E0DC9"/>
    <w:rsid w:val="003F7BA2"/>
    <w:rsid w:val="004022CC"/>
    <w:rsid w:val="00405A04"/>
    <w:rsid w:val="004101D9"/>
    <w:rsid w:val="00414F53"/>
    <w:rsid w:val="004163C1"/>
    <w:rsid w:val="00421E6D"/>
    <w:rsid w:val="00423469"/>
    <w:rsid w:val="00441936"/>
    <w:rsid w:val="00446BBD"/>
    <w:rsid w:val="00460252"/>
    <w:rsid w:val="0046415C"/>
    <w:rsid w:val="00464AD5"/>
    <w:rsid w:val="0047254A"/>
    <w:rsid w:val="00473268"/>
    <w:rsid w:val="0047513B"/>
    <w:rsid w:val="0047686E"/>
    <w:rsid w:val="00484E9A"/>
    <w:rsid w:val="00484F09"/>
    <w:rsid w:val="004A2AE8"/>
    <w:rsid w:val="004C16F6"/>
    <w:rsid w:val="004E1898"/>
    <w:rsid w:val="004E71DE"/>
    <w:rsid w:val="004F1DC0"/>
    <w:rsid w:val="004F1F67"/>
    <w:rsid w:val="00500614"/>
    <w:rsid w:val="00506ECA"/>
    <w:rsid w:val="005126B5"/>
    <w:rsid w:val="00514A4F"/>
    <w:rsid w:val="00517D42"/>
    <w:rsid w:val="00517DFE"/>
    <w:rsid w:val="005257E2"/>
    <w:rsid w:val="00532FDC"/>
    <w:rsid w:val="00547904"/>
    <w:rsid w:val="00551286"/>
    <w:rsid w:val="00551984"/>
    <w:rsid w:val="00562D61"/>
    <w:rsid w:val="0056493F"/>
    <w:rsid w:val="005678E4"/>
    <w:rsid w:val="00571091"/>
    <w:rsid w:val="0058245E"/>
    <w:rsid w:val="00583625"/>
    <w:rsid w:val="005838DC"/>
    <w:rsid w:val="005843C9"/>
    <w:rsid w:val="00593761"/>
    <w:rsid w:val="00596B90"/>
    <w:rsid w:val="005A0B47"/>
    <w:rsid w:val="005A2385"/>
    <w:rsid w:val="005A2676"/>
    <w:rsid w:val="005A26BE"/>
    <w:rsid w:val="005A5F67"/>
    <w:rsid w:val="005B1AD9"/>
    <w:rsid w:val="005C1C30"/>
    <w:rsid w:val="005E1B2B"/>
    <w:rsid w:val="005E4310"/>
    <w:rsid w:val="005E646B"/>
    <w:rsid w:val="005F6988"/>
    <w:rsid w:val="0061774E"/>
    <w:rsid w:val="00623BDF"/>
    <w:rsid w:val="006270C1"/>
    <w:rsid w:val="00631D25"/>
    <w:rsid w:val="006360A5"/>
    <w:rsid w:val="0065253F"/>
    <w:rsid w:val="006637DB"/>
    <w:rsid w:val="00664F3A"/>
    <w:rsid w:val="00677886"/>
    <w:rsid w:val="00692FC1"/>
    <w:rsid w:val="00694B83"/>
    <w:rsid w:val="006B0E7D"/>
    <w:rsid w:val="006B154E"/>
    <w:rsid w:val="006B50BE"/>
    <w:rsid w:val="006D2CD4"/>
    <w:rsid w:val="006D4FEE"/>
    <w:rsid w:val="006E1027"/>
    <w:rsid w:val="006E4574"/>
    <w:rsid w:val="006E79EE"/>
    <w:rsid w:val="006F49CD"/>
    <w:rsid w:val="00700C37"/>
    <w:rsid w:val="00701551"/>
    <w:rsid w:val="007026B3"/>
    <w:rsid w:val="00707359"/>
    <w:rsid w:val="007135F4"/>
    <w:rsid w:val="0071368B"/>
    <w:rsid w:val="00713EDB"/>
    <w:rsid w:val="007215A6"/>
    <w:rsid w:val="007225E1"/>
    <w:rsid w:val="00743976"/>
    <w:rsid w:val="00743DF8"/>
    <w:rsid w:val="0075156F"/>
    <w:rsid w:val="007606B1"/>
    <w:rsid w:val="0076240F"/>
    <w:rsid w:val="00762545"/>
    <w:rsid w:val="00766956"/>
    <w:rsid w:val="00771434"/>
    <w:rsid w:val="00771777"/>
    <w:rsid w:val="00775DD5"/>
    <w:rsid w:val="00781C21"/>
    <w:rsid w:val="00782301"/>
    <w:rsid w:val="00783078"/>
    <w:rsid w:val="00783C5D"/>
    <w:rsid w:val="0079477E"/>
    <w:rsid w:val="0079579B"/>
    <w:rsid w:val="00797365"/>
    <w:rsid w:val="00797BC3"/>
    <w:rsid w:val="00797CA4"/>
    <w:rsid w:val="007A0F83"/>
    <w:rsid w:val="007B5B0D"/>
    <w:rsid w:val="007B7FBB"/>
    <w:rsid w:val="007C13B2"/>
    <w:rsid w:val="007C15E1"/>
    <w:rsid w:val="007C7758"/>
    <w:rsid w:val="007E1A9B"/>
    <w:rsid w:val="007E3368"/>
    <w:rsid w:val="007E5AB1"/>
    <w:rsid w:val="007E75A6"/>
    <w:rsid w:val="007F752B"/>
    <w:rsid w:val="007F782D"/>
    <w:rsid w:val="008040AD"/>
    <w:rsid w:val="00804477"/>
    <w:rsid w:val="0081078D"/>
    <w:rsid w:val="00810DBD"/>
    <w:rsid w:val="00812858"/>
    <w:rsid w:val="00813303"/>
    <w:rsid w:val="00820CC6"/>
    <w:rsid w:val="008231CD"/>
    <w:rsid w:val="00824392"/>
    <w:rsid w:val="00834C46"/>
    <w:rsid w:val="00841E93"/>
    <w:rsid w:val="00847E09"/>
    <w:rsid w:val="00854197"/>
    <w:rsid w:val="00864BBA"/>
    <w:rsid w:val="00874A9B"/>
    <w:rsid w:val="008753FF"/>
    <w:rsid w:val="00881DF8"/>
    <w:rsid w:val="00884778"/>
    <w:rsid w:val="00895641"/>
    <w:rsid w:val="00896B30"/>
    <w:rsid w:val="008A0990"/>
    <w:rsid w:val="008A0FE5"/>
    <w:rsid w:val="008A52E0"/>
    <w:rsid w:val="008A6002"/>
    <w:rsid w:val="008A6C06"/>
    <w:rsid w:val="008A6CB3"/>
    <w:rsid w:val="008A6F1C"/>
    <w:rsid w:val="008B69AB"/>
    <w:rsid w:val="008C326E"/>
    <w:rsid w:val="008C69E7"/>
    <w:rsid w:val="008C78BB"/>
    <w:rsid w:val="008D1873"/>
    <w:rsid w:val="008D3A08"/>
    <w:rsid w:val="008D3E07"/>
    <w:rsid w:val="008D6865"/>
    <w:rsid w:val="008E008E"/>
    <w:rsid w:val="008E3FD9"/>
    <w:rsid w:val="008E75A1"/>
    <w:rsid w:val="00902FF4"/>
    <w:rsid w:val="00903C98"/>
    <w:rsid w:val="0091162A"/>
    <w:rsid w:val="0091351B"/>
    <w:rsid w:val="009163AA"/>
    <w:rsid w:val="00920A0D"/>
    <w:rsid w:val="0093006E"/>
    <w:rsid w:val="00933D58"/>
    <w:rsid w:val="00937246"/>
    <w:rsid w:val="00941CDC"/>
    <w:rsid w:val="00942D5D"/>
    <w:rsid w:val="0097364F"/>
    <w:rsid w:val="009742D3"/>
    <w:rsid w:val="009777A5"/>
    <w:rsid w:val="009846F7"/>
    <w:rsid w:val="00984B82"/>
    <w:rsid w:val="009914E8"/>
    <w:rsid w:val="00992279"/>
    <w:rsid w:val="00993961"/>
    <w:rsid w:val="00997F91"/>
    <w:rsid w:val="009A0D81"/>
    <w:rsid w:val="009D7A85"/>
    <w:rsid w:val="00A13BE3"/>
    <w:rsid w:val="00A15D7D"/>
    <w:rsid w:val="00A26CAC"/>
    <w:rsid w:val="00A32C2C"/>
    <w:rsid w:val="00A34209"/>
    <w:rsid w:val="00A35898"/>
    <w:rsid w:val="00A36BD4"/>
    <w:rsid w:val="00A520DD"/>
    <w:rsid w:val="00A530D1"/>
    <w:rsid w:val="00A55D4E"/>
    <w:rsid w:val="00A63A19"/>
    <w:rsid w:val="00A675F4"/>
    <w:rsid w:val="00A70CE7"/>
    <w:rsid w:val="00A71DB3"/>
    <w:rsid w:val="00A73A53"/>
    <w:rsid w:val="00A7621C"/>
    <w:rsid w:val="00A964F3"/>
    <w:rsid w:val="00A969A5"/>
    <w:rsid w:val="00A96DAD"/>
    <w:rsid w:val="00A97AA4"/>
    <w:rsid w:val="00AA0745"/>
    <w:rsid w:val="00AA53C0"/>
    <w:rsid w:val="00AA567E"/>
    <w:rsid w:val="00AA64EE"/>
    <w:rsid w:val="00AB0CA2"/>
    <w:rsid w:val="00AB467F"/>
    <w:rsid w:val="00AB5449"/>
    <w:rsid w:val="00AC2903"/>
    <w:rsid w:val="00AC41C0"/>
    <w:rsid w:val="00AC42FA"/>
    <w:rsid w:val="00AC6A54"/>
    <w:rsid w:val="00AD412D"/>
    <w:rsid w:val="00AF550D"/>
    <w:rsid w:val="00B105BF"/>
    <w:rsid w:val="00B124FF"/>
    <w:rsid w:val="00B168D1"/>
    <w:rsid w:val="00B16D26"/>
    <w:rsid w:val="00B3084B"/>
    <w:rsid w:val="00B37B92"/>
    <w:rsid w:val="00B420C2"/>
    <w:rsid w:val="00B468F9"/>
    <w:rsid w:val="00B51967"/>
    <w:rsid w:val="00B57B4E"/>
    <w:rsid w:val="00B57CC9"/>
    <w:rsid w:val="00B6187D"/>
    <w:rsid w:val="00B67700"/>
    <w:rsid w:val="00B67868"/>
    <w:rsid w:val="00B83ADD"/>
    <w:rsid w:val="00B853BC"/>
    <w:rsid w:val="00B928FC"/>
    <w:rsid w:val="00B92F44"/>
    <w:rsid w:val="00B97861"/>
    <w:rsid w:val="00BA1487"/>
    <w:rsid w:val="00BA1F55"/>
    <w:rsid w:val="00BB3D4F"/>
    <w:rsid w:val="00BC5B99"/>
    <w:rsid w:val="00BD7B7C"/>
    <w:rsid w:val="00BE38EB"/>
    <w:rsid w:val="00BE3E92"/>
    <w:rsid w:val="00BE4549"/>
    <w:rsid w:val="00BF218B"/>
    <w:rsid w:val="00BF766D"/>
    <w:rsid w:val="00C01733"/>
    <w:rsid w:val="00C02DEF"/>
    <w:rsid w:val="00C035A2"/>
    <w:rsid w:val="00C113F0"/>
    <w:rsid w:val="00C11FF5"/>
    <w:rsid w:val="00C16EF2"/>
    <w:rsid w:val="00C2073A"/>
    <w:rsid w:val="00C2084F"/>
    <w:rsid w:val="00C235C2"/>
    <w:rsid w:val="00C25482"/>
    <w:rsid w:val="00C32110"/>
    <w:rsid w:val="00C348FC"/>
    <w:rsid w:val="00C35F65"/>
    <w:rsid w:val="00C428AB"/>
    <w:rsid w:val="00C54673"/>
    <w:rsid w:val="00C60F47"/>
    <w:rsid w:val="00C615CF"/>
    <w:rsid w:val="00C66A53"/>
    <w:rsid w:val="00C820B1"/>
    <w:rsid w:val="00C84CD9"/>
    <w:rsid w:val="00C879A2"/>
    <w:rsid w:val="00C97463"/>
    <w:rsid w:val="00CA01F3"/>
    <w:rsid w:val="00CA0B9A"/>
    <w:rsid w:val="00CA70CD"/>
    <w:rsid w:val="00CB1C63"/>
    <w:rsid w:val="00CC0B16"/>
    <w:rsid w:val="00CC41D9"/>
    <w:rsid w:val="00CC4C10"/>
    <w:rsid w:val="00CC55EB"/>
    <w:rsid w:val="00CC6316"/>
    <w:rsid w:val="00CD0C43"/>
    <w:rsid w:val="00CE0BB8"/>
    <w:rsid w:val="00CE2102"/>
    <w:rsid w:val="00CE451D"/>
    <w:rsid w:val="00CF02FA"/>
    <w:rsid w:val="00CF4441"/>
    <w:rsid w:val="00D00D15"/>
    <w:rsid w:val="00D053D9"/>
    <w:rsid w:val="00D10E74"/>
    <w:rsid w:val="00D14785"/>
    <w:rsid w:val="00D17C99"/>
    <w:rsid w:val="00D22BF2"/>
    <w:rsid w:val="00D23944"/>
    <w:rsid w:val="00D23948"/>
    <w:rsid w:val="00D272F9"/>
    <w:rsid w:val="00D305F3"/>
    <w:rsid w:val="00D45D9F"/>
    <w:rsid w:val="00D46EF7"/>
    <w:rsid w:val="00D53628"/>
    <w:rsid w:val="00D60ADE"/>
    <w:rsid w:val="00D60C19"/>
    <w:rsid w:val="00D61D55"/>
    <w:rsid w:val="00D7109F"/>
    <w:rsid w:val="00D75793"/>
    <w:rsid w:val="00D8775C"/>
    <w:rsid w:val="00D93D8D"/>
    <w:rsid w:val="00D940EB"/>
    <w:rsid w:val="00D941EC"/>
    <w:rsid w:val="00D94343"/>
    <w:rsid w:val="00D96364"/>
    <w:rsid w:val="00D9648E"/>
    <w:rsid w:val="00DA2672"/>
    <w:rsid w:val="00DA7926"/>
    <w:rsid w:val="00DC11D2"/>
    <w:rsid w:val="00DC29E4"/>
    <w:rsid w:val="00DC48B8"/>
    <w:rsid w:val="00DD24E5"/>
    <w:rsid w:val="00DD29D4"/>
    <w:rsid w:val="00DD2B7A"/>
    <w:rsid w:val="00DD2E65"/>
    <w:rsid w:val="00DE188B"/>
    <w:rsid w:val="00DE1BB2"/>
    <w:rsid w:val="00DE27F9"/>
    <w:rsid w:val="00DE41C9"/>
    <w:rsid w:val="00DF1251"/>
    <w:rsid w:val="00DF1378"/>
    <w:rsid w:val="00DF2EF0"/>
    <w:rsid w:val="00DF4CD8"/>
    <w:rsid w:val="00DF5693"/>
    <w:rsid w:val="00DF65C0"/>
    <w:rsid w:val="00E02EA4"/>
    <w:rsid w:val="00E105A8"/>
    <w:rsid w:val="00E146AB"/>
    <w:rsid w:val="00E21341"/>
    <w:rsid w:val="00E232F2"/>
    <w:rsid w:val="00E2454E"/>
    <w:rsid w:val="00E27F42"/>
    <w:rsid w:val="00E35C3B"/>
    <w:rsid w:val="00E609A0"/>
    <w:rsid w:val="00E64312"/>
    <w:rsid w:val="00E64BC6"/>
    <w:rsid w:val="00E67352"/>
    <w:rsid w:val="00E73E39"/>
    <w:rsid w:val="00E80375"/>
    <w:rsid w:val="00E825B9"/>
    <w:rsid w:val="00E843EF"/>
    <w:rsid w:val="00E92C8E"/>
    <w:rsid w:val="00E97948"/>
    <w:rsid w:val="00EA353B"/>
    <w:rsid w:val="00EA5006"/>
    <w:rsid w:val="00EA6FD8"/>
    <w:rsid w:val="00EB2F15"/>
    <w:rsid w:val="00EB6B52"/>
    <w:rsid w:val="00EC106D"/>
    <w:rsid w:val="00EC5DF2"/>
    <w:rsid w:val="00ED2616"/>
    <w:rsid w:val="00ED2BA9"/>
    <w:rsid w:val="00ED2DE6"/>
    <w:rsid w:val="00ED4BD7"/>
    <w:rsid w:val="00ED734C"/>
    <w:rsid w:val="00EF5D66"/>
    <w:rsid w:val="00F2029D"/>
    <w:rsid w:val="00F25AFE"/>
    <w:rsid w:val="00F36F0D"/>
    <w:rsid w:val="00F40B35"/>
    <w:rsid w:val="00F4546E"/>
    <w:rsid w:val="00F45B19"/>
    <w:rsid w:val="00F517DF"/>
    <w:rsid w:val="00F55D81"/>
    <w:rsid w:val="00F60FAA"/>
    <w:rsid w:val="00F61219"/>
    <w:rsid w:val="00F64D5A"/>
    <w:rsid w:val="00F668DA"/>
    <w:rsid w:val="00F75CF1"/>
    <w:rsid w:val="00FA05FF"/>
    <w:rsid w:val="00FA1393"/>
    <w:rsid w:val="00FA46D8"/>
    <w:rsid w:val="00FB21D0"/>
    <w:rsid w:val="00FB25C5"/>
    <w:rsid w:val="00FB78BE"/>
    <w:rsid w:val="00FD2496"/>
    <w:rsid w:val="00FE5924"/>
    <w:rsid w:val="00FE7165"/>
    <w:rsid w:val="00FE780B"/>
    <w:rsid w:val="00FF1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D45D28"/>
  <w14:defaultImageDpi w14:val="32767"/>
  <w15:docId w15:val="{217ACF3B-F8C4-F04E-8DE2-3F46BD56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54E"/>
    <w:rPr>
      <w:rFonts w:ascii="Times New Roman" w:eastAsia="Times New Roman" w:hAnsi="Times New Roman" w:cs="Times New Roman"/>
    </w:rPr>
  </w:style>
  <w:style w:type="paragraph" w:styleId="Heading1">
    <w:name w:val="heading 1"/>
    <w:basedOn w:val="Normal"/>
    <w:next w:val="Normal"/>
    <w:link w:val="Heading1Char"/>
    <w:uiPriority w:val="9"/>
    <w:qFormat/>
    <w:rsid w:val="0031594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881DF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3267D1"/>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76C6E"/>
    <w:rPr>
      <w:lang w:val="da-DK" w:eastAsia="da-DK"/>
    </w:rPr>
  </w:style>
  <w:style w:type="character" w:customStyle="1" w:styleId="FootnoteTextChar">
    <w:name w:val="Footnote Text Char"/>
    <w:basedOn w:val="DefaultParagraphFont"/>
    <w:link w:val="FootnoteText"/>
    <w:uiPriority w:val="99"/>
    <w:rsid w:val="00176C6E"/>
  </w:style>
  <w:style w:type="character" w:styleId="FootnoteReference">
    <w:name w:val="footnote reference"/>
    <w:basedOn w:val="DefaultParagraphFont"/>
    <w:uiPriority w:val="99"/>
    <w:unhideWhenUsed/>
    <w:rsid w:val="00176C6E"/>
    <w:rPr>
      <w:vertAlign w:val="superscript"/>
    </w:rPr>
  </w:style>
  <w:style w:type="paragraph" w:styleId="EndnoteText">
    <w:name w:val="endnote text"/>
    <w:basedOn w:val="Normal"/>
    <w:link w:val="EndnoteTextChar"/>
    <w:uiPriority w:val="99"/>
    <w:semiHidden/>
    <w:unhideWhenUsed/>
    <w:rsid w:val="00176C6E"/>
    <w:rPr>
      <w:sz w:val="20"/>
      <w:szCs w:val="20"/>
    </w:rPr>
  </w:style>
  <w:style w:type="character" w:customStyle="1" w:styleId="EndnoteTextChar">
    <w:name w:val="Endnote Text Char"/>
    <w:basedOn w:val="DefaultParagraphFont"/>
    <w:link w:val="EndnoteText"/>
    <w:uiPriority w:val="99"/>
    <w:semiHidden/>
    <w:rsid w:val="00176C6E"/>
    <w:rPr>
      <w:sz w:val="20"/>
      <w:szCs w:val="20"/>
    </w:rPr>
  </w:style>
  <w:style w:type="character" w:styleId="EndnoteReference">
    <w:name w:val="endnote reference"/>
    <w:basedOn w:val="DefaultParagraphFont"/>
    <w:uiPriority w:val="99"/>
    <w:semiHidden/>
    <w:unhideWhenUsed/>
    <w:rsid w:val="00176C6E"/>
    <w:rPr>
      <w:vertAlign w:val="superscript"/>
    </w:rPr>
  </w:style>
  <w:style w:type="character" w:styleId="Hyperlink">
    <w:name w:val="Hyperlink"/>
    <w:basedOn w:val="DefaultParagraphFont"/>
    <w:uiPriority w:val="99"/>
    <w:unhideWhenUsed/>
    <w:rsid w:val="00176C6E"/>
    <w:rPr>
      <w:color w:val="0000FF"/>
      <w:u w:val="single"/>
    </w:rPr>
  </w:style>
  <w:style w:type="character" w:customStyle="1" w:styleId="apple-converted-space">
    <w:name w:val="apple-converted-space"/>
    <w:basedOn w:val="DefaultParagraphFont"/>
    <w:rsid w:val="00176C6E"/>
  </w:style>
  <w:style w:type="character" w:customStyle="1" w:styleId="nlmarticle-title">
    <w:name w:val="nlm_article-title"/>
    <w:basedOn w:val="DefaultParagraphFont"/>
    <w:rsid w:val="00176C6E"/>
  </w:style>
  <w:style w:type="character" w:customStyle="1" w:styleId="contribdegrees">
    <w:name w:val="contribdegrees"/>
    <w:basedOn w:val="DefaultParagraphFont"/>
    <w:rsid w:val="00176C6E"/>
  </w:style>
  <w:style w:type="character" w:customStyle="1" w:styleId="authors">
    <w:name w:val="authors"/>
    <w:basedOn w:val="DefaultParagraphFont"/>
    <w:rsid w:val="00D00D15"/>
  </w:style>
  <w:style w:type="character" w:customStyle="1" w:styleId="Dato1">
    <w:name w:val="Dato1"/>
    <w:basedOn w:val="DefaultParagraphFont"/>
    <w:rsid w:val="00D00D15"/>
  </w:style>
  <w:style w:type="character" w:customStyle="1" w:styleId="arttitle">
    <w:name w:val="art_title"/>
    <w:basedOn w:val="DefaultParagraphFont"/>
    <w:rsid w:val="00D00D15"/>
  </w:style>
  <w:style w:type="character" w:customStyle="1" w:styleId="serialtitle">
    <w:name w:val="serial_title"/>
    <w:basedOn w:val="DefaultParagraphFont"/>
    <w:rsid w:val="00D00D15"/>
  </w:style>
  <w:style w:type="character" w:customStyle="1" w:styleId="volumeissue">
    <w:name w:val="volume_issue"/>
    <w:basedOn w:val="DefaultParagraphFont"/>
    <w:rsid w:val="00D00D15"/>
  </w:style>
  <w:style w:type="character" w:customStyle="1" w:styleId="pagerange">
    <w:name w:val="page_range"/>
    <w:basedOn w:val="DefaultParagraphFont"/>
    <w:rsid w:val="00D00D15"/>
  </w:style>
  <w:style w:type="character" w:customStyle="1" w:styleId="doilink">
    <w:name w:val="doi_link"/>
    <w:basedOn w:val="DefaultParagraphFont"/>
    <w:rsid w:val="00D00D15"/>
  </w:style>
  <w:style w:type="character" w:customStyle="1" w:styleId="hlfld-contribauthor">
    <w:name w:val="hlfld-contribauthor"/>
    <w:basedOn w:val="DefaultParagraphFont"/>
    <w:rsid w:val="00BE3E92"/>
  </w:style>
  <w:style w:type="character" w:customStyle="1" w:styleId="nlmgiven-names">
    <w:name w:val="nlm_given-names"/>
    <w:basedOn w:val="DefaultParagraphFont"/>
    <w:rsid w:val="00BE3E92"/>
  </w:style>
  <w:style w:type="character" w:customStyle="1" w:styleId="nlmchapter-title">
    <w:name w:val="nlm_chapter-title"/>
    <w:basedOn w:val="DefaultParagraphFont"/>
    <w:rsid w:val="00BE3E92"/>
  </w:style>
  <w:style w:type="character" w:customStyle="1" w:styleId="nlmfpage">
    <w:name w:val="nlm_fpage"/>
    <w:basedOn w:val="DefaultParagraphFont"/>
    <w:rsid w:val="00BE3E92"/>
  </w:style>
  <w:style w:type="character" w:customStyle="1" w:styleId="nlmlpage">
    <w:name w:val="nlm_lpage"/>
    <w:basedOn w:val="DefaultParagraphFont"/>
    <w:rsid w:val="00BE3E92"/>
  </w:style>
  <w:style w:type="character" w:customStyle="1" w:styleId="nlmpublisher-loc">
    <w:name w:val="nlm_publisher-loc"/>
    <w:basedOn w:val="DefaultParagraphFont"/>
    <w:rsid w:val="00BE3E92"/>
  </w:style>
  <w:style w:type="character" w:customStyle="1" w:styleId="nlmpublisher-name">
    <w:name w:val="nlm_publisher-name"/>
    <w:basedOn w:val="DefaultParagraphFont"/>
    <w:rsid w:val="00BE3E92"/>
  </w:style>
  <w:style w:type="character" w:customStyle="1" w:styleId="nlmyear">
    <w:name w:val="nlm_year"/>
    <w:basedOn w:val="DefaultParagraphFont"/>
    <w:rsid w:val="00BE3E92"/>
  </w:style>
  <w:style w:type="character" w:styleId="CommentReference">
    <w:name w:val="annotation reference"/>
    <w:basedOn w:val="DefaultParagraphFont"/>
    <w:uiPriority w:val="99"/>
    <w:semiHidden/>
    <w:unhideWhenUsed/>
    <w:rsid w:val="00C235C2"/>
    <w:rPr>
      <w:sz w:val="16"/>
      <w:szCs w:val="16"/>
    </w:rPr>
  </w:style>
  <w:style w:type="paragraph" w:styleId="CommentText">
    <w:name w:val="annotation text"/>
    <w:basedOn w:val="Normal"/>
    <w:link w:val="CommentTextChar"/>
    <w:uiPriority w:val="99"/>
    <w:unhideWhenUsed/>
    <w:rsid w:val="00C235C2"/>
    <w:pPr>
      <w:ind w:firstLine="720"/>
      <w:jc w:val="center"/>
    </w:pPr>
    <w:rPr>
      <w:rFonts w:eastAsiaTheme="minorHAnsi" w:cs="Times New Roman (Body CS)"/>
      <w:sz w:val="20"/>
      <w:szCs w:val="20"/>
    </w:rPr>
  </w:style>
  <w:style w:type="character" w:customStyle="1" w:styleId="CommentTextChar">
    <w:name w:val="Comment Text Char"/>
    <w:basedOn w:val="DefaultParagraphFont"/>
    <w:link w:val="CommentText"/>
    <w:uiPriority w:val="99"/>
    <w:rsid w:val="00C235C2"/>
    <w:rPr>
      <w:rFonts w:ascii="Times New Roman" w:hAnsi="Times New Roman" w:cs="Times New Roman (Body CS)"/>
      <w:sz w:val="20"/>
      <w:szCs w:val="20"/>
    </w:rPr>
  </w:style>
  <w:style w:type="paragraph" w:styleId="BalloonText">
    <w:name w:val="Balloon Text"/>
    <w:basedOn w:val="Normal"/>
    <w:link w:val="BalloonTextChar"/>
    <w:uiPriority w:val="99"/>
    <w:semiHidden/>
    <w:unhideWhenUsed/>
    <w:rsid w:val="00C235C2"/>
    <w:rPr>
      <w:sz w:val="18"/>
      <w:szCs w:val="18"/>
      <w:lang w:val="da-DK" w:eastAsia="da-DK"/>
    </w:rPr>
  </w:style>
  <w:style w:type="character" w:customStyle="1" w:styleId="BalloonTextChar">
    <w:name w:val="Balloon Text Char"/>
    <w:basedOn w:val="DefaultParagraphFont"/>
    <w:link w:val="BalloonText"/>
    <w:uiPriority w:val="99"/>
    <w:semiHidden/>
    <w:rsid w:val="00C235C2"/>
    <w:rPr>
      <w:rFonts w:ascii="Times New Roman" w:eastAsia="Times New Roman" w:hAnsi="Times New Roman" w:cs="Times New Roman"/>
      <w:sz w:val="18"/>
      <w:szCs w:val="18"/>
      <w:lang w:val="da-DK" w:eastAsia="da-DK"/>
    </w:rPr>
  </w:style>
  <w:style w:type="paragraph" w:styleId="CommentSubject">
    <w:name w:val="annotation subject"/>
    <w:basedOn w:val="CommentText"/>
    <w:next w:val="CommentText"/>
    <w:link w:val="CommentSubjectChar"/>
    <w:uiPriority w:val="99"/>
    <w:semiHidden/>
    <w:unhideWhenUsed/>
    <w:rsid w:val="00125720"/>
    <w:pPr>
      <w:ind w:firstLine="0"/>
      <w:jc w:val="left"/>
    </w:pPr>
    <w:rPr>
      <w:rFonts w:eastAsia="Times New Roman" w:cs="Times New Roman"/>
      <w:b/>
      <w:bCs/>
      <w:lang w:val="da-DK" w:eastAsia="da-DK"/>
    </w:rPr>
  </w:style>
  <w:style w:type="character" w:customStyle="1" w:styleId="CommentSubjectChar">
    <w:name w:val="Comment Subject Char"/>
    <w:basedOn w:val="CommentTextChar"/>
    <w:link w:val="CommentSubject"/>
    <w:uiPriority w:val="99"/>
    <w:semiHidden/>
    <w:rsid w:val="00125720"/>
    <w:rPr>
      <w:rFonts w:ascii="Times New Roman" w:eastAsia="Times New Roman" w:hAnsi="Times New Roman" w:cs="Times New Roman"/>
      <w:b/>
      <w:bCs/>
      <w:sz w:val="20"/>
      <w:szCs w:val="20"/>
      <w:lang w:val="da-DK" w:eastAsia="da-DK"/>
    </w:rPr>
  </w:style>
  <w:style w:type="character" w:styleId="Emphasis">
    <w:name w:val="Emphasis"/>
    <w:basedOn w:val="DefaultParagraphFont"/>
    <w:uiPriority w:val="20"/>
    <w:qFormat/>
    <w:rsid w:val="00E2454E"/>
    <w:rPr>
      <w:i/>
      <w:iCs/>
    </w:rPr>
  </w:style>
  <w:style w:type="character" w:styleId="HTMLCite">
    <w:name w:val="HTML Cite"/>
    <w:basedOn w:val="DefaultParagraphFont"/>
    <w:uiPriority w:val="99"/>
    <w:semiHidden/>
    <w:unhideWhenUsed/>
    <w:rsid w:val="00DD2B7A"/>
    <w:rPr>
      <w:i/>
      <w:iCs/>
    </w:rPr>
  </w:style>
  <w:style w:type="character" w:customStyle="1" w:styleId="fn">
    <w:name w:val="fn"/>
    <w:basedOn w:val="DefaultParagraphFont"/>
    <w:rsid w:val="001B1E3B"/>
  </w:style>
  <w:style w:type="character" w:customStyle="1" w:styleId="Subtitle1">
    <w:name w:val="Subtitle1"/>
    <w:basedOn w:val="DefaultParagraphFont"/>
    <w:rsid w:val="001B1E3B"/>
  </w:style>
  <w:style w:type="character" w:customStyle="1" w:styleId="Heading2Char">
    <w:name w:val="Heading 2 Char"/>
    <w:basedOn w:val="DefaultParagraphFont"/>
    <w:link w:val="Heading2"/>
    <w:uiPriority w:val="9"/>
    <w:rsid w:val="00881DF8"/>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31594D"/>
    <w:rPr>
      <w:rFonts w:asciiTheme="majorHAnsi" w:eastAsiaTheme="majorEastAsia" w:hAnsiTheme="majorHAnsi" w:cstheme="majorBidi"/>
      <w:b/>
      <w:bCs/>
      <w:color w:val="2F5496" w:themeColor="accent1" w:themeShade="BF"/>
      <w:sz w:val="28"/>
      <w:szCs w:val="28"/>
    </w:rPr>
  </w:style>
  <w:style w:type="character" w:customStyle="1" w:styleId="nlmsource">
    <w:name w:val="nlm_source"/>
    <w:basedOn w:val="DefaultParagraphFont"/>
    <w:rsid w:val="0031594D"/>
  </w:style>
  <w:style w:type="character" w:customStyle="1" w:styleId="nlmsourcecontrib">
    <w:name w:val="nlm_source_contrib"/>
    <w:basedOn w:val="DefaultParagraphFont"/>
    <w:rsid w:val="0031594D"/>
  </w:style>
  <w:style w:type="character" w:customStyle="1" w:styleId="journaltitle">
    <w:name w:val="journaltitle"/>
    <w:basedOn w:val="DefaultParagraphFont"/>
    <w:rsid w:val="00146895"/>
  </w:style>
  <w:style w:type="character" w:customStyle="1" w:styleId="articlecitationyear">
    <w:name w:val="articlecitation_year"/>
    <w:basedOn w:val="DefaultParagraphFont"/>
    <w:rsid w:val="00146895"/>
  </w:style>
  <w:style w:type="character" w:customStyle="1" w:styleId="articlecitationvolume">
    <w:name w:val="articlecitation_volume"/>
    <w:basedOn w:val="DefaultParagraphFont"/>
    <w:rsid w:val="00146895"/>
  </w:style>
  <w:style w:type="character" w:customStyle="1" w:styleId="articlecitationpages">
    <w:name w:val="articlecitation_pages"/>
    <w:basedOn w:val="DefaultParagraphFont"/>
    <w:rsid w:val="00146895"/>
  </w:style>
  <w:style w:type="character" w:customStyle="1" w:styleId="u-inline-block">
    <w:name w:val="u-inline-block"/>
    <w:basedOn w:val="DefaultParagraphFont"/>
    <w:rsid w:val="00146895"/>
  </w:style>
  <w:style w:type="character" w:customStyle="1" w:styleId="current-selection">
    <w:name w:val="current-selection"/>
    <w:basedOn w:val="DefaultParagraphFont"/>
    <w:rsid w:val="00146895"/>
  </w:style>
  <w:style w:type="character" w:customStyle="1" w:styleId="Heading3Char">
    <w:name w:val="Heading 3 Char"/>
    <w:basedOn w:val="DefaultParagraphFont"/>
    <w:link w:val="Heading3"/>
    <w:uiPriority w:val="9"/>
    <w:semiHidden/>
    <w:rsid w:val="003267D1"/>
    <w:rPr>
      <w:rFonts w:asciiTheme="majorHAnsi" w:eastAsiaTheme="majorEastAsia" w:hAnsiTheme="majorHAnsi" w:cstheme="majorBidi"/>
      <w:b/>
      <w:bCs/>
      <w:color w:val="4472C4" w:themeColor="accent1"/>
    </w:rPr>
  </w:style>
  <w:style w:type="paragraph" w:customStyle="1" w:styleId="volume-issue">
    <w:name w:val="volume-issue"/>
    <w:basedOn w:val="Normal"/>
    <w:rsid w:val="00783C5D"/>
    <w:pPr>
      <w:spacing w:before="100" w:beforeAutospacing="1" w:after="100" w:afterAutospacing="1"/>
    </w:pPr>
  </w:style>
  <w:style w:type="character" w:customStyle="1" w:styleId="val">
    <w:name w:val="val"/>
    <w:basedOn w:val="DefaultParagraphFont"/>
    <w:rsid w:val="00783C5D"/>
  </w:style>
  <w:style w:type="paragraph" w:styleId="NormalWeb">
    <w:name w:val="Normal (Web)"/>
    <w:basedOn w:val="Normal"/>
    <w:uiPriority w:val="99"/>
    <w:semiHidden/>
    <w:unhideWhenUsed/>
    <w:rsid w:val="00783C5D"/>
    <w:pPr>
      <w:spacing w:before="100" w:beforeAutospacing="1" w:after="100" w:afterAutospacing="1"/>
    </w:pPr>
  </w:style>
  <w:style w:type="paragraph" w:customStyle="1" w:styleId="page-range">
    <w:name w:val="page-range"/>
    <w:basedOn w:val="Normal"/>
    <w:rsid w:val="00783C5D"/>
    <w:pPr>
      <w:spacing w:before="100" w:beforeAutospacing="1" w:after="100" w:afterAutospacing="1"/>
    </w:pPr>
  </w:style>
  <w:style w:type="paragraph" w:styleId="Header">
    <w:name w:val="header"/>
    <w:basedOn w:val="Normal"/>
    <w:link w:val="HeaderChar"/>
    <w:uiPriority w:val="99"/>
    <w:unhideWhenUsed/>
    <w:rsid w:val="00783078"/>
    <w:pPr>
      <w:tabs>
        <w:tab w:val="center" w:pos="4680"/>
        <w:tab w:val="right" w:pos="9360"/>
      </w:tabs>
    </w:pPr>
  </w:style>
  <w:style w:type="character" w:customStyle="1" w:styleId="HeaderChar">
    <w:name w:val="Header Char"/>
    <w:basedOn w:val="DefaultParagraphFont"/>
    <w:link w:val="Header"/>
    <w:uiPriority w:val="99"/>
    <w:rsid w:val="00783078"/>
    <w:rPr>
      <w:rFonts w:ascii="Times New Roman" w:eastAsia="Times New Roman" w:hAnsi="Times New Roman" w:cs="Times New Roman"/>
    </w:rPr>
  </w:style>
  <w:style w:type="paragraph" w:styleId="Footer">
    <w:name w:val="footer"/>
    <w:basedOn w:val="Normal"/>
    <w:link w:val="FooterChar"/>
    <w:uiPriority w:val="99"/>
    <w:unhideWhenUsed/>
    <w:rsid w:val="00783078"/>
    <w:pPr>
      <w:tabs>
        <w:tab w:val="center" w:pos="4680"/>
        <w:tab w:val="right" w:pos="9360"/>
      </w:tabs>
    </w:pPr>
  </w:style>
  <w:style w:type="character" w:customStyle="1" w:styleId="FooterChar">
    <w:name w:val="Footer Char"/>
    <w:basedOn w:val="DefaultParagraphFont"/>
    <w:link w:val="Footer"/>
    <w:uiPriority w:val="99"/>
    <w:rsid w:val="00783078"/>
    <w:rPr>
      <w:rFonts w:ascii="Times New Roman" w:eastAsia="Times New Roman" w:hAnsi="Times New Roman" w:cs="Times New Roman"/>
    </w:rPr>
  </w:style>
  <w:style w:type="character" w:styleId="PageNumber">
    <w:name w:val="page number"/>
    <w:basedOn w:val="DefaultParagraphFont"/>
    <w:uiPriority w:val="99"/>
    <w:semiHidden/>
    <w:unhideWhenUsed/>
    <w:rsid w:val="00797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4344">
      <w:bodyDiv w:val="1"/>
      <w:marLeft w:val="0"/>
      <w:marRight w:val="0"/>
      <w:marTop w:val="0"/>
      <w:marBottom w:val="0"/>
      <w:divBdr>
        <w:top w:val="none" w:sz="0" w:space="0" w:color="auto"/>
        <w:left w:val="none" w:sz="0" w:space="0" w:color="auto"/>
        <w:bottom w:val="none" w:sz="0" w:space="0" w:color="auto"/>
        <w:right w:val="none" w:sz="0" w:space="0" w:color="auto"/>
      </w:divBdr>
    </w:div>
    <w:div w:id="266471312">
      <w:bodyDiv w:val="1"/>
      <w:marLeft w:val="0"/>
      <w:marRight w:val="0"/>
      <w:marTop w:val="0"/>
      <w:marBottom w:val="0"/>
      <w:divBdr>
        <w:top w:val="none" w:sz="0" w:space="0" w:color="auto"/>
        <w:left w:val="none" w:sz="0" w:space="0" w:color="auto"/>
        <w:bottom w:val="none" w:sz="0" w:space="0" w:color="auto"/>
        <w:right w:val="none" w:sz="0" w:space="0" w:color="auto"/>
      </w:divBdr>
    </w:div>
    <w:div w:id="530263588">
      <w:bodyDiv w:val="1"/>
      <w:marLeft w:val="0"/>
      <w:marRight w:val="0"/>
      <w:marTop w:val="0"/>
      <w:marBottom w:val="0"/>
      <w:divBdr>
        <w:top w:val="none" w:sz="0" w:space="0" w:color="auto"/>
        <w:left w:val="none" w:sz="0" w:space="0" w:color="auto"/>
        <w:bottom w:val="none" w:sz="0" w:space="0" w:color="auto"/>
        <w:right w:val="none" w:sz="0" w:space="0" w:color="auto"/>
      </w:divBdr>
    </w:div>
    <w:div w:id="564605535">
      <w:bodyDiv w:val="1"/>
      <w:marLeft w:val="0"/>
      <w:marRight w:val="0"/>
      <w:marTop w:val="0"/>
      <w:marBottom w:val="0"/>
      <w:divBdr>
        <w:top w:val="none" w:sz="0" w:space="0" w:color="auto"/>
        <w:left w:val="none" w:sz="0" w:space="0" w:color="auto"/>
        <w:bottom w:val="none" w:sz="0" w:space="0" w:color="auto"/>
        <w:right w:val="none" w:sz="0" w:space="0" w:color="auto"/>
      </w:divBdr>
    </w:div>
    <w:div w:id="619651428">
      <w:bodyDiv w:val="1"/>
      <w:marLeft w:val="0"/>
      <w:marRight w:val="0"/>
      <w:marTop w:val="0"/>
      <w:marBottom w:val="0"/>
      <w:divBdr>
        <w:top w:val="none" w:sz="0" w:space="0" w:color="auto"/>
        <w:left w:val="none" w:sz="0" w:space="0" w:color="auto"/>
        <w:bottom w:val="none" w:sz="0" w:space="0" w:color="auto"/>
        <w:right w:val="none" w:sz="0" w:space="0" w:color="auto"/>
      </w:divBdr>
    </w:div>
    <w:div w:id="669719663">
      <w:bodyDiv w:val="1"/>
      <w:marLeft w:val="0"/>
      <w:marRight w:val="0"/>
      <w:marTop w:val="0"/>
      <w:marBottom w:val="0"/>
      <w:divBdr>
        <w:top w:val="none" w:sz="0" w:space="0" w:color="auto"/>
        <w:left w:val="none" w:sz="0" w:space="0" w:color="auto"/>
        <w:bottom w:val="none" w:sz="0" w:space="0" w:color="auto"/>
        <w:right w:val="none" w:sz="0" w:space="0" w:color="auto"/>
      </w:divBdr>
    </w:div>
    <w:div w:id="753933327">
      <w:bodyDiv w:val="1"/>
      <w:marLeft w:val="0"/>
      <w:marRight w:val="0"/>
      <w:marTop w:val="0"/>
      <w:marBottom w:val="0"/>
      <w:divBdr>
        <w:top w:val="none" w:sz="0" w:space="0" w:color="auto"/>
        <w:left w:val="none" w:sz="0" w:space="0" w:color="auto"/>
        <w:bottom w:val="none" w:sz="0" w:space="0" w:color="auto"/>
        <w:right w:val="none" w:sz="0" w:space="0" w:color="auto"/>
      </w:divBdr>
    </w:div>
    <w:div w:id="819271933">
      <w:bodyDiv w:val="1"/>
      <w:marLeft w:val="0"/>
      <w:marRight w:val="0"/>
      <w:marTop w:val="0"/>
      <w:marBottom w:val="0"/>
      <w:divBdr>
        <w:top w:val="none" w:sz="0" w:space="0" w:color="auto"/>
        <w:left w:val="none" w:sz="0" w:space="0" w:color="auto"/>
        <w:bottom w:val="none" w:sz="0" w:space="0" w:color="auto"/>
        <w:right w:val="none" w:sz="0" w:space="0" w:color="auto"/>
      </w:divBdr>
    </w:div>
    <w:div w:id="977689005">
      <w:bodyDiv w:val="1"/>
      <w:marLeft w:val="0"/>
      <w:marRight w:val="0"/>
      <w:marTop w:val="0"/>
      <w:marBottom w:val="0"/>
      <w:divBdr>
        <w:top w:val="none" w:sz="0" w:space="0" w:color="auto"/>
        <w:left w:val="none" w:sz="0" w:space="0" w:color="auto"/>
        <w:bottom w:val="none" w:sz="0" w:space="0" w:color="auto"/>
        <w:right w:val="none" w:sz="0" w:space="0" w:color="auto"/>
      </w:divBdr>
      <w:divsChild>
        <w:div w:id="1100416335">
          <w:marLeft w:val="0"/>
          <w:marRight w:val="0"/>
          <w:marTop w:val="225"/>
          <w:marBottom w:val="225"/>
          <w:divBdr>
            <w:top w:val="none" w:sz="0" w:space="0" w:color="auto"/>
            <w:left w:val="none" w:sz="0" w:space="0" w:color="auto"/>
            <w:bottom w:val="none" w:sz="0" w:space="0" w:color="auto"/>
            <w:right w:val="none" w:sz="0" w:space="0" w:color="auto"/>
          </w:divBdr>
          <w:divsChild>
            <w:div w:id="1450784810">
              <w:marLeft w:val="0"/>
              <w:marRight w:val="0"/>
              <w:marTop w:val="0"/>
              <w:marBottom w:val="0"/>
              <w:divBdr>
                <w:top w:val="none" w:sz="0" w:space="0" w:color="auto"/>
                <w:left w:val="none" w:sz="0" w:space="0" w:color="auto"/>
                <w:bottom w:val="none" w:sz="0" w:space="0" w:color="auto"/>
                <w:right w:val="none" w:sz="0" w:space="0" w:color="auto"/>
              </w:divBdr>
              <w:divsChild>
                <w:div w:id="1443575304">
                  <w:marLeft w:val="0"/>
                  <w:marRight w:val="0"/>
                  <w:marTop w:val="0"/>
                  <w:marBottom w:val="0"/>
                  <w:divBdr>
                    <w:top w:val="none" w:sz="0" w:space="0" w:color="auto"/>
                    <w:left w:val="none" w:sz="0" w:space="0" w:color="auto"/>
                    <w:bottom w:val="none" w:sz="0" w:space="0" w:color="auto"/>
                    <w:right w:val="none" w:sz="0" w:space="0" w:color="auto"/>
                  </w:divBdr>
                  <w:divsChild>
                    <w:div w:id="21463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8081">
      <w:bodyDiv w:val="1"/>
      <w:marLeft w:val="0"/>
      <w:marRight w:val="0"/>
      <w:marTop w:val="0"/>
      <w:marBottom w:val="0"/>
      <w:divBdr>
        <w:top w:val="none" w:sz="0" w:space="0" w:color="auto"/>
        <w:left w:val="none" w:sz="0" w:space="0" w:color="auto"/>
        <w:bottom w:val="none" w:sz="0" w:space="0" w:color="auto"/>
        <w:right w:val="none" w:sz="0" w:space="0" w:color="auto"/>
      </w:divBdr>
    </w:div>
    <w:div w:id="1058818275">
      <w:bodyDiv w:val="1"/>
      <w:marLeft w:val="0"/>
      <w:marRight w:val="0"/>
      <w:marTop w:val="0"/>
      <w:marBottom w:val="0"/>
      <w:divBdr>
        <w:top w:val="none" w:sz="0" w:space="0" w:color="auto"/>
        <w:left w:val="none" w:sz="0" w:space="0" w:color="auto"/>
        <w:bottom w:val="none" w:sz="0" w:space="0" w:color="auto"/>
        <w:right w:val="none" w:sz="0" w:space="0" w:color="auto"/>
      </w:divBdr>
      <w:divsChild>
        <w:div w:id="1408115587">
          <w:marLeft w:val="0"/>
          <w:marRight w:val="0"/>
          <w:marTop w:val="0"/>
          <w:marBottom w:val="0"/>
          <w:divBdr>
            <w:top w:val="none" w:sz="0" w:space="0" w:color="auto"/>
            <w:left w:val="none" w:sz="0" w:space="0" w:color="auto"/>
            <w:bottom w:val="none" w:sz="0" w:space="0" w:color="auto"/>
            <w:right w:val="none" w:sz="0" w:space="0" w:color="auto"/>
          </w:divBdr>
          <w:divsChild>
            <w:div w:id="366951801">
              <w:marLeft w:val="0"/>
              <w:marRight w:val="0"/>
              <w:marTop w:val="0"/>
              <w:marBottom w:val="0"/>
              <w:divBdr>
                <w:top w:val="none" w:sz="0" w:space="0" w:color="auto"/>
                <w:left w:val="none" w:sz="0" w:space="0" w:color="auto"/>
                <w:bottom w:val="none" w:sz="0" w:space="0" w:color="auto"/>
                <w:right w:val="none" w:sz="0" w:space="0" w:color="auto"/>
              </w:divBdr>
              <w:divsChild>
                <w:div w:id="920257577">
                  <w:marLeft w:val="0"/>
                  <w:marRight w:val="0"/>
                  <w:marTop w:val="0"/>
                  <w:marBottom w:val="0"/>
                  <w:divBdr>
                    <w:top w:val="none" w:sz="0" w:space="0" w:color="auto"/>
                    <w:left w:val="none" w:sz="0" w:space="0" w:color="auto"/>
                    <w:bottom w:val="none" w:sz="0" w:space="0" w:color="auto"/>
                    <w:right w:val="none" w:sz="0" w:space="0" w:color="auto"/>
                  </w:divBdr>
                  <w:divsChild>
                    <w:div w:id="713189805">
                      <w:marLeft w:val="0"/>
                      <w:marRight w:val="0"/>
                      <w:marTop w:val="225"/>
                      <w:marBottom w:val="225"/>
                      <w:divBdr>
                        <w:top w:val="none" w:sz="0" w:space="0" w:color="auto"/>
                        <w:left w:val="none" w:sz="0" w:space="0" w:color="auto"/>
                        <w:bottom w:val="none" w:sz="0" w:space="0" w:color="auto"/>
                        <w:right w:val="none" w:sz="0" w:space="0" w:color="auto"/>
                      </w:divBdr>
                      <w:divsChild>
                        <w:div w:id="12149087">
                          <w:marLeft w:val="0"/>
                          <w:marRight w:val="0"/>
                          <w:marTop w:val="0"/>
                          <w:marBottom w:val="0"/>
                          <w:divBdr>
                            <w:top w:val="none" w:sz="0" w:space="0" w:color="auto"/>
                            <w:left w:val="none" w:sz="0" w:space="0" w:color="auto"/>
                            <w:bottom w:val="none" w:sz="0" w:space="0" w:color="auto"/>
                            <w:right w:val="none" w:sz="0" w:space="0" w:color="auto"/>
                          </w:divBdr>
                        </w:div>
                        <w:div w:id="306206263">
                          <w:marLeft w:val="0"/>
                          <w:marRight w:val="0"/>
                          <w:marTop w:val="0"/>
                          <w:marBottom w:val="0"/>
                          <w:divBdr>
                            <w:top w:val="none" w:sz="0" w:space="0" w:color="auto"/>
                            <w:left w:val="none" w:sz="0" w:space="0" w:color="auto"/>
                            <w:bottom w:val="none" w:sz="0" w:space="0" w:color="auto"/>
                            <w:right w:val="none" w:sz="0" w:space="0" w:color="auto"/>
                          </w:divBdr>
                        </w:div>
                        <w:div w:id="7280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274143">
              <w:marLeft w:val="0"/>
              <w:marRight w:val="0"/>
              <w:marTop w:val="270"/>
              <w:marBottom w:val="300"/>
              <w:divBdr>
                <w:top w:val="none" w:sz="0" w:space="0" w:color="auto"/>
                <w:left w:val="none" w:sz="0" w:space="0" w:color="auto"/>
                <w:bottom w:val="single" w:sz="12" w:space="0" w:color="D8D9DA"/>
                <w:right w:val="none" w:sz="0" w:space="0" w:color="auto"/>
              </w:divBdr>
              <w:divsChild>
                <w:div w:id="1837644009">
                  <w:marLeft w:val="0"/>
                  <w:marRight w:val="0"/>
                  <w:marTop w:val="0"/>
                  <w:marBottom w:val="0"/>
                  <w:divBdr>
                    <w:top w:val="none" w:sz="0" w:space="0" w:color="auto"/>
                    <w:left w:val="none" w:sz="0" w:space="0" w:color="auto"/>
                    <w:bottom w:val="none" w:sz="0" w:space="0" w:color="auto"/>
                    <w:right w:val="none" w:sz="0" w:space="0" w:color="auto"/>
                  </w:divBdr>
                  <w:divsChild>
                    <w:div w:id="1321691998">
                      <w:marLeft w:val="0"/>
                      <w:marRight w:val="0"/>
                      <w:marTop w:val="0"/>
                      <w:marBottom w:val="0"/>
                      <w:divBdr>
                        <w:top w:val="none" w:sz="0" w:space="0" w:color="auto"/>
                        <w:left w:val="none" w:sz="0" w:space="0" w:color="auto"/>
                        <w:bottom w:val="none" w:sz="0" w:space="0" w:color="auto"/>
                        <w:right w:val="none" w:sz="0" w:space="0" w:color="auto"/>
                      </w:divBdr>
                    </w:div>
                    <w:div w:id="504513663">
                      <w:marLeft w:val="270"/>
                      <w:marRight w:val="0"/>
                      <w:marTop w:val="0"/>
                      <w:marBottom w:val="0"/>
                      <w:divBdr>
                        <w:top w:val="none" w:sz="0" w:space="0" w:color="auto"/>
                        <w:left w:val="none" w:sz="0" w:space="0" w:color="auto"/>
                        <w:bottom w:val="none" w:sz="0" w:space="0" w:color="auto"/>
                        <w:right w:val="none" w:sz="0" w:space="0" w:color="auto"/>
                      </w:divBdr>
                    </w:div>
                    <w:div w:id="1763797396">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47285261">
              <w:marLeft w:val="0"/>
              <w:marRight w:val="0"/>
              <w:marTop w:val="0"/>
              <w:marBottom w:val="0"/>
              <w:divBdr>
                <w:top w:val="none" w:sz="0" w:space="0" w:color="auto"/>
                <w:left w:val="none" w:sz="0" w:space="0" w:color="auto"/>
                <w:bottom w:val="none" w:sz="0" w:space="0" w:color="auto"/>
                <w:right w:val="none" w:sz="0" w:space="0" w:color="auto"/>
              </w:divBdr>
              <w:divsChild>
                <w:div w:id="53284775">
                  <w:marLeft w:val="0"/>
                  <w:marRight w:val="0"/>
                  <w:marTop w:val="0"/>
                  <w:marBottom w:val="0"/>
                  <w:divBdr>
                    <w:top w:val="none" w:sz="0" w:space="0" w:color="auto"/>
                    <w:left w:val="none" w:sz="0" w:space="0" w:color="auto"/>
                    <w:bottom w:val="none" w:sz="0" w:space="0" w:color="auto"/>
                    <w:right w:val="none" w:sz="0" w:space="0" w:color="auto"/>
                  </w:divBdr>
                  <w:divsChild>
                    <w:div w:id="1206605109">
                      <w:marLeft w:val="0"/>
                      <w:marRight w:val="0"/>
                      <w:marTop w:val="0"/>
                      <w:marBottom w:val="0"/>
                      <w:divBdr>
                        <w:top w:val="none" w:sz="0" w:space="0" w:color="auto"/>
                        <w:left w:val="none" w:sz="0" w:space="0" w:color="auto"/>
                        <w:bottom w:val="none" w:sz="0" w:space="0" w:color="auto"/>
                        <w:right w:val="none" w:sz="0" w:space="0" w:color="auto"/>
                      </w:divBdr>
                    </w:div>
                  </w:divsChild>
                </w:div>
                <w:div w:id="95949078">
                  <w:marLeft w:val="0"/>
                  <w:marRight w:val="0"/>
                  <w:marTop w:val="480"/>
                  <w:marBottom w:val="360"/>
                  <w:divBdr>
                    <w:top w:val="none" w:sz="0" w:space="0" w:color="auto"/>
                    <w:left w:val="none" w:sz="0" w:space="0" w:color="auto"/>
                    <w:bottom w:val="none" w:sz="0" w:space="0" w:color="auto"/>
                    <w:right w:val="none" w:sz="0" w:space="0" w:color="auto"/>
                  </w:divBdr>
                </w:div>
              </w:divsChild>
            </w:div>
          </w:divsChild>
        </w:div>
        <w:div w:id="194926052">
          <w:marLeft w:val="0"/>
          <w:marRight w:val="0"/>
          <w:marTop w:val="0"/>
          <w:marBottom w:val="0"/>
          <w:divBdr>
            <w:top w:val="none" w:sz="0" w:space="0" w:color="auto"/>
            <w:left w:val="none" w:sz="0" w:space="0" w:color="auto"/>
            <w:bottom w:val="none" w:sz="0" w:space="0" w:color="auto"/>
            <w:right w:val="none" w:sz="0" w:space="0" w:color="auto"/>
          </w:divBdr>
          <w:divsChild>
            <w:div w:id="1424379516">
              <w:marLeft w:val="0"/>
              <w:marRight w:val="0"/>
              <w:marTop w:val="0"/>
              <w:marBottom w:val="300"/>
              <w:divBdr>
                <w:top w:val="none" w:sz="0" w:space="0" w:color="auto"/>
                <w:left w:val="none" w:sz="0" w:space="0" w:color="auto"/>
                <w:bottom w:val="none" w:sz="0" w:space="0" w:color="auto"/>
                <w:right w:val="none" w:sz="0" w:space="0" w:color="auto"/>
              </w:divBdr>
              <w:divsChild>
                <w:div w:id="1793791798">
                  <w:marLeft w:val="0"/>
                  <w:marRight w:val="0"/>
                  <w:marTop w:val="0"/>
                  <w:marBottom w:val="0"/>
                  <w:divBdr>
                    <w:top w:val="none" w:sz="0" w:space="0" w:color="auto"/>
                    <w:left w:val="none" w:sz="0" w:space="0" w:color="auto"/>
                    <w:bottom w:val="none" w:sz="0" w:space="0" w:color="auto"/>
                    <w:right w:val="none" w:sz="0" w:space="0" w:color="auto"/>
                  </w:divBdr>
                </w:div>
                <w:div w:id="3132648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57110938">
      <w:bodyDiv w:val="1"/>
      <w:marLeft w:val="0"/>
      <w:marRight w:val="0"/>
      <w:marTop w:val="0"/>
      <w:marBottom w:val="0"/>
      <w:divBdr>
        <w:top w:val="none" w:sz="0" w:space="0" w:color="auto"/>
        <w:left w:val="none" w:sz="0" w:space="0" w:color="auto"/>
        <w:bottom w:val="none" w:sz="0" w:space="0" w:color="auto"/>
        <w:right w:val="none" w:sz="0" w:space="0" w:color="auto"/>
      </w:divBdr>
    </w:div>
    <w:div w:id="1190875999">
      <w:bodyDiv w:val="1"/>
      <w:marLeft w:val="0"/>
      <w:marRight w:val="0"/>
      <w:marTop w:val="0"/>
      <w:marBottom w:val="0"/>
      <w:divBdr>
        <w:top w:val="none" w:sz="0" w:space="0" w:color="auto"/>
        <w:left w:val="none" w:sz="0" w:space="0" w:color="auto"/>
        <w:bottom w:val="none" w:sz="0" w:space="0" w:color="auto"/>
        <w:right w:val="none" w:sz="0" w:space="0" w:color="auto"/>
      </w:divBdr>
      <w:divsChild>
        <w:div w:id="1870678730">
          <w:marLeft w:val="0"/>
          <w:marRight w:val="0"/>
          <w:marTop w:val="225"/>
          <w:marBottom w:val="225"/>
          <w:divBdr>
            <w:top w:val="none" w:sz="0" w:space="0" w:color="auto"/>
            <w:left w:val="none" w:sz="0" w:space="0" w:color="auto"/>
            <w:bottom w:val="none" w:sz="0" w:space="0" w:color="auto"/>
            <w:right w:val="none" w:sz="0" w:space="0" w:color="auto"/>
          </w:divBdr>
          <w:divsChild>
            <w:div w:id="346098668">
              <w:marLeft w:val="0"/>
              <w:marRight w:val="0"/>
              <w:marTop w:val="0"/>
              <w:marBottom w:val="0"/>
              <w:divBdr>
                <w:top w:val="none" w:sz="0" w:space="0" w:color="auto"/>
                <w:left w:val="none" w:sz="0" w:space="0" w:color="auto"/>
                <w:bottom w:val="none" w:sz="0" w:space="0" w:color="auto"/>
                <w:right w:val="none" w:sz="0" w:space="0" w:color="auto"/>
              </w:divBdr>
              <w:divsChild>
                <w:div w:id="1961378414">
                  <w:marLeft w:val="0"/>
                  <w:marRight w:val="0"/>
                  <w:marTop w:val="0"/>
                  <w:marBottom w:val="0"/>
                  <w:divBdr>
                    <w:top w:val="none" w:sz="0" w:space="0" w:color="auto"/>
                    <w:left w:val="none" w:sz="0" w:space="0" w:color="auto"/>
                    <w:bottom w:val="none" w:sz="0" w:space="0" w:color="auto"/>
                    <w:right w:val="none" w:sz="0" w:space="0" w:color="auto"/>
                  </w:divBdr>
                  <w:divsChild>
                    <w:div w:id="1934776193">
                      <w:marLeft w:val="0"/>
                      <w:marRight w:val="0"/>
                      <w:marTop w:val="0"/>
                      <w:marBottom w:val="0"/>
                      <w:divBdr>
                        <w:top w:val="none" w:sz="0" w:space="0" w:color="auto"/>
                        <w:left w:val="none" w:sz="0" w:space="0" w:color="auto"/>
                        <w:bottom w:val="none" w:sz="0" w:space="0" w:color="auto"/>
                        <w:right w:val="none" w:sz="0" w:space="0" w:color="auto"/>
                      </w:divBdr>
                    </w:div>
                    <w:div w:id="565652553">
                      <w:marLeft w:val="0"/>
                      <w:marRight w:val="0"/>
                      <w:marTop w:val="0"/>
                      <w:marBottom w:val="0"/>
                      <w:divBdr>
                        <w:top w:val="none" w:sz="0" w:space="0" w:color="auto"/>
                        <w:left w:val="none" w:sz="0" w:space="0" w:color="auto"/>
                        <w:bottom w:val="none" w:sz="0" w:space="0" w:color="auto"/>
                        <w:right w:val="none" w:sz="0" w:space="0" w:color="auto"/>
                      </w:divBdr>
                    </w:div>
                    <w:div w:id="881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94919">
      <w:bodyDiv w:val="1"/>
      <w:marLeft w:val="0"/>
      <w:marRight w:val="0"/>
      <w:marTop w:val="0"/>
      <w:marBottom w:val="0"/>
      <w:divBdr>
        <w:top w:val="none" w:sz="0" w:space="0" w:color="auto"/>
        <w:left w:val="none" w:sz="0" w:space="0" w:color="auto"/>
        <w:bottom w:val="none" w:sz="0" w:space="0" w:color="auto"/>
        <w:right w:val="none" w:sz="0" w:space="0" w:color="auto"/>
      </w:divBdr>
      <w:divsChild>
        <w:div w:id="2137332753">
          <w:marLeft w:val="0"/>
          <w:marRight w:val="0"/>
          <w:marTop w:val="0"/>
          <w:marBottom w:val="0"/>
          <w:divBdr>
            <w:top w:val="none" w:sz="0" w:space="0" w:color="auto"/>
            <w:left w:val="none" w:sz="0" w:space="0" w:color="auto"/>
            <w:bottom w:val="none" w:sz="0" w:space="0" w:color="auto"/>
            <w:right w:val="none" w:sz="0" w:space="0" w:color="auto"/>
          </w:divBdr>
        </w:div>
      </w:divsChild>
    </w:div>
    <w:div w:id="1368022839">
      <w:bodyDiv w:val="1"/>
      <w:marLeft w:val="0"/>
      <w:marRight w:val="0"/>
      <w:marTop w:val="0"/>
      <w:marBottom w:val="0"/>
      <w:divBdr>
        <w:top w:val="none" w:sz="0" w:space="0" w:color="auto"/>
        <w:left w:val="none" w:sz="0" w:space="0" w:color="auto"/>
        <w:bottom w:val="none" w:sz="0" w:space="0" w:color="auto"/>
        <w:right w:val="none" w:sz="0" w:space="0" w:color="auto"/>
      </w:divBdr>
    </w:div>
    <w:div w:id="1457943281">
      <w:bodyDiv w:val="1"/>
      <w:marLeft w:val="0"/>
      <w:marRight w:val="0"/>
      <w:marTop w:val="0"/>
      <w:marBottom w:val="0"/>
      <w:divBdr>
        <w:top w:val="none" w:sz="0" w:space="0" w:color="auto"/>
        <w:left w:val="none" w:sz="0" w:space="0" w:color="auto"/>
        <w:bottom w:val="none" w:sz="0" w:space="0" w:color="auto"/>
        <w:right w:val="none" w:sz="0" w:space="0" w:color="auto"/>
      </w:divBdr>
    </w:div>
    <w:div w:id="1498030799">
      <w:bodyDiv w:val="1"/>
      <w:marLeft w:val="0"/>
      <w:marRight w:val="0"/>
      <w:marTop w:val="0"/>
      <w:marBottom w:val="0"/>
      <w:divBdr>
        <w:top w:val="none" w:sz="0" w:space="0" w:color="auto"/>
        <w:left w:val="none" w:sz="0" w:space="0" w:color="auto"/>
        <w:bottom w:val="none" w:sz="0" w:space="0" w:color="auto"/>
        <w:right w:val="none" w:sz="0" w:space="0" w:color="auto"/>
      </w:divBdr>
    </w:div>
    <w:div w:id="1513448790">
      <w:bodyDiv w:val="1"/>
      <w:marLeft w:val="0"/>
      <w:marRight w:val="0"/>
      <w:marTop w:val="0"/>
      <w:marBottom w:val="0"/>
      <w:divBdr>
        <w:top w:val="none" w:sz="0" w:space="0" w:color="auto"/>
        <w:left w:val="none" w:sz="0" w:space="0" w:color="auto"/>
        <w:bottom w:val="none" w:sz="0" w:space="0" w:color="auto"/>
        <w:right w:val="none" w:sz="0" w:space="0" w:color="auto"/>
      </w:divBdr>
    </w:div>
    <w:div w:id="1662275083">
      <w:bodyDiv w:val="1"/>
      <w:marLeft w:val="0"/>
      <w:marRight w:val="0"/>
      <w:marTop w:val="0"/>
      <w:marBottom w:val="0"/>
      <w:divBdr>
        <w:top w:val="none" w:sz="0" w:space="0" w:color="auto"/>
        <w:left w:val="none" w:sz="0" w:space="0" w:color="auto"/>
        <w:bottom w:val="none" w:sz="0" w:space="0" w:color="auto"/>
        <w:right w:val="none" w:sz="0" w:space="0" w:color="auto"/>
      </w:divBdr>
    </w:div>
    <w:div w:id="1681734410">
      <w:bodyDiv w:val="1"/>
      <w:marLeft w:val="0"/>
      <w:marRight w:val="0"/>
      <w:marTop w:val="0"/>
      <w:marBottom w:val="0"/>
      <w:divBdr>
        <w:top w:val="none" w:sz="0" w:space="0" w:color="auto"/>
        <w:left w:val="none" w:sz="0" w:space="0" w:color="auto"/>
        <w:bottom w:val="none" w:sz="0" w:space="0" w:color="auto"/>
        <w:right w:val="none" w:sz="0" w:space="0" w:color="auto"/>
      </w:divBdr>
    </w:div>
    <w:div w:id="1688169816">
      <w:bodyDiv w:val="1"/>
      <w:marLeft w:val="0"/>
      <w:marRight w:val="0"/>
      <w:marTop w:val="0"/>
      <w:marBottom w:val="0"/>
      <w:divBdr>
        <w:top w:val="none" w:sz="0" w:space="0" w:color="auto"/>
        <w:left w:val="none" w:sz="0" w:space="0" w:color="auto"/>
        <w:bottom w:val="none" w:sz="0" w:space="0" w:color="auto"/>
        <w:right w:val="none" w:sz="0" w:space="0" w:color="auto"/>
      </w:divBdr>
    </w:div>
    <w:div w:id="1927955699">
      <w:bodyDiv w:val="1"/>
      <w:marLeft w:val="0"/>
      <w:marRight w:val="0"/>
      <w:marTop w:val="0"/>
      <w:marBottom w:val="0"/>
      <w:divBdr>
        <w:top w:val="none" w:sz="0" w:space="0" w:color="auto"/>
        <w:left w:val="none" w:sz="0" w:space="0" w:color="auto"/>
        <w:bottom w:val="none" w:sz="0" w:space="0" w:color="auto"/>
        <w:right w:val="none" w:sz="0" w:space="0" w:color="auto"/>
      </w:divBdr>
    </w:div>
    <w:div w:id="19407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org/details/ciceroonoratoryo00c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imo.kb.dk/primo-explore/search?query=creator%2Ccontains%2CKipping%2C%20Matthias%20%2CAND&amp;tab=default_tab&amp;search_scope=Blended&amp;vid=CBS&amp;lang=da_DK&amp;mode=advanced&amp;offse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8BE28-3909-0C48-B7A5-33AE3DD8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12004</Words>
  <Characters>68428</Characters>
  <Application>Microsoft Office Word</Application>
  <DocSecurity>0</DocSecurity>
  <Lines>570</Lines>
  <Paragraphs>160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CBS</Company>
  <LinksUpToDate>false</LinksUpToDate>
  <CharactersWithSpaces>80272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2018-10-30T07:43:00Z</cp:lastPrinted>
  <dcterms:created xsi:type="dcterms:W3CDTF">2018-12-10T11:16:00Z</dcterms:created>
  <dcterms:modified xsi:type="dcterms:W3CDTF">2018-12-10T11:16:00Z</dcterms:modified>
</cp:coreProperties>
</file>