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01" w:rsidRPr="00947A01" w:rsidRDefault="00947A01" w:rsidP="00947A01">
      <w:pPr>
        <w:spacing w:after="200" w:line="480" w:lineRule="atLeast"/>
        <w:rPr>
          <w:rFonts w:ascii="Times" w:hAnsi="Times" w:cs="Times New Roman"/>
          <w:color w:val="000000"/>
        </w:rPr>
      </w:pPr>
      <w:r w:rsidRPr="00947A01">
        <w:rPr>
          <w:rFonts w:ascii="Times New Roman" w:hAnsi="Times New Roman" w:cs="Times New Roman"/>
          <w:color w:val="000000"/>
        </w:rPr>
        <w:t>Letter to the Editor, BJOG Exchange</w:t>
      </w:r>
    </w:p>
    <w:p w:rsidR="00947A01" w:rsidRPr="00947A01" w:rsidRDefault="00947A01" w:rsidP="00947A01">
      <w:pPr>
        <w:spacing w:after="200" w:line="480" w:lineRule="atLeast"/>
        <w:rPr>
          <w:rFonts w:ascii="Times" w:hAnsi="Times" w:cs="Times New Roman"/>
          <w:color w:val="000000"/>
        </w:rPr>
      </w:pPr>
      <w:r w:rsidRPr="00947A01">
        <w:rPr>
          <w:rFonts w:ascii="Times New Roman" w:hAnsi="Times New Roman" w:cs="Times New Roman"/>
          <w:b/>
          <w:bCs/>
          <w:color w:val="000000"/>
        </w:rPr>
        <w:t>Re: Uterine Transplantation in Transgender Women: Medical, Legal and Ethical Considerations</w:t>
      </w:r>
    </w:p>
    <w:p w:rsidR="00947A01" w:rsidRPr="00947A01" w:rsidRDefault="00947A01" w:rsidP="00947A01">
      <w:pPr>
        <w:spacing w:after="200" w:line="440" w:lineRule="atLeast"/>
        <w:rPr>
          <w:rFonts w:ascii="Times" w:hAnsi="Times" w:cs="Times New Roman"/>
          <w:color w:val="000000"/>
          <w:sz w:val="22"/>
          <w:szCs w:val="22"/>
        </w:rPr>
      </w:pPr>
      <w:r w:rsidRPr="00947A01">
        <w:rPr>
          <w:rFonts w:ascii="Times New Roman" w:hAnsi="Times New Roman" w:cs="Times New Roman"/>
          <w:color w:val="000000"/>
          <w:sz w:val="22"/>
          <w:szCs w:val="22"/>
        </w:rPr>
        <w:t>Sir,</w:t>
      </w:r>
    </w:p>
    <w:p w:rsidR="00947A01" w:rsidRDefault="00947A01" w:rsidP="00947A01">
      <w:pPr>
        <w:spacing w:line="480" w:lineRule="atLeast"/>
        <w:jc w:val="both"/>
        <w:rPr>
          <w:rFonts w:ascii="Times New Roman" w:hAnsi="Times New Roman" w:cs="Times New Roman"/>
          <w:color w:val="000000"/>
        </w:rPr>
      </w:pPr>
      <w:r w:rsidRPr="00947A01">
        <w:rPr>
          <w:rFonts w:ascii="Times New Roman" w:hAnsi="Times New Roman" w:cs="Times New Roman"/>
          <w:color w:val="000000"/>
        </w:rPr>
        <w:t>We read with interest the mini-commentary by Hammond-Browning on the medical, legal and ethical considerations associated with uterine transplantation (</w:t>
      </w:r>
      <w:proofErr w:type="spellStart"/>
      <w:r w:rsidRPr="00947A01">
        <w:rPr>
          <w:rFonts w:ascii="Times New Roman" w:hAnsi="Times New Roman" w:cs="Times New Roman"/>
          <w:color w:val="000000"/>
        </w:rPr>
        <w:t>UTx</w:t>
      </w:r>
      <w:proofErr w:type="spellEnd"/>
      <w:r w:rsidRPr="00947A01">
        <w:rPr>
          <w:rFonts w:ascii="Times New Roman" w:hAnsi="Times New Roman" w:cs="Times New Roman"/>
          <w:color w:val="000000"/>
        </w:rPr>
        <w:t>) in transgender women.</w:t>
      </w:r>
      <w:r w:rsidRPr="00947A01">
        <w:rPr>
          <w:rFonts w:ascii="Times New Roman" w:hAnsi="Times New Roman" w:cs="Times New Roman"/>
          <w:b/>
          <w:bCs/>
          <w:color w:val="000000"/>
          <w:sz w:val="16"/>
          <w:szCs w:val="16"/>
          <w:vertAlign w:val="superscript"/>
        </w:rPr>
        <w:t>1</w:t>
      </w:r>
      <w:r w:rsidRPr="00947A01">
        <w:rPr>
          <w:rFonts w:ascii="Times New Roman" w:hAnsi="Times New Roman" w:cs="Times New Roman"/>
          <w:color w:val="000000"/>
        </w:rPr>
        <w:t>Whilst the manuscript adds value and context to this emerging area, the legal implications to which she alludes deserve further discussion. She states that male to female (M2F) transgender women would be unable to undergo embryo transfer, as under current legislation it would be illegal. Whilst the legislation cited is unclear, even upon the strictest</w:t>
      </w:r>
      <w:r>
        <w:rPr>
          <w:rFonts w:ascii="Times New Roman" w:hAnsi="Times New Roman" w:cs="Times New Roman"/>
          <w:color w:val="000000"/>
        </w:rPr>
        <w:t xml:space="preserve"> interpretation to</w:t>
      </w:r>
    </w:p>
    <w:p w:rsidR="00947A01" w:rsidRPr="00947A01" w:rsidRDefault="00947A01" w:rsidP="00947A01">
      <w:pPr>
        <w:spacing w:line="480" w:lineRule="atLeast"/>
        <w:jc w:val="both"/>
        <w:rPr>
          <w:rFonts w:ascii="Times" w:hAnsi="Times" w:cs="Times New Roman"/>
          <w:color w:val="000000"/>
        </w:rPr>
      </w:pPr>
      <w:bookmarkStart w:id="0" w:name="_GoBack"/>
      <w:bookmarkEnd w:id="0"/>
      <w:r w:rsidRPr="00947A01">
        <w:rPr>
          <w:rFonts w:ascii="Times New Roman" w:hAnsi="Times New Roman" w:cs="Times New Roman"/>
          <w:color w:val="000000"/>
        </w:rPr>
        <w:t>which she refers, it is highly vulnerable to challenge.</w:t>
      </w:r>
    </w:p>
    <w:p w:rsidR="00947A01" w:rsidRPr="00947A01" w:rsidRDefault="00947A01" w:rsidP="00947A01">
      <w:pPr>
        <w:spacing w:line="480" w:lineRule="atLeast"/>
        <w:jc w:val="both"/>
        <w:rPr>
          <w:rFonts w:ascii="Times" w:hAnsi="Times" w:cs="Times New Roman"/>
          <w:color w:val="000000"/>
        </w:rPr>
      </w:pPr>
      <w:r w:rsidRPr="00947A01">
        <w:rPr>
          <w:rFonts w:ascii="Times New Roman" w:hAnsi="Times New Roman" w:cs="Times New Roman"/>
          <w:color w:val="000000"/>
        </w:rPr>
        <w:t> </w:t>
      </w:r>
    </w:p>
    <w:p w:rsidR="00947A01" w:rsidRPr="00947A01" w:rsidRDefault="00947A01" w:rsidP="00947A01">
      <w:pPr>
        <w:spacing w:line="480" w:lineRule="atLeast"/>
        <w:jc w:val="both"/>
        <w:rPr>
          <w:rFonts w:ascii="Times" w:hAnsi="Times" w:cs="Times New Roman"/>
          <w:color w:val="000000"/>
        </w:rPr>
      </w:pPr>
      <w:r w:rsidRPr="00947A01">
        <w:rPr>
          <w:rFonts w:ascii="Times New Roman" w:hAnsi="Times New Roman" w:cs="Times New Roman"/>
          <w:color w:val="000000"/>
        </w:rPr>
        <w:t>The relevant section of the Human Fertilisation and Embryology Act 1990, Section 3(2) states ‘no person shall place in a woman a live embryo other than a human embryo’. Of </w:t>
      </w:r>
      <w:proofErr w:type="spellStart"/>
      <w:r w:rsidRPr="00947A01">
        <w:rPr>
          <w:rFonts w:ascii="Times New Roman" w:hAnsi="Times New Roman" w:cs="Times New Roman"/>
          <w:color w:val="000000"/>
        </w:rPr>
        <w:t>crucialimportance</w:t>
      </w:r>
      <w:proofErr w:type="spellEnd"/>
      <w:r w:rsidRPr="00947A01">
        <w:rPr>
          <w:rFonts w:ascii="Times New Roman" w:hAnsi="Times New Roman" w:cs="Times New Roman"/>
          <w:color w:val="000000"/>
        </w:rPr>
        <w:t>, it is not specified in this section that the woman receiving the embryo needs</w:t>
      </w:r>
      <w:r w:rsidRPr="00947A01">
        <w:rPr>
          <w:rFonts w:ascii="Times New Roma" w:hAnsi="Times New Roma" w:cs="Times New Roman"/>
          <w:color w:val="000000"/>
        </w:rPr>
        <w:t> </w:t>
      </w:r>
      <w:r w:rsidRPr="00947A01">
        <w:rPr>
          <w:rFonts w:ascii="Times New Roman" w:hAnsi="Times New Roman" w:cs="Times New Roman"/>
          <w:color w:val="000000"/>
        </w:rPr>
        <w:t xml:space="preserve">to have been born female. As rapid progress in reproductive medicine propelled us further into uncharted territories, the aforementioned legislation soon became </w:t>
      </w:r>
      <w:proofErr w:type="spellStart"/>
      <w:r w:rsidRPr="00947A01">
        <w:rPr>
          <w:rFonts w:ascii="Times New Roman" w:hAnsi="Times New Roman" w:cs="Times New Roman"/>
          <w:color w:val="000000"/>
        </w:rPr>
        <w:t>outdated</w:t>
      </w:r>
      <w:proofErr w:type="spellEnd"/>
      <w:r w:rsidRPr="00947A01">
        <w:rPr>
          <w:rFonts w:ascii="Times New Roman" w:hAnsi="Times New Roman" w:cs="Times New Roman"/>
          <w:color w:val="000000"/>
        </w:rPr>
        <w:t xml:space="preserve"> and was subsequently amended, with the introduction of the Human Fertilisation and Embryology Act 2008. Instead of section 3 (2) referring to ‘human’ embryos, the updated legislation referred to ‘</w:t>
      </w:r>
      <w:proofErr w:type="gramStart"/>
      <w:r w:rsidRPr="00947A01">
        <w:rPr>
          <w:rFonts w:ascii="Times New Roman" w:hAnsi="Times New Roman" w:cs="Times New Roman"/>
          <w:color w:val="000000"/>
        </w:rPr>
        <w:t>permitted</w:t>
      </w:r>
      <w:proofErr w:type="gramEnd"/>
      <w:r w:rsidRPr="00947A01">
        <w:rPr>
          <w:rFonts w:ascii="Times New Roman" w:hAnsi="Times New Roman" w:cs="Times New Roman"/>
          <w:color w:val="000000"/>
        </w:rPr>
        <w:t xml:space="preserve">’ embryos. To define ‘permitted’ a separate section (3ZA) was inserted which states that the germ cells must be obtained from ovaries of women, and testis of men respectively. It is in this section where it states that a ‘woman and man include respectively a girl and boy (from birth)’. As ‘woman’ refers to a female adult, this addition appears to relate to the inclusion of young females who have not yet reached adulthood. Owing to the growing recognition and demand for fertility </w:t>
      </w:r>
      <w:r w:rsidRPr="00947A01">
        <w:rPr>
          <w:rFonts w:ascii="Times New Roman" w:hAnsi="Times New Roman" w:cs="Times New Roman"/>
          <w:color w:val="000000"/>
        </w:rPr>
        <w:lastRenderedPageBreak/>
        <w:t>preservation in girls with childhood cancer</w:t>
      </w:r>
      <w:proofErr w:type="gramStart"/>
      <w:r w:rsidRPr="00947A01">
        <w:rPr>
          <w:rFonts w:ascii="Times New Roman" w:hAnsi="Times New Roman" w:cs="Times New Roman"/>
          <w:color w:val="000000"/>
        </w:rPr>
        <w:t>,</w:t>
      </w:r>
      <w:r w:rsidRPr="00947A01">
        <w:rPr>
          <w:rFonts w:ascii="Times New Roman" w:hAnsi="Times New Roman" w:cs="Times New Roman"/>
          <w:color w:val="000000"/>
          <w:sz w:val="16"/>
          <w:szCs w:val="16"/>
          <w:vertAlign w:val="superscript"/>
        </w:rPr>
        <w:t>2</w:t>
      </w:r>
      <w:proofErr w:type="gramEnd"/>
      <w:r w:rsidRPr="00947A01">
        <w:rPr>
          <w:rFonts w:ascii="Times New Roman" w:hAnsi="Times New Roman" w:cs="Times New Roman"/>
          <w:color w:val="000000"/>
        </w:rPr>
        <w:t> this inclusion now rightly permits the future use of cryopreserved oocytes or ovarian tissue in </w:t>
      </w:r>
      <w:r w:rsidRPr="00947A01">
        <w:rPr>
          <w:rFonts w:ascii="Times New Roman" w:hAnsi="Times New Roman" w:cs="Times New Roman"/>
          <w:i/>
          <w:iCs/>
          <w:color w:val="000000"/>
        </w:rPr>
        <w:t>girls</w:t>
      </w:r>
      <w:r w:rsidRPr="00947A01">
        <w:rPr>
          <w:rFonts w:ascii="Times New Roman" w:hAnsi="Times New Roman" w:cs="Times New Roman"/>
          <w:color w:val="000000"/>
        </w:rPr>
        <w:t> rendered infertile by </w:t>
      </w:r>
      <w:proofErr w:type="spellStart"/>
      <w:r w:rsidRPr="00947A01">
        <w:rPr>
          <w:rFonts w:ascii="Times New Roman" w:hAnsi="Times New Roman" w:cs="Times New Roman"/>
          <w:color w:val="000000"/>
        </w:rPr>
        <w:t>gonadotoxic</w:t>
      </w:r>
      <w:proofErr w:type="spellEnd"/>
      <w:r w:rsidRPr="00947A01">
        <w:rPr>
          <w:rFonts w:ascii="Times New Roman" w:hAnsi="Times New Roman" w:cs="Times New Roman"/>
          <w:color w:val="000000"/>
        </w:rPr>
        <w:t xml:space="preserve"> therapy or surgery. Moreover, in M2F transgender women, in the context of the growing trend of transitioning at younger ages</w:t>
      </w:r>
      <w:proofErr w:type="gramStart"/>
      <w:r w:rsidRPr="00947A01">
        <w:rPr>
          <w:rFonts w:ascii="Times New Roman" w:hAnsi="Times New Roman" w:cs="Times New Roman"/>
          <w:color w:val="000000"/>
        </w:rPr>
        <w:t>,</w:t>
      </w:r>
      <w:r w:rsidRPr="00947A01">
        <w:rPr>
          <w:rFonts w:ascii="Times New Roman" w:hAnsi="Times New Roman" w:cs="Times New Roman"/>
          <w:b/>
          <w:bCs/>
          <w:color w:val="000000"/>
          <w:sz w:val="16"/>
          <w:szCs w:val="16"/>
          <w:vertAlign w:val="superscript"/>
        </w:rPr>
        <w:t>3</w:t>
      </w:r>
      <w:proofErr w:type="gramEnd"/>
      <w:r w:rsidRPr="00947A01">
        <w:rPr>
          <w:rFonts w:ascii="Times New Roman" w:hAnsi="Times New Roman" w:cs="Times New Roman"/>
          <w:b/>
          <w:bCs/>
          <w:color w:val="000000"/>
          <w:sz w:val="16"/>
          <w:szCs w:val="16"/>
          <w:vertAlign w:val="superscript"/>
        </w:rPr>
        <w:t> </w:t>
      </w:r>
      <w:r w:rsidRPr="00947A01">
        <w:rPr>
          <w:rFonts w:ascii="Times New Roman" w:hAnsi="Times New Roman" w:cs="Times New Roman"/>
          <w:color w:val="000000"/>
        </w:rPr>
        <w:t>and the necessity to preserve germ cells prior to the onset of hormone therapy, this addition is actually essential to ensure that future embryos in this population are ‘permitted’.</w:t>
      </w:r>
    </w:p>
    <w:p w:rsidR="00947A01" w:rsidRPr="00947A01" w:rsidRDefault="00947A01" w:rsidP="00947A01">
      <w:pPr>
        <w:spacing w:line="480" w:lineRule="atLeast"/>
        <w:jc w:val="both"/>
        <w:rPr>
          <w:rFonts w:ascii="Times" w:hAnsi="Times" w:cs="Times New Roman"/>
          <w:color w:val="000000"/>
        </w:rPr>
      </w:pPr>
      <w:r w:rsidRPr="00947A01">
        <w:rPr>
          <w:rFonts w:ascii="Times New Roman" w:hAnsi="Times New Roman" w:cs="Times New Roman"/>
          <w:color w:val="000000"/>
        </w:rPr>
        <w:t> </w:t>
      </w:r>
    </w:p>
    <w:p w:rsidR="00947A01" w:rsidRPr="00947A01" w:rsidRDefault="00947A01" w:rsidP="00947A01">
      <w:pPr>
        <w:spacing w:line="480" w:lineRule="atLeast"/>
        <w:jc w:val="both"/>
        <w:rPr>
          <w:rFonts w:ascii="Times" w:hAnsi="Times" w:cs="Times New Roman"/>
          <w:color w:val="000000"/>
        </w:rPr>
      </w:pPr>
      <w:r w:rsidRPr="00947A01">
        <w:rPr>
          <w:rFonts w:ascii="Times New Roman" w:hAnsi="Times New Roman" w:cs="Times New Roman"/>
          <w:color w:val="000000"/>
        </w:rPr>
        <w:t>Even if the interpretation of Hammond Browning </w:t>
      </w:r>
      <w:proofErr w:type="gramStart"/>
      <w:r w:rsidRPr="00947A01">
        <w:rPr>
          <w:rFonts w:ascii="Times New Roman" w:hAnsi="Times New Roman" w:cs="Times New Roman"/>
          <w:color w:val="000000"/>
        </w:rPr>
        <w:t>is</w:t>
      </w:r>
      <w:proofErr w:type="gramEnd"/>
      <w:r w:rsidRPr="00947A01">
        <w:rPr>
          <w:rFonts w:ascii="Times New Roman" w:hAnsi="Times New Roman" w:cs="Times New Roman"/>
          <w:color w:val="000000"/>
        </w:rPr>
        <w:t xml:space="preserve"> correct, the statutory provisions would conflict with the Gender Recognition Act 2004, which states a person’s gender becomes, for all purposes, the acquired gender, once a full gender recognition certificate has been issued. A transgender woman seeking </w:t>
      </w:r>
      <w:proofErr w:type="spellStart"/>
      <w:r w:rsidRPr="00947A01">
        <w:rPr>
          <w:rFonts w:ascii="Times New Roman" w:hAnsi="Times New Roman" w:cs="Times New Roman"/>
          <w:color w:val="000000"/>
        </w:rPr>
        <w:t>UTx</w:t>
      </w:r>
      <w:proofErr w:type="spellEnd"/>
      <w:r w:rsidRPr="00947A01">
        <w:rPr>
          <w:rFonts w:ascii="Times New Roman" w:hAnsi="Times New Roman" w:cs="Times New Roman"/>
          <w:color w:val="000000"/>
        </w:rPr>
        <w:t> may also challenge the aforementioned provisions on the grounds it breaches her Article 8 and 14 rights under the European Convention of Human Rights, in the absence of any persuasive reason or legitimate aim which justifies the interference.</w:t>
      </w:r>
      <w:r w:rsidRPr="00947A01">
        <w:rPr>
          <w:rFonts w:ascii="Times New Roman" w:hAnsi="Times New Roman" w:cs="Times New Roman"/>
          <w:color w:val="000000"/>
          <w:sz w:val="16"/>
          <w:szCs w:val="16"/>
          <w:vertAlign w:val="superscript"/>
        </w:rPr>
        <w:t>4</w:t>
      </w:r>
    </w:p>
    <w:p w:rsidR="00947A01" w:rsidRPr="00947A01" w:rsidRDefault="00947A01" w:rsidP="00947A01">
      <w:pPr>
        <w:spacing w:line="420" w:lineRule="atLeast"/>
        <w:jc w:val="both"/>
        <w:rPr>
          <w:rFonts w:ascii="Times" w:hAnsi="Times" w:cs="Times New Roman"/>
          <w:color w:val="000000"/>
          <w:sz w:val="21"/>
          <w:szCs w:val="21"/>
        </w:rPr>
      </w:pPr>
      <w:r w:rsidRPr="00947A01">
        <w:rPr>
          <w:rFonts w:ascii="Times New Roman" w:hAnsi="Times New Roman" w:cs="Times New Roman"/>
          <w:color w:val="000000"/>
          <w:sz w:val="21"/>
          <w:szCs w:val="21"/>
        </w:rPr>
        <w:t> </w:t>
      </w:r>
    </w:p>
    <w:p w:rsidR="00947A01" w:rsidRPr="00947A01" w:rsidRDefault="00947A01" w:rsidP="00947A01">
      <w:pPr>
        <w:spacing w:line="480" w:lineRule="atLeast"/>
        <w:jc w:val="both"/>
        <w:rPr>
          <w:rFonts w:ascii="Times" w:hAnsi="Times" w:cs="Times New Roman"/>
          <w:color w:val="000000"/>
        </w:rPr>
      </w:pPr>
      <w:r w:rsidRPr="00947A01">
        <w:rPr>
          <w:rFonts w:ascii="Times New Roman" w:hAnsi="Times New Roman" w:cs="Times New Roman"/>
          <w:color w:val="000000"/>
        </w:rPr>
        <w:t xml:space="preserve">We concur with </w:t>
      </w:r>
      <w:proofErr w:type="spellStart"/>
      <w:r w:rsidRPr="00947A01">
        <w:rPr>
          <w:rFonts w:ascii="Times New Roman" w:hAnsi="Times New Roman" w:cs="Times New Roman"/>
          <w:color w:val="000000"/>
        </w:rPr>
        <w:t>Hamond</w:t>
      </w:r>
      <w:proofErr w:type="spellEnd"/>
      <w:r w:rsidRPr="00947A01">
        <w:rPr>
          <w:rFonts w:ascii="Times New Roman" w:hAnsi="Times New Roman" w:cs="Times New Roman"/>
          <w:color w:val="000000"/>
        </w:rPr>
        <w:t>-Browning that for future legislation to be fit for purpose proactive debate on </w:t>
      </w:r>
      <w:proofErr w:type="spellStart"/>
      <w:r w:rsidRPr="00947A01">
        <w:rPr>
          <w:rFonts w:ascii="Times New Roman" w:hAnsi="Times New Roman" w:cs="Times New Roman"/>
          <w:color w:val="000000"/>
        </w:rPr>
        <w:t>UTx</w:t>
      </w:r>
      <w:proofErr w:type="spellEnd"/>
      <w:r w:rsidRPr="00947A01">
        <w:rPr>
          <w:rFonts w:ascii="Times New Roman" w:hAnsi="Times New Roman" w:cs="Times New Roman"/>
          <w:color w:val="000000"/>
        </w:rPr>
        <w:t xml:space="preserve"> is essential as soon as possible. Given the two Acts which govern this area were drafted before the first </w:t>
      </w:r>
      <w:proofErr w:type="spellStart"/>
      <w:r w:rsidRPr="00947A01">
        <w:rPr>
          <w:rFonts w:ascii="Times New Roman" w:hAnsi="Times New Roman" w:cs="Times New Roman"/>
          <w:color w:val="000000"/>
        </w:rPr>
        <w:t>livebirth</w:t>
      </w:r>
      <w:proofErr w:type="spellEnd"/>
      <w:r w:rsidRPr="00947A01">
        <w:rPr>
          <w:rFonts w:ascii="Times New Roman" w:hAnsi="Times New Roman" w:cs="Times New Roman"/>
          <w:color w:val="000000"/>
        </w:rPr>
        <w:t xml:space="preserve"> following </w:t>
      </w:r>
      <w:proofErr w:type="spellStart"/>
      <w:r w:rsidRPr="00947A01">
        <w:rPr>
          <w:rFonts w:ascii="Times New Roman" w:hAnsi="Times New Roman" w:cs="Times New Roman"/>
          <w:color w:val="000000"/>
        </w:rPr>
        <w:t>UTx</w:t>
      </w:r>
      <w:proofErr w:type="spellEnd"/>
      <w:r w:rsidRPr="00947A01">
        <w:rPr>
          <w:rFonts w:ascii="Times New Roman" w:hAnsi="Times New Roman" w:cs="Times New Roman"/>
          <w:color w:val="000000"/>
        </w:rPr>
        <w:t xml:space="preserve">, and particularly now after 13 </w:t>
      </w:r>
      <w:proofErr w:type="spellStart"/>
      <w:r w:rsidRPr="00947A01">
        <w:rPr>
          <w:rFonts w:ascii="Times New Roman" w:hAnsi="Times New Roman" w:cs="Times New Roman"/>
          <w:color w:val="000000"/>
        </w:rPr>
        <w:t>livebirths</w:t>
      </w:r>
      <w:proofErr w:type="spellEnd"/>
      <w:r w:rsidRPr="00947A01">
        <w:rPr>
          <w:rFonts w:ascii="Times New Roman" w:hAnsi="Times New Roman" w:cs="Times New Roman"/>
          <w:color w:val="000000"/>
        </w:rPr>
        <w:t xml:space="preserve">, it is clear current legislation is not equipped to govern this rapidly advancing field. If </w:t>
      </w:r>
      <w:proofErr w:type="spellStart"/>
      <w:r w:rsidRPr="00947A01">
        <w:rPr>
          <w:rFonts w:ascii="Times New Roman" w:hAnsi="Times New Roman" w:cs="Times New Roman"/>
          <w:color w:val="000000"/>
        </w:rPr>
        <w:t>UTx</w:t>
      </w:r>
      <w:proofErr w:type="spellEnd"/>
      <w:r w:rsidRPr="00947A01">
        <w:rPr>
          <w:rFonts w:ascii="Times New Roman" w:hAnsi="Times New Roman" w:cs="Times New Roman"/>
          <w:color w:val="000000"/>
        </w:rPr>
        <w:t xml:space="preserve"> proves feasible in M2F transgender women as proposed</w:t>
      </w:r>
      <w:proofErr w:type="gramStart"/>
      <w:r w:rsidRPr="00947A01">
        <w:rPr>
          <w:rFonts w:ascii="Times New Roman" w:hAnsi="Times New Roman" w:cs="Times New Roman"/>
          <w:color w:val="000000"/>
        </w:rPr>
        <w:t>,</w:t>
      </w:r>
      <w:r w:rsidRPr="00947A01">
        <w:rPr>
          <w:rFonts w:ascii="Times New Roman" w:hAnsi="Times New Roman" w:cs="Times New Roman"/>
          <w:b/>
          <w:bCs/>
          <w:color w:val="000000"/>
          <w:sz w:val="16"/>
          <w:szCs w:val="16"/>
          <w:vertAlign w:val="superscript"/>
        </w:rPr>
        <w:t>5</w:t>
      </w:r>
      <w:proofErr w:type="gramEnd"/>
      <w:r w:rsidRPr="00947A01">
        <w:rPr>
          <w:rFonts w:ascii="Times New Roman" w:hAnsi="Times New Roman" w:cs="Times New Roman"/>
          <w:color w:val="000000"/>
        </w:rPr>
        <w:t> it is essential that governing regulations evolve concomitantly to meet the demands and needs of modern-day families.</w:t>
      </w:r>
    </w:p>
    <w:p w:rsidR="00947A01" w:rsidRPr="00947A01" w:rsidRDefault="00947A01" w:rsidP="00947A01">
      <w:pPr>
        <w:spacing w:line="315" w:lineRule="atLeast"/>
        <w:jc w:val="both"/>
        <w:rPr>
          <w:rFonts w:ascii="Times" w:hAnsi="Times" w:cs="Times New Roman"/>
          <w:color w:val="000000"/>
          <w:sz w:val="21"/>
          <w:szCs w:val="21"/>
        </w:rPr>
      </w:pPr>
      <w:r w:rsidRPr="00947A01">
        <w:rPr>
          <w:rFonts w:ascii="Times New Roman" w:hAnsi="Times New Roman" w:cs="Times New Roman"/>
          <w:color w:val="000000"/>
          <w:sz w:val="21"/>
          <w:szCs w:val="21"/>
        </w:rPr>
        <w:t> </w:t>
      </w:r>
    </w:p>
    <w:p w:rsidR="00947A01" w:rsidRPr="00947A01" w:rsidRDefault="00947A01" w:rsidP="00947A01">
      <w:pPr>
        <w:spacing w:after="200" w:line="440" w:lineRule="atLeast"/>
        <w:rPr>
          <w:rFonts w:ascii="Times" w:hAnsi="Times" w:cs="Times New Roman"/>
          <w:color w:val="000000"/>
          <w:sz w:val="22"/>
          <w:szCs w:val="22"/>
        </w:rPr>
      </w:pPr>
      <w:r w:rsidRPr="00947A01">
        <w:rPr>
          <w:rFonts w:ascii="Times New Roman" w:hAnsi="Times New Roman" w:cs="Times New Roman"/>
          <w:color w:val="000000"/>
          <w:sz w:val="22"/>
          <w:szCs w:val="22"/>
        </w:rPr>
        <w:t> </w:t>
      </w:r>
    </w:p>
    <w:p w:rsidR="00947A01" w:rsidRPr="00947A01" w:rsidRDefault="00947A01" w:rsidP="00947A01">
      <w:pPr>
        <w:spacing w:after="200" w:line="440" w:lineRule="atLeast"/>
        <w:rPr>
          <w:rFonts w:ascii="Times" w:hAnsi="Times" w:cs="Times New Roman"/>
          <w:color w:val="000000"/>
          <w:sz w:val="22"/>
          <w:szCs w:val="22"/>
        </w:rPr>
      </w:pPr>
      <w:r w:rsidRPr="00947A01">
        <w:rPr>
          <w:rFonts w:ascii="Times New Roman" w:hAnsi="Times New Roman" w:cs="Times New Roman"/>
          <w:color w:val="000000"/>
          <w:sz w:val="22"/>
          <w:szCs w:val="22"/>
        </w:rPr>
        <w:t> </w:t>
      </w:r>
    </w:p>
    <w:p w:rsidR="00947A01" w:rsidRPr="00947A01" w:rsidRDefault="00947A01" w:rsidP="00947A01">
      <w:pPr>
        <w:spacing w:after="200" w:line="440" w:lineRule="atLeast"/>
        <w:rPr>
          <w:rFonts w:ascii="Times" w:hAnsi="Times" w:cs="Times New Roman"/>
          <w:color w:val="000000"/>
          <w:sz w:val="22"/>
          <w:szCs w:val="22"/>
        </w:rPr>
      </w:pPr>
      <w:r w:rsidRPr="00947A01">
        <w:rPr>
          <w:rFonts w:ascii="Times New Roman" w:hAnsi="Times New Roman" w:cs="Times New Roman"/>
          <w:color w:val="000000"/>
          <w:sz w:val="22"/>
          <w:szCs w:val="22"/>
        </w:rPr>
        <w:t>Benjamin P Jones</w:t>
      </w:r>
      <w:r w:rsidRPr="00947A01">
        <w:rPr>
          <w:rFonts w:ascii="Times New Roman" w:hAnsi="Times New Roman" w:cs="Times New Roman"/>
          <w:color w:val="000000"/>
          <w:sz w:val="15"/>
          <w:szCs w:val="15"/>
          <w:vertAlign w:val="superscript"/>
        </w:rPr>
        <w:t>1</w:t>
      </w:r>
      <w:proofErr w:type="gramStart"/>
      <w:r w:rsidRPr="00947A01">
        <w:rPr>
          <w:rFonts w:ascii="Times New Roman" w:hAnsi="Times New Roman" w:cs="Times New Roman"/>
          <w:color w:val="000000"/>
          <w:sz w:val="15"/>
          <w:szCs w:val="15"/>
          <w:vertAlign w:val="superscript"/>
        </w:rPr>
        <w:t>,2</w:t>
      </w:r>
      <w:proofErr w:type="gramEnd"/>
      <w:r w:rsidRPr="00947A01">
        <w:rPr>
          <w:rFonts w:ascii="Times New Roman" w:hAnsi="Times New Roman" w:cs="Times New Roman"/>
          <w:color w:val="000000"/>
          <w:sz w:val="22"/>
          <w:szCs w:val="22"/>
        </w:rPr>
        <w:t> Amel Alghrani </w:t>
      </w:r>
      <w:r w:rsidRPr="00947A01">
        <w:rPr>
          <w:rFonts w:ascii="Times New Roman" w:hAnsi="Times New Roman" w:cs="Times New Roman"/>
          <w:color w:val="000000"/>
          <w:sz w:val="15"/>
          <w:szCs w:val="15"/>
          <w:vertAlign w:val="superscript"/>
        </w:rPr>
        <w:t>3</w:t>
      </w:r>
      <w:r w:rsidRPr="00947A01">
        <w:rPr>
          <w:rFonts w:ascii="Times New Roman" w:hAnsi="Times New Roman" w:cs="Times New Roman"/>
          <w:color w:val="000000"/>
          <w:sz w:val="22"/>
          <w:szCs w:val="22"/>
        </w:rPr>
        <w:t> &amp; J Richard Smith</w:t>
      </w:r>
      <w:r w:rsidRPr="00947A01">
        <w:rPr>
          <w:rFonts w:ascii="Times New Roman" w:hAnsi="Times New Roman" w:cs="Times New Roman"/>
          <w:color w:val="000000"/>
          <w:sz w:val="15"/>
          <w:szCs w:val="15"/>
          <w:vertAlign w:val="superscript"/>
        </w:rPr>
        <w:t>1,2</w:t>
      </w:r>
    </w:p>
    <w:p w:rsidR="00947A01" w:rsidRPr="00947A01" w:rsidRDefault="00947A01" w:rsidP="00947A01">
      <w:pPr>
        <w:spacing w:after="200" w:line="440" w:lineRule="atLeast"/>
        <w:rPr>
          <w:rFonts w:ascii="Times" w:hAnsi="Times" w:cs="Times New Roman"/>
          <w:color w:val="000000"/>
          <w:sz w:val="22"/>
          <w:szCs w:val="22"/>
        </w:rPr>
      </w:pPr>
      <w:r w:rsidRPr="00947A01">
        <w:rPr>
          <w:rFonts w:ascii="Times New Roman" w:hAnsi="Times New Roman" w:cs="Times New Roman"/>
          <w:color w:val="000000"/>
          <w:sz w:val="15"/>
          <w:szCs w:val="15"/>
          <w:vertAlign w:val="superscript"/>
        </w:rPr>
        <w:t>1 </w:t>
      </w:r>
      <w:r w:rsidRPr="00947A01">
        <w:rPr>
          <w:rFonts w:ascii="Times New Roman" w:hAnsi="Times New Roman" w:cs="Times New Roman"/>
          <w:color w:val="000000"/>
          <w:sz w:val="22"/>
          <w:szCs w:val="22"/>
        </w:rPr>
        <w:t xml:space="preserve">West London </w:t>
      </w:r>
      <w:proofErr w:type="spellStart"/>
      <w:r w:rsidRPr="00947A01">
        <w:rPr>
          <w:rFonts w:ascii="Times New Roman" w:hAnsi="Times New Roman" w:cs="Times New Roman"/>
          <w:color w:val="000000"/>
          <w:sz w:val="22"/>
          <w:szCs w:val="22"/>
        </w:rPr>
        <w:t>Gynecological</w:t>
      </w:r>
      <w:proofErr w:type="spellEnd"/>
      <w:r w:rsidRPr="00947A01">
        <w:rPr>
          <w:rFonts w:ascii="Times New Roman" w:hAnsi="Times New Roman" w:cs="Times New Roman"/>
          <w:color w:val="000000"/>
          <w:sz w:val="22"/>
          <w:szCs w:val="22"/>
        </w:rPr>
        <w:t xml:space="preserve"> Cancer Centre, Hammersmith Hospital, Imperial College NHS Trust, London, W12 OHS London, UK.</w:t>
      </w:r>
    </w:p>
    <w:p w:rsidR="00947A01" w:rsidRPr="00947A01" w:rsidRDefault="00947A01" w:rsidP="00947A01">
      <w:pPr>
        <w:spacing w:after="200" w:line="440" w:lineRule="atLeast"/>
        <w:rPr>
          <w:rFonts w:ascii="Times" w:hAnsi="Times" w:cs="Times New Roman"/>
          <w:color w:val="000000"/>
          <w:sz w:val="22"/>
          <w:szCs w:val="22"/>
        </w:rPr>
      </w:pPr>
      <w:r w:rsidRPr="00947A01">
        <w:rPr>
          <w:rFonts w:ascii="Times New Roman" w:hAnsi="Times New Roman" w:cs="Times New Roman"/>
          <w:color w:val="000000"/>
          <w:sz w:val="15"/>
          <w:szCs w:val="15"/>
          <w:vertAlign w:val="superscript"/>
        </w:rPr>
        <w:t>2</w:t>
      </w:r>
      <w:r w:rsidRPr="00947A01">
        <w:rPr>
          <w:rFonts w:ascii="Times New Roman" w:hAnsi="Times New Roman" w:cs="Times New Roman"/>
          <w:color w:val="000000"/>
          <w:sz w:val="22"/>
          <w:szCs w:val="22"/>
        </w:rPr>
        <w:t> Department of Surgery and Cancer, Imperial College London, Du Cane Road, London W12 0NN, UK.</w:t>
      </w:r>
    </w:p>
    <w:p w:rsidR="00947A01" w:rsidRPr="00947A01" w:rsidRDefault="00947A01" w:rsidP="00947A01">
      <w:pPr>
        <w:spacing w:after="200" w:line="440" w:lineRule="atLeast"/>
        <w:rPr>
          <w:rFonts w:ascii="Times" w:hAnsi="Times" w:cs="Times New Roman"/>
          <w:color w:val="000000"/>
          <w:sz w:val="22"/>
          <w:szCs w:val="22"/>
        </w:rPr>
      </w:pPr>
      <w:r w:rsidRPr="00947A01">
        <w:rPr>
          <w:rFonts w:ascii="Times New Roman" w:hAnsi="Times New Roman" w:cs="Times New Roman"/>
          <w:color w:val="000000"/>
          <w:sz w:val="15"/>
          <w:szCs w:val="15"/>
          <w:vertAlign w:val="superscript"/>
        </w:rPr>
        <w:t>3 </w:t>
      </w:r>
      <w:r w:rsidRPr="00947A01">
        <w:rPr>
          <w:rFonts w:ascii="Times New Roman" w:hAnsi="Times New Roman" w:cs="Times New Roman"/>
          <w:color w:val="000000"/>
          <w:sz w:val="22"/>
          <w:szCs w:val="22"/>
        </w:rPr>
        <w:t>University of Liverpool, School of Law and Social Justice, Eleanor Rathbone Building, Liverpool, L69 7WW.</w:t>
      </w:r>
    </w:p>
    <w:p w:rsidR="00947A01" w:rsidRPr="00947A01" w:rsidRDefault="00947A01" w:rsidP="00947A01">
      <w:pPr>
        <w:spacing w:after="200" w:line="440" w:lineRule="atLeast"/>
        <w:jc w:val="both"/>
        <w:rPr>
          <w:rFonts w:ascii="Times" w:hAnsi="Times" w:cs="Times New Roman"/>
          <w:color w:val="000000"/>
          <w:sz w:val="22"/>
          <w:szCs w:val="22"/>
        </w:rPr>
      </w:pPr>
      <w:r w:rsidRPr="00947A01">
        <w:rPr>
          <w:rFonts w:ascii="Times New Roman" w:hAnsi="Times New Roman" w:cs="Times New Roman"/>
          <w:b/>
          <w:bCs/>
          <w:color w:val="000000"/>
          <w:sz w:val="22"/>
          <w:szCs w:val="22"/>
        </w:rPr>
        <w:t> </w:t>
      </w:r>
    </w:p>
    <w:p w:rsidR="00947A01" w:rsidRPr="00947A01" w:rsidRDefault="00947A01" w:rsidP="00947A01">
      <w:pPr>
        <w:spacing w:after="200" w:line="480" w:lineRule="atLeast"/>
        <w:jc w:val="both"/>
        <w:rPr>
          <w:rFonts w:ascii="Times" w:hAnsi="Times" w:cs="Times New Roman"/>
          <w:color w:val="000000"/>
        </w:rPr>
      </w:pPr>
      <w:r w:rsidRPr="00947A01">
        <w:rPr>
          <w:rFonts w:ascii="Times New Roman" w:hAnsi="Times New Roman" w:cs="Times New Roman"/>
          <w:b/>
          <w:bCs/>
          <w:color w:val="000000"/>
          <w:sz w:val="22"/>
          <w:szCs w:val="22"/>
        </w:rPr>
        <w:t>References</w:t>
      </w:r>
    </w:p>
    <w:p w:rsidR="00947A01" w:rsidRPr="00947A01" w:rsidRDefault="00947A01" w:rsidP="00947A01">
      <w:pPr>
        <w:numPr>
          <w:ilvl w:val="0"/>
          <w:numId w:val="1"/>
        </w:numPr>
        <w:spacing w:before="100" w:beforeAutospacing="1" w:after="100" w:afterAutospacing="1"/>
        <w:ind w:left="640"/>
        <w:rPr>
          <w:rFonts w:ascii="Times New Roman" w:eastAsia="Times New Roman" w:hAnsi="Times New Roman" w:cs="Times New Roman"/>
          <w:color w:val="000000"/>
        </w:rPr>
      </w:pPr>
      <w:r w:rsidRPr="00947A01">
        <w:rPr>
          <w:rFonts w:ascii="Cambria" w:eastAsia="Times New Roman" w:hAnsi="Cambria" w:cs="Times New Roman"/>
          <w:color w:val="000000"/>
        </w:rPr>
        <w:t xml:space="preserve">Hammond-Browning, N., Uterine Transplantation in Transgender Women: Medical, Legal and Ethical Considerations. BJOG 2018 Oct 1. </w:t>
      </w:r>
      <w:proofErr w:type="spellStart"/>
      <w:proofErr w:type="gramStart"/>
      <w:r w:rsidRPr="00947A01">
        <w:rPr>
          <w:rFonts w:ascii="Cambria" w:eastAsia="Times New Roman" w:hAnsi="Cambria" w:cs="Times New Roman"/>
          <w:color w:val="000000"/>
        </w:rPr>
        <w:t>doi</w:t>
      </w:r>
      <w:proofErr w:type="spellEnd"/>
      <w:proofErr w:type="gramEnd"/>
      <w:r w:rsidRPr="00947A01">
        <w:rPr>
          <w:rFonts w:ascii="Cambria" w:eastAsia="Times New Roman" w:hAnsi="Cambria" w:cs="Times New Roman"/>
          <w:color w:val="000000"/>
        </w:rPr>
        <w:t>: 10.1111/1471-0528.15482</w:t>
      </w:r>
    </w:p>
    <w:p w:rsidR="00947A01" w:rsidRPr="00947A01" w:rsidRDefault="00947A01" w:rsidP="00947A01">
      <w:pPr>
        <w:numPr>
          <w:ilvl w:val="0"/>
          <w:numId w:val="1"/>
        </w:numPr>
        <w:spacing w:before="100" w:beforeAutospacing="1" w:after="100" w:afterAutospacing="1"/>
        <w:ind w:left="642"/>
        <w:rPr>
          <w:rFonts w:ascii="Cambria" w:eastAsia="Times New Roman" w:hAnsi="Cambria" w:cs="Times New Roman"/>
          <w:color w:val="000000"/>
        </w:rPr>
      </w:pPr>
      <w:r w:rsidRPr="00947A01">
        <w:rPr>
          <w:rFonts w:ascii="Cambria" w:eastAsia="Times New Roman" w:hAnsi="Cambria" w:cs="Times New Roman"/>
          <w:color w:val="000000"/>
        </w:rPr>
        <w:t xml:space="preserve">Anderson RA, Mitchell RT, Kelsey TW, Spears N, </w:t>
      </w:r>
      <w:proofErr w:type="spellStart"/>
      <w:r w:rsidRPr="00947A01">
        <w:rPr>
          <w:rFonts w:ascii="Cambria" w:eastAsia="Times New Roman" w:hAnsi="Cambria" w:cs="Times New Roman"/>
          <w:color w:val="000000"/>
        </w:rPr>
        <w:t>Telfer</w:t>
      </w:r>
      <w:proofErr w:type="spellEnd"/>
      <w:r w:rsidRPr="00947A01">
        <w:rPr>
          <w:rFonts w:ascii="Cambria" w:eastAsia="Times New Roman" w:hAnsi="Cambria" w:cs="Times New Roman"/>
          <w:color w:val="000000"/>
        </w:rPr>
        <w:t xml:space="preserve"> EE, Wallace WH. Cancer treatment and gonadal function: experimental and established strategies for fertility preservation in children and young adults. Lancet Diabetes </w:t>
      </w:r>
      <w:proofErr w:type="spellStart"/>
      <w:r w:rsidRPr="00947A01">
        <w:rPr>
          <w:rFonts w:ascii="Cambria" w:eastAsia="Times New Roman" w:hAnsi="Cambria" w:cs="Times New Roman"/>
          <w:color w:val="000000"/>
        </w:rPr>
        <w:t>Endocrinol</w:t>
      </w:r>
      <w:proofErr w:type="spellEnd"/>
      <w:r w:rsidRPr="00947A01">
        <w:rPr>
          <w:rFonts w:ascii="Cambria" w:eastAsia="Times New Roman" w:hAnsi="Cambria" w:cs="Times New Roman"/>
          <w:color w:val="000000"/>
        </w:rPr>
        <w:t>. 2015 Jul</w:t>
      </w:r>
      <w:proofErr w:type="gramStart"/>
      <w:r w:rsidRPr="00947A01">
        <w:rPr>
          <w:rFonts w:ascii="Cambria" w:eastAsia="Times New Roman" w:hAnsi="Cambria" w:cs="Times New Roman"/>
          <w:color w:val="000000"/>
        </w:rPr>
        <w:t>;3</w:t>
      </w:r>
      <w:proofErr w:type="gramEnd"/>
      <w:r w:rsidRPr="00947A01">
        <w:rPr>
          <w:rFonts w:ascii="Cambria" w:eastAsia="Times New Roman" w:hAnsi="Cambria" w:cs="Times New Roman"/>
          <w:color w:val="000000"/>
        </w:rPr>
        <w:t xml:space="preserve">(7):556-67. </w:t>
      </w:r>
      <w:proofErr w:type="spellStart"/>
      <w:proofErr w:type="gramStart"/>
      <w:r w:rsidRPr="00947A01">
        <w:rPr>
          <w:rFonts w:ascii="Cambria" w:eastAsia="Times New Roman" w:hAnsi="Cambria" w:cs="Times New Roman"/>
          <w:color w:val="000000"/>
        </w:rPr>
        <w:t>doi</w:t>
      </w:r>
      <w:proofErr w:type="spellEnd"/>
      <w:proofErr w:type="gramEnd"/>
      <w:r w:rsidRPr="00947A01">
        <w:rPr>
          <w:rFonts w:ascii="Cambria" w:eastAsia="Times New Roman" w:hAnsi="Cambria" w:cs="Times New Roman"/>
          <w:color w:val="000000"/>
        </w:rPr>
        <w:t>: 10.1016/S2213-8587(15)00039-X</w:t>
      </w:r>
    </w:p>
    <w:p w:rsidR="00947A01" w:rsidRPr="00947A01" w:rsidRDefault="00947A01" w:rsidP="00947A01">
      <w:pPr>
        <w:numPr>
          <w:ilvl w:val="0"/>
          <w:numId w:val="1"/>
        </w:numPr>
        <w:spacing w:before="100" w:beforeAutospacing="1" w:after="100" w:afterAutospacing="1"/>
        <w:ind w:left="642"/>
        <w:rPr>
          <w:rFonts w:ascii="Cambria" w:eastAsia="Times New Roman" w:hAnsi="Cambria" w:cs="Times New Roman"/>
          <w:color w:val="000000"/>
        </w:rPr>
      </w:pPr>
      <w:r w:rsidRPr="00947A01">
        <w:rPr>
          <w:rFonts w:ascii="Cambria" w:eastAsia="Times New Roman" w:hAnsi="Cambria" w:cs="Times New Roman"/>
          <w:color w:val="000000"/>
        </w:rPr>
        <w:t xml:space="preserve">Wood H, Sasaki S, Bradley SJ, Singh D, </w:t>
      </w:r>
      <w:proofErr w:type="spellStart"/>
      <w:r w:rsidRPr="00947A01">
        <w:rPr>
          <w:rFonts w:ascii="Cambria" w:eastAsia="Times New Roman" w:hAnsi="Cambria" w:cs="Times New Roman"/>
          <w:color w:val="000000"/>
        </w:rPr>
        <w:t>Fantus</w:t>
      </w:r>
      <w:proofErr w:type="spellEnd"/>
      <w:r w:rsidRPr="00947A01">
        <w:rPr>
          <w:rFonts w:ascii="Cambria" w:eastAsia="Times New Roman" w:hAnsi="Cambria" w:cs="Times New Roman"/>
          <w:color w:val="000000"/>
        </w:rPr>
        <w:t xml:space="preserve"> S, Owen-Anderson A, Di </w:t>
      </w:r>
      <w:proofErr w:type="spellStart"/>
      <w:r w:rsidRPr="00947A01">
        <w:rPr>
          <w:rFonts w:ascii="Cambria" w:eastAsia="Times New Roman" w:hAnsi="Cambria" w:cs="Times New Roman"/>
          <w:color w:val="000000"/>
        </w:rPr>
        <w:t>Giacomo</w:t>
      </w:r>
      <w:proofErr w:type="spellEnd"/>
      <w:r w:rsidRPr="00947A01">
        <w:rPr>
          <w:rFonts w:ascii="Cambria" w:eastAsia="Times New Roman" w:hAnsi="Cambria" w:cs="Times New Roman"/>
          <w:color w:val="000000"/>
        </w:rPr>
        <w:t xml:space="preserve"> A, Bain J, </w:t>
      </w:r>
      <w:proofErr w:type="spellStart"/>
      <w:r w:rsidRPr="00947A01">
        <w:rPr>
          <w:rFonts w:ascii="Cambria" w:eastAsia="Times New Roman" w:hAnsi="Cambria" w:cs="Times New Roman"/>
          <w:color w:val="000000"/>
        </w:rPr>
        <w:t>Zucker</w:t>
      </w:r>
      <w:proofErr w:type="spellEnd"/>
      <w:r w:rsidRPr="00947A01">
        <w:rPr>
          <w:rFonts w:ascii="Cambria" w:eastAsia="Times New Roman" w:hAnsi="Cambria" w:cs="Times New Roman"/>
          <w:color w:val="000000"/>
        </w:rPr>
        <w:t xml:space="preserve"> KJ. Patterns of referral to a gender identity service for children and adolescents (1976-2011): age, sex ratio, and sexual orientation. J Sex Marital </w:t>
      </w:r>
      <w:proofErr w:type="spellStart"/>
      <w:r w:rsidRPr="00947A01">
        <w:rPr>
          <w:rFonts w:ascii="Cambria" w:eastAsia="Times New Roman" w:hAnsi="Cambria" w:cs="Times New Roman"/>
          <w:color w:val="000000"/>
        </w:rPr>
        <w:t>Ther</w:t>
      </w:r>
      <w:proofErr w:type="spellEnd"/>
      <w:r w:rsidRPr="00947A01">
        <w:rPr>
          <w:rFonts w:ascii="Cambria" w:eastAsia="Times New Roman" w:hAnsi="Cambria" w:cs="Times New Roman"/>
          <w:color w:val="000000"/>
        </w:rPr>
        <w:t>. 2013</w:t>
      </w:r>
      <w:proofErr w:type="gramStart"/>
      <w:r w:rsidRPr="00947A01">
        <w:rPr>
          <w:rFonts w:ascii="Cambria" w:eastAsia="Times New Roman" w:hAnsi="Cambria" w:cs="Times New Roman"/>
          <w:color w:val="000000"/>
        </w:rPr>
        <w:t>;39</w:t>
      </w:r>
      <w:proofErr w:type="gramEnd"/>
      <w:r w:rsidRPr="00947A01">
        <w:rPr>
          <w:rFonts w:ascii="Cambria" w:eastAsia="Times New Roman" w:hAnsi="Cambria" w:cs="Times New Roman"/>
          <w:color w:val="000000"/>
        </w:rPr>
        <w:t xml:space="preserve">(1):1-6. </w:t>
      </w:r>
      <w:proofErr w:type="spellStart"/>
      <w:proofErr w:type="gramStart"/>
      <w:r w:rsidRPr="00947A01">
        <w:rPr>
          <w:rFonts w:ascii="Cambria" w:eastAsia="Times New Roman" w:hAnsi="Cambria" w:cs="Times New Roman"/>
          <w:color w:val="000000"/>
        </w:rPr>
        <w:t>doi</w:t>
      </w:r>
      <w:proofErr w:type="spellEnd"/>
      <w:proofErr w:type="gramEnd"/>
      <w:r w:rsidRPr="00947A01">
        <w:rPr>
          <w:rFonts w:ascii="Cambria" w:eastAsia="Times New Roman" w:hAnsi="Cambria" w:cs="Times New Roman"/>
          <w:color w:val="000000"/>
        </w:rPr>
        <w:t>: 10.1080/0092623X.2012.675022</w:t>
      </w:r>
    </w:p>
    <w:p w:rsidR="00947A01" w:rsidRPr="00947A01" w:rsidRDefault="00947A01" w:rsidP="00947A01">
      <w:pPr>
        <w:numPr>
          <w:ilvl w:val="0"/>
          <w:numId w:val="1"/>
        </w:numPr>
        <w:spacing w:before="100" w:beforeAutospacing="1" w:after="100" w:afterAutospacing="1"/>
        <w:ind w:left="642"/>
        <w:rPr>
          <w:rFonts w:ascii="Cambria" w:eastAsia="Times New Roman" w:hAnsi="Cambria" w:cs="Times New Roman"/>
          <w:color w:val="000000"/>
        </w:rPr>
      </w:pPr>
      <w:r w:rsidRPr="00947A01">
        <w:rPr>
          <w:rFonts w:ascii="Cambria" w:eastAsia="Times New Roman" w:hAnsi="Cambria" w:cs="Times New Roman"/>
          <w:color w:val="000000"/>
        </w:rPr>
        <w:t>A. Alghrani. Assisted Reproductive Technologies: New Horizons - Cambridge University Press. 2018.</w:t>
      </w:r>
    </w:p>
    <w:p w:rsidR="00947A01" w:rsidRPr="00947A01" w:rsidRDefault="00947A01" w:rsidP="00947A01">
      <w:pPr>
        <w:numPr>
          <w:ilvl w:val="0"/>
          <w:numId w:val="1"/>
        </w:numPr>
        <w:spacing w:before="100" w:beforeAutospacing="1" w:after="200"/>
        <w:ind w:left="642"/>
        <w:rPr>
          <w:rFonts w:ascii="Cambria" w:eastAsia="Times New Roman" w:hAnsi="Cambria" w:cs="Times New Roman"/>
          <w:color w:val="000000"/>
        </w:rPr>
      </w:pPr>
      <w:r w:rsidRPr="00947A01">
        <w:rPr>
          <w:rFonts w:ascii="Cambria" w:eastAsia="Times New Roman" w:hAnsi="Cambria" w:cs="Times New Roman"/>
          <w:color w:val="000000"/>
        </w:rPr>
        <w:t xml:space="preserve">Jones BP, Williams NJ, </w:t>
      </w:r>
      <w:proofErr w:type="spellStart"/>
      <w:r w:rsidRPr="00947A01">
        <w:rPr>
          <w:rFonts w:ascii="Cambria" w:eastAsia="Times New Roman" w:hAnsi="Cambria" w:cs="Times New Roman"/>
          <w:color w:val="000000"/>
        </w:rPr>
        <w:t>Saso</w:t>
      </w:r>
      <w:proofErr w:type="spellEnd"/>
      <w:r w:rsidRPr="00947A01">
        <w:rPr>
          <w:rFonts w:ascii="Cambria" w:eastAsia="Times New Roman" w:hAnsi="Cambria" w:cs="Times New Roman"/>
          <w:color w:val="000000"/>
        </w:rPr>
        <w:t xml:space="preserve"> S, </w:t>
      </w:r>
      <w:proofErr w:type="spellStart"/>
      <w:r w:rsidRPr="00947A01">
        <w:rPr>
          <w:rFonts w:ascii="Cambria" w:eastAsia="Times New Roman" w:hAnsi="Cambria" w:cs="Times New Roman"/>
          <w:color w:val="000000"/>
        </w:rPr>
        <w:t>Thum</w:t>
      </w:r>
      <w:proofErr w:type="spellEnd"/>
      <w:r w:rsidRPr="00947A01">
        <w:rPr>
          <w:rFonts w:ascii="Cambria" w:eastAsia="Times New Roman" w:hAnsi="Cambria" w:cs="Times New Roman"/>
          <w:color w:val="000000"/>
        </w:rPr>
        <w:t xml:space="preserve"> MY, </w:t>
      </w:r>
      <w:proofErr w:type="spellStart"/>
      <w:r w:rsidRPr="00947A01">
        <w:rPr>
          <w:rFonts w:ascii="Cambria" w:eastAsia="Times New Roman" w:hAnsi="Cambria" w:cs="Times New Roman"/>
          <w:color w:val="000000"/>
        </w:rPr>
        <w:t>Quiroga</w:t>
      </w:r>
      <w:proofErr w:type="spellEnd"/>
      <w:r w:rsidRPr="00947A01">
        <w:rPr>
          <w:rFonts w:ascii="Cambria" w:eastAsia="Times New Roman" w:hAnsi="Cambria" w:cs="Times New Roman"/>
          <w:color w:val="000000"/>
        </w:rPr>
        <w:t xml:space="preserve"> I, </w:t>
      </w:r>
      <w:proofErr w:type="spellStart"/>
      <w:r w:rsidRPr="00947A01">
        <w:rPr>
          <w:rFonts w:ascii="Cambria" w:eastAsia="Times New Roman" w:hAnsi="Cambria" w:cs="Times New Roman"/>
          <w:color w:val="000000"/>
        </w:rPr>
        <w:t>Yazbek</w:t>
      </w:r>
      <w:proofErr w:type="spellEnd"/>
      <w:r w:rsidRPr="00947A01">
        <w:rPr>
          <w:rFonts w:ascii="Cambria" w:eastAsia="Times New Roman" w:hAnsi="Cambria" w:cs="Times New Roman"/>
          <w:color w:val="000000"/>
        </w:rPr>
        <w:t xml:space="preserve"> J, Wilkinson S, </w:t>
      </w:r>
      <w:proofErr w:type="spellStart"/>
      <w:r w:rsidRPr="00947A01">
        <w:rPr>
          <w:rFonts w:ascii="Cambria" w:eastAsia="Times New Roman" w:hAnsi="Cambria" w:cs="Times New Roman"/>
          <w:color w:val="000000"/>
        </w:rPr>
        <w:t>Ghaem-Maghami</w:t>
      </w:r>
      <w:proofErr w:type="spellEnd"/>
      <w:r w:rsidRPr="00947A01">
        <w:rPr>
          <w:rFonts w:ascii="Cambria" w:eastAsia="Times New Roman" w:hAnsi="Cambria" w:cs="Times New Roman"/>
          <w:color w:val="000000"/>
        </w:rPr>
        <w:t xml:space="preserve"> S, Thomas P, Smith JR. Uterine transplantation in transgender women. BJOG. 2018 Aug 20. </w:t>
      </w:r>
      <w:proofErr w:type="spellStart"/>
      <w:proofErr w:type="gramStart"/>
      <w:r w:rsidRPr="00947A01">
        <w:rPr>
          <w:rFonts w:ascii="Cambria" w:eastAsia="Times New Roman" w:hAnsi="Cambria" w:cs="Times New Roman"/>
          <w:color w:val="000000"/>
        </w:rPr>
        <w:t>doi</w:t>
      </w:r>
      <w:proofErr w:type="spellEnd"/>
      <w:proofErr w:type="gramEnd"/>
      <w:r w:rsidRPr="00947A01">
        <w:rPr>
          <w:rFonts w:ascii="Cambria" w:eastAsia="Times New Roman" w:hAnsi="Cambria" w:cs="Times New Roman"/>
          <w:color w:val="000000"/>
        </w:rPr>
        <w:t>: 10.1111/1471-0528.15438.</w:t>
      </w:r>
    </w:p>
    <w:p w:rsidR="00947A01" w:rsidRPr="00947A01" w:rsidRDefault="00947A01" w:rsidP="00947A01">
      <w:pPr>
        <w:spacing w:after="200" w:line="480" w:lineRule="atLeast"/>
        <w:jc w:val="both"/>
        <w:rPr>
          <w:rFonts w:ascii="Times" w:hAnsi="Times" w:cs="Times New Roman"/>
          <w:color w:val="000000"/>
        </w:rPr>
      </w:pPr>
      <w:r w:rsidRPr="00947A01">
        <w:rPr>
          <w:rFonts w:ascii="Times New Roman" w:hAnsi="Times New Roman" w:cs="Times New Roman"/>
          <w:color w:val="000000"/>
        </w:rPr>
        <w:t> </w:t>
      </w:r>
    </w:p>
    <w:p w:rsidR="004541D8" w:rsidRPr="00947A01" w:rsidRDefault="00947A01" w:rsidP="00947A01">
      <w:pPr>
        <w:spacing w:after="200" w:line="480" w:lineRule="atLeast"/>
        <w:jc w:val="both"/>
        <w:rPr>
          <w:rFonts w:ascii="Times" w:hAnsi="Times" w:cs="Times New Roman"/>
          <w:color w:val="000000"/>
        </w:rPr>
      </w:pPr>
      <w:r w:rsidRPr="00947A01">
        <w:rPr>
          <w:rFonts w:ascii="Times New Roman" w:hAnsi="Times New Roman" w:cs="Times New Roman"/>
          <w:color w:val="000000"/>
        </w:rPr>
        <w:t> </w:t>
      </w:r>
    </w:p>
    <w:sectPr w:rsidR="004541D8" w:rsidRPr="00947A01" w:rsidSect="002D5E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
    <w:altName w:val="Times New Roman"/>
    <w:panose1 w:val="00000000000000000000"/>
    <w:charset w:val="0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119"/>
    <w:multiLevelType w:val="multilevel"/>
    <w:tmpl w:val="D3C2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01"/>
    <w:rsid w:val="002D5EC5"/>
    <w:rsid w:val="004541D8"/>
    <w:rsid w:val="00947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AF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A0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A0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65253">
      <w:bodyDiv w:val="1"/>
      <w:marLeft w:val="0"/>
      <w:marRight w:val="0"/>
      <w:marTop w:val="0"/>
      <w:marBottom w:val="0"/>
      <w:divBdr>
        <w:top w:val="none" w:sz="0" w:space="0" w:color="auto"/>
        <w:left w:val="none" w:sz="0" w:space="0" w:color="auto"/>
        <w:bottom w:val="none" w:sz="0" w:space="0" w:color="auto"/>
        <w:right w:val="none" w:sz="0" w:space="0" w:color="auto"/>
      </w:divBdr>
      <w:divsChild>
        <w:div w:id="1809668994">
          <w:marLeft w:val="0"/>
          <w:marRight w:val="0"/>
          <w:marTop w:val="0"/>
          <w:marBottom w:val="0"/>
          <w:divBdr>
            <w:top w:val="none" w:sz="0" w:space="0" w:color="auto"/>
            <w:left w:val="none" w:sz="0" w:space="0" w:color="auto"/>
            <w:bottom w:val="none" w:sz="0" w:space="0" w:color="auto"/>
            <w:right w:val="none" w:sz="0" w:space="0" w:color="auto"/>
          </w:divBdr>
          <w:divsChild>
            <w:div w:id="12634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4186</Characters>
  <Application>Microsoft Macintosh Word</Application>
  <DocSecurity>0</DocSecurity>
  <Lines>34</Lines>
  <Paragraphs>9</Paragraphs>
  <ScaleCrop>false</ScaleCrop>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Alghrani</dc:creator>
  <cp:keywords/>
  <dc:description/>
  <cp:lastModifiedBy>Amel Alghrani</cp:lastModifiedBy>
  <cp:revision>1</cp:revision>
  <dcterms:created xsi:type="dcterms:W3CDTF">2018-12-12T14:42:00Z</dcterms:created>
  <dcterms:modified xsi:type="dcterms:W3CDTF">2018-12-12T14:43:00Z</dcterms:modified>
</cp:coreProperties>
</file>