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8D88D" w14:textId="77777777" w:rsidR="00780F33" w:rsidRDefault="00780F33" w:rsidP="0061069B">
      <w:pPr>
        <w:spacing w:line="480" w:lineRule="auto"/>
        <w:rPr>
          <w:rFonts w:asciiTheme="majorHAnsi" w:eastAsiaTheme="majorEastAsia" w:hAnsiTheme="majorHAnsi" w:cstheme="majorBidi"/>
          <w:color w:val="2E74B5" w:themeColor="accent1" w:themeShade="BF"/>
          <w:sz w:val="32"/>
          <w:szCs w:val="32"/>
        </w:rPr>
      </w:pPr>
      <w:r w:rsidRPr="00780F33">
        <w:rPr>
          <w:rFonts w:asciiTheme="majorHAnsi" w:eastAsiaTheme="majorEastAsia" w:hAnsiTheme="majorHAnsi" w:cstheme="majorBidi"/>
          <w:color w:val="2E74B5" w:themeColor="accent1" w:themeShade="BF"/>
          <w:sz w:val="32"/>
          <w:szCs w:val="32"/>
        </w:rPr>
        <w:t xml:space="preserve">Influenza associated hospitalisation, vaccine uptake and socioeconomic deprivation in an English city region: an ecological study </w:t>
      </w:r>
    </w:p>
    <w:p w14:paraId="695D9BD1" w14:textId="40086054" w:rsidR="00233B17" w:rsidRDefault="005B6DC6" w:rsidP="0061069B">
      <w:pPr>
        <w:spacing w:line="480" w:lineRule="auto"/>
      </w:pPr>
      <w:r>
        <w:t>Daniel Hungerford</w:t>
      </w:r>
      <w:r w:rsidRPr="001671DC">
        <w:rPr>
          <w:vertAlign w:val="superscript"/>
        </w:rPr>
        <w:t>1,2</w:t>
      </w:r>
      <w:r>
        <w:t>*, Ana Ibarz-Pavon</w:t>
      </w:r>
      <w:r w:rsidRPr="001671DC">
        <w:rPr>
          <w:vertAlign w:val="superscript"/>
        </w:rPr>
        <w:t>1</w:t>
      </w:r>
      <w:r w:rsidR="00233B17">
        <w:t>, Paul Cleary</w:t>
      </w:r>
      <w:r w:rsidR="00233B17" w:rsidRPr="001671DC">
        <w:rPr>
          <w:vertAlign w:val="superscript"/>
        </w:rPr>
        <w:t>2</w:t>
      </w:r>
      <w:r w:rsidR="00233B17">
        <w:t>, Neil French</w:t>
      </w:r>
      <w:r w:rsidR="00233B17" w:rsidRPr="001671DC">
        <w:rPr>
          <w:vertAlign w:val="superscript"/>
        </w:rPr>
        <w:t>1</w:t>
      </w:r>
    </w:p>
    <w:p w14:paraId="472F92BE" w14:textId="77777777" w:rsidR="00233B17" w:rsidRDefault="00233B17" w:rsidP="0061069B">
      <w:pPr>
        <w:spacing w:line="480" w:lineRule="auto"/>
      </w:pPr>
      <w:r>
        <w:t>1.</w:t>
      </w:r>
      <w:r>
        <w:tab/>
        <w:t>The Centre for Global Vaccine Research, Institute of Infection and Global Health, University of Liverpool, Liverpool, UK</w:t>
      </w:r>
    </w:p>
    <w:p w14:paraId="0BFF01C8" w14:textId="7280D9CF" w:rsidR="00233B17" w:rsidRPr="00233B17" w:rsidRDefault="00233B17" w:rsidP="005B6DC6">
      <w:pPr>
        <w:spacing w:line="480" w:lineRule="auto"/>
      </w:pPr>
      <w:r>
        <w:t>2.</w:t>
      </w:r>
      <w:r>
        <w:tab/>
        <w:t>Field Epidemiology Service, National Infection Service, Public Health England, Liverpool, UK</w:t>
      </w:r>
    </w:p>
    <w:p w14:paraId="6E122FF9" w14:textId="4E59511C" w:rsidR="001D70D7" w:rsidRDefault="001A75E3" w:rsidP="0061069B">
      <w:pPr>
        <w:spacing w:line="480" w:lineRule="auto"/>
      </w:pPr>
      <w:r>
        <w:t>Word count=</w:t>
      </w:r>
      <w:r w:rsidR="00CE0984">
        <w:t>390</w:t>
      </w:r>
      <w:r w:rsidR="000F6FB0">
        <w:t>4</w:t>
      </w:r>
    </w:p>
    <w:p w14:paraId="57842E85" w14:textId="294B2392" w:rsidR="00B16087" w:rsidRDefault="00233B17" w:rsidP="0061069B">
      <w:pPr>
        <w:spacing w:line="480" w:lineRule="auto"/>
      </w:pPr>
      <w:r>
        <w:t xml:space="preserve">*Correspondence: </w:t>
      </w:r>
      <w:hyperlink r:id="rId8" w:history="1">
        <w:r w:rsidR="0029721D" w:rsidRPr="007D1010">
          <w:rPr>
            <w:rStyle w:val="Hyperlink"/>
          </w:rPr>
          <w:t>d.hungerford@liverpool.ac.uk</w:t>
        </w:r>
      </w:hyperlink>
    </w:p>
    <w:p w14:paraId="714FE2E0" w14:textId="60D5D141" w:rsidR="00575DCF" w:rsidRDefault="00575DCF" w:rsidP="0061069B">
      <w:pPr>
        <w:spacing w:line="480" w:lineRule="auto"/>
      </w:pPr>
      <w:r>
        <w:t xml:space="preserve">Short title: </w:t>
      </w:r>
      <w:r w:rsidR="008900FF">
        <w:t>Hospitalis</w:t>
      </w:r>
      <w:r>
        <w:t>ed influenza associated illness, vaccine uptake and deprivation in the UK</w:t>
      </w:r>
    </w:p>
    <w:p w14:paraId="20BF98FF" w14:textId="77777777" w:rsidR="009D568A" w:rsidRDefault="009D568A" w:rsidP="0061069B">
      <w:pPr>
        <w:spacing w:line="480" w:lineRule="auto"/>
      </w:pPr>
    </w:p>
    <w:p w14:paraId="715D3E95" w14:textId="77777777" w:rsidR="00233B17" w:rsidRDefault="00233B17" w:rsidP="0061069B">
      <w:pPr>
        <w:spacing w:line="480" w:lineRule="auto"/>
        <w:sectPr w:rsidR="00233B17" w:rsidSect="009F1676">
          <w:footerReference w:type="default" r:id="rId9"/>
          <w:pgSz w:w="11906" w:h="16838"/>
          <w:pgMar w:top="1440" w:right="1440" w:bottom="1440" w:left="1440" w:header="708" w:footer="708" w:gutter="0"/>
          <w:cols w:space="708"/>
          <w:docGrid w:linePitch="360"/>
        </w:sectPr>
      </w:pPr>
    </w:p>
    <w:p w14:paraId="66D5621A" w14:textId="4D6A71C2" w:rsidR="00823CB8" w:rsidRPr="00823CB8" w:rsidRDefault="009F1676" w:rsidP="00823CB8">
      <w:pPr>
        <w:pStyle w:val="Heading2"/>
        <w:spacing w:line="480" w:lineRule="auto"/>
      </w:pPr>
      <w:r>
        <w:lastRenderedPageBreak/>
        <w:t xml:space="preserve">Abstract </w:t>
      </w:r>
    </w:p>
    <w:p w14:paraId="7635276F" w14:textId="58E09244" w:rsidR="00F6393E" w:rsidRDefault="00F6393E" w:rsidP="00575DCF">
      <w:pPr>
        <w:widowControl w:val="0"/>
        <w:autoSpaceDE w:val="0"/>
        <w:autoSpaceDN w:val="0"/>
        <w:adjustRightInd w:val="0"/>
        <w:spacing w:line="480" w:lineRule="auto"/>
        <w:rPr>
          <w:rFonts w:cs="Arial"/>
        </w:rPr>
      </w:pPr>
      <w:r w:rsidRPr="00563C2A">
        <w:rPr>
          <w:rFonts w:cs="Arial"/>
          <w:b/>
        </w:rPr>
        <w:t>Objectives</w:t>
      </w:r>
      <w:r w:rsidR="00563C2A">
        <w:rPr>
          <w:rFonts w:cs="Arial"/>
        </w:rPr>
        <w:t>:</w:t>
      </w:r>
      <w:r>
        <w:rPr>
          <w:rFonts w:cs="Arial"/>
        </w:rPr>
        <w:t xml:space="preserve"> </w:t>
      </w:r>
      <w:r w:rsidRPr="00F6393E">
        <w:rPr>
          <w:rFonts w:cs="Arial"/>
        </w:rPr>
        <w:t xml:space="preserve">Every year, influenza poses a significant burden on the National Health Service in England. </w:t>
      </w:r>
      <w:r w:rsidR="00057801">
        <w:rPr>
          <w:rFonts w:cs="Arial"/>
        </w:rPr>
        <w:t>Influenza v</w:t>
      </w:r>
      <w:r w:rsidRPr="00F6393E">
        <w:rPr>
          <w:rFonts w:cs="Arial"/>
        </w:rPr>
        <w:t>accination is an effective measure to prevent severe disease</w:t>
      </w:r>
      <w:r w:rsidR="00AE038F">
        <w:rPr>
          <w:rFonts w:cs="Arial"/>
        </w:rPr>
        <w:t>,</w:t>
      </w:r>
      <w:r w:rsidR="00057801">
        <w:rPr>
          <w:rFonts w:cs="Arial"/>
        </w:rPr>
        <w:t xml:space="preserve"> </w:t>
      </w:r>
      <w:r w:rsidR="00F24746">
        <w:rPr>
          <w:rFonts w:cs="Arial"/>
        </w:rPr>
        <w:t>hence,</w:t>
      </w:r>
      <w:r w:rsidR="00057801">
        <w:rPr>
          <w:rFonts w:cs="Arial"/>
        </w:rPr>
        <w:t xml:space="preserve"> </w:t>
      </w:r>
      <w:r w:rsidRPr="00F6393E">
        <w:rPr>
          <w:rFonts w:cs="Arial"/>
        </w:rPr>
        <w:t>maximising</w:t>
      </w:r>
      <w:r w:rsidR="00057801">
        <w:rPr>
          <w:rFonts w:cs="Arial"/>
        </w:rPr>
        <w:t xml:space="preserve"> vaccine</w:t>
      </w:r>
      <w:r w:rsidRPr="00F6393E">
        <w:rPr>
          <w:rFonts w:cs="Arial"/>
        </w:rPr>
        <w:t xml:space="preserve"> coverage in the most vulnerable </w:t>
      </w:r>
      <w:r w:rsidR="00057801">
        <w:rPr>
          <w:rFonts w:cs="Arial"/>
        </w:rPr>
        <w:t>is a priority</w:t>
      </w:r>
      <w:r w:rsidRPr="00F6393E">
        <w:rPr>
          <w:rFonts w:cs="Arial"/>
        </w:rPr>
        <w:t xml:space="preserve">. </w:t>
      </w:r>
      <w:r w:rsidR="000A6938">
        <w:rPr>
          <w:rFonts w:cs="Arial"/>
        </w:rPr>
        <w:t>We</w:t>
      </w:r>
      <w:r w:rsidRPr="00F6393E">
        <w:rPr>
          <w:rFonts w:cs="Arial"/>
        </w:rPr>
        <w:t xml:space="preserve"> aim</w:t>
      </w:r>
      <w:r w:rsidR="000A6938">
        <w:rPr>
          <w:rFonts w:cs="Arial"/>
        </w:rPr>
        <w:t>ed</w:t>
      </w:r>
      <w:r w:rsidRPr="00F6393E">
        <w:rPr>
          <w:rFonts w:cs="Arial"/>
        </w:rPr>
        <w:t xml:space="preserve"> to identify the extent to which socioeconomic status is </w:t>
      </w:r>
      <w:r>
        <w:rPr>
          <w:rFonts w:cs="Arial"/>
        </w:rPr>
        <w:t xml:space="preserve">associated with </w:t>
      </w:r>
      <w:r w:rsidRPr="00F6393E">
        <w:rPr>
          <w:rFonts w:cs="Arial"/>
        </w:rPr>
        <w:t>influenza</w:t>
      </w:r>
      <w:r>
        <w:rPr>
          <w:rFonts w:cs="Arial"/>
        </w:rPr>
        <w:t>-associated illness</w:t>
      </w:r>
      <w:r w:rsidR="00B72C1D">
        <w:rPr>
          <w:rFonts w:cs="Arial"/>
        </w:rPr>
        <w:t xml:space="preserve"> (IAI)</w:t>
      </w:r>
      <w:r w:rsidRPr="00F6393E">
        <w:rPr>
          <w:rFonts w:cs="Arial"/>
        </w:rPr>
        <w:t xml:space="preserve"> and </w:t>
      </w:r>
      <w:r w:rsidR="00057801">
        <w:rPr>
          <w:rFonts w:cs="Arial"/>
        </w:rPr>
        <w:t xml:space="preserve">influenza </w:t>
      </w:r>
      <w:r>
        <w:rPr>
          <w:rFonts w:cs="Arial"/>
        </w:rPr>
        <w:t>vaccine coverage.</w:t>
      </w:r>
    </w:p>
    <w:p w14:paraId="1D20EF42" w14:textId="69A1B2E9" w:rsidR="00F6393E" w:rsidRDefault="00F6393E" w:rsidP="00575DCF">
      <w:pPr>
        <w:widowControl w:val="0"/>
        <w:autoSpaceDE w:val="0"/>
        <w:autoSpaceDN w:val="0"/>
        <w:adjustRightInd w:val="0"/>
        <w:spacing w:line="480" w:lineRule="auto"/>
        <w:rPr>
          <w:rFonts w:cs="Arial"/>
        </w:rPr>
      </w:pPr>
      <w:r w:rsidRPr="00563C2A">
        <w:rPr>
          <w:rFonts w:cs="Arial"/>
          <w:b/>
        </w:rPr>
        <w:t>Design</w:t>
      </w:r>
      <w:r>
        <w:rPr>
          <w:rFonts w:cs="Arial"/>
        </w:rPr>
        <w:t xml:space="preserve">: Retrospective </w:t>
      </w:r>
      <w:r w:rsidR="00B72C1D">
        <w:rPr>
          <w:rFonts w:cs="Arial"/>
        </w:rPr>
        <w:t xml:space="preserve">observational </w:t>
      </w:r>
      <w:r>
        <w:rPr>
          <w:rFonts w:cs="Arial"/>
        </w:rPr>
        <w:t>study</w:t>
      </w:r>
      <w:r w:rsidR="006B09E2">
        <w:rPr>
          <w:rFonts w:cs="Arial"/>
        </w:rPr>
        <w:t xml:space="preserve"> using hospital episode statistics</w:t>
      </w:r>
      <w:r w:rsidR="00F24746">
        <w:rPr>
          <w:rFonts w:cs="Arial"/>
        </w:rPr>
        <w:t>.</w:t>
      </w:r>
    </w:p>
    <w:p w14:paraId="5B1F70EF" w14:textId="582ECEB3" w:rsidR="00F6393E" w:rsidRDefault="00F6393E" w:rsidP="00575DCF">
      <w:pPr>
        <w:widowControl w:val="0"/>
        <w:autoSpaceDE w:val="0"/>
        <w:autoSpaceDN w:val="0"/>
        <w:adjustRightInd w:val="0"/>
        <w:spacing w:line="480" w:lineRule="auto"/>
        <w:rPr>
          <w:rFonts w:cs="Arial"/>
        </w:rPr>
      </w:pPr>
      <w:r w:rsidRPr="00563C2A">
        <w:rPr>
          <w:rFonts w:cs="Arial"/>
          <w:b/>
        </w:rPr>
        <w:t>Setting</w:t>
      </w:r>
      <w:r>
        <w:rPr>
          <w:rFonts w:cs="Arial"/>
        </w:rPr>
        <w:t>: Merseyside</w:t>
      </w:r>
      <w:r w:rsidR="00F24746">
        <w:rPr>
          <w:rFonts w:cs="Arial"/>
        </w:rPr>
        <w:t>, North-West of England,</w:t>
      </w:r>
      <w:r w:rsidR="00B72C1D">
        <w:rPr>
          <w:rFonts w:cs="Arial"/>
        </w:rPr>
        <w:t xml:space="preserve"> including the city of Liverpool</w:t>
      </w:r>
      <w:r w:rsidR="00F24746">
        <w:rPr>
          <w:rFonts w:cs="Arial"/>
        </w:rPr>
        <w:t>.</w:t>
      </w:r>
    </w:p>
    <w:p w14:paraId="09366628" w14:textId="709DA1DF" w:rsidR="00F6393E" w:rsidRDefault="006B09E2" w:rsidP="00575DCF">
      <w:pPr>
        <w:widowControl w:val="0"/>
        <w:autoSpaceDE w:val="0"/>
        <w:autoSpaceDN w:val="0"/>
        <w:adjustRightInd w:val="0"/>
        <w:spacing w:line="480" w:lineRule="auto"/>
        <w:rPr>
          <w:rFonts w:cs="Arial"/>
        </w:rPr>
      </w:pPr>
      <w:r w:rsidRPr="00563C2A">
        <w:rPr>
          <w:rFonts w:cs="Arial"/>
          <w:b/>
        </w:rPr>
        <w:t>Participants</w:t>
      </w:r>
      <w:r>
        <w:rPr>
          <w:rFonts w:cs="Arial"/>
        </w:rPr>
        <w:t>: Residents</w:t>
      </w:r>
      <w:r w:rsidR="00F6393E">
        <w:rPr>
          <w:rFonts w:cs="Arial"/>
        </w:rPr>
        <w:t xml:space="preserve"> of </w:t>
      </w:r>
      <w:r w:rsidR="0059788B">
        <w:rPr>
          <w:rFonts w:cs="Arial"/>
        </w:rPr>
        <w:t>Merseyside</w:t>
      </w:r>
      <w:r w:rsidR="00B72C1D">
        <w:rPr>
          <w:rFonts w:cs="Arial"/>
        </w:rPr>
        <w:t xml:space="preserve"> hospitalised with IAI</w:t>
      </w:r>
      <w:r w:rsidR="00F6393E">
        <w:rPr>
          <w:rFonts w:cs="Arial"/>
        </w:rPr>
        <w:t xml:space="preserve"> between April 2004 and March 2016</w:t>
      </w:r>
      <w:r w:rsidR="00F24746">
        <w:rPr>
          <w:rFonts w:cs="Arial"/>
        </w:rPr>
        <w:t>,</w:t>
      </w:r>
      <w:r w:rsidR="00B72C1D">
        <w:rPr>
          <w:rFonts w:cs="Arial"/>
        </w:rPr>
        <w:t xml:space="preserve"> and Merseyside general practice registered patients eligible for influenza vaccination in 2014/15 and 2015/16 influenza seasons.</w:t>
      </w:r>
    </w:p>
    <w:p w14:paraId="00B913D0" w14:textId="6C3D7F21" w:rsidR="006B09E2" w:rsidRDefault="006B09E2" w:rsidP="00575DCF">
      <w:pPr>
        <w:widowControl w:val="0"/>
        <w:autoSpaceDE w:val="0"/>
        <w:autoSpaceDN w:val="0"/>
        <w:adjustRightInd w:val="0"/>
        <w:spacing w:line="480" w:lineRule="auto"/>
        <w:rPr>
          <w:rFonts w:cs="Arial"/>
        </w:rPr>
      </w:pPr>
      <w:r w:rsidRPr="006B09E2">
        <w:rPr>
          <w:rFonts w:cs="Arial"/>
          <w:b/>
        </w:rPr>
        <w:t>Exposures</w:t>
      </w:r>
      <w:r>
        <w:rPr>
          <w:rFonts w:cs="Arial"/>
        </w:rPr>
        <w:t>:</w:t>
      </w:r>
      <w:r w:rsidRPr="006B09E2">
        <w:t xml:space="preserve"> </w:t>
      </w:r>
      <w:r w:rsidR="00620CF1">
        <w:rPr>
          <w:rFonts w:cs="Arial"/>
        </w:rPr>
        <w:t>Socio</w:t>
      </w:r>
      <w:r>
        <w:rPr>
          <w:rFonts w:cs="Arial"/>
        </w:rPr>
        <w:t>economic deprivation</w:t>
      </w:r>
      <w:r w:rsidRPr="006B09E2">
        <w:rPr>
          <w:rFonts w:cs="Arial"/>
        </w:rPr>
        <w:t xml:space="preserve"> based on lower super output area English Indices of Deprivation scores</w:t>
      </w:r>
      <w:r w:rsidR="003D3248">
        <w:rPr>
          <w:rFonts w:cs="Arial"/>
        </w:rPr>
        <w:t>.</w:t>
      </w:r>
    </w:p>
    <w:p w14:paraId="47D3B05C" w14:textId="4B7E38AA" w:rsidR="00F6393E" w:rsidRDefault="00F6393E" w:rsidP="00575DCF">
      <w:pPr>
        <w:widowControl w:val="0"/>
        <w:autoSpaceDE w:val="0"/>
        <w:autoSpaceDN w:val="0"/>
        <w:adjustRightInd w:val="0"/>
        <w:spacing w:line="480" w:lineRule="auto"/>
        <w:rPr>
          <w:rFonts w:cs="Arial"/>
        </w:rPr>
      </w:pPr>
      <w:r w:rsidRPr="00563C2A">
        <w:rPr>
          <w:rFonts w:cs="Arial"/>
          <w:b/>
        </w:rPr>
        <w:t>Primary and secondary outcome measures</w:t>
      </w:r>
      <w:r>
        <w:rPr>
          <w:rFonts w:cs="Arial"/>
        </w:rPr>
        <w:t>:</w:t>
      </w:r>
      <w:r w:rsidR="00B72C1D">
        <w:rPr>
          <w:rFonts w:cs="Arial"/>
        </w:rPr>
        <w:t xml:space="preserve"> </w:t>
      </w:r>
      <w:r w:rsidR="00057801">
        <w:rPr>
          <w:rFonts w:cs="Arial"/>
        </w:rPr>
        <w:t>Incidence</w:t>
      </w:r>
      <w:r w:rsidR="006B09E2">
        <w:rPr>
          <w:rFonts w:cs="Arial"/>
        </w:rPr>
        <w:t xml:space="preserve"> and risk</w:t>
      </w:r>
      <w:r w:rsidR="00057801">
        <w:rPr>
          <w:rFonts w:cs="Arial"/>
        </w:rPr>
        <w:t xml:space="preserve"> of</w:t>
      </w:r>
      <w:r w:rsidR="00B72C1D">
        <w:rPr>
          <w:rFonts w:cs="Arial"/>
        </w:rPr>
        <w:t xml:space="preserve"> </w:t>
      </w:r>
      <w:r w:rsidR="00057801">
        <w:rPr>
          <w:rFonts w:cs="Arial"/>
        </w:rPr>
        <w:t xml:space="preserve">IAI </w:t>
      </w:r>
      <w:r w:rsidR="00B72C1D">
        <w:rPr>
          <w:rFonts w:cs="Arial"/>
        </w:rPr>
        <w:t>hospitalisation</w:t>
      </w:r>
      <w:r w:rsidR="00F24746">
        <w:rPr>
          <w:rFonts w:cs="Arial"/>
        </w:rPr>
        <w:t>,</w:t>
      </w:r>
      <w:r w:rsidR="00B72C1D">
        <w:rPr>
          <w:rFonts w:cs="Arial"/>
        </w:rPr>
        <w:t xml:space="preserve"> and </w:t>
      </w:r>
      <w:r w:rsidR="00203321">
        <w:rPr>
          <w:rFonts w:cs="Arial"/>
        </w:rPr>
        <w:t>vaccine uptake</w:t>
      </w:r>
      <w:r w:rsidR="003D3248">
        <w:rPr>
          <w:rFonts w:cs="Arial"/>
        </w:rPr>
        <w:t>.</w:t>
      </w:r>
      <w:r w:rsidR="00203321">
        <w:rPr>
          <w:rFonts w:cs="Arial"/>
        </w:rPr>
        <w:t xml:space="preserve"> </w:t>
      </w:r>
    </w:p>
    <w:p w14:paraId="2A73B8C4" w14:textId="594CB8B7" w:rsidR="00F6393E" w:rsidRDefault="00F6393E" w:rsidP="00575DCF">
      <w:pPr>
        <w:widowControl w:val="0"/>
        <w:autoSpaceDE w:val="0"/>
        <w:autoSpaceDN w:val="0"/>
        <w:adjustRightInd w:val="0"/>
        <w:spacing w:line="480" w:lineRule="auto"/>
        <w:rPr>
          <w:rFonts w:cs="Arial"/>
        </w:rPr>
      </w:pPr>
      <w:r w:rsidRPr="00563C2A">
        <w:rPr>
          <w:rFonts w:cs="Arial"/>
          <w:b/>
        </w:rPr>
        <w:t>Results</w:t>
      </w:r>
      <w:r>
        <w:rPr>
          <w:rFonts w:cs="Arial"/>
        </w:rPr>
        <w:t xml:space="preserve">: </w:t>
      </w:r>
      <w:r w:rsidR="00563C2A" w:rsidRPr="00563C2A">
        <w:rPr>
          <w:rFonts w:cs="Arial"/>
        </w:rPr>
        <w:t xml:space="preserve">There were 89,058 </w:t>
      </w:r>
      <w:r w:rsidR="008900FF">
        <w:rPr>
          <w:rFonts w:cs="Arial"/>
        </w:rPr>
        <w:t>hospitalis</w:t>
      </w:r>
      <w:r w:rsidR="00563C2A" w:rsidRPr="00563C2A">
        <w:rPr>
          <w:rFonts w:cs="Arial"/>
        </w:rPr>
        <w:t xml:space="preserve">ations related to IAI </w:t>
      </w:r>
      <w:r w:rsidR="00F24746">
        <w:rPr>
          <w:rFonts w:cs="Arial"/>
        </w:rPr>
        <w:t>among</w:t>
      </w:r>
      <w:r w:rsidR="00563C2A" w:rsidRPr="00563C2A">
        <w:rPr>
          <w:rFonts w:cs="Arial"/>
        </w:rPr>
        <w:t xml:space="preserve"> Merseyside</w:t>
      </w:r>
      <w:r w:rsidR="00B72C1D">
        <w:rPr>
          <w:rFonts w:cs="Arial"/>
        </w:rPr>
        <w:t xml:space="preserve"> residents</w:t>
      </w:r>
      <w:r w:rsidR="00563C2A" w:rsidRPr="00563C2A">
        <w:rPr>
          <w:rFonts w:cs="Arial"/>
        </w:rPr>
        <w:t xml:space="preserve"> (mean yearly rate = 4.9 p</w:t>
      </w:r>
      <w:r w:rsidR="008900FF">
        <w:rPr>
          <w:rFonts w:cs="Arial"/>
        </w:rPr>
        <w:t>er 1,000 population). Hospitalis</w:t>
      </w:r>
      <w:r w:rsidR="00563C2A" w:rsidRPr="00563C2A">
        <w:rPr>
          <w:rFonts w:cs="Arial"/>
        </w:rPr>
        <w:t>ations for IAI were more frequent in the most socioeconomically deprived areas compared to the least deprived in adults aged 15-39 years (incidence rate ratio [IRR]=</w:t>
      </w:r>
      <w:r w:rsidR="00CC0070">
        <w:rPr>
          <w:rFonts w:cs="Arial"/>
        </w:rPr>
        <w:t>2.08: 95% CI; 1.76-2.45; p&lt;0.001</w:t>
      </w:r>
      <w:r w:rsidR="00563C2A" w:rsidRPr="00563C2A">
        <w:rPr>
          <w:rFonts w:cs="Arial"/>
        </w:rPr>
        <w:t>), 60-64 years (IRR=</w:t>
      </w:r>
      <w:r w:rsidR="00CC0070">
        <w:rPr>
          <w:rFonts w:cs="Arial"/>
        </w:rPr>
        <w:t>2.65: 95% CI; 2.35-2.99; p&lt;0.001</w:t>
      </w:r>
      <w:r w:rsidR="00563C2A" w:rsidRPr="00563C2A">
        <w:rPr>
          <w:rFonts w:cs="Arial"/>
        </w:rPr>
        <w:t>) and 65+ years (IRR=</w:t>
      </w:r>
      <w:r w:rsidR="00CC0070">
        <w:rPr>
          <w:rFonts w:cs="Arial"/>
        </w:rPr>
        <w:t>1.90: 95% CI; 1.73-2.10; p&lt;0.001</w:t>
      </w:r>
      <w:r w:rsidR="00563C2A" w:rsidRPr="00563C2A">
        <w:rPr>
          <w:rFonts w:cs="Arial"/>
        </w:rPr>
        <w:t>); whereas rates in children were</w:t>
      </w:r>
      <w:r w:rsidR="00703C93">
        <w:rPr>
          <w:rFonts w:cs="Arial"/>
        </w:rPr>
        <w:t xml:space="preserve"> more</w:t>
      </w:r>
      <w:r w:rsidR="00563C2A" w:rsidRPr="00563C2A">
        <w:rPr>
          <w:rFonts w:cs="Arial"/>
        </w:rPr>
        <w:t xml:space="preserve"> homogeneous across deprivation strata. Vaccine uptake was lower than the nationally-set targets in most neighbourhoods</w:t>
      </w:r>
      <w:r w:rsidR="00F24746">
        <w:rPr>
          <w:rFonts w:cs="Arial"/>
        </w:rPr>
        <w:t>.</w:t>
      </w:r>
      <w:r w:rsidR="0059788B">
        <w:rPr>
          <w:rFonts w:cs="Arial"/>
        </w:rPr>
        <w:t xml:space="preserve"> T</w:t>
      </w:r>
      <w:r w:rsidR="00563C2A" w:rsidRPr="00563C2A">
        <w:rPr>
          <w:rFonts w:cs="Arial"/>
        </w:rPr>
        <w:t xml:space="preserve">he odds of vaccine uptake </w:t>
      </w:r>
      <w:r w:rsidR="00F24746">
        <w:rPr>
          <w:rFonts w:cs="Arial"/>
        </w:rPr>
        <w:t>were</w:t>
      </w:r>
      <w:r w:rsidR="00563C2A" w:rsidRPr="00563C2A">
        <w:rPr>
          <w:rFonts w:cs="Arial"/>
        </w:rPr>
        <w:t xml:space="preserve"> 30% </w:t>
      </w:r>
      <w:r w:rsidR="005E07A7" w:rsidRPr="00563C2A">
        <w:rPr>
          <w:rFonts w:cs="Arial"/>
        </w:rPr>
        <w:t xml:space="preserve">lower </w:t>
      </w:r>
      <w:r w:rsidR="00563C2A" w:rsidRPr="00563C2A">
        <w:rPr>
          <w:rFonts w:cs="Arial"/>
        </w:rPr>
        <w:t>(odds ratio [OR]= 0.70: 95% CI; 0.66-0.74; p&lt;0.001) and 10%</w:t>
      </w:r>
      <w:r w:rsidR="005E07A7">
        <w:rPr>
          <w:rFonts w:cs="Arial"/>
        </w:rPr>
        <w:t xml:space="preserve"> lower</w:t>
      </w:r>
      <w:r w:rsidR="00563C2A" w:rsidRPr="00563C2A">
        <w:rPr>
          <w:rFonts w:cs="Arial"/>
        </w:rPr>
        <w:t xml:space="preserve"> (OR= 0.90: 95% CI; 0.88-0.92; p&lt;0.001) in the most deprived IMD quintile compared to the least deprived among children aged 24-59 months and 65+ </w:t>
      </w:r>
      <w:r w:rsidR="00563C2A" w:rsidRPr="00563C2A">
        <w:rPr>
          <w:rFonts w:cs="Arial"/>
        </w:rPr>
        <w:lastRenderedPageBreak/>
        <w:t>year olds, respectively.</w:t>
      </w:r>
    </w:p>
    <w:p w14:paraId="523DDACA" w14:textId="5CACF6BB" w:rsidR="00563C2A" w:rsidRPr="00575DCF" w:rsidRDefault="00F6393E" w:rsidP="00563C2A">
      <w:pPr>
        <w:widowControl w:val="0"/>
        <w:autoSpaceDE w:val="0"/>
        <w:autoSpaceDN w:val="0"/>
        <w:adjustRightInd w:val="0"/>
        <w:spacing w:line="480" w:lineRule="auto"/>
        <w:rPr>
          <w:rFonts w:cs="Arial"/>
        </w:rPr>
      </w:pPr>
      <w:r w:rsidRPr="00563C2A">
        <w:rPr>
          <w:rFonts w:cs="Arial"/>
          <w:b/>
        </w:rPr>
        <w:t>Conclusions</w:t>
      </w:r>
      <w:r w:rsidR="00563C2A">
        <w:rPr>
          <w:rFonts w:cs="Arial"/>
        </w:rPr>
        <w:t xml:space="preserve">: </w:t>
      </w:r>
      <w:r w:rsidR="0059788B">
        <w:rPr>
          <w:rFonts w:cs="Arial"/>
        </w:rPr>
        <w:t>Higher rates of IAI hospitalisations and lower vaccine uptake in the most socioeconomically deprived populations suggest</w:t>
      </w:r>
      <w:r w:rsidR="00563C2A">
        <w:rPr>
          <w:rFonts w:cs="Arial"/>
        </w:rPr>
        <w:t xml:space="preserve"> that </w:t>
      </w:r>
      <w:r w:rsidR="000A6938">
        <w:rPr>
          <w:rFonts w:cs="Arial"/>
        </w:rPr>
        <w:t xml:space="preserve">health promotion </w:t>
      </w:r>
      <w:r w:rsidR="00563C2A">
        <w:rPr>
          <w:rFonts w:cs="Arial"/>
        </w:rPr>
        <w:t>policies</w:t>
      </w:r>
      <w:r w:rsidR="000A6938">
        <w:rPr>
          <w:rFonts w:cs="Arial"/>
        </w:rPr>
        <w:t xml:space="preserve"> and interventions </w:t>
      </w:r>
      <w:r w:rsidR="0059788B">
        <w:rPr>
          <w:rFonts w:cs="Arial"/>
        </w:rPr>
        <w:t>that</w:t>
      </w:r>
      <w:r w:rsidR="00563C2A">
        <w:rPr>
          <w:rFonts w:cs="Arial"/>
        </w:rPr>
        <w:t xml:space="preserve"> target </w:t>
      </w:r>
      <w:r w:rsidR="00F24746">
        <w:rPr>
          <w:rFonts w:cs="Arial"/>
        </w:rPr>
        <w:t xml:space="preserve">these </w:t>
      </w:r>
      <w:r w:rsidR="000A6938">
        <w:rPr>
          <w:rFonts w:cs="Arial"/>
        </w:rPr>
        <w:t>populations should be a priority</w:t>
      </w:r>
      <w:r w:rsidR="00563C2A">
        <w:rPr>
          <w:rFonts w:cs="Arial"/>
        </w:rPr>
        <w:t>.</w:t>
      </w:r>
    </w:p>
    <w:p w14:paraId="5F41E42B" w14:textId="093B2812" w:rsidR="00F6393E" w:rsidRDefault="00563C2A" w:rsidP="000A6938">
      <w:pPr>
        <w:pStyle w:val="Heading2"/>
      </w:pPr>
      <w:r>
        <w:t xml:space="preserve">Strengths and limitations of </w:t>
      </w:r>
      <w:r w:rsidR="00BB1566">
        <w:t>study methodology</w:t>
      </w:r>
    </w:p>
    <w:p w14:paraId="71EBFBB4" w14:textId="77777777" w:rsidR="00D2137C" w:rsidRPr="00D2137C" w:rsidRDefault="00D2137C" w:rsidP="004D38B4"/>
    <w:p w14:paraId="1450839A" w14:textId="0A18EFA6" w:rsidR="00F6393E" w:rsidRPr="00BB1566" w:rsidRDefault="00503DCA" w:rsidP="0093011D">
      <w:pPr>
        <w:pStyle w:val="ListParagraph"/>
        <w:widowControl w:val="0"/>
        <w:numPr>
          <w:ilvl w:val="0"/>
          <w:numId w:val="6"/>
        </w:numPr>
        <w:autoSpaceDE w:val="0"/>
        <w:autoSpaceDN w:val="0"/>
        <w:adjustRightInd w:val="0"/>
        <w:spacing w:line="480" w:lineRule="auto"/>
        <w:ind w:left="426" w:hanging="426"/>
        <w:rPr>
          <w:rFonts w:cs="Arial"/>
          <w:sz w:val="22"/>
          <w:szCs w:val="22"/>
        </w:rPr>
      </w:pPr>
      <w:r w:rsidRPr="00BB1566">
        <w:rPr>
          <w:rFonts w:cs="Arial"/>
          <w:sz w:val="22"/>
          <w:szCs w:val="22"/>
        </w:rPr>
        <w:t xml:space="preserve">The study uses routine public health data sources and </w:t>
      </w:r>
      <w:r w:rsidR="00D2137C" w:rsidRPr="00BB1566">
        <w:rPr>
          <w:rFonts w:cs="Arial"/>
          <w:sz w:val="22"/>
          <w:szCs w:val="22"/>
        </w:rPr>
        <w:t xml:space="preserve">a </w:t>
      </w:r>
      <w:r w:rsidRPr="00BB1566">
        <w:rPr>
          <w:rFonts w:cs="Arial"/>
          <w:sz w:val="22"/>
          <w:szCs w:val="22"/>
        </w:rPr>
        <w:t>simple repeatable methodology</w:t>
      </w:r>
      <w:r w:rsidR="00D2137C" w:rsidRPr="00BB1566">
        <w:rPr>
          <w:rFonts w:cs="Arial"/>
          <w:sz w:val="22"/>
          <w:szCs w:val="22"/>
        </w:rPr>
        <w:t xml:space="preserve"> which can be applied to</w:t>
      </w:r>
      <w:r w:rsidRPr="00BB1566">
        <w:rPr>
          <w:rFonts w:cs="Arial"/>
          <w:sz w:val="22"/>
          <w:szCs w:val="22"/>
        </w:rPr>
        <w:t xml:space="preserve"> continue to monitor changes in incidence and vaccine uptake in local areas</w:t>
      </w:r>
      <w:r w:rsidR="0093011D" w:rsidRPr="00BB1566">
        <w:rPr>
          <w:rFonts w:cs="Arial"/>
          <w:sz w:val="22"/>
          <w:szCs w:val="22"/>
        </w:rPr>
        <w:t>, and potentially evaluate targeted population</w:t>
      </w:r>
      <w:r w:rsidR="00D2137C" w:rsidRPr="00BB1566">
        <w:rPr>
          <w:rFonts w:cs="Arial"/>
          <w:sz w:val="22"/>
          <w:szCs w:val="22"/>
        </w:rPr>
        <w:t>-</w:t>
      </w:r>
      <w:r w:rsidR="0093011D" w:rsidRPr="00BB1566">
        <w:rPr>
          <w:rFonts w:cs="Arial"/>
          <w:sz w:val="22"/>
          <w:szCs w:val="22"/>
        </w:rPr>
        <w:t>level interventions</w:t>
      </w:r>
      <w:r w:rsidRPr="00BB1566">
        <w:rPr>
          <w:rFonts w:cs="Arial"/>
          <w:sz w:val="22"/>
          <w:szCs w:val="22"/>
        </w:rPr>
        <w:t>.</w:t>
      </w:r>
    </w:p>
    <w:p w14:paraId="787E7D2E" w14:textId="6F8BF5F0" w:rsidR="00503DCA" w:rsidRPr="00BB1566" w:rsidRDefault="00503DCA" w:rsidP="0093011D">
      <w:pPr>
        <w:pStyle w:val="ListParagraph"/>
        <w:widowControl w:val="0"/>
        <w:numPr>
          <w:ilvl w:val="0"/>
          <w:numId w:val="6"/>
        </w:numPr>
        <w:autoSpaceDE w:val="0"/>
        <w:autoSpaceDN w:val="0"/>
        <w:adjustRightInd w:val="0"/>
        <w:spacing w:line="480" w:lineRule="auto"/>
        <w:ind w:left="426" w:hanging="426"/>
        <w:rPr>
          <w:rFonts w:cs="Arial"/>
          <w:sz w:val="22"/>
          <w:szCs w:val="22"/>
        </w:rPr>
      </w:pPr>
      <w:r w:rsidRPr="00BB1566">
        <w:rPr>
          <w:rFonts w:cs="Arial"/>
          <w:sz w:val="22"/>
          <w:szCs w:val="22"/>
        </w:rPr>
        <w:t>We were unable to evaluate population</w:t>
      </w:r>
      <w:r w:rsidR="00D2137C" w:rsidRPr="00BB1566">
        <w:rPr>
          <w:rFonts w:cs="Arial"/>
          <w:sz w:val="22"/>
          <w:szCs w:val="22"/>
        </w:rPr>
        <w:t>-</w:t>
      </w:r>
      <w:r w:rsidRPr="00BB1566">
        <w:rPr>
          <w:rFonts w:cs="Arial"/>
          <w:sz w:val="22"/>
          <w:szCs w:val="22"/>
        </w:rPr>
        <w:t>level impact of influenza vaccines because of non-specific endpoints and seasonal disease variation over the study period.</w:t>
      </w:r>
    </w:p>
    <w:p w14:paraId="6E093F95" w14:textId="4421C038" w:rsidR="00DA7EA2" w:rsidRPr="00BB1566" w:rsidRDefault="00DA7EA2" w:rsidP="00DA7EA2">
      <w:pPr>
        <w:pStyle w:val="ListParagraph"/>
        <w:widowControl w:val="0"/>
        <w:numPr>
          <w:ilvl w:val="0"/>
          <w:numId w:val="6"/>
        </w:numPr>
        <w:autoSpaceDE w:val="0"/>
        <w:autoSpaceDN w:val="0"/>
        <w:adjustRightInd w:val="0"/>
        <w:spacing w:line="480" w:lineRule="auto"/>
        <w:ind w:left="426" w:hanging="426"/>
        <w:rPr>
          <w:rFonts w:cs="Arial"/>
          <w:sz w:val="22"/>
          <w:szCs w:val="22"/>
        </w:rPr>
      </w:pPr>
      <w:r w:rsidRPr="00BB1566">
        <w:rPr>
          <w:rFonts w:cs="Arial"/>
          <w:sz w:val="22"/>
          <w:szCs w:val="22"/>
        </w:rPr>
        <w:t xml:space="preserve">While an association with socioeconomic deprivation was demonstrated for </w:t>
      </w:r>
      <w:r w:rsidR="00C96A50" w:rsidRPr="00BB1566">
        <w:rPr>
          <w:rFonts w:cs="Arial"/>
          <w:sz w:val="22"/>
          <w:szCs w:val="22"/>
        </w:rPr>
        <w:t xml:space="preserve">incidence </w:t>
      </w:r>
      <w:r w:rsidR="00C96A50">
        <w:rPr>
          <w:rFonts w:cs="Arial"/>
          <w:sz w:val="22"/>
          <w:szCs w:val="22"/>
        </w:rPr>
        <w:t xml:space="preserve">of </w:t>
      </w:r>
      <w:r w:rsidRPr="00BB1566">
        <w:rPr>
          <w:rFonts w:cs="Arial"/>
          <w:sz w:val="22"/>
          <w:szCs w:val="22"/>
        </w:rPr>
        <w:t>hospitalis</w:t>
      </w:r>
      <w:r w:rsidR="00C96A50">
        <w:rPr>
          <w:rFonts w:cs="Arial"/>
          <w:sz w:val="22"/>
          <w:szCs w:val="22"/>
        </w:rPr>
        <w:t>ation</w:t>
      </w:r>
      <w:r w:rsidRPr="00BB1566">
        <w:rPr>
          <w:rFonts w:cs="Arial"/>
          <w:sz w:val="22"/>
          <w:szCs w:val="22"/>
        </w:rPr>
        <w:t xml:space="preserve"> and uptake independently, </w:t>
      </w:r>
      <w:r w:rsidR="00DB4EEC">
        <w:rPr>
          <w:rFonts w:cs="Arial"/>
          <w:sz w:val="22"/>
          <w:szCs w:val="22"/>
        </w:rPr>
        <w:t xml:space="preserve">difficulties linking data recorded through several incompatible databases </w:t>
      </w:r>
      <w:r w:rsidR="006136A4" w:rsidRPr="00BB1566">
        <w:rPr>
          <w:rFonts w:cs="Arial"/>
          <w:sz w:val="22"/>
          <w:szCs w:val="22"/>
        </w:rPr>
        <w:t xml:space="preserve">prevented </w:t>
      </w:r>
      <w:r w:rsidRPr="00BB1566">
        <w:rPr>
          <w:rFonts w:cs="Arial"/>
          <w:sz w:val="22"/>
          <w:szCs w:val="22"/>
        </w:rPr>
        <w:t xml:space="preserve">integration </w:t>
      </w:r>
      <w:r w:rsidR="006136A4" w:rsidRPr="00BB1566">
        <w:rPr>
          <w:rFonts w:cs="Arial"/>
          <w:sz w:val="22"/>
          <w:szCs w:val="22"/>
        </w:rPr>
        <w:t>and development</w:t>
      </w:r>
      <w:r w:rsidRPr="00BB1566">
        <w:rPr>
          <w:rFonts w:cs="Arial"/>
          <w:sz w:val="22"/>
          <w:szCs w:val="22"/>
        </w:rPr>
        <w:t xml:space="preserve"> of </w:t>
      </w:r>
      <w:r w:rsidR="00C96A50">
        <w:rPr>
          <w:rFonts w:cs="Arial"/>
          <w:sz w:val="22"/>
          <w:szCs w:val="22"/>
        </w:rPr>
        <w:t>more complex</w:t>
      </w:r>
      <w:r w:rsidRPr="00BB1566">
        <w:rPr>
          <w:rFonts w:cs="Arial"/>
          <w:sz w:val="22"/>
          <w:szCs w:val="22"/>
        </w:rPr>
        <w:t xml:space="preserve"> models.</w:t>
      </w:r>
    </w:p>
    <w:p w14:paraId="2628D35F" w14:textId="7CC4B5CD" w:rsidR="00EF45F8" w:rsidRDefault="00EB3D9A" w:rsidP="000D6C59">
      <w:pPr>
        <w:pStyle w:val="ListParagraph"/>
        <w:widowControl w:val="0"/>
        <w:numPr>
          <w:ilvl w:val="0"/>
          <w:numId w:val="6"/>
        </w:numPr>
        <w:autoSpaceDE w:val="0"/>
        <w:autoSpaceDN w:val="0"/>
        <w:adjustRightInd w:val="0"/>
        <w:spacing w:line="480" w:lineRule="auto"/>
        <w:ind w:left="426" w:hanging="426"/>
        <w:rPr>
          <w:rFonts w:cs="Arial"/>
          <w:sz w:val="22"/>
          <w:szCs w:val="22"/>
        </w:rPr>
      </w:pPr>
      <w:r>
        <w:rPr>
          <w:rFonts w:cs="Arial"/>
          <w:sz w:val="22"/>
          <w:szCs w:val="22"/>
        </w:rPr>
        <w:t xml:space="preserve">Further research is needed to understand the attitudes </w:t>
      </w:r>
      <w:r w:rsidR="00F6280A">
        <w:rPr>
          <w:rFonts w:cs="Arial"/>
          <w:sz w:val="22"/>
          <w:szCs w:val="22"/>
        </w:rPr>
        <w:t xml:space="preserve">and beliefs </w:t>
      </w:r>
      <w:r>
        <w:rPr>
          <w:rFonts w:cs="Arial"/>
          <w:sz w:val="22"/>
          <w:szCs w:val="22"/>
        </w:rPr>
        <w:t xml:space="preserve">toward </w:t>
      </w:r>
      <w:r w:rsidR="00F70622">
        <w:rPr>
          <w:rFonts w:cs="Arial"/>
          <w:sz w:val="22"/>
          <w:szCs w:val="22"/>
        </w:rPr>
        <w:t>influenza disease</w:t>
      </w:r>
      <w:r w:rsidR="00002D76">
        <w:rPr>
          <w:rFonts w:cs="Arial"/>
          <w:sz w:val="22"/>
          <w:szCs w:val="22"/>
        </w:rPr>
        <w:t xml:space="preserve"> and influenza </w:t>
      </w:r>
      <w:r w:rsidR="00F6280A">
        <w:rPr>
          <w:rFonts w:cs="Arial"/>
          <w:sz w:val="22"/>
          <w:szCs w:val="22"/>
        </w:rPr>
        <w:t>vaccin</w:t>
      </w:r>
      <w:r w:rsidR="00002D76">
        <w:rPr>
          <w:rFonts w:cs="Arial"/>
          <w:sz w:val="22"/>
          <w:szCs w:val="22"/>
        </w:rPr>
        <w:t>ation as this</w:t>
      </w:r>
      <w:r w:rsidR="00F6280A">
        <w:rPr>
          <w:rFonts w:cs="Arial"/>
          <w:sz w:val="22"/>
          <w:szCs w:val="22"/>
        </w:rPr>
        <w:t xml:space="preserve"> </w:t>
      </w:r>
      <w:r w:rsidR="00002D76">
        <w:rPr>
          <w:rFonts w:cs="Arial"/>
          <w:sz w:val="22"/>
          <w:szCs w:val="22"/>
        </w:rPr>
        <w:t xml:space="preserve">will </w:t>
      </w:r>
      <w:r w:rsidR="00EF45F8" w:rsidRPr="00EF45F8">
        <w:rPr>
          <w:rFonts w:cs="Arial"/>
          <w:sz w:val="22"/>
          <w:szCs w:val="22"/>
        </w:rPr>
        <w:t xml:space="preserve">influence </w:t>
      </w:r>
      <w:r w:rsidR="00F70622">
        <w:rPr>
          <w:rFonts w:cs="Arial"/>
          <w:sz w:val="22"/>
          <w:szCs w:val="22"/>
        </w:rPr>
        <w:t xml:space="preserve">vaccine </w:t>
      </w:r>
      <w:r w:rsidR="000A23F6">
        <w:rPr>
          <w:rFonts w:cs="Arial"/>
          <w:sz w:val="22"/>
          <w:szCs w:val="22"/>
        </w:rPr>
        <w:t>acceptability and uptake among the population</w:t>
      </w:r>
    </w:p>
    <w:p w14:paraId="7EC2D681" w14:textId="77777777" w:rsidR="009F1676" w:rsidRDefault="009F1676" w:rsidP="009F1676"/>
    <w:p w14:paraId="13AC2161" w14:textId="77777777" w:rsidR="00575DCF" w:rsidRPr="009F1676" w:rsidRDefault="00575DCF" w:rsidP="00575DCF">
      <w:pPr>
        <w:spacing w:line="480" w:lineRule="auto"/>
        <w:sectPr w:rsidR="00575DCF" w:rsidRPr="009F1676" w:rsidSect="009F1676">
          <w:pgSz w:w="11906" w:h="16838"/>
          <w:pgMar w:top="1440" w:right="1440" w:bottom="1440" w:left="1440" w:header="708" w:footer="708" w:gutter="0"/>
          <w:lnNumType w:countBy="1" w:restart="continuous"/>
          <w:cols w:space="708"/>
          <w:docGrid w:linePitch="360"/>
        </w:sectPr>
      </w:pPr>
    </w:p>
    <w:p w14:paraId="0A0364E9" w14:textId="6EED3AB6" w:rsidR="00823CB8" w:rsidRPr="00823CB8" w:rsidRDefault="009D568A" w:rsidP="00823CB8">
      <w:pPr>
        <w:pStyle w:val="Heading2"/>
        <w:spacing w:line="480" w:lineRule="auto"/>
      </w:pPr>
      <w:r w:rsidRPr="0061069B">
        <w:lastRenderedPageBreak/>
        <w:t>Background</w:t>
      </w:r>
    </w:p>
    <w:p w14:paraId="7E800BFA" w14:textId="2DB325F9" w:rsidR="009F08B9" w:rsidRDefault="00FC138A" w:rsidP="00797C1F">
      <w:pPr>
        <w:widowControl w:val="0"/>
        <w:autoSpaceDE w:val="0"/>
        <w:autoSpaceDN w:val="0"/>
        <w:adjustRightInd w:val="0"/>
        <w:spacing w:line="480" w:lineRule="auto"/>
        <w:rPr>
          <w:rFonts w:cs="Arial"/>
        </w:rPr>
      </w:pPr>
      <w:r>
        <w:rPr>
          <w:rFonts w:cs="Arial"/>
        </w:rPr>
        <w:t xml:space="preserve">Influenza </w:t>
      </w:r>
      <w:r w:rsidR="0061069B" w:rsidRPr="0061069B">
        <w:rPr>
          <w:rFonts w:cs="Arial"/>
        </w:rPr>
        <w:t xml:space="preserve">is a highly infectious disease associated with high morbidity and mortality rates among vulnerable populations worldwide. Although </w:t>
      </w:r>
      <w:r>
        <w:rPr>
          <w:rFonts w:cs="Arial"/>
        </w:rPr>
        <w:t>influenza</w:t>
      </w:r>
      <w:r w:rsidR="0061069B" w:rsidRPr="0061069B">
        <w:rPr>
          <w:rFonts w:cs="Arial"/>
        </w:rPr>
        <w:t xml:space="preserve"> </w:t>
      </w:r>
      <w:r w:rsidR="009F08B9">
        <w:rPr>
          <w:rFonts w:cs="Arial"/>
        </w:rPr>
        <w:t>im</w:t>
      </w:r>
      <w:r w:rsidR="0061069B" w:rsidRPr="0061069B">
        <w:rPr>
          <w:rFonts w:cs="Arial"/>
        </w:rPr>
        <w:t>poses a considerable burden on the National Health Service (NHS) in the United Kingdom</w:t>
      </w:r>
      <w:r w:rsidR="009D0E06">
        <w:rPr>
          <w:rFonts w:cs="Arial"/>
        </w:rPr>
        <w:t xml:space="preserve"> (UK)</w:t>
      </w:r>
      <w:r w:rsidR="0061069B" w:rsidRPr="0061069B">
        <w:rPr>
          <w:rFonts w:cs="Arial"/>
        </w:rPr>
        <w:t xml:space="preserve">, estimating the true burden of disease is </w:t>
      </w:r>
      <w:r w:rsidR="0027653E">
        <w:rPr>
          <w:rFonts w:cs="Arial"/>
        </w:rPr>
        <w:t>difficult due to the</w:t>
      </w:r>
      <w:r w:rsidR="0061069B" w:rsidRPr="0061069B">
        <w:rPr>
          <w:rFonts w:cs="Arial"/>
        </w:rPr>
        <w:t xml:space="preserve"> non-specific symptomatic presentation of disease and lack of laboratory confirma</w:t>
      </w:r>
      <w:r>
        <w:rPr>
          <w:rFonts w:cs="Arial"/>
        </w:rPr>
        <w:t xml:space="preserve">tion. </w:t>
      </w:r>
      <w:r w:rsidR="00FA7364">
        <w:rPr>
          <w:rFonts w:cs="Arial"/>
        </w:rPr>
        <w:t xml:space="preserve">Using routinely collected healthcare system and mortality data, </w:t>
      </w:r>
      <w:r>
        <w:rPr>
          <w:rFonts w:cs="Arial"/>
        </w:rPr>
        <w:t>influenza</w:t>
      </w:r>
      <w:r w:rsidR="0061069B" w:rsidRPr="0061069B">
        <w:rPr>
          <w:rFonts w:cs="Arial"/>
        </w:rPr>
        <w:t xml:space="preserve"> </w:t>
      </w:r>
      <w:r w:rsidR="00FA7364">
        <w:rPr>
          <w:rFonts w:cs="Arial"/>
        </w:rPr>
        <w:t>was estimated</w:t>
      </w:r>
      <w:r w:rsidR="0061069B" w:rsidRPr="0061069B">
        <w:rPr>
          <w:rFonts w:cs="Arial"/>
        </w:rPr>
        <w:t xml:space="preserve"> to account for almost 900,000 GP consultations, 25,000 </w:t>
      </w:r>
      <w:r w:rsidR="008900FF">
        <w:rPr>
          <w:rFonts w:cs="Arial"/>
        </w:rPr>
        <w:t>hospitalis</w:t>
      </w:r>
      <w:r w:rsidR="0061069B" w:rsidRPr="0061069B">
        <w:rPr>
          <w:rFonts w:cs="Arial"/>
        </w:rPr>
        <w:t>ations and 20,000 deaths</w:t>
      </w:r>
      <w:r w:rsidR="00FA7364">
        <w:rPr>
          <w:rFonts w:cs="Arial"/>
        </w:rPr>
        <w:t xml:space="preserve"> in England and Wales</w:t>
      </w:r>
      <w:r w:rsidR="0061069B" w:rsidRPr="0061069B">
        <w:rPr>
          <w:rFonts w:cs="Arial"/>
        </w:rPr>
        <w:t xml:space="preserve"> every year </w:t>
      </w:r>
      <w:r w:rsidR="000C0CA3">
        <w:rPr>
          <w:rFonts w:cs="Arial"/>
        </w:rPr>
        <w:fldChar w:fldCharType="begin"/>
      </w:r>
      <w:r w:rsidR="00C33409">
        <w:rPr>
          <w:rFonts w:cs="Arial"/>
        </w:rPr>
        <w:instrText xml:space="preserve"> ADDIN ZOTERO_ITEM CSL_CITATION {"citationID":"a2at0i8lvhr","properties":{"formattedCitation":"[1]","plainCitation":"[1]","noteIndex":0},"citationItems":[{"id":4291,"uris":["http://zotero.org/groups/1793288/items/ZDU7QGMF"],"uri":["http://zotero.org/groups/1793288/items/ZDU7QGMF"],"itemData":{"id":4291,"type":"article-journal","title":"Assessing the burden of influenza and other respiratory infections in England and Wales","container-title":"Journal of Infection","page":"530-538","volume":"54","issue":"6","source":"ScienceDirect","abstract":"SummaryObjectives\nTo estimate the burden of influenza in England and Wales, in terms of general practice consultations, hospital admissions and deaths.\nMethods\nMultivariable regression was used to estimate the influenza attributable fraction of general practice consultations recorded in the general practice research database, of hospital admissions from hospital episode statistics and of deaths recorded by the Office of National Statistics.\nResults\nAn estimated 779,000 (95%CI ± 258,000)–1,164,000 (95%CI ± 425,000) general practice consultations, 19,000 (95%CI ± 5000)–31,200 (95%CI ± 11,000) hospital admissions and 18,500 (95%CI 2500)–24,800 (95%CI ± 2500) deaths annually are attributable to influenza infections. In primary care, the bulk of the burden falls on those under the age of 45, whereas the elderly are more likely to be hospitalised and to die.\nConclusions\nAlthough there are significant uncertainties, and considerable year on year variations, it is clear that the burden of influenza is considerable. Although much of this burden falls on the elderly, significant numbers of general practice consultations, hospitalisations and even some deaths occur annually in children in England and Wales.","DOI":"10.1016/j.jinf.2006.09.017","ISSN":"0163-4453","journalAbbreviation":"Journal of Infection","author":[{"family":"Pitman","given":"R. J."},{"family":"Melegaro","given":"A."},{"family":"Gelb","given":"D."},{"family":"Siddiqui","given":"M. R."},{"family":"Gay","given":"N. J."},{"family":"Edmunds","given":"W. J."}],"issued":{"date-parts":[["2007",6]]}}}],"schema":"https://github.com/citation-style-language/schema/raw/master/csl-citation.json"} </w:instrText>
      </w:r>
      <w:r w:rsidR="000C0CA3">
        <w:rPr>
          <w:rFonts w:cs="Arial"/>
        </w:rPr>
        <w:fldChar w:fldCharType="separate"/>
      </w:r>
      <w:r w:rsidR="00C33409" w:rsidRPr="00B57596">
        <w:rPr>
          <w:rFonts w:ascii="Calibri" w:hAnsi="Calibri" w:cs="Calibri"/>
        </w:rPr>
        <w:t>[1]</w:t>
      </w:r>
      <w:r w:rsidR="000C0CA3">
        <w:rPr>
          <w:rFonts w:cs="Arial"/>
        </w:rPr>
        <w:fldChar w:fldCharType="end"/>
      </w:r>
      <w:r w:rsidR="0061069B" w:rsidRPr="0061069B">
        <w:rPr>
          <w:rFonts w:cs="Arial"/>
        </w:rPr>
        <w:t xml:space="preserve">. However, several studies attempting to estimate the true burden of disease using different approaches and statistical modelling suggest that burden of illness attributable to influenza in the UK is likely to be underestimated by current surveillance systems </w:t>
      </w:r>
      <w:r w:rsidR="000C0CA3">
        <w:rPr>
          <w:rFonts w:cs="Arial"/>
        </w:rPr>
        <w:fldChar w:fldCharType="begin"/>
      </w:r>
      <w:r w:rsidR="00C33409">
        <w:rPr>
          <w:rFonts w:cs="Arial"/>
        </w:rPr>
        <w:instrText xml:space="preserve"> ADDIN ZOTERO_ITEM CSL_CITATION {"citationID":"dWy8HJpJ","properties":{"formattedCitation":"[1\\uc0\\u8211{}5]","plainCitation":"[1–5]","noteIndex":0},"citationItems":[{"id":4291,"uris":["http://zotero.org/groups/1793288/items/ZDU7QGMF"],"uri":["http://zotero.org/groups/1793288/items/ZDU7QGMF"],"itemData":{"id":4291,"type":"article-journal","title":"Assessing the burden of influenza and other respiratory infections in England and Wales","container-title":"Journal of Infection","page":"530-538","volume":"54","issue":"6","source":"ScienceDirect","abstract":"SummaryObjectives\nTo estimate the burden of influenza in England and Wales, in terms of general practice consultations, hospital admissions and deaths.\nMethods\nMultivariable regression was used to estimate the influenza attributable fraction of general practice consultations recorded in the general practice research database, of hospital admissions from hospital episode statistics and of deaths recorded by the Office of National Statistics.\nResults\nAn estimated 779,000 (95%CI ± 258,000)–1,164,000 (95%CI ± 425,000) general practice consultations, 19,000 (95%CI ± 5000)–31,200 (95%CI ± 11,000) hospital admissions and 18,500 (95%CI 2500)–24,800 (95%CI ± 2500) deaths annually are attributable to influenza infections. In primary care, the bulk of the burden falls on those under the age of 45, whereas the elderly are more likely to be hospitalised and to die.\nConclusions\nAlthough there are significant uncertainties, and considerable year on year variations, it is clear that the burden of influenza is considerable. Although much of this burden falls on the elderly, significant numbers of general practice consultations, hospitalisations and even some deaths occur annually in children in England and Wales.","DOI":"10.1016/j.jinf.2006.09.017","ISSN":"0163-4453","journalAbbreviation":"Journal of Infection","author":[{"family":"Pitman","given":"R. J."},{"family":"Melegaro","given":"A."},{"family":"Gelb","given":"D."},{"family":"Siddiqui","given":"M. R."},{"family":"Gay","given":"N. J."},{"family":"Edmunds","given":"W. J."}],"issued":{"date-parts":[["2007",6]]}}},{"id":4271,"uris":["http://zotero.org/groups/1793288/items/4H2AQJMH"],"uri":["http://zotero.org/groups/1793288/items/4H2AQJMH"],"itemData":{"id":4271,"type":"article-journal","title":"The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C33409">
        <w:rPr>
          <w:rFonts w:ascii="Cambria Math" w:hAnsi="Cambria Math" w:cs="Cambria Math"/>
        </w:rPr>
        <w:instrText>∼</w:instrText>
      </w:r>
      <w:r w:rsidR="00C33409">
        <w:rPr>
          <w:rFonts w:cs="Arial"/>
        </w:rPr>
        <w:instrText xml:space="preserve">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id":4282,"uris":["http://zotero.org/groups/1793288/items/DBSARFUH"],"uri":["http://zotero.org/groups/1793288/items/DBSARFUH"],"itemData":{"id":4282,"type":"article-journal","title":"Influenza-attributable burden in United Kingdom primary care","container-title":"Epidemiology and Infection","page":"1-11","source":"PubMed","abstract":"Influenza is rarely laboratory-confirmed and the outpatient influenza burden is rarely studied due to a lack of suitable data. We used the Clinical Practice Research Datalink (CPRD) and surveillance data from Public Health England in a linear regression model to assess the number of persons consulting UK general practitioners (GP episodes) for respiratory illness, otitis media and antibiotic prescriptions attributable to influenza during 14 seasons, 1995-2009. In CPRD we ascertained influenza vaccination status in each season and risk status (conditions associated with severe influenza outcomes). Seasonal mean estimates of influenza-attributable GP episodes in the UK were 857 996 for respiratory disease including 68 777 for otitis media, with wide inter-seasonal variability. In an average season, 2·4%/0·5% of children aged &lt;5 years and 1·3%/0·1% of seniors aged </w:instrText>
      </w:r>
      <w:r w:rsidR="00C33409">
        <w:rPr>
          <w:rFonts w:ascii="Cambria Math" w:hAnsi="Cambria Math" w:cs="Cambria Math"/>
        </w:rPr>
        <w:instrText>⩾</w:instrText>
      </w:r>
      <w:r w:rsidR="00C33409">
        <w:rPr>
          <w:rFonts w:cs="Arial"/>
        </w:rPr>
        <w:instrText xml:space="preserve">75 years had a GP episode for respiratory illness attributed to influenza A/B. Two-thirds of influenza-attributable GP episodes were estimated to result in prescription of antibiotics. These estimates are substantially greater than those derived from clinically reported influenza-like illness in surveillance programmes. Because health service costs of influenza are largely borne in general practice, these are important findings for cost-benefit assessment of influenza vaccination programmes.","DOI":"10.1017/S0950268815001119","ISSN":"1469-4409","note":"PMID: 26168005","journalAbbreviation":"Epidemiol. Infect.","language":"ENG","author":[{"family":"Fleming","given":"D. M."},{"family":"Taylor","given":"R. J."},{"family":"Haguinet","given":"F."},{"family":"Schuck-Paim","given":"C."},{"family":"Logie","given":"J."},{"family":"Webb","given":"D. J."},{"family":"Lustig","given":"R. L."},{"family":"Matias","given":"G."}],"issued":{"date-parts":[["2015",7,13]]}}},{"id":4248,"uris":["http://zotero.org/groups/1793288/items/9SN2UUNU"],"uri":["http://zotero.org/groups/1793288/items/9SN2UUNU"],"itemData":{"id":4248,"type":"article-journal","title":"Population-based study on incidence, risk factors, clinical complications and drug utilisation associated with influenza in the United Kingdom","container-title":"European Journal of Clinical Microbiology &amp; Infectious Diseases: Official Publication of the European Society of Clinical Microbiology","page":"834-842","volume":"19","issue":"11","source":"PubMed","abstract":"This large population-based study using the UK-based General Practice Research Database was conducted to quantify influenza-related physician visits, clinical complications of and risk factors for influenza, and related drug use in all age groups from 1991 to 1996. A total of 141,293 subjects who had one or more diagnoses of influenza or influenza-like illness during the study period as well as the same number of age-, sex-, practice and calendar time-matched controls were identified. Adults aged 15-64 years had the highest influenza incidence rate. The risk of getting influenza was particularly increased for subjects with chronic respiratory conditions (asthma or chronic obstructive pulmonary disease, odds ratio 1.65, 95% confidence interval 1.60-1.70). Subjects with influenza were more likely to have a diagnosis of clinical complications than control subjects (relative risk 3.4, 95% confidence interval 3.3-3.6). The risk of developing clinical complications was highest for children and was elevated for subjects with certain underlying chronic conditions. In absolute terms, otherwise healthy adults (15-64 years) accounted for the greatest proportion of all influenza-related physician visits as well as clinical complications in this study population. Of the 141,293 subjects with influenza, 83,911 (59.4%) received drugs on prescription. The most frequently prescribed drugs were antibiotics (45.2%), followed by antipyretics/analgesics (22.5%). Influenza patients were approximately six times more likely to use drugs on prescription than controls. This analysis may lead to further analyses on the economic impact of influenza and the contribution of different population groups to that burden.","ISSN":"0934-9723","note":"PMID: 11152308","journalAbbreviation":"Eur. J. Clin. Microbiol. Infect. Dis.","language":"eng","author":[{"family":"Meier","given":"C. R."},{"family":"Napalkov","given":"P. N."},{"family":"Wegmüller","given":"Y."},{"family":"Jefferson","given":"T."},{"family":"Jick","given":"H."}],"issued":{"date-parts":[["2000",11]]}}},{"id":4249,"uris":["http://zotero.org/groups/1793288/items/62FC9S65"],"uri":["http://zotero.org/groups/1793288/items/62FC9S65"],"itemData":{"id":4249,"type":"article-journal","title":"Burden of Illness in UK Subjects with Reported Respiratory Infections Vaccinated or Unvaccinated against Influenza: A Retrospective Observational Study","container-title":"PloS One","page":"e0134928","volume":"10","issue":"8","source":"PubMed","abstract":"OBJECTIVE: Detailed data are lacking on influenza burden in the United Kingdom (UK). The objective of this study was to estimate the disease burden associated with influenza-like illness (ILI) in the United Kingdom stratified by age, risk and influenza vaccination status.\nMETHODS: This retrospective, cross-sectional, exploratory, observational study used linked data from the General Practice Research Database and the Hospital Episode Statistics databases to estimate resource use and cost associated with ILI in the UK.\nRESULTS: Data were included from 156,193 patients with ≥1 general practitioner visit with ILI. There were 21,518 high-risk patients, of whom 12,514 (58.2%) were vaccinated and 9,004 (41.8%) were not vaccinated, and 134,675 low-risk patients, of whom 17,482 (13.0%) were vaccinated and 117,193 (87.0%) were not vaccinated. High-risk vaccinated patients were older (p&lt;0.001) and had more risk conditions (p&lt;0.001). High-risk (odds ratio [OR] 2.16) or vaccinated (OR 1.19) patients had a higher probability of &gt;1 general practitioner visit compared with low-risk and unvaccinated patients. Patients who were high-risk and vaccinated had a reduced risk of &gt;1 general practitioner visit (OR 0.82; p&lt;0.001). High-risk individuals who were also vaccinated had a lower probability of ILI-related hospitalisation than individuals who were high-risk or vaccinated alone (OR 0.59). In people aged ≥65 years, the mortality rate was lower in vaccinated than unvaccinated individuals (OR 0.75). The cost of ILI-related GP visits and hospital admissions in the UK over the study period in low-risk vaccinated patients was £27,391,142 and £141,932,471, respectively. In low-risk unvaccinated patients the corresponding values were £168,318,709 and £112,534,130, respectively.\nCONCLUSIONS: Although vaccination rates in target groups have increased, many people are still not receiving influenza vaccination, and the burden of ILI in the United Kingdom remains substantial. Improving influenza vaccination uptake may have the potential to reduce this burden.","DOI":"10.1371/journal.pone.0134928","ISSN":"1932-6203","note":"PMID: 26287532\nPMCID: PMC4546056","shortTitle":"Burden of Illness in UK Subjects with Reported Respiratory Infections Vaccinated or Unvaccinated against Influenza","journalAbbreviation":"PLoS ONE","language":"eng","author":[{"family":"Pockett","given":"Rhys D."},{"family":"Watkins","given":"John"},{"family":"McEwan","given":"Phil"},{"family":"Meier","given":"Genevieve"}],"issued":{"date-parts":[["2015"]]}}}],"schema":"https://github.com/citation-style-language/schema/raw/master/csl-citation.json"} </w:instrText>
      </w:r>
      <w:r w:rsidR="000C0CA3">
        <w:rPr>
          <w:rFonts w:cs="Arial"/>
        </w:rPr>
        <w:fldChar w:fldCharType="separate"/>
      </w:r>
      <w:r w:rsidR="00C33409" w:rsidRPr="00B57596">
        <w:rPr>
          <w:rFonts w:ascii="Calibri" w:hAnsi="Calibri" w:cs="Calibri"/>
          <w:szCs w:val="24"/>
        </w:rPr>
        <w:t>[1–5]</w:t>
      </w:r>
      <w:r w:rsidR="000C0CA3">
        <w:rPr>
          <w:rFonts w:cs="Arial"/>
        </w:rPr>
        <w:fldChar w:fldCharType="end"/>
      </w:r>
      <w:r w:rsidR="0061069B" w:rsidRPr="0061069B">
        <w:rPr>
          <w:rFonts w:cs="Arial"/>
        </w:rPr>
        <w:t xml:space="preserve">. Children &lt;5 years </w:t>
      </w:r>
      <w:r w:rsidR="009D0E06">
        <w:rPr>
          <w:rFonts w:cs="Arial"/>
        </w:rPr>
        <w:t xml:space="preserve">of age </w:t>
      </w:r>
      <w:r w:rsidR="0061069B" w:rsidRPr="0061069B">
        <w:rPr>
          <w:rFonts w:cs="Arial"/>
        </w:rPr>
        <w:t>and</w:t>
      </w:r>
      <w:r w:rsidR="00823CB8">
        <w:rPr>
          <w:rFonts w:cs="Arial"/>
        </w:rPr>
        <w:t xml:space="preserve"> those aged 65+ years and individuals</w:t>
      </w:r>
      <w:r w:rsidR="0061069B" w:rsidRPr="0061069B">
        <w:rPr>
          <w:rFonts w:cs="Arial"/>
        </w:rPr>
        <w:t xml:space="preserve"> </w:t>
      </w:r>
      <w:r w:rsidR="009F08B9">
        <w:rPr>
          <w:rFonts w:cs="Arial"/>
        </w:rPr>
        <w:t>with</w:t>
      </w:r>
      <w:r w:rsidR="009F08B9" w:rsidRPr="0061069B">
        <w:rPr>
          <w:rFonts w:cs="Arial"/>
        </w:rPr>
        <w:t xml:space="preserve"> </w:t>
      </w:r>
      <w:r w:rsidR="0061069B" w:rsidRPr="0061069B">
        <w:rPr>
          <w:rFonts w:cs="Arial"/>
        </w:rPr>
        <w:t xml:space="preserve">underlying comorbidities are known to be at higher risk of complicated influenza </w:t>
      </w:r>
      <w:r w:rsidR="0061069B" w:rsidRPr="0061069B">
        <w:rPr>
          <w:rFonts w:cs="Arial"/>
        </w:rPr>
        <w:fldChar w:fldCharType="begin">
          <w:fldData xml:space="preserve">PEVuZE5vdGU+PENpdGU+PEF1dGhvcj5Dcm9tZXI8L0F1dGhvcj48WWVhcj4yMDE0PC9ZZWFyPjxS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c2Nob29sPC9rZXl3b3JkPjxrZXl3b3JkPkVuZ2xhbmQvZXBpZGVtaW9sb2d5PC9rZXl3b3JkPjxr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</w:fldData>
        </w:fldChar>
      </w:r>
      <w:r w:rsidR="0061069B" w:rsidRPr="0061069B">
        <w:rPr>
          <w:rFonts w:cs="Arial"/>
        </w:rPr>
        <w:instrText xml:space="preserve"> ADDIN EN.CITE </w:instrText>
      </w:r>
      <w:r w:rsidR="0061069B" w:rsidRPr="0061069B">
        <w:rPr>
          <w:rFonts w:cs="Arial"/>
        </w:rPr>
        <w:fldChar w:fldCharType="begin">
          <w:fldData xml:space="preserve">PEVuZE5vdGU+PENpdGU+PEF1dGhvcj5Dcm9tZXI8L0F1dGhvcj48WWVhcj4yMDE0PC9ZZWFyPjxS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c2Nob29sPC9rZXl3b3JkPjxrZXl3b3JkPkVuZ2xhbmQvZXBpZGVtaW9sb2d5PC9rZXl3b3JkPjxr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</w:fldData>
        </w:fldChar>
      </w:r>
      <w:r w:rsidR="0061069B" w:rsidRPr="0061069B">
        <w:rPr>
          <w:rFonts w:cs="Arial"/>
        </w:rPr>
        <w:instrText xml:space="preserve"> ADDIN EN.CITE.DATA </w:instrText>
      </w:r>
      <w:r w:rsidR="0061069B" w:rsidRPr="0061069B">
        <w:rPr>
          <w:rFonts w:cs="Arial"/>
        </w:rPr>
      </w:r>
      <w:r w:rsidR="0061069B" w:rsidRPr="0061069B">
        <w:rPr>
          <w:rFonts w:cs="Arial"/>
        </w:rPr>
        <w:fldChar w:fldCharType="end"/>
      </w:r>
      <w:r w:rsidR="0061069B" w:rsidRPr="0061069B">
        <w:rPr>
          <w:rFonts w:cs="Arial"/>
        </w:rPr>
      </w:r>
      <w:r w:rsidR="0061069B" w:rsidRPr="0061069B">
        <w:rPr>
          <w:rFonts w:cs="Arial"/>
        </w:rPr>
        <w:fldChar w:fldCharType="separate"/>
      </w:r>
      <w:r w:rsidR="000C0CA3">
        <w:rPr>
          <w:rFonts w:cs="Arial"/>
          <w:noProof/>
        </w:rPr>
        <w:fldChar w:fldCharType="begin"/>
      </w:r>
      <w:r w:rsidR="00C33409">
        <w:rPr>
          <w:rFonts w:cs="Arial"/>
          <w:noProof/>
        </w:rPr>
        <w:instrText xml:space="preserve"> ADDIN ZOTERO_ITEM CSL_CITATION {"citationID":"a1d5st275p","properties":{"formattedCitation":"[2,6]","plainCitation":"[2,6]","noteIndex":0},"citationItems":[{"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C33409">
        <w:rPr>
          <w:rFonts w:ascii="Cambria Math" w:hAnsi="Cambria Math" w:cs="Cambria Math"/>
          <w:noProof/>
        </w:rPr>
        <w:instrText>∼</w:instrText>
      </w:r>
      <w:r w:rsidR="00C33409">
        <w:rPr>
          <w:rFonts w:cs="Arial"/>
          <w:noProof/>
        </w:rPr>
        <w:instrText xml:space="preserve">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id":4247,"uris":["http://zotero.org/groups/1793288/items/D22Z6NXK"],"uri":["http://zotero.org/groups/1793288/items/D22Z6NXK"],"itemData":{"id":4247,"type":"article-journal","title":"Impact of respiratory virus infections on persons with chronic underlying conditions","container-title":"JAMA","page":"499-505","volume":"283","issue":"4","source":"PubMed","abstract":"CONTEXT: While hospitalization rates have declined overall, hospitalizations for acute lower respiratory tract infections have increased steadily since 1980. Development of new approaches for prevention of acute respiratory tract conditions requires studies of the etiologies of infections and quantification of the risk of hospitalization for vulnerable patients.\nOBJECTIVE: To determine the frequency of specific virus infections associated with acute respiratory tract conditions leading to hospitalization of chronically ill patients.\nDESIGN: Analysis of viral etiology of patients hospitalized with acute respiratory tract conditions between July 1991 and June 1995.\nSETTING: Four large clinics and related hospitals serving diverse populations representative of Harris County, Texas.\nPATIENTS: A total of 1029 patients who were hospitalized for pneumonia, tracheobronchitis, bronchiolitis, croup, exacerbations of asthma or chronic obstructive pulmonary disease, and/or congestive heart failure.\nMAIN OUTCOME MEASURE: Virus infection, defined by culture, antigen detection, and significant rise in serum antibodies, by underlying condition; hospitalization rates by low- vs middle-income status.\nRESULTS: Ninety-three percent of patients older than 5 years had a chronic underlying condition; a chronic pulmonary condition was most common. Patients with chronic pulmonary disease from low-income populations were hospitalized at a rate of 398.6 per 10000, almost 8 times higher than the rate for patients from middle-income groups (52.2 per 10000; P&lt;.001). Of the 403 patients (44.4% of adults and 32.3% of children) who submitted convalescent serum specimens for antibody testing, respiratory tract virus infections were detected in 181 (44.9%). Influenza, parainfluenza, and respiratory syncytial virus (RSV) infections accounted for 75% of all virus infections.\nCONCLUSIONS: Our study suggests that respiratory virus infections commonly trigger serious acute respiratory conditions that result in hospitalization of patients with chronic underlying conditions, highlighting the need for development of effective vaccines for these viruses, especially for parainfluenza and RSV.","ISSN":"0098-7484","note":"PMID: 10659876","journalAbbreviation":"JAMA","language":"eng","author":[{"family":"Glezen","given":"W. P."},{"family":"Greenberg","given":"S. B."},{"family":"Atmar","given":"R. L."},{"family":"Piedra","given":"P. A."},{"family":"Couch","given":"R. B."}],"issued":{"date-parts":[["2000",1,26]]}}}],"schema":"https://github.com/citation-style-language/schema/raw/master/csl-citation.json"} </w:instrText>
      </w:r>
      <w:r w:rsidR="000C0CA3">
        <w:rPr>
          <w:rFonts w:cs="Arial"/>
          <w:noProof/>
        </w:rPr>
        <w:fldChar w:fldCharType="separate"/>
      </w:r>
      <w:r w:rsidR="00C33409" w:rsidRPr="00B57596">
        <w:rPr>
          <w:rFonts w:ascii="Calibri" w:hAnsi="Calibri" w:cs="Calibri"/>
        </w:rPr>
        <w:t>[2,6]</w:t>
      </w:r>
      <w:r w:rsidR="000C0CA3">
        <w:rPr>
          <w:rFonts w:cs="Arial"/>
          <w:noProof/>
        </w:rPr>
        <w:fldChar w:fldCharType="end"/>
      </w:r>
      <w:r w:rsidR="0061069B" w:rsidRPr="0061069B">
        <w:rPr>
          <w:rFonts w:cs="Arial"/>
        </w:rPr>
        <w:fldChar w:fldCharType="end"/>
      </w:r>
      <w:r w:rsidR="0061069B" w:rsidRPr="0061069B">
        <w:rPr>
          <w:rFonts w:cs="Arial"/>
        </w:rPr>
        <w:t>.</w:t>
      </w:r>
      <w:r w:rsidR="009F08B9">
        <w:rPr>
          <w:rFonts w:cs="Arial"/>
        </w:rPr>
        <w:t>S</w:t>
      </w:r>
      <w:r w:rsidR="0061069B" w:rsidRPr="0061069B">
        <w:rPr>
          <w:rFonts w:cs="Arial"/>
        </w:rPr>
        <w:t xml:space="preserve">ocioeconomic deprivation has also been associated with higher influenza-related mortality and </w:t>
      </w:r>
      <w:r w:rsidR="008900FF">
        <w:rPr>
          <w:rFonts w:cs="Arial"/>
        </w:rPr>
        <w:t>hospitalis</w:t>
      </w:r>
      <w:r w:rsidR="0061069B" w:rsidRPr="0061069B">
        <w:rPr>
          <w:rFonts w:cs="Arial"/>
        </w:rPr>
        <w:t xml:space="preserve">ations </w:t>
      </w:r>
      <w:r w:rsidR="000C0CA3">
        <w:rPr>
          <w:rFonts w:cs="Arial"/>
        </w:rPr>
        <w:fldChar w:fldCharType="begin"/>
      </w:r>
      <w:r w:rsidR="00C33409">
        <w:rPr>
          <w:rFonts w:cs="Arial"/>
        </w:rPr>
        <w:instrText xml:space="preserve"> ADDIN ZOTERO_ITEM CSL_CITATION {"citationID":"aj3mspeqjg","properties":{"formattedCitation":"[7\\uc0\\u8211{}9]","plainCitation":"[7–9]","noteIndex":0},"citationItems":[{"id":4246,"uris":["http://zotero.org/groups/1793288/items/5NM5WEAB"],"uri":["http://zotero.org/groups/1793288/items/5NM5WEAB"],"itemData":{"id":4246,"type":"article-journal","title":"Patterns of early transmission of pandemic influenza in London - link with deprivation","container-title":"Influenza and Other Respiratory Viruses","page":"e35-41","volume":"6","issue":"3","source":"PubMed","abstract":"BACKGROUND: During the early containment phase in England from April to June 2009, the national strategy for H1N1 pandemic influenza involved case investigation and treatment, and tracing and prophylaxis of contacts.\nOBJECTIVE: To describe the relationship between early transmission of H1N1 pandemic influenza in London and age and socio-economic status.\nMETHODS: Epidemiological data on cases of pandemic flu in London reported to the London Flu Response Centre were analysed to determine patterns of transmission.\nRESULTS: There were 3487 reported cases (2202 confirmed, 1272 presumed and 14 probable) from 20 April to 28 June 2009, during the 'containment' period. The highest report rate of 206 per 100 000 (95% CI 195-218) was seen in primary school-age children (5-11 years) followed by 129 (95% CI 119-139) in secondary school-age children (12-18 years). Reports of cases were initially concentrated in affluent areas but overall showed a clear trend with deprivation and risk ratio of 2·32 (95% CI 1·94-2·78) between the most deprived and the least deprived.\nCONCLUSION: Early transmissions were highest amongst school-aged children but linked with socio-economic deprivation across all age groups.","DOI":"10.1111/j.1750-2659.2011.00327.x","ISSN":"1750-2659","note":"PMID: 22236079\nPMCID: PMC4941677","journalAbbreviation":"Influenza Other Respir Viruses","language":"eng","author":[{"family":"Balasegaram","given":"Sooria"},{"family":"Ogilvie","given":"Flora"},{"family":"Glasswell","given":"Amy"},{"family":"Anderson","given":"Charlotte"},{"family":"Cleary","given":"Vivien"},{"family":"Turbitt","given":"Deborah"},{"family":"McCloskey","given":"Brian"}],"issued":{"date-parts":[["2012",5]]}}},{"id":4245,"uris":["http://zotero.org/groups/1793288/items/9ZK9F5JZ"],"uri":["http://zotero.org/groups/1793288/items/9ZK9F5JZ"],"itemData":{"id":4245,"type":"article-journal","title":"Social deprivation and hospital admission for respiratory infection: an ecological study","container-title":"Respiratory Medicine","page":"1219-1224","volume":"97","issue":"11","source":"PubMed","abstract":"STUDY OBJECTIVE: To examine the relationship between social deprivation and risk of hospital admission for respiratory infection.\nMETHODS AND SUBJECTS: Ecological study using hospital episode statistics and population census data. Cases were residents of the West Midlands Health Region admitted to hospital with a diagnosis of respiratory infection, acute respiratory infection, pneumonia or influenza over a 5-year period. Postcodes of cases were used to assign Townsend deprivation scores; these were then ranked and divided into five deprivation categories. Poisson regression analysis was used to estimate the magnitude of effect for associations between deprivation category and hospital admission by age and admitting diagnosis.\nMAIN RESULTS: There were 136755 admissions for respiratory infection, equivalent to an annual admission rate of 27.1 per 1000 population (95% CI = 26.9-27.2). Deprivation was associated with increased admission rates for all respiratory infection (P &lt; 0.0001) and affected all age-groups. The greatest effect was in the 0-4 years age-group with admission rates 91% higher in the most deprived children compared to the least deprived. Hospital admissions for acute respiratory infection and pneumonia were both significantly associated with deprivation (P &lt; 0.0001).\nCONCLUSIONS: Respiratory infection is associated with social inequalities in all age-groups, particularly in children. Prevention of respiratory infection could make an important contribution to reducing health inequalities.","ISSN":"0954-6111","note":"PMID: 14635977","shortTitle":"Social deprivation and hospital admission for respiratory infection","journalAbbreviation":"Respir Med","language":"eng","author":[{"family":"Hawker","given":"Jeremy I."},{"family":"Olowokure","given":"Babatunde"},{"family":"Sufi","given":"Farzana"},{"family":"Weinberg","given":"Julius"},{"family":"Gill","given":"Noel"},{"family":"Wilson","given":"Richard C."}],"issued":{"date-parts":[["2003",11]]}}},{"id":4292,"uris":["http://zotero.org/groups/1793288/items/WVNF6ZWP"],"uri":["http://zotero.org/groups/1793288/items/WVNF6ZWP"],"itemData":{"id":4292,"type":"article-journal","title":"Socio-economic disparities in mortality due to pandemic influenza in England","container-title":"International Journal of Public Health","page":"745-750","volume":"57","issue":"4","source":"PubMed","abstract":"OBJECTIVES: This study examines variations in mortality between socio-economic groups due to the pandemic Influenza (H1N1) 2009 virus in England.\nMETHODS: We established a system to identify all deaths related to pandemic (H1N1) 2009 influenza. We collected the postcode of every individual who died, and through this determined the socio-economic deprivation, urban-rural characteristics and region of their residence. Across England, we were therefore able to examine how mortality rates varied by socio-economic group, between urban and rural areas, and between regions.\nRESULTS: People in the most deprived quintile of England's population had an age and sex-standardised mortality rate three times that experienced by the least deprived quintile (RR = 3.1, 95% CI 2.2-4.4). Mortality was also higher in urban areas than in rural areas (RR = 1.7, 95% CI 1.2-2.3). Mortality rates were similar between regions of the country.\nCONCLUSION: Tackling socio-economic health inequalities is a central concept within public health, but has not always been a part of emergency preparedness plans. These data demonstrate the opportunity to reduce the overall impact and narrow inequalities by considering socio-economic disparities in future pandemic planning.","DOI":"10.1007/s00038-012-0337-1","ISSN":"1661-8564","note":"PMID: 22297400","journalAbbreviation":"Int J Public Health","language":"eng","author":[{"family":"Rutter","given":"Paul D."},{"family":"Mytton","given":"Oliver T."},{"family":"Mak","given":"Matthew"},{"family":"Donaldson","given":"Liam J."}],"issued":{"date-parts":[["2012",8]]}}}],"schema":"https://github.com/citation-style-language/schema/raw/master/csl-citation.json"} </w:instrText>
      </w:r>
      <w:r w:rsidR="000C0CA3">
        <w:rPr>
          <w:rFonts w:cs="Arial"/>
        </w:rPr>
        <w:fldChar w:fldCharType="separate"/>
      </w:r>
      <w:r w:rsidR="00C33409" w:rsidRPr="00B57596">
        <w:rPr>
          <w:rFonts w:ascii="Calibri" w:hAnsi="Calibri" w:cs="Calibri"/>
          <w:szCs w:val="24"/>
        </w:rPr>
        <w:t>[7–9]</w:t>
      </w:r>
      <w:r w:rsidR="000C0CA3">
        <w:rPr>
          <w:rFonts w:cs="Arial"/>
        </w:rPr>
        <w:fldChar w:fldCharType="end"/>
      </w:r>
      <w:r w:rsidR="0061069B" w:rsidRPr="0061069B">
        <w:rPr>
          <w:rFonts w:cs="Arial"/>
        </w:rPr>
        <w:fldChar w:fldCharType="begin">
          <w:fldData xml:space="preserve">PEVuZE5vdGU+PENpdGU+PEF1dGhvcj5CYWxhc2VnYXJhbTwvQXV0aG9yPjxZZWFyPjIwMTI8L1ll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</w:fldData>
        </w:fldChar>
      </w:r>
      <w:r w:rsidR="0061069B" w:rsidRPr="0061069B">
        <w:rPr>
          <w:rFonts w:cs="Arial"/>
        </w:rPr>
        <w:instrText xml:space="preserve"> ADDIN EN.CITE </w:instrText>
      </w:r>
      <w:r w:rsidR="0061069B" w:rsidRPr="0061069B">
        <w:rPr>
          <w:rFonts w:cs="Arial"/>
        </w:rPr>
        <w:fldChar w:fldCharType="begin">
          <w:fldData xml:space="preserve">PEVuZE5vdGU+PENpdGU+PEF1dGhvcj5CYWxhc2VnYXJhbTwvQXV0aG9yPjxZZWFyPjIwMTI8L1ll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</w:fldData>
        </w:fldChar>
      </w:r>
      <w:r w:rsidR="0061069B" w:rsidRPr="0061069B">
        <w:rPr>
          <w:rFonts w:cs="Arial"/>
        </w:rPr>
        <w:instrText xml:space="preserve"> ADDIN EN.CITE.DATA </w:instrText>
      </w:r>
      <w:r w:rsidR="0061069B" w:rsidRPr="0061069B">
        <w:rPr>
          <w:rFonts w:cs="Arial"/>
        </w:rPr>
      </w:r>
      <w:r w:rsidR="0061069B" w:rsidRPr="0061069B">
        <w:rPr>
          <w:rFonts w:cs="Arial"/>
        </w:rPr>
        <w:fldChar w:fldCharType="end"/>
      </w:r>
      <w:r w:rsidR="0061069B" w:rsidRPr="0061069B">
        <w:rPr>
          <w:rFonts w:cs="Arial"/>
        </w:rPr>
      </w:r>
      <w:r w:rsidR="0061069B" w:rsidRPr="0061069B">
        <w:rPr>
          <w:rFonts w:cs="Arial"/>
        </w:rPr>
        <w:fldChar w:fldCharType="end"/>
      </w:r>
      <w:r w:rsidR="0061069B" w:rsidRPr="0061069B">
        <w:rPr>
          <w:rFonts w:cs="Arial"/>
        </w:rPr>
        <w:t xml:space="preserve">. </w:t>
      </w:r>
    </w:p>
    <w:p w14:paraId="7CEE8D70" w14:textId="2D30482A" w:rsidR="009D568A" w:rsidRPr="00797C1F" w:rsidRDefault="0061069B" w:rsidP="00797C1F">
      <w:pPr>
        <w:widowControl w:val="0"/>
        <w:autoSpaceDE w:val="0"/>
        <w:autoSpaceDN w:val="0"/>
        <w:adjustRightInd w:val="0"/>
        <w:spacing w:line="480" w:lineRule="auto"/>
        <w:rPr>
          <w:rFonts w:cs="Arial"/>
        </w:rPr>
      </w:pPr>
      <w:r w:rsidRPr="0061069B">
        <w:rPr>
          <w:rFonts w:cs="Arial"/>
        </w:rPr>
        <w:t>Vaccination is the most effective control measure against complications of seasonal influenza. In the UK, the vaccine is offered</w:t>
      </w:r>
      <w:r w:rsidR="00DB083D">
        <w:rPr>
          <w:rFonts w:cs="Arial"/>
        </w:rPr>
        <w:t xml:space="preserve"> free of charge through the NHS</w:t>
      </w:r>
      <w:r w:rsidRPr="0061069B">
        <w:rPr>
          <w:rFonts w:cs="Arial"/>
        </w:rPr>
        <w:t xml:space="preserve"> to </w:t>
      </w:r>
      <w:r w:rsidR="009F08B9">
        <w:rPr>
          <w:rFonts w:cs="Arial"/>
        </w:rPr>
        <w:t xml:space="preserve">those </w:t>
      </w:r>
      <w:r w:rsidR="00823CB8">
        <w:rPr>
          <w:rFonts w:cs="Arial"/>
        </w:rPr>
        <w:t xml:space="preserve">aged </w:t>
      </w:r>
      <w:r w:rsidRPr="0061069B">
        <w:rPr>
          <w:rFonts w:cs="Arial"/>
        </w:rPr>
        <w:t>65 and over</w:t>
      </w:r>
      <w:r w:rsidR="009B100F">
        <w:rPr>
          <w:rFonts w:cs="Arial"/>
        </w:rPr>
        <w:t>,</w:t>
      </w:r>
      <w:r w:rsidRPr="0061069B">
        <w:rPr>
          <w:rFonts w:cs="Arial"/>
        </w:rPr>
        <w:t xml:space="preserve"> and to individuals at risk of complicated </w:t>
      </w:r>
      <w:r w:rsidR="00FC138A">
        <w:rPr>
          <w:rFonts w:cs="Arial"/>
        </w:rPr>
        <w:t>influenza</w:t>
      </w:r>
      <w:r w:rsidR="002868DE">
        <w:rPr>
          <w:rFonts w:cs="Arial"/>
        </w:rPr>
        <w:t xml:space="preserve"> under 65 years of age</w:t>
      </w:r>
      <w:r w:rsidRPr="0061069B">
        <w:rPr>
          <w:rFonts w:cs="Arial"/>
        </w:rPr>
        <w:t xml:space="preserve">. In 2013, </w:t>
      </w:r>
      <w:r w:rsidR="009D0E06">
        <w:rPr>
          <w:rFonts w:cs="Arial"/>
        </w:rPr>
        <w:t xml:space="preserve">the </w:t>
      </w:r>
      <w:r w:rsidRPr="0061069B">
        <w:rPr>
          <w:rFonts w:cs="Arial"/>
        </w:rPr>
        <w:t xml:space="preserve">Department of Health (DH) expanded </w:t>
      </w:r>
      <w:r w:rsidR="00DB083D">
        <w:rPr>
          <w:rFonts w:cs="Arial"/>
        </w:rPr>
        <w:t xml:space="preserve">free </w:t>
      </w:r>
      <w:r w:rsidRPr="0061069B">
        <w:rPr>
          <w:rFonts w:cs="Arial"/>
        </w:rPr>
        <w:t>vaccination to children with an age-phased rollout of an intranasal Live Attenuated Influenza Vaccine (LAIV) programme</w:t>
      </w:r>
      <w:r w:rsidR="00EF660E">
        <w:rPr>
          <w:rFonts w:cs="Arial"/>
        </w:rPr>
        <w:t>,</w:t>
      </w:r>
      <w:r w:rsidRPr="0061069B">
        <w:rPr>
          <w:rFonts w:cs="Arial"/>
        </w:rPr>
        <w:t xml:space="preserve"> that </w:t>
      </w:r>
      <w:r w:rsidR="009F08B9">
        <w:rPr>
          <w:rFonts w:cs="Arial"/>
        </w:rPr>
        <w:t>at the time of writing</w:t>
      </w:r>
      <w:r w:rsidR="009B100F">
        <w:rPr>
          <w:rFonts w:cs="Arial"/>
        </w:rPr>
        <w:t>,</w:t>
      </w:r>
      <w:r w:rsidR="009F08B9" w:rsidRPr="0061069B">
        <w:rPr>
          <w:rFonts w:cs="Arial"/>
        </w:rPr>
        <w:t xml:space="preserve"> </w:t>
      </w:r>
      <w:r w:rsidRPr="0061069B">
        <w:rPr>
          <w:rFonts w:cs="Arial"/>
        </w:rPr>
        <w:t>includes all children aged 2-</w:t>
      </w:r>
      <w:r w:rsidR="00244E25">
        <w:rPr>
          <w:rFonts w:cs="Arial"/>
        </w:rPr>
        <w:t>8</w:t>
      </w:r>
      <w:r w:rsidRPr="0061069B">
        <w:rPr>
          <w:rFonts w:cs="Arial"/>
        </w:rPr>
        <w:t xml:space="preserve"> years, and will eventually target all those up to 17 years of age </w:t>
      </w:r>
      <w:r w:rsidR="000C0CA3">
        <w:rPr>
          <w:rFonts w:cs="Arial"/>
        </w:rPr>
        <w:fldChar w:fldCharType="begin"/>
      </w:r>
      <w:r w:rsidR="00C33409">
        <w:rPr>
          <w:rFonts w:cs="Arial"/>
        </w:rPr>
        <w:instrText xml:space="preserve"> ADDIN ZOTERO_ITEM CSL_CITATION {"citationID":"akkppk10p8","properties":{"formattedCitation":"[10]","plainCitation":"[10]","noteIndex":0},"citationItems":[{"id":4289,"uris":["http://zotero.org/groups/1793288/items/N5A9KF8Q"],"uri":["http://zotero.org/groups/1793288/items/N5A9KF8Q"],"itemData":{"id":4289,"type":"report","title":"JCVI statement on the routine annual influenza vaccination programme - extension of the programme to children","publisher":"Department of Health","page":"1-6","genre":"Guidance","abstract":"A position statement on extending the annual influenza vaccination programme to children released by JCVI.","URL":"https://www.gov.uk/government/publications/jcvi-statement-on-the-routine-annual-influenza-vaccination-programme","author":[{"family":"Joint Committee on Vaccination and Immunisation","given":""}],"issued":{"date-parts":[["2013",7,23]]},"accessed":{"date-parts":[["2016",3,29]]}}}],"schema":"https://github.com/citation-style-language/schema/raw/master/csl-citation.json"} </w:instrText>
      </w:r>
      <w:r w:rsidR="000C0CA3">
        <w:rPr>
          <w:rFonts w:cs="Arial"/>
        </w:rPr>
        <w:fldChar w:fldCharType="separate"/>
      </w:r>
      <w:r w:rsidR="00C33409" w:rsidRPr="00B57596">
        <w:rPr>
          <w:rFonts w:ascii="Calibri" w:hAnsi="Calibri" w:cs="Calibri"/>
        </w:rPr>
        <w:t>[10]</w:t>
      </w:r>
      <w:r w:rsidR="000C0CA3">
        <w:rPr>
          <w:rFonts w:cs="Arial"/>
        </w:rPr>
        <w:fldChar w:fldCharType="end"/>
      </w:r>
      <w:r w:rsidR="000C0CA3">
        <w:rPr>
          <w:rFonts w:cs="Arial"/>
        </w:rPr>
        <w:t>.</w:t>
      </w:r>
      <w:r w:rsidRPr="0061069B">
        <w:rPr>
          <w:rFonts w:cs="Arial"/>
        </w:rPr>
        <w:t xml:space="preserve"> Children aged 2-4 years receive the vaccine </w:t>
      </w:r>
      <w:r w:rsidR="009F08B9">
        <w:rPr>
          <w:rFonts w:cs="Arial"/>
        </w:rPr>
        <w:t>at</w:t>
      </w:r>
      <w:r w:rsidR="009F08B9" w:rsidRPr="0061069B">
        <w:rPr>
          <w:rFonts w:cs="Arial"/>
        </w:rPr>
        <w:t xml:space="preserve"> </w:t>
      </w:r>
      <w:r w:rsidRPr="0061069B">
        <w:rPr>
          <w:rFonts w:cs="Arial"/>
        </w:rPr>
        <w:t xml:space="preserve">their </w:t>
      </w:r>
      <w:r w:rsidR="0027653E">
        <w:rPr>
          <w:rFonts w:cs="Arial"/>
        </w:rPr>
        <w:t>g</w:t>
      </w:r>
      <w:r w:rsidRPr="0061069B">
        <w:rPr>
          <w:rFonts w:cs="Arial"/>
        </w:rPr>
        <w:t xml:space="preserve">eneral </w:t>
      </w:r>
      <w:r w:rsidR="0027653E">
        <w:rPr>
          <w:rFonts w:cs="Arial"/>
        </w:rPr>
        <w:t>p</w:t>
      </w:r>
      <w:r w:rsidRPr="0061069B">
        <w:rPr>
          <w:rFonts w:cs="Arial"/>
        </w:rPr>
        <w:t xml:space="preserve">ractice (GP) </w:t>
      </w:r>
      <w:r w:rsidR="009F08B9">
        <w:rPr>
          <w:rFonts w:cs="Arial"/>
        </w:rPr>
        <w:t>while</w:t>
      </w:r>
      <w:r w:rsidR="009F08B9" w:rsidRPr="0061069B">
        <w:rPr>
          <w:rFonts w:cs="Arial"/>
        </w:rPr>
        <w:t xml:space="preserve"> </w:t>
      </w:r>
      <w:r w:rsidRPr="0061069B">
        <w:rPr>
          <w:rFonts w:cs="Arial"/>
        </w:rPr>
        <w:t xml:space="preserve">those aged </w:t>
      </w:r>
      <w:r w:rsidR="00002D76">
        <w:rPr>
          <w:rFonts w:cs="Arial"/>
        </w:rPr>
        <w:t>5+ years</w:t>
      </w:r>
      <w:r w:rsidRPr="0061069B">
        <w:rPr>
          <w:rFonts w:cs="Arial"/>
        </w:rPr>
        <w:t xml:space="preserve"> are vaccinated at school. </w:t>
      </w:r>
      <w:r w:rsidR="00BE5ECB">
        <w:rPr>
          <w:rFonts w:cs="Arial"/>
        </w:rPr>
        <w:t>D</w:t>
      </w:r>
      <w:r w:rsidRPr="0061069B">
        <w:rPr>
          <w:rFonts w:cs="Arial"/>
        </w:rPr>
        <w:t>uring the 2016/17 influenza season, vaccine uptake</w:t>
      </w:r>
      <w:r w:rsidR="00BE5ECB">
        <w:rPr>
          <w:rFonts w:cs="Arial"/>
        </w:rPr>
        <w:t xml:space="preserve"> in England</w:t>
      </w:r>
      <w:r w:rsidRPr="0061069B">
        <w:rPr>
          <w:rFonts w:cs="Arial"/>
        </w:rPr>
        <w:t xml:space="preserve"> </w:t>
      </w:r>
      <w:r w:rsidR="009D0E06">
        <w:rPr>
          <w:rFonts w:cs="Arial"/>
        </w:rPr>
        <w:t xml:space="preserve">was 70.5% </w:t>
      </w:r>
      <w:r w:rsidRPr="0061069B">
        <w:rPr>
          <w:rFonts w:cs="Arial"/>
        </w:rPr>
        <w:t>among thos</w:t>
      </w:r>
      <w:r w:rsidR="009D0E06">
        <w:rPr>
          <w:rFonts w:cs="Arial"/>
        </w:rPr>
        <w:t>e aged 65+</w:t>
      </w:r>
      <w:r w:rsidR="007C1A57">
        <w:rPr>
          <w:rFonts w:cs="Arial"/>
        </w:rPr>
        <w:t xml:space="preserve"> years</w:t>
      </w:r>
      <w:r w:rsidR="009D0E06">
        <w:rPr>
          <w:rFonts w:cs="Arial"/>
        </w:rPr>
        <w:t>, 36.9</w:t>
      </w:r>
      <w:r w:rsidR="009D0E06" w:rsidRPr="0061069B">
        <w:rPr>
          <w:rFonts w:cs="Arial"/>
        </w:rPr>
        <w:t>% among children aged 2-4 years</w:t>
      </w:r>
      <w:r w:rsidR="007C1A57">
        <w:rPr>
          <w:rFonts w:cs="Arial"/>
        </w:rPr>
        <w:t xml:space="preserve">, 48.6% in </w:t>
      </w:r>
      <w:r w:rsidR="009D0E06">
        <w:rPr>
          <w:rFonts w:cs="Arial"/>
        </w:rPr>
        <w:t xml:space="preserve">risk groups aged 6 months to 64 years </w:t>
      </w:r>
      <w:r w:rsidR="007C1A57">
        <w:rPr>
          <w:rFonts w:cs="Arial"/>
        </w:rPr>
        <w:t>and</w:t>
      </w:r>
      <w:r w:rsidRPr="0061069B">
        <w:rPr>
          <w:rFonts w:cs="Arial"/>
        </w:rPr>
        <w:t xml:space="preserve"> </w:t>
      </w:r>
      <w:r w:rsidR="007C1A57" w:rsidRPr="0061069B">
        <w:rPr>
          <w:rFonts w:cs="Arial"/>
        </w:rPr>
        <w:t>55.4%</w:t>
      </w:r>
      <w:r w:rsidR="007C1A57">
        <w:rPr>
          <w:rFonts w:cs="Arial"/>
        </w:rPr>
        <w:t xml:space="preserve"> among children aged 5-8 years in school </w:t>
      </w:r>
      <w:r w:rsidRPr="0061069B">
        <w:rPr>
          <w:rFonts w:cs="Arial"/>
        </w:rPr>
        <w:t>years</w:t>
      </w:r>
      <w:r w:rsidR="007C1A57">
        <w:rPr>
          <w:rFonts w:cs="Arial"/>
        </w:rPr>
        <w:t xml:space="preserve"> 1 to 3 </w:t>
      </w:r>
      <w:r w:rsidR="007C1A57">
        <w:rPr>
          <w:rFonts w:cs="Arial"/>
        </w:rPr>
        <w:fldChar w:fldCharType="begin"/>
      </w:r>
      <w:r w:rsidR="00C33409">
        <w:rPr>
          <w:rFonts w:cs="Arial"/>
        </w:rPr>
        <w:instrText xml:space="preserve"> ADDIN ZOTERO_ITEM CSL_CITATION {"citationID":"QjbusJhb","properties":{"formattedCitation":"[11,12]","plainCitation":"[11,12]","noteIndex":0},"citationItems":[{"id":4240,"uris":["http://zotero.org/groups/1793288/items/W6CU9AA4"],"uri":["http://zotero.org/groups/1793288/items/W6CU9AA4"],"itemData":{"id":4240,"type":"report","title":"Seasonal influenza vaccine uptake amongst GP Patients in England: winter season 2016 to 2017","publisher":"Public Health England","publisher-place":"London, England","event-place":"London, England","URL":"https://www.gov.uk/government/statistics/seasonal-flu-vaccine-uptake-in-gp-patients-in-england-winter-season-2016-to-2017","author":[{"family":"Public Health England","given":""}],"issued":{"date-parts":[["2017",11,5]]}}},{"id":4239,"uris":["http://zotero.org/groups/1793288/items/PQ9Q9K46"],"uri":["http://zotero.org/groups/1793288/items/PQ9Q9K46"],"itemData":{"id":4239,"type":"report","title":"Seasonal flu vaccine uptake in children of primary school age: winter season 2016 to 2017","publisher":"Public Health England","publisher-place":"London, England","event-place":"London, England","URL":"https://www.gov.uk/government/statistics/seasonal-flu-vaccine-uptake-in-children-of-primary-school-age-winter-season-2016-to-2017","author":[{"family":"Public Health England","given":""}],"issued":{"date-parts":[["2017",11,5]]}}}],"schema":"https://github.com/citation-style-language/schema/raw/master/csl-citation.json"} </w:instrText>
      </w:r>
      <w:r w:rsidR="007C1A57">
        <w:rPr>
          <w:rFonts w:cs="Arial"/>
        </w:rPr>
        <w:fldChar w:fldCharType="separate"/>
      </w:r>
      <w:r w:rsidR="00C33409" w:rsidRPr="00B57596">
        <w:rPr>
          <w:rFonts w:ascii="Calibri" w:hAnsi="Calibri" w:cs="Calibri"/>
        </w:rPr>
        <w:t>[11,12]</w:t>
      </w:r>
      <w:r w:rsidR="007C1A57">
        <w:rPr>
          <w:rFonts w:cs="Arial"/>
        </w:rPr>
        <w:fldChar w:fldCharType="end"/>
      </w:r>
      <w:r w:rsidRPr="0061069B">
        <w:rPr>
          <w:rFonts w:cs="Arial"/>
        </w:rPr>
        <w:t xml:space="preserve">. However, </w:t>
      </w:r>
      <w:r w:rsidR="00B83094">
        <w:rPr>
          <w:rFonts w:cs="Arial"/>
        </w:rPr>
        <w:t xml:space="preserve">there is </w:t>
      </w:r>
      <w:r w:rsidRPr="0061069B">
        <w:rPr>
          <w:rFonts w:cs="Arial"/>
        </w:rPr>
        <w:t xml:space="preserve">variation in uptake </w:t>
      </w:r>
      <w:r w:rsidR="00B83094">
        <w:rPr>
          <w:rFonts w:cs="Arial"/>
        </w:rPr>
        <w:t xml:space="preserve">between </w:t>
      </w:r>
      <w:r w:rsidRPr="0061069B">
        <w:rPr>
          <w:rFonts w:cs="Arial"/>
        </w:rPr>
        <w:t xml:space="preserve">GP practices and few </w:t>
      </w:r>
      <w:r w:rsidR="00A52B17">
        <w:rPr>
          <w:rFonts w:cs="Arial"/>
        </w:rPr>
        <w:t xml:space="preserve">practices </w:t>
      </w:r>
      <w:r w:rsidRPr="0061069B">
        <w:rPr>
          <w:rFonts w:cs="Arial"/>
        </w:rPr>
        <w:t xml:space="preserve">achieve the 40% </w:t>
      </w:r>
      <w:r w:rsidR="00A52B17">
        <w:rPr>
          <w:rFonts w:cs="Arial"/>
        </w:rPr>
        <w:t xml:space="preserve">LAIV </w:t>
      </w:r>
      <w:r w:rsidRPr="0061069B">
        <w:rPr>
          <w:rFonts w:cs="Arial"/>
        </w:rPr>
        <w:t xml:space="preserve">uptake </w:t>
      </w:r>
      <w:r w:rsidR="00A52B17">
        <w:rPr>
          <w:rFonts w:cs="Arial"/>
        </w:rPr>
        <w:t xml:space="preserve">target </w:t>
      </w:r>
      <w:r w:rsidRPr="0061069B">
        <w:rPr>
          <w:rFonts w:cs="Arial"/>
        </w:rPr>
        <w:t>in 2-4 year olds</w:t>
      </w:r>
      <w:r w:rsidR="00EA0EEC">
        <w:rPr>
          <w:rFonts w:cs="Arial"/>
        </w:rPr>
        <w:t xml:space="preserve"> </w:t>
      </w:r>
      <w:r w:rsidR="00452E4E">
        <w:rPr>
          <w:rFonts w:cs="Arial"/>
        </w:rPr>
        <w:fldChar w:fldCharType="begin"/>
      </w:r>
      <w:r w:rsidR="00C33409">
        <w:rPr>
          <w:rFonts w:cs="Arial"/>
        </w:rPr>
        <w:instrText xml:space="preserve"> ADDIN ZOTERO_ITEM CSL_CITATION {"citationID":"a2nthoggi34","properties":{"formattedCitation":"[13]","plainCitation":"[13]","noteIndex":0},"citationItems":[{"id":4290,"uris":["http://zotero.org/groups/1793288/items/2NCX6CMR"],"uri":["http://zotero.org/groups/1793288/items/2NCX6CMR"],"itemData":{"id":4290,"type":"report","title":"Who we are and what we do: Annual Plan 2015/16","publisher":"Public Health England","publisher-place":"London","page":"1-14","genre":"Annual plan","event-place":"London","URL":"https://www.gov.uk/government/uploads/system/uploads/attachment_data/file/452328/Annual_plan_2015-_Aug7-web.pdf","author":[{"family":"Public Health England","given":""}],"issued":{"date-parts":[["2015",7]]},"accessed":{"date-parts":[["2016",3,29]]}}}],"schema":"https://github.com/citation-style-language/schema/raw/master/csl-citation.json"} </w:instrText>
      </w:r>
      <w:r w:rsidR="00452E4E">
        <w:rPr>
          <w:rFonts w:cs="Arial"/>
        </w:rPr>
        <w:fldChar w:fldCharType="separate"/>
      </w:r>
      <w:r w:rsidR="00C33409" w:rsidRPr="00B57596">
        <w:rPr>
          <w:rFonts w:ascii="Calibri" w:hAnsi="Calibri" w:cs="Calibri"/>
        </w:rPr>
        <w:t>[13]</w:t>
      </w:r>
      <w:r w:rsidR="00452E4E">
        <w:rPr>
          <w:rFonts w:cs="Arial"/>
        </w:rPr>
        <w:fldChar w:fldCharType="end"/>
      </w:r>
      <w:r w:rsidR="009A1E70">
        <w:rPr>
          <w:rFonts w:cs="Arial"/>
        </w:rPr>
        <w:t xml:space="preserve">. </w:t>
      </w:r>
      <w:r w:rsidR="00A52B17">
        <w:rPr>
          <w:rFonts w:cs="Arial"/>
        </w:rPr>
        <w:t>T</w:t>
      </w:r>
      <w:r w:rsidR="009A1E70">
        <w:rPr>
          <w:rFonts w:cs="Arial"/>
        </w:rPr>
        <w:t xml:space="preserve">here is an </w:t>
      </w:r>
      <w:r w:rsidRPr="0061069B">
        <w:rPr>
          <w:rFonts w:cs="Arial"/>
        </w:rPr>
        <w:t xml:space="preserve">inverse association between deprivation and </w:t>
      </w:r>
      <w:r w:rsidR="009A1E70">
        <w:rPr>
          <w:rFonts w:cs="Arial"/>
        </w:rPr>
        <w:t xml:space="preserve">uptake </w:t>
      </w:r>
      <w:r w:rsidR="009A1E70">
        <w:t xml:space="preserve">of routine childhood vaccines </w:t>
      </w:r>
      <w:r w:rsidR="009A1E70">
        <w:lastRenderedPageBreak/>
        <w:t>(</w:t>
      </w:r>
      <w:r w:rsidR="009A1E70" w:rsidRPr="006E256E">
        <w:rPr>
          <w:i/>
        </w:rPr>
        <w:t>e.g.</w:t>
      </w:r>
      <w:r w:rsidR="009A1E70">
        <w:t xml:space="preserve"> vaccines for measles, mumps and rubella, h</w:t>
      </w:r>
      <w:r w:rsidR="009A1E70" w:rsidRPr="008D78D6">
        <w:t>uman papillomavirus</w:t>
      </w:r>
      <w:r w:rsidR="009A1E70">
        <w:t xml:space="preserve">, influenza) </w:t>
      </w:r>
      <w:r w:rsidR="006F6380">
        <w:fldChar w:fldCharType="begin"/>
      </w:r>
      <w:r w:rsidR="00C33409">
        <w:instrText xml:space="preserve"> ADDIN ZOTERO_ITEM CSL_CITATION {"citationID":"a2op2kg31b2","properties":{"formattedCitation":"[14\\uc0\\u8211{}16]","plainCitation":"[14–16]","noteIndex":0},"citationItems":[{"id":4237,"uris":["http://zotero.org/groups/1793288/items/GQZAKRH4"],"uri":["http://zotero.org/groups/1793288/items/GQZAKRH4"],"itemData":{"id":4237,"type":"article-journal","title":"Effect of socioeconomic deprivation on uptake of measles, mumps and rubella vaccination in Liverpool, UK over 16 years: a longitudinal ecological study","container-title":"Epidemiology and Infection","page":"1-11","source":"PubMed","abstract":"Suboptimal uptake of the measles, mumps and rubella (MMR) vaccine by certain socioeconomic groups may have contributed to recent large measles outbreaks in the UK. We investigated whether socioeconomic deprivation was associated with MMR vaccine uptake over 16 years. Using immunization data for 72 351 children born between 1995 and 2012 in Liverpool, UK, we examined trends in vaccination uptake. Generalized linear models were constructed to examine the relative effect of socioeconomic deprivation and year of birth on MMR uptake. Uptake of MMR1 by age 24 months ranged between 82·5% in 2003 [95% confidence interval (CI) 81·2-83·7] and 93·4% in 2012 (95% CI 92·7-94·2). Uptake of MMR2 by age 60 months ranged between 65·3% (95% CI 64·4-67·4) in 2006 and 90·3% (95% CI 89·4-91·2) in 2012. In analysis adjusted for year of birth and sex, children in the most deprived communities were at significantly greater risk of not receiving MMR1 [risk ratio (RR) 1·70, 95% CI 1·45-1·99] and MMR2 (RR 1·36, 95% CI 1·22-1·52). Higher unemployment and lower household income were significantly associated with low uptake. Contrary to concerns about lower MMR uptake in affluent families, over 16 years, children from the most socioeconomically deprived communities have consistently had the lowest MMR uptake. Targeted catch-up campaigns and strategies to improve routine immunization uptake in deprived areas are needed to minimize the risk of future measles outbreaks.","DOI":"10.1017/S0950268815002599","ISSN":"1469-4409","note":"PMID: 26542197","shortTitle":"Effect of socioeconomic deprivation on uptake of measles, mumps and rubella vaccination in Liverpool, UK over 16 years","journalAbbreviation":"Epidemiol. Infect.","language":"ENG","author":[{"family":"Hungerford","given":"D."},{"family":"Macpherson","given":"P."},{"family":"Farmer","given":"S."},{"family":"Ghebrehewet","given":"S."},{"family":"Seddon","given":"D."},{"family":"Vivancos","given":"R."},{"family":"Keenan","given":"A."}],"issued":{"date-parts":[["2015",11,6]]}}},{"id":4306,"uris":["http://zotero.org/groups/1793288/items/VG67CV83"],"uri":["http://zotero.org/groups/1793288/items/VG67CV83"],"itemData":{"id":4306,"type":"article-journal","title":"Phased introduction of a universal childhood influenza vaccination programme in England: population-level factors predicting variation in national uptake during the first year, 2013/14","container-title":"Vaccine","page":"2620-2628","volume":"33","issue":"22","source":"PubMed","abstract":"INTRODUCTION: Through a phased rollout, the UK is implementing annual influenza vaccination for all healthy children aged 2-16 years old. In the first year of the programme in England in 2013/14, all 2-3 year olds were offered influenza vaccine through primary care and a primary school age programme was piloted, mainly through schools, in geographically distinct areas. Equitable delivery is a key aim of the programme; it is unclear if concerns by some religious groups over influenza vaccine content have impacted on uptake.\nMETHODS: At the end of the 2013/14 season, variations in uptake for 2-3 year olds and 4-11 year olds were assessed and stratified by population-level predictors: deprivation, ethnicity, religious beliefs and rurality. GP practice or school level uptake was linearly regressed against these variables to determine potential predictors and changes in uptake, adjusting for significant factors.\nRESULTS: Uptake varied considerably by geographic locality for both 2-3 year olds and 4-11 year olds. Lower uptake was seen in increasingly deprived areas, with an adjusted uptake in the most deprived quintile 12% and 8% lower than the least deprived areas by age-group respectively. By ethnicity, the highest non-white population quartile had an adjusted uptake 9% and 14% lower than the lowest non-white quartile by age-group respectively. Uptake also varied according to religious beliefs, with adjusted uptake in 4-11 year olds in the highest Muslim population tertile 8% lower than the lowest Muslim population tertile.\nCONCLUSION: In the first season of the childhood influenza vaccination programme, uptake was not uniform across the country, with deprivation and ethnicity both predictors of low uptake in pre-school and primary school age children, and religious beliefs also an important factor, particularly the latter group. With the continued rollout of the programme, these population-level factors should be addressed to achieve sustained successful uptake, along with assessment of contribution of individual and household-level factors.","DOI":"10.1016/j.vaccine.2015.03.049","ISSN":"1873-2518","note":"PMID: 25835576","shortTitle":"Phased introduction of a universal childhood influenza vaccination programme in England","journalAbbreviation":"Vaccine","language":"eng","author":[{"family":"Green","given":"H. K."},{"family":"Andrews","given":"N."},{"family":"Letley","given":"L."},{"family":"Sunderland","given":"A."},{"family":"White","given":"J."},{"family":"Pebody","given":"R."}],"issued":{"date-parts":[["2015",5,21]]}}},{"id":4236,"uris":["http://zotero.org/groups/1793288/items/2Q579ZIC"],"uri":["http://zotero.org/groups/1793288/items/2Q579ZIC"],"itemData":{"id":4236,"type":"article-journal","title":"Sociodemographic factors predicting mother's cervical screening and daughter's HPV vaccination uptake","container-title":"Journal of Epidemiology and Community Health","page":"571-577","volume":"68","issue":"6","source":"PubMed","abstract":"BACKGROUND: Achieving high human papillomavirus (HPV) vaccine coverage may reduce inequalities in cervical cancer prevention by mitigating the inequalities seen in the cervical screening programme. This paper assesses whether the same sociodemographic factors are associated with both cervical screening and HPV vaccination.\nMETHODS: Girls' HPV vaccination records were linked by address to cervical screening records for their mothers in the North West of England. Index of Multiple Deprivation scores (2010) and census ethnicity data (2001) were used to investigate the association between deprivation and ethnic composition of area of residence with HPV vaccination and cervical screening uptake, along with potential differences between Primary Care Trusts (PCTs), which were responsible for vaccine delivery.\nRESULTS: Deprivation was not associated with routine (12-13-year-olds) vaccination initiation, but girls living in the most deprived quintile were significantly less likely to complete the three vaccine doses (OR 0.75; 95% CI 0.63 to 0.88). Mother-daughter pairs failing to engage in either screening or vaccination were also more likely to live in deprived areas (routine vaccination OR for most deprived quintile: 2.35; 95% CI 2.00 to 2.77). There were differences between PCTs after controlling for demographic effects (OR 1.35; 95% CI 1.23 to 1.52).\nCONCLUSIONS: Ensuring completion of the vaccine schedule is critical for organisations responsible for vaccine delivery in order to reduce cancer risk among girls living in deprived areas. There remains a small minority of mothers and daughters from disadvantaged backgrounds who do not participate in either cervical screening or HPV vaccination.","DOI":"10.1136/jech-2013-202629","ISSN":"1470-2738","note":"PMID: 24567443","journalAbbreviation":"J Epidemiol Community Health","language":"eng","author":[{"family":"Spencer","given":"Angela M."},{"family":"Roberts","given":"Stephen A."},{"family":"Brabin","given":"Loretta"},{"family":"Patnick","given":"Julietta"},{"family":"Verma","given":"Arpana"}],"issued":{"date-parts":[["2014",6]]}}}],"schema":"https://github.com/citation-style-language/schema/raw/master/csl-citation.json"} </w:instrText>
      </w:r>
      <w:r w:rsidR="006F6380">
        <w:fldChar w:fldCharType="separate"/>
      </w:r>
      <w:r w:rsidR="00C33409" w:rsidRPr="00B57596">
        <w:rPr>
          <w:rFonts w:ascii="Calibri" w:hAnsi="Calibri" w:cs="Calibri"/>
          <w:szCs w:val="24"/>
        </w:rPr>
        <w:t>[14–16]</w:t>
      </w:r>
      <w:r w:rsidR="006F6380">
        <w:fldChar w:fldCharType="end"/>
      </w:r>
      <w:r w:rsidRPr="0061069B">
        <w:rPr>
          <w:rFonts w:cs="Arial"/>
        </w:rPr>
        <w:t xml:space="preserve">. </w:t>
      </w:r>
      <w:r w:rsidR="009A1E70">
        <w:rPr>
          <w:rFonts w:cs="Arial"/>
        </w:rPr>
        <w:t>Therefore, o</w:t>
      </w:r>
      <w:r w:rsidRPr="0061069B">
        <w:rPr>
          <w:rFonts w:cs="Arial"/>
        </w:rPr>
        <w:t>ptimizing vaccine delivery and identifying key target</w:t>
      </w:r>
      <w:r w:rsidR="00D93179">
        <w:rPr>
          <w:rFonts w:cs="Arial"/>
        </w:rPr>
        <w:t xml:space="preserve"> areas</w:t>
      </w:r>
      <w:r w:rsidRPr="0061069B">
        <w:rPr>
          <w:rFonts w:cs="Arial"/>
        </w:rPr>
        <w:t xml:space="preserve"> is </w:t>
      </w:r>
      <w:r w:rsidR="002868DE">
        <w:rPr>
          <w:rFonts w:cs="Arial"/>
        </w:rPr>
        <w:t>necessary</w:t>
      </w:r>
      <w:r w:rsidRPr="0061069B">
        <w:rPr>
          <w:rFonts w:cs="Arial"/>
        </w:rPr>
        <w:t xml:space="preserve"> to ensure the protection of those most vulnerable</w:t>
      </w:r>
      <w:r w:rsidR="001F4D45">
        <w:rPr>
          <w:rFonts w:cs="Arial"/>
        </w:rPr>
        <w:t>,</w:t>
      </w:r>
      <w:r w:rsidRPr="0061069B">
        <w:rPr>
          <w:rFonts w:cs="Arial"/>
        </w:rPr>
        <w:t xml:space="preserve"> and </w:t>
      </w:r>
      <w:r w:rsidR="00A52B17">
        <w:rPr>
          <w:rFonts w:cs="Arial"/>
        </w:rPr>
        <w:t xml:space="preserve">to </w:t>
      </w:r>
      <w:r w:rsidRPr="0061069B">
        <w:rPr>
          <w:rFonts w:cs="Arial"/>
        </w:rPr>
        <w:t>maximiz</w:t>
      </w:r>
      <w:r w:rsidR="00A52B17">
        <w:rPr>
          <w:rFonts w:cs="Arial"/>
        </w:rPr>
        <w:t>e</w:t>
      </w:r>
      <w:r w:rsidRPr="0061069B">
        <w:rPr>
          <w:rFonts w:cs="Arial"/>
        </w:rPr>
        <w:t xml:space="preserve"> cost-effectiveness. </w:t>
      </w:r>
      <w:r w:rsidR="00A52B17">
        <w:rPr>
          <w:rFonts w:cs="Arial"/>
        </w:rPr>
        <w:t>S</w:t>
      </w:r>
      <w:r w:rsidRPr="0061069B">
        <w:rPr>
          <w:rFonts w:cs="Arial"/>
        </w:rPr>
        <w:t xml:space="preserve">imulation studies </w:t>
      </w:r>
      <w:r w:rsidR="00A52B17">
        <w:rPr>
          <w:rFonts w:cs="Arial"/>
        </w:rPr>
        <w:t xml:space="preserve">supporting </w:t>
      </w:r>
      <w:r w:rsidRPr="0061069B">
        <w:rPr>
          <w:rFonts w:cs="Arial"/>
        </w:rPr>
        <w:t xml:space="preserve">the decision to include LAIV </w:t>
      </w:r>
      <w:r w:rsidR="00A52B17">
        <w:rPr>
          <w:rFonts w:cs="Arial"/>
        </w:rPr>
        <w:t>in</w:t>
      </w:r>
      <w:r w:rsidRPr="0061069B">
        <w:rPr>
          <w:rFonts w:cs="Arial"/>
        </w:rPr>
        <w:t xml:space="preserve"> the vaccination schedule indicated that increasing vaccine uptake in children from 30% to 60% can </w:t>
      </w:r>
      <w:r w:rsidR="00A52B17">
        <w:rPr>
          <w:rFonts w:cs="Arial"/>
        </w:rPr>
        <w:t xml:space="preserve">markedly increase </w:t>
      </w:r>
      <w:r w:rsidRPr="0061069B">
        <w:rPr>
          <w:rFonts w:cs="Arial"/>
        </w:rPr>
        <w:t>both direct and indirect protective effect</w:t>
      </w:r>
      <w:r w:rsidR="00A52B17">
        <w:rPr>
          <w:rFonts w:cs="Arial"/>
        </w:rPr>
        <w:t>s</w:t>
      </w:r>
      <w:r w:rsidRPr="0061069B">
        <w:rPr>
          <w:rFonts w:cs="Arial"/>
        </w:rPr>
        <w:t xml:space="preserve"> of the vaccine</w:t>
      </w:r>
      <w:r w:rsidR="00DC2303">
        <w:rPr>
          <w:rFonts w:cs="Arial"/>
        </w:rPr>
        <w:t xml:space="preserve"> </w:t>
      </w:r>
      <w:r w:rsidR="00DC2303">
        <w:rPr>
          <w:rFonts w:cs="Arial"/>
        </w:rPr>
        <w:fldChar w:fldCharType="begin"/>
      </w:r>
      <w:r w:rsidR="00C33409">
        <w:rPr>
          <w:rFonts w:cs="Arial"/>
        </w:rPr>
        <w:instrText xml:space="preserve"> ADDIN ZOTERO_ITEM CSL_CITATION {"citationID":"ZmQeDWMz","properties":{"formattedCitation":"[1,17,18]","plainCitation":"[1,17,18]","noteIndex":0},"citationItems":[{"id":4291,"uris":["http://zotero.org/groups/1793288/items/ZDU7QGMF"],"uri":["http://zotero.org/groups/1793288/items/ZDU7QGMF"],"itemData":{"id":4291,"type":"article-journal","title":"Assessing the burden of influenza and other respiratory infections in England and Wales","container-title":"Journal of Infection","page":"530-538","volume":"54","issue":"6","source":"ScienceDirect","abstract":"SummaryObjectives\nTo estimate the burden of influenza in England and Wales, in terms of general practice consultations, hospital admissions and deaths.\nMethods\nMultivariable regression was used to estimate the influenza attributable fraction of general practice consultations recorded in the general practice research database, of hospital admissions from hospital episode statistics and of deaths recorded by the Office of National Statistics.\nResults\nAn estimated 779,000 (95%CI ± 258,000)–1,164,000 (95%CI ± 425,000) general practice consultations, 19,000 (95%CI ± 5000)–31,200 (95%CI ± 11,000) hospital admissions and 18,500 (95%CI 2500)–24,800 (95%CI ± 2500) deaths annually are attributable to influenza infections. In primary care, the bulk of the burden falls on those under the age of 45, whereas the elderly are more likely to be hospitalised and to die.\nConclusions\nAlthough there are significant uncertainties, and considerable year on year variations, it is clear that the burden of influenza is considerable. Although much of this burden falls on the elderly, significant numbers of general practice consultations, hospitalisations and even some deaths occur annually in children in England and Wales.","DOI":"10.1016/j.jinf.2006.09.017","ISSN":"0163-4453","journalAbbreviation":"Journal of Infection","author":[{"family":"Pitman","given":"R. J."},{"family":"Melegaro","given":"A."},{"family":"Gelb","given":"D."},{"family":"Siddiqui","given":"M. R."},{"family":"Gay","given":"N. J."},{"family":"Edmunds","given":"W. J."}],"issued":{"date-parts":[["2007",6]]}}},{"id":4305,"uris":["http://zotero.org/groups/1793288/items/Z58C8NIH"],"uri":["http://zotero.org/groups/1793288/items/Z58C8NIH"],"itemData":{"id":4305,"type":"article-journal","title":"Assessing Optimal Target Populations for Influenza Vaccination Programmes: An Evidence Synthesis and Modelling Study","container-title":"PLoS Med","page":"e1001527","volume":"10","issue":"10","source":"PLoS Journals","abstract":"&lt;p&gt;Marc Baguelin and colleagues use virological, clinical, epidemiological, and behavioral data to estimate how policies for influenza vaccination programs may be optimized in England and Wales.&lt;/p&gt;&lt;p&gt;&lt;italic&gt;Please see later in the article for the Editors' Summary&lt;/italic&gt;&lt;/p&gt;&lt;/sec&gt;","DOI":"10.1371/journal.pmed.1001527","shortTitle":"Assessing Optimal Target Populations for Influenza Vaccination Programmes","journalAbbreviation":"PLoS Med","author":[{"family":"Baguelin","given":"Marc"},{"family":"Flasche","given":"Stefan"},{"family":"Camacho","given":"Anton"},{"family":"Demiris","given":"Nikolaos"},{"family":"Miller","given":"Elizabeth"},{"family":"Edmunds","given":"W. John"}],"issued":{"date-parts":[["2013",10,8]]}}},{"id":4244,"uris":["http://zotero.org/groups/1793288/items/6B7H8BXZ"],"uri":["http://zotero.org/groups/1793288/items/6B7H8BXZ"],"itemData":{"id":4244,"type":"article-journal","title":"Vaccination against pandemic influenza A/H1N1v in England: a real-time economic evaluation","container-title":"Vaccine","page":"2370-2384","volume":"28","issue":"12","source":"PubMed","abstract":"Decisions on how to mitigate an evolving pandemic are technically challenging. We present a real-time assessment of the effectiveness and cost-effectiveness of alternative influenza A/H1N1v vaccination strategies. A transmission dynamic model was fitted to the estimated number of cases in real-time, and used to generate plausible autumn scenarios under different vaccination options. The proportion of these cases by age and risk group leading to primary care consultations, National Pandemic Flu Service consultations, emergency attendances, hospitalisations, intensive care and death was then estimated using existing data from the pandemic. The real-time model suggests that the epidemic will peak in early November, with the peak height being similar in magnitude to the summer wave. Vaccination of the high-risk groups is estimated to prevent about 45 deaths (80% credibility interval 26-67), and save around 2900 QALYs (80% credibility interval 1600-4500). Such a programme is very likely to be cost-effective if the cost of vaccine purchase itself is treated as a sunk cost. Extending vaccination to low-risk individuals is expected to result in more modest gains in deaths and QALYs averted. Extending vaccination to school-age children would be the most cost-effective extension. The early availability of vaccines is crucial in determining the impact of such extensions. There have been a considerable number of cases of H1N1v in England, and so the benefits of vaccination to mitigate the ongoing autumn wave are limited. However, certain groups appear to be at significantly higher risk of complications and deaths, and so it appears both effective and cost-effective to vaccinate them. The United Kingdom was the first country to have a major epidemic in Europe. In countries where the epidemic is not so far advanced vaccination of children may be cost-effective. Similar, detailed, real-time modelling and economic studies could help to clarify the situation.","DOI":"10.1016/j.vaccine.2010.01.002","ISSN":"1873-2518","note":"PMID: 20096762","shortTitle":"Vaccination against pandemic influenza A/H1N1v in England","journalAbbreviation":"Vaccine","language":"eng","author":[{"family":"Baguelin","given":"Marc"},{"family":"Hoek","given":"Albert Jan Van"},{"family":"Jit","given":"Mark"},{"family":"Flasche","given":"Stefan"},{"family":"White","given":"Peter J."},{"family":"Edmunds","given":"W. John"}],"issued":{"date-parts":[["2010",3,11]]}}}],"schema":"https://github.com/citation-style-language/schema/raw/master/csl-citation.json"} </w:instrText>
      </w:r>
      <w:r w:rsidR="00DC2303">
        <w:rPr>
          <w:rFonts w:cs="Arial"/>
        </w:rPr>
        <w:fldChar w:fldCharType="separate"/>
      </w:r>
      <w:r w:rsidR="00C33409" w:rsidRPr="00B57596">
        <w:rPr>
          <w:rFonts w:ascii="Calibri" w:hAnsi="Calibri" w:cs="Calibri"/>
        </w:rPr>
        <w:t>[1,17,18]</w:t>
      </w:r>
      <w:r w:rsidR="00DC2303">
        <w:rPr>
          <w:rFonts w:cs="Arial"/>
        </w:rPr>
        <w:fldChar w:fldCharType="end"/>
      </w:r>
      <w:r w:rsidRPr="0061069B">
        <w:rPr>
          <w:rFonts w:cs="Arial"/>
        </w:rPr>
        <w:t xml:space="preserve">. However, these studies assume uniform </w:t>
      </w:r>
      <w:r w:rsidR="00E01C89">
        <w:rPr>
          <w:rFonts w:cs="Arial"/>
        </w:rPr>
        <w:t xml:space="preserve">vaccine </w:t>
      </w:r>
      <w:r w:rsidRPr="0061069B">
        <w:rPr>
          <w:rFonts w:cs="Arial"/>
        </w:rPr>
        <w:t xml:space="preserve">coverage and fail to account for the substantial variation </w:t>
      </w:r>
      <w:r w:rsidR="00A52B17">
        <w:rPr>
          <w:rFonts w:cs="Arial"/>
        </w:rPr>
        <w:t>in</w:t>
      </w:r>
      <w:r w:rsidRPr="0061069B">
        <w:rPr>
          <w:rFonts w:cs="Arial"/>
        </w:rPr>
        <w:t xml:space="preserve"> disease risk and vaccine uptake observed across local areas with different socioeconomic status </w:t>
      </w:r>
      <w:r w:rsidRPr="0061069B">
        <w:rPr>
          <w:rFonts w:cs="Arial"/>
        </w:rPr>
        <w:fldChar w:fldCharType="begin">
          <w:fldData xml:space="preserve">PEVuZE5vdGU+PENpdGU+PEF1dGhvcj5HcmVlbjwvQXV0aG9yPjxZZWFyPjIwMTU8L1llYXI+PFJl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</w:fldData>
        </w:fldChar>
      </w:r>
      <w:r w:rsidRPr="0061069B">
        <w:rPr>
          <w:rFonts w:cs="Arial"/>
        </w:rPr>
        <w:instrText xml:space="preserve"> ADDIN EN.CITE </w:instrText>
      </w:r>
      <w:r w:rsidRPr="0061069B">
        <w:rPr>
          <w:rFonts w:cs="Arial"/>
        </w:rPr>
        <w:fldChar w:fldCharType="begin">
          <w:fldData xml:space="preserve">PEVuZE5vdGU+PENpdGU+PEF1dGhvcj5HcmVlbjwvQXV0aG9yPjxZZWFyPjIwMTU8L1llYXI+PFJl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</w:fldData>
        </w:fldChar>
      </w:r>
      <w:r w:rsidRPr="0061069B">
        <w:rPr>
          <w:rFonts w:cs="Arial"/>
        </w:rPr>
        <w:instrText xml:space="preserve"> ADDIN EN.CITE.DATA </w:instrText>
      </w:r>
      <w:r w:rsidRPr="0061069B">
        <w:rPr>
          <w:rFonts w:cs="Arial"/>
        </w:rPr>
      </w:r>
      <w:r w:rsidRPr="0061069B">
        <w:rPr>
          <w:rFonts w:cs="Arial"/>
        </w:rPr>
        <w:fldChar w:fldCharType="end"/>
      </w:r>
      <w:r w:rsidRPr="0061069B">
        <w:rPr>
          <w:rFonts w:cs="Arial"/>
        </w:rPr>
      </w:r>
      <w:r w:rsidRPr="0061069B">
        <w:rPr>
          <w:rFonts w:cs="Arial"/>
        </w:rPr>
        <w:fldChar w:fldCharType="separate"/>
      </w:r>
      <w:r w:rsidR="00DC2303">
        <w:rPr>
          <w:rFonts w:cs="Arial"/>
          <w:noProof/>
        </w:rPr>
        <w:fldChar w:fldCharType="begin"/>
      </w:r>
      <w:r w:rsidR="00C33409">
        <w:rPr>
          <w:rFonts w:cs="Arial"/>
          <w:noProof/>
        </w:rPr>
        <w:instrText xml:space="preserve"> ADDIN ZOTERO_ITEM CSL_CITATION {"citationID":"ftt5CCem","properties":{"formattedCitation":"[15]","plainCitation":"[15]","noteIndex":0},"citationItems":[{"id":4306,"uris":["http://zotero.org/groups/1793288/items/VG67CV83"],"uri":["http://zotero.org/groups/1793288/items/VG67CV83"],"itemData":{"id":4306,"type":"article-journal","title":"Phased introduction of a universal childhood influenza vaccination programme in England: population-level factors predicting variation in national uptake during the first year, 2013/14","container-title":"Vaccine","page":"2620-2628","volume":"33","issue":"22","source":"PubMed","abstract":"INTRODUCTION: Through a phased rollout, the UK is implementing annual influenza vaccination for all healthy children aged 2-16 years old. In the first year of the programme in England in 2013/14, all 2-3 year olds were offered influenza vaccine through primary care and a primary school age programme was piloted, mainly through schools, in geographically distinct areas. Equitable delivery is a key aim of the programme; it is unclear if concerns by some religious groups over influenza vaccine content have impacted on uptake.\nMETHODS: At the end of the 2013/14 season, variations in uptake for 2-3 year olds and 4-11 year olds were assessed and stratified by population-level predictors: deprivation, ethnicity, religious beliefs and rurality. GP practice or school level uptake was linearly regressed against these variables to determine potential predictors and changes in uptake, adjusting for significant factors.\nRESULTS: Uptake varied considerably by geographic locality for both 2-3 year olds and 4-11 year olds. Lower uptake was seen in increasingly deprived areas, with an adjusted uptake in the most deprived quintile 12% and 8% lower than the least deprived areas by age-group respectively. By ethnicity, the highest non-white population quartile had an adjusted uptake 9% and 14% lower than the lowest non-white quartile by age-group respectively. Uptake also varied according to religious beliefs, with adjusted uptake in 4-11 year olds in the highest Muslim population tertile 8% lower than the lowest Muslim population tertile.\nCONCLUSION: In the first season of the childhood influenza vaccination programme, uptake was not uniform across the country, with deprivation and ethnicity both predictors of low uptake in pre-school and primary school age children, and religious beliefs also an important factor, particularly the latter group. With the continued rollout of the programme, these population-level factors should be addressed to achieve sustained successful uptake, along with assessment of contribution of individual and household-level factors.","DOI":"10.1016/j.vaccine.2015.03.049","ISSN":"1873-2518","note":"PMID: 25835576","shortTitle":"Phased introduction of a universal childhood influenza vaccination programme in England","journalAbbreviation":"Vaccine","language":"eng","author":[{"family":"Green","given":"H. K."},{"family":"Andrews","given":"N."},{"family":"Letley","given":"L."},{"family":"Sunderland","given":"A."},{"family":"White","given":"J."},{"family":"Pebody","given":"R."}],"issued":{"date-parts":[["2015",5,21]]}}}],"schema":"https://github.com/citation-style-language/schema/raw/master/csl-citation.json"} </w:instrText>
      </w:r>
      <w:r w:rsidR="00DC2303">
        <w:rPr>
          <w:rFonts w:cs="Arial"/>
          <w:noProof/>
        </w:rPr>
        <w:fldChar w:fldCharType="separate"/>
      </w:r>
      <w:r w:rsidR="00C33409" w:rsidRPr="00B57596">
        <w:rPr>
          <w:rFonts w:ascii="Calibri" w:hAnsi="Calibri" w:cs="Calibri"/>
        </w:rPr>
        <w:t>[15]</w:t>
      </w:r>
      <w:r w:rsidR="00DC2303">
        <w:rPr>
          <w:rFonts w:cs="Arial"/>
          <w:noProof/>
        </w:rPr>
        <w:fldChar w:fldCharType="end"/>
      </w:r>
      <w:r w:rsidRPr="0061069B">
        <w:rPr>
          <w:rFonts w:cs="Arial"/>
        </w:rPr>
        <w:fldChar w:fldCharType="end"/>
      </w:r>
      <w:r w:rsidRPr="0061069B">
        <w:rPr>
          <w:rFonts w:cs="Arial"/>
        </w:rPr>
        <w:t xml:space="preserve">. Given that comorbidities that increase the risk of adverse outcomes from </w:t>
      </w:r>
      <w:r w:rsidR="00FC138A">
        <w:rPr>
          <w:rFonts w:cs="Arial"/>
        </w:rPr>
        <w:t>influenza</w:t>
      </w:r>
      <w:r w:rsidRPr="0061069B">
        <w:rPr>
          <w:rFonts w:cs="Arial"/>
        </w:rPr>
        <w:t xml:space="preserve"> are substantially more prevalent among the most deprived populations</w:t>
      </w:r>
      <w:r w:rsidR="00DC2303">
        <w:rPr>
          <w:rFonts w:cs="Arial"/>
        </w:rPr>
        <w:t xml:space="preserve"> </w:t>
      </w:r>
      <w:r w:rsidR="00DC2303">
        <w:rPr>
          <w:rFonts w:cs="Arial"/>
        </w:rPr>
        <w:fldChar w:fldCharType="begin"/>
      </w:r>
      <w:r w:rsidR="00C33409">
        <w:rPr>
          <w:rFonts w:cs="Arial"/>
        </w:rPr>
        <w:instrText xml:space="preserve"> ADDIN ZOTERO_ITEM CSL_CITATION {"citationID":"a111ijj5evn","properties":{"formattedCitation":"[19,20]","plainCitation":"[19,20]","noteIndex":0},"citationItems":[{"id":4261,"uris":["http://zotero.org/groups/1793288/items/8JDTHX83"],"uri":["http://zotero.org/groups/1793288/items/8JDTHX83"],"itemData":{"id":4261,"type":"article-journal","title":"Smoking and socioeconomic status in England: the rise of the never smoker and the disadvantaged smoker","container-title":"Journal of Public Health (Oxford, England)","page":"390-396","volume":"34","issue":"3","source":"PubMed","abstract":"BACKGROUND: Since 2000 various tobacco control measures have been implemented in the UK. Changes in the smoking status of low and high socioeconomic status (SES) groups in England during this period (2001-08) are explored.\nMETHODS: Secondary analysis of the Health Survey for England general population samples was undertaken. Over 88 000 adults, age 16 or over, living in England were included. Smoking status (current, ex or never) was reported. SES was assessed through a count of seven possible indicators of disadvantage: National Statistics Socio-Economic Classification (NSSEC), neighbourhood index of multiple deprivation, lone parenting, car availability, housing tenure, income and unemployment.\nRESULTS: Smoking rates were four times higher among the most disadvantaged [60.7% (95% CI: 58.2-63.3)] than the most affluent [15.3% (95% CI: 14.8-15.8)]. Smoking prevalence declined between 2001 and 2008 except among the multiply disadvantaged. This trend appeared to be due to an increase in never smoking rather than an increase in quitting. Disadvantage declined among non-smokers but not smokers.\nCONCLUSIONS: In general never smoking and affluence increased in England over this period. The disadvantaged, however, did not experience the decline in smoking and smokers missed out from the increase in affluence. Smoking and disadvantage may increasingly coexist.","DOI":"10.1093/pubmed/fds012","ISSN":"1741-3850","note":"PMID: 22375070\nPMCID: PMC3425348","shortTitle":"Smoking and socioeconomic status in England","journalAbbreviation":"J Public Health (Oxf)","language":"eng","author":[{"family":"Hiscock","given":"Rosemary"},{"family":"Bauld","given":"Linda"},{"family":"Amos","given":"Amanda"},{"family":"Platt","given":"Stephen"}],"issued":{"date-parts":[["2012",8]]}}},{"id":4264,"uris":["http://zotero.org/groups/1793288/items/M96WIUD7"],"uri":["http://zotero.org/groups/1793288/items/M96WIUD7"],"itemData":{"id":4264,"type":"article-journal","title":"Changes in health in England, with analysis by English regions and areas of deprivation, 1990-2013: a systematic analysis for the Global Burden of Disease Study 2013","container-title":"Lancet (London, England)","page":"2257-2274","volume":"386","issue":"10010","source":"PubMed","abstract":"BACKGROUND: In the Global Burden of Disease Study 2013 (GBD 2013), knowledge about health and its determinants has been integrated into a comparable framework to inform health policy. Outputs of this analysis are relevant to current policy questions in England and elsewhere, particularly on health inequalities. We use GBD 2013 data on mortality and causes of death, and disease and injury incidence and prevalence to analyse the burden of disease and injury in England as a whole, in English regions, and within each English region by deprivation quintile. We also assess disease and injury burden in England attributable to potentially preventable risk factors. England and the English regions are compared with the remaining constituent countries of the UK and with comparable countries in the European Union (EU) and beyond.\nMETHODS: We extracted data from the GBD 2013 to compare mortality, causes of death, years of life lost (YLLs), years lived with a disability (YLDs), and disability-adjusted life-years (DALYs) in England, the UK, and 18 other countries (the first 15 EU members [apart from the UK] and Australia, Canada, Norway, and the USA [EU15+]). We extended elements of the analysis to English regions, and subregional areas defined by deprivation quintile (deprivation areas). We used data split by the nine English regions (corresponding to the European boundaries of the Nomenclature for Territorial Statistics level 1 [NUTS 1] regions), and by quintile groups within each English region according to deprivation, thereby making 45 regional deprivation areas. Deprivation quintiles were defined by area of residence ranked at national level by Index of Multiple Deprivation score, 2010. Burden due to various risk factors is described for England using new GBD methodology to estimate independent and overlapping attributable risk for five tiers of behavioural, metabolic, and environmental risk factors. We present results for 306 causes and 2337 sequelae, and 79 risks or risk clusters.\nFINDINGS: Between 1990 and 2013, life expectancy from birth in England increased by 5·4 years (95% uncertainty interval 5·0-5·8) from 75·9 years (75·9-76·0) to 81·3 years (80·9-81·7); gains were greater for men than for women. Rates of age-standardised YLLs reduced by 41·1% (38·3-43·6), whereas DALYs were reduced by 23·8% (20·9-27·1), and YLDs by 1·4% (0·1-2·8). For these measures, England ranked better than the UK and the EU15+ means. Between 1990 and 2013, the range in life expectancy among 45 regional deprivation areas remained 8·2 years for men and decreased from 7·2 years in 1990 to 6·9 years in 2013 for women. In 2013, the leading cause of YLLs was ischaemic heart disease, and the leading cause of DALYs was low back and neck pain. Known risk factors accounted for 39·6% (37·7-41·7) of DALYs; leading behavioural risk factors were suboptimal diet (10·8% [9·1-12·7]) and tobacco (10·7% [9·4-12·0]).\nINTERPRETATION: Health in England is improving although substantial opportunities exist for further reductions in the burden of preventable disease. The gap in mortality rates between men and women has reduced, but marked health inequalities between the least deprived and most deprived areas remain. Declines in mortality have not been matched by similar declines in morbidity, resulting in people living longer with diseases. Health policies must therefore address the causes of ill health as well as those of premature mortality. Systematic action locally and nationally is needed to reduce risk exposures, support healthy behaviours, alleviate the severity of chronic disabling disorders, and mitigate the effects of socioeconomic deprivation.\nFUNDING: Bill &amp; Melinda Gates Foundation and Public Health England.","DOI":"10.1016/S0140-6736(15)00195-6","ISSN":"1474-547X","note":"PMID: 26382241\nPMCID: PMC4672153","shortTitle":"Changes in health in England, with analysis by English regions and areas of deprivation, 1990-2013","journalAbbreviation":"Lancet","language":"eng","author":[{"family":"Newton","given":"John N."},{"family":"Briggs","given":"Adam D. M."},{"family":"Murray","given":"Christopher J. L."},{"family":"Dicker","given":"Daniel"},{"family":"Foreman","given":"Kyle J."},{"family":"Wang","given":"Haidong"},{"family":"Naghavi","given":"Mohsen"},{"family":"Forouzanfar","given":"Mohammad H."},{"family":"Ohno","given":"Summer Lockett"},{"family":"Barber","given":"Ryan M."},{"family":"Vos","given":"Theo"},{"family":"Stanaway","given":"Jeffrey D."},{"family":"Schmidt","given":"Jürgen C."},{"family":"Hughes","given":"Andrew J."},{"family":"Fay","given":"Derek F. J."},{"family":"Ecob","given":"Russell"},{"family":"Gresser","given":"Charis"},{"family":"McKee","given":"Martin"},{"family":"Rutter","given":"Harry"},{"family":"Abubakar","given":"Ibrahim"},{"family":"Ali","given":"Raghib"},{"family":"Anderson","given":"H. Ross"},{"family":"Banerjee","given":"Amitava"},{"family":"Bennett","given":"Derrick A."},{"family":"Bernabé","given":"Eduardo"},{"family":"Bhui","given":"Kamaldeep S."},{"family":"Biryukov","given":"Stanley M."},{"family":"Bourne","given":"Rupert R."},{"family":"Brayne","given":"Carol E. G."},{"family":"Bruce","given":"Nigel G."},{"family":"Brugha","given":"Traolach S."},{"family":"Burch","given":"Michael"},{"family":"Capewell","given":"Simon"},{"family":"Casey","given":"Daniel"},{"family":"Chowdhury","given":"Rajiv"},{"family":"Coates","given":"Matthew M."},{"family":"Cooper","given":"Cyrus"},{"family":"Critchley","given":"Julia A."},{"family":"Dargan","given":"Paul I."},{"family":"Dherani","given":"Mukesh K."},{"family":"Elliott","given":"Paul"},{"family":"Ezzati","given":"Majid"},{"family":"Fenton","given":"Kevin A."},{"family":"Fraser","given":"Maya S."},{"family":"Fürst","given":"Thomas"},{"family":"Greaves","given":"Felix"},{"family":"Green","given":"Mark A."},{"family":"Gunnell","given":"David J."},{"family":"Hannigan","given":"Bernadette M."},{"family":"Hay","given":"Roderick J."},{"family":"Hay","given":"Simon I."},{"family":"Hemingway","given":"Harry"},{"family":"Larson","given":"Heidi J."},{"family":"Looker","given":"Katharine J."},{"family":"Lunevicius","given":"Raimundas"},{"family":"Lyons","given":"Ronan A."},{"family":"Marcenes","given":"Wagner"},{"family":"Mason-Jones","given":"Amanda J."},{"family":"Matthews","given":"Fiona E."},{"family":"Moller","given":"Henrik"},{"family":"Murdoch","given":"Michele E."},{"family":"Newton","given":"Charles R."},{"family":"Pearce","given":"Neil"},{"family":"Piel","given":"Frédéric B."},{"family":"Pope","given":"Daniel"},{"family":"Rahimi","given":"Kazem"},{"family":"Rodriguez","given":"Alina"},{"family":"Scarborough","given":"Peter"},{"family":"Schumacher","given":"Austin E."},{"family":"Shiue","given":"Ivy"},{"family":"Smeeth","given":"Liam"},{"family":"Tedstone","given":"Alison"},{"family":"Valabhji","given":"Jonathan"},{"family":"Williams","given":"Hywel C."},{"family":"Wolfe","given":"Charles D. A."},{"family":"Woolf","given":"Anthony D."},{"family":"Davis","given":"Adrian C. J."}],"issued":{"date-parts":[["2015",12,5]]}}}],"schema":"https://github.com/citation-style-language/schema/raw/master/csl-citation.json"} </w:instrText>
      </w:r>
      <w:r w:rsidR="00DC2303">
        <w:rPr>
          <w:rFonts w:cs="Arial"/>
        </w:rPr>
        <w:fldChar w:fldCharType="separate"/>
      </w:r>
      <w:r w:rsidR="00C33409" w:rsidRPr="00B57596">
        <w:rPr>
          <w:rFonts w:ascii="Calibri" w:hAnsi="Calibri" w:cs="Calibri"/>
        </w:rPr>
        <w:t>[19,20]</w:t>
      </w:r>
      <w:r w:rsidR="00DC2303">
        <w:rPr>
          <w:rFonts w:cs="Arial"/>
        </w:rPr>
        <w:fldChar w:fldCharType="end"/>
      </w:r>
      <w:r w:rsidRPr="0061069B">
        <w:rPr>
          <w:rFonts w:cs="Arial"/>
        </w:rPr>
        <w:t xml:space="preserve">, it </w:t>
      </w:r>
      <w:r w:rsidR="0016689F">
        <w:rPr>
          <w:rFonts w:cs="Arial"/>
        </w:rPr>
        <w:t>w</w:t>
      </w:r>
      <w:r w:rsidRPr="0061069B">
        <w:rPr>
          <w:rFonts w:cs="Arial"/>
        </w:rPr>
        <w:t>ould be expected that ensuring vaccine delivery to the most vulnerable groups would increase cost-effectiveness. Understanding how vaccine uptake var</w:t>
      </w:r>
      <w:r w:rsidR="00E01C89">
        <w:rPr>
          <w:rFonts w:cs="Arial"/>
        </w:rPr>
        <w:t>ies</w:t>
      </w:r>
      <w:r w:rsidRPr="0061069B">
        <w:rPr>
          <w:rFonts w:cs="Arial"/>
        </w:rPr>
        <w:t xml:space="preserve"> </w:t>
      </w:r>
      <w:r w:rsidR="00E01C89">
        <w:rPr>
          <w:rFonts w:cs="Arial"/>
        </w:rPr>
        <w:t>across</w:t>
      </w:r>
      <w:r w:rsidR="00E01C89" w:rsidRPr="0061069B">
        <w:rPr>
          <w:rFonts w:cs="Arial"/>
        </w:rPr>
        <w:t xml:space="preserve"> </w:t>
      </w:r>
      <w:r w:rsidRPr="0061069B">
        <w:rPr>
          <w:rFonts w:cs="Arial"/>
        </w:rPr>
        <w:t>local areas with differ</w:t>
      </w:r>
      <w:r w:rsidR="00E01C89">
        <w:rPr>
          <w:rFonts w:cs="Arial"/>
        </w:rPr>
        <w:t>ing</w:t>
      </w:r>
      <w:r w:rsidRPr="0061069B">
        <w:rPr>
          <w:rFonts w:cs="Arial"/>
        </w:rPr>
        <w:t xml:space="preserve"> socioeconomic status, and</w:t>
      </w:r>
      <w:r w:rsidR="00D93179">
        <w:rPr>
          <w:rFonts w:cs="Arial"/>
        </w:rPr>
        <w:t xml:space="preserve"> correlating this to disease burden</w:t>
      </w:r>
      <w:r w:rsidRPr="0061069B">
        <w:rPr>
          <w:rFonts w:cs="Arial"/>
        </w:rPr>
        <w:t xml:space="preserve"> and use of healthcare resources, will provide evidence to inform immunisation policy and assist in developing targeted vaccine interventions to mitigate this effect. The </w:t>
      </w:r>
      <w:r w:rsidR="007C1A57">
        <w:rPr>
          <w:rFonts w:cs="Arial"/>
        </w:rPr>
        <w:t>aim of this</w:t>
      </w:r>
      <w:r w:rsidRPr="0061069B">
        <w:rPr>
          <w:rFonts w:cs="Arial"/>
        </w:rPr>
        <w:t xml:space="preserve"> study </w:t>
      </w:r>
      <w:r w:rsidR="007C1A57">
        <w:rPr>
          <w:rFonts w:cs="Arial"/>
        </w:rPr>
        <w:t>was to</w:t>
      </w:r>
      <w:r w:rsidRPr="0061069B">
        <w:rPr>
          <w:rFonts w:cs="Arial"/>
        </w:rPr>
        <w:t xml:space="preserve"> describe the burden of severe </w:t>
      </w:r>
      <w:r w:rsidR="00CE0113">
        <w:rPr>
          <w:rFonts w:cs="Arial"/>
        </w:rPr>
        <w:t>i</w:t>
      </w:r>
      <w:r w:rsidRPr="0061069B">
        <w:rPr>
          <w:rFonts w:cs="Arial"/>
        </w:rPr>
        <w:t xml:space="preserve">nfluenza </w:t>
      </w:r>
      <w:r w:rsidR="00CE0113">
        <w:rPr>
          <w:rFonts w:cs="Arial"/>
        </w:rPr>
        <w:t>a</w:t>
      </w:r>
      <w:r w:rsidRPr="0061069B">
        <w:rPr>
          <w:rFonts w:cs="Arial"/>
        </w:rPr>
        <w:t xml:space="preserve">ssociated </w:t>
      </w:r>
      <w:r w:rsidR="00CE0113">
        <w:rPr>
          <w:rFonts w:cs="Arial"/>
        </w:rPr>
        <w:t>i</w:t>
      </w:r>
      <w:r w:rsidRPr="0061069B">
        <w:rPr>
          <w:rFonts w:cs="Arial"/>
        </w:rPr>
        <w:t xml:space="preserve">llness (IAI) in secondary care across local communities </w:t>
      </w:r>
      <w:r w:rsidR="007C1A57">
        <w:rPr>
          <w:rFonts w:cs="Arial"/>
        </w:rPr>
        <w:t>in a defined population</w:t>
      </w:r>
      <w:r w:rsidRPr="0061069B">
        <w:rPr>
          <w:rFonts w:cs="Arial"/>
        </w:rPr>
        <w:t xml:space="preserve"> in relation to small area level socioeconomic </w:t>
      </w:r>
      <w:r w:rsidR="007C1A57">
        <w:rPr>
          <w:rFonts w:cs="Arial"/>
        </w:rPr>
        <w:t>deprivation</w:t>
      </w:r>
      <w:r w:rsidR="00797C1F">
        <w:rPr>
          <w:rFonts w:cs="Arial"/>
        </w:rPr>
        <w:t xml:space="preserve"> </w:t>
      </w:r>
      <w:r w:rsidRPr="0061069B">
        <w:rPr>
          <w:rFonts w:cs="Arial"/>
        </w:rPr>
        <w:t>and vaccine</w:t>
      </w:r>
      <w:r w:rsidR="007C1A57">
        <w:rPr>
          <w:rFonts w:cs="Arial"/>
        </w:rPr>
        <w:t xml:space="preserve"> uptake levels.</w:t>
      </w:r>
      <w:r w:rsidR="00797C1F">
        <w:rPr>
          <w:rFonts w:cs="Arial"/>
        </w:rPr>
        <w:t xml:space="preserve"> This information </w:t>
      </w:r>
      <w:r w:rsidR="0016689F">
        <w:rPr>
          <w:rFonts w:cs="Arial"/>
        </w:rPr>
        <w:t>will</w:t>
      </w:r>
      <w:r w:rsidR="00E924BC">
        <w:rPr>
          <w:rFonts w:cs="Arial"/>
        </w:rPr>
        <w:t xml:space="preserve"> </w:t>
      </w:r>
      <w:r w:rsidR="00797C1F">
        <w:rPr>
          <w:rFonts w:cs="Arial"/>
        </w:rPr>
        <w:t xml:space="preserve">help </w:t>
      </w:r>
      <w:r w:rsidR="00E924BC">
        <w:rPr>
          <w:rFonts w:cs="Arial"/>
        </w:rPr>
        <w:t xml:space="preserve">to </w:t>
      </w:r>
      <w:r w:rsidR="00797C1F">
        <w:rPr>
          <w:rFonts w:cs="Arial"/>
        </w:rPr>
        <w:t>identi</w:t>
      </w:r>
      <w:r w:rsidR="0027653E">
        <w:rPr>
          <w:rFonts w:cs="Arial"/>
        </w:rPr>
        <w:t>f</w:t>
      </w:r>
      <w:r w:rsidR="00797C1F">
        <w:rPr>
          <w:rFonts w:cs="Arial"/>
        </w:rPr>
        <w:t xml:space="preserve">y </w:t>
      </w:r>
      <w:r w:rsidR="00E924BC">
        <w:rPr>
          <w:rFonts w:cs="Arial"/>
        </w:rPr>
        <w:t xml:space="preserve">priority </w:t>
      </w:r>
      <w:r w:rsidR="00797C1F">
        <w:rPr>
          <w:rFonts w:cs="Arial"/>
        </w:rPr>
        <w:t xml:space="preserve">populations for public health interventions </w:t>
      </w:r>
      <w:r w:rsidR="00E924BC">
        <w:rPr>
          <w:rFonts w:cs="Arial"/>
        </w:rPr>
        <w:t xml:space="preserve">to increase </w:t>
      </w:r>
      <w:r w:rsidR="00797C1F">
        <w:rPr>
          <w:rFonts w:cs="Arial"/>
        </w:rPr>
        <w:t xml:space="preserve">vaccine uptake and </w:t>
      </w:r>
      <w:r w:rsidR="00E924BC">
        <w:rPr>
          <w:rFonts w:cs="Arial"/>
        </w:rPr>
        <w:t>to reduce</w:t>
      </w:r>
      <w:r w:rsidR="00797C1F">
        <w:rPr>
          <w:rFonts w:cs="Arial"/>
        </w:rPr>
        <w:t xml:space="preserve"> the health and economic </w:t>
      </w:r>
      <w:r w:rsidR="00E924BC">
        <w:rPr>
          <w:rFonts w:cs="Arial"/>
        </w:rPr>
        <w:t xml:space="preserve">impact of </w:t>
      </w:r>
      <w:r w:rsidR="00E56E44">
        <w:rPr>
          <w:rFonts w:cs="Arial"/>
        </w:rPr>
        <w:t>influenza</w:t>
      </w:r>
      <w:r w:rsidR="00797C1F">
        <w:rPr>
          <w:rFonts w:cs="Arial"/>
        </w:rPr>
        <w:t xml:space="preserve">. </w:t>
      </w:r>
    </w:p>
    <w:p w14:paraId="6AD3C8E4" w14:textId="089E5494" w:rsidR="000E7107" w:rsidRPr="000E7107" w:rsidRDefault="009D568A" w:rsidP="00797C1F">
      <w:pPr>
        <w:pStyle w:val="Heading2"/>
        <w:spacing w:line="480" w:lineRule="auto"/>
      </w:pPr>
      <w:r w:rsidRPr="0061069B">
        <w:t>Methods</w:t>
      </w:r>
    </w:p>
    <w:p w14:paraId="49C5B19C" w14:textId="77777777" w:rsidR="0061069B" w:rsidRPr="0061069B" w:rsidRDefault="0061069B" w:rsidP="0061069B">
      <w:pPr>
        <w:pStyle w:val="Heading3"/>
        <w:spacing w:line="480" w:lineRule="auto"/>
        <w:rPr>
          <w:rFonts w:asciiTheme="minorHAnsi" w:hAnsiTheme="minorHAnsi"/>
        </w:rPr>
      </w:pPr>
      <w:r w:rsidRPr="0061069B">
        <w:rPr>
          <w:rFonts w:asciiTheme="minorHAnsi" w:hAnsiTheme="minorHAnsi"/>
        </w:rPr>
        <w:t>Population and Setting</w:t>
      </w:r>
    </w:p>
    <w:p w14:paraId="494B816C" w14:textId="723D0CA2" w:rsidR="0061069B" w:rsidRPr="0061069B" w:rsidRDefault="00937929" w:rsidP="0061069B">
      <w:pPr>
        <w:widowControl w:val="0"/>
        <w:autoSpaceDE w:val="0"/>
        <w:autoSpaceDN w:val="0"/>
        <w:adjustRightInd w:val="0"/>
        <w:spacing w:line="480" w:lineRule="auto"/>
        <w:rPr>
          <w:rFonts w:cs="Arial"/>
        </w:rPr>
      </w:pPr>
      <w:r>
        <w:rPr>
          <w:rFonts w:cs="Arial"/>
        </w:rPr>
        <w:t>The study population was the metropolitan area of Merseyside</w:t>
      </w:r>
      <w:r w:rsidR="00452E4E">
        <w:rPr>
          <w:rFonts w:cs="Arial"/>
        </w:rPr>
        <w:t xml:space="preserve">, </w:t>
      </w:r>
      <w:r w:rsidR="00797C1F">
        <w:rPr>
          <w:rFonts w:cs="Arial"/>
        </w:rPr>
        <w:t xml:space="preserve">North-West </w:t>
      </w:r>
      <w:r>
        <w:rPr>
          <w:rFonts w:cs="Arial"/>
        </w:rPr>
        <w:t xml:space="preserve">England, </w:t>
      </w:r>
      <w:r w:rsidR="00326E33">
        <w:rPr>
          <w:rFonts w:cs="Arial"/>
        </w:rPr>
        <w:t>defined in this study as</w:t>
      </w:r>
      <w:r w:rsidR="0061069B" w:rsidRPr="0061069B">
        <w:rPr>
          <w:rFonts w:cs="Arial"/>
        </w:rPr>
        <w:t xml:space="preserve"> the local authority areas of Halton, Knowsley, Liverpool, Sefton, St. Helens</w:t>
      </w:r>
      <w:r w:rsidR="00797C1F">
        <w:rPr>
          <w:rFonts w:cs="Arial"/>
        </w:rPr>
        <w:t>,</w:t>
      </w:r>
      <w:r w:rsidR="0061069B" w:rsidRPr="0061069B">
        <w:rPr>
          <w:rFonts w:cs="Arial"/>
        </w:rPr>
        <w:t xml:space="preserve"> and Wirral. Merseyside </w:t>
      </w:r>
      <w:r>
        <w:rPr>
          <w:rFonts w:cs="Arial"/>
        </w:rPr>
        <w:t>has</w:t>
      </w:r>
      <w:r w:rsidR="0061069B" w:rsidRPr="0061069B">
        <w:rPr>
          <w:rFonts w:cs="Arial"/>
        </w:rPr>
        <w:t xml:space="preserve"> an estimated resident population </w:t>
      </w:r>
      <w:r w:rsidR="00452E4E">
        <w:rPr>
          <w:rFonts w:cs="Arial"/>
        </w:rPr>
        <w:t>of 1.5 million</w:t>
      </w:r>
      <w:r>
        <w:rPr>
          <w:rFonts w:cs="Arial"/>
        </w:rPr>
        <w:t xml:space="preserve"> </w:t>
      </w:r>
      <w:r>
        <w:rPr>
          <w:rFonts w:cs="Arial"/>
        </w:rPr>
        <w:fldChar w:fldCharType="begin"/>
      </w:r>
      <w:r w:rsidR="00C33409">
        <w:rPr>
          <w:rFonts w:cs="Arial"/>
        </w:rPr>
        <w:instrText xml:space="preserve"> ADDIN ZOTERO_ITEM CSL_CITATION {"citationID":"a1pbjv0m79b","properties":{"formattedCitation":"[21]","plainCitation":"[21]","noteIndex":0},"citationItems":[{"id":4235,"uris":["http://zotero.org/groups/1793288/items/6DP7UAUF"],"uri":["http://zotero.org/groups/1793288/items/6DP7UAUF"],"itemData":{"id":4235,"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Pr>
          <w:rFonts w:cs="Arial"/>
        </w:rPr>
        <w:fldChar w:fldCharType="separate"/>
      </w:r>
      <w:r w:rsidR="00C33409" w:rsidRPr="00144FF7">
        <w:rPr>
          <w:rFonts w:ascii="Calibri" w:hAnsi="Calibri" w:cs="Calibri"/>
        </w:rPr>
        <w:t>[21]</w:t>
      </w:r>
      <w:r>
        <w:rPr>
          <w:rFonts w:cs="Arial"/>
        </w:rPr>
        <w:fldChar w:fldCharType="end"/>
      </w:r>
      <w:r w:rsidR="00797C1F">
        <w:rPr>
          <w:rFonts w:cs="Arial"/>
        </w:rPr>
        <w:t>, and is a diverse area that contains</w:t>
      </w:r>
      <w:r w:rsidR="00452E4E">
        <w:rPr>
          <w:rFonts w:cs="Arial"/>
        </w:rPr>
        <w:t xml:space="preserve"> some of the most socioeconomically deprived </w:t>
      </w:r>
      <w:r w:rsidR="00F4746A">
        <w:rPr>
          <w:rFonts w:cs="Arial"/>
        </w:rPr>
        <w:t>neighbourhoods</w:t>
      </w:r>
      <w:r w:rsidR="00452E4E">
        <w:rPr>
          <w:rFonts w:cs="Arial"/>
        </w:rPr>
        <w:t xml:space="preserve"> in </w:t>
      </w:r>
      <w:r w:rsidR="00244E25">
        <w:rPr>
          <w:rFonts w:cs="Arial"/>
        </w:rPr>
        <w:t>England</w:t>
      </w:r>
      <w:r w:rsidR="00797C1F">
        <w:rPr>
          <w:rFonts w:cs="Arial"/>
        </w:rPr>
        <w:t xml:space="preserve"> </w:t>
      </w:r>
      <w:r w:rsidR="00E924BC">
        <w:rPr>
          <w:rFonts w:cs="Arial"/>
        </w:rPr>
        <w:t>as well as</w:t>
      </w:r>
      <w:r w:rsidR="00452E4E">
        <w:rPr>
          <w:rFonts w:cs="Arial"/>
        </w:rPr>
        <w:t xml:space="preserve"> some of the </w:t>
      </w:r>
      <w:r w:rsidR="00986521">
        <w:rPr>
          <w:rFonts w:cs="Arial"/>
        </w:rPr>
        <w:t>most affluent</w:t>
      </w:r>
      <w:r w:rsidR="00C10EAA">
        <w:rPr>
          <w:rFonts w:cs="Arial"/>
        </w:rPr>
        <w:t xml:space="preserve"> </w:t>
      </w:r>
      <w:r w:rsidR="00C10EAA">
        <w:rPr>
          <w:rFonts w:cs="Arial"/>
        </w:rPr>
        <w:fldChar w:fldCharType="begin"/>
      </w:r>
      <w:r w:rsidR="00C33409">
        <w:rPr>
          <w:rFonts w:cs="Arial"/>
        </w:rPr>
        <w:instrText xml:space="preserve"> ADDIN ZOTERO_ITEM CSL_CITATION {"citationID":"a13jqn8toi1","properties":{"formattedCitation":"[22]","plainCitation":"[22]","noteIndex":0},"citationItems":[{"id":4243,"uris":["http://zotero.org/groups/1793288/items/R5AI9FCT"],"uri":["http://zotero.org/groups/1793288/items/R5AI9FCT"],"itemData":{"id":4243,"type":"report","title":"English indices of deprivation 2015","publisher":"Department for Communities and Local Government","publisher-place":"London, England","event-place":"London, England","abstract":"Statistics on relative deprivation in small areas in England. Further details are provided at the bottom of this page and in the guidance document.","URL":"https://www.gov.uk/government/statistics/english-indices-of-deprivation-2015","author":[{"family":"Department for Communities and Local Government","given":""}],"issued":{"date-parts":[["2015",9,30]]},"accessed":{"date-parts":[["2017",10,4]]}}}],"schema":"https://github.com/citation-style-language/schema/raw/master/csl-citation.json"} </w:instrText>
      </w:r>
      <w:r w:rsidR="00C10EAA">
        <w:rPr>
          <w:rFonts w:cs="Arial"/>
        </w:rPr>
        <w:fldChar w:fldCharType="separate"/>
      </w:r>
      <w:r w:rsidR="00C33409" w:rsidRPr="00144FF7">
        <w:rPr>
          <w:rFonts w:ascii="Calibri" w:hAnsi="Calibri" w:cs="Calibri"/>
        </w:rPr>
        <w:t>[22]</w:t>
      </w:r>
      <w:r w:rsidR="00C10EAA">
        <w:rPr>
          <w:rFonts w:cs="Arial"/>
        </w:rPr>
        <w:fldChar w:fldCharType="end"/>
      </w:r>
      <w:r w:rsidR="00452E4E">
        <w:rPr>
          <w:rFonts w:cs="Arial"/>
        </w:rPr>
        <w:t>.</w:t>
      </w:r>
      <w:r w:rsidR="00C10EAA">
        <w:rPr>
          <w:rFonts w:cs="Arial"/>
        </w:rPr>
        <w:t xml:space="preserve"> </w:t>
      </w:r>
    </w:p>
    <w:p w14:paraId="58AEE61F" w14:textId="0DE76897" w:rsidR="00986521" w:rsidRPr="00797C1F" w:rsidRDefault="0061069B" w:rsidP="00797C1F">
      <w:pPr>
        <w:pStyle w:val="Heading3"/>
        <w:spacing w:line="480" w:lineRule="auto"/>
        <w:rPr>
          <w:rFonts w:asciiTheme="minorHAnsi" w:hAnsiTheme="minorHAnsi"/>
        </w:rPr>
      </w:pPr>
      <w:r w:rsidRPr="006E256E">
        <w:rPr>
          <w:rFonts w:asciiTheme="minorHAnsi" w:hAnsiTheme="minorHAnsi"/>
        </w:rPr>
        <w:lastRenderedPageBreak/>
        <w:t>Data sources</w:t>
      </w:r>
    </w:p>
    <w:p w14:paraId="4DA81660" w14:textId="77777777" w:rsidR="00A90107" w:rsidRDefault="00452E4E" w:rsidP="00452E4E">
      <w:pPr>
        <w:widowControl w:val="0"/>
        <w:autoSpaceDE w:val="0"/>
        <w:autoSpaceDN w:val="0"/>
        <w:adjustRightInd w:val="0"/>
        <w:spacing w:line="480" w:lineRule="auto"/>
        <w:rPr>
          <w:rFonts w:cs="Arial"/>
        </w:rPr>
      </w:pPr>
      <w:r w:rsidRPr="00A90107">
        <w:rPr>
          <w:rStyle w:val="Heading4Char"/>
        </w:rPr>
        <w:t>Influenza vaccine uptake</w:t>
      </w:r>
    </w:p>
    <w:p w14:paraId="446F4102" w14:textId="4FF96EAD" w:rsidR="002B3886" w:rsidRDefault="00A90107" w:rsidP="00DB083D">
      <w:pPr>
        <w:widowControl w:val="0"/>
        <w:autoSpaceDE w:val="0"/>
        <w:autoSpaceDN w:val="0"/>
        <w:adjustRightInd w:val="0"/>
        <w:spacing w:line="480" w:lineRule="auto"/>
        <w:rPr>
          <w:rFonts w:cs="Arial"/>
        </w:rPr>
      </w:pPr>
      <w:r>
        <w:rPr>
          <w:rFonts w:cs="Arial"/>
        </w:rPr>
        <w:t>Influenza vaccine uptake data for</w:t>
      </w:r>
      <w:r w:rsidRPr="00A90107">
        <w:rPr>
          <w:rFonts w:cs="Arial"/>
        </w:rPr>
        <w:t xml:space="preserve"> seasons 2014/15 and 2015/16</w:t>
      </w:r>
      <w:r>
        <w:rPr>
          <w:rFonts w:cs="Arial"/>
        </w:rPr>
        <w:t xml:space="preserve"> were obtained from ImmForm</w:t>
      </w:r>
      <w:r w:rsidR="00E924BC">
        <w:rPr>
          <w:rFonts w:cs="Arial"/>
        </w:rPr>
        <w:t xml:space="preserve">, </w:t>
      </w:r>
      <w:r w:rsidRPr="00A90107">
        <w:rPr>
          <w:rFonts w:cs="Arial"/>
        </w:rPr>
        <w:t>the system used by the DH, the NHS</w:t>
      </w:r>
      <w:r w:rsidR="002B7432">
        <w:rPr>
          <w:rFonts w:cs="Arial"/>
        </w:rPr>
        <w:t>,</w:t>
      </w:r>
      <w:r w:rsidRPr="00A90107">
        <w:rPr>
          <w:rFonts w:cs="Arial"/>
        </w:rPr>
        <w:t xml:space="preserve"> and P</w:t>
      </w:r>
      <w:r w:rsidR="00986521">
        <w:rPr>
          <w:rFonts w:cs="Arial"/>
        </w:rPr>
        <w:t xml:space="preserve">ublic </w:t>
      </w:r>
      <w:r w:rsidRPr="00A90107">
        <w:rPr>
          <w:rFonts w:cs="Arial"/>
        </w:rPr>
        <w:t>H</w:t>
      </w:r>
      <w:r w:rsidR="00986521">
        <w:rPr>
          <w:rFonts w:cs="Arial"/>
        </w:rPr>
        <w:t xml:space="preserve">ealth </w:t>
      </w:r>
      <w:r w:rsidRPr="00A90107">
        <w:rPr>
          <w:rFonts w:cs="Arial"/>
        </w:rPr>
        <w:t>E</w:t>
      </w:r>
      <w:r w:rsidR="00986521">
        <w:rPr>
          <w:rFonts w:cs="Arial"/>
        </w:rPr>
        <w:t>ngland (PHE)</w:t>
      </w:r>
      <w:r w:rsidRPr="00A90107">
        <w:rPr>
          <w:rFonts w:cs="Arial"/>
        </w:rPr>
        <w:t xml:space="preserve"> to record </w:t>
      </w:r>
      <w:r w:rsidR="00983051">
        <w:rPr>
          <w:rFonts w:cs="Arial"/>
        </w:rPr>
        <w:t>GP v</w:t>
      </w:r>
      <w:r w:rsidRPr="00A90107">
        <w:rPr>
          <w:rFonts w:cs="Arial"/>
        </w:rPr>
        <w:t xml:space="preserve">accination uptake [21]. </w:t>
      </w:r>
      <w:r w:rsidR="00983051">
        <w:rPr>
          <w:rFonts w:cs="Arial"/>
        </w:rPr>
        <w:t>In addition to vaccine delivery through GP’s,</w:t>
      </w:r>
      <w:r w:rsidR="00DB083D">
        <w:rPr>
          <w:rFonts w:cs="Arial"/>
        </w:rPr>
        <w:t xml:space="preserve"> since 2015/2016 pharmacies</w:t>
      </w:r>
      <w:r w:rsidR="00983051">
        <w:rPr>
          <w:rFonts w:cs="Arial"/>
        </w:rPr>
        <w:t xml:space="preserve"> in England</w:t>
      </w:r>
      <w:r w:rsidR="00DB083D">
        <w:rPr>
          <w:rFonts w:cs="Arial"/>
        </w:rPr>
        <w:t xml:space="preserve"> have</w:t>
      </w:r>
      <w:r w:rsidR="00983051">
        <w:rPr>
          <w:rFonts w:cs="Arial"/>
        </w:rPr>
        <w:t xml:space="preserve"> also</w:t>
      </w:r>
      <w:r w:rsidR="00DB083D">
        <w:rPr>
          <w:rFonts w:cs="Arial"/>
        </w:rPr>
        <w:t xml:space="preserve"> been able to</w:t>
      </w:r>
      <w:r w:rsidR="00983051">
        <w:rPr>
          <w:rFonts w:cs="Arial"/>
        </w:rPr>
        <w:t xml:space="preserve"> offer influenza vaccin</w:t>
      </w:r>
      <w:r w:rsidR="00002D76">
        <w:rPr>
          <w:rFonts w:cs="Arial"/>
        </w:rPr>
        <w:t>ation</w:t>
      </w:r>
      <w:r w:rsidR="00B519AB">
        <w:rPr>
          <w:rFonts w:cs="Arial"/>
        </w:rPr>
        <w:t xml:space="preserve"> </w:t>
      </w:r>
      <w:r w:rsidR="00B519AB">
        <w:rPr>
          <w:rFonts w:cs="Arial"/>
        </w:rPr>
        <w:fldChar w:fldCharType="begin"/>
      </w:r>
      <w:r w:rsidR="00B519AB">
        <w:rPr>
          <w:rFonts w:cs="Arial"/>
        </w:rPr>
        <w:instrText xml:space="preserve"> ADDIN ZOTERO_ITEM CSL_CITATION {"citationID":"SPVuCK0k","properties":{"formattedCitation":"[23]","plainCitation":"[23]","noteIndex":0},"citationItems":[{"id":4685,"uris":["http://zotero.org/groups/1793288/items/ACTRUMPX"],"uri":["http://zotero.org/groups/1793288/items/ACTRUMPX"],"itemData":{"id":4685,"type":"article-journal","title":"Seasonal influenza vaccination delivery through community pharmacists in England: evaluation of the London pilot","container-title":"BMJ Open","page":"e009739","volume":"6","issue":"2","source":"bmjopen.bmj.com","abstract":"Objective To evaluate the effectiveness and cost of the pan-London pharmacy initiative, a programme that allows administration of seasonal influenza vaccination to eligible patients at pharmacies.\nDesign We analysed 2013–2015 data on vaccination uptake in pharmacies via the Sonar reporting system, and the total vaccination uptake via 2011–2015 ImmForm general practitioner (GP) reporting system data. We conducted an online survey of London pharmacists who participate in the programme to assess time use data, vaccine choice, investment costs and opinions about the programme. We conducted an online survey of London GPs to assess vaccine choice of vaccine and opinions about the pharmacy vaccine delivery programme.\nSetting All London boroughs.\nParticipants London-based GPs, and pharmacies that currently offer seasonal flu vaccination.\nInterventions Not applicable.\nMain outcome measures Comparison of annual vaccine uptake in London across risk groups from years before pharmacy vaccination introduction to after pharmacy vaccination introduction. Completeness of vaccine uptake reporting data. Cost to the National Health Service (NHS) of flu vaccine delivery at pharmacies with that at GPs. Cost to pharmacists of flu delivery. Opinions of pharmacists and GPs regarding the flu vaccine pharmacy initiative.\nResults No significant change in the uptake of seasonal vaccination in any of the risk groups as a result of the pharmacy initiative. While on average a pharmacy-administered flu vaccine dose costs the NHS up to £2.35 less than a dose administered at a GP, a comparison of the 2 recording systems suggests there is substantial loss of data.\nConclusions Flu vaccine delivery through pharmacies shows potential for improving convenience for vaccine recipients. However, there is no evidence that vaccination uptake increases and the use of 2 separate recording systems leads to time-consuming data entry and missing vaccine record data.","DOI":"10.1136/bmjopen-2015-009739","ISSN":"2044-6055, 2044-6055","note":"PMID: 26883237","shortTitle":"Seasonal influenza vaccination delivery through community pharmacists in England","language":"en","author":[{"family":"Atkins","given":"Katherine"},{"family":"Hoek","given":"Albert Jan","dropping-particle":"van"},{"family":"Watson","given":"Conall"},{"family":"Baguelin","given":"Marc"},{"family":"Choga","given":"Lethiwe"},{"family":"Patel","given":"Anika"},{"family":"Raj","given":"Thara"},{"family":"Jit","given":"Mark"},{"family":"Griffiths","given":"Ulla"}],"issued":{"date-parts":[["2016",2,1]]}}}],"schema":"https://github.com/citation-style-language/schema/raw/master/csl-citation.json"} </w:instrText>
      </w:r>
      <w:r w:rsidR="00B519AB">
        <w:rPr>
          <w:rFonts w:cs="Arial"/>
        </w:rPr>
        <w:fldChar w:fldCharType="separate"/>
      </w:r>
      <w:r w:rsidR="00B519AB" w:rsidRPr="003563BA">
        <w:rPr>
          <w:rFonts w:ascii="Calibri" w:hAnsi="Calibri" w:cs="Calibri"/>
        </w:rPr>
        <w:t>[23]</w:t>
      </w:r>
      <w:r w:rsidR="00B519AB">
        <w:rPr>
          <w:rFonts w:cs="Arial"/>
        </w:rPr>
        <w:fldChar w:fldCharType="end"/>
      </w:r>
      <w:r w:rsidR="00983051">
        <w:rPr>
          <w:rFonts w:cs="Arial"/>
        </w:rPr>
        <w:t>. To capture these data, pharmacies</w:t>
      </w:r>
      <w:r w:rsidR="00DB083D">
        <w:rPr>
          <w:rFonts w:cs="Arial"/>
        </w:rPr>
        <w:t xml:space="preserve"> are required to </w:t>
      </w:r>
      <w:r w:rsidR="00DB083D" w:rsidRPr="00DB083D">
        <w:rPr>
          <w:rFonts w:cs="Arial"/>
        </w:rPr>
        <w:t>report any vaccine admin</w:t>
      </w:r>
      <w:r w:rsidR="00DB083D">
        <w:rPr>
          <w:rFonts w:cs="Arial"/>
        </w:rPr>
        <w:t xml:space="preserve">istration to the </w:t>
      </w:r>
      <w:r w:rsidR="00983051">
        <w:rPr>
          <w:rFonts w:cs="Arial"/>
        </w:rPr>
        <w:t xml:space="preserve">patients </w:t>
      </w:r>
      <w:r w:rsidR="00DB083D">
        <w:rPr>
          <w:rFonts w:cs="Arial"/>
        </w:rPr>
        <w:t>registered GP</w:t>
      </w:r>
      <w:r w:rsidR="00EF660E">
        <w:rPr>
          <w:rFonts w:cs="Arial"/>
        </w:rPr>
        <w:t>,</w:t>
      </w:r>
      <w:r w:rsidR="00983051">
        <w:rPr>
          <w:rFonts w:cs="Arial"/>
        </w:rPr>
        <w:t xml:space="preserve"> and the GP</w:t>
      </w:r>
      <w:r w:rsidR="00DB083D" w:rsidRPr="00DB083D">
        <w:rPr>
          <w:rFonts w:cs="Arial"/>
        </w:rPr>
        <w:t xml:space="preserve"> </w:t>
      </w:r>
      <w:r w:rsidR="00983051">
        <w:rPr>
          <w:rFonts w:cs="Arial"/>
        </w:rPr>
        <w:t>will input this into the I</w:t>
      </w:r>
      <w:r w:rsidR="00DB083D" w:rsidRPr="00DB083D">
        <w:rPr>
          <w:rFonts w:cs="Arial"/>
        </w:rPr>
        <w:t xml:space="preserve">mmForm system. </w:t>
      </w:r>
      <w:r w:rsidRPr="00A90107">
        <w:rPr>
          <w:rFonts w:cs="Arial"/>
        </w:rPr>
        <w:t xml:space="preserve">We extracted aggregated information on vaccine uptake </w:t>
      </w:r>
      <w:r w:rsidR="00176A84">
        <w:rPr>
          <w:rFonts w:cs="Arial"/>
        </w:rPr>
        <w:t>for</w:t>
      </w:r>
      <w:r w:rsidR="00176A84" w:rsidRPr="00A90107">
        <w:rPr>
          <w:rFonts w:cs="Arial"/>
        </w:rPr>
        <w:t xml:space="preserve"> </w:t>
      </w:r>
      <w:r w:rsidRPr="00A90107">
        <w:rPr>
          <w:rFonts w:cs="Arial"/>
        </w:rPr>
        <w:t xml:space="preserve">all groups eligible for vaccination from </w:t>
      </w:r>
      <w:r w:rsidR="00B764AF">
        <w:rPr>
          <w:rFonts w:cs="Arial"/>
        </w:rPr>
        <w:t xml:space="preserve">288 </w:t>
      </w:r>
      <w:r w:rsidRPr="00A90107">
        <w:rPr>
          <w:rFonts w:cs="Arial"/>
        </w:rPr>
        <w:t>GP practices in Merseyside. Data included the number of eligible patients and the number of people receiving the vacci</w:t>
      </w:r>
      <w:r>
        <w:rPr>
          <w:rFonts w:cs="Arial"/>
        </w:rPr>
        <w:t xml:space="preserve">ne for each </w:t>
      </w:r>
      <w:r w:rsidR="002C2412">
        <w:rPr>
          <w:rFonts w:cs="Arial"/>
        </w:rPr>
        <w:t xml:space="preserve">eligible </w:t>
      </w:r>
      <w:r>
        <w:rPr>
          <w:rFonts w:cs="Arial"/>
        </w:rPr>
        <w:t>group</w:t>
      </w:r>
      <w:r w:rsidRPr="00A90107">
        <w:rPr>
          <w:rFonts w:cs="Arial"/>
        </w:rPr>
        <w:t>.</w:t>
      </w:r>
    </w:p>
    <w:p w14:paraId="260E2EFB" w14:textId="182F71E5" w:rsidR="00986521" w:rsidRPr="00986521" w:rsidRDefault="008900FF" w:rsidP="00797C1F">
      <w:pPr>
        <w:pStyle w:val="Heading4"/>
        <w:spacing w:line="480" w:lineRule="auto"/>
      </w:pPr>
      <w:r>
        <w:t>Hospitalis</w:t>
      </w:r>
      <w:r w:rsidR="002B3886">
        <w:t>ations for influenza</w:t>
      </w:r>
      <w:r w:rsidR="002C2412">
        <w:t>-</w:t>
      </w:r>
      <w:r w:rsidR="002B3886">
        <w:t xml:space="preserve">associated illness </w:t>
      </w:r>
    </w:p>
    <w:p w14:paraId="78DF63AF" w14:textId="73B7B315" w:rsidR="002B7CD3" w:rsidRDefault="00A05A1B" w:rsidP="002B3886">
      <w:pPr>
        <w:widowControl w:val="0"/>
        <w:autoSpaceDE w:val="0"/>
        <w:autoSpaceDN w:val="0"/>
        <w:adjustRightInd w:val="0"/>
        <w:spacing w:line="480" w:lineRule="auto"/>
        <w:rPr>
          <w:rFonts w:cs="Arial"/>
        </w:rPr>
      </w:pPr>
      <w:r>
        <w:rPr>
          <w:rFonts w:cs="Arial"/>
        </w:rPr>
        <w:t>Hospitalisation data</w:t>
      </w:r>
      <w:r w:rsidR="002B3886" w:rsidRPr="002B3886">
        <w:rPr>
          <w:rFonts w:cs="Arial"/>
        </w:rPr>
        <w:t xml:space="preserve"> were extracted from </w:t>
      </w:r>
      <w:r w:rsidR="00176A84">
        <w:rPr>
          <w:rFonts w:cs="Arial"/>
        </w:rPr>
        <w:t xml:space="preserve">the national </w:t>
      </w:r>
      <w:r w:rsidR="0061069B" w:rsidRPr="002B3886">
        <w:rPr>
          <w:rFonts w:cs="Arial"/>
        </w:rPr>
        <w:t>Hospital Episode Statistics (HES)</w:t>
      </w:r>
      <w:r w:rsidR="00176A84">
        <w:rPr>
          <w:rFonts w:cs="Arial"/>
        </w:rPr>
        <w:t xml:space="preserve"> </w:t>
      </w:r>
      <w:r w:rsidR="0061069B" w:rsidRPr="002B3886">
        <w:rPr>
          <w:rFonts w:cs="Arial"/>
        </w:rPr>
        <w:t>database</w:t>
      </w:r>
      <w:r w:rsidR="00002D76">
        <w:rPr>
          <w:rFonts w:cs="Arial"/>
        </w:rPr>
        <w:t xml:space="preserve"> via PHE</w:t>
      </w:r>
      <w:r w:rsidR="00176A84">
        <w:rPr>
          <w:rFonts w:cs="Arial"/>
        </w:rPr>
        <w:t>,</w:t>
      </w:r>
      <w:r w:rsidR="00D82DF6">
        <w:rPr>
          <w:rFonts w:cs="Arial"/>
        </w:rPr>
        <w:t xml:space="preserve"> a records-based system maintained by NHS digital, which</w:t>
      </w:r>
      <w:r w:rsidR="0061069B" w:rsidRPr="002B3886">
        <w:rPr>
          <w:rFonts w:cs="Arial"/>
        </w:rPr>
        <w:t xml:space="preserve"> contains information on all </w:t>
      </w:r>
      <w:r w:rsidR="00D82DF6">
        <w:rPr>
          <w:rFonts w:cs="Arial"/>
        </w:rPr>
        <w:t>hospital</w:t>
      </w:r>
      <w:r>
        <w:rPr>
          <w:rFonts w:cs="Arial"/>
        </w:rPr>
        <w:t xml:space="preserve"> </w:t>
      </w:r>
      <w:r w:rsidR="0061069B" w:rsidRPr="002B3886">
        <w:rPr>
          <w:rFonts w:cs="Arial"/>
        </w:rPr>
        <w:t xml:space="preserve">admissions, outpatient appointments, and A&amp;E attendances </w:t>
      </w:r>
      <w:r w:rsidR="00D82DF6">
        <w:rPr>
          <w:rFonts w:cs="Arial"/>
        </w:rPr>
        <w:t>covering all</w:t>
      </w:r>
      <w:r w:rsidR="0061069B" w:rsidRPr="002B3886">
        <w:rPr>
          <w:rFonts w:cs="Arial"/>
        </w:rPr>
        <w:t xml:space="preserve"> NHS </w:t>
      </w:r>
      <w:r w:rsidR="00D82DF6">
        <w:rPr>
          <w:rFonts w:cs="Arial"/>
        </w:rPr>
        <w:t>trusts</w:t>
      </w:r>
      <w:r w:rsidR="0061069B" w:rsidRPr="002B3886">
        <w:rPr>
          <w:rFonts w:cs="Arial"/>
        </w:rPr>
        <w:t xml:space="preserve"> in England. </w:t>
      </w:r>
    </w:p>
    <w:p w14:paraId="40268060" w14:textId="0E5E23D3" w:rsidR="0061069B" w:rsidRPr="002B3886" w:rsidRDefault="0061069B" w:rsidP="002B3886">
      <w:pPr>
        <w:widowControl w:val="0"/>
        <w:autoSpaceDE w:val="0"/>
        <w:autoSpaceDN w:val="0"/>
        <w:adjustRightInd w:val="0"/>
        <w:spacing w:line="480" w:lineRule="auto"/>
        <w:rPr>
          <w:rFonts w:cs="Arial"/>
        </w:rPr>
      </w:pPr>
      <w:r w:rsidRPr="002B3886">
        <w:rPr>
          <w:rFonts w:cs="Arial"/>
        </w:rPr>
        <w:t xml:space="preserve">We extracted anonymised </w:t>
      </w:r>
      <w:r w:rsidR="003D4698">
        <w:rPr>
          <w:rFonts w:cs="Arial"/>
        </w:rPr>
        <w:t xml:space="preserve">aggregated </w:t>
      </w:r>
      <w:r w:rsidRPr="002B3886">
        <w:rPr>
          <w:rFonts w:cs="Arial"/>
        </w:rPr>
        <w:t xml:space="preserve">records of all patients residing in Merseyside admitted as an emergency to a hospital </w:t>
      </w:r>
      <w:r w:rsidR="00C10EAA">
        <w:rPr>
          <w:rFonts w:cs="Arial"/>
        </w:rPr>
        <w:t xml:space="preserve">in England </w:t>
      </w:r>
      <w:r w:rsidRPr="002B3886">
        <w:rPr>
          <w:rFonts w:cs="Arial"/>
        </w:rPr>
        <w:t xml:space="preserve">with a primary or subsequent diagnosis of </w:t>
      </w:r>
      <w:r w:rsidR="00F83E51">
        <w:rPr>
          <w:rFonts w:cs="Arial"/>
        </w:rPr>
        <w:t xml:space="preserve">acute respiratory illness identified </w:t>
      </w:r>
      <w:r w:rsidR="00F83E51" w:rsidRPr="002B3886">
        <w:rPr>
          <w:rFonts w:cs="Arial"/>
        </w:rPr>
        <w:t>between April 2004 and March 2016</w:t>
      </w:r>
      <w:r w:rsidR="00F83E51">
        <w:rPr>
          <w:rFonts w:cs="Arial"/>
        </w:rPr>
        <w:t xml:space="preserve">. We used the </w:t>
      </w:r>
      <w:r w:rsidR="00F83E51" w:rsidRPr="002B3886">
        <w:rPr>
          <w:rFonts w:cs="Arial"/>
        </w:rPr>
        <w:t xml:space="preserve">International Statistical Classification of Diseases and Related Health Problems (ICD-10) codes </w:t>
      </w:r>
      <w:r w:rsidR="00F83E51" w:rsidRPr="00F83E51">
        <w:rPr>
          <w:rFonts w:cs="Arial"/>
        </w:rPr>
        <w:t>(</w:t>
      </w:r>
      <w:r w:rsidR="00F83E51">
        <w:rPr>
          <w:rFonts w:cs="Arial"/>
        </w:rPr>
        <w:t>ICD-10 codes J0*, J1*, J2*, J3*) to identify acute respiratory infection</w:t>
      </w:r>
      <w:r w:rsidR="00414390">
        <w:rPr>
          <w:rFonts w:cs="Arial"/>
        </w:rPr>
        <w:t xml:space="preserve"> </w:t>
      </w:r>
      <w:r w:rsidR="00414390">
        <w:rPr>
          <w:rFonts w:cs="Arial"/>
        </w:rPr>
        <w:fldChar w:fldCharType="begin"/>
      </w:r>
      <w:r w:rsidR="00C33409">
        <w:rPr>
          <w:rFonts w:cs="Arial"/>
        </w:rPr>
        <w:instrText xml:space="preserve"> ADDIN ZOTERO_ITEM CSL_CITATION {"citationID":"as4le80h7r","properties":{"formattedCitation":"[2]","plainCitation":"[2]","noteIndex":0},"citationItems":[{"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C33409">
        <w:rPr>
          <w:rFonts w:ascii="Cambria Math" w:hAnsi="Cambria Math" w:cs="Cambria Math"/>
        </w:rPr>
        <w:instrText>∼</w:instrText>
      </w:r>
      <w:r w:rsidR="00C33409">
        <w:rPr>
          <w:rFonts w:cs="Arial"/>
        </w:rPr>
        <w:instrText xml:space="preserve">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John"},{"family":"Fleming","given":"Douglas"},{"family":"Miller","given":"Elizabeth"}],"issued":{"date-parts":[["2014",4]]}}}],"schema":"https://github.com/citation-style-language/schema/raw/master/csl-citation.json"} </w:instrText>
      </w:r>
      <w:r w:rsidR="00414390">
        <w:rPr>
          <w:rFonts w:cs="Arial"/>
        </w:rPr>
        <w:fldChar w:fldCharType="separate"/>
      </w:r>
      <w:r w:rsidR="00C33409" w:rsidRPr="00144FF7">
        <w:rPr>
          <w:rFonts w:ascii="Calibri" w:hAnsi="Calibri" w:cs="Calibri"/>
        </w:rPr>
        <w:t>[2]</w:t>
      </w:r>
      <w:r w:rsidR="00414390">
        <w:rPr>
          <w:rFonts w:cs="Arial"/>
        </w:rPr>
        <w:fldChar w:fldCharType="end"/>
      </w:r>
      <w:r w:rsidRPr="002B3886">
        <w:rPr>
          <w:rFonts w:cs="Arial"/>
        </w:rPr>
        <w:t xml:space="preserve">. We </w:t>
      </w:r>
      <w:r w:rsidR="00F83E51">
        <w:rPr>
          <w:rFonts w:cs="Arial"/>
        </w:rPr>
        <w:t xml:space="preserve">further </w:t>
      </w:r>
      <w:r w:rsidRPr="002B3886">
        <w:rPr>
          <w:rFonts w:cs="Arial"/>
        </w:rPr>
        <w:t>used the</w:t>
      </w:r>
      <w:r w:rsidR="00F83E51">
        <w:rPr>
          <w:rFonts w:cs="Arial"/>
        </w:rPr>
        <w:t xml:space="preserve"> ICD10-coding to</w:t>
      </w:r>
      <w:r w:rsidRPr="002B3886">
        <w:rPr>
          <w:rFonts w:cs="Arial"/>
        </w:rPr>
        <w:t xml:space="preserve"> identify confirmed influenza, IAI, and comorbidities. Confirmed influenza was identified by codes J09 and J10. IAI codes</w:t>
      </w:r>
      <w:r w:rsidR="00FC0835">
        <w:rPr>
          <w:rFonts w:cs="Arial"/>
        </w:rPr>
        <w:t xml:space="preserve"> </w:t>
      </w:r>
      <w:r w:rsidRPr="002B3886">
        <w:rPr>
          <w:rFonts w:cs="Arial"/>
        </w:rPr>
        <w:t xml:space="preserve">were selected using the following procedure and criteria: </w:t>
      </w:r>
    </w:p>
    <w:p w14:paraId="2017AA49" w14:textId="07FDB8BD" w:rsidR="0061069B" w:rsidRPr="002B3886" w:rsidRDefault="0061069B" w:rsidP="0061069B">
      <w:pPr>
        <w:pStyle w:val="ListParagraph"/>
        <w:widowControl w:val="0"/>
        <w:numPr>
          <w:ilvl w:val="1"/>
          <w:numId w:val="1"/>
        </w:numPr>
        <w:autoSpaceDE w:val="0"/>
        <w:autoSpaceDN w:val="0"/>
        <w:adjustRightInd w:val="0"/>
        <w:spacing w:line="480" w:lineRule="auto"/>
        <w:rPr>
          <w:rFonts w:cs="Arial"/>
          <w:sz w:val="22"/>
          <w:szCs w:val="22"/>
        </w:rPr>
      </w:pPr>
      <w:r w:rsidRPr="002B3886">
        <w:rPr>
          <w:rFonts w:cs="Arial"/>
          <w:sz w:val="22"/>
          <w:szCs w:val="22"/>
        </w:rPr>
        <w:t xml:space="preserve">Literature search of peer-reviewed publications </w:t>
      </w:r>
      <w:r w:rsidR="00DC2303" w:rsidRPr="002B3886">
        <w:rPr>
          <w:rFonts w:cs="Arial"/>
          <w:sz w:val="22"/>
          <w:szCs w:val="22"/>
        </w:rPr>
        <w:fldChar w:fldCharType="begin"/>
      </w:r>
      <w:r w:rsidR="00B519AB">
        <w:rPr>
          <w:rFonts w:cs="Arial"/>
          <w:sz w:val="22"/>
          <w:szCs w:val="22"/>
        </w:rPr>
        <w:instrText xml:space="preserve"> ADDIN ZOTERO_ITEM CSL_CITATION {"citationID":"a1499bltnm5","properties":{"formattedCitation":"[2,24,25]","plainCitation":"[2,24,25]","noteIndex":0},"citationItems":[{"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B519AB">
        <w:rPr>
          <w:rFonts w:ascii="Cambria Math" w:hAnsi="Cambria Math" w:cs="Cambria Math"/>
          <w:sz w:val="22"/>
          <w:szCs w:val="22"/>
        </w:rPr>
        <w:instrText>∼</w:instrText>
      </w:r>
      <w:r w:rsidR="00B519AB">
        <w:rPr>
          <w:rFonts w:cs="Arial"/>
          <w:sz w:val="22"/>
          <w:szCs w:val="22"/>
        </w:rPr>
        <w:instrText>10% of the attributed respiratory admissions and deaths in hospital. Healthy children under five had the highest influenza admission rate (1.9/1000). The presence of co-morbidities increased the admission rate by 5.7 fold for 5</w:instrText>
      </w:r>
      <w:r w:rsidR="00B519AB">
        <w:rPr>
          <w:rFonts w:ascii="Calibri" w:hAnsi="Calibri" w:cs="Calibri"/>
          <w:sz w:val="22"/>
          <w:szCs w:val="22"/>
        </w:rPr>
        <w:instrText>–</w:instrText>
      </w:r>
      <w:r w:rsidR="00B519AB">
        <w:rPr>
          <w:rFonts w:cs="Arial"/>
          <w:sz w:val="22"/>
          <w:szCs w:val="22"/>
        </w:rPr>
        <w:instrText xml:space="preserve">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id":4284,"uris":["http://zotero.org/groups/1793288/items/HUC6JK93"],"uri":["http://zotero.org/groups/1793288/items/HUC6JK93"],"itemData":{"id":4284,"type":"article-journal","title":"How Accurate Are International Classification of Diseases-10 Diagnosis Codes in Detecting Influenza and Pertussis Hospitalizations in Children?","container-title":"Journal of the Pediatric Infectious Diseases Society","page":"255-260","volume":"3","issue":"3","source":"jpids.oxfordjournals.org","abstract":"Influenza and pertussis are major causes of pediatric morbidity. We measured the accuracy of their International Classification of Diseases (ICD-10-AM) diagnosis codes using linked population-based laboratory and hospital data in 245,249 children. Influenza diagnosis codes had high specificity (98.6%) and modest positive predictive value (PPV; 84.1%) and sensitivity (86.1%, 95% CI: 83.4%–88.6%) for a laboratory-confirmed episode. For pertussis diagnosis codes, PPV (86.8%) and specificity (98.9%) were high, but sensitivity was poor (27.8%, 95% CI: 23.5%–32.4%). Measures varied according to age, remoteness, Aboriginality, severity, and detection method. Both laboratory and hospitalization data are needed to accurately determine the burden of pediatric influenza and pertussis.","DOI":"10.1093/jpids/pit036","ISSN":"2048-7193, 2048-7207","note":"PMID: 26625389","journalAbbreviation":"J Ped Infect Dis","language":"en","author":[{"family":"Moore","given":"Hannah C."},{"family":"Lehmann","given":"Deborah"},{"family":"Klerk","given":"Nicholas","dropping-particle":"de"},{"family":"Smith","given":"David W."},{"family":"Richmond","given":"Peter C."},{"family":"Keil","given":"Anthony D."},{"family":"Blyth","given":"Christopher C."}],"issued":{"date-parts":[["2014",9,1]]}}},{"id":4285,"uris":["http://zotero.org/groups/1793288/items/7SZ5ITDM"],"uri":["http://zotero.org/groups/1793288/items/7SZ5ITDM"],"itemData":{"id":4285,"type":"article-journal","title":"Syndromic surveillance for influenza in two hospital emergency departments. Relationships between ICD-10 codes and notified cases, before and during a pandemic","container-title":"BMC Public Health","page":"338","volume":"11","source":"BioMed Central","abstract":"Interest in the use of emergency department (ED) data by syndromic surveillance systems to detect influenza outbreaks has been growing. Evaluations of these systems generally focus on events during influenza seasons. The aims of this study were to identify which emergency department disease codes best correlated with confirmed influenza cases and to determine if these same codes would be useful in the non-influenza season. The 2009 influenza pandemic in Victoria, Australia, provided further opportunity to examine the performance of the syndromic surveillance system during this event.","DOI":"10.1186/1471-2458-11-338","ISSN":"1471-2458","journalAbbreviation":"BMC Public Health","author":[{"family":"Moore","given":"Karen"},{"family":"Black","given":"James"},{"family":"Rowe","given":"Stacey"},{"family":"Franklin","given":"Lucinda"}],"issued":{"date-parts":[["2011"]]}}}],"schema":"https://github.com/citation-style-language/schema/raw/master/csl-citation.json"} </w:instrText>
      </w:r>
      <w:r w:rsidR="00DC2303" w:rsidRPr="002B3886">
        <w:rPr>
          <w:rFonts w:cs="Arial"/>
          <w:sz w:val="22"/>
          <w:szCs w:val="22"/>
        </w:rPr>
        <w:fldChar w:fldCharType="separate"/>
      </w:r>
      <w:r w:rsidR="00B519AB" w:rsidRPr="003563BA">
        <w:rPr>
          <w:rFonts w:ascii="Calibri" w:hAnsi="Calibri" w:cs="Calibri"/>
          <w:sz w:val="22"/>
        </w:rPr>
        <w:t>[2,24,25]</w:t>
      </w:r>
      <w:r w:rsidR="00DC2303" w:rsidRPr="002B3886">
        <w:rPr>
          <w:rFonts w:cs="Arial"/>
          <w:sz w:val="22"/>
          <w:szCs w:val="22"/>
        </w:rPr>
        <w:fldChar w:fldCharType="end"/>
      </w:r>
      <w:r w:rsidRPr="002B3886">
        <w:rPr>
          <w:rFonts w:cs="Arial"/>
          <w:sz w:val="22"/>
          <w:szCs w:val="22"/>
        </w:rPr>
        <w:fldChar w:fldCharType="begin">
          <w:fldData xml:space="preserve">PEVuZE5vdGU+PENpdGU+PEF1dGhvcj5Dcm9tZXI8L0F1dGhvcj48WWVhcj4yMDE0PC9ZZWFyPjxS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</w:fldData>
        </w:fldChar>
      </w:r>
      <w:r w:rsidRPr="002B3886">
        <w:rPr>
          <w:rFonts w:cs="Arial"/>
          <w:sz w:val="22"/>
          <w:szCs w:val="22"/>
        </w:rPr>
        <w:instrText xml:space="preserve"> ADDIN EN.CITE </w:instrText>
      </w:r>
      <w:r w:rsidRPr="002B3886">
        <w:rPr>
          <w:rFonts w:cs="Arial"/>
          <w:sz w:val="22"/>
          <w:szCs w:val="22"/>
        </w:rPr>
        <w:fldChar w:fldCharType="begin">
          <w:fldData xml:space="preserve">PEVuZE5vdGU+PENpdGU+PEF1dGhvcj5Dcm9tZXI8L0F1dGhvcj48WWVhcj4yMDE0PC9ZZWFyPjxS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</w:fldData>
        </w:fldChar>
      </w:r>
      <w:r w:rsidRPr="002B3886">
        <w:rPr>
          <w:rFonts w:cs="Arial"/>
          <w:sz w:val="22"/>
          <w:szCs w:val="22"/>
        </w:rPr>
        <w:instrText xml:space="preserve"> ADDIN EN.CITE.DATA </w:instrText>
      </w:r>
      <w:r w:rsidRPr="002B3886">
        <w:rPr>
          <w:rFonts w:cs="Arial"/>
          <w:sz w:val="22"/>
          <w:szCs w:val="22"/>
        </w:rPr>
      </w:r>
      <w:r w:rsidRPr="002B3886">
        <w:rPr>
          <w:rFonts w:cs="Arial"/>
          <w:sz w:val="22"/>
          <w:szCs w:val="22"/>
        </w:rPr>
        <w:fldChar w:fldCharType="end"/>
      </w:r>
      <w:r w:rsidRPr="002B3886">
        <w:rPr>
          <w:rFonts w:cs="Arial"/>
          <w:sz w:val="22"/>
          <w:szCs w:val="22"/>
        </w:rPr>
      </w:r>
      <w:r w:rsidRPr="002B3886">
        <w:rPr>
          <w:rFonts w:cs="Arial"/>
          <w:sz w:val="22"/>
          <w:szCs w:val="22"/>
        </w:rPr>
        <w:fldChar w:fldCharType="end"/>
      </w:r>
    </w:p>
    <w:p w14:paraId="46EC69F7" w14:textId="1BDD4035" w:rsidR="0061069B" w:rsidRPr="002B3886" w:rsidRDefault="002C4C40" w:rsidP="002B3886">
      <w:pPr>
        <w:pStyle w:val="ListParagraph"/>
        <w:widowControl w:val="0"/>
        <w:numPr>
          <w:ilvl w:val="1"/>
          <w:numId w:val="1"/>
        </w:numPr>
        <w:autoSpaceDE w:val="0"/>
        <w:autoSpaceDN w:val="0"/>
        <w:adjustRightInd w:val="0"/>
        <w:spacing w:line="480" w:lineRule="auto"/>
        <w:rPr>
          <w:rFonts w:cs="Arial"/>
          <w:sz w:val="22"/>
          <w:szCs w:val="22"/>
          <w:u w:val="single"/>
        </w:rPr>
      </w:pPr>
      <w:r>
        <w:rPr>
          <w:rFonts w:cs="Arial"/>
          <w:sz w:val="22"/>
          <w:szCs w:val="22"/>
        </w:rPr>
        <w:t>I</w:t>
      </w:r>
      <w:r w:rsidR="0061069B" w:rsidRPr="002B3886">
        <w:rPr>
          <w:rFonts w:cs="Arial"/>
          <w:sz w:val="22"/>
          <w:szCs w:val="22"/>
        </w:rPr>
        <w:t xml:space="preserve">dentification of ICD-10 </w:t>
      </w:r>
      <w:r w:rsidR="004424EB">
        <w:rPr>
          <w:rFonts w:cs="Arial"/>
          <w:sz w:val="22"/>
          <w:szCs w:val="22"/>
        </w:rPr>
        <w:t xml:space="preserve">codes </w:t>
      </w:r>
      <w:r w:rsidR="0061069B" w:rsidRPr="002B3886">
        <w:rPr>
          <w:rFonts w:cs="Arial"/>
          <w:sz w:val="22"/>
          <w:szCs w:val="22"/>
        </w:rPr>
        <w:t>used</w:t>
      </w:r>
      <w:r w:rsidR="00D82DF6">
        <w:rPr>
          <w:rFonts w:cs="Arial"/>
          <w:sz w:val="22"/>
          <w:szCs w:val="22"/>
        </w:rPr>
        <w:t xml:space="preserve"> by the NHS trusts</w:t>
      </w:r>
      <w:r w:rsidR="0061069B" w:rsidRPr="002B3886">
        <w:rPr>
          <w:rFonts w:cs="Arial"/>
          <w:sz w:val="22"/>
          <w:szCs w:val="22"/>
        </w:rPr>
        <w:t xml:space="preserve"> as a primary diagnostic of respiratory diseases dur</w:t>
      </w:r>
      <w:r>
        <w:rPr>
          <w:rFonts w:cs="Arial"/>
          <w:sz w:val="22"/>
          <w:szCs w:val="22"/>
        </w:rPr>
        <w:t>ing the peak influenza season</w:t>
      </w:r>
      <w:r w:rsidR="004424EB">
        <w:rPr>
          <w:rFonts w:cs="Arial"/>
          <w:sz w:val="22"/>
          <w:szCs w:val="22"/>
        </w:rPr>
        <w:t xml:space="preserve"> (December to March)</w:t>
      </w:r>
      <w:r>
        <w:rPr>
          <w:rFonts w:cs="Arial"/>
          <w:sz w:val="22"/>
          <w:szCs w:val="22"/>
        </w:rPr>
        <w:t>.</w:t>
      </w:r>
      <w:r w:rsidR="00126040">
        <w:rPr>
          <w:rFonts w:cs="Arial"/>
          <w:sz w:val="22"/>
          <w:szCs w:val="22"/>
        </w:rPr>
        <w:t xml:space="preserve"> W</w:t>
      </w:r>
      <w:r w:rsidR="004424EB">
        <w:rPr>
          <w:rFonts w:cs="Arial"/>
          <w:sz w:val="22"/>
          <w:szCs w:val="22"/>
        </w:rPr>
        <w:t xml:space="preserve">e </w:t>
      </w:r>
      <w:r w:rsidR="0095705C">
        <w:rPr>
          <w:rFonts w:cs="Arial"/>
          <w:sz w:val="22"/>
          <w:szCs w:val="22"/>
        </w:rPr>
        <w:t xml:space="preserve">calculated means of daily usage during the peak influenza compared to the rest of year </w:t>
      </w:r>
      <w:r w:rsidR="0095705C">
        <w:rPr>
          <w:rFonts w:cs="Arial"/>
          <w:sz w:val="22"/>
          <w:szCs w:val="22"/>
        </w:rPr>
        <w:lastRenderedPageBreak/>
        <w:t xml:space="preserve">and </w:t>
      </w:r>
      <w:r w:rsidR="004424EB">
        <w:rPr>
          <w:rFonts w:cs="Arial"/>
          <w:sz w:val="22"/>
          <w:szCs w:val="22"/>
        </w:rPr>
        <w:t xml:space="preserve">excluded codes which had </w:t>
      </w:r>
      <w:r w:rsidR="00176A84">
        <w:rPr>
          <w:rFonts w:cs="Arial"/>
          <w:sz w:val="22"/>
          <w:szCs w:val="22"/>
        </w:rPr>
        <w:t xml:space="preserve">a </w:t>
      </w:r>
      <w:r w:rsidR="004424EB">
        <w:rPr>
          <w:rFonts w:cs="Arial"/>
          <w:sz w:val="22"/>
          <w:szCs w:val="22"/>
        </w:rPr>
        <w:t xml:space="preserve">daily usage ratio of </w:t>
      </w:r>
      <w:r w:rsidR="00176A84">
        <w:rPr>
          <w:rFonts w:cs="Arial"/>
          <w:sz w:val="22"/>
          <w:szCs w:val="22"/>
        </w:rPr>
        <w:t xml:space="preserve">less than </w:t>
      </w:r>
      <w:r w:rsidR="001D79E0">
        <w:rPr>
          <w:rFonts w:cs="Arial"/>
          <w:sz w:val="22"/>
          <w:szCs w:val="22"/>
        </w:rPr>
        <w:t>three</w:t>
      </w:r>
      <w:r w:rsidR="004424EB">
        <w:rPr>
          <w:rFonts w:cs="Arial"/>
          <w:sz w:val="22"/>
          <w:szCs w:val="22"/>
        </w:rPr>
        <w:t xml:space="preserve"> during the peak influenza season compared to </w:t>
      </w:r>
      <w:r w:rsidR="001D79E0">
        <w:rPr>
          <w:rFonts w:cs="Arial"/>
          <w:sz w:val="22"/>
          <w:szCs w:val="22"/>
        </w:rPr>
        <w:t>the rest of the year</w:t>
      </w:r>
      <w:r w:rsidR="000D6C59">
        <w:rPr>
          <w:rFonts w:cs="Arial"/>
          <w:sz w:val="22"/>
          <w:szCs w:val="22"/>
        </w:rPr>
        <w:t xml:space="preserve"> </w:t>
      </w:r>
      <w:r w:rsidR="00323154">
        <w:rPr>
          <w:rFonts w:cs="Arial"/>
          <w:sz w:val="22"/>
          <w:szCs w:val="22"/>
        </w:rPr>
        <w:fldChar w:fldCharType="begin"/>
      </w:r>
      <w:r w:rsidR="00B519AB">
        <w:rPr>
          <w:rFonts w:cs="Arial"/>
          <w:sz w:val="22"/>
          <w:szCs w:val="22"/>
        </w:rPr>
        <w:instrText xml:space="preserve"> ADDIN ZOTERO_ITEM CSL_CITATION {"citationID":"a2crinf314e","properties":{"formattedCitation":"[26]","plainCitation":"[26]","noteIndex":0},"citationItems":[{"id":4608,"uris":["http://zotero.org/groups/1793288/items/RPZDBIE6"],"uri":["http://zotero.org/groups/1793288/items/RPZDBIE6"],"itemData":{"id":4608,"type":"article-journal","title":"Establishing an ICD-10 code based SARI-surveillance in Germany - description of the system and first results from five recent influenza seasons","container-title":"BMC public health","page":"612","volume":"17","issue":"1","source":"PubMed","abstract":"BACKGROUND: Syndromic surveillance of severe acute respiratory infections (SARI) is important to assess seriousness of disease as recommended by WHO for influenza. In 2015 the Robert Koch Institute (RKI) started to collaborate with a private hospital network to develop a SARI surveillance system using case-based data on ICD-10 codes. This first-time description of the system shows its application to the analysis of five influenza seasons.\nMETHODS: Since week 40/2015, weekly updated anonymized data on discharged patients overall and on patients with respiratory illness including ICD-10 codes of primary and secondary diagnoses are transferred from the network data center to RKI. Retrospective datasets were also provided. Our descriptive analysis is based on data of 47 sentinel hospitals collected between weeks 1/2012 to 20/2016. We applied three different SARI case definitions (CD) based on ICD-10 codes for discharge diagnoses of respiratory tract infections (J09 - J22): basic CD (BCD), using only primary diagnoses; sensitive CD (SCD), using primary and secondary diagnoses; timely CD (TCD), using only primary diagnoses of patients hospitalized up to one week. We compared the CD with regard to severity, age distribution and timeliness and with results from the national primary care sentinel system.\nRESULTS: The 47 sentinel hospitals covered 3.6% of patients discharged from all German hospitals in 2013. The SCD comprised 2.2 times patients as the BCD, and 3.6 times as many as the TCD. Time course of SARI cases corresponded well to results from primary care surveillance and influenza virus circulation. The patients fulfilling the TCD had been completely reported after 3 weeks, which was fastest among the CD. The proportion of SARI cases among patients was highest in the youngest age group of below 5-year-olds. However, the age group 60 years and above contributed most SARI cases. This was irrespective of the CD used.\nCONCLUSIONS: In general, available data and the implemented reporting system are appropriate to provide timely and reliable information on SARI in inpatients in Germany. Our ICD-10-based approach proved to be useful for fulfilling requirements for SARI surveillance. The exploratory approach gave valuable insights in data structure and emphasized the advantages of different CD.","DOI":"10.1186/s12889-017-4515-1","ISSN":"1471-2458","note":"PMID: 28666433\nPMCID: PMC5493063","journalAbbreviation":"BMC Public Health","language":"eng","author":[{"family":"Buda","given":"S."},{"family":"Tolksdorf","given":"K."},{"family":"Schuler","given":"E."},{"family":"Kuhlen","given":"R."},{"family":"Haas","given":"W."}],"issued":{"date-parts":[["2017"]],"season":"30"}}}],"schema":"https://github.com/citation-style-language/schema/raw/master/csl-citation.json"} </w:instrText>
      </w:r>
      <w:r w:rsidR="00323154">
        <w:rPr>
          <w:rFonts w:cs="Arial"/>
          <w:sz w:val="22"/>
          <w:szCs w:val="22"/>
        </w:rPr>
        <w:fldChar w:fldCharType="separate"/>
      </w:r>
      <w:r w:rsidR="00B519AB" w:rsidRPr="003563BA">
        <w:rPr>
          <w:rFonts w:ascii="Calibri" w:hAnsi="Calibri" w:cs="Calibri"/>
          <w:sz w:val="22"/>
        </w:rPr>
        <w:t>[26]</w:t>
      </w:r>
      <w:r w:rsidR="00323154">
        <w:rPr>
          <w:rFonts w:cs="Arial"/>
          <w:sz w:val="22"/>
          <w:szCs w:val="22"/>
        </w:rPr>
        <w:fldChar w:fldCharType="end"/>
      </w:r>
      <w:r w:rsidR="001D79E0">
        <w:rPr>
          <w:rFonts w:cs="Arial"/>
          <w:sz w:val="22"/>
          <w:szCs w:val="22"/>
        </w:rPr>
        <w:t>.</w:t>
      </w:r>
    </w:p>
    <w:p w14:paraId="1A93C042" w14:textId="4AC84FD1" w:rsidR="00BB1566" w:rsidRPr="00A84983" w:rsidRDefault="002C4C40" w:rsidP="004D38B4">
      <w:pPr>
        <w:pStyle w:val="ListParagraph"/>
        <w:widowControl w:val="0"/>
        <w:numPr>
          <w:ilvl w:val="1"/>
          <w:numId w:val="1"/>
        </w:numPr>
        <w:autoSpaceDE w:val="0"/>
        <w:autoSpaceDN w:val="0"/>
        <w:adjustRightInd w:val="0"/>
        <w:spacing w:line="480" w:lineRule="auto"/>
        <w:rPr>
          <w:rFonts w:cs="Arial"/>
          <w:sz w:val="22"/>
          <w:szCs w:val="22"/>
          <w:u w:val="single"/>
        </w:rPr>
      </w:pPr>
      <w:r>
        <w:rPr>
          <w:rFonts w:cs="Arial"/>
          <w:sz w:val="22"/>
          <w:szCs w:val="22"/>
        </w:rPr>
        <w:t>E</w:t>
      </w:r>
      <w:r w:rsidR="0061069B" w:rsidRPr="002B3886">
        <w:rPr>
          <w:rFonts w:cs="Arial"/>
          <w:sz w:val="22"/>
          <w:szCs w:val="22"/>
        </w:rPr>
        <w:t>xcluding</w:t>
      </w:r>
      <w:r w:rsidR="00A84983">
        <w:rPr>
          <w:rFonts w:cs="Arial"/>
          <w:sz w:val="22"/>
          <w:szCs w:val="22"/>
        </w:rPr>
        <w:t xml:space="preserve"> specific</w:t>
      </w:r>
      <w:r w:rsidR="0061069B" w:rsidRPr="002B3886">
        <w:rPr>
          <w:rFonts w:cs="Arial"/>
          <w:sz w:val="22"/>
          <w:szCs w:val="22"/>
        </w:rPr>
        <w:t xml:space="preserve"> ICD-10</w:t>
      </w:r>
      <w:r w:rsidR="00126040">
        <w:rPr>
          <w:rFonts w:cs="Arial"/>
          <w:sz w:val="22"/>
          <w:szCs w:val="22"/>
        </w:rPr>
        <w:t xml:space="preserve"> codes</w:t>
      </w:r>
      <w:r w:rsidR="00BB1566">
        <w:rPr>
          <w:rFonts w:cs="Arial"/>
          <w:sz w:val="22"/>
          <w:szCs w:val="22"/>
        </w:rPr>
        <w:t xml:space="preserve"> which were identifying non-influenza related illness</w:t>
      </w:r>
      <w:r w:rsidR="00A84983">
        <w:rPr>
          <w:rFonts w:cs="Arial"/>
          <w:sz w:val="22"/>
          <w:szCs w:val="22"/>
        </w:rPr>
        <w:t>, such as, for example, J211-RSV pneumonia, J123-Human Metapneumovirus pneumonia and J301-Allergic rhinitis due to pollen.</w:t>
      </w:r>
    </w:p>
    <w:p w14:paraId="76AA1274" w14:textId="6AA0B2E7" w:rsidR="0061069B" w:rsidRPr="00DB4EEC" w:rsidRDefault="00BB1566" w:rsidP="009F149C">
      <w:pPr>
        <w:pStyle w:val="ListParagraph"/>
        <w:widowControl w:val="0"/>
        <w:numPr>
          <w:ilvl w:val="1"/>
          <w:numId w:val="1"/>
        </w:numPr>
        <w:autoSpaceDE w:val="0"/>
        <w:autoSpaceDN w:val="0"/>
        <w:adjustRightInd w:val="0"/>
        <w:spacing w:line="480" w:lineRule="auto"/>
        <w:rPr>
          <w:rFonts w:cs="Arial"/>
          <w:sz w:val="22"/>
          <w:szCs w:val="22"/>
          <w:u w:val="single"/>
        </w:rPr>
      </w:pPr>
      <w:r>
        <w:rPr>
          <w:rFonts w:cs="Arial"/>
          <w:sz w:val="22"/>
          <w:szCs w:val="22"/>
        </w:rPr>
        <w:t>E</w:t>
      </w:r>
      <w:r w:rsidRPr="002B3886">
        <w:rPr>
          <w:rFonts w:cs="Arial"/>
          <w:sz w:val="22"/>
          <w:szCs w:val="22"/>
        </w:rPr>
        <w:t>xcluding ICD-10</w:t>
      </w:r>
      <w:r>
        <w:rPr>
          <w:rFonts w:cs="Arial"/>
          <w:sz w:val="22"/>
          <w:szCs w:val="22"/>
        </w:rPr>
        <w:t xml:space="preserve"> codes </w:t>
      </w:r>
      <w:r w:rsidR="00126040">
        <w:rPr>
          <w:rFonts w:cs="Arial"/>
          <w:sz w:val="22"/>
          <w:szCs w:val="22"/>
        </w:rPr>
        <w:t>(J218 and J219)</w:t>
      </w:r>
      <w:r w:rsidR="0061069B" w:rsidRPr="002B3886">
        <w:rPr>
          <w:rFonts w:cs="Arial"/>
          <w:sz w:val="22"/>
          <w:szCs w:val="22"/>
        </w:rPr>
        <w:t xml:space="preserve"> commonly used for Respiratory Syncytial Virus (RSV)</w:t>
      </w:r>
      <w:r w:rsidR="001D79E0">
        <w:rPr>
          <w:rFonts w:cs="Arial"/>
          <w:sz w:val="22"/>
          <w:szCs w:val="22"/>
        </w:rPr>
        <w:t>. We identified these codes through a prior study at a major acute care hospital in Merseyside by c</w:t>
      </w:r>
      <w:r w:rsidR="00126040">
        <w:rPr>
          <w:rFonts w:cs="Arial"/>
          <w:sz w:val="22"/>
          <w:szCs w:val="22"/>
        </w:rPr>
        <w:t>ross-checking</w:t>
      </w:r>
      <w:r w:rsidR="001D79E0">
        <w:rPr>
          <w:rFonts w:cs="Arial"/>
          <w:sz w:val="22"/>
          <w:szCs w:val="22"/>
        </w:rPr>
        <w:t xml:space="preserve"> patients with l</w:t>
      </w:r>
      <w:r w:rsidR="00126040">
        <w:rPr>
          <w:rFonts w:cs="Arial"/>
          <w:sz w:val="22"/>
          <w:szCs w:val="22"/>
        </w:rPr>
        <w:t xml:space="preserve">aboratory confirmed RSV </w:t>
      </w:r>
      <w:r w:rsidR="001D79E0">
        <w:rPr>
          <w:rFonts w:cs="Arial"/>
          <w:sz w:val="22"/>
          <w:szCs w:val="22"/>
        </w:rPr>
        <w:t>with their ICD</w:t>
      </w:r>
      <w:r w:rsidR="00483F92">
        <w:rPr>
          <w:rFonts w:cs="Arial"/>
          <w:sz w:val="22"/>
          <w:szCs w:val="22"/>
        </w:rPr>
        <w:t>-</w:t>
      </w:r>
      <w:r w:rsidR="001D79E0">
        <w:rPr>
          <w:rFonts w:cs="Arial"/>
          <w:sz w:val="22"/>
          <w:szCs w:val="22"/>
        </w:rPr>
        <w:t>10 primary diagnosis code on discharge (</w:t>
      </w:r>
      <w:r w:rsidR="009F149C">
        <w:rPr>
          <w:rFonts w:cs="Arial"/>
          <w:sz w:val="22"/>
          <w:szCs w:val="22"/>
        </w:rPr>
        <w:t>Heinsbroek E,</w:t>
      </w:r>
      <w:r w:rsidR="009F149C" w:rsidRPr="009F149C">
        <w:t xml:space="preserve"> </w:t>
      </w:r>
      <w:r w:rsidR="009F149C" w:rsidRPr="009F149C">
        <w:rPr>
          <w:rFonts w:cs="Arial"/>
          <w:sz w:val="22"/>
          <w:szCs w:val="22"/>
        </w:rPr>
        <w:t>The impact of rotavirus vaccination on hospital pressures in a large paediatric hospital in the United Kingdom</w:t>
      </w:r>
      <w:r w:rsidR="000F6FB0">
        <w:rPr>
          <w:rFonts w:cs="Arial"/>
          <w:sz w:val="22"/>
          <w:szCs w:val="22"/>
        </w:rPr>
        <w:t>,</w:t>
      </w:r>
      <w:r w:rsidR="000F6FB0" w:rsidRPr="000F6FB0">
        <w:rPr>
          <w:rFonts w:ascii="Calibri" w:hAnsi="Calibri" w:cs="Calibri"/>
        </w:rPr>
        <w:t xml:space="preserve"> </w:t>
      </w:r>
      <w:r w:rsidR="000F6FB0" w:rsidRPr="00C22725">
        <w:rPr>
          <w:rFonts w:ascii="Calibri" w:hAnsi="Calibri" w:cs="Calibri"/>
        </w:rPr>
        <w:t>ClinicalTrials.gov NCT03271593</w:t>
      </w:r>
      <w:r w:rsidR="001D79E0">
        <w:rPr>
          <w:rFonts w:cs="Arial"/>
          <w:sz w:val="22"/>
          <w:szCs w:val="22"/>
        </w:rPr>
        <w:t>)</w:t>
      </w:r>
      <w:r w:rsidR="0061069B" w:rsidRPr="002B3886">
        <w:rPr>
          <w:rFonts w:cs="Arial"/>
          <w:sz w:val="22"/>
          <w:szCs w:val="22"/>
        </w:rPr>
        <w:t xml:space="preserve">. </w:t>
      </w:r>
    </w:p>
    <w:p w14:paraId="56AE6641" w14:textId="5F939353" w:rsidR="0095705C" w:rsidRPr="002B3886" w:rsidRDefault="0095705C" w:rsidP="0095705C">
      <w:pPr>
        <w:pStyle w:val="ListParagraph"/>
        <w:widowControl w:val="0"/>
        <w:autoSpaceDE w:val="0"/>
        <w:autoSpaceDN w:val="0"/>
        <w:adjustRightInd w:val="0"/>
        <w:spacing w:line="480" w:lineRule="auto"/>
        <w:ind w:left="1080"/>
        <w:rPr>
          <w:rFonts w:cs="Arial"/>
          <w:sz w:val="22"/>
          <w:szCs w:val="22"/>
          <w:u w:val="single"/>
        </w:rPr>
      </w:pPr>
    </w:p>
    <w:p w14:paraId="7592D14A" w14:textId="689A8063" w:rsidR="0061069B" w:rsidRPr="0061069B" w:rsidRDefault="0061069B" w:rsidP="002B3886">
      <w:pPr>
        <w:widowControl w:val="0"/>
        <w:autoSpaceDE w:val="0"/>
        <w:autoSpaceDN w:val="0"/>
        <w:adjustRightInd w:val="0"/>
        <w:spacing w:line="480" w:lineRule="auto"/>
        <w:rPr>
          <w:rFonts w:cs="Arial"/>
        </w:rPr>
      </w:pPr>
      <w:r w:rsidRPr="002B3886">
        <w:rPr>
          <w:rFonts w:cs="Arial"/>
        </w:rPr>
        <w:t>Final s</w:t>
      </w:r>
      <w:r w:rsidR="00797C1F">
        <w:rPr>
          <w:rFonts w:cs="Arial"/>
        </w:rPr>
        <w:t>elected ICD-10 codes for IAI were</w:t>
      </w:r>
      <w:r w:rsidRPr="002B3886">
        <w:rPr>
          <w:rFonts w:cs="Arial"/>
        </w:rPr>
        <w:t xml:space="preserve"> as follows: J06.9 (unspecified acute upper respiratory tract infection), J09 (influenza due to certain</w:t>
      </w:r>
      <w:r w:rsidRPr="0061069B">
        <w:rPr>
          <w:rFonts w:cs="Arial"/>
        </w:rPr>
        <w:t xml:space="preserve"> identified influenza virus), J10 (Influenza due to other identified influenza virus), J11 (Influenza, virus not identified), J12.8 (Other viral pneumonia), J12.9 (Viral pneumonia, unspecified), J22 (unspecified acute lower</w:t>
      </w:r>
      <w:r w:rsidR="002B3886">
        <w:rPr>
          <w:rFonts w:cs="Arial"/>
        </w:rPr>
        <w:t xml:space="preserve"> respiratory tract infection). </w:t>
      </w:r>
      <w:r w:rsidRPr="0061069B">
        <w:rPr>
          <w:rFonts w:cs="Arial"/>
        </w:rPr>
        <w:t>ICD</w:t>
      </w:r>
      <w:r w:rsidR="000E7107">
        <w:rPr>
          <w:rFonts w:cs="Arial"/>
        </w:rPr>
        <w:t>-</w:t>
      </w:r>
      <w:r w:rsidRPr="0061069B">
        <w:rPr>
          <w:rFonts w:cs="Arial"/>
        </w:rPr>
        <w:t xml:space="preserve">10 codes used to identify comorbidities are listed in </w:t>
      </w:r>
      <w:r w:rsidR="002B3886">
        <w:rPr>
          <w:rFonts w:cs="Arial"/>
        </w:rPr>
        <w:t>supplementary</w:t>
      </w:r>
      <w:r w:rsidR="00B764AF">
        <w:rPr>
          <w:rFonts w:cs="Arial"/>
        </w:rPr>
        <w:t xml:space="preserve"> S1-Table 1</w:t>
      </w:r>
      <w:r w:rsidR="00CE0113">
        <w:rPr>
          <w:rFonts w:cs="Arial"/>
        </w:rPr>
        <w:t xml:space="preserve"> </w:t>
      </w:r>
      <w:r w:rsidR="002B3886">
        <w:rPr>
          <w:rFonts w:cs="Arial"/>
        </w:rPr>
        <w:t>and were identified using the PHE Flu Plan 20</w:t>
      </w:r>
      <w:r w:rsidR="00244E25">
        <w:rPr>
          <w:rFonts w:cs="Arial"/>
        </w:rPr>
        <w:t>1</w:t>
      </w:r>
      <w:r w:rsidR="002B3886">
        <w:rPr>
          <w:rFonts w:cs="Arial"/>
        </w:rPr>
        <w:t>6/17 and</w:t>
      </w:r>
      <w:r w:rsidRPr="0061069B">
        <w:rPr>
          <w:rFonts w:cs="Arial"/>
        </w:rPr>
        <w:t xml:space="preserve"> Cromer </w:t>
      </w:r>
      <w:r w:rsidRPr="0061069B">
        <w:rPr>
          <w:rFonts w:cs="Arial"/>
          <w:i/>
        </w:rPr>
        <w:t xml:space="preserve">et al. </w:t>
      </w:r>
      <w:r w:rsidRPr="0061069B">
        <w:rPr>
          <w:rFonts w:cs="Arial"/>
        </w:rPr>
        <w:t xml:space="preserve">2014 </w:t>
      </w:r>
      <w:r w:rsidR="00DC2303">
        <w:rPr>
          <w:rFonts w:cs="Arial"/>
        </w:rPr>
        <w:fldChar w:fldCharType="begin"/>
      </w:r>
      <w:r w:rsidR="00B519AB">
        <w:rPr>
          <w:rFonts w:cs="Arial"/>
        </w:rPr>
        <w:instrText xml:space="preserve"> ADDIN ZOTERO_ITEM CSL_CITATION {"citationID":"6hK4LzfC","properties":{"formattedCitation":"[2,27]","plainCitation":"[2,27]","noteIndex":0},"citationItems":[{"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B519AB">
        <w:rPr>
          <w:rFonts w:ascii="Cambria Math" w:hAnsi="Cambria Math" w:cs="Cambria Math"/>
        </w:rPr>
        <w:instrText>∼</w:instrText>
      </w:r>
      <w:r w:rsidR="00B519AB">
        <w:rPr>
          <w:rFonts w:cs="Arial"/>
        </w:rPr>
        <w:instrText xml:space="preserve">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id":4238,"uris":["http://zotero.org/groups/1793288/items/T4DIHC5U"],"uri":["http://zotero.org/groups/1793288/items/T4DIHC5U"],"itemData":{"id":4238,"type":"report","title":"Flu plan: winter 2016 to 2017","publisher":"Public Health England","publisher-place":"London, England","event-place":"London, England","abstract":"The flu plan sets out a coordinated and evidence-based approach to planning for, and responding to, the demands of influenza across England.","URL":"https://www.gov.uk/government/publications/flu-plan-winter-2016-to-2017","shortTitle":"Flu plan","author":[{"family":"Public Health England","given":""}],"issued":{"date-parts":[["2017",5,26]]},"accessed":{"date-parts":[["2017",10,4]]}}}],"schema":"https://github.com/citation-style-language/schema/raw/master/csl-citation.json"} </w:instrText>
      </w:r>
      <w:r w:rsidR="00DC2303">
        <w:rPr>
          <w:rFonts w:cs="Arial"/>
        </w:rPr>
        <w:fldChar w:fldCharType="separate"/>
      </w:r>
      <w:r w:rsidR="00B519AB" w:rsidRPr="003563BA">
        <w:rPr>
          <w:rFonts w:ascii="Calibri" w:hAnsi="Calibri" w:cs="Calibri"/>
        </w:rPr>
        <w:t>[2,27]</w:t>
      </w:r>
      <w:r w:rsidR="00DC2303">
        <w:rPr>
          <w:rFonts w:cs="Arial"/>
        </w:rPr>
        <w:fldChar w:fldCharType="end"/>
      </w:r>
      <w:r w:rsidRPr="0061069B">
        <w:rPr>
          <w:rFonts w:cs="Arial"/>
        </w:rPr>
        <w:fldChar w:fldCharType="begin">
          <w:fldData xml:space="preserve">PEVuZE5vdGU+PENpdGU+PEF1dGhvcj5Dcm9tZXI8L0F1dGhvcj48WWVhcj4yMDE0PC9ZZWFyPjxS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b29sPC9rZXl3b3JkPjxrZXl3b3JkPkVuZ2xhbmQvZXBpZGVtaW9sb2d5PC9rZXl3b3JkPjxrZXl3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</w:fldData>
        </w:fldChar>
      </w:r>
      <w:r w:rsidRPr="0061069B">
        <w:rPr>
          <w:rFonts w:cs="Arial"/>
        </w:rPr>
        <w:instrText xml:space="preserve"> ADDIN EN.CITE </w:instrText>
      </w:r>
      <w:r w:rsidRPr="0061069B">
        <w:rPr>
          <w:rFonts w:cs="Arial"/>
        </w:rPr>
        <w:fldChar w:fldCharType="begin">
          <w:fldData xml:space="preserve">PEVuZE5vdGU+PENpdGU+PEF1dGhvcj5Dcm9tZXI8L0F1dGhvcj48WWVhcj4yMDE0PC9ZZWFyPjxS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</w:fldData>
        </w:fldChar>
      </w:r>
      <w:r w:rsidRPr="0061069B">
        <w:rPr>
          <w:rFonts w:cs="Arial"/>
        </w:rPr>
        <w:instrText xml:space="preserve"> ADDIN EN.CITE.DATA </w:instrText>
      </w:r>
      <w:r w:rsidRPr="0061069B">
        <w:rPr>
          <w:rFonts w:cs="Arial"/>
        </w:rPr>
      </w:r>
      <w:r w:rsidRPr="0061069B">
        <w:rPr>
          <w:rFonts w:cs="Arial"/>
        </w:rPr>
        <w:fldChar w:fldCharType="end"/>
      </w:r>
      <w:r w:rsidRPr="0061069B">
        <w:rPr>
          <w:rFonts w:cs="Arial"/>
        </w:rPr>
      </w:r>
      <w:r w:rsidRPr="0061069B">
        <w:rPr>
          <w:rFonts w:cs="Arial"/>
        </w:rPr>
        <w:fldChar w:fldCharType="end"/>
      </w:r>
      <w:r w:rsidRPr="0061069B">
        <w:rPr>
          <w:rFonts w:cs="Arial"/>
        </w:rPr>
        <w:t>.</w:t>
      </w:r>
      <w:r w:rsidR="00C10EAA">
        <w:rPr>
          <w:rFonts w:cs="Arial"/>
        </w:rPr>
        <w:t xml:space="preserve"> </w:t>
      </w:r>
    </w:p>
    <w:p w14:paraId="1325B2BF" w14:textId="620CD680" w:rsidR="00986521" w:rsidRDefault="00EA22A1" w:rsidP="004E70DC">
      <w:pPr>
        <w:widowControl w:val="0"/>
        <w:autoSpaceDE w:val="0"/>
        <w:autoSpaceDN w:val="0"/>
        <w:adjustRightInd w:val="0"/>
        <w:spacing w:line="480" w:lineRule="auto"/>
        <w:rPr>
          <w:rFonts w:cs="Arial"/>
          <w:i/>
        </w:rPr>
      </w:pPr>
      <w:r w:rsidRPr="006E256E">
        <w:rPr>
          <w:rFonts w:asciiTheme="majorHAnsi" w:hAnsiTheme="majorHAnsi" w:cs="Arial"/>
          <w:b/>
          <w:i/>
          <w:color w:val="2E74B5" w:themeColor="accent1" w:themeShade="BF"/>
        </w:rPr>
        <w:t>Area of residence</w:t>
      </w:r>
      <w:r w:rsidR="004E70DC" w:rsidRPr="006E256E">
        <w:rPr>
          <w:rFonts w:asciiTheme="majorHAnsi" w:hAnsiTheme="majorHAnsi" w:cs="Arial"/>
          <w:b/>
          <w:i/>
          <w:color w:val="2E74B5" w:themeColor="accent1" w:themeShade="BF"/>
        </w:rPr>
        <w:t>, population denominators</w:t>
      </w:r>
      <w:r w:rsidRPr="006E256E">
        <w:rPr>
          <w:rFonts w:asciiTheme="majorHAnsi" w:hAnsiTheme="majorHAnsi" w:cs="Arial"/>
          <w:b/>
          <w:i/>
          <w:color w:val="2E74B5" w:themeColor="accent1" w:themeShade="BF"/>
        </w:rPr>
        <w:t xml:space="preserve"> and socioeconomic deprivation</w:t>
      </w:r>
    </w:p>
    <w:p w14:paraId="2B0F8342" w14:textId="56E72B8D" w:rsidR="009D568A" w:rsidRPr="0061069B" w:rsidRDefault="00797C1F" w:rsidP="006E256E">
      <w:pPr>
        <w:widowControl w:val="0"/>
        <w:autoSpaceDE w:val="0"/>
        <w:autoSpaceDN w:val="0"/>
        <w:adjustRightInd w:val="0"/>
        <w:spacing w:line="480" w:lineRule="auto"/>
      </w:pPr>
      <w:r>
        <w:rPr>
          <w:rFonts w:cs="Arial"/>
        </w:rPr>
        <w:t>The HES data set include</w:t>
      </w:r>
      <w:r w:rsidR="00A05A1B">
        <w:rPr>
          <w:rFonts w:cs="Arial"/>
        </w:rPr>
        <w:t>s</w:t>
      </w:r>
      <w:r>
        <w:rPr>
          <w:rFonts w:cs="Arial"/>
        </w:rPr>
        <w:t xml:space="preserve"> a code </w:t>
      </w:r>
      <w:r w:rsidR="004E70DC" w:rsidRPr="004E70DC">
        <w:rPr>
          <w:rFonts w:cs="Arial"/>
        </w:rPr>
        <w:t>for neighbourhood area</w:t>
      </w:r>
      <w:r w:rsidR="00A05A1B">
        <w:rPr>
          <w:rFonts w:cs="Arial"/>
        </w:rPr>
        <w:t>s</w:t>
      </w:r>
      <w:r w:rsidR="004E70DC" w:rsidRPr="004E70DC">
        <w:rPr>
          <w:rFonts w:cs="Arial"/>
        </w:rPr>
        <w:t xml:space="preserve"> of residence, </w:t>
      </w:r>
      <w:r w:rsidR="00A05A1B">
        <w:rPr>
          <w:rFonts w:cs="Arial"/>
        </w:rPr>
        <w:t xml:space="preserve">known as </w:t>
      </w:r>
      <w:r w:rsidR="004E70DC" w:rsidRPr="004E70DC">
        <w:rPr>
          <w:rFonts w:cs="Arial"/>
        </w:rPr>
        <w:t>Lower Super Output Areas (LSOAs)</w:t>
      </w:r>
      <w:r w:rsidR="004E70DC" w:rsidRPr="00797C1F">
        <w:rPr>
          <w:rFonts w:cs="Arial"/>
        </w:rPr>
        <w:t>. There are</w:t>
      </w:r>
      <w:r w:rsidR="004E70DC" w:rsidRPr="004E70DC">
        <w:rPr>
          <w:rFonts w:cs="Arial"/>
          <w:i/>
        </w:rPr>
        <w:t xml:space="preserve"> </w:t>
      </w:r>
      <w:r w:rsidR="004E70DC" w:rsidRPr="004E70DC">
        <w:rPr>
          <w:rFonts w:cs="Arial"/>
        </w:rPr>
        <w:t>32,482 LSOAs in England, each containing approximately 1,500 persons</w:t>
      </w:r>
      <w:r w:rsidR="008950B8">
        <w:rPr>
          <w:rFonts w:cs="Arial"/>
        </w:rPr>
        <w:t xml:space="preserve"> </w:t>
      </w:r>
      <w:r w:rsidR="008950B8">
        <w:rPr>
          <w:rFonts w:cs="Arial"/>
        </w:rPr>
        <w:fldChar w:fldCharType="begin"/>
      </w:r>
      <w:r w:rsidR="00C33409">
        <w:rPr>
          <w:rFonts w:cs="Arial"/>
        </w:rPr>
        <w:instrText xml:space="preserve"> ADDIN ZOTERO_ITEM CSL_CITATION {"citationID":"a2cjk3bkf88","properties":{"formattedCitation":"[21]","plainCitation":"[21]","noteIndex":0},"citationItems":[{"id":4235,"uris":["http://zotero.org/groups/1793288/items/6DP7UAUF"],"uri":["http://zotero.org/groups/1793288/items/6DP7UAUF"],"itemData":{"id":4235,"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8950B8">
        <w:rPr>
          <w:rFonts w:cs="Arial"/>
        </w:rPr>
        <w:fldChar w:fldCharType="separate"/>
      </w:r>
      <w:r w:rsidR="00C33409" w:rsidRPr="007C47E2">
        <w:rPr>
          <w:rFonts w:ascii="Calibri" w:hAnsi="Calibri" w:cs="Calibri"/>
        </w:rPr>
        <w:t>[21]</w:t>
      </w:r>
      <w:r w:rsidR="008950B8">
        <w:rPr>
          <w:rFonts w:cs="Arial"/>
        </w:rPr>
        <w:fldChar w:fldCharType="end"/>
      </w:r>
      <w:r w:rsidR="004E70DC" w:rsidRPr="004E70DC">
        <w:rPr>
          <w:rFonts w:cs="Arial"/>
        </w:rPr>
        <w:t>. These statistical boun</w:t>
      </w:r>
      <w:r>
        <w:rPr>
          <w:rFonts w:cs="Arial"/>
        </w:rPr>
        <w:t xml:space="preserve">daries were </w:t>
      </w:r>
      <w:r w:rsidR="004E70DC" w:rsidRPr="004E70DC">
        <w:rPr>
          <w:rFonts w:cs="Arial"/>
        </w:rPr>
        <w:t>constructed after the 2011 census</w:t>
      </w:r>
      <w:r w:rsidR="002C2412">
        <w:rPr>
          <w:rFonts w:cs="Arial"/>
        </w:rPr>
        <w:t>,</w:t>
      </w:r>
      <w:r>
        <w:rPr>
          <w:rFonts w:cs="Arial"/>
        </w:rPr>
        <w:t xml:space="preserve"> and</w:t>
      </w:r>
      <w:r w:rsidR="004E70DC" w:rsidRPr="004E70DC">
        <w:rPr>
          <w:rFonts w:cs="Arial"/>
        </w:rPr>
        <w:t xml:space="preserve"> have an associated measure of socioeconomic deprivation</w:t>
      </w:r>
      <w:r w:rsidR="00986521">
        <w:rPr>
          <w:rFonts w:cs="Arial"/>
        </w:rPr>
        <w:t xml:space="preserve">: </w:t>
      </w:r>
      <w:r w:rsidR="004E70DC" w:rsidRPr="004E70DC">
        <w:t xml:space="preserve">the English </w:t>
      </w:r>
      <w:r w:rsidR="0027653E">
        <w:t>I</w:t>
      </w:r>
      <w:r w:rsidR="004E70DC" w:rsidRPr="004E70DC">
        <w:t xml:space="preserve">ndices of </w:t>
      </w:r>
      <w:r w:rsidR="0027653E">
        <w:t>D</w:t>
      </w:r>
      <w:r w:rsidR="004E70DC" w:rsidRPr="004E70DC">
        <w:t xml:space="preserve">eprivation 2015, </w:t>
      </w:r>
      <w:r w:rsidR="00FB2B10">
        <w:t xml:space="preserve">of which </w:t>
      </w:r>
      <w:r w:rsidR="004E70DC" w:rsidRPr="004E70DC">
        <w:rPr>
          <w:rFonts w:cs="Arial"/>
        </w:rPr>
        <w:t>t</w:t>
      </w:r>
      <w:r w:rsidR="0061069B" w:rsidRPr="004E70DC">
        <w:rPr>
          <w:rFonts w:cs="Arial"/>
        </w:rPr>
        <w:t>he Index of Multiple Deprivation (IMD)</w:t>
      </w:r>
      <w:r w:rsidR="00FB2B10">
        <w:rPr>
          <w:rFonts w:cs="Arial"/>
        </w:rPr>
        <w:t xml:space="preserve"> is the most commonly used</w:t>
      </w:r>
      <w:r w:rsidR="004E70DC" w:rsidRPr="004E70DC">
        <w:rPr>
          <w:rFonts w:cs="Arial"/>
        </w:rPr>
        <w:t xml:space="preserve">. </w:t>
      </w:r>
      <w:r w:rsidR="004E70DC">
        <w:rPr>
          <w:rFonts w:cs="Arial"/>
        </w:rPr>
        <w:t xml:space="preserve">The IMD </w:t>
      </w:r>
      <w:r w:rsidR="0061069B" w:rsidRPr="004E70DC">
        <w:rPr>
          <w:rFonts w:cs="Arial"/>
        </w:rPr>
        <w:t>is a composite measure of social deprivation based on seven weighted domains: income</w:t>
      </w:r>
      <w:r w:rsidR="00D651BB">
        <w:rPr>
          <w:rFonts w:cs="Arial"/>
        </w:rPr>
        <w:t>;</w:t>
      </w:r>
      <w:r w:rsidR="0061069B" w:rsidRPr="004E70DC">
        <w:rPr>
          <w:rFonts w:cs="Arial"/>
        </w:rPr>
        <w:t xml:space="preserve"> employment</w:t>
      </w:r>
      <w:r w:rsidR="00D651BB">
        <w:rPr>
          <w:rFonts w:cs="Arial"/>
        </w:rPr>
        <w:t>;</w:t>
      </w:r>
      <w:r w:rsidR="0061069B" w:rsidRPr="004E70DC">
        <w:rPr>
          <w:rFonts w:cs="Arial"/>
        </w:rPr>
        <w:t xml:space="preserve"> health and </w:t>
      </w:r>
      <w:r w:rsidR="0061069B" w:rsidRPr="004E70DC">
        <w:rPr>
          <w:rFonts w:cs="Arial"/>
        </w:rPr>
        <w:lastRenderedPageBreak/>
        <w:t>disability</w:t>
      </w:r>
      <w:r w:rsidR="00D651BB">
        <w:rPr>
          <w:rFonts w:cs="Arial"/>
        </w:rPr>
        <w:t>;</w:t>
      </w:r>
      <w:r w:rsidR="0061069B" w:rsidRPr="004E70DC">
        <w:rPr>
          <w:rFonts w:cs="Arial"/>
        </w:rPr>
        <w:t xml:space="preserve"> education skill</w:t>
      </w:r>
      <w:r w:rsidR="00D651BB">
        <w:rPr>
          <w:rFonts w:cs="Arial"/>
        </w:rPr>
        <w:t>s</w:t>
      </w:r>
      <w:r w:rsidR="0061069B" w:rsidRPr="004E70DC">
        <w:rPr>
          <w:rFonts w:cs="Arial"/>
        </w:rPr>
        <w:t xml:space="preserve"> and training</w:t>
      </w:r>
      <w:r w:rsidR="00D651BB">
        <w:rPr>
          <w:rFonts w:cs="Arial"/>
        </w:rPr>
        <w:t>;</w:t>
      </w:r>
      <w:r w:rsidR="0061069B" w:rsidRPr="004E70DC">
        <w:rPr>
          <w:rFonts w:cs="Arial"/>
        </w:rPr>
        <w:t xml:space="preserve"> barriers to housing and other services</w:t>
      </w:r>
      <w:r w:rsidR="00D651BB">
        <w:rPr>
          <w:rFonts w:cs="Arial"/>
        </w:rPr>
        <w:t>;</w:t>
      </w:r>
      <w:r w:rsidR="0061069B" w:rsidRPr="004E70DC">
        <w:rPr>
          <w:rFonts w:cs="Arial"/>
        </w:rPr>
        <w:t xml:space="preserve"> crime</w:t>
      </w:r>
      <w:r w:rsidR="00D651BB">
        <w:rPr>
          <w:rFonts w:cs="Arial"/>
        </w:rPr>
        <w:t>;</w:t>
      </w:r>
      <w:r w:rsidR="0061069B" w:rsidRPr="004E70DC">
        <w:rPr>
          <w:rFonts w:cs="Arial"/>
        </w:rPr>
        <w:t xml:space="preserve"> and living environment </w:t>
      </w:r>
      <w:r w:rsidR="00DC2303" w:rsidRPr="004E70DC">
        <w:rPr>
          <w:rFonts w:cs="Arial"/>
        </w:rPr>
        <w:fldChar w:fldCharType="begin"/>
      </w:r>
      <w:r w:rsidR="00C33409">
        <w:rPr>
          <w:rFonts w:cs="Arial"/>
        </w:rPr>
        <w:instrText xml:space="preserve"> ADDIN ZOTERO_ITEM CSL_CITATION {"citationID":"atdg9r8bja","properties":{"formattedCitation":"[22]","plainCitation":"[22]","noteIndex":0},"citationItems":[{"id":4243,"uris":["http://zotero.org/groups/1793288/items/R5AI9FCT"],"uri":["http://zotero.org/groups/1793288/items/R5AI9FCT"],"itemData":{"id":4243,"type":"report","title":"English indices of deprivation 2015","publisher":"Department for Communities and Local Government","publisher-place":"London, England","event-place":"London, England","abstract":"Statistics on relative deprivation in small areas in England. Further details are provided at the bottom of this page and in the guidance document.","URL":"https://www.gov.uk/government/statistics/english-indices-of-deprivation-2015","author":[{"family":"Department for Communities and Local Government","given":""}],"issued":{"date-parts":[["2015",9,30]]},"accessed":{"date-parts":[["2017",10,4]]}}}],"schema":"https://github.com/citation-style-language/schema/raw/master/csl-citation.json"} </w:instrText>
      </w:r>
      <w:r w:rsidR="00DC2303" w:rsidRPr="004E70DC">
        <w:rPr>
          <w:rFonts w:cs="Arial"/>
        </w:rPr>
        <w:fldChar w:fldCharType="separate"/>
      </w:r>
      <w:r w:rsidR="00C33409" w:rsidRPr="007C47E2">
        <w:rPr>
          <w:rFonts w:ascii="Calibri" w:hAnsi="Calibri" w:cs="Calibri"/>
        </w:rPr>
        <w:t>[22]</w:t>
      </w:r>
      <w:r w:rsidR="00DC2303" w:rsidRPr="004E70DC">
        <w:rPr>
          <w:rFonts w:cs="Arial"/>
        </w:rPr>
        <w:fldChar w:fldCharType="end"/>
      </w:r>
      <w:r w:rsidR="0061069B" w:rsidRPr="004E70DC">
        <w:rPr>
          <w:rFonts w:cs="Arial"/>
        </w:rPr>
        <w:fldChar w:fldCharType="begin"/>
      </w:r>
      <w:r w:rsidR="0061069B" w:rsidRPr="004E70DC">
        <w:rPr>
          <w:rFonts w:cs="Arial"/>
        </w:rPr>
        <w:instrText xml:space="preserve"> ADDIN EN.CITE &lt;EndNote&gt;&lt;Cite&gt;&lt;Author&gt;(DCLG)&lt;/Author&gt;&lt;RecNum&gt;18&lt;/RecNum&gt;&lt;DisplayText&gt;(18)&lt;/DisplayText&gt;&lt;record&gt;&lt;rec-number&gt;18&lt;/rec-number&gt;&lt;foreign-keys&gt;&lt;key app="EN" db-id="sdxdxp5sgvp5vrexppepf5a1ptpd00seda5x" timestamp="1488542648"&gt;18&lt;/key&gt;&lt;/foreign-keys&gt;&lt;ref-type name="Report"&gt;27&lt;/ref-type&gt;&lt;contributors&gt;&lt;authors&gt;&lt;author&gt;Department for Communities and Local Government (DCLG) &lt;/author&gt;&lt;/authors&gt;&lt;/contributors&gt;&lt;titles&gt;&lt;title&gt;The English Indices of Deprivation 2015&lt;/title&gt;&lt;/titles&gt;&lt;dates&gt;&lt;/dates&gt;&lt;pub-location&gt;London: DCLG&lt;/pub-location&gt;&lt;urls&gt;&lt;related-urls&gt;&lt;url&gt;https://www.gov.uk/government/statistics/english-indices-of-deprivation-2015&lt;/url&gt;&lt;/related-urls&gt;&lt;/urls&gt;&lt;/record&gt;&lt;/Cite&gt;&lt;/EndNote&gt;</w:instrText>
      </w:r>
      <w:r w:rsidR="0061069B" w:rsidRPr="004E70DC">
        <w:rPr>
          <w:rFonts w:cs="Arial"/>
        </w:rPr>
        <w:fldChar w:fldCharType="end"/>
      </w:r>
      <w:r w:rsidR="004E70DC" w:rsidRPr="004E70DC">
        <w:rPr>
          <w:rFonts w:cs="Arial"/>
        </w:rPr>
        <w:t>.</w:t>
      </w:r>
      <w:r w:rsidR="004E70DC">
        <w:rPr>
          <w:rFonts w:cs="Arial"/>
        </w:rPr>
        <w:t xml:space="preserve"> </w:t>
      </w:r>
      <w:r w:rsidR="00F4746A" w:rsidRPr="00F4746A">
        <w:rPr>
          <w:rFonts w:cs="Arial"/>
        </w:rPr>
        <w:t>Population denominators</w:t>
      </w:r>
      <w:r w:rsidR="00EA22A1">
        <w:rPr>
          <w:rFonts w:cs="Arial"/>
        </w:rPr>
        <w:t xml:space="preserve"> </w:t>
      </w:r>
      <w:r w:rsidR="004E70DC">
        <w:rPr>
          <w:rFonts w:cs="Arial"/>
        </w:rPr>
        <w:t>at</w:t>
      </w:r>
      <w:r w:rsidR="00EA22A1">
        <w:rPr>
          <w:rFonts w:cs="Arial"/>
        </w:rPr>
        <w:t xml:space="preserve"> </w:t>
      </w:r>
      <w:r w:rsidR="0061069B" w:rsidRPr="0061069B">
        <w:rPr>
          <w:rFonts w:cs="Arial"/>
        </w:rPr>
        <w:t xml:space="preserve">LSOA and middle super output area (MSOA) </w:t>
      </w:r>
      <w:r w:rsidR="00EA22A1">
        <w:rPr>
          <w:rFonts w:cs="Arial"/>
        </w:rPr>
        <w:t xml:space="preserve">were accessed for </w:t>
      </w:r>
      <w:r w:rsidR="0061069B" w:rsidRPr="0061069B">
        <w:rPr>
          <w:rFonts w:cs="Arial"/>
        </w:rPr>
        <w:t>2004 to 2015 by single year of age and sex</w:t>
      </w:r>
      <w:r w:rsidR="00FB2B10">
        <w:rPr>
          <w:rFonts w:cs="Arial"/>
        </w:rPr>
        <w:t xml:space="preserve"> and aggregated into the appropriate age categories referred to below. This information is</w:t>
      </w:r>
      <w:r w:rsidR="0061069B" w:rsidRPr="0061069B">
        <w:rPr>
          <w:rFonts w:cs="Arial"/>
        </w:rPr>
        <w:t xml:space="preserve"> published by the Office for National Statistics (ONS) and held by PHE</w:t>
      </w:r>
      <w:r w:rsidR="004E70DC">
        <w:rPr>
          <w:rFonts w:cs="Arial"/>
        </w:rPr>
        <w:t xml:space="preserve"> </w:t>
      </w:r>
      <w:r w:rsidR="004E70DC">
        <w:rPr>
          <w:rFonts w:cs="Arial"/>
        </w:rPr>
        <w:fldChar w:fldCharType="begin"/>
      </w:r>
      <w:r w:rsidR="00C33409">
        <w:rPr>
          <w:rFonts w:cs="Arial"/>
        </w:rPr>
        <w:instrText xml:space="preserve"> ADDIN ZOTERO_ITEM CSL_CITATION {"citationID":"a217ib73mci","properties":{"formattedCitation":"[21]","plainCitation":"[21]","noteIndex":0},"citationItems":[{"id":4235,"uris":["http://zotero.org/groups/1793288/items/6DP7UAUF"],"uri":["http://zotero.org/groups/1793288/items/6DP7UAUF"],"itemData":{"id":4235,"type":"webpage","title":"Lower Super Output Area Mid-Year Population Estimates","URL":"https://www.ons.gov.uk/peoplepopulationandcommunity/populationandmigration/populationestimates/datasets/lowersuperoutputareamidyearpopulationestimates","author":[{"family":"Office for National Statistics","given":""}],"issued":{"date-parts":[["2016",10,26]]},"accessed":{"date-parts":[["2017",7,5]]}}}],"schema":"https://github.com/citation-style-language/schema/raw/master/csl-citation.json"} </w:instrText>
      </w:r>
      <w:r w:rsidR="004E70DC">
        <w:rPr>
          <w:rFonts w:cs="Arial"/>
        </w:rPr>
        <w:fldChar w:fldCharType="separate"/>
      </w:r>
      <w:r w:rsidR="00C33409" w:rsidRPr="007C47E2">
        <w:rPr>
          <w:rFonts w:ascii="Calibri" w:hAnsi="Calibri" w:cs="Calibri"/>
        </w:rPr>
        <w:t>[21]</w:t>
      </w:r>
      <w:r w:rsidR="004E70DC">
        <w:rPr>
          <w:rFonts w:cs="Arial"/>
        </w:rPr>
        <w:fldChar w:fldCharType="end"/>
      </w:r>
      <w:r w:rsidR="0061069B" w:rsidRPr="0061069B">
        <w:rPr>
          <w:rFonts w:cs="Arial"/>
        </w:rPr>
        <w:t xml:space="preserve">. </w:t>
      </w:r>
    </w:p>
    <w:p w14:paraId="0D2B33C7" w14:textId="77777777" w:rsidR="0061069B" w:rsidRDefault="0061069B" w:rsidP="0061069B">
      <w:pPr>
        <w:pStyle w:val="Heading3"/>
      </w:pPr>
      <w:r w:rsidRPr="0061069B">
        <w:t>Statistical analysis</w:t>
      </w:r>
    </w:p>
    <w:p w14:paraId="56B6A60D" w14:textId="77777777" w:rsidR="00986521" w:rsidRPr="00986521" w:rsidRDefault="00986521" w:rsidP="006E256E"/>
    <w:p w14:paraId="4D6E00A1" w14:textId="130362C5" w:rsidR="0061069B" w:rsidRPr="0061069B" w:rsidRDefault="008900FF" w:rsidP="00C10EAA">
      <w:pPr>
        <w:widowControl w:val="0"/>
        <w:autoSpaceDE w:val="0"/>
        <w:autoSpaceDN w:val="0"/>
        <w:adjustRightInd w:val="0"/>
        <w:spacing w:line="480" w:lineRule="auto"/>
        <w:rPr>
          <w:rFonts w:cs="Arial"/>
        </w:rPr>
      </w:pPr>
      <w:r>
        <w:rPr>
          <w:rFonts w:cs="Arial"/>
        </w:rPr>
        <w:t>Hospitalis</w:t>
      </w:r>
      <w:r w:rsidR="0061069B" w:rsidRPr="0061069B">
        <w:rPr>
          <w:rFonts w:cs="Arial"/>
        </w:rPr>
        <w:t>ation data from HES w</w:t>
      </w:r>
      <w:r w:rsidR="004B3C31">
        <w:rPr>
          <w:rFonts w:cs="Arial"/>
        </w:rPr>
        <w:t>ere</w:t>
      </w:r>
      <w:r w:rsidR="0061069B" w:rsidRPr="0061069B">
        <w:rPr>
          <w:rFonts w:cs="Arial"/>
        </w:rPr>
        <w:t xml:space="preserve"> recoded, reshaped</w:t>
      </w:r>
      <w:r w:rsidR="002C2412">
        <w:rPr>
          <w:rFonts w:cs="Arial"/>
        </w:rPr>
        <w:t>,</w:t>
      </w:r>
      <w:r w:rsidR="0061069B" w:rsidRPr="0061069B">
        <w:rPr>
          <w:rFonts w:cs="Arial"/>
        </w:rPr>
        <w:t xml:space="preserve"> and aggregated </w:t>
      </w:r>
      <w:r w:rsidR="004E70DC">
        <w:rPr>
          <w:rFonts w:cs="Arial"/>
        </w:rPr>
        <w:t>by age, sex</w:t>
      </w:r>
      <w:r w:rsidR="004B3C31">
        <w:rPr>
          <w:rFonts w:cs="Arial"/>
        </w:rPr>
        <w:t>,</w:t>
      </w:r>
      <w:r w:rsidR="004E70DC">
        <w:rPr>
          <w:rFonts w:cs="Arial"/>
        </w:rPr>
        <w:t xml:space="preserve"> and time </w:t>
      </w:r>
      <w:r w:rsidR="0061069B" w:rsidRPr="0061069B">
        <w:rPr>
          <w:rFonts w:cs="Arial"/>
        </w:rPr>
        <w:t xml:space="preserve">before </w:t>
      </w:r>
      <w:r w:rsidR="004B3C31">
        <w:rPr>
          <w:rFonts w:cs="Arial"/>
        </w:rPr>
        <w:t>merging</w:t>
      </w:r>
      <w:r w:rsidR="0061069B" w:rsidRPr="0061069B">
        <w:rPr>
          <w:rFonts w:cs="Arial"/>
        </w:rPr>
        <w:t xml:space="preserve"> to other data sources. </w:t>
      </w:r>
      <w:r w:rsidR="00C10EAA">
        <w:rPr>
          <w:rFonts w:cs="Arial"/>
        </w:rPr>
        <w:t xml:space="preserve">Age categories were </w:t>
      </w:r>
      <w:r w:rsidR="004B3C31">
        <w:rPr>
          <w:rFonts w:cs="Arial"/>
        </w:rPr>
        <w:t xml:space="preserve">constructed based on age at </w:t>
      </w:r>
      <w:r>
        <w:rPr>
          <w:rFonts w:cs="Arial"/>
        </w:rPr>
        <w:t>hospitalis</w:t>
      </w:r>
      <w:r w:rsidR="00CA757C">
        <w:rPr>
          <w:rFonts w:cs="Arial"/>
        </w:rPr>
        <w:t>ation</w:t>
      </w:r>
      <w:r w:rsidR="004B3C31">
        <w:rPr>
          <w:rFonts w:cs="Arial"/>
        </w:rPr>
        <w:t>:</w:t>
      </w:r>
      <w:r w:rsidR="00C10EAA">
        <w:rPr>
          <w:rFonts w:cs="Arial"/>
        </w:rPr>
        <w:t xml:space="preserve"> </w:t>
      </w:r>
      <w:r w:rsidR="00C10EAA" w:rsidRPr="00C10EAA">
        <w:rPr>
          <w:rFonts w:cs="Arial"/>
        </w:rPr>
        <w:t xml:space="preserve">&lt;24m; </w:t>
      </w:r>
      <w:r w:rsidR="00244E25">
        <w:rPr>
          <w:rFonts w:cs="Arial"/>
        </w:rPr>
        <w:t>24-59</w:t>
      </w:r>
      <w:r w:rsidR="00C10EAA" w:rsidRPr="00C10EAA">
        <w:rPr>
          <w:rFonts w:cs="Arial"/>
        </w:rPr>
        <w:t>m; 5-14y; 15-39y; 40-64y; 65+</w:t>
      </w:r>
      <w:r w:rsidR="00C10EAA">
        <w:rPr>
          <w:rFonts w:cs="Arial"/>
        </w:rPr>
        <w:t xml:space="preserve">. </w:t>
      </w:r>
    </w:p>
    <w:p w14:paraId="101B0831" w14:textId="0E794045" w:rsidR="0061069B" w:rsidRPr="0061069B" w:rsidRDefault="0061069B" w:rsidP="0061069B">
      <w:pPr>
        <w:widowControl w:val="0"/>
        <w:autoSpaceDE w:val="0"/>
        <w:autoSpaceDN w:val="0"/>
        <w:adjustRightInd w:val="0"/>
        <w:spacing w:line="480" w:lineRule="auto"/>
        <w:rPr>
          <w:rFonts w:cs="Arial"/>
        </w:rPr>
      </w:pPr>
      <w:r w:rsidRPr="0061069B">
        <w:rPr>
          <w:rFonts w:cs="Arial"/>
        </w:rPr>
        <w:t>To analyse the spatial and temporal change</w:t>
      </w:r>
      <w:r w:rsidR="00986521">
        <w:rPr>
          <w:rFonts w:cs="Arial"/>
        </w:rPr>
        <w:t>s</w:t>
      </w:r>
      <w:r w:rsidRPr="0061069B">
        <w:rPr>
          <w:rFonts w:cs="Arial"/>
        </w:rPr>
        <w:t xml:space="preserve"> in IAI </w:t>
      </w:r>
      <w:r w:rsidR="008900FF">
        <w:rPr>
          <w:rFonts w:cs="Arial"/>
        </w:rPr>
        <w:t>hospitalis</w:t>
      </w:r>
      <w:r w:rsidRPr="0061069B">
        <w:rPr>
          <w:rFonts w:cs="Arial"/>
        </w:rPr>
        <w:t>ations</w:t>
      </w:r>
      <w:r w:rsidR="00986521">
        <w:rPr>
          <w:rFonts w:cs="Arial"/>
        </w:rPr>
        <w:t>,</w:t>
      </w:r>
      <w:r w:rsidRPr="0061069B">
        <w:rPr>
          <w:rFonts w:cs="Arial"/>
        </w:rPr>
        <w:t xml:space="preserve"> we constructed age and sex adjusted standardised inciden</w:t>
      </w:r>
      <w:r w:rsidR="007A3798">
        <w:rPr>
          <w:rFonts w:cs="Arial"/>
        </w:rPr>
        <w:t>ce</w:t>
      </w:r>
      <w:r w:rsidRPr="0061069B">
        <w:rPr>
          <w:rFonts w:cs="Arial"/>
        </w:rPr>
        <w:t xml:space="preserve"> ratios (SIRs) for Merseyside at the MSOA level (approximately 5</w:t>
      </w:r>
      <w:r w:rsidR="00434411">
        <w:rPr>
          <w:rFonts w:cs="Arial"/>
        </w:rPr>
        <w:t>,</w:t>
      </w:r>
      <w:r w:rsidRPr="0061069B">
        <w:rPr>
          <w:rFonts w:cs="Arial"/>
        </w:rPr>
        <w:t>000-12</w:t>
      </w:r>
      <w:r w:rsidR="00434411">
        <w:rPr>
          <w:rFonts w:cs="Arial"/>
        </w:rPr>
        <w:t>,</w:t>
      </w:r>
      <w:r w:rsidRPr="0061069B">
        <w:rPr>
          <w:rFonts w:cs="Arial"/>
        </w:rPr>
        <w:t>000 resident population)</w:t>
      </w:r>
      <w:r w:rsidR="008950B8">
        <w:rPr>
          <w:rFonts w:cs="Arial"/>
        </w:rPr>
        <w:t xml:space="preserve"> to avoid small numbers</w:t>
      </w:r>
      <w:r w:rsidRPr="0061069B">
        <w:rPr>
          <w:rFonts w:cs="Arial"/>
        </w:rPr>
        <w:t xml:space="preserve">. SIRs that represent the relative risk of IAI </w:t>
      </w:r>
      <w:r w:rsidR="008900FF">
        <w:rPr>
          <w:rFonts w:cs="Arial"/>
        </w:rPr>
        <w:t>hospitalis</w:t>
      </w:r>
      <w:r w:rsidRPr="0061069B">
        <w:rPr>
          <w:rFonts w:cs="Arial"/>
        </w:rPr>
        <w:t xml:space="preserve">ation in an MSOA were compared to the Merseyside average. To calculate SIRs, we first calculated the expected number of </w:t>
      </w:r>
      <w:r w:rsidR="008900FF">
        <w:rPr>
          <w:rFonts w:cs="Arial"/>
        </w:rPr>
        <w:t>hospitalis</w:t>
      </w:r>
      <w:r w:rsidRPr="0061069B">
        <w:rPr>
          <w:rFonts w:cs="Arial"/>
        </w:rPr>
        <w:t>ations in each MSOA</w:t>
      </w:r>
      <w:r w:rsidR="006674CF">
        <w:rPr>
          <w:rFonts w:cs="Arial"/>
          <w:i/>
          <w:sz w:val="24"/>
          <w:szCs w:val="24"/>
          <w:vertAlign w:val="subscript"/>
        </w:rPr>
        <w:t>ijk</w:t>
      </w:r>
      <w:r w:rsidRPr="0061069B">
        <w:rPr>
          <w:rFonts w:cs="Arial"/>
          <w:i/>
          <w:vertAlign w:val="subscript"/>
        </w:rPr>
        <w:t xml:space="preserve"> </w:t>
      </w:r>
      <w:r w:rsidRPr="0061069B">
        <w:rPr>
          <w:rFonts w:cs="Arial"/>
        </w:rPr>
        <w:t>by calculating overall Merseyside rates for each combination of age</w:t>
      </w:r>
      <w:r w:rsidR="00B73DE5">
        <w:rPr>
          <w:rFonts w:cs="Arial"/>
        </w:rPr>
        <w:t xml:space="preserve"> </w:t>
      </w:r>
      <w:r w:rsidRPr="006E256E">
        <w:rPr>
          <w:rFonts w:cs="Arial"/>
          <w:i/>
          <w:sz w:val="24"/>
          <w:szCs w:val="24"/>
          <w:vertAlign w:val="subscript"/>
        </w:rPr>
        <w:t>j</w:t>
      </w:r>
      <w:r w:rsidRPr="0061069B">
        <w:rPr>
          <w:rFonts w:cs="Arial"/>
        </w:rPr>
        <w:t xml:space="preserve"> and sex</w:t>
      </w:r>
      <w:r w:rsidR="00B73DE5">
        <w:rPr>
          <w:rFonts w:cs="Arial"/>
        </w:rPr>
        <w:t xml:space="preserve"> </w:t>
      </w:r>
      <w:r w:rsidRPr="006E256E">
        <w:rPr>
          <w:rFonts w:cs="Arial"/>
          <w:i/>
          <w:sz w:val="24"/>
          <w:szCs w:val="24"/>
          <w:vertAlign w:val="subscript"/>
        </w:rPr>
        <w:t>k</w:t>
      </w:r>
      <w:r w:rsidRPr="0061069B">
        <w:rPr>
          <w:rFonts w:cs="Arial"/>
        </w:rPr>
        <w:t xml:space="preserve"> and multiplying these by corresponding MSOA population denominators, as exampled in the following equation:</w:t>
      </w:r>
    </w:p>
    <w:p w14:paraId="78160242" w14:textId="3562F619" w:rsidR="0061069B" w:rsidRPr="0061069B" w:rsidRDefault="00EC3307" w:rsidP="0061069B">
      <w:pPr>
        <w:widowControl w:val="0"/>
        <w:autoSpaceDE w:val="0"/>
        <w:autoSpaceDN w:val="0"/>
        <w:adjustRightInd w:val="0"/>
        <w:spacing w:line="480" w:lineRule="auto"/>
        <w:rPr>
          <w:rFonts w:cs="Arial"/>
        </w:rPr>
      </w:pPr>
      <m:oMathPara>
        <m:oMath>
          <m:sSub>
            <m:sSubPr>
              <m:ctrlPr>
                <w:rPr>
                  <w:rFonts w:ascii="Cambria Math" w:hAnsi="Cambria Math" w:cs="Arial"/>
                  <w:i/>
                </w:rPr>
              </m:ctrlPr>
            </m:sSubPr>
            <m:e>
              <m:r>
                <w:rPr>
                  <w:rFonts w:ascii="Cambria Math" w:hAnsi="Cambria Math" w:cs="Arial"/>
                </w:rPr>
                <m:t>Expected number</m:t>
              </m:r>
            </m:e>
            <m:sub>
              <m:r>
                <w:rPr>
                  <w:rFonts w:ascii="Cambria Math" w:hAnsi="Cambria Math" w:cs="Arial"/>
                </w:rPr>
                <m:t>ijk</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 xml:space="preserve"> </m:t>
              </m:r>
              <m:sSub>
                <m:sSubPr>
                  <m:ctrlPr>
                    <w:rPr>
                      <w:rFonts w:ascii="Cambria Math" w:hAnsi="Cambria Math" w:cs="Arial"/>
                      <w:i/>
                    </w:rPr>
                  </m:ctrlPr>
                </m:sSubPr>
                <m:e>
                  <m:r>
                    <w:rPr>
                      <w:rFonts w:ascii="Cambria Math" w:hAnsi="Cambria Math" w:cs="Arial"/>
                    </w:rPr>
                    <m:t>MSOA population</m:t>
                  </m:r>
                </m:e>
                <m:sub>
                  <m:r>
                    <w:rPr>
                      <w:rFonts w:ascii="Cambria Math" w:hAnsi="Cambria Math" w:cs="Arial"/>
                    </w:rPr>
                    <m:t>jk</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Total population</m:t>
                  </m:r>
                </m:e>
                <m:sub>
                  <m:r>
                    <w:rPr>
                      <w:rFonts w:ascii="Cambria Math" w:hAnsi="Cambria Math" w:cs="Arial"/>
                    </w:rPr>
                    <m:t>jk</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Total number of hospitalisations</m:t>
              </m:r>
            </m:e>
            <m:sub>
              <m:r>
                <w:rPr>
                  <w:rFonts w:ascii="Cambria Math" w:hAnsi="Cambria Math" w:cs="Arial"/>
                </w:rPr>
                <m:t>jk</m:t>
              </m:r>
            </m:sub>
          </m:sSub>
        </m:oMath>
      </m:oMathPara>
    </w:p>
    <w:p w14:paraId="7F61A299" w14:textId="2EF74BBA" w:rsidR="0061069B" w:rsidRPr="0061069B" w:rsidRDefault="0061069B" w:rsidP="0061069B">
      <w:pPr>
        <w:widowControl w:val="0"/>
        <w:autoSpaceDE w:val="0"/>
        <w:autoSpaceDN w:val="0"/>
        <w:adjustRightInd w:val="0"/>
        <w:spacing w:line="480" w:lineRule="auto"/>
        <w:rPr>
          <w:rFonts w:cs="Arial"/>
        </w:rPr>
      </w:pPr>
      <w:r w:rsidRPr="0061069B">
        <w:rPr>
          <w:rFonts w:cs="Arial"/>
        </w:rPr>
        <w:t xml:space="preserve">Expected numbers are summed for each MSOA and SIRs </w:t>
      </w:r>
      <w:r w:rsidR="003950A8">
        <w:rPr>
          <w:rFonts w:cs="Arial"/>
        </w:rPr>
        <w:t xml:space="preserve">are </w:t>
      </w:r>
      <w:r w:rsidRPr="0061069B">
        <w:rPr>
          <w:rFonts w:cs="Arial"/>
        </w:rPr>
        <w:t>calculated by the ratio of the observed to expected numbers in each MSOA, as shown below:</w:t>
      </w:r>
    </w:p>
    <w:p w14:paraId="5FA7B4E7" w14:textId="77777777" w:rsidR="0061069B" w:rsidRPr="0061069B" w:rsidRDefault="00EC3307" w:rsidP="0061069B">
      <w:pPr>
        <w:widowControl w:val="0"/>
        <w:autoSpaceDE w:val="0"/>
        <w:autoSpaceDN w:val="0"/>
        <w:adjustRightInd w:val="0"/>
        <w:spacing w:line="480" w:lineRule="auto"/>
        <w:rPr>
          <w:rFonts w:cs="Arial"/>
        </w:rPr>
      </w:pPr>
      <m:oMathPara>
        <m:oMath>
          <m:sSub>
            <m:sSubPr>
              <m:ctrlPr>
                <w:rPr>
                  <w:rFonts w:ascii="Cambria Math" w:hAnsi="Cambria Math" w:cs="Arial"/>
                  <w:i/>
                </w:rPr>
              </m:ctrlPr>
            </m:sSubPr>
            <m:e>
              <m:r>
                <w:rPr>
                  <w:rFonts w:ascii="Cambria Math" w:hAnsi="Cambria Math" w:cs="Arial"/>
                </w:rPr>
                <m:t>SIR</m:t>
              </m:r>
            </m:e>
            <m:sub>
              <m:r>
                <w:rPr>
                  <w:rFonts w:ascii="Cambria Math" w:hAnsi="Cambria Math" w:cs="Arial"/>
                </w:rPr>
                <m:t>i</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Observed number of hospitalisations</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Expected number of hospitalisations</m:t>
                  </m:r>
                </m:e>
                <m:sub>
                  <m:r>
                    <w:rPr>
                      <w:rFonts w:ascii="Cambria Math" w:hAnsi="Cambria Math" w:cs="Arial"/>
                    </w:rPr>
                    <m:t>i</m:t>
                  </m:r>
                </m:sub>
              </m:sSub>
            </m:den>
          </m:f>
        </m:oMath>
      </m:oMathPara>
    </w:p>
    <w:p w14:paraId="3FD3DC5B" w14:textId="6020F5A3" w:rsidR="0061069B" w:rsidRPr="0061069B" w:rsidRDefault="0061069B" w:rsidP="0061069B">
      <w:pPr>
        <w:widowControl w:val="0"/>
        <w:autoSpaceDE w:val="0"/>
        <w:autoSpaceDN w:val="0"/>
        <w:adjustRightInd w:val="0"/>
        <w:spacing w:line="480" w:lineRule="auto"/>
        <w:rPr>
          <w:rFonts w:cs="Arial"/>
        </w:rPr>
      </w:pPr>
      <w:r w:rsidRPr="0061069B">
        <w:rPr>
          <w:rFonts w:cs="Arial"/>
        </w:rPr>
        <w:t>We then produced choropleth maps of MSOA SIR for four three-year pooled time periods for the area of Merseyside.</w:t>
      </w:r>
    </w:p>
    <w:p w14:paraId="3DB9721D" w14:textId="02F2F180" w:rsidR="0061069B" w:rsidRPr="0061069B" w:rsidRDefault="0061069B" w:rsidP="0061069B">
      <w:pPr>
        <w:widowControl w:val="0"/>
        <w:autoSpaceDE w:val="0"/>
        <w:autoSpaceDN w:val="0"/>
        <w:adjustRightInd w:val="0"/>
        <w:spacing w:line="480" w:lineRule="auto"/>
        <w:rPr>
          <w:rFonts w:cs="Arial"/>
        </w:rPr>
      </w:pPr>
      <w:r w:rsidRPr="0061069B">
        <w:rPr>
          <w:rFonts w:cs="Arial"/>
        </w:rPr>
        <w:lastRenderedPageBreak/>
        <w:t xml:space="preserve">For analyses focusing on associations between socioeconomic deprivation and </w:t>
      </w:r>
      <w:r w:rsidR="008900FF">
        <w:rPr>
          <w:rFonts w:cs="Arial"/>
        </w:rPr>
        <w:t>hospitalis</w:t>
      </w:r>
      <w:r w:rsidRPr="0061069B">
        <w:rPr>
          <w:rFonts w:cs="Arial"/>
        </w:rPr>
        <w:t xml:space="preserve">ation </w:t>
      </w:r>
      <w:r w:rsidR="0097382C">
        <w:rPr>
          <w:rFonts w:cs="Arial"/>
        </w:rPr>
        <w:t>or</w:t>
      </w:r>
      <w:r w:rsidR="0097382C" w:rsidRPr="0061069B">
        <w:rPr>
          <w:rFonts w:cs="Arial"/>
        </w:rPr>
        <w:t xml:space="preserve"> </w:t>
      </w:r>
      <w:r w:rsidRPr="0061069B">
        <w:rPr>
          <w:rFonts w:cs="Arial"/>
        </w:rPr>
        <w:t>uptake, we first constructed socioeconomic deprivation groups for IMD using quintiles of their score for LSOAs in</w:t>
      </w:r>
      <w:r w:rsidR="00C767F6">
        <w:rPr>
          <w:rFonts w:cs="Arial"/>
        </w:rPr>
        <w:t xml:space="preserve"> England.</w:t>
      </w:r>
      <w:r w:rsidR="005B6012">
        <w:rPr>
          <w:rFonts w:cs="Arial"/>
        </w:rPr>
        <w:t xml:space="preserve"> </w:t>
      </w:r>
      <w:r w:rsidR="00C03388">
        <w:rPr>
          <w:rFonts w:cs="Arial"/>
        </w:rPr>
        <w:t xml:space="preserve">In </w:t>
      </w:r>
      <w:r w:rsidR="007B2DB7">
        <w:rPr>
          <w:rFonts w:cs="Arial"/>
        </w:rPr>
        <w:t xml:space="preserve">2015, </w:t>
      </w:r>
      <w:r w:rsidR="00C03388">
        <w:rPr>
          <w:rFonts w:cs="Arial"/>
        </w:rPr>
        <w:t>45% of the population</w:t>
      </w:r>
      <w:r w:rsidR="007B2DB7">
        <w:rPr>
          <w:rFonts w:cs="Arial"/>
        </w:rPr>
        <w:t xml:space="preserve"> in Merseyside</w:t>
      </w:r>
      <w:r w:rsidR="00C03388">
        <w:rPr>
          <w:rFonts w:cs="Arial"/>
        </w:rPr>
        <w:t xml:space="preserve"> lived in the most deprived quintile</w:t>
      </w:r>
      <w:r w:rsidR="005B6012">
        <w:rPr>
          <w:rFonts w:cs="Arial"/>
        </w:rPr>
        <w:t xml:space="preserve"> </w:t>
      </w:r>
      <w:r w:rsidR="005B6012">
        <w:rPr>
          <w:rFonts w:cs="Arial"/>
        </w:rPr>
        <w:fldChar w:fldCharType="begin"/>
      </w:r>
      <w:r w:rsidR="00C33409">
        <w:rPr>
          <w:rFonts w:cs="Arial"/>
        </w:rPr>
        <w:instrText xml:space="preserve"> ADDIN ZOTERO_ITEM CSL_CITATION {"citationID":"a16uoqet2o4","properties":{"formattedCitation":"[22]","plainCitation":"[22]","noteIndex":0},"citationItems":[{"id":4243,"uris":["http://zotero.org/groups/1793288/items/R5AI9FCT"],"uri":["http://zotero.org/groups/1793288/items/R5AI9FCT"],"itemData":{"id":4243,"type":"report","title":"English indices of deprivation 2015","publisher":"Department for Communities and Local Government","publisher-place":"London, England","event-place":"London, England","abstract":"Statistics on relative deprivation in small areas in England. Further details are provided at the bottom of this page and in the guidance document.","URL":"https://www.gov.uk/government/statistics/english-indices-of-deprivation-2015","author":[{"family":"Department for Communities and Local Government","given":""}],"issued":{"date-parts":[["2015",9,30]]},"accessed":{"date-parts":[["2017",10,4]]}}}],"schema":"https://github.com/citation-style-language/schema/raw/master/csl-citation.json"} </w:instrText>
      </w:r>
      <w:r w:rsidR="005B6012">
        <w:rPr>
          <w:rFonts w:cs="Arial"/>
        </w:rPr>
        <w:fldChar w:fldCharType="separate"/>
      </w:r>
      <w:r w:rsidR="00C33409" w:rsidRPr="00863004">
        <w:rPr>
          <w:rFonts w:ascii="Calibri" w:hAnsi="Calibri" w:cs="Calibri"/>
        </w:rPr>
        <w:t>[22]</w:t>
      </w:r>
      <w:r w:rsidR="005B6012">
        <w:rPr>
          <w:rFonts w:cs="Arial"/>
        </w:rPr>
        <w:fldChar w:fldCharType="end"/>
      </w:r>
      <w:r w:rsidR="00C03388">
        <w:rPr>
          <w:rFonts w:cs="Arial"/>
        </w:rPr>
        <w:t xml:space="preserve">. </w:t>
      </w:r>
      <w:r w:rsidRPr="0061069B">
        <w:rPr>
          <w:rFonts w:cs="Arial"/>
        </w:rPr>
        <w:t xml:space="preserve">Association between socioeconomic status and IAI </w:t>
      </w:r>
      <w:r w:rsidR="008900FF">
        <w:rPr>
          <w:rFonts w:cs="Arial"/>
        </w:rPr>
        <w:t>hospitalis</w:t>
      </w:r>
      <w:r w:rsidRPr="0061069B">
        <w:rPr>
          <w:rFonts w:cs="Arial"/>
        </w:rPr>
        <w:t xml:space="preserve">ations were assessed by fitting a negative binomial regression model (due to over-dispersion) offset </w:t>
      </w:r>
      <w:r w:rsidR="0097382C">
        <w:rPr>
          <w:rFonts w:cs="Arial"/>
        </w:rPr>
        <w:t xml:space="preserve">by </w:t>
      </w:r>
      <w:r w:rsidRPr="0061069B">
        <w:rPr>
          <w:rFonts w:cs="Arial"/>
        </w:rPr>
        <w:t>resident population, adjusting for</w:t>
      </w:r>
      <w:r w:rsidR="00A055FD">
        <w:rPr>
          <w:rFonts w:cs="Arial"/>
        </w:rPr>
        <w:t xml:space="preserve"> </w:t>
      </w:r>
      <w:r w:rsidR="005B6012">
        <w:rPr>
          <w:rFonts w:cs="Arial"/>
        </w:rPr>
        <w:t xml:space="preserve">age group, </w:t>
      </w:r>
      <w:r w:rsidR="00A055FD">
        <w:rPr>
          <w:rFonts w:cs="Arial"/>
        </w:rPr>
        <w:t>sex and</w:t>
      </w:r>
      <w:r w:rsidRPr="0061069B">
        <w:rPr>
          <w:rFonts w:cs="Arial"/>
        </w:rPr>
        <w:t xml:space="preserve"> year-by-year variability in influenza incidence by including fiscal year</w:t>
      </w:r>
      <w:r w:rsidR="00A055FD">
        <w:rPr>
          <w:rFonts w:cs="Arial"/>
        </w:rPr>
        <w:t xml:space="preserve">. </w:t>
      </w:r>
      <w:r w:rsidR="005B6012">
        <w:rPr>
          <w:rFonts w:cs="Arial"/>
        </w:rPr>
        <w:t>To examine the association between age group and deprivation an interaction term was also included</w:t>
      </w:r>
      <w:r w:rsidR="005B6012" w:rsidRPr="0061069B">
        <w:rPr>
          <w:rFonts w:cs="Arial"/>
        </w:rPr>
        <w:t>.</w:t>
      </w:r>
      <w:r w:rsidR="005B6012">
        <w:rPr>
          <w:rFonts w:cs="Arial"/>
        </w:rPr>
        <w:t xml:space="preserve"> </w:t>
      </w:r>
      <w:r w:rsidR="005E227F">
        <w:rPr>
          <w:rFonts w:cs="Arial"/>
        </w:rPr>
        <w:t>We also</w:t>
      </w:r>
      <w:r w:rsidRPr="0061069B">
        <w:rPr>
          <w:rFonts w:cs="Arial"/>
        </w:rPr>
        <w:t xml:space="preserve"> stratified </w:t>
      </w:r>
      <w:r w:rsidR="00904907">
        <w:rPr>
          <w:rFonts w:cs="Arial"/>
        </w:rPr>
        <w:t>by</w:t>
      </w:r>
      <w:r w:rsidR="00904907" w:rsidRPr="0061069B">
        <w:rPr>
          <w:rFonts w:cs="Arial"/>
        </w:rPr>
        <w:t xml:space="preserve"> </w:t>
      </w:r>
      <w:r w:rsidRPr="0061069B">
        <w:rPr>
          <w:rFonts w:cs="Arial"/>
        </w:rPr>
        <w:t xml:space="preserve">age group and incidence rate ratios (IRR) </w:t>
      </w:r>
      <w:r w:rsidR="007B2DB7">
        <w:rPr>
          <w:rFonts w:cs="Arial"/>
        </w:rPr>
        <w:t xml:space="preserve">were </w:t>
      </w:r>
      <w:r w:rsidRPr="0061069B">
        <w:rPr>
          <w:rFonts w:cs="Arial"/>
        </w:rPr>
        <w:t xml:space="preserve">calculated along with 95% confidence intervals. </w:t>
      </w:r>
    </w:p>
    <w:p w14:paraId="0E5BA153" w14:textId="52EA0AD6" w:rsidR="0061069B" w:rsidRPr="0061069B" w:rsidRDefault="004D0682" w:rsidP="0061069B">
      <w:pPr>
        <w:widowControl w:val="0"/>
        <w:autoSpaceDE w:val="0"/>
        <w:autoSpaceDN w:val="0"/>
        <w:adjustRightInd w:val="0"/>
        <w:spacing w:line="480" w:lineRule="auto"/>
        <w:rPr>
          <w:rFonts w:cs="Arial"/>
        </w:rPr>
      </w:pPr>
      <w:r>
        <w:rPr>
          <w:rFonts w:cs="Arial"/>
        </w:rPr>
        <w:t xml:space="preserve">To estimate </w:t>
      </w:r>
      <w:r w:rsidR="0097382C">
        <w:rPr>
          <w:rFonts w:cs="Arial"/>
        </w:rPr>
        <w:t xml:space="preserve">the </w:t>
      </w:r>
      <w:r>
        <w:rPr>
          <w:rFonts w:cs="Arial"/>
        </w:rPr>
        <w:t>association between socioeconomic deprivation and influenza v</w:t>
      </w:r>
      <w:r w:rsidR="0061069B" w:rsidRPr="0061069B">
        <w:rPr>
          <w:rFonts w:cs="Arial"/>
        </w:rPr>
        <w:t>accine uptake</w:t>
      </w:r>
      <w:r>
        <w:rPr>
          <w:rFonts w:cs="Arial"/>
        </w:rPr>
        <w:t xml:space="preserve">, </w:t>
      </w:r>
      <w:r w:rsidR="002A652E">
        <w:rPr>
          <w:rFonts w:cs="Arial"/>
        </w:rPr>
        <w:t xml:space="preserve">uptake </w:t>
      </w:r>
      <w:r>
        <w:rPr>
          <w:rFonts w:cs="Arial"/>
        </w:rPr>
        <w:t xml:space="preserve">data for each LSOA were extracted at GP practice level. </w:t>
      </w:r>
      <w:r w:rsidR="002A652E">
        <w:rPr>
          <w:rFonts w:cs="Arial"/>
        </w:rPr>
        <w:t>W</w:t>
      </w:r>
      <w:r w:rsidR="0061069B" w:rsidRPr="0061069B">
        <w:rPr>
          <w:rFonts w:cs="Arial"/>
        </w:rPr>
        <w:t>e used the LSOA level GP registered population, weighting vaccine uptake by proportion of population served by each GP practice</w:t>
      </w:r>
      <w:r w:rsidR="00876C00">
        <w:rPr>
          <w:rFonts w:cs="Arial"/>
        </w:rPr>
        <w:t>,</w:t>
      </w:r>
      <w:r w:rsidR="002A652E">
        <w:rPr>
          <w:rFonts w:cs="Arial"/>
        </w:rPr>
        <w:t xml:space="preserve"> to create synthetic estimates of vaccine uptake at LSOA level</w:t>
      </w:r>
      <w:r w:rsidR="002663E5">
        <w:rPr>
          <w:rFonts w:cs="Arial"/>
        </w:rPr>
        <w:t xml:space="preserve"> for the </w:t>
      </w:r>
      <w:r w:rsidR="00385F1B">
        <w:rPr>
          <w:rFonts w:cs="Arial"/>
        </w:rPr>
        <w:t xml:space="preserve">2014/15 and 2015/16 </w:t>
      </w:r>
      <w:r w:rsidR="002663E5">
        <w:rPr>
          <w:rFonts w:cs="Arial"/>
        </w:rPr>
        <w:t>seasons</w:t>
      </w:r>
      <w:r w:rsidR="00385F1B">
        <w:rPr>
          <w:rFonts w:cs="Arial"/>
        </w:rPr>
        <w:t xml:space="preserve">. </w:t>
      </w:r>
      <w:r w:rsidR="0061069B" w:rsidRPr="0061069B">
        <w:rPr>
          <w:rFonts w:cs="Arial"/>
        </w:rPr>
        <w:t xml:space="preserve">Vaccine uptake levels were classified into three categories </w:t>
      </w:r>
      <w:r w:rsidR="006910E9">
        <w:rPr>
          <w:rFonts w:cs="Arial"/>
        </w:rPr>
        <w:t>in accordance with the</w:t>
      </w:r>
      <w:r w:rsidR="0061069B" w:rsidRPr="0061069B">
        <w:rPr>
          <w:rFonts w:cs="Arial"/>
        </w:rPr>
        <w:t xml:space="preserve"> national targets set by NHS England, DH and PHE</w:t>
      </w:r>
      <w:r w:rsidR="00A90107">
        <w:rPr>
          <w:rFonts w:cs="Arial"/>
        </w:rPr>
        <w:t xml:space="preserve"> </w:t>
      </w:r>
      <w:r w:rsidR="00A90107">
        <w:rPr>
          <w:rFonts w:cs="Arial"/>
        </w:rPr>
        <w:fldChar w:fldCharType="begin"/>
      </w:r>
      <w:r w:rsidR="00B519AB">
        <w:rPr>
          <w:rFonts w:cs="Arial"/>
        </w:rPr>
        <w:instrText xml:space="preserve"> ADDIN ZOTERO_ITEM CSL_CITATION {"citationID":"a25bo8cjgof","properties":{"formattedCitation":"[27]","plainCitation":"[27]","noteIndex":0},"citationItems":[{"id":4238,"uris":["http://zotero.org/groups/1793288/items/T4DIHC5U"],"uri":["http://zotero.org/groups/1793288/items/T4DIHC5U"],"itemData":{"id":4238,"type":"report","title":"Flu plan: winter 2016 to 2017","publisher":"Public Health England","publisher-place":"London, England","event-place":"London, England","abstract":"The flu plan sets out a coordinated and evidence-based approach to planning for, and responding to, the demands of influenza across England.","URL":"https://www.gov.uk/government/publications/flu-plan-winter-2016-to-2017","shortTitle":"Flu plan","author":[{"family":"Public Health England","given":""}],"issued":{"date-parts":[["2017",5,26]]},"accessed":{"date-parts":[["2017",10,4]]}}}],"schema":"https://github.com/citation-style-language/schema/raw/master/csl-citation.json"} </w:instrText>
      </w:r>
      <w:r w:rsidR="00A90107">
        <w:rPr>
          <w:rFonts w:cs="Arial"/>
        </w:rPr>
        <w:fldChar w:fldCharType="separate"/>
      </w:r>
      <w:r w:rsidR="00B519AB" w:rsidRPr="003563BA">
        <w:rPr>
          <w:rFonts w:ascii="Calibri" w:hAnsi="Calibri" w:cs="Calibri"/>
        </w:rPr>
        <w:t>[27]</w:t>
      </w:r>
      <w:r w:rsidR="00A90107">
        <w:rPr>
          <w:rFonts w:cs="Arial"/>
        </w:rPr>
        <w:fldChar w:fldCharType="end"/>
      </w:r>
      <w:r w:rsidR="0061069B" w:rsidRPr="0061069B">
        <w:rPr>
          <w:rFonts w:cs="Arial"/>
        </w:rPr>
        <w:t>:</w:t>
      </w:r>
    </w:p>
    <w:p w14:paraId="6C489802" w14:textId="2E259F87" w:rsidR="0061069B" w:rsidRPr="0061069B" w:rsidRDefault="00244E25" w:rsidP="0061069B">
      <w:pPr>
        <w:pStyle w:val="ListParagraph"/>
        <w:widowControl w:val="0"/>
        <w:numPr>
          <w:ilvl w:val="0"/>
          <w:numId w:val="2"/>
        </w:numPr>
        <w:autoSpaceDE w:val="0"/>
        <w:autoSpaceDN w:val="0"/>
        <w:adjustRightInd w:val="0"/>
        <w:spacing w:line="480" w:lineRule="auto"/>
        <w:rPr>
          <w:rFonts w:cs="Arial"/>
          <w:sz w:val="22"/>
          <w:szCs w:val="22"/>
        </w:rPr>
      </w:pPr>
      <w:r>
        <w:rPr>
          <w:rFonts w:cs="Arial"/>
          <w:sz w:val="22"/>
          <w:szCs w:val="22"/>
        </w:rPr>
        <w:t>24-59</w:t>
      </w:r>
      <w:r w:rsidR="0061069B" w:rsidRPr="0061069B">
        <w:rPr>
          <w:rFonts w:cs="Arial"/>
          <w:sz w:val="22"/>
          <w:szCs w:val="22"/>
        </w:rPr>
        <w:t xml:space="preserve"> month olds (target: 40%)</w:t>
      </w:r>
    </w:p>
    <w:p w14:paraId="37FC8109" w14:textId="77777777" w:rsidR="0061069B" w:rsidRPr="0061069B" w:rsidRDefault="0061069B" w:rsidP="0061069B">
      <w:pPr>
        <w:pStyle w:val="ListParagraph"/>
        <w:widowControl w:val="0"/>
        <w:numPr>
          <w:ilvl w:val="0"/>
          <w:numId w:val="2"/>
        </w:numPr>
        <w:autoSpaceDE w:val="0"/>
        <w:autoSpaceDN w:val="0"/>
        <w:adjustRightInd w:val="0"/>
        <w:spacing w:line="480" w:lineRule="auto"/>
        <w:rPr>
          <w:rFonts w:cs="Arial"/>
          <w:sz w:val="22"/>
          <w:szCs w:val="22"/>
        </w:rPr>
      </w:pPr>
      <w:r w:rsidRPr="0061069B">
        <w:rPr>
          <w:rFonts w:cs="Arial"/>
          <w:sz w:val="22"/>
          <w:szCs w:val="22"/>
        </w:rPr>
        <w:t>65+ year olds (target: 75%)</w:t>
      </w:r>
    </w:p>
    <w:p w14:paraId="6CEEF6EE" w14:textId="77777777" w:rsidR="0061069B" w:rsidRPr="0061069B" w:rsidRDefault="0061069B" w:rsidP="0061069B">
      <w:pPr>
        <w:pStyle w:val="ListParagraph"/>
        <w:widowControl w:val="0"/>
        <w:numPr>
          <w:ilvl w:val="0"/>
          <w:numId w:val="2"/>
        </w:numPr>
        <w:autoSpaceDE w:val="0"/>
        <w:autoSpaceDN w:val="0"/>
        <w:adjustRightInd w:val="0"/>
        <w:spacing w:line="480" w:lineRule="auto"/>
        <w:rPr>
          <w:rFonts w:cs="Arial"/>
          <w:sz w:val="22"/>
          <w:szCs w:val="22"/>
        </w:rPr>
      </w:pPr>
      <w:r w:rsidRPr="0061069B">
        <w:rPr>
          <w:rFonts w:cs="Arial"/>
          <w:sz w:val="22"/>
          <w:szCs w:val="22"/>
        </w:rPr>
        <w:t>At risk groups under 65 years of age (target: 55%)</w:t>
      </w:r>
    </w:p>
    <w:p w14:paraId="2683FF4D" w14:textId="777B6D06" w:rsidR="0061069B" w:rsidRPr="0061069B" w:rsidRDefault="0061069B" w:rsidP="0061069B">
      <w:pPr>
        <w:widowControl w:val="0"/>
        <w:autoSpaceDE w:val="0"/>
        <w:autoSpaceDN w:val="0"/>
        <w:adjustRightInd w:val="0"/>
        <w:spacing w:line="480" w:lineRule="auto"/>
        <w:rPr>
          <w:rFonts w:cs="Arial"/>
        </w:rPr>
      </w:pPr>
      <w:r w:rsidRPr="0061069B">
        <w:rPr>
          <w:rFonts w:cs="Arial"/>
        </w:rPr>
        <w:t xml:space="preserve">The association between socioeconomic deprivation and vaccine uptake was </w:t>
      </w:r>
      <w:r w:rsidR="006674CF">
        <w:rPr>
          <w:rFonts w:cs="Arial"/>
        </w:rPr>
        <w:t>assessed</w:t>
      </w:r>
      <w:r w:rsidRPr="0061069B">
        <w:rPr>
          <w:rFonts w:cs="Arial"/>
        </w:rPr>
        <w:t xml:space="preserve"> using</w:t>
      </w:r>
      <w:r w:rsidR="006674CF">
        <w:rPr>
          <w:rFonts w:cs="Arial"/>
        </w:rPr>
        <w:t xml:space="preserve"> fractional logit regression </w:t>
      </w:r>
      <w:r w:rsidR="00483F92">
        <w:rPr>
          <w:rFonts w:cs="Arial"/>
        </w:rPr>
        <w:t>and robust standard errors</w:t>
      </w:r>
      <w:r w:rsidR="006674CF">
        <w:rPr>
          <w:rFonts w:cs="Arial"/>
        </w:rPr>
        <w:t xml:space="preserve"> </w:t>
      </w:r>
      <w:r w:rsidR="006674CF">
        <w:rPr>
          <w:rFonts w:cs="Arial"/>
        </w:rPr>
        <w:fldChar w:fldCharType="begin"/>
      </w:r>
      <w:r w:rsidR="00B519AB">
        <w:rPr>
          <w:rFonts w:cs="Arial"/>
        </w:rPr>
        <w:instrText xml:space="preserve"> ADDIN ZOTERO_ITEM CSL_CITATION {"citationID":"a29puq5f4qk","properties":{"formattedCitation":"[28]","plainCitation":"[28]","noteIndex":0},"citationItems":[{"id":4217,"uris":["http://zotero.org/groups/1793288/items/ITZR4AKW"],"uri":["http://zotero.org/groups/1793288/items/ITZR4AKW"],"itemData":{"id":4217,"type":"article-journal","title":"Econometric methods for fractional response variables with an application to 401(k) plan participation rates","container-title":"Journal of Applied Econometrics","page":"619-632","volume":"11","issue":"6","source":"Wiley Online Library","abstract":"We develop attractive functional forms and simple quasi-likelihood estimation methods for regression models with a fractional dependent variable. Compared with log-odds type procedures, there is no difficulty in recovering the regression function for the fractional variable, and there is no need to use ad hoc transformations to handle data at the extreme values of zero and one. We also offer some new, robust specification tests by nesting the logit or probit function in a more general functional form. We apply these methods to a data set of employee participation rates in 401(k) pension plans.","DOI":"10.1002/(SICI)1099-1255(199611)11:6&lt;619::AID-JAE418&gt;3.0.CO;2-1","ISSN":"1099-1255","journalAbbreviation":"J. Appl. Econ.","language":"en","author":[{"family":"Papke","given":"Leslie E."},{"family":"Wooldridge","given":"Jeffrey M."}],"issued":{"date-parts":[["1996",11,1]]}}}],"schema":"https://github.com/citation-style-language/schema/raw/master/csl-citation.json"} </w:instrText>
      </w:r>
      <w:r w:rsidR="006674CF">
        <w:rPr>
          <w:rFonts w:cs="Arial"/>
        </w:rPr>
        <w:fldChar w:fldCharType="separate"/>
      </w:r>
      <w:r w:rsidR="00B519AB" w:rsidRPr="003563BA">
        <w:rPr>
          <w:rFonts w:ascii="Calibri" w:hAnsi="Calibri" w:cs="Calibri"/>
        </w:rPr>
        <w:t>[28]</w:t>
      </w:r>
      <w:r w:rsidR="006674CF">
        <w:rPr>
          <w:rFonts w:cs="Arial"/>
        </w:rPr>
        <w:fldChar w:fldCharType="end"/>
      </w:r>
      <w:r w:rsidRPr="0061069B">
        <w:rPr>
          <w:rFonts w:cs="Arial"/>
        </w:rPr>
        <w:t xml:space="preserve">. The dependent variable was vaccine uptake, included as a proportion, and the independent variable was </w:t>
      </w:r>
      <w:r w:rsidR="004D0682">
        <w:rPr>
          <w:rFonts w:cs="Arial"/>
        </w:rPr>
        <w:t xml:space="preserve">IMD </w:t>
      </w:r>
      <w:r w:rsidRPr="0061069B">
        <w:rPr>
          <w:rFonts w:cs="Arial"/>
        </w:rPr>
        <w:t>quintile. The model was adjusted</w:t>
      </w:r>
      <w:r w:rsidR="00E96612">
        <w:rPr>
          <w:rFonts w:cs="Arial"/>
        </w:rPr>
        <w:t xml:space="preserve"> for</w:t>
      </w:r>
      <w:r w:rsidRPr="0061069B">
        <w:rPr>
          <w:rFonts w:cs="Arial"/>
        </w:rPr>
        <w:t xml:space="preserve"> fiscal year </w:t>
      </w:r>
      <w:r w:rsidR="00244E25">
        <w:rPr>
          <w:rFonts w:cs="Arial"/>
        </w:rPr>
        <w:t xml:space="preserve">(April to March) </w:t>
      </w:r>
      <w:r w:rsidRPr="0061069B">
        <w:rPr>
          <w:rFonts w:cs="Arial"/>
        </w:rPr>
        <w:t xml:space="preserve">and, because the unit of analysis was LSOA, the model was weighted using LSOA population size. Three separate models were constructed for vaccine uptake in </w:t>
      </w:r>
      <w:r w:rsidR="00244E25">
        <w:rPr>
          <w:rFonts w:cs="Arial"/>
        </w:rPr>
        <w:t>24-59</w:t>
      </w:r>
      <w:r w:rsidRPr="0061069B">
        <w:rPr>
          <w:rFonts w:cs="Arial"/>
        </w:rPr>
        <w:t xml:space="preserve"> month olds, 65+ year olds</w:t>
      </w:r>
      <w:r w:rsidR="004D0682">
        <w:rPr>
          <w:rFonts w:cs="Arial"/>
        </w:rPr>
        <w:t>,</w:t>
      </w:r>
      <w:r w:rsidRPr="0061069B">
        <w:rPr>
          <w:rFonts w:cs="Arial"/>
        </w:rPr>
        <w:t xml:space="preserve"> and at</w:t>
      </w:r>
      <w:r w:rsidR="00A6695C">
        <w:rPr>
          <w:rFonts w:cs="Arial"/>
        </w:rPr>
        <w:t>-</w:t>
      </w:r>
      <w:r w:rsidRPr="0061069B">
        <w:rPr>
          <w:rFonts w:cs="Arial"/>
        </w:rPr>
        <w:t>risk groups under 65 years of age. The models enabled the calculation of odds ratios</w:t>
      </w:r>
      <w:r w:rsidR="000B0D2E">
        <w:rPr>
          <w:rFonts w:cs="Arial"/>
        </w:rPr>
        <w:t xml:space="preserve"> (ORs)</w:t>
      </w:r>
      <w:r w:rsidRPr="0061069B">
        <w:rPr>
          <w:rFonts w:cs="Arial"/>
        </w:rPr>
        <w:t xml:space="preserve"> and robust 95% confidence intervals.</w:t>
      </w:r>
    </w:p>
    <w:p w14:paraId="30E5E3BF" w14:textId="4D70CC52" w:rsidR="0061069B" w:rsidRPr="0061069B" w:rsidRDefault="0061069B" w:rsidP="0061069B">
      <w:pPr>
        <w:widowControl w:val="0"/>
        <w:autoSpaceDE w:val="0"/>
        <w:autoSpaceDN w:val="0"/>
        <w:adjustRightInd w:val="0"/>
        <w:spacing w:line="480" w:lineRule="auto"/>
        <w:rPr>
          <w:rFonts w:cs="Arial"/>
        </w:rPr>
      </w:pPr>
      <w:r w:rsidRPr="0061069B">
        <w:rPr>
          <w:rFonts w:cs="Arial"/>
        </w:rPr>
        <w:lastRenderedPageBreak/>
        <w:t>Demographic characteristics were compared between those with</w:t>
      </w:r>
      <w:r w:rsidR="001E5FA5">
        <w:rPr>
          <w:rFonts w:cs="Arial"/>
        </w:rPr>
        <w:t xml:space="preserve"> and without </w:t>
      </w:r>
      <w:r w:rsidRPr="0061069B">
        <w:rPr>
          <w:rFonts w:cs="Arial"/>
        </w:rPr>
        <w:t xml:space="preserve">clinical risk factors for </w:t>
      </w:r>
      <w:r w:rsidR="001E5FA5">
        <w:rPr>
          <w:rFonts w:cs="Arial"/>
        </w:rPr>
        <w:t xml:space="preserve">severe </w:t>
      </w:r>
      <w:r w:rsidRPr="0061069B">
        <w:rPr>
          <w:rFonts w:cs="Arial"/>
        </w:rPr>
        <w:t>IAI</w:t>
      </w:r>
      <w:r w:rsidR="00E96612">
        <w:rPr>
          <w:rFonts w:cs="Arial"/>
        </w:rPr>
        <w:t>.</w:t>
      </w:r>
      <w:r w:rsidRPr="0061069B">
        <w:rPr>
          <w:rFonts w:cs="Arial"/>
        </w:rPr>
        <w:t xml:space="preserve"> </w:t>
      </w:r>
      <w:r w:rsidR="00E96612">
        <w:rPr>
          <w:rFonts w:cs="Arial"/>
        </w:rPr>
        <w:t>C</w:t>
      </w:r>
      <w:r w:rsidRPr="0061069B">
        <w:rPr>
          <w:rFonts w:cs="Arial"/>
        </w:rPr>
        <w:t>ontinuous variables were tested by Student’s t-test</w:t>
      </w:r>
      <w:r w:rsidR="001E5FA5">
        <w:rPr>
          <w:rFonts w:cs="Arial"/>
        </w:rPr>
        <w:t>,</w:t>
      </w:r>
      <w:r w:rsidRPr="0061069B">
        <w:rPr>
          <w:rFonts w:cs="Arial"/>
        </w:rPr>
        <w:t xml:space="preserve"> or Wilcoxon rank-sum test if not normally distributed</w:t>
      </w:r>
      <w:r w:rsidR="00E96612">
        <w:rPr>
          <w:rFonts w:cs="Arial"/>
        </w:rPr>
        <w:t>,</w:t>
      </w:r>
      <w:r w:rsidRPr="0061069B">
        <w:rPr>
          <w:rFonts w:cs="Arial"/>
        </w:rPr>
        <w:t xml:space="preserve"> and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Pr="0061069B">
        <w:rPr>
          <w:rFonts w:cs="Arial"/>
        </w:rPr>
        <w:t>-test or Fisher’s exact test</w:t>
      </w:r>
      <w:r w:rsidR="00E96612">
        <w:rPr>
          <w:rFonts w:cs="Arial"/>
        </w:rPr>
        <w:t xml:space="preserve"> were used</w:t>
      </w:r>
      <w:r w:rsidRPr="0061069B">
        <w:rPr>
          <w:rFonts w:cs="Arial"/>
        </w:rPr>
        <w:t xml:space="preserve"> for categorical variables. </w:t>
      </w:r>
    </w:p>
    <w:p w14:paraId="7E5EE7C1" w14:textId="7D4CBC56" w:rsidR="0061069B" w:rsidRPr="0061069B" w:rsidRDefault="0061069B" w:rsidP="00FC138A">
      <w:pPr>
        <w:pStyle w:val="Bibliography"/>
        <w:rPr>
          <w:rFonts w:cs="Arial"/>
        </w:rPr>
      </w:pPr>
      <w:r w:rsidRPr="0061069B">
        <w:t>All data processing and statistical analyses were conducted using R v. 3.2.3</w:t>
      </w:r>
      <w:r w:rsidR="00FC138A">
        <w:t xml:space="preserve"> </w:t>
      </w:r>
      <w:r w:rsidR="00FC138A">
        <w:fldChar w:fldCharType="begin"/>
      </w:r>
      <w:r w:rsidR="00B519AB">
        <w:instrText xml:space="preserve"> ADDIN ZOTERO_ITEM CSL_CITATION {"citationID":"ab49iibnmp","properties":{"formattedCitation":"[29]","plainCitation":"[29]","noteIndex":0},"citationItems":[{"id":4241,"uris":["http://zotero.org/groups/1793288/items/DBGJXNVS"],"uri":["http://zotero.org/groups/1793288/items/DBGJXNVS"],"itemData":{"id":4241,"type":"book","title":"R: A Language and Environment for Statistical Computing","publisher":"R Foundation for Statistical Computing","publisher-place":"Vienna, Austria","event-place":"Vienna, Austria","URL":"http://www.R-project.org","author":[{"family":"R Core Team","given":""}],"issued":{"date-parts":[["2016"]]}}}],"schema":"https://github.com/citation-style-language/schema/raw/master/csl-citation.json"} </w:instrText>
      </w:r>
      <w:r w:rsidR="00FC138A">
        <w:fldChar w:fldCharType="separate"/>
      </w:r>
      <w:r w:rsidR="00B519AB" w:rsidRPr="002B4D53">
        <w:rPr>
          <w:rFonts w:ascii="Calibri" w:hAnsi="Calibri" w:cs="Calibri"/>
        </w:rPr>
        <w:t>[29]</w:t>
      </w:r>
      <w:r w:rsidR="00FC138A">
        <w:fldChar w:fldCharType="end"/>
      </w:r>
      <w:r w:rsidRPr="0061069B">
        <w:rPr>
          <w:rFonts w:cs="Arial"/>
        </w:rPr>
        <w:t xml:space="preserve">. </w:t>
      </w:r>
    </w:p>
    <w:p w14:paraId="0E2068A4" w14:textId="5F3AC5CA" w:rsidR="00F535DF" w:rsidRDefault="00F535DF" w:rsidP="002B4D53">
      <w:pPr>
        <w:pStyle w:val="Heading3"/>
        <w:spacing w:line="480" w:lineRule="auto"/>
      </w:pPr>
      <w:r>
        <w:t>Patient and public involvement</w:t>
      </w:r>
    </w:p>
    <w:p w14:paraId="19EDE15C" w14:textId="331D1D15" w:rsidR="0061069B" w:rsidRPr="0061069B" w:rsidRDefault="00F535DF" w:rsidP="00F535DF">
      <w:pPr>
        <w:spacing w:line="480" w:lineRule="auto"/>
      </w:pPr>
      <w:r>
        <w:t xml:space="preserve">Through our institute’s public involvement panel (PIP) the study team has had an ongoing dialogue on influenza vaccine research. This research project was generated from these discussions as PIP members identified that reducing inequalities in influenza vaccine uptake should be a policy priority. </w:t>
      </w:r>
      <w:r w:rsidR="003F0714">
        <w:t>T</w:t>
      </w:r>
      <w:r>
        <w:t xml:space="preserve">he panel have considered and commented on the aims and objectives, and contributed to the development of this study. </w:t>
      </w:r>
      <w:r w:rsidR="00391663" w:rsidRPr="00391663">
        <w:t xml:space="preserve">The findings from this study </w:t>
      </w:r>
      <w:r w:rsidR="00AC5C4A">
        <w:t>have</w:t>
      </w:r>
      <w:r w:rsidR="00391663" w:rsidRPr="00391663">
        <w:t xml:space="preserve"> be shared with organisations</w:t>
      </w:r>
      <w:r w:rsidR="003F0714">
        <w:t xml:space="preserve"> involved in data collection,</w:t>
      </w:r>
      <w:r w:rsidR="00391663" w:rsidRPr="00391663">
        <w:t xml:space="preserve"> patient contact</w:t>
      </w:r>
      <w:r w:rsidR="00466B41">
        <w:t>,</w:t>
      </w:r>
      <w:r w:rsidR="00AC5C4A">
        <w:t xml:space="preserve"> and the PPI panel</w:t>
      </w:r>
      <w:r w:rsidR="00391663" w:rsidRPr="00391663">
        <w:t xml:space="preserve">. Investigators </w:t>
      </w:r>
      <w:r w:rsidR="00AC5C4A">
        <w:t xml:space="preserve">have and will </w:t>
      </w:r>
      <w:r w:rsidR="00466B41">
        <w:t xml:space="preserve">continue to </w:t>
      </w:r>
      <w:r w:rsidR="00AC5C4A">
        <w:t>present</w:t>
      </w:r>
      <w:r w:rsidR="00391663" w:rsidRPr="00391663">
        <w:t xml:space="preserve"> these findings at regional and national events</w:t>
      </w:r>
      <w:r w:rsidR="00AC5C4A">
        <w:t xml:space="preserve"> and</w:t>
      </w:r>
      <w:r w:rsidR="00466B41">
        <w:t xml:space="preserve"> to</w:t>
      </w:r>
      <w:r w:rsidR="00391663" w:rsidRPr="00391663">
        <w:t xml:space="preserve"> participating NHS </w:t>
      </w:r>
      <w:r w:rsidR="003F0714">
        <w:t>organisations</w:t>
      </w:r>
      <w:r w:rsidR="00391663" w:rsidRPr="00391663">
        <w:t xml:space="preserve"> (including lay membership</w:t>
      </w:r>
      <w:r w:rsidR="003F0714">
        <w:t>),</w:t>
      </w:r>
      <w:r w:rsidR="00391663" w:rsidRPr="00391663">
        <w:t xml:space="preserve"> public health departments and government agencies.</w:t>
      </w:r>
      <w:r w:rsidR="00AC5C4A">
        <w:t xml:space="preserve"> </w:t>
      </w:r>
    </w:p>
    <w:p w14:paraId="0D253947" w14:textId="712B9993" w:rsidR="00E96612" w:rsidRPr="00E96612" w:rsidRDefault="009D568A" w:rsidP="00B73DE5">
      <w:pPr>
        <w:pStyle w:val="Heading2"/>
        <w:spacing w:line="480" w:lineRule="auto"/>
      </w:pPr>
      <w:r w:rsidRPr="0061069B">
        <w:t>Results</w:t>
      </w:r>
    </w:p>
    <w:p w14:paraId="3CD6B5B1" w14:textId="2AD04EF0" w:rsidR="0061069B" w:rsidRPr="0061069B" w:rsidRDefault="008900FF" w:rsidP="0061069B">
      <w:pPr>
        <w:pStyle w:val="Heading3"/>
        <w:spacing w:line="480" w:lineRule="auto"/>
        <w:rPr>
          <w:rFonts w:asciiTheme="minorHAnsi" w:hAnsiTheme="minorHAnsi"/>
        </w:rPr>
      </w:pPr>
      <w:r>
        <w:rPr>
          <w:rFonts w:asciiTheme="minorHAnsi" w:hAnsiTheme="minorHAnsi"/>
        </w:rPr>
        <w:t>Hospitalis</w:t>
      </w:r>
      <w:r w:rsidR="0061069B" w:rsidRPr="0061069B">
        <w:rPr>
          <w:rFonts w:asciiTheme="minorHAnsi" w:hAnsiTheme="minorHAnsi"/>
        </w:rPr>
        <w:t xml:space="preserve">ations in Merseyside </w:t>
      </w:r>
    </w:p>
    <w:p w14:paraId="14051D3F" w14:textId="77DC42AD" w:rsidR="0061069B" w:rsidRPr="0061069B" w:rsidRDefault="0061069B" w:rsidP="0061069B">
      <w:pPr>
        <w:widowControl w:val="0"/>
        <w:autoSpaceDE w:val="0"/>
        <w:autoSpaceDN w:val="0"/>
        <w:adjustRightInd w:val="0"/>
        <w:spacing w:line="480" w:lineRule="auto"/>
        <w:rPr>
          <w:rFonts w:cs="Arial"/>
        </w:rPr>
      </w:pPr>
      <w:r w:rsidRPr="0061069B">
        <w:rPr>
          <w:rFonts w:cs="Arial"/>
        </w:rPr>
        <w:t xml:space="preserve">Between April 2004 and March 2016, there were 89,058 </w:t>
      </w:r>
      <w:r w:rsidR="008900FF">
        <w:rPr>
          <w:rFonts w:cs="Arial"/>
        </w:rPr>
        <w:t>hospitalis</w:t>
      </w:r>
      <w:r w:rsidRPr="0061069B">
        <w:rPr>
          <w:rFonts w:cs="Arial"/>
        </w:rPr>
        <w:t>ation</w:t>
      </w:r>
      <w:r w:rsidR="00D82DF6">
        <w:rPr>
          <w:rFonts w:cs="Arial"/>
        </w:rPr>
        <w:t xml:space="preserve"> events</w:t>
      </w:r>
      <w:r w:rsidRPr="0061069B">
        <w:rPr>
          <w:rFonts w:cs="Arial"/>
        </w:rPr>
        <w:t xml:space="preserve"> </w:t>
      </w:r>
      <w:r w:rsidR="009B7629">
        <w:rPr>
          <w:rFonts w:cs="Arial"/>
        </w:rPr>
        <w:t xml:space="preserve">coded as </w:t>
      </w:r>
      <w:r w:rsidRPr="0061069B">
        <w:rPr>
          <w:rFonts w:cs="Arial"/>
        </w:rPr>
        <w:t xml:space="preserve">influenza </w:t>
      </w:r>
      <w:r w:rsidR="00A6695C">
        <w:rPr>
          <w:rFonts w:cs="Arial"/>
        </w:rPr>
        <w:t>or</w:t>
      </w:r>
      <w:r w:rsidRPr="0061069B">
        <w:rPr>
          <w:rFonts w:cs="Arial"/>
        </w:rPr>
        <w:t xml:space="preserve"> IAI in Merseyside (mean </w:t>
      </w:r>
      <w:r w:rsidRPr="00482290">
        <w:rPr>
          <w:rFonts w:cs="Arial"/>
          <w:i/>
        </w:rPr>
        <w:t>per</w:t>
      </w:r>
      <w:r w:rsidRPr="0061069B">
        <w:rPr>
          <w:rFonts w:cs="Arial"/>
        </w:rPr>
        <w:t xml:space="preserve"> year: 7,421.5; 4.9 per 1,000 population), of which 43,761 (49.1%) occurred among male patients (</w:t>
      </w:r>
      <w:r w:rsidR="00586B9A">
        <w:rPr>
          <w:rFonts w:cs="Arial"/>
        </w:rPr>
        <w:t>supplementary S1-Table 2</w:t>
      </w:r>
      <w:r w:rsidRPr="0061069B">
        <w:rPr>
          <w:rFonts w:cs="Arial"/>
        </w:rPr>
        <w:t xml:space="preserve">). The highest number of </w:t>
      </w:r>
      <w:r w:rsidR="008900FF">
        <w:rPr>
          <w:rFonts w:cs="Arial"/>
        </w:rPr>
        <w:t>hospitalis</w:t>
      </w:r>
      <w:r w:rsidRPr="0061069B">
        <w:rPr>
          <w:rFonts w:cs="Arial"/>
        </w:rPr>
        <w:t>ations occurred in the 2006/07 season (n=9,24</w:t>
      </w:r>
      <w:r w:rsidR="00F60F0A">
        <w:rPr>
          <w:rFonts w:cs="Arial"/>
        </w:rPr>
        <w:t>7</w:t>
      </w:r>
      <w:r w:rsidRPr="0061069B">
        <w:rPr>
          <w:rFonts w:cs="Arial"/>
        </w:rPr>
        <w:t>; 6.2 per 1,000 population), and the lowest in 2011/12 (5,2</w:t>
      </w:r>
      <w:r w:rsidR="00F60F0A">
        <w:rPr>
          <w:rFonts w:cs="Arial"/>
        </w:rPr>
        <w:t>31</w:t>
      </w:r>
      <w:r w:rsidRPr="0061069B">
        <w:rPr>
          <w:rFonts w:cs="Arial"/>
        </w:rPr>
        <w:t xml:space="preserve">; 3.5 per 1,000 population). </w:t>
      </w:r>
      <w:r w:rsidR="008900FF">
        <w:rPr>
          <w:rFonts w:cs="Arial"/>
        </w:rPr>
        <w:t>Hospitalis</w:t>
      </w:r>
      <w:r w:rsidRPr="0061069B">
        <w:rPr>
          <w:rFonts w:cs="Arial"/>
        </w:rPr>
        <w:t>ations show</w:t>
      </w:r>
      <w:r w:rsidR="00DC05AA">
        <w:rPr>
          <w:rFonts w:cs="Arial"/>
        </w:rPr>
        <w:t>ed</w:t>
      </w:r>
      <w:r w:rsidRPr="0061069B">
        <w:rPr>
          <w:rFonts w:cs="Arial"/>
        </w:rPr>
        <w:t xml:space="preserve"> a clear seasonal pattern, peaking in December and January (Figure </w:t>
      </w:r>
      <w:r w:rsidR="00434411">
        <w:rPr>
          <w:rFonts w:cs="Arial"/>
        </w:rPr>
        <w:t>1</w:t>
      </w:r>
      <w:r w:rsidRPr="0061069B">
        <w:rPr>
          <w:rFonts w:cs="Arial"/>
        </w:rPr>
        <w:t xml:space="preserve">). Most </w:t>
      </w:r>
      <w:r w:rsidR="008900FF">
        <w:rPr>
          <w:rFonts w:cs="Arial"/>
        </w:rPr>
        <w:t>hospitalis</w:t>
      </w:r>
      <w:r w:rsidRPr="0061069B">
        <w:rPr>
          <w:rFonts w:cs="Arial"/>
        </w:rPr>
        <w:t xml:space="preserve">ations (n=29,877; 33.5%) </w:t>
      </w:r>
      <w:r w:rsidR="00D82DF6">
        <w:rPr>
          <w:rFonts w:cs="Arial"/>
        </w:rPr>
        <w:t xml:space="preserve">corresponded to patients </w:t>
      </w:r>
      <w:r w:rsidRPr="0061069B">
        <w:rPr>
          <w:rFonts w:cs="Arial"/>
        </w:rPr>
        <w:t>aged 65 years and over</w:t>
      </w:r>
      <w:r w:rsidR="00D82DF6">
        <w:rPr>
          <w:rFonts w:cs="Arial"/>
        </w:rPr>
        <w:t>,</w:t>
      </w:r>
      <w:r w:rsidR="00C3433F">
        <w:rPr>
          <w:rFonts w:cs="Arial"/>
        </w:rPr>
        <w:t xml:space="preserve"> or </w:t>
      </w:r>
      <w:r w:rsidRPr="0061069B">
        <w:rPr>
          <w:rFonts w:cs="Arial"/>
        </w:rPr>
        <w:t>children under 24 months of age (n=21,</w:t>
      </w:r>
      <w:r w:rsidR="00F60F0A" w:rsidRPr="0061069B">
        <w:rPr>
          <w:rFonts w:cs="Arial"/>
        </w:rPr>
        <w:t>4</w:t>
      </w:r>
      <w:r w:rsidR="00F60F0A">
        <w:rPr>
          <w:rFonts w:cs="Arial"/>
        </w:rPr>
        <w:t>20</w:t>
      </w:r>
      <w:r w:rsidRPr="0061069B">
        <w:rPr>
          <w:rFonts w:cs="Arial"/>
        </w:rPr>
        <w:t xml:space="preserve">; 24%). Over the study period, the mean population rate of </w:t>
      </w:r>
      <w:r w:rsidR="008900FF">
        <w:rPr>
          <w:rFonts w:cs="Arial"/>
        </w:rPr>
        <w:t>hospitalis</w:t>
      </w:r>
      <w:r w:rsidRPr="0061069B">
        <w:rPr>
          <w:rFonts w:cs="Arial"/>
        </w:rPr>
        <w:t xml:space="preserve">ation was highest in children aged under 24 months of age (51.3 per 1,000) and </w:t>
      </w:r>
      <w:r w:rsidR="00A95BB3" w:rsidRPr="00940D5E">
        <w:rPr>
          <w:rFonts w:cs="Arial"/>
        </w:rPr>
        <w:t>24-59</w:t>
      </w:r>
      <w:r w:rsidRPr="0061069B">
        <w:rPr>
          <w:rFonts w:cs="Arial"/>
        </w:rPr>
        <w:t xml:space="preserve"> months of age (15.4 per 1,000)</w:t>
      </w:r>
      <w:r w:rsidR="00B73DE5">
        <w:rPr>
          <w:rFonts w:cs="Arial"/>
        </w:rPr>
        <w:t>.</w:t>
      </w:r>
    </w:p>
    <w:p w14:paraId="233FBA7A" w14:textId="6EEEACA9" w:rsidR="0061069B" w:rsidRPr="00F4746A" w:rsidRDefault="0061069B" w:rsidP="00F4746A">
      <w:pPr>
        <w:widowControl w:val="0"/>
        <w:autoSpaceDE w:val="0"/>
        <w:autoSpaceDN w:val="0"/>
        <w:adjustRightInd w:val="0"/>
        <w:spacing w:line="480" w:lineRule="auto"/>
        <w:rPr>
          <w:rFonts w:cs="Arial"/>
        </w:rPr>
      </w:pPr>
      <w:r w:rsidRPr="00F4746A">
        <w:rPr>
          <w:rFonts w:cs="Arial"/>
        </w:rPr>
        <w:t xml:space="preserve">During the 2009/10 </w:t>
      </w:r>
      <w:r w:rsidR="00FC138A" w:rsidRPr="00F4746A">
        <w:rPr>
          <w:rFonts w:cs="Arial"/>
        </w:rPr>
        <w:t>influenza</w:t>
      </w:r>
      <w:r w:rsidRPr="00F4746A">
        <w:rPr>
          <w:rFonts w:cs="Arial"/>
        </w:rPr>
        <w:t xml:space="preserve"> season, when the H1N1 pandemic occurred, the proportion of </w:t>
      </w:r>
      <w:r w:rsidR="008900FF">
        <w:rPr>
          <w:rFonts w:cs="Arial"/>
        </w:rPr>
        <w:lastRenderedPageBreak/>
        <w:t>hospitalis</w:t>
      </w:r>
      <w:r w:rsidR="00CA757C">
        <w:rPr>
          <w:rFonts w:cs="Arial"/>
        </w:rPr>
        <w:t>ations</w:t>
      </w:r>
      <w:r w:rsidR="00CA757C" w:rsidRPr="00F4746A">
        <w:rPr>
          <w:rFonts w:cs="Arial"/>
        </w:rPr>
        <w:t xml:space="preserve"> </w:t>
      </w:r>
      <w:r w:rsidR="00D82DF6">
        <w:rPr>
          <w:rFonts w:cs="Arial"/>
        </w:rPr>
        <w:t>corresponding to</w:t>
      </w:r>
      <w:r w:rsidR="00E65689">
        <w:rPr>
          <w:rFonts w:cs="Arial"/>
        </w:rPr>
        <w:t xml:space="preserve"> patients </w:t>
      </w:r>
      <w:r w:rsidRPr="00F4746A">
        <w:rPr>
          <w:rFonts w:cs="Arial"/>
        </w:rPr>
        <w:t>65+ year olds was at its lowest</w:t>
      </w:r>
      <w:r w:rsidR="00E65689">
        <w:rPr>
          <w:rFonts w:cs="Arial"/>
        </w:rPr>
        <w:t xml:space="preserve"> </w:t>
      </w:r>
      <w:r w:rsidRPr="00F4746A">
        <w:rPr>
          <w:rFonts w:cs="Arial"/>
        </w:rPr>
        <w:t xml:space="preserve">(Figure </w:t>
      </w:r>
      <w:r w:rsidR="00434411">
        <w:rPr>
          <w:rFonts w:cs="Arial"/>
        </w:rPr>
        <w:t>1</w:t>
      </w:r>
      <w:r w:rsidR="00586B9A">
        <w:rPr>
          <w:rFonts w:cs="Arial"/>
        </w:rPr>
        <w:t>; supplementary S1-Table 2</w:t>
      </w:r>
      <w:r w:rsidRPr="00F4746A">
        <w:rPr>
          <w:rFonts w:cs="Arial"/>
        </w:rPr>
        <w:t>)</w:t>
      </w:r>
      <w:r w:rsidR="00E65689">
        <w:rPr>
          <w:rFonts w:cs="Arial"/>
        </w:rPr>
        <w:t xml:space="preserve">, </w:t>
      </w:r>
      <w:r w:rsidRPr="00F4746A">
        <w:rPr>
          <w:rFonts w:cs="Arial"/>
        </w:rPr>
        <w:t>reflect</w:t>
      </w:r>
      <w:r w:rsidR="00565368">
        <w:rPr>
          <w:rFonts w:cs="Arial"/>
        </w:rPr>
        <w:t>ing</w:t>
      </w:r>
      <w:r w:rsidRPr="00F4746A">
        <w:rPr>
          <w:rFonts w:cs="Arial"/>
        </w:rPr>
        <w:t xml:space="preserve"> </w:t>
      </w:r>
      <w:r w:rsidR="00565368">
        <w:rPr>
          <w:rFonts w:cs="Arial"/>
        </w:rPr>
        <w:t>the</w:t>
      </w:r>
      <w:r w:rsidRPr="00F4746A">
        <w:rPr>
          <w:rFonts w:cs="Arial"/>
        </w:rPr>
        <w:t xml:space="preserve"> shift towards younger adults observed during the H1N1 pandemic.</w:t>
      </w:r>
      <w:r w:rsidR="00F4746A">
        <w:rPr>
          <w:rFonts w:cs="Arial"/>
        </w:rPr>
        <w:t xml:space="preserve"> </w:t>
      </w:r>
      <w:r w:rsidRPr="00F4746A">
        <w:rPr>
          <w:rFonts w:cs="Arial"/>
        </w:rPr>
        <w:t>Forty-eight percent (n=42,712) of</w:t>
      </w:r>
      <w:r w:rsidR="00D82DF6">
        <w:rPr>
          <w:rFonts w:cs="Arial"/>
        </w:rPr>
        <w:t xml:space="preserve"> </w:t>
      </w:r>
      <w:r w:rsidR="008900FF">
        <w:rPr>
          <w:rFonts w:cs="Arial"/>
        </w:rPr>
        <w:t>hospitalis</w:t>
      </w:r>
      <w:r w:rsidR="00D82DF6">
        <w:rPr>
          <w:rFonts w:cs="Arial"/>
        </w:rPr>
        <w:t xml:space="preserve">ation </w:t>
      </w:r>
      <w:r w:rsidRPr="00F4746A">
        <w:rPr>
          <w:rFonts w:cs="Arial"/>
        </w:rPr>
        <w:t>had an ICD</w:t>
      </w:r>
      <w:r w:rsidR="00D7551C">
        <w:rPr>
          <w:rFonts w:cs="Arial"/>
        </w:rPr>
        <w:t>-</w:t>
      </w:r>
      <w:r w:rsidRPr="00F4746A">
        <w:rPr>
          <w:rFonts w:cs="Arial"/>
        </w:rPr>
        <w:t xml:space="preserve">10 clinical code </w:t>
      </w:r>
      <w:r w:rsidR="0056578A">
        <w:rPr>
          <w:rFonts w:cs="Arial"/>
        </w:rPr>
        <w:t>that</w:t>
      </w:r>
      <w:r w:rsidRPr="00F4746A">
        <w:rPr>
          <w:rFonts w:cs="Arial"/>
        </w:rPr>
        <w:t xml:space="preserve"> indicated a comorbidity. The </w:t>
      </w:r>
      <w:r w:rsidR="00D7551C">
        <w:rPr>
          <w:rFonts w:cs="Arial"/>
        </w:rPr>
        <w:t xml:space="preserve">two </w:t>
      </w:r>
      <w:r w:rsidRPr="00F4746A">
        <w:rPr>
          <w:rFonts w:cs="Arial"/>
        </w:rPr>
        <w:t>most common comorbidit</w:t>
      </w:r>
      <w:r w:rsidR="00D7551C">
        <w:rPr>
          <w:rFonts w:cs="Arial"/>
        </w:rPr>
        <w:t>ies</w:t>
      </w:r>
      <w:r w:rsidRPr="00F4746A">
        <w:rPr>
          <w:rFonts w:cs="Arial"/>
        </w:rPr>
        <w:t xml:space="preserve"> w</w:t>
      </w:r>
      <w:r w:rsidR="00D7551C">
        <w:rPr>
          <w:rFonts w:cs="Arial"/>
        </w:rPr>
        <w:t>ere</w:t>
      </w:r>
      <w:r w:rsidRPr="00F4746A">
        <w:rPr>
          <w:rFonts w:cs="Arial"/>
        </w:rPr>
        <w:t xml:space="preserve"> heart disease (n=19,293; 45%) </w:t>
      </w:r>
      <w:r w:rsidR="00D7551C">
        <w:rPr>
          <w:rFonts w:cs="Arial"/>
        </w:rPr>
        <w:t xml:space="preserve">and </w:t>
      </w:r>
      <w:r w:rsidRPr="00F4746A">
        <w:rPr>
          <w:rFonts w:cs="Arial"/>
        </w:rPr>
        <w:t>chronic respiratory condition</w:t>
      </w:r>
      <w:r w:rsidR="00565368">
        <w:rPr>
          <w:rFonts w:cs="Arial"/>
        </w:rPr>
        <w:t>s</w:t>
      </w:r>
      <w:r w:rsidRPr="00F4746A">
        <w:rPr>
          <w:rFonts w:cs="Arial"/>
        </w:rPr>
        <w:t xml:space="preserve"> (n=15,755; 37%). The proportion of </w:t>
      </w:r>
      <w:r w:rsidR="008900FF">
        <w:rPr>
          <w:rFonts w:cs="Arial"/>
        </w:rPr>
        <w:t>hospitalis</w:t>
      </w:r>
      <w:r w:rsidRPr="00F4746A">
        <w:rPr>
          <w:rFonts w:cs="Arial"/>
        </w:rPr>
        <w:t>ations with comorbidities for complicated influenza increased with age</w:t>
      </w:r>
      <w:r w:rsidR="00D7551C">
        <w:rPr>
          <w:rFonts w:cs="Arial"/>
        </w:rPr>
        <w:t>,</w:t>
      </w:r>
      <w:r w:rsidRPr="00F4746A">
        <w:rPr>
          <w:rFonts w:cs="Arial"/>
        </w:rPr>
        <w:t xml:space="preserve"> and </w:t>
      </w:r>
      <w:r w:rsidR="00CF72F9">
        <w:rPr>
          <w:rFonts w:cs="Arial"/>
        </w:rPr>
        <w:t xml:space="preserve">was slightly greater in </w:t>
      </w:r>
      <w:r w:rsidRPr="00F4746A">
        <w:rPr>
          <w:rFonts w:cs="Arial"/>
        </w:rPr>
        <w:t>male</w:t>
      </w:r>
      <w:r w:rsidR="00CF72F9">
        <w:rPr>
          <w:rFonts w:cs="Arial"/>
        </w:rPr>
        <w:t>s</w:t>
      </w:r>
      <w:r w:rsidRPr="00F4746A">
        <w:rPr>
          <w:rFonts w:cs="Arial"/>
        </w:rPr>
        <w:t xml:space="preserve"> (n=22,444; 53%).</w:t>
      </w:r>
    </w:p>
    <w:p w14:paraId="7347EEAB" w14:textId="3C14462C" w:rsidR="0056578A" w:rsidRPr="0056578A" w:rsidRDefault="0061069B" w:rsidP="00B73DE5">
      <w:pPr>
        <w:pStyle w:val="Heading3"/>
        <w:spacing w:line="480" w:lineRule="auto"/>
      </w:pPr>
      <w:r w:rsidRPr="0061069B">
        <w:t xml:space="preserve">Association between </w:t>
      </w:r>
      <w:r w:rsidR="008900FF">
        <w:t>hospitalis</w:t>
      </w:r>
      <w:r w:rsidRPr="0061069B">
        <w:t>ation rates and socioeconomic deprivation</w:t>
      </w:r>
    </w:p>
    <w:p w14:paraId="285539A1" w14:textId="2F17B32C" w:rsidR="003D3248" w:rsidRDefault="00A055FD" w:rsidP="003D3248">
      <w:pPr>
        <w:widowControl w:val="0"/>
        <w:autoSpaceDE w:val="0"/>
        <w:autoSpaceDN w:val="0"/>
        <w:adjustRightInd w:val="0"/>
        <w:spacing w:line="480" w:lineRule="auto"/>
        <w:rPr>
          <w:rFonts w:cs="Arial"/>
        </w:rPr>
      </w:pPr>
      <w:r>
        <w:rPr>
          <w:rFonts w:cs="Arial"/>
        </w:rPr>
        <w:t>Over h</w:t>
      </w:r>
      <w:r w:rsidR="0061069B" w:rsidRPr="00F4746A">
        <w:rPr>
          <w:rFonts w:cs="Arial"/>
        </w:rPr>
        <w:t xml:space="preserve">alf of </w:t>
      </w:r>
      <w:r w:rsidR="00327B76">
        <w:rPr>
          <w:rFonts w:cs="Arial"/>
        </w:rPr>
        <w:t>the</w:t>
      </w:r>
      <w:r w:rsidR="00327B76" w:rsidRPr="00F4746A">
        <w:rPr>
          <w:rFonts w:cs="Arial"/>
        </w:rPr>
        <w:t xml:space="preserve"> </w:t>
      </w:r>
      <w:r w:rsidR="00A05A1B">
        <w:rPr>
          <w:rFonts w:cs="Arial"/>
        </w:rPr>
        <w:t>hospitalisations</w:t>
      </w:r>
      <w:r w:rsidR="00A05A1B" w:rsidRPr="00F4746A">
        <w:rPr>
          <w:rFonts w:cs="Arial"/>
        </w:rPr>
        <w:t xml:space="preserve"> </w:t>
      </w:r>
      <w:r w:rsidR="00F4746A" w:rsidRPr="00F4746A">
        <w:rPr>
          <w:rFonts w:cs="Arial"/>
        </w:rPr>
        <w:t>(n=4</w:t>
      </w:r>
      <w:r>
        <w:rPr>
          <w:rFonts w:cs="Arial"/>
        </w:rPr>
        <w:t>7</w:t>
      </w:r>
      <w:r w:rsidR="00F4746A" w:rsidRPr="00F4746A">
        <w:rPr>
          <w:rFonts w:cs="Arial"/>
        </w:rPr>
        <w:t>,</w:t>
      </w:r>
      <w:r>
        <w:rPr>
          <w:rFonts w:cs="Arial"/>
        </w:rPr>
        <w:t>008</w:t>
      </w:r>
      <w:r w:rsidR="00F4746A" w:rsidRPr="00F4746A">
        <w:rPr>
          <w:rFonts w:cs="Arial"/>
        </w:rPr>
        <w:t xml:space="preserve">; </w:t>
      </w:r>
      <w:r>
        <w:rPr>
          <w:rFonts w:cs="Arial"/>
        </w:rPr>
        <w:t>53</w:t>
      </w:r>
      <w:r w:rsidR="00F4746A" w:rsidRPr="00F4746A">
        <w:rPr>
          <w:rFonts w:cs="Arial"/>
        </w:rPr>
        <w:t>%)</w:t>
      </w:r>
      <w:r w:rsidR="00F4746A">
        <w:rPr>
          <w:rFonts w:cs="Arial"/>
        </w:rPr>
        <w:t xml:space="preserve"> </w:t>
      </w:r>
      <w:r w:rsidR="0061069B" w:rsidRPr="00F4746A">
        <w:rPr>
          <w:rFonts w:cs="Arial"/>
        </w:rPr>
        <w:t xml:space="preserve">occurred among those living in the most socioeconomically deprived quintile </w:t>
      </w:r>
      <w:r w:rsidR="006230F7">
        <w:rPr>
          <w:rFonts w:cs="Arial"/>
        </w:rPr>
        <w:t>(Table 1)</w:t>
      </w:r>
      <w:r w:rsidR="0061069B" w:rsidRPr="00F4746A">
        <w:rPr>
          <w:rFonts w:cs="Arial"/>
        </w:rPr>
        <w:t xml:space="preserve">. </w:t>
      </w:r>
      <w:r w:rsidR="00A7750D">
        <w:rPr>
          <w:rFonts w:cs="Arial"/>
        </w:rPr>
        <w:t>Overall, t</w:t>
      </w:r>
      <w:r w:rsidR="009C0900">
        <w:rPr>
          <w:rFonts w:cs="Arial"/>
        </w:rPr>
        <w:t>he proportion of hospitalisations</w:t>
      </w:r>
      <w:r w:rsidR="00102BEB">
        <w:rPr>
          <w:rFonts w:cs="Arial"/>
        </w:rPr>
        <w:t xml:space="preserve"> for IAI with a comorbidity was lower in the most deprived quintile </w:t>
      </w:r>
      <w:r w:rsidR="009C0900">
        <w:rPr>
          <w:rFonts w:cs="Arial"/>
        </w:rPr>
        <w:t xml:space="preserve">(47%: n=22167/47008; p=0.01) </w:t>
      </w:r>
      <w:r w:rsidR="00102BEB">
        <w:rPr>
          <w:rFonts w:cs="Arial"/>
        </w:rPr>
        <w:t>compared to the least deprived (49%</w:t>
      </w:r>
      <w:r w:rsidR="009C0900">
        <w:rPr>
          <w:rFonts w:cs="Arial"/>
        </w:rPr>
        <w:t>:</w:t>
      </w:r>
      <w:r w:rsidR="00102BEB">
        <w:rPr>
          <w:rFonts w:cs="Arial"/>
        </w:rPr>
        <w:t xml:space="preserve"> n=2672/5454) (Table 1). </w:t>
      </w:r>
      <w:r w:rsidR="00A7750D">
        <w:rPr>
          <w:rFonts w:cs="Arial"/>
        </w:rPr>
        <w:t xml:space="preserve">In respect to age group, a similar proportion </w:t>
      </w:r>
      <w:r w:rsidR="00E02FFB">
        <w:rPr>
          <w:rFonts w:cs="Arial"/>
        </w:rPr>
        <w:t>of children aged &lt;24 months</w:t>
      </w:r>
      <w:r w:rsidR="00A7750D">
        <w:rPr>
          <w:rFonts w:cs="Arial"/>
        </w:rPr>
        <w:t xml:space="preserve"> (range: 6-7%)</w:t>
      </w:r>
      <w:r w:rsidR="00E02FFB">
        <w:rPr>
          <w:rFonts w:cs="Arial"/>
        </w:rPr>
        <w:t xml:space="preserve"> and adults 65+ years </w:t>
      </w:r>
      <w:r w:rsidR="00A7750D">
        <w:rPr>
          <w:rFonts w:cs="Arial"/>
        </w:rPr>
        <w:t>of age (range 79-81%) had comorbidities across the deprivation strata (Table 1). However, among children aged 5-14 years and among 15-39 year olds and 40-64 years olds the proportion of IAI hospitalisations that had a comorbidity was highe</w:t>
      </w:r>
      <w:r w:rsidR="000F6648">
        <w:rPr>
          <w:rFonts w:cs="Arial"/>
        </w:rPr>
        <w:t>st</w:t>
      </w:r>
      <w:r w:rsidR="00A7750D">
        <w:rPr>
          <w:rFonts w:cs="Arial"/>
        </w:rPr>
        <w:t xml:space="preserve"> in the most deprived quintiles (Table 1). </w:t>
      </w:r>
      <w:r w:rsidR="00102BEB">
        <w:rPr>
          <w:rFonts w:cs="Arial"/>
        </w:rPr>
        <w:t>B</w:t>
      </w:r>
      <w:r w:rsidR="0061069B" w:rsidRPr="00F4746A">
        <w:rPr>
          <w:rFonts w:cs="Arial"/>
        </w:rPr>
        <w:t xml:space="preserve">elow the age of </w:t>
      </w:r>
      <w:r w:rsidR="00A36EF0">
        <w:rPr>
          <w:rFonts w:cs="Arial"/>
        </w:rPr>
        <w:t>5</w:t>
      </w:r>
      <w:r w:rsidR="00A36EF0" w:rsidRPr="00F4746A">
        <w:rPr>
          <w:rFonts w:cs="Arial"/>
        </w:rPr>
        <w:t xml:space="preserve"> </w:t>
      </w:r>
      <w:r w:rsidR="0061069B" w:rsidRPr="00F4746A">
        <w:rPr>
          <w:rFonts w:cs="Arial"/>
        </w:rPr>
        <w:t xml:space="preserve">years there was little difference in </w:t>
      </w:r>
      <w:r w:rsidR="008900FF">
        <w:rPr>
          <w:rFonts w:cs="Arial"/>
        </w:rPr>
        <w:t>hospitalis</w:t>
      </w:r>
      <w:r w:rsidR="0061069B" w:rsidRPr="00F4746A">
        <w:rPr>
          <w:rFonts w:cs="Arial"/>
        </w:rPr>
        <w:t>ation rates between the deprivation quintiles</w:t>
      </w:r>
      <w:r w:rsidR="00A73069">
        <w:rPr>
          <w:rFonts w:cs="Arial"/>
        </w:rPr>
        <w:t xml:space="preserve"> (Figure </w:t>
      </w:r>
      <w:r w:rsidR="00434411">
        <w:rPr>
          <w:rFonts w:cs="Arial"/>
        </w:rPr>
        <w:t>2</w:t>
      </w:r>
      <w:r w:rsidR="00A73069">
        <w:rPr>
          <w:rFonts w:cs="Arial"/>
        </w:rPr>
        <w:t>)</w:t>
      </w:r>
      <w:r w:rsidR="005424D0">
        <w:rPr>
          <w:rFonts w:cs="Arial"/>
        </w:rPr>
        <w:t>;</w:t>
      </w:r>
      <w:r w:rsidR="00A36EF0">
        <w:rPr>
          <w:rFonts w:cs="Arial"/>
        </w:rPr>
        <w:t xml:space="preserve"> </w:t>
      </w:r>
      <w:r w:rsidR="00E80DBB">
        <w:rPr>
          <w:rFonts w:cs="Arial"/>
        </w:rPr>
        <w:t xml:space="preserve">for example, </w:t>
      </w:r>
      <w:r w:rsidR="005424D0">
        <w:rPr>
          <w:rFonts w:cs="Arial"/>
        </w:rPr>
        <w:t>the</w:t>
      </w:r>
      <w:r w:rsidR="00A36EF0">
        <w:rPr>
          <w:rFonts w:cs="Arial"/>
        </w:rPr>
        <w:t xml:space="preserve"> mean</w:t>
      </w:r>
      <w:r w:rsidR="005424D0">
        <w:rPr>
          <w:rFonts w:cs="Arial"/>
        </w:rPr>
        <w:t xml:space="preserve"> rate of IAI </w:t>
      </w:r>
      <w:r w:rsidR="008900FF">
        <w:rPr>
          <w:rFonts w:cs="Arial"/>
        </w:rPr>
        <w:t>hospitalis</w:t>
      </w:r>
      <w:r w:rsidR="00A36EF0">
        <w:rPr>
          <w:rFonts w:cs="Arial"/>
        </w:rPr>
        <w:t xml:space="preserve">ations over the study period </w:t>
      </w:r>
      <w:r w:rsidR="005424D0">
        <w:rPr>
          <w:rFonts w:cs="Arial"/>
        </w:rPr>
        <w:t xml:space="preserve">was </w:t>
      </w:r>
      <w:r w:rsidR="00A36EF0">
        <w:rPr>
          <w:rFonts w:cs="Arial"/>
        </w:rPr>
        <w:t>26</w:t>
      </w:r>
      <w:r w:rsidR="00B82A4B">
        <w:rPr>
          <w:rFonts w:cs="Arial"/>
        </w:rPr>
        <w:t>.5</w:t>
      </w:r>
      <w:r w:rsidR="009F7B25">
        <w:rPr>
          <w:rFonts w:cs="Arial"/>
        </w:rPr>
        <w:t xml:space="preserve"> </w:t>
      </w:r>
      <w:r w:rsidR="005424D0">
        <w:rPr>
          <w:rFonts w:cs="Arial"/>
        </w:rPr>
        <w:t>per 1</w:t>
      </w:r>
      <w:r w:rsidR="00343C4C">
        <w:rPr>
          <w:rFonts w:cs="Arial"/>
        </w:rPr>
        <w:t>,</w:t>
      </w:r>
      <w:r w:rsidR="005424D0">
        <w:rPr>
          <w:rFonts w:cs="Arial"/>
        </w:rPr>
        <w:t xml:space="preserve">000 population in the most deprived quintile </w:t>
      </w:r>
      <w:r w:rsidR="00274AE8">
        <w:rPr>
          <w:rFonts w:cs="Arial"/>
        </w:rPr>
        <w:t xml:space="preserve">and </w:t>
      </w:r>
      <w:r w:rsidR="00A36EF0">
        <w:rPr>
          <w:rFonts w:cs="Arial"/>
        </w:rPr>
        <w:t>3</w:t>
      </w:r>
      <w:r w:rsidR="00B82A4B">
        <w:rPr>
          <w:rFonts w:cs="Arial"/>
        </w:rPr>
        <w:t>1.4</w:t>
      </w:r>
      <w:r w:rsidR="009F7B25">
        <w:rPr>
          <w:rFonts w:cs="Arial"/>
        </w:rPr>
        <w:t xml:space="preserve"> </w:t>
      </w:r>
      <w:r w:rsidR="00A73069">
        <w:rPr>
          <w:rFonts w:cs="Arial"/>
        </w:rPr>
        <w:t>per 1</w:t>
      </w:r>
      <w:r w:rsidR="00343C4C">
        <w:rPr>
          <w:rFonts w:cs="Arial"/>
        </w:rPr>
        <w:t>,</w:t>
      </w:r>
      <w:r w:rsidR="00A73069">
        <w:rPr>
          <w:rFonts w:cs="Arial"/>
        </w:rPr>
        <w:t xml:space="preserve">000 population </w:t>
      </w:r>
      <w:r w:rsidR="005424D0">
        <w:rPr>
          <w:rFonts w:cs="Arial"/>
        </w:rPr>
        <w:t>in the least deprived</w:t>
      </w:r>
      <w:r w:rsidR="0061069B" w:rsidRPr="00F4746A">
        <w:rPr>
          <w:rFonts w:cs="Arial"/>
        </w:rPr>
        <w:t>.</w:t>
      </w:r>
      <w:r w:rsidR="00A36EF0">
        <w:rPr>
          <w:rFonts w:cs="Arial"/>
        </w:rPr>
        <w:t xml:space="preserve"> </w:t>
      </w:r>
      <w:r w:rsidR="006A376B">
        <w:rPr>
          <w:rFonts w:cs="Arial"/>
        </w:rPr>
        <w:t xml:space="preserve">For </w:t>
      </w:r>
      <w:r w:rsidR="00A36EF0">
        <w:rPr>
          <w:rFonts w:cs="Arial"/>
        </w:rPr>
        <w:t xml:space="preserve">children aged 5-14 years </w:t>
      </w:r>
      <w:r w:rsidR="00E80DBB">
        <w:rPr>
          <w:rFonts w:cs="Arial"/>
        </w:rPr>
        <w:t>the</w:t>
      </w:r>
      <w:r w:rsidR="00A36EF0">
        <w:rPr>
          <w:rFonts w:cs="Arial"/>
        </w:rPr>
        <w:t xml:space="preserve"> risk of IAI hospitalisation </w:t>
      </w:r>
      <w:r w:rsidR="00E80DBB">
        <w:rPr>
          <w:rFonts w:cs="Arial"/>
        </w:rPr>
        <w:t xml:space="preserve">was 1.2 times among those from the </w:t>
      </w:r>
      <w:r w:rsidR="00A36EF0">
        <w:rPr>
          <w:rFonts w:cs="Arial"/>
        </w:rPr>
        <w:t>most deprived compare to the least depri</w:t>
      </w:r>
      <w:r w:rsidR="00E80DBB">
        <w:rPr>
          <w:rFonts w:cs="Arial"/>
        </w:rPr>
        <w:t>ved (IRR=1.2</w:t>
      </w:r>
      <w:r w:rsidR="00B82A4B">
        <w:rPr>
          <w:rFonts w:cs="Arial"/>
        </w:rPr>
        <w:t>3</w:t>
      </w:r>
      <w:r w:rsidR="00E80DBB">
        <w:rPr>
          <w:rFonts w:cs="Arial"/>
        </w:rPr>
        <w:t>: 95% CI; 1.0</w:t>
      </w:r>
      <w:r w:rsidR="00B82A4B">
        <w:rPr>
          <w:rFonts w:cs="Arial"/>
        </w:rPr>
        <w:t>4</w:t>
      </w:r>
      <w:r w:rsidR="00E80DBB">
        <w:rPr>
          <w:rFonts w:cs="Arial"/>
        </w:rPr>
        <w:t>-1.4</w:t>
      </w:r>
      <w:r w:rsidR="00B82A4B">
        <w:rPr>
          <w:rFonts w:cs="Arial"/>
        </w:rPr>
        <w:t>7</w:t>
      </w:r>
      <w:r w:rsidR="00E80DBB">
        <w:rPr>
          <w:rFonts w:cs="Arial"/>
        </w:rPr>
        <w:t>; p=0.</w:t>
      </w:r>
      <w:r w:rsidR="00B82A4B">
        <w:rPr>
          <w:rFonts w:cs="Arial"/>
        </w:rPr>
        <w:t>019</w:t>
      </w:r>
      <w:r w:rsidR="00E80DBB">
        <w:rPr>
          <w:rFonts w:cs="Arial"/>
        </w:rPr>
        <w:t>).</w:t>
      </w:r>
      <w:r w:rsidR="0061069B" w:rsidRPr="00F4746A">
        <w:rPr>
          <w:rFonts w:cs="Arial"/>
        </w:rPr>
        <w:t xml:space="preserve"> In those aged 15-39 years the risk of </w:t>
      </w:r>
      <w:r w:rsidR="008900FF">
        <w:rPr>
          <w:rFonts w:cs="Arial"/>
        </w:rPr>
        <w:t>hospitalis</w:t>
      </w:r>
      <w:r w:rsidR="0061069B" w:rsidRPr="00F4746A">
        <w:rPr>
          <w:rFonts w:cs="Arial"/>
        </w:rPr>
        <w:t xml:space="preserve">ation </w:t>
      </w:r>
      <w:r w:rsidR="0056578A">
        <w:rPr>
          <w:rFonts w:cs="Arial"/>
        </w:rPr>
        <w:t xml:space="preserve">was over 2 times higher </w:t>
      </w:r>
      <w:r w:rsidR="00A54481">
        <w:rPr>
          <w:rFonts w:cs="Arial"/>
        </w:rPr>
        <w:t>(</w:t>
      </w:r>
      <w:r w:rsidR="0056578A">
        <w:rPr>
          <w:rFonts w:cs="Arial"/>
        </w:rPr>
        <w:t>IRR=2.</w:t>
      </w:r>
      <w:r w:rsidR="00B82A4B">
        <w:rPr>
          <w:rFonts w:cs="Arial"/>
        </w:rPr>
        <w:t>08</w:t>
      </w:r>
      <w:r w:rsidR="0056578A">
        <w:rPr>
          <w:rFonts w:cs="Arial"/>
        </w:rPr>
        <w:t>: 95% CI; 1.</w:t>
      </w:r>
      <w:r w:rsidR="00C03388">
        <w:rPr>
          <w:rFonts w:cs="Arial"/>
        </w:rPr>
        <w:t>76</w:t>
      </w:r>
      <w:r w:rsidR="0056578A">
        <w:rPr>
          <w:rFonts w:cs="Arial"/>
        </w:rPr>
        <w:t>-2.</w:t>
      </w:r>
      <w:r w:rsidR="00B82A4B">
        <w:rPr>
          <w:rFonts w:cs="Arial"/>
        </w:rPr>
        <w:t>45</w:t>
      </w:r>
      <w:r w:rsidR="0056578A">
        <w:rPr>
          <w:rFonts w:cs="Arial"/>
        </w:rPr>
        <w:t xml:space="preserve">; p&lt;0.001) among residents in the most deprived areas in comparison to those </w:t>
      </w:r>
      <w:r w:rsidR="0061069B" w:rsidRPr="00F4746A">
        <w:rPr>
          <w:rFonts w:cs="Arial"/>
        </w:rPr>
        <w:t xml:space="preserve">in the least deprived quintile; in adults aged 40-64 years it was 2.6 times higher </w:t>
      </w:r>
      <w:r w:rsidR="00531888">
        <w:rPr>
          <w:rFonts w:cs="Arial"/>
        </w:rPr>
        <w:t>(</w:t>
      </w:r>
      <w:r w:rsidR="00DA1347">
        <w:rPr>
          <w:rFonts w:cs="Arial"/>
        </w:rPr>
        <w:t>IRR=2.6</w:t>
      </w:r>
      <w:r w:rsidR="00B82A4B">
        <w:rPr>
          <w:rFonts w:cs="Arial"/>
        </w:rPr>
        <w:t>5</w:t>
      </w:r>
      <w:r w:rsidR="00DA1347">
        <w:rPr>
          <w:rFonts w:cs="Arial"/>
        </w:rPr>
        <w:t>: 95% CI; 2.3</w:t>
      </w:r>
      <w:r w:rsidR="00B82A4B">
        <w:rPr>
          <w:rFonts w:cs="Arial"/>
        </w:rPr>
        <w:t>5</w:t>
      </w:r>
      <w:r w:rsidR="00DA1347">
        <w:rPr>
          <w:rFonts w:cs="Arial"/>
        </w:rPr>
        <w:t>-</w:t>
      </w:r>
      <w:r w:rsidR="00B82A4B">
        <w:rPr>
          <w:rFonts w:cs="Arial"/>
        </w:rPr>
        <w:t>2.99</w:t>
      </w:r>
      <w:r w:rsidR="000B0D2E">
        <w:rPr>
          <w:rFonts w:cs="Arial"/>
        </w:rPr>
        <w:t>; p&lt;0.001</w:t>
      </w:r>
      <w:r w:rsidR="00531888">
        <w:rPr>
          <w:rFonts w:cs="Arial"/>
        </w:rPr>
        <w:t>)</w:t>
      </w:r>
      <w:r w:rsidR="00DA1347">
        <w:rPr>
          <w:rFonts w:cs="Arial"/>
        </w:rPr>
        <w:t xml:space="preserve"> </w:t>
      </w:r>
      <w:r w:rsidR="0061069B" w:rsidRPr="00F4746A">
        <w:rPr>
          <w:rFonts w:cs="Arial"/>
        </w:rPr>
        <w:t>and 1.</w:t>
      </w:r>
      <w:r w:rsidR="00C03388">
        <w:rPr>
          <w:rFonts w:cs="Arial"/>
        </w:rPr>
        <w:t>9</w:t>
      </w:r>
      <w:r w:rsidR="0061069B" w:rsidRPr="00F4746A">
        <w:rPr>
          <w:rFonts w:cs="Arial"/>
        </w:rPr>
        <w:t xml:space="preserve"> times higher in 65+ year olds</w:t>
      </w:r>
      <w:r w:rsidR="00531888">
        <w:rPr>
          <w:rFonts w:cs="Arial"/>
        </w:rPr>
        <w:t xml:space="preserve"> (</w:t>
      </w:r>
      <w:r w:rsidR="00DA1347">
        <w:rPr>
          <w:rFonts w:cs="Arial"/>
        </w:rPr>
        <w:t>IRR=1.</w:t>
      </w:r>
      <w:r w:rsidR="00B82A4B">
        <w:rPr>
          <w:rFonts w:cs="Arial"/>
        </w:rPr>
        <w:t>90</w:t>
      </w:r>
      <w:r w:rsidR="00DA1347">
        <w:rPr>
          <w:rFonts w:cs="Arial"/>
        </w:rPr>
        <w:t>: 95% CI; 1.</w:t>
      </w:r>
      <w:r w:rsidR="00C03388">
        <w:rPr>
          <w:rFonts w:cs="Arial"/>
        </w:rPr>
        <w:t>7</w:t>
      </w:r>
      <w:r w:rsidR="00B82A4B">
        <w:rPr>
          <w:rFonts w:cs="Arial"/>
        </w:rPr>
        <w:t>3</w:t>
      </w:r>
      <w:r w:rsidR="00DA1347">
        <w:rPr>
          <w:rFonts w:cs="Arial"/>
        </w:rPr>
        <w:t>-2.</w:t>
      </w:r>
      <w:r w:rsidR="00B82A4B">
        <w:rPr>
          <w:rFonts w:cs="Arial"/>
        </w:rPr>
        <w:t>10</w:t>
      </w:r>
      <w:r w:rsidR="000B0D2E">
        <w:rPr>
          <w:rFonts w:cs="Arial"/>
        </w:rPr>
        <w:t>; p&lt;0.001</w:t>
      </w:r>
      <w:r w:rsidR="00531888">
        <w:rPr>
          <w:rFonts w:cs="Arial"/>
        </w:rPr>
        <w:t>)</w:t>
      </w:r>
      <w:r w:rsidR="0061069B" w:rsidRPr="00F4746A">
        <w:rPr>
          <w:rFonts w:cs="Arial"/>
        </w:rPr>
        <w:t xml:space="preserve">. </w:t>
      </w:r>
      <w:r w:rsidR="00887443">
        <w:rPr>
          <w:rFonts w:cs="Arial"/>
        </w:rPr>
        <w:t xml:space="preserve">When including an interaction term for the association between IMD quintile and age group, </w:t>
      </w:r>
      <w:r w:rsidR="00940D5E">
        <w:rPr>
          <w:rFonts w:cs="Arial"/>
        </w:rPr>
        <w:t xml:space="preserve">socioeconomic </w:t>
      </w:r>
      <w:r w:rsidR="00887443">
        <w:rPr>
          <w:rFonts w:cs="Arial"/>
        </w:rPr>
        <w:t xml:space="preserve">deprivation was strongly associated with </w:t>
      </w:r>
      <w:r w:rsidR="00962533">
        <w:rPr>
          <w:rFonts w:cs="Arial"/>
        </w:rPr>
        <w:t xml:space="preserve">an increased </w:t>
      </w:r>
      <w:r w:rsidR="00887443">
        <w:rPr>
          <w:rFonts w:cs="Arial"/>
        </w:rPr>
        <w:t xml:space="preserve">rate of hospitalisation in the 15-39, 40-64 and 65+ year age group. Comparing the least </w:t>
      </w:r>
      <w:r w:rsidR="00887443">
        <w:rPr>
          <w:rFonts w:cs="Arial"/>
        </w:rPr>
        <w:lastRenderedPageBreak/>
        <w:t xml:space="preserve">deprived IMD quintile with the most deprived and 40-64 year olds with &lt;24 month olds, </w:t>
      </w:r>
      <w:r w:rsidR="00962533">
        <w:rPr>
          <w:rFonts w:cs="Arial"/>
        </w:rPr>
        <w:t>risk of hospitalisation was nearly 2.</w:t>
      </w:r>
      <w:r w:rsidR="00466B41">
        <w:rPr>
          <w:rFonts w:cs="Arial"/>
        </w:rPr>
        <w:t xml:space="preserve">4 </w:t>
      </w:r>
      <w:r w:rsidR="00962533">
        <w:rPr>
          <w:rFonts w:cs="Arial"/>
        </w:rPr>
        <w:t>tim</w:t>
      </w:r>
      <w:r w:rsidR="006A376B">
        <w:rPr>
          <w:rFonts w:cs="Arial"/>
        </w:rPr>
        <w:t xml:space="preserve">es </w:t>
      </w:r>
      <w:r w:rsidR="00962533">
        <w:rPr>
          <w:rFonts w:cs="Arial"/>
        </w:rPr>
        <w:t>higher (IRR= 2.</w:t>
      </w:r>
      <w:r w:rsidR="00B82A4B">
        <w:rPr>
          <w:rFonts w:cs="Arial"/>
        </w:rPr>
        <w:t>39</w:t>
      </w:r>
      <w:r w:rsidR="00962533">
        <w:rPr>
          <w:rFonts w:cs="Arial"/>
        </w:rPr>
        <w:t>: 95% CI 1.9</w:t>
      </w:r>
      <w:r w:rsidR="00B82A4B">
        <w:rPr>
          <w:rFonts w:cs="Arial"/>
        </w:rPr>
        <w:t>4</w:t>
      </w:r>
      <w:r w:rsidR="00962533">
        <w:rPr>
          <w:rFonts w:cs="Arial"/>
        </w:rPr>
        <w:t>-</w:t>
      </w:r>
      <w:r w:rsidR="00B82A4B">
        <w:rPr>
          <w:rFonts w:cs="Arial"/>
        </w:rPr>
        <w:t>2.95;</w:t>
      </w:r>
      <w:r w:rsidR="00C866A4">
        <w:rPr>
          <w:rFonts w:cs="Arial"/>
        </w:rPr>
        <w:t xml:space="preserve"> p&lt;0.001</w:t>
      </w:r>
      <w:r w:rsidR="00962533">
        <w:rPr>
          <w:rFonts w:cs="Arial"/>
        </w:rPr>
        <w:t>)</w:t>
      </w:r>
      <w:r w:rsidR="00434411">
        <w:rPr>
          <w:rFonts w:cs="Arial"/>
        </w:rPr>
        <w:t xml:space="preserve"> (</w:t>
      </w:r>
      <w:r w:rsidR="00586B9A">
        <w:rPr>
          <w:rFonts w:cs="Arial"/>
        </w:rPr>
        <w:t>s</w:t>
      </w:r>
      <w:r w:rsidR="00434411">
        <w:rPr>
          <w:rFonts w:cs="Arial"/>
        </w:rPr>
        <w:t xml:space="preserve">upplementary </w:t>
      </w:r>
      <w:r w:rsidR="00586B9A">
        <w:rPr>
          <w:rFonts w:cs="Arial"/>
        </w:rPr>
        <w:t>S1-</w:t>
      </w:r>
      <w:r w:rsidR="00434411">
        <w:rPr>
          <w:rFonts w:cs="Arial"/>
        </w:rPr>
        <w:t>Table 3)</w:t>
      </w:r>
      <w:r w:rsidR="00962533">
        <w:rPr>
          <w:rFonts w:cs="Arial"/>
        </w:rPr>
        <w:t xml:space="preserve">. </w:t>
      </w:r>
      <w:r w:rsidR="00887443">
        <w:rPr>
          <w:rFonts w:cs="Arial"/>
        </w:rPr>
        <w:t>Spatially a</w:t>
      </w:r>
      <w:r w:rsidR="0061069B" w:rsidRPr="00F4746A">
        <w:rPr>
          <w:rFonts w:cs="Arial"/>
        </w:rPr>
        <w:t xml:space="preserve">ge and sex-standardised Incidence ratios (SIRs) for IAI </w:t>
      </w:r>
      <w:r w:rsidR="008900FF">
        <w:rPr>
          <w:rFonts w:cs="Arial"/>
        </w:rPr>
        <w:t>hospitalis</w:t>
      </w:r>
      <w:r w:rsidR="0061069B" w:rsidRPr="00F4746A">
        <w:rPr>
          <w:rFonts w:cs="Arial"/>
        </w:rPr>
        <w:t xml:space="preserve">ations </w:t>
      </w:r>
      <w:r w:rsidR="00F4746A">
        <w:rPr>
          <w:rFonts w:cs="Arial"/>
        </w:rPr>
        <w:t xml:space="preserve">also </w:t>
      </w:r>
      <w:r w:rsidR="0061069B" w:rsidRPr="00F4746A">
        <w:rPr>
          <w:rFonts w:cs="Arial"/>
        </w:rPr>
        <w:t xml:space="preserve">show a </w:t>
      </w:r>
      <w:r w:rsidR="00F6393E">
        <w:rPr>
          <w:rFonts w:cs="Arial"/>
        </w:rPr>
        <w:t xml:space="preserve">visual </w:t>
      </w:r>
      <w:r w:rsidR="0061069B" w:rsidRPr="00F4746A">
        <w:rPr>
          <w:rFonts w:cs="Arial"/>
        </w:rPr>
        <w:t>association with deprivation</w:t>
      </w:r>
      <w:r w:rsidR="00F4746A">
        <w:rPr>
          <w:rFonts w:cs="Arial"/>
        </w:rPr>
        <w:t xml:space="preserve"> over time</w:t>
      </w:r>
      <w:r w:rsidR="0061069B" w:rsidRPr="00F4746A">
        <w:rPr>
          <w:rFonts w:cs="Arial"/>
        </w:rPr>
        <w:t xml:space="preserve">, with higher rates being consistently observed in the most deprived areas (Figure </w:t>
      </w:r>
      <w:r w:rsidR="00434411">
        <w:rPr>
          <w:rFonts w:cs="Arial"/>
        </w:rPr>
        <w:t>3</w:t>
      </w:r>
      <w:r w:rsidR="0061069B" w:rsidRPr="00F4746A">
        <w:rPr>
          <w:rFonts w:cs="Arial"/>
        </w:rPr>
        <w:t xml:space="preserve">). </w:t>
      </w:r>
    </w:p>
    <w:p w14:paraId="6E0FE2A2" w14:textId="68909D31" w:rsidR="00CB64A4" w:rsidRDefault="00CB64A4" w:rsidP="003D3248">
      <w:pPr>
        <w:widowControl w:val="0"/>
        <w:autoSpaceDE w:val="0"/>
        <w:autoSpaceDN w:val="0"/>
        <w:adjustRightInd w:val="0"/>
        <w:spacing w:line="480" w:lineRule="auto"/>
      </w:pPr>
      <w:r w:rsidRPr="00B4734B">
        <w:rPr>
          <w:b/>
          <w:color w:val="5B9BD5" w:themeColor="accent1"/>
        </w:rPr>
        <w:t xml:space="preserve">Table </w:t>
      </w:r>
      <w:r>
        <w:rPr>
          <w:b/>
          <w:color w:val="5B9BD5" w:themeColor="accent1"/>
        </w:rPr>
        <w:t>1</w:t>
      </w:r>
      <w:r w:rsidRPr="00B4734B">
        <w:rPr>
          <w:b/>
          <w:color w:val="5B9BD5" w:themeColor="accent1"/>
        </w:rPr>
        <w:t>.</w:t>
      </w:r>
      <w:r w:rsidRPr="00B4734B">
        <w:rPr>
          <w:color w:val="5B9BD5" w:themeColor="accent1"/>
        </w:rPr>
        <w:t xml:space="preserve"> </w:t>
      </w:r>
      <w:r w:rsidRPr="00501B91">
        <w:t xml:space="preserve">Population of Merseyside admitted to hospital with IAI </w:t>
      </w:r>
      <w:r>
        <w:t>by national IMD quintile between 2004/05 and 2015/16 (N=89058)</w:t>
      </w:r>
      <w:r w:rsidRPr="00501B91">
        <w:t xml:space="preserve">. </w:t>
      </w:r>
    </w:p>
    <w:tbl>
      <w:tblPr>
        <w:tblW w:w="0" w:type="auto"/>
        <w:tblInd w:w="108" w:type="dxa"/>
        <w:shd w:val="clear" w:color="auto" w:fill="FFFFFF" w:themeFill="background1"/>
        <w:tblLook w:val="04A0" w:firstRow="1" w:lastRow="0" w:firstColumn="1" w:lastColumn="0" w:noHBand="0" w:noVBand="1"/>
      </w:tblPr>
      <w:tblGrid>
        <w:gridCol w:w="1912"/>
        <w:gridCol w:w="832"/>
        <w:gridCol w:w="561"/>
        <w:gridCol w:w="645"/>
        <w:gridCol w:w="434"/>
        <w:gridCol w:w="645"/>
        <w:gridCol w:w="434"/>
        <w:gridCol w:w="645"/>
        <w:gridCol w:w="434"/>
        <w:gridCol w:w="918"/>
        <w:gridCol w:w="532"/>
        <w:gridCol w:w="723"/>
        <w:gridCol w:w="419"/>
      </w:tblGrid>
      <w:tr w:rsidR="00CB64A4" w:rsidRPr="00701E75" w14:paraId="30AB0CC6" w14:textId="77777777" w:rsidTr="00983051">
        <w:trPr>
          <w:trHeight w:val="315"/>
        </w:trPr>
        <w:tc>
          <w:tcPr>
            <w:tcW w:w="0" w:type="auto"/>
            <w:vMerge w:val="restart"/>
            <w:tcBorders>
              <w:top w:val="single" w:sz="8" w:space="0" w:color="auto"/>
              <w:left w:val="single" w:sz="8" w:space="0" w:color="auto"/>
              <w:bottom w:val="single" w:sz="8" w:space="0" w:color="000000"/>
              <w:right w:val="nil"/>
            </w:tcBorders>
            <w:shd w:val="clear" w:color="auto" w:fill="595959" w:themeFill="text1" w:themeFillTint="A6"/>
            <w:vAlign w:val="center"/>
            <w:hideMark/>
          </w:tcPr>
          <w:p w14:paraId="72764447" w14:textId="77777777" w:rsidR="00CB64A4" w:rsidRPr="00701E75" w:rsidRDefault="00CB64A4" w:rsidP="00983051">
            <w:pPr>
              <w:spacing w:after="0" w:line="240" w:lineRule="auto"/>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 </w:t>
            </w:r>
          </w:p>
        </w:tc>
        <w:tc>
          <w:tcPr>
            <w:tcW w:w="0" w:type="auto"/>
            <w:gridSpan w:val="10"/>
            <w:tcBorders>
              <w:left w:val="nil"/>
              <w:right w:val="nil"/>
            </w:tcBorders>
            <w:shd w:val="clear" w:color="auto" w:fill="595959" w:themeFill="text1" w:themeFillTint="A6"/>
            <w:vAlign w:val="center"/>
            <w:hideMark/>
          </w:tcPr>
          <w:p w14:paraId="3E26597F"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National Index of Multiple Derivation quintile</w:t>
            </w:r>
          </w:p>
        </w:tc>
        <w:tc>
          <w:tcPr>
            <w:tcW w:w="0" w:type="auto"/>
            <w:gridSpan w:val="2"/>
            <w:vMerge w:val="restart"/>
            <w:tcBorders>
              <w:top w:val="single" w:sz="8" w:space="0" w:color="auto"/>
              <w:left w:val="nil"/>
              <w:right w:val="single" w:sz="8" w:space="0" w:color="auto"/>
            </w:tcBorders>
            <w:shd w:val="clear" w:color="auto" w:fill="595959" w:themeFill="text1" w:themeFillTint="A6"/>
            <w:vAlign w:val="center"/>
            <w:hideMark/>
          </w:tcPr>
          <w:p w14:paraId="604420CC" w14:textId="77777777" w:rsidR="00CB64A4" w:rsidRPr="00701E75" w:rsidRDefault="00CB64A4" w:rsidP="00983051">
            <w:pPr>
              <w:spacing w:after="0" w:line="240" w:lineRule="auto"/>
              <w:jc w:val="center"/>
              <w:rPr>
                <w:rFonts w:eastAsia="Times New Roman" w:cstheme="minorHAnsi"/>
                <w:b/>
                <w:bCs/>
                <w:sz w:val="20"/>
                <w:szCs w:val="20"/>
                <w:lang w:eastAsia="en-GB"/>
              </w:rPr>
            </w:pPr>
            <w:r w:rsidRPr="00701E75">
              <w:rPr>
                <w:rFonts w:eastAsia="Times New Roman" w:cstheme="minorHAnsi"/>
                <w:b/>
                <w:bCs/>
                <w:color w:val="FFFFFF" w:themeColor="background1"/>
                <w:sz w:val="20"/>
                <w:szCs w:val="20"/>
                <w:lang w:eastAsia="en-GB"/>
              </w:rPr>
              <w:t>Total</w:t>
            </w:r>
          </w:p>
        </w:tc>
      </w:tr>
      <w:tr w:rsidR="00CB64A4" w:rsidRPr="00701E75" w14:paraId="053964D0" w14:textId="77777777" w:rsidTr="00983051">
        <w:trPr>
          <w:trHeight w:val="315"/>
        </w:trPr>
        <w:tc>
          <w:tcPr>
            <w:tcW w:w="0" w:type="auto"/>
            <w:vMerge/>
            <w:tcBorders>
              <w:top w:val="single" w:sz="8" w:space="0" w:color="auto"/>
              <w:left w:val="single" w:sz="8" w:space="0" w:color="auto"/>
              <w:bottom w:val="single" w:sz="8" w:space="0" w:color="000000"/>
              <w:right w:val="nil"/>
            </w:tcBorders>
            <w:shd w:val="clear" w:color="auto" w:fill="000000" w:themeFill="text1"/>
            <w:vAlign w:val="center"/>
            <w:hideMark/>
          </w:tcPr>
          <w:p w14:paraId="2D15D987" w14:textId="77777777" w:rsidR="00CB64A4" w:rsidRPr="00701E75" w:rsidRDefault="00CB64A4" w:rsidP="00983051">
            <w:pPr>
              <w:spacing w:after="0" w:line="240" w:lineRule="auto"/>
              <w:rPr>
                <w:rFonts w:eastAsia="Times New Roman" w:cstheme="minorHAnsi"/>
                <w:b/>
                <w:bCs/>
                <w:color w:val="FFFFFF" w:themeColor="background1"/>
                <w:sz w:val="20"/>
                <w:szCs w:val="20"/>
                <w:lang w:eastAsia="en-GB"/>
              </w:rPr>
            </w:pPr>
          </w:p>
        </w:tc>
        <w:tc>
          <w:tcPr>
            <w:tcW w:w="0" w:type="auto"/>
            <w:gridSpan w:val="2"/>
            <w:tcBorders>
              <w:left w:val="nil"/>
              <w:bottom w:val="single" w:sz="4" w:space="0" w:color="auto"/>
              <w:right w:val="nil"/>
            </w:tcBorders>
            <w:shd w:val="clear" w:color="auto" w:fill="595959" w:themeFill="text1" w:themeFillTint="A6"/>
            <w:vAlign w:val="center"/>
            <w:hideMark/>
          </w:tcPr>
          <w:p w14:paraId="3A46E277"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5 (least deprived)</w:t>
            </w:r>
          </w:p>
          <w:p w14:paraId="4C6AC194"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(N=5454)</w:t>
            </w:r>
          </w:p>
        </w:tc>
        <w:tc>
          <w:tcPr>
            <w:tcW w:w="0" w:type="auto"/>
            <w:gridSpan w:val="2"/>
            <w:tcBorders>
              <w:left w:val="nil"/>
              <w:bottom w:val="single" w:sz="4" w:space="0" w:color="auto"/>
              <w:right w:val="nil"/>
            </w:tcBorders>
            <w:shd w:val="clear" w:color="auto" w:fill="595959" w:themeFill="text1" w:themeFillTint="A6"/>
            <w:vAlign w:val="center"/>
            <w:hideMark/>
          </w:tcPr>
          <w:p w14:paraId="36911625"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4</w:t>
            </w:r>
          </w:p>
          <w:p w14:paraId="770B58F0"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(N=10567)</w:t>
            </w:r>
          </w:p>
        </w:tc>
        <w:tc>
          <w:tcPr>
            <w:tcW w:w="0" w:type="auto"/>
            <w:gridSpan w:val="2"/>
            <w:tcBorders>
              <w:left w:val="nil"/>
              <w:bottom w:val="single" w:sz="4" w:space="0" w:color="auto"/>
              <w:right w:val="nil"/>
            </w:tcBorders>
            <w:shd w:val="clear" w:color="auto" w:fill="595959" w:themeFill="text1" w:themeFillTint="A6"/>
            <w:vAlign w:val="center"/>
            <w:hideMark/>
          </w:tcPr>
          <w:p w14:paraId="095FE4AE"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3</w:t>
            </w:r>
          </w:p>
          <w:p w14:paraId="3ED4937E"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(N=12189)</w:t>
            </w:r>
          </w:p>
        </w:tc>
        <w:tc>
          <w:tcPr>
            <w:tcW w:w="0" w:type="auto"/>
            <w:gridSpan w:val="2"/>
            <w:tcBorders>
              <w:left w:val="nil"/>
              <w:bottom w:val="single" w:sz="8" w:space="0" w:color="000000"/>
              <w:right w:val="nil"/>
            </w:tcBorders>
            <w:shd w:val="clear" w:color="auto" w:fill="595959" w:themeFill="text1" w:themeFillTint="A6"/>
            <w:vAlign w:val="center"/>
            <w:hideMark/>
          </w:tcPr>
          <w:p w14:paraId="7C2B3005"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2</w:t>
            </w:r>
          </w:p>
          <w:p w14:paraId="1FDE3B8F"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(N=13840)</w:t>
            </w:r>
          </w:p>
        </w:tc>
        <w:tc>
          <w:tcPr>
            <w:tcW w:w="0" w:type="auto"/>
            <w:gridSpan w:val="2"/>
            <w:tcBorders>
              <w:left w:val="nil"/>
              <w:bottom w:val="single" w:sz="4" w:space="0" w:color="auto"/>
              <w:right w:val="nil"/>
            </w:tcBorders>
            <w:shd w:val="clear" w:color="auto" w:fill="595959" w:themeFill="text1" w:themeFillTint="A6"/>
            <w:vAlign w:val="center"/>
            <w:hideMark/>
          </w:tcPr>
          <w:p w14:paraId="2B9FADA6"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1 (most deprived)</w:t>
            </w:r>
          </w:p>
          <w:p w14:paraId="27D584D6" w14:textId="77777777" w:rsidR="00CB64A4" w:rsidRPr="00701E75" w:rsidRDefault="00CB64A4" w:rsidP="00983051">
            <w:pPr>
              <w:spacing w:after="0" w:line="240" w:lineRule="auto"/>
              <w:jc w:val="center"/>
              <w:rPr>
                <w:rFonts w:eastAsia="Times New Roman" w:cstheme="minorHAnsi"/>
                <w:b/>
                <w:bCs/>
                <w:color w:val="FFFFFF" w:themeColor="background1"/>
                <w:sz w:val="20"/>
                <w:szCs w:val="20"/>
                <w:lang w:eastAsia="en-GB"/>
              </w:rPr>
            </w:pPr>
            <w:r w:rsidRPr="00701E75">
              <w:rPr>
                <w:rFonts w:eastAsia="Times New Roman" w:cstheme="minorHAnsi"/>
                <w:b/>
                <w:bCs/>
                <w:color w:val="FFFFFF" w:themeColor="background1"/>
                <w:sz w:val="20"/>
                <w:szCs w:val="20"/>
                <w:lang w:eastAsia="en-GB"/>
              </w:rPr>
              <w:t>(N=47008)</w:t>
            </w:r>
          </w:p>
        </w:tc>
        <w:tc>
          <w:tcPr>
            <w:tcW w:w="0" w:type="auto"/>
            <w:gridSpan w:val="2"/>
            <w:vMerge/>
            <w:tcBorders>
              <w:left w:val="nil"/>
              <w:bottom w:val="single" w:sz="8" w:space="0" w:color="000000"/>
              <w:right w:val="single" w:sz="8" w:space="0" w:color="auto"/>
            </w:tcBorders>
            <w:shd w:val="clear" w:color="auto" w:fill="000000" w:themeFill="text1"/>
            <w:vAlign w:val="center"/>
            <w:hideMark/>
          </w:tcPr>
          <w:p w14:paraId="4555BCD1" w14:textId="77777777" w:rsidR="00CB64A4" w:rsidRPr="00701E75" w:rsidRDefault="00CB64A4" w:rsidP="00983051">
            <w:pPr>
              <w:spacing w:after="0" w:line="240" w:lineRule="auto"/>
              <w:rPr>
                <w:rFonts w:eastAsia="Times New Roman" w:cstheme="minorHAnsi"/>
                <w:b/>
                <w:bCs/>
                <w:sz w:val="20"/>
                <w:szCs w:val="20"/>
                <w:lang w:eastAsia="en-GB"/>
              </w:rPr>
            </w:pPr>
          </w:p>
        </w:tc>
      </w:tr>
      <w:tr w:rsidR="00CB64A4" w:rsidRPr="00701E75" w14:paraId="5270634B"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05DD2C99" w14:textId="77777777" w:rsidR="00CB64A4" w:rsidRPr="00701E75" w:rsidRDefault="00CB64A4" w:rsidP="00983051">
            <w:pPr>
              <w:spacing w:after="0" w:line="240" w:lineRule="auto"/>
              <w:rPr>
                <w:rFonts w:eastAsia="Times New Roman" w:cstheme="minorHAnsi"/>
                <w:b/>
                <w:bCs/>
                <w:sz w:val="20"/>
                <w:szCs w:val="20"/>
                <w:lang w:eastAsia="en-GB"/>
              </w:rPr>
            </w:pPr>
            <w:r w:rsidRPr="00701E75">
              <w:rPr>
                <w:rFonts w:eastAsia="Times New Roman" w:cstheme="minorHAnsi"/>
                <w:b/>
                <w:bCs/>
                <w:sz w:val="20"/>
                <w:szCs w:val="20"/>
                <w:lang w:eastAsia="en-GB"/>
              </w:rPr>
              <w:t>Sex</w:t>
            </w:r>
          </w:p>
        </w:tc>
        <w:tc>
          <w:tcPr>
            <w:tcW w:w="0" w:type="auto"/>
            <w:tcBorders>
              <w:top w:val="single" w:sz="4" w:space="0" w:color="auto"/>
              <w:left w:val="single" w:sz="4" w:space="0" w:color="auto"/>
              <w:bottom w:val="single" w:sz="8" w:space="0" w:color="000000"/>
              <w:right w:val="nil"/>
            </w:tcBorders>
            <w:shd w:val="clear" w:color="auto" w:fill="FFFFFF" w:themeFill="background1"/>
            <w:vAlign w:val="center"/>
            <w:hideMark/>
          </w:tcPr>
          <w:p w14:paraId="1104A36E"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single" w:sz="4" w:space="0" w:color="auto"/>
              <w:left w:val="nil"/>
              <w:bottom w:val="single" w:sz="8" w:space="0" w:color="000000"/>
              <w:right w:val="single" w:sz="4" w:space="0" w:color="auto"/>
            </w:tcBorders>
            <w:shd w:val="clear" w:color="auto" w:fill="FFFFFF" w:themeFill="background1"/>
            <w:noWrap/>
            <w:vAlign w:val="center"/>
            <w:hideMark/>
          </w:tcPr>
          <w:p w14:paraId="79FE6F20"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c>
          <w:tcPr>
            <w:tcW w:w="0" w:type="auto"/>
            <w:tcBorders>
              <w:top w:val="single" w:sz="4" w:space="0" w:color="auto"/>
              <w:left w:val="single" w:sz="4" w:space="0" w:color="auto"/>
              <w:bottom w:val="single" w:sz="8" w:space="0" w:color="000000"/>
              <w:right w:val="nil"/>
            </w:tcBorders>
            <w:shd w:val="clear" w:color="auto" w:fill="FFFFFF" w:themeFill="background1"/>
            <w:vAlign w:val="center"/>
            <w:hideMark/>
          </w:tcPr>
          <w:p w14:paraId="30FA195C"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single" w:sz="4" w:space="0" w:color="auto"/>
              <w:left w:val="nil"/>
              <w:bottom w:val="single" w:sz="8" w:space="0" w:color="000000"/>
              <w:right w:val="single" w:sz="4" w:space="0" w:color="auto"/>
            </w:tcBorders>
            <w:shd w:val="clear" w:color="auto" w:fill="FFFFFF" w:themeFill="background1"/>
            <w:noWrap/>
            <w:vAlign w:val="center"/>
            <w:hideMark/>
          </w:tcPr>
          <w:p w14:paraId="05ABA648"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c>
          <w:tcPr>
            <w:tcW w:w="0" w:type="auto"/>
            <w:tcBorders>
              <w:top w:val="single" w:sz="4" w:space="0" w:color="auto"/>
              <w:left w:val="single" w:sz="4" w:space="0" w:color="auto"/>
              <w:bottom w:val="single" w:sz="8" w:space="0" w:color="000000"/>
              <w:right w:val="nil"/>
            </w:tcBorders>
            <w:shd w:val="clear" w:color="auto" w:fill="FFFFFF" w:themeFill="background1"/>
            <w:vAlign w:val="center"/>
            <w:hideMark/>
          </w:tcPr>
          <w:p w14:paraId="2516D30D"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single" w:sz="4" w:space="0" w:color="auto"/>
              <w:left w:val="nil"/>
              <w:bottom w:val="single" w:sz="8" w:space="0" w:color="000000"/>
              <w:right w:val="single" w:sz="4" w:space="0" w:color="auto"/>
            </w:tcBorders>
            <w:shd w:val="clear" w:color="auto" w:fill="FFFFFF" w:themeFill="background1"/>
            <w:noWrap/>
            <w:vAlign w:val="center"/>
            <w:hideMark/>
          </w:tcPr>
          <w:p w14:paraId="77AB6AB8"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c>
          <w:tcPr>
            <w:tcW w:w="0" w:type="auto"/>
            <w:tcBorders>
              <w:top w:val="nil"/>
              <w:left w:val="single" w:sz="4" w:space="0" w:color="auto"/>
              <w:bottom w:val="nil"/>
              <w:right w:val="nil"/>
            </w:tcBorders>
            <w:shd w:val="clear" w:color="auto" w:fill="FFFFFF" w:themeFill="background1"/>
            <w:vAlign w:val="center"/>
            <w:hideMark/>
          </w:tcPr>
          <w:p w14:paraId="0629FC40"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nil"/>
              <w:left w:val="nil"/>
              <w:bottom w:val="nil"/>
              <w:right w:val="single" w:sz="4" w:space="0" w:color="auto"/>
            </w:tcBorders>
            <w:shd w:val="clear" w:color="auto" w:fill="FFFFFF" w:themeFill="background1"/>
            <w:noWrap/>
            <w:vAlign w:val="center"/>
            <w:hideMark/>
          </w:tcPr>
          <w:p w14:paraId="13BEC9D7"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c>
          <w:tcPr>
            <w:tcW w:w="0" w:type="auto"/>
            <w:tcBorders>
              <w:top w:val="single" w:sz="4" w:space="0" w:color="auto"/>
              <w:left w:val="single" w:sz="4" w:space="0" w:color="auto"/>
              <w:bottom w:val="single" w:sz="8" w:space="0" w:color="000000"/>
              <w:right w:val="nil"/>
            </w:tcBorders>
            <w:shd w:val="clear" w:color="auto" w:fill="FFFFFF" w:themeFill="background1"/>
            <w:vAlign w:val="center"/>
            <w:hideMark/>
          </w:tcPr>
          <w:p w14:paraId="1952057D"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single" w:sz="4" w:space="0" w:color="auto"/>
              <w:left w:val="nil"/>
              <w:bottom w:val="single" w:sz="8" w:space="0" w:color="000000"/>
              <w:right w:val="single" w:sz="4" w:space="0" w:color="auto"/>
            </w:tcBorders>
            <w:shd w:val="clear" w:color="auto" w:fill="FFFFFF" w:themeFill="background1"/>
            <w:noWrap/>
            <w:vAlign w:val="center"/>
            <w:hideMark/>
          </w:tcPr>
          <w:p w14:paraId="7AA951B7"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c>
          <w:tcPr>
            <w:tcW w:w="0" w:type="auto"/>
            <w:tcBorders>
              <w:top w:val="nil"/>
              <w:left w:val="single" w:sz="4" w:space="0" w:color="auto"/>
              <w:bottom w:val="single" w:sz="8" w:space="0" w:color="000000"/>
            </w:tcBorders>
            <w:shd w:val="clear" w:color="auto" w:fill="FFFFFF" w:themeFill="background1"/>
            <w:vAlign w:val="center"/>
            <w:hideMark/>
          </w:tcPr>
          <w:p w14:paraId="4CB0DA5B"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n</w:t>
            </w:r>
          </w:p>
        </w:tc>
        <w:tc>
          <w:tcPr>
            <w:tcW w:w="0" w:type="auto"/>
            <w:tcBorders>
              <w:top w:val="nil"/>
              <w:bottom w:val="single" w:sz="8" w:space="0" w:color="000000"/>
              <w:right w:val="single" w:sz="8" w:space="0" w:color="auto"/>
            </w:tcBorders>
            <w:shd w:val="clear" w:color="auto" w:fill="FFFFFF" w:themeFill="background1"/>
          </w:tcPr>
          <w:p w14:paraId="37B5BF15" w14:textId="77777777" w:rsidR="00CB64A4" w:rsidRPr="00701E75" w:rsidRDefault="00CB64A4" w:rsidP="00983051">
            <w:pPr>
              <w:spacing w:after="0" w:line="240" w:lineRule="auto"/>
              <w:jc w:val="center"/>
              <w:rPr>
                <w:rFonts w:eastAsia="Times New Roman" w:cstheme="minorHAnsi"/>
                <w:sz w:val="20"/>
                <w:szCs w:val="20"/>
                <w:lang w:eastAsia="en-GB"/>
              </w:rPr>
            </w:pPr>
            <w:r w:rsidRPr="00701E75">
              <w:rPr>
                <w:rFonts w:eastAsia="Times New Roman" w:cstheme="minorHAnsi"/>
                <w:sz w:val="20"/>
                <w:szCs w:val="20"/>
                <w:lang w:eastAsia="en-GB"/>
              </w:rPr>
              <w:t>%</w:t>
            </w:r>
          </w:p>
        </w:tc>
      </w:tr>
      <w:tr w:rsidR="00CB64A4" w:rsidRPr="00701E75" w14:paraId="1FD4FD6D"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3C9E05D8" w14:textId="77777777" w:rsidR="00CB64A4" w:rsidRPr="00701E75" w:rsidRDefault="00CB64A4" w:rsidP="00983051">
            <w:pPr>
              <w:spacing w:after="0" w:line="240" w:lineRule="auto"/>
              <w:jc w:val="right"/>
              <w:rPr>
                <w:rFonts w:eastAsia="Times New Roman" w:cstheme="minorHAnsi"/>
                <w:bCs/>
                <w:color w:val="000000"/>
                <w:sz w:val="20"/>
                <w:szCs w:val="20"/>
                <w:lang w:eastAsia="en-GB"/>
              </w:rPr>
            </w:pPr>
            <w:r w:rsidRPr="00701E75">
              <w:rPr>
                <w:rFonts w:eastAsia="Times New Roman" w:cstheme="minorHAnsi"/>
                <w:bCs/>
                <w:color w:val="000000"/>
                <w:sz w:val="20"/>
                <w:szCs w:val="20"/>
                <w:lang w:eastAsia="en-GB"/>
              </w:rPr>
              <w:t>Female</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55301E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2773</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2C7C5A2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99C3BB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5394</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39AC1E1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B0A67A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6192</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7937B76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6983D1A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7121</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010F72A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8AE28D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23809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5C6288F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4B2D598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45289</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25CF6150" w14:textId="77777777" w:rsidR="00CB64A4" w:rsidRPr="00701E75" w:rsidRDefault="00CB64A4" w:rsidP="00983051">
            <w:pPr>
              <w:spacing w:after="0" w:line="240" w:lineRule="auto"/>
              <w:jc w:val="center"/>
              <w:rPr>
                <w:rFonts w:cstheme="minorHAnsi"/>
                <w:sz w:val="20"/>
                <w:szCs w:val="20"/>
              </w:rPr>
            </w:pPr>
            <w:r w:rsidRPr="00701E75">
              <w:rPr>
                <w:rFonts w:cstheme="minorHAnsi"/>
                <w:sz w:val="20"/>
                <w:szCs w:val="20"/>
              </w:rPr>
              <w:t>51</w:t>
            </w:r>
          </w:p>
        </w:tc>
      </w:tr>
      <w:tr w:rsidR="00CB64A4" w:rsidRPr="00701E75" w14:paraId="032F462C"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490AFD63" w14:textId="77777777" w:rsidR="00CB64A4" w:rsidRPr="00701E75" w:rsidRDefault="00CB64A4" w:rsidP="00983051">
            <w:pPr>
              <w:spacing w:after="0" w:line="240" w:lineRule="auto"/>
              <w:jc w:val="right"/>
              <w:rPr>
                <w:rFonts w:eastAsia="Times New Roman" w:cstheme="minorHAnsi"/>
                <w:bCs/>
                <w:color w:val="000000"/>
                <w:sz w:val="20"/>
                <w:szCs w:val="20"/>
                <w:lang w:eastAsia="en-GB"/>
              </w:rPr>
            </w:pPr>
            <w:r w:rsidRPr="00701E75">
              <w:rPr>
                <w:rFonts w:eastAsia="Times New Roman" w:cstheme="minorHAnsi"/>
                <w:bCs/>
                <w:color w:val="000000"/>
                <w:sz w:val="20"/>
                <w:szCs w:val="20"/>
                <w:lang w:eastAsia="en-GB"/>
              </w:rPr>
              <w:t>Male</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5A7A10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2681</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4ADA1A4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C2F1C9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5173</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26689DE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67F7B7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5997</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33B0736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49</w:t>
            </w:r>
          </w:p>
        </w:tc>
        <w:tc>
          <w:tcPr>
            <w:tcW w:w="0" w:type="auto"/>
            <w:tcBorders>
              <w:top w:val="nil"/>
              <w:left w:val="single" w:sz="4" w:space="0" w:color="auto"/>
              <w:bottom w:val="nil"/>
              <w:right w:val="nil"/>
            </w:tcBorders>
            <w:shd w:val="clear" w:color="auto" w:fill="FFFFFF" w:themeFill="background1"/>
            <w:vAlign w:val="center"/>
            <w:hideMark/>
          </w:tcPr>
          <w:p w14:paraId="1348E55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6719</w:t>
            </w:r>
          </w:p>
        </w:tc>
        <w:tc>
          <w:tcPr>
            <w:tcW w:w="0" w:type="auto"/>
            <w:tcBorders>
              <w:top w:val="nil"/>
              <w:left w:val="nil"/>
              <w:bottom w:val="nil"/>
              <w:right w:val="single" w:sz="4" w:space="0" w:color="auto"/>
            </w:tcBorders>
            <w:shd w:val="clear" w:color="auto" w:fill="FFFFFF" w:themeFill="background1"/>
            <w:vAlign w:val="center"/>
            <w:hideMark/>
          </w:tcPr>
          <w:p w14:paraId="6E9395D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EE86BB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23197</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257A1DA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49</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58CF9FE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43767</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30352DEA" w14:textId="77777777" w:rsidR="00CB64A4" w:rsidRPr="00701E75" w:rsidRDefault="00CB64A4" w:rsidP="00983051">
            <w:pPr>
              <w:spacing w:after="0" w:line="240" w:lineRule="auto"/>
              <w:jc w:val="center"/>
              <w:rPr>
                <w:rFonts w:cstheme="minorHAnsi"/>
                <w:sz w:val="20"/>
                <w:szCs w:val="20"/>
              </w:rPr>
            </w:pPr>
            <w:r w:rsidRPr="00701E75">
              <w:rPr>
                <w:rFonts w:cstheme="minorHAnsi"/>
                <w:sz w:val="20"/>
                <w:szCs w:val="20"/>
              </w:rPr>
              <w:t>49</w:t>
            </w:r>
          </w:p>
        </w:tc>
      </w:tr>
      <w:tr w:rsidR="00CB64A4" w:rsidRPr="00701E75" w14:paraId="28095186"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47A3C97F" w14:textId="77777777" w:rsidR="00CB64A4" w:rsidRPr="00701E75" w:rsidRDefault="00CB64A4" w:rsidP="00983051">
            <w:pPr>
              <w:spacing w:after="0" w:line="240" w:lineRule="auto"/>
              <w:jc w:val="right"/>
              <w:rPr>
                <w:rFonts w:eastAsia="Times New Roman" w:cstheme="minorHAnsi"/>
                <w:bCs/>
                <w:color w:val="000000"/>
                <w:sz w:val="20"/>
                <w:szCs w:val="20"/>
                <w:lang w:eastAsia="en-GB"/>
              </w:rPr>
            </w:pPr>
            <w:r w:rsidRPr="00701E75">
              <w:rPr>
                <w:rFonts w:eastAsia="Times New Roman" w:cstheme="minorHAnsi"/>
                <w:bCs/>
                <w:color w:val="000000"/>
                <w:sz w:val="20"/>
                <w:szCs w:val="20"/>
                <w:lang w:eastAsia="en-GB"/>
              </w:rPr>
              <w:t>Unknown</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7175D9D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5133E42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EC38EB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3F47F72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6E23F4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70A18C8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09846A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6CDB05A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975A09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209F28C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0</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14EB7B2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28DFAD55" w14:textId="77777777" w:rsidR="00CB64A4" w:rsidRPr="00701E75" w:rsidRDefault="00CB64A4" w:rsidP="00983051">
            <w:pPr>
              <w:spacing w:after="0" w:line="240" w:lineRule="auto"/>
              <w:jc w:val="center"/>
              <w:rPr>
                <w:rFonts w:cstheme="minorHAnsi"/>
                <w:sz w:val="20"/>
                <w:szCs w:val="20"/>
              </w:rPr>
            </w:pPr>
            <w:r w:rsidRPr="00701E75">
              <w:rPr>
                <w:rFonts w:cstheme="minorHAnsi"/>
                <w:sz w:val="20"/>
                <w:szCs w:val="20"/>
              </w:rPr>
              <w:t>0</w:t>
            </w:r>
          </w:p>
        </w:tc>
      </w:tr>
      <w:tr w:rsidR="00CB64A4" w:rsidRPr="00701E75" w14:paraId="50DE9290"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08894BA3" w14:textId="77777777" w:rsidR="00CB64A4" w:rsidRPr="00701E75" w:rsidRDefault="00CB64A4" w:rsidP="00983051">
            <w:pPr>
              <w:spacing w:after="0" w:line="240" w:lineRule="auto"/>
              <w:rPr>
                <w:rFonts w:eastAsia="Times New Roman" w:cstheme="minorHAnsi"/>
                <w:b/>
                <w:bCs/>
                <w:color w:val="000000"/>
                <w:sz w:val="20"/>
                <w:szCs w:val="20"/>
                <w:lang w:eastAsia="en-GB"/>
              </w:rPr>
            </w:pPr>
            <w:r w:rsidRPr="00701E75">
              <w:rPr>
                <w:rFonts w:eastAsia="Times New Roman" w:cstheme="minorHAnsi"/>
                <w:b/>
                <w:bCs/>
                <w:color w:val="000000"/>
                <w:sz w:val="20"/>
                <w:szCs w:val="20"/>
                <w:lang w:eastAsia="en-GB"/>
              </w:rPr>
              <w:t>Age group</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6276A69"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0129E87C"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FC88236"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0A382F0F"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871FE6F"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383AB3B4"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nil"/>
              <w:left w:val="single" w:sz="4" w:space="0" w:color="auto"/>
              <w:bottom w:val="nil"/>
              <w:right w:val="nil"/>
            </w:tcBorders>
            <w:shd w:val="clear" w:color="auto" w:fill="FFFFFF" w:themeFill="background1"/>
            <w:vAlign w:val="center"/>
            <w:hideMark/>
          </w:tcPr>
          <w:p w14:paraId="3F0CCFE4"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nil"/>
              <w:left w:val="nil"/>
              <w:bottom w:val="nil"/>
              <w:right w:val="single" w:sz="4" w:space="0" w:color="auto"/>
            </w:tcBorders>
            <w:shd w:val="clear" w:color="auto" w:fill="FFFFFF" w:themeFill="background1"/>
            <w:vAlign w:val="center"/>
            <w:hideMark/>
          </w:tcPr>
          <w:p w14:paraId="69902CF3"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5B195F49"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77695AC5"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1FCC1CF2"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747F409C"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r>
      <w:tr w:rsidR="00CB64A4" w:rsidRPr="00701E75" w14:paraId="4B6AE78E"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05A97BC1"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&lt;24m</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51FD3BA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1205</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7AE5893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22</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52CF161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2344</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6D8F793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22</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42B609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2898</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7F267B9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24</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2613DA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3195</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6787272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23</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6F6DEB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11779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07C9E1A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25</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66E283B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21421</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1AE4826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24</w:t>
            </w:r>
          </w:p>
        </w:tc>
      </w:tr>
      <w:tr w:rsidR="00CB64A4" w:rsidRPr="00701E75" w14:paraId="568884AD"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5F421963"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24-59m</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5D4CCE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607</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4FC5568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6095D4C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1115</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6F11D98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AD2B8B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1290</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2105A9B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w:t>
            </w:r>
          </w:p>
        </w:tc>
        <w:tc>
          <w:tcPr>
            <w:tcW w:w="0" w:type="auto"/>
            <w:tcBorders>
              <w:top w:val="nil"/>
              <w:left w:val="single" w:sz="4" w:space="0" w:color="auto"/>
              <w:bottom w:val="nil"/>
              <w:right w:val="nil"/>
            </w:tcBorders>
            <w:shd w:val="clear" w:color="auto" w:fill="FFFFFF" w:themeFill="background1"/>
            <w:vAlign w:val="center"/>
            <w:hideMark/>
          </w:tcPr>
          <w:p w14:paraId="714B90E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1444</w:t>
            </w:r>
          </w:p>
        </w:tc>
        <w:tc>
          <w:tcPr>
            <w:tcW w:w="0" w:type="auto"/>
            <w:tcBorders>
              <w:top w:val="nil"/>
              <w:left w:val="nil"/>
              <w:bottom w:val="nil"/>
              <w:right w:val="single" w:sz="4" w:space="0" w:color="auto"/>
            </w:tcBorders>
            <w:shd w:val="clear" w:color="auto" w:fill="FFFFFF" w:themeFill="background1"/>
            <w:vAlign w:val="center"/>
          </w:tcPr>
          <w:p w14:paraId="7B0341E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7039C6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4917</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7094B7E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10</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1460A6A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9373</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5AE677A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w:t>
            </w:r>
          </w:p>
        </w:tc>
      </w:tr>
      <w:tr w:rsidR="00CB64A4" w:rsidRPr="00701E75" w14:paraId="52262712"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4E56C03B"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5-14y</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71197A0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385</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796BACF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7</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2D7901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679</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12C0A9A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438AAC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634</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0CFC88F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F1EF1B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801</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712C346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7E41AD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2629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14E714B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001232B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5128</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5530F4A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w:t>
            </w:r>
          </w:p>
        </w:tc>
      </w:tr>
      <w:tr w:rsidR="00CB64A4" w:rsidRPr="00701E75" w14:paraId="39CDD4EA"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1CB5CFCF"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15-39y</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5F1EBC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343</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2CEDFD6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11EBA9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769</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52E94E2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7</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5B69294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1079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6C62731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9</w:t>
            </w:r>
          </w:p>
        </w:tc>
        <w:tc>
          <w:tcPr>
            <w:tcW w:w="0" w:type="auto"/>
            <w:tcBorders>
              <w:top w:val="nil"/>
              <w:left w:val="single" w:sz="4" w:space="0" w:color="auto"/>
              <w:bottom w:val="nil"/>
              <w:right w:val="nil"/>
            </w:tcBorders>
            <w:shd w:val="clear" w:color="auto" w:fill="FFFFFF" w:themeFill="background1"/>
            <w:vAlign w:val="center"/>
            <w:hideMark/>
          </w:tcPr>
          <w:p w14:paraId="17E55C4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1290</w:t>
            </w:r>
          </w:p>
        </w:tc>
        <w:tc>
          <w:tcPr>
            <w:tcW w:w="0" w:type="auto"/>
            <w:tcBorders>
              <w:top w:val="nil"/>
              <w:left w:val="nil"/>
              <w:bottom w:val="nil"/>
              <w:right w:val="single" w:sz="4" w:space="0" w:color="auto"/>
            </w:tcBorders>
            <w:shd w:val="clear" w:color="auto" w:fill="FFFFFF" w:themeFill="background1"/>
            <w:vAlign w:val="center"/>
          </w:tcPr>
          <w:p w14:paraId="551292A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49199C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5399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20C4C06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11</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3716253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8880</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679E2A6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10</w:t>
            </w:r>
          </w:p>
        </w:tc>
      </w:tr>
      <w:tr w:rsidR="00CB64A4" w:rsidRPr="00701E75" w14:paraId="778B40BD"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286DD586"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40-64y</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8A5383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742</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156A7B3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14</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105894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1517</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3C71422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14</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6003198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1883</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71F6F73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15</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A776C3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2131</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427EAB6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15</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08193B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8096</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560B8C8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17</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141BA6E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14369</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03DE05A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16</w:t>
            </w:r>
          </w:p>
        </w:tc>
      </w:tr>
      <w:tr w:rsidR="00CB64A4" w:rsidRPr="00701E75" w14:paraId="1BAF9912"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343F7C89"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65+</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299609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2172</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511AA1D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5BFCF6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4143</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2A83D35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E50A52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4405</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16DC812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36</w:t>
            </w:r>
          </w:p>
        </w:tc>
        <w:tc>
          <w:tcPr>
            <w:tcW w:w="0" w:type="auto"/>
            <w:tcBorders>
              <w:top w:val="nil"/>
              <w:left w:val="single" w:sz="4" w:space="0" w:color="auto"/>
              <w:bottom w:val="nil"/>
              <w:right w:val="nil"/>
            </w:tcBorders>
            <w:shd w:val="clear" w:color="auto" w:fill="FFFFFF" w:themeFill="background1"/>
            <w:vAlign w:val="center"/>
            <w:hideMark/>
          </w:tcPr>
          <w:p w14:paraId="24530FD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4979</w:t>
            </w:r>
          </w:p>
        </w:tc>
        <w:tc>
          <w:tcPr>
            <w:tcW w:w="0" w:type="auto"/>
            <w:tcBorders>
              <w:top w:val="nil"/>
              <w:left w:val="nil"/>
              <w:bottom w:val="nil"/>
              <w:right w:val="single" w:sz="4" w:space="0" w:color="auto"/>
            </w:tcBorders>
            <w:shd w:val="clear" w:color="auto" w:fill="FFFFFF" w:themeFill="background1"/>
            <w:vAlign w:val="center"/>
          </w:tcPr>
          <w:p w14:paraId="21940CD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36</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7BE5EF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14188</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6D4EEE8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30</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0822342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29887</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23374DC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34</w:t>
            </w:r>
          </w:p>
        </w:tc>
      </w:tr>
      <w:tr w:rsidR="00CB64A4" w:rsidRPr="00701E75" w14:paraId="0F326A28"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3A900FD8" w14:textId="77777777" w:rsidR="00CB64A4" w:rsidRPr="00701E75" w:rsidRDefault="00CB64A4" w:rsidP="00983051">
            <w:pPr>
              <w:spacing w:after="0" w:line="240" w:lineRule="auto"/>
              <w:rPr>
                <w:rFonts w:eastAsia="Times New Roman" w:cstheme="minorHAnsi"/>
                <w:b/>
                <w:bCs/>
                <w:color w:val="000000"/>
                <w:sz w:val="20"/>
                <w:szCs w:val="20"/>
                <w:lang w:eastAsia="en-GB"/>
              </w:rPr>
            </w:pPr>
            <w:r w:rsidRPr="00701E75">
              <w:rPr>
                <w:rFonts w:eastAsia="Times New Roman" w:cstheme="minorHAnsi"/>
                <w:b/>
                <w:bCs/>
                <w:color w:val="000000"/>
                <w:sz w:val="20"/>
                <w:szCs w:val="20"/>
                <w:lang w:eastAsia="en-GB"/>
              </w:rPr>
              <w:t>Comorbidity</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43BCB62C"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39A5949F"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0435B0D"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5308B98B"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10C2EFB4"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21727694"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F3BC95B"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73A88DBC"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245251CC"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0518B330"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1F9EF522"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302ED1C6" w14:textId="77777777" w:rsidR="00CB64A4" w:rsidRPr="00701E75" w:rsidRDefault="00CB64A4" w:rsidP="00983051">
            <w:pPr>
              <w:spacing w:after="0" w:line="240" w:lineRule="auto"/>
              <w:jc w:val="center"/>
              <w:rPr>
                <w:rFonts w:eastAsia="Times New Roman" w:cstheme="minorHAnsi"/>
                <w:color w:val="000000"/>
                <w:sz w:val="20"/>
                <w:szCs w:val="20"/>
                <w:lang w:eastAsia="en-GB"/>
              </w:rPr>
            </w:pPr>
          </w:p>
        </w:tc>
      </w:tr>
      <w:tr w:rsidR="00CB64A4" w:rsidRPr="00701E75" w14:paraId="22EEE251" w14:textId="77777777" w:rsidTr="00983051">
        <w:trPr>
          <w:trHeight w:val="284"/>
        </w:trPr>
        <w:tc>
          <w:tcPr>
            <w:tcW w:w="0" w:type="auto"/>
            <w:tcBorders>
              <w:top w:val="nil"/>
              <w:left w:val="single" w:sz="8" w:space="0" w:color="auto"/>
              <w:bottom w:val="nil"/>
              <w:right w:val="single" w:sz="4" w:space="0" w:color="auto"/>
            </w:tcBorders>
            <w:shd w:val="clear" w:color="auto" w:fill="FFFFFF" w:themeFill="background1"/>
            <w:vAlign w:val="center"/>
            <w:hideMark/>
          </w:tcPr>
          <w:p w14:paraId="1C1F301D"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No</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7385891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2782</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64EA5A2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D90852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5297</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7C51B30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654D659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6389</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654004A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52</w:t>
            </w:r>
          </w:p>
        </w:tc>
        <w:tc>
          <w:tcPr>
            <w:tcW w:w="0" w:type="auto"/>
            <w:tcBorders>
              <w:top w:val="nil"/>
              <w:left w:val="single" w:sz="4" w:space="0" w:color="auto"/>
              <w:bottom w:val="nil"/>
              <w:right w:val="nil"/>
            </w:tcBorders>
            <w:shd w:val="clear" w:color="auto" w:fill="FFFFFF" w:themeFill="background1"/>
            <w:vAlign w:val="center"/>
            <w:hideMark/>
          </w:tcPr>
          <w:p w14:paraId="6400A6C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7037</w:t>
            </w:r>
          </w:p>
        </w:tc>
        <w:tc>
          <w:tcPr>
            <w:tcW w:w="0" w:type="auto"/>
            <w:tcBorders>
              <w:top w:val="nil"/>
              <w:left w:val="nil"/>
              <w:bottom w:val="nil"/>
              <w:right w:val="single" w:sz="4" w:space="0" w:color="auto"/>
            </w:tcBorders>
            <w:shd w:val="clear" w:color="auto" w:fill="FFFFFF" w:themeFill="background1"/>
            <w:vAlign w:val="center"/>
          </w:tcPr>
          <w:p w14:paraId="080C28F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51</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558D714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24841</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2E3FF5A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53</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66BF01D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46346</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48B6ABF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52</w:t>
            </w:r>
          </w:p>
        </w:tc>
      </w:tr>
      <w:tr w:rsidR="00CB64A4" w:rsidRPr="00701E75" w14:paraId="529AF989"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hideMark/>
          </w:tcPr>
          <w:p w14:paraId="416D05E2"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Yes</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E877B6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2672</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7E950EA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375F20E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5270</w:t>
            </w:r>
          </w:p>
        </w:tc>
        <w:tc>
          <w:tcPr>
            <w:tcW w:w="0" w:type="auto"/>
            <w:tcBorders>
              <w:top w:val="single" w:sz="8" w:space="0" w:color="000000"/>
              <w:left w:val="nil"/>
              <w:bottom w:val="single" w:sz="8" w:space="0" w:color="000000"/>
              <w:right w:val="single" w:sz="4" w:space="0" w:color="auto"/>
            </w:tcBorders>
            <w:shd w:val="clear" w:color="auto" w:fill="FFFFFF" w:themeFill="background1"/>
            <w:noWrap/>
            <w:vAlign w:val="center"/>
            <w:hideMark/>
          </w:tcPr>
          <w:p w14:paraId="577D7B9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50</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03FBCCA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5800</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6DE76A0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48</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61DC5BD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6803</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tcPr>
          <w:p w14:paraId="5DBB851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49</w:t>
            </w:r>
          </w:p>
        </w:tc>
        <w:tc>
          <w:tcPr>
            <w:tcW w:w="0" w:type="auto"/>
            <w:tcBorders>
              <w:top w:val="single" w:sz="8" w:space="0" w:color="000000"/>
              <w:left w:val="single" w:sz="4" w:space="0" w:color="auto"/>
              <w:bottom w:val="single" w:sz="8" w:space="0" w:color="000000"/>
              <w:right w:val="nil"/>
            </w:tcBorders>
            <w:shd w:val="clear" w:color="auto" w:fill="FFFFFF" w:themeFill="background1"/>
            <w:vAlign w:val="center"/>
            <w:hideMark/>
          </w:tcPr>
          <w:p w14:paraId="7DEDC29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22167</w:t>
            </w:r>
          </w:p>
        </w:tc>
        <w:tc>
          <w:tcPr>
            <w:tcW w:w="0" w:type="auto"/>
            <w:tcBorders>
              <w:top w:val="single" w:sz="8" w:space="0" w:color="000000"/>
              <w:left w:val="nil"/>
              <w:bottom w:val="single" w:sz="8" w:space="0" w:color="000000"/>
              <w:right w:val="single" w:sz="4" w:space="0" w:color="auto"/>
            </w:tcBorders>
            <w:shd w:val="clear" w:color="auto" w:fill="FFFFFF" w:themeFill="background1"/>
            <w:vAlign w:val="center"/>
            <w:hideMark/>
          </w:tcPr>
          <w:p w14:paraId="254EB84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47</w:t>
            </w:r>
          </w:p>
        </w:tc>
        <w:tc>
          <w:tcPr>
            <w:tcW w:w="0" w:type="auto"/>
            <w:tcBorders>
              <w:top w:val="single" w:sz="8" w:space="0" w:color="000000"/>
              <w:left w:val="single" w:sz="4" w:space="0" w:color="auto"/>
              <w:bottom w:val="single" w:sz="8" w:space="0" w:color="000000"/>
            </w:tcBorders>
            <w:shd w:val="clear" w:color="auto" w:fill="FFFFFF" w:themeFill="background1"/>
            <w:vAlign w:val="center"/>
            <w:hideMark/>
          </w:tcPr>
          <w:p w14:paraId="58014AA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42712</w:t>
            </w:r>
          </w:p>
        </w:tc>
        <w:tc>
          <w:tcPr>
            <w:tcW w:w="0" w:type="auto"/>
            <w:tcBorders>
              <w:top w:val="single" w:sz="8" w:space="0" w:color="000000"/>
              <w:bottom w:val="single" w:sz="8" w:space="0" w:color="000000"/>
              <w:right w:val="single" w:sz="8" w:space="0" w:color="auto"/>
            </w:tcBorders>
            <w:shd w:val="clear" w:color="auto" w:fill="FFFFFF" w:themeFill="background1"/>
            <w:vAlign w:val="center"/>
          </w:tcPr>
          <w:p w14:paraId="449992A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eastAsia="Times New Roman" w:cstheme="minorHAnsi"/>
                <w:color w:val="000000"/>
                <w:sz w:val="20"/>
                <w:szCs w:val="20"/>
                <w:lang w:eastAsia="en-GB"/>
              </w:rPr>
              <w:t>48</w:t>
            </w:r>
          </w:p>
        </w:tc>
      </w:tr>
      <w:tr w:rsidR="00CB64A4" w:rsidRPr="00701E75" w14:paraId="3250F304"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1E63EED0" w14:textId="77777777" w:rsidR="00CB64A4" w:rsidRPr="000F6648" w:rsidRDefault="00CB64A4" w:rsidP="00983051">
            <w:pPr>
              <w:spacing w:after="0" w:line="240" w:lineRule="auto"/>
              <w:jc w:val="right"/>
              <w:rPr>
                <w:rFonts w:eastAsia="Times New Roman" w:cstheme="minorHAnsi"/>
                <w:b/>
                <w:color w:val="000000"/>
                <w:sz w:val="20"/>
                <w:szCs w:val="20"/>
                <w:vertAlign w:val="superscript"/>
                <w:lang w:eastAsia="en-GB"/>
              </w:rPr>
            </w:pPr>
            <w:r w:rsidRPr="00701E75">
              <w:rPr>
                <w:rFonts w:eastAsia="Times New Roman" w:cstheme="minorHAnsi"/>
                <w:b/>
                <w:color w:val="000000"/>
                <w:sz w:val="20"/>
                <w:szCs w:val="20"/>
                <w:lang w:eastAsia="en-GB"/>
              </w:rPr>
              <w:t>Comorbidity by age group</w:t>
            </w:r>
            <w:r>
              <w:rPr>
                <w:rFonts w:eastAsia="Times New Roman" w:cstheme="minorHAnsi"/>
                <w:b/>
                <w:color w:val="000000"/>
                <w:sz w:val="20"/>
                <w:szCs w:val="20"/>
                <w:vertAlign w:val="superscript"/>
                <w:lang w:eastAsia="en-GB"/>
              </w:rPr>
              <w:t>†</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ACD6691"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34E4D40B"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49A77E24"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399F043E"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24729E35"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5C2C2F5E"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26221A5E"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055A4D3C"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451BC67"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7EB5B1CD"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left w:val="single" w:sz="4" w:space="0" w:color="auto"/>
              <w:bottom w:val="single" w:sz="8" w:space="0" w:color="000000"/>
            </w:tcBorders>
            <w:shd w:val="clear" w:color="auto" w:fill="FFFFFF" w:themeFill="background1"/>
          </w:tcPr>
          <w:p w14:paraId="1B730561" w14:textId="77777777" w:rsidR="00CB64A4" w:rsidRPr="00701E75" w:rsidRDefault="00CB64A4" w:rsidP="00983051">
            <w:pPr>
              <w:spacing w:after="0" w:line="240" w:lineRule="auto"/>
              <w:jc w:val="center"/>
              <w:rPr>
                <w:rFonts w:cstheme="minorHAnsi"/>
                <w:sz w:val="20"/>
                <w:szCs w:val="20"/>
              </w:rPr>
            </w:pPr>
          </w:p>
        </w:tc>
        <w:tc>
          <w:tcPr>
            <w:tcW w:w="0" w:type="auto"/>
            <w:tcBorders>
              <w:top w:val="single" w:sz="8" w:space="0" w:color="000000"/>
              <w:bottom w:val="single" w:sz="8" w:space="0" w:color="000000"/>
              <w:right w:val="single" w:sz="8" w:space="0" w:color="auto"/>
            </w:tcBorders>
            <w:shd w:val="clear" w:color="auto" w:fill="FFFFFF" w:themeFill="background1"/>
          </w:tcPr>
          <w:p w14:paraId="26A2101D" w14:textId="77777777" w:rsidR="00CB64A4" w:rsidRPr="00701E75" w:rsidRDefault="00CB64A4" w:rsidP="00983051">
            <w:pPr>
              <w:spacing w:after="0" w:line="240" w:lineRule="auto"/>
              <w:jc w:val="center"/>
              <w:rPr>
                <w:rFonts w:cstheme="minorHAnsi"/>
                <w:sz w:val="20"/>
                <w:szCs w:val="20"/>
              </w:rPr>
            </w:pPr>
          </w:p>
        </w:tc>
      </w:tr>
      <w:tr w:rsidR="00CB64A4" w:rsidRPr="00701E75" w14:paraId="428BB873"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6687A90E"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&lt;24m</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D6D7EA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73</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6CA10DE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99F688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148</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7378F40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0235ADC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187</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6059201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5630AF9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202</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24CCAB7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5ADAC0E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841</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152670F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w:t>
            </w:r>
          </w:p>
        </w:tc>
        <w:tc>
          <w:tcPr>
            <w:tcW w:w="0" w:type="auto"/>
            <w:tcBorders>
              <w:top w:val="single" w:sz="8" w:space="0" w:color="000000"/>
              <w:left w:val="single" w:sz="4" w:space="0" w:color="auto"/>
              <w:bottom w:val="single" w:sz="8" w:space="0" w:color="000000"/>
            </w:tcBorders>
            <w:shd w:val="clear" w:color="auto" w:fill="FFFFFF" w:themeFill="background1"/>
          </w:tcPr>
          <w:p w14:paraId="7EC8D63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1451</w:t>
            </w:r>
          </w:p>
        </w:tc>
        <w:tc>
          <w:tcPr>
            <w:tcW w:w="0" w:type="auto"/>
            <w:tcBorders>
              <w:top w:val="single" w:sz="8" w:space="0" w:color="000000"/>
              <w:bottom w:val="single" w:sz="8" w:space="0" w:color="000000"/>
              <w:right w:val="single" w:sz="8" w:space="0" w:color="auto"/>
            </w:tcBorders>
            <w:shd w:val="clear" w:color="auto" w:fill="FFFFFF" w:themeFill="background1"/>
          </w:tcPr>
          <w:p w14:paraId="79D02E4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w:t>
            </w:r>
          </w:p>
        </w:tc>
      </w:tr>
      <w:tr w:rsidR="00CB64A4" w:rsidRPr="00701E75" w14:paraId="61088E48"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052FF437"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24-59m</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1BB88CB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112</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11FA2A4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18</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4535E18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216</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3F19E72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19</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5FC5F80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231</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48C9AA4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18</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B95DE9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302</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3F89830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21</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197374B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1126</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7D52330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w:t>
            </w:r>
          </w:p>
        </w:tc>
        <w:tc>
          <w:tcPr>
            <w:tcW w:w="0" w:type="auto"/>
            <w:tcBorders>
              <w:top w:val="single" w:sz="8" w:space="0" w:color="000000"/>
              <w:left w:val="single" w:sz="4" w:space="0" w:color="auto"/>
              <w:bottom w:val="single" w:sz="8" w:space="0" w:color="000000"/>
            </w:tcBorders>
            <w:shd w:val="clear" w:color="auto" w:fill="FFFFFF" w:themeFill="background1"/>
          </w:tcPr>
          <w:p w14:paraId="557D62F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1987</w:t>
            </w:r>
          </w:p>
        </w:tc>
        <w:tc>
          <w:tcPr>
            <w:tcW w:w="0" w:type="auto"/>
            <w:tcBorders>
              <w:top w:val="single" w:sz="8" w:space="0" w:color="000000"/>
              <w:bottom w:val="single" w:sz="8" w:space="0" w:color="000000"/>
              <w:right w:val="single" w:sz="8" w:space="0" w:color="auto"/>
            </w:tcBorders>
            <w:shd w:val="clear" w:color="auto" w:fill="FFFFFF" w:themeFill="background1"/>
          </w:tcPr>
          <w:p w14:paraId="464BB26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21</w:t>
            </w:r>
          </w:p>
        </w:tc>
      </w:tr>
      <w:tr w:rsidR="00CB64A4" w:rsidRPr="00701E75" w14:paraId="338DCA9F"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20475113"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5-14y</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6AFE157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141</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308ABF6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37</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55DE141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268</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43B63E6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39</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4184D32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231</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1FA561E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36</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26AA8403"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349</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7697226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44</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1F10D0C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1126</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6325E45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43</w:t>
            </w:r>
          </w:p>
        </w:tc>
        <w:tc>
          <w:tcPr>
            <w:tcW w:w="0" w:type="auto"/>
            <w:tcBorders>
              <w:top w:val="single" w:sz="8" w:space="0" w:color="000000"/>
              <w:left w:val="single" w:sz="4" w:space="0" w:color="auto"/>
              <w:bottom w:val="single" w:sz="8" w:space="0" w:color="000000"/>
            </w:tcBorders>
            <w:shd w:val="clear" w:color="auto" w:fill="FFFFFF" w:themeFill="background1"/>
          </w:tcPr>
          <w:p w14:paraId="3FB4CD9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2115</w:t>
            </w:r>
          </w:p>
        </w:tc>
        <w:tc>
          <w:tcPr>
            <w:tcW w:w="0" w:type="auto"/>
            <w:tcBorders>
              <w:top w:val="single" w:sz="8" w:space="0" w:color="000000"/>
              <w:bottom w:val="single" w:sz="8" w:space="0" w:color="000000"/>
              <w:right w:val="single" w:sz="8" w:space="0" w:color="auto"/>
            </w:tcBorders>
            <w:shd w:val="clear" w:color="auto" w:fill="FFFFFF" w:themeFill="background1"/>
          </w:tcPr>
          <w:p w14:paraId="164015B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41</w:t>
            </w:r>
          </w:p>
        </w:tc>
      </w:tr>
      <w:tr w:rsidR="00CB64A4" w:rsidRPr="00701E75" w14:paraId="7AA26BD2"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61A317FE"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15-39y</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48DC4A2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145</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4614D28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42</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27DDF05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361</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08593AC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47</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622FC41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479</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5D82BF9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44</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BFCA26C"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625</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25F00DA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48</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0547D832"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2598</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303DAF8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48</w:t>
            </w:r>
          </w:p>
        </w:tc>
        <w:tc>
          <w:tcPr>
            <w:tcW w:w="0" w:type="auto"/>
            <w:tcBorders>
              <w:top w:val="single" w:sz="8" w:space="0" w:color="000000"/>
              <w:left w:val="single" w:sz="4" w:space="0" w:color="auto"/>
              <w:bottom w:val="single" w:sz="8" w:space="0" w:color="000000"/>
            </w:tcBorders>
            <w:shd w:val="clear" w:color="auto" w:fill="FFFFFF" w:themeFill="background1"/>
          </w:tcPr>
          <w:p w14:paraId="4984E00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4208</w:t>
            </w:r>
          </w:p>
        </w:tc>
        <w:tc>
          <w:tcPr>
            <w:tcW w:w="0" w:type="auto"/>
            <w:tcBorders>
              <w:top w:val="single" w:sz="8" w:space="0" w:color="000000"/>
              <w:bottom w:val="single" w:sz="8" w:space="0" w:color="000000"/>
              <w:right w:val="single" w:sz="8" w:space="0" w:color="auto"/>
            </w:tcBorders>
            <w:shd w:val="clear" w:color="auto" w:fill="FFFFFF" w:themeFill="background1"/>
          </w:tcPr>
          <w:p w14:paraId="0993800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47</w:t>
            </w:r>
          </w:p>
        </w:tc>
      </w:tr>
      <w:tr w:rsidR="00CB64A4" w:rsidRPr="00701E75" w14:paraId="1603BD99" w14:textId="77777777" w:rsidTr="00983051">
        <w:trPr>
          <w:trHeight w:val="284"/>
        </w:trPr>
        <w:tc>
          <w:tcPr>
            <w:tcW w:w="0" w:type="auto"/>
            <w:tcBorders>
              <w:top w:val="single" w:sz="8" w:space="0" w:color="000000"/>
              <w:left w:val="single" w:sz="8" w:space="0" w:color="auto"/>
              <w:bottom w:val="single" w:sz="8" w:space="0" w:color="000000"/>
              <w:right w:val="single" w:sz="4" w:space="0" w:color="auto"/>
            </w:tcBorders>
            <w:shd w:val="clear" w:color="auto" w:fill="FFFFFF" w:themeFill="background1"/>
            <w:vAlign w:val="center"/>
          </w:tcPr>
          <w:p w14:paraId="440F3FBD"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40-64y</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180D179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439</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494EE53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59</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72BBE49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961</w:t>
            </w:r>
          </w:p>
        </w:tc>
        <w:tc>
          <w:tcPr>
            <w:tcW w:w="0" w:type="auto"/>
            <w:tcBorders>
              <w:top w:val="single" w:sz="8" w:space="0" w:color="000000"/>
              <w:left w:val="nil"/>
              <w:bottom w:val="single" w:sz="8" w:space="0" w:color="000000"/>
              <w:right w:val="single" w:sz="4" w:space="0" w:color="auto"/>
            </w:tcBorders>
            <w:shd w:val="clear" w:color="auto" w:fill="FFFFFF" w:themeFill="background1"/>
            <w:noWrap/>
          </w:tcPr>
          <w:p w14:paraId="2D3C5F0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63</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0015520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1183</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4CF98866"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63</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1BF29C6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1349</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4567F43D"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63</w:t>
            </w:r>
          </w:p>
        </w:tc>
        <w:tc>
          <w:tcPr>
            <w:tcW w:w="0" w:type="auto"/>
            <w:tcBorders>
              <w:top w:val="single" w:sz="8" w:space="0" w:color="000000"/>
              <w:left w:val="single" w:sz="4" w:space="0" w:color="auto"/>
              <w:bottom w:val="single" w:sz="8" w:space="0" w:color="000000"/>
              <w:right w:val="nil"/>
            </w:tcBorders>
            <w:shd w:val="clear" w:color="auto" w:fill="FFFFFF" w:themeFill="background1"/>
          </w:tcPr>
          <w:p w14:paraId="40119E8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5292</w:t>
            </w:r>
          </w:p>
        </w:tc>
        <w:tc>
          <w:tcPr>
            <w:tcW w:w="0" w:type="auto"/>
            <w:tcBorders>
              <w:top w:val="single" w:sz="8" w:space="0" w:color="000000"/>
              <w:left w:val="nil"/>
              <w:bottom w:val="single" w:sz="8" w:space="0" w:color="000000"/>
              <w:right w:val="single" w:sz="4" w:space="0" w:color="auto"/>
            </w:tcBorders>
            <w:shd w:val="clear" w:color="auto" w:fill="FFFFFF" w:themeFill="background1"/>
          </w:tcPr>
          <w:p w14:paraId="7EFC719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65</w:t>
            </w:r>
          </w:p>
        </w:tc>
        <w:tc>
          <w:tcPr>
            <w:tcW w:w="0" w:type="auto"/>
            <w:tcBorders>
              <w:top w:val="single" w:sz="8" w:space="0" w:color="000000"/>
              <w:left w:val="single" w:sz="4" w:space="0" w:color="auto"/>
              <w:bottom w:val="single" w:sz="8" w:space="0" w:color="000000"/>
            </w:tcBorders>
            <w:shd w:val="clear" w:color="auto" w:fill="FFFFFF" w:themeFill="background1"/>
          </w:tcPr>
          <w:p w14:paraId="359FB7E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9224</w:t>
            </w:r>
          </w:p>
        </w:tc>
        <w:tc>
          <w:tcPr>
            <w:tcW w:w="0" w:type="auto"/>
            <w:tcBorders>
              <w:top w:val="single" w:sz="8" w:space="0" w:color="000000"/>
              <w:bottom w:val="single" w:sz="8" w:space="0" w:color="000000"/>
              <w:right w:val="single" w:sz="8" w:space="0" w:color="auto"/>
            </w:tcBorders>
            <w:shd w:val="clear" w:color="auto" w:fill="FFFFFF" w:themeFill="background1"/>
          </w:tcPr>
          <w:p w14:paraId="4B5EFC59"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64</w:t>
            </w:r>
          </w:p>
        </w:tc>
      </w:tr>
      <w:tr w:rsidR="00CB64A4" w:rsidRPr="00701E75" w14:paraId="11DA467A" w14:textId="77777777" w:rsidTr="00983051">
        <w:trPr>
          <w:trHeight w:val="284"/>
        </w:trPr>
        <w:tc>
          <w:tcPr>
            <w:tcW w:w="0" w:type="auto"/>
            <w:tcBorders>
              <w:top w:val="single" w:sz="8" w:space="0" w:color="000000"/>
              <w:left w:val="single" w:sz="8" w:space="0" w:color="auto"/>
              <w:bottom w:val="single" w:sz="8" w:space="0" w:color="auto"/>
              <w:right w:val="single" w:sz="4" w:space="0" w:color="auto"/>
            </w:tcBorders>
            <w:shd w:val="clear" w:color="auto" w:fill="FFFFFF" w:themeFill="background1"/>
            <w:vAlign w:val="center"/>
          </w:tcPr>
          <w:p w14:paraId="288D5333" w14:textId="77777777" w:rsidR="00CB64A4" w:rsidRPr="00701E75" w:rsidRDefault="00CB64A4" w:rsidP="00983051">
            <w:pPr>
              <w:spacing w:after="0" w:line="240" w:lineRule="auto"/>
              <w:jc w:val="right"/>
              <w:rPr>
                <w:rFonts w:eastAsia="Times New Roman" w:cstheme="minorHAnsi"/>
                <w:color w:val="000000"/>
                <w:sz w:val="20"/>
                <w:szCs w:val="20"/>
                <w:lang w:eastAsia="en-GB"/>
              </w:rPr>
            </w:pPr>
            <w:r w:rsidRPr="00701E75">
              <w:rPr>
                <w:rFonts w:eastAsia="Times New Roman" w:cstheme="minorHAnsi"/>
                <w:color w:val="000000"/>
                <w:sz w:val="20"/>
                <w:szCs w:val="20"/>
                <w:lang w:eastAsia="en-GB"/>
              </w:rPr>
              <w:t>65+</w:t>
            </w:r>
          </w:p>
        </w:tc>
        <w:tc>
          <w:tcPr>
            <w:tcW w:w="0" w:type="auto"/>
            <w:tcBorders>
              <w:top w:val="single" w:sz="8" w:space="0" w:color="000000"/>
              <w:left w:val="single" w:sz="4" w:space="0" w:color="auto"/>
              <w:bottom w:val="single" w:sz="4" w:space="0" w:color="auto"/>
              <w:right w:val="nil"/>
            </w:tcBorders>
            <w:shd w:val="clear" w:color="auto" w:fill="FFFFFF" w:themeFill="background1"/>
          </w:tcPr>
          <w:p w14:paraId="50BDA358"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1762</w:t>
            </w:r>
          </w:p>
        </w:tc>
        <w:tc>
          <w:tcPr>
            <w:tcW w:w="0" w:type="auto"/>
            <w:tcBorders>
              <w:top w:val="single" w:sz="8" w:space="0" w:color="000000"/>
              <w:left w:val="nil"/>
              <w:bottom w:val="single" w:sz="4" w:space="0" w:color="auto"/>
              <w:right w:val="single" w:sz="4" w:space="0" w:color="auto"/>
            </w:tcBorders>
            <w:shd w:val="clear" w:color="auto" w:fill="FFFFFF" w:themeFill="background1"/>
            <w:noWrap/>
          </w:tcPr>
          <w:p w14:paraId="16303C5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81</w:t>
            </w:r>
          </w:p>
        </w:tc>
        <w:tc>
          <w:tcPr>
            <w:tcW w:w="0" w:type="auto"/>
            <w:tcBorders>
              <w:top w:val="single" w:sz="8" w:space="0" w:color="000000"/>
              <w:left w:val="single" w:sz="4" w:space="0" w:color="auto"/>
              <w:bottom w:val="single" w:sz="4" w:space="0" w:color="auto"/>
              <w:right w:val="nil"/>
            </w:tcBorders>
            <w:shd w:val="clear" w:color="auto" w:fill="FFFFFF" w:themeFill="background1"/>
          </w:tcPr>
          <w:p w14:paraId="53869EA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3316</w:t>
            </w:r>
          </w:p>
        </w:tc>
        <w:tc>
          <w:tcPr>
            <w:tcW w:w="0" w:type="auto"/>
            <w:tcBorders>
              <w:top w:val="single" w:sz="8" w:space="0" w:color="000000"/>
              <w:left w:val="nil"/>
              <w:bottom w:val="single" w:sz="4" w:space="0" w:color="auto"/>
              <w:right w:val="single" w:sz="4" w:space="0" w:color="auto"/>
            </w:tcBorders>
            <w:shd w:val="clear" w:color="auto" w:fill="FFFFFF" w:themeFill="background1"/>
            <w:noWrap/>
          </w:tcPr>
          <w:p w14:paraId="6E8070F5"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80</w:t>
            </w:r>
          </w:p>
        </w:tc>
        <w:tc>
          <w:tcPr>
            <w:tcW w:w="0" w:type="auto"/>
            <w:tcBorders>
              <w:top w:val="single" w:sz="8" w:space="0" w:color="000000"/>
              <w:left w:val="single" w:sz="4" w:space="0" w:color="auto"/>
              <w:bottom w:val="single" w:sz="4" w:space="0" w:color="auto"/>
              <w:right w:val="nil"/>
            </w:tcBorders>
            <w:shd w:val="clear" w:color="auto" w:fill="FFFFFF" w:themeFill="background1"/>
          </w:tcPr>
          <w:p w14:paraId="507A6B7A"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3489</w:t>
            </w:r>
          </w:p>
        </w:tc>
        <w:tc>
          <w:tcPr>
            <w:tcW w:w="0" w:type="auto"/>
            <w:tcBorders>
              <w:top w:val="single" w:sz="8" w:space="0" w:color="000000"/>
              <w:left w:val="nil"/>
              <w:bottom w:val="single" w:sz="4" w:space="0" w:color="auto"/>
              <w:right w:val="single" w:sz="4" w:space="0" w:color="auto"/>
            </w:tcBorders>
            <w:shd w:val="clear" w:color="auto" w:fill="FFFFFF" w:themeFill="background1"/>
          </w:tcPr>
          <w:p w14:paraId="037A068F"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79</w:t>
            </w:r>
          </w:p>
        </w:tc>
        <w:tc>
          <w:tcPr>
            <w:tcW w:w="0" w:type="auto"/>
            <w:tcBorders>
              <w:top w:val="single" w:sz="8" w:space="0" w:color="000000"/>
              <w:left w:val="single" w:sz="4" w:space="0" w:color="auto"/>
              <w:bottom w:val="single" w:sz="8" w:space="0" w:color="auto"/>
              <w:right w:val="nil"/>
            </w:tcBorders>
            <w:shd w:val="clear" w:color="auto" w:fill="FFFFFF" w:themeFill="background1"/>
          </w:tcPr>
          <w:p w14:paraId="7B5A4A40"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3976</w:t>
            </w:r>
          </w:p>
        </w:tc>
        <w:tc>
          <w:tcPr>
            <w:tcW w:w="0" w:type="auto"/>
            <w:tcBorders>
              <w:top w:val="single" w:sz="8" w:space="0" w:color="000000"/>
              <w:left w:val="nil"/>
              <w:bottom w:val="single" w:sz="8" w:space="0" w:color="auto"/>
              <w:right w:val="single" w:sz="4" w:space="0" w:color="auto"/>
            </w:tcBorders>
            <w:shd w:val="clear" w:color="auto" w:fill="FFFFFF" w:themeFill="background1"/>
          </w:tcPr>
          <w:p w14:paraId="51DF8331"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80</w:t>
            </w:r>
          </w:p>
        </w:tc>
        <w:tc>
          <w:tcPr>
            <w:tcW w:w="0" w:type="auto"/>
            <w:tcBorders>
              <w:top w:val="single" w:sz="8" w:space="0" w:color="000000"/>
              <w:left w:val="single" w:sz="4" w:space="0" w:color="auto"/>
              <w:bottom w:val="single" w:sz="4" w:space="0" w:color="auto"/>
              <w:right w:val="nil"/>
            </w:tcBorders>
            <w:shd w:val="clear" w:color="auto" w:fill="FFFFFF" w:themeFill="background1"/>
          </w:tcPr>
          <w:p w14:paraId="06B8D814"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11184</w:t>
            </w:r>
          </w:p>
        </w:tc>
        <w:tc>
          <w:tcPr>
            <w:tcW w:w="0" w:type="auto"/>
            <w:tcBorders>
              <w:top w:val="single" w:sz="8" w:space="0" w:color="000000"/>
              <w:left w:val="nil"/>
              <w:bottom w:val="single" w:sz="4" w:space="0" w:color="auto"/>
              <w:right w:val="single" w:sz="4" w:space="0" w:color="auto"/>
            </w:tcBorders>
            <w:shd w:val="clear" w:color="auto" w:fill="FFFFFF" w:themeFill="background1"/>
          </w:tcPr>
          <w:p w14:paraId="7C46329B"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79</w:t>
            </w:r>
          </w:p>
        </w:tc>
        <w:tc>
          <w:tcPr>
            <w:tcW w:w="0" w:type="auto"/>
            <w:tcBorders>
              <w:top w:val="single" w:sz="8" w:space="0" w:color="000000"/>
              <w:left w:val="single" w:sz="4" w:space="0" w:color="auto"/>
              <w:bottom w:val="single" w:sz="8" w:space="0" w:color="auto"/>
            </w:tcBorders>
            <w:shd w:val="clear" w:color="auto" w:fill="FFFFFF" w:themeFill="background1"/>
          </w:tcPr>
          <w:p w14:paraId="2C105F1E"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23727</w:t>
            </w:r>
          </w:p>
        </w:tc>
        <w:tc>
          <w:tcPr>
            <w:tcW w:w="0" w:type="auto"/>
            <w:tcBorders>
              <w:top w:val="single" w:sz="8" w:space="0" w:color="000000"/>
              <w:bottom w:val="single" w:sz="8" w:space="0" w:color="auto"/>
              <w:right w:val="single" w:sz="8" w:space="0" w:color="auto"/>
            </w:tcBorders>
            <w:shd w:val="clear" w:color="auto" w:fill="FFFFFF" w:themeFill="background1"/>
          </w:tcPr>
          <w:p w14:paraId="0B1DD0A7" w14:textId="77777777" w:rsidR="00CB64A4" w:rsidRPr="00701E75" w:rsidRDefault="00CB64A4" w:rsidP="00983051">
            <w:pPr>
              <w:spacing w:after="0" w:line="240" w:lineRule="auto"/>
              <w:jc w:val="center"/>
              <w:rPr>
                <w:rFonts w:eastAsia="Times New Roman" w:cstheme="minorHAnsi"/>
                <w:color w:val="000000"/>
                <w:sz w:val="20"/>
                <w:szCs w:val="20"/>
                <w:lang w:eastAsia="en-GB"/>
              </w:rPr>
            </w:pPr>
            <w:r w:rsidRPr="00701E75">
              <w:rPr>
                <w:rFonts w:cstheme="minorHAnsi"/>
                <w:sz w:val="20"/>
                <w:szCs w:val="20"/>
              </w:rPr>
              <w:t>79</w:t>
            </w:r>
          </w:p>
        </w:tc>
      </w:tr>
    </w:tbl>
    <w:p w14:paraId="7DCE6572" w14:textId="77777777" w:rsidR="00CB64A4" w:rsidRPr="00227EAD" w:rsidRDefault="00CB64A4" w:rsidP="00CB64A4">
      <w:pPr>
        <w:pStyle w:val="BodyText"/>
        <w:rPr>
          <w:rFonts w:cstheme="minorHAnsi"/>
          <w:sz w:val="18"/>
          <w:szCs w:val="18"/>
        </w:rPr>
      </w:pPr>
      <w:r w:rsidRPr="00227EAD">
        <w:rPr>
          <w:rFonts w:cstheme="minorHAnsi"/>
          <w:sz w:val="18"/>
          <w:szCs w:val="18"/>
          <w:vertAlign w:val="superscript"/>
        </w:rPr>
        <w:t xml:space="preserve">† </w:t>
      </w:r>
      <w:r w:rsidRPr="00227EAD">
        <w:rPr>
          <w:rFonts w:cstheme="minorHAnsi"/>
          <w:sz w:val="18"/>
          <w:szCs w:val="18"/>
        </w:rPr>
        <w:t>Denominator for percentages is the total number of hospitalisations in each age group for each deprivation quintile. m: months; y: years.</w:t>
      </w:r>
    </w:p>
    <w:p w14:paraId="7756B660" w14:textId="617DEFDF" w:rsidR="0056578A" w:rsidRPr="0056578A" w:rsidRDefault="0061069B" w:rsidP="00FE2E0A">
      <w:pPr>
        <w:pStyle w:val="Heading3"/>
        <w:spacing w:line="480" w:lineRule="auto"/>
      </w:pPr>
      <w:r w:rsidRPr="0061069B">
        <w:t xml:space="preserve">Influenza Vaccine Uptake </w:t>
      </w:r>
    </w:p>
    <w:p w14:paraId="5138AF8B" w14:textId="69820EAC" w:rsidR="00D7551C" w:rsidRDefault="0061069B">
      <w:pPr>
        <w:widowControl w:val="0"/>
        <w:autoSpaceDE w:val="0"/>
        <w:autoSpaceDN w:val="0"/>
        <w:adjustRightInd w:val="0"/>
        <w:spacing w:line="480" w:lineRule="auto"/>
        <w:rPr>
          <w:rFonts w:cs="Arial"/>
        </w:rPr>
      </w:pPr>
      <w:r w:rsidRPr="00F4746A">
        <w:rPr>
          <w:rFonts w:cs="Arial"/>
        </w:rPr>
        <w:t xml:space="preserve">Vaccine uptake among children aged 2-4 years for the 2014/15 and 2015/16 season did not attain </w:t>
      </w:r>
      <w:r w:rsidRPr="00F4746A">
        <w:rPr>
          <w:rFonts w:cs="Arial"/>
        </w:rPr>
        <w:lastRenderedPageBreak/>
        <w:t>the</w:t>
      </w:r>
      <w:r w:rsidR="0056578A">
        <w:rPr>
          <w:rFonts w:cs="Arial"/>
        </w:rPr>
        <w:t xml:space="preserve"> DH target of</w:t>
      </w:r>
      <w:r w:rsidR="00FE2E0A">
        <w:rPr>
          <w:rFonts w:cs="Arial"/>
        </w:rPr>
        <w:t xml:space="preserve"> 40%</w:t>
      </w:r>
      <w:r w:rsidRPr="00F4746A">
        <w:rPr>
          <w:rFonts w:cs="Arial"/>
        </w:rPr>
        <w:t xml:space="preserve"> in most of Merseyside (Figure </w:t>
      </w:r>
      <w:r w:rsidR="00434411">
        <w:rPr>
          <w:rFonts w:cs="Arial"/>
        </w:rPr>
        <w:t>4</w:t>
      </w:r>
      <w:r w:rsidR="00434411" w:rsidRPr="00F4746A">
        <w:rPr>
          <w:rFonts w:cs="Arial"/>
        </w:rPr>
        <w:t>a</w:t>
      </w:r>
      <w:r w:rsidRPr="00F4746A">
        <w:rPr>
          <w:rFonts w:cs="Arial"/>
        </w:rPr>
        <w:t xml:space="preserve">). In 2015/16, </w:t>
      </w:r>
      <w:r w:rsidR="00E4537C">
        <w:rPr>
          <w:rFonts w:cs="Arial"/>
        </w:rPr>
        <w:t>9</w:t>
      </w:r>
      <w:r w:rsidR="00810689">
        <w:rPr>
          <w:rFonts w:cs="Arial"/>
        </w:rPr>
        <w:t>1</w:t>
      </w:r>
      <w:r w:rsidR="00E4537C">
        <w:rPr>
          <w:rFonts w:cs="Arial"/>
        </w:rPr>
        <w:t>6/989 (9</w:t>
      </w:r>
      <w:r w:rsidR="00810689">
        <w:rPr>
          <w:rFonts w:cs="Arial"/>
        </w:rPr>
        <w:t>3</w:t>
      </w:r>
      <w:r w:rsidR="00244E25">
        <w:rPr>
          <w:rFonts w:cs="Arial"/>
        </w:rPr>
        <w:t>%) LSOA</w:t>
      </w:r>
      <w:r w:rsidR="007D0202">
        <w:rPr>
          <w:rFonts w:cs="Arial"/>
        </w:rPr>
        <w:t>s</w:t>
      </w:r>
      <w:r w:rsidR="00A36EF0">
        <w:rPr>
          <w:rFonts w:cs="Arial"/>
        </w:rPr>
        <w:t xml:space="preserve"> </w:t>
      </w:r>
      <w:r w:rsidR="00E4537C">
        <w:rPr>
          <w:rFonts w:cs="Arial"/>
        </w:rPr>
        <w:t xml:space="preserve">did not meet the 40% target. </w:t>
      </w:r>
      <w:r w:rsidR="00D7551C">
        <w:rPr>
          <w:rFonts w:cs="Arial"/>
        </w:rPr>
        <w:t>In 2015/16.</w:t>
      </w:r>
      <w:r w:rsidR="00E4537C">
        <w:rPr>
          <w:rFonts w:cs="Arial"/>
        </w:rPr>
        <w:t xml:space="preserve"> </w:t>
      </w:r>
      <w:r w:rsidR="00D7551C">
        <w:rPr>
          <w:rFonts w:cs="Arial"/>
        </w:rPr>
        <w:t>V</w:t>
      </w:r>
      <w:r w:rsidR="00E4537C">
        <w:rPr>
          <w:rFonts w:cs="Arial"/>
        </w:rPr>
        <w:t xml:space="preserve">accine uptake among those aged 65+ </w:t>
      </w:r>
      <w:r w:rsidR="00D7551C">
        <w:rPr>
          <w:rFonts w:cs="Arial"/>
        </w:rPr>
        <w:t xml:space="preserve">in the 2015/16 season </w:t>
      </w:r>
      <w:r w:rsidR="00E4537C">
        <w:rPr>
          <w:rFonts w:cs="Arial"/>
        </w:rPr>
        <w:t xml:space="preserve">was </w:t>
      </w:r>
      <w:r w:rsidR="006B1451">
        <w:rPr>
          <w:rFonts w:cs="Arial"/>
        </w:rPr>
        <w:t xml:space="preserve">below the 75% </w:t>
      </w:r>
      <w:r w:rsidR="00274AE8">
        <w:rPr>
          <w:rFonts w:cs="Arial"/>
        </w:rPr>
        <w:t xml:space="preserve">DH </w:t>
      </w:r>
      <w:r w:rsidR="006B1451">
        <w:rPr>
          <w:rFonts w:cs="Arial"/>
        </w:rPr>
        <w:t xml:space="preserve">target, with </w:t>
      </w:r>
      <w:r w:rsidR="00E4537C">
        <w:rPr>
          <w:rFonts w:cs="Arial"/>
        </w:rPr>
        <w:t>701/989 (71%)</w:t>
      </w:r>
      <w:r w:rsidR="006B1451">
        <w:rPr>
          <w:rFonts w:cs="Arial"/>
        </w:rPr>
        <w:t xml:space="preserve"> </w:t>
      </w:r>
      <w:r w:rsidR="00244E25">
        <w:rPr>
          <w:rFonts w:cs="Arial"/>
        </w:rPr>
        <w:t xml:space="preserve">LSOA </w:t>
      </w:r>
      <w:r w:rsidR="006B1451">
        <w:rPr>
          <w:rFonts w:cs="Arial"/>
        </w:rPr>
        <w:t>areas below the target</w:t>
      </w:r>
      <w:r w:rsidR="00E4537C">
        <w:rPr>
          <w:rFonts w:cs="Arial"/>
        </w:rPr>
        <w:t xml:space="preserve"> </w:t>
      </w:r>
      <w:r w:rsidRPr="00F4746A">
        <w:rPr>
          <w:rFonts w:cs="Arial"/>
        </w:rPr>
        <w:t xml:space="preserve">(Figure </w:t>
      </w:r>
      <w:r w:rsidR="00434411">
        <w:rPr>
          <w:rFonts w:cs="Arial"/>
        </w:rPr>
        <w:t>4</w:t>
      </w:r>
      <w:r w:rsidR="00434411" w:rsidRPr="00F4746A">
        <w:rPr>
          <w:rFonts w:cs="Arial"/>
        </w:rPr>
        <w:t>b</w:t>
      </w:r>
      <w:r w:rsidRPr="00F4746A">
        <w:rPr>
          <w:rFonts w:cs="Arial"/>
        </w:rPr>
        <w:t xml:space="preserve">). Among those presenting risk factors for complicated influenza, vaccine uptake in Merseyside </w:t>
      </w:r>
      <w:r w:rsidR="00545014">
        <w:rPr>
          <w:rFonts w:cs="Arial"/>
        </w:rPr>
        <w:t xml:space="preserve">was </w:t>
      </w:r>
      <w:r w:rsidR="00E4537C">
        <w:rPr>
          <w:rFonts w:cs="Arial"/>
        </w:rPr>
        <w:t xml:space="preserve">also </w:t>
      </w:r>
      <w:r w:rsidR="00545014">
        <w:rPr>
          <w:rFonts w:cs="Arial"/>
        </w:rPr>
        <w:t xml:space="preserve">below the </w:t>
      </w:r>
      <w:r w:rsidR="00E4537C">
        <w:rPr>
          <w:rFonts w:cs="Arial"/>
        </w:rPr>
        <w:t xml:space="preserve">DH </w:t>
      </w:r>
      <w:r w:rsidR="00545014">
        <w:rPr>
          <w:rFonts w:cs="Arial"/>
        </w:rPr>
        <w:t xml:space="preserve">target of 55%, </w:t>
      </w:r>
      <w:r w:rsidR="00E4537C">
        <w:rPr>
          <w:rFonts w:cs="Arial"/>
        </w:rPr>
        <w:t xml:space="preserve">with </w:t>
      </w:r>
      <w:r w:rsidR="003A4D38">
        <w:rPr>
          <w:rFonts w:cs="Arial"/>
        </w:rPr>
        <w:t>853</w:t>
      </w:r>
      <w:r w:rsidR="00545014">
        <w:rPr>
          <w:rFonts w:cs="Arial"/>
        </w:rPr>
        <w:t xml:space="preserve">/989 </w:t>
      </w:r>
      <w:r w:rsidR="00D50076">
        <w:rPr>
          <w:rFonts w:cs="Arial"/>
        </w:rPr>
        <w:t>(</w:t>
      </w:r>
      <w:r w:rsidR="003A4D38">
        <w:rPr>
          <w:rFonts w:cs="Arial"/>
        </w:rPr>
        <w:t>86</w:t>
      </w:r>
      <w:r w:rsidR="00545014">
        <w:rPr>
          <w:rFonts w:cs="Arial"/>
        </w:rPr>
        <w:t>%</w:t>
      </w:r>
      <w:r w:rsidR="00D50076">
        <w:rPr>
          <w:rFonts w:cs="Arial"/>
        </w:rPr>
        <w:t xml:space="preserve">) </w:t>
      </w:r>
      <w:r w:rsidR="00244E25">
        <w:rPr>
          <w:rFonts w:cs="Arial"/>
        </w:rPr>
        <w:t xml:space="preserve">LSOA </w:t>
      </w:r>
      <w:r w:rsidR="00D50076">
        <w:rPr>
          <w:rFonts w:cs="Arial"/>
        </w:rPr>
        <w:t>areas</w:t>
      </w:r>
      <w:r w:rsidR="00545014">
        <w:rPr>
          <w:rFonts w:cs="Arial"/>
        </w:rPr>
        <w:t xml:space="preserve"> </w:t>
      </w:r>
      <w:r w:rsidR="00A57084">
        <w:rPr>
          <w:rFonts w:cs="Arial"/>
        </w:rPr>
        <w:t xml:space="preserve">not </w:t>
      </w:r>
      <w:r w:rsidR="00545014">
        <w:rPr>
          <w:rFonts w:cs="Arial"/>
        </w:rPr>
        <w:t>me</w:t>
      </w:r>
      <w:r w:rsidR="00D7551C">
        <w:rPr>
          <w:rFonts w:cs="Arial"/>
        </w:rPr>
        <w:t>e</w:t>
      </w:r>
      <w:r w:rsidR="00545014">
        <w:rPr>
          <w:rFonts w:cs="Arial"/>
        </w:rPr>
        <w:t>t</w:t>
      </w:r>
      <w:r w:rsidR="00E4537C">
        <w:rPr>
          <w:rFonts w:cs="Arial"/>
        </w:rPr>
        <w:t>ing</w:t>
      </w:r>
      <w:r w:rsidR="00545014">
        <w:rPr>
          <w:rFonts w:cs="Arial"/>
        </w:rPr>
        <w:t xml:space="preserve"> the target</w:t>
      </w:r>
      <w:r w:rsidR="00E4537C">
        <w:rPr>
          <w:rFonts w:cs="Arial"/>
        </w:rPr>
        <w:t xml:space="preserve"> in 2015/16</w:t>
      </w:r>
      <w:r w:rsidRPr="00F4746A">
        <w:rPr>
          <w:rFonts w:cs="Arial"/>
        </w:rPr>
        <w:t xml:space="preserve"> (Figure </w:t>
      </w:r>
      <w:r w:rsidR="00434411">
        <w:rPr>
          <w:rFonts w:cs="Arial"/>
        </w:rPr>
        <w:t>4</w:t>
      </w:r>
      <w:r w:rsidR="00434411" w:rsidRPr="00F4746A">
        <w:rPr>
          <w:rFonts w:cs="Arial"/>
        </w:rPr>
        <w:t>c</w:t>
      </w:r>
      <w:r w:rsidRPr="00F4746A">
        <w:rPr>
          <w:rFonts w:cs="Arial"/>
        </w:rPr>
        <w:t>).</w:t>
      </w:r>
      <w:r w:rsidR="00F4746A">
        <w:rPr>
          <w:rFonts w:cs="Arial"/>
          <w:b/>
        </w:rPr>
        <w:t xml:space="preserve"> </w:t>
      </w:r>
      <w:r w:rsidRPr="00F4746A">
        <w:rPr>
          <w:rFonts w:cs="Arial"/>
        </w:rPr>
        <w:t xml:space="preserve">Vaccine uptake was lowest in the most </w:t>
      </w:r>
      <w:r w:rsidR="00317EEC">
        <w:rPr>
          <w:rFonts w:cs="Arial"/>
        </w:rPr>
        <w:t xml:space="preserve">socioeconomically </w:t>
      </w:r>
      <w:r w:rsidRPr="00F4746A">
        <w:rPr>
          <w:rFonts w:cs="Arial"/>
        </w:rPr>
        <w:t xml:space="preserve">deprived quintiles (Figure </w:t>
      </w:r>
      <w:r w:rsidR="00434411">
        <w:rPr>
          <w:rFonts w:cs="Arial"/>
        </w:rPr>
        <w:t>5</w:t>
      </w:r>
      <w:r w:rsidRPr="00F4746A">
        <w:rPr>
          <w:rFonts w:cs="Arial"/>
        </w:rPr>
        <w:t>).</w:t>
      </w:r>
      <w:r w:rsidR="00E4537C">
        <w:rPr>
          <w:rFonts w:cs="Arial"/>
        </w:rPr>
        <w:t xml:space="preserve"> </w:t>
      </w:r>
      <w:r w:rsidR="00D7551C">
        <w:rPr>
          <w:rFonts w:cs="Arial"/>
        </w:rPr>
        <w:t xml:space="preserve">In the 2014/15 and 2015/16 seasons, the odds of influenza vaccine uptake in the most deprived quintile compared to the least deprived were </w:t>
      </w:r>
      <w:r w:rsidR="00317EEC">
        <w:rPr>
          <w:rFonts w:cs="Arial"/>
        </w:rPr>
        <w:t>30</w:t>
      </w:r>
      <w:r w:rsidR="00D7551C">
        <w:rPr>
          <w:rFonts w:cs="Arial"/>
        </w:rPr>
        <w:t xml:space="preserve">% lower in the </w:t>
      </w:r>
      <w:r w:rsidR="00244E25">
        <w:rPr>
          <w:rFonts w:cs="Arial"/>
        </w:rPr>
        <w:t>24-59</w:t>
      </w:r>
      <w:r w:rsidR="00D7551C">
        <w:rPr>
          <w:rFonts w:cs="Arial"/>
        </w:rPr>
        <w:t xml:space="preserve"> months group (OR= 0.</w:t>
      </w:r>
      <w:r w:rsidR="00317EEC">
        <w:rPr>
          <w:rFonts w:cs="Arial"/>
        </w:rPr>
        <w:t>70</w:t>
      </w:r>
      <w:r w:rsidR="00D7551C">
        <w:rPr>
          <w:rFonts w:cs="Arial"/>
        </w:rPr>
        <w:t>: 95% CI; 0.6</w:t>
      </w:r>
      <w:r w:rsidR="00317EEC">
        <w:rPr>
          <w:rFonts w:cs="Arial"/>
        </w:rPr>
        <w:t>6</w:t>
      </w:r>
      <w:r w:rsidR="00D7551C">
        <w:rPr>
          <w:rFonts w:cs="Arial"/>
        </w:rPr>
        <w:t>-0.</w:t>
      </w:r>
      <w:r w:rsidR="00317EEC">
        <w:rPr>
          <w:rFonts w:cs="Arial"/>
        </w:rPr>
        <w:t>74</w:t>
      </w:r>
      <w:r w:rsidR="00D7551C">
        <w:rPr>
          <w:rFonts w:cs="Arial"/>
        </w:rPr>
        <w:t>; p&lt;</w:t>
      </w:r>
      <w:r w:rsidR="00317EEC">
        <w:rPr>
          <w:rFonts w:cs="Arial"/>
        </w:rPr>
        <w:t>0</w:t>
      </w:r>
      <w:r w:rsidR="00D7551C">
        <w:rPr>
          <w:rFonts w:cs="Arial"/>
        </w:rPr>
        <w:t>.001), 1</w:t>
      </w:r>
      <w:r w:rsidR="00317EEC">
        <w:rPr>
          <w:rFonts w:cs="Arial"/>
        </w:rPr>
        <w:t>0</w:t>
      </w:r>
      <w:r w:rsidR="00D7551C">
        <w:rPr>
          <w:rFonts w:cs="Arial"/>
        </w:rPr>
        <w:t xml:space="preserve">% lower in the 65+ </w:t>
      </w:r>
      <w:r w:rsidR="006B1451">
        <w:rPr>
          <w:rFonts w:cs="Arial"/>
        </w:rPr>
        <w:t xml:space="preserve">year olds </w:t>
      </w:r>
      <w:r w:rsidR="00D7551C">
        <w:rPr>
          <w:rFonts w:cs="Arial"/>
        </w:rPr>
        <w:t>(OR=</w:t>
      </w:r>
      <w:r w:rsidR="00563C2A">
        <w:rPr>
          <w:rFonts w:cs="Arial"/>
        </w:rPr>
        <w:t xml:space="preserve"> </w:t>
      </w:r>
      <w:r w:rsidR="00D7551C">
        <w:rPr>
          <w:rFonts w:cs="Arial"/>
        </w:rPr>
        <w:t>0.</w:t>
      </w:r>
      <w:r w:rsidR="00317EEC">
        <w:rPr>
          <w:rFonts w:cs="Arial"/>
        </w:rPr>
        <w:t>90</w:t>
      </w:r>
      <w:r w:rsidR="00D7551C">
        <w:rPr>
          <w:rFonts w:cs="Arial"/>
        </w:rPr>
        <w:t>: 9</w:t>
      </w:r>
      <w:r w:rsidR="00317EEC">
        <w:rPr>
          <w:rFonts w:cs="Arial"/>
        </w:rPr>
        <w:t>5</w:t>
      </w:r>
      <w:r w:rsidR="00D7551C">
        <w:rPr>
          <w:rFonts w:cs="Arial"/>
        </w:rPr>
        <w:t>% CI; 0.</w:t>
      </w:r>
      <w:r w:rsidR="00317EEC">
        <w:rPr>
          <w:rFonts w:cs="Arial"/>
        </w:rPr>
        <w:t>88-0.92</w:t>
      </w:r>
      <w:r w:rsidR="00D7551C">
        <w:rPr>
          <w:rFonts w:cs="Arial"/>
        </w:rPr>
        <w:t>; p&lt;</w:t>
      </w:r>
      <w:r w:rsidR="00563C2A">
        <w:rPr>
          <w:rFonts w:cs="Arial"/>
        </w:rPr>
        <w:t>0</w:t>
      </w:r>
      <w:r w:rsidR="00D7551C">
        <w:rPr>
          <w:rFonts w:cs="Arial"/>
        </w:rPr>
        <w:t>.001)</w:t>
      </w:r>
      <w:r w:rsidR="006A376B">
        <w:rPr>
          <w:rFonts w:cs="Arial"/>
        </w:rPr>
        <w:t xml:space="preserve">. In at risk groups there was no major difference, </w:t>
      </w:r>
      <w:r w:rsidR="00D7551C">
        <w:rPr>
          <w:rFonts w:cs="Arial"/>
        </w:rPr>
        <w:t>3% lower</w:t>
      </w:r>
      <w:r w:rsidR="006A376B">
        <w:rPr>
          <w:rFonts w:cs="Arial"/>
        </w:rPr>
        <w:t xml:space="preserve"> in most deprived</w:t>
      </w:r>
      <w:r w:rsidR="00D7551C">
        <w:rPr>
          <w:rFonts w:cs="Arial"/>
        </w:rPr>
        <w:t xml:space="preserve"> (OR=</w:t>
      </w:r>
      <w:r w:rsidR="00317EEC">
        <w:rPr>
          <w:rFonts w:cs="Arial"/>
        </w:rPr>
        <w:t>1.00</w:t>
      </w:r>
      <w:r w:rsidR="00D7551C">
        <w:rPr>
          <w:rFonts w:cs="Arial"/>
        </w:rPr>
        <w:t>: 95%; CI 0.9</w:t>
      </w:r>
      <w:r w:rsidR="00317EEC">
        <w:rPr>
          <w:rFonts w:cs="Arial"/>
        </w:rPr>
        <w:t>8</w:t>
      </w:r>
      <w:r w:rsidR="00D7551C">
        <w:rPr>
          <w:rFonts w:cs="Arial"/>
        </w:rPr>
        <w:t>-</w:t>
      </w:r>
      <w:r w:rsidR="00317EEC">
        <w:rPr>
          <w:rFonts w:cs="Arial"/>
        </w:rPr>
        <w:t>1.04</w:t>
      </w:r>
      <w:r w:rsidR="00D7551C">
        <w:rPr>
          <w:rFonts w:cs="Arial"/>
        </w:rPr>
        <w:t>; p=0.</w:t>
      </w:r>
      <w:r w:rsidR="00317EEC">
        <w:rPr>
          <w:rFonts w:cs="Arial"/>
        </w:rPr>
        <w:t>66</w:t>
      </w:r>
      <w:r w:rsidR="00D7551C">
        <w:rPr>
          <w:rFonts w:cs="Arial"/>
        </w:rPr>
        <w:t xml:space="preserve">). </w:t>
      </w:r>
    </w:p>
    <w:p w14:paraId="4B6C1F8E" w14:textId="70DCD4B5" w:rsidR="002446BC" w:rsidRPr="002446BC" w:rsidRDefault="009D568A" w:rsidP="00FE2E0A">
      <w:pPr>
        <w:pStyle w:val="Heading2"/>
        <w:spacing w:line="480" w:lineRule="auto"/>
      </w:pPr>
      <w:r w:rsidRPr="0061069B">
        <w:t>Discussion</w:t>
      </w:r>
    </w:p>
    <w:p w14:paraId="57335AD2" w14:textId="37A543B7" w:rsidR="00094D7F" w:rsidRDefault="00617E3E" w:rsidP="00B620BB">
      <w:pPr>
        <w:spacing w:line="480" w:lineRule="auto"/>
      </w:pPr>
      <w:r>
        <w:t>T</w:t>
      </w:r>
      <w:r w:rsidR="003F6D5F">
        <w:t xml:space="preserve">his study shows variations </w:t>
      </w:r>
      <w:r w:rsidR="009138E7">
        <w:t>i</w:t>
      </w:r>
      <w:r w:rsidR="00B620BB">
        <w:t>n the number of</w:t>
      </w:r>
      <w:r w:rsidR="003F6D5F">
        <w:t xml:space="preserve"> </w:t>
      </w:r>
      <w:r w:rsidR="008900FF">
        <w:t>hospitalis</w:t>
      </w:r>
      <w:r w:rsidR="003F6D5F">
        <w:t xml:space="preserve">ations for IAI in Merseyside, England, </w:t>
      </w:r>
      <w:r w:rsidR="00F80770">
        <w:t xml:space="preserve">across </w:t>
      </w:r>
      <w:r w:rsidR="00DD6D43">
        <w:t xml:space="preserve">the </w:t>
      </w:r>
      <w:r w:rsidR="00B94DA5">
        <w:t>influenza seasons</w:t>
      </w:r>
      <w:r w:rsidR="00951E04">
        <w:t xml:space="preserve"> from 2004/5 to 2015/16</w:t>
      </w:r>
      <w:r>
        <w:t xml:space="preserve">, with a significant measurable difference by </w:t>
      </w:r>
      <w:r w:rsidR="00E820E4">
        <w:t>socioeconomic deprivation</w:t>
      </w:r>
      <w:r>
        <w:t xml:space="preserve"> status in the </w:t>
      </w:r>
      <w:r w:rsidR="00E820E4">
        <w:t>adult population</w:t>
      </w:r>
      <w:r w:rsidR="00094D7F">
        <w:t xml:space="preserve">, which is in concordance with </w:t>
      </w:r>
      <w:r w:rsidR="00EB702C">
        <w:t>findings from other settings</w:t>
      </w:r>
      <w:r w:rsidR="00A57084">
        <w:t xml:space="preserve"> </w:t>
      </w:r>
      <w:r w:rsidR="00A57084">
        <w:fldChar w:fldCharType="begin"/>
      </w:r>
      <w:r w:rsidR="00B519AB">
        <w:instrText xml:space="preserve"> ADDIN ZOTERO_ITEM CSL_CITATION {"citationID":"a9i56nrqre","properties":{"formattedCitation":"[8,30,31]","plainCitation":"[8,30,31]","noteIndex":0},"citationItems":[{"id":4245,"uris":["http://zotero.org/groups/1793288/items/9ZK9F5JZ"],"uri":["http://zotero.org/groups/1793288/items/9ZK9F5JZ"],"itemData":{"id":4245,"type":"article-journal","title":"Social deprivation and hospital admission for respiratory infection: an ecological study","container-title":"Respiratory Medicine","page":"1219-1224","volume":"97","issue":"11","source":"PubMed","abstract":"STUDY OBJECTIVE: To examine the relationship between social deprivation and risk of hospital admission for respiratory infection.\nMETHODS AND SUBJECTS: Ecological study using hospital episode statistics and population census data. Cases were residents of the West Midlands Health Region admitted to hospital with a diagnosis of respiratory infection, acute respiratory infection, pneumonia or influenza over a 5-year period. Postcodes of cases were used to assign Townsend deprivation scores; these were then ranked and divided into five deprivation categories. Poisson regression analysis was used to estimate the magnitude of effect for associations between deprivation category and hospital admission by age and admitting diagnosis.\nMAIN RESULTS: There were 136755 admissions for respiratory infection, equivalent to an annual admission rate of 27.1 per 1000 population (95% CI = 26.9-27.2). Deprivation was associated with increased admission rates for all respiratory infection (P &lt; 0.0001) and affected all age-groups. The greatest effect was in the 0-4 years age-group with admission rates 91% higher in the most deprived children compared to the least deprived. Hospital admissions for acute respiratory infection and pneumonia were both significantly associated with deprivation (P &lt; 0.0001).\nCONCLUSIONS: Respiratory infection is associated with social inequalities in all age-groups, particularly in children. Prevention of respiratory infection could make an important contribution to reducing health inequalities.","ISSN":"0954-6111","note":"PMID: 14635977","shortTitle":"Social deprivation and hospital admission for respiratory infection","journalAbbreviation":"Respir Med","language":"eng","author":[{"family":"Hawker","given":"Jeremy I."},{"family":"Olowokure","given":"Babatunde"},{"family":"Sufi","given":"Farzana"},{"family":"Weinberg","given":"Julius"},{"family":"Gill","given":"Noel"},{"family":"Wilson","given":"Richard C."}],"issued":{"date-parts":[["2003",11]]}}},{"id":4233,"uris":["http://zotero.org/groups/1793288/items/HAMB9ERP"],"uri":["http://zotero.org/groups/1793288/items/HAMB9ERP"],"itemData":{"id":4233,"type":"article-journal","title":"Socio-economic disparities in the burden of seasonal influenza: the effect of social and material deprivation on rates of influenza infection","container-title":"PloS one, PLoS ONE","page":"e17207-e17207","volume":"6, 6","issue":"2, 2","source":"europepmc.org","abstract":"FULL TEXT Abstract: There is little empirical evidence in support of a relationship between rates of influenza infection and level of material deprivation (i.e.,...","DOI":"10.1371/journal.pone.0017207, 10.1371/journal.pone.0017207","ISSN":"1932-6203","note":"PMID: 21359150","shortTitle":"Socio-economic disparities in the burden of seasonal influenza","journalAbbreviation":"PLoS One","language":"eng","author":[{"family":"Charland","given":"K. M."},{"family":"Brownstein","given":"J. S."},{"family":"Verma","given":"A."},{"family":"Brien","given":"S."},{"family":"Buckeridge","given":"D. L."}],"issued":{"date-parts":[["2011"]]}}},{"id":4231,"uris":["http://zotero.org/groups/1793288/items/XVCGZ9NI"],"uri":["http://zotero.org/groups/1793288/items/XVCGZ9NI"],"itemData":{"id":4231,"type":"article-journal","title":"Social deprivation and burden of influenza: Testing hypotheses and gaining insights from a simulation model for the spread of influenza","container-title":"Epidemics","page":"71-79","volume":"11","issue":"Supplement C","source":"ScienceDirect","abstract":"Factors associated with the burden of influenza among vulnerable populations have mainly been identified using statistical methodologies. Complex simulation models provide mechanistic explanations, in terms of spatial heterogeneity and contact rates, while controlling other factors and may be used to better understand statistical patterns and, ultimately, design optimal population-level interventions. We extended a sophisticated simulation model, which was applied to forecast epidemics and validated for predictive ability, to identify mechanisms for the empirical relationship between social deprivation and the burden of influenza. Our modeled scenarios and associated epidemic metrics systematically assessed whether neighborhood composition and/or spatial arrangement could qualitatively replicate this empirical relationship. We further used the model to determine consequences of local-scale heterogeneities on larger scale disease spread. Our findings indicated that both neighborhood composition and spatial arrangement were critical to qualitatively match the empirical relationship of interest. Also, when social deprivation was fully included in the model, we observed lower age-based attack rates and greater delay in epidemic peak week in the most socially deprived neighborhoods. Insights from simulation models complement current understandings from statistical-based association studies. Additional insights from our study are: (1) heterogeneous spatial arrangement of neighborhoods is a necessary condition for simulating observed disparities in the burden of influenza and (2) unmeasured factors may lead to a better quantitative match between simulated and observed rate ratio in the burden of influenza between the most and least socially deprived populations.","DOI":"10.1016/j.epidem.2015.03.004","ISSN":"1755-4365","shortTitle":"Social deprivation and burden of influenza","journalAbbreviation":"Epidemics","author":[{"family":"Hyder","given":"Ayaz"},{"family":"Leung","given":"Brian"}],"issued":{"date-parts":[["2015",6,1]]}}}],"schema":"https://github.com/citation-style-language/schema/raw/master/csl-citation.json"} </w:instrText>
      </w:r>
      <w:r w:rsidR="00A57084">
        <w:fldChar w:fldCharType="separate"/>
      </w:r>
      <w:r w:rsidR="00B519AB" w:rsidRPr="003563BA">
        <w:rPr>
          <w:rFonts w:ascii="Calibri" w:hAnsi="Calibri" w:cs="Calibri"/>
        </w:rPr>
        <w:t>[8,30,31]</w:t>
      </w:r>
      <w:r w:rsidR="00A57084">
        <w:fldChar w:fldCharType="end"/>
      </w:r>
      <w:r w:rsidR="00EB702C">
        <w:t xml:space="preserve">. </w:t>
      </w:r>
      <w:r>
        <w:t>H</w:t>
      </w:r>
      <w:r w:rsidR="008900FF">
        <w:t>ospitalis</w:t>
      </w:r>
      <w:r>
        <w:t xml:space="preserve">ed IAI </w:t>
      </w:r>
      <w:r w:rsidR="00AD3BC8">
        <w:t>rates among those aged 40-</w:t>
      </w:r>
      <w:r w:rsidR="007E642C">
        <w:t xml:space="preserve">64 </w:t>
      </w:r>
      <w:r w:rsidR="00AD3BC8">
        <w:t>years living in the most deprived communities</w:t>
      </w:r>
      <w:r w:rsidR="000A4E22">
        <w:t xml:space="preserve"> were</w:t>
      </w:r>
      <w:r w:rsidR="00AD3BC8">
        <w:t xml:space="preserve"> more than double </w:t>
      </w:r>
      <w:r w:rsidR="00F80770">
        <w:t>those of</w:t>
      </w:r>
      <w:r w:rsidR="00AD3BC8">
        <w:t xml:space="preserve"> the same age group from the mo</w:t>
      </w:r>
      <w:r w:rsidR="000A4E22">
        <w:t>st affluent areas</w:t>
      </w:r>
      <w:r>
        <w:t xml:space="preserve">. </w:t>
      </w:r>
      <w:r w:rsidR="00E9193F">
        <w:t xml:space="preserve">Influenza vaccine uptake was below the national DH target among those aged &lt;65 years presenting </w:t>
      </w:r>
      <w:r w:rsidR="000211BF">
        <w:t xml:space="preserve">comorbidities, and </w:t>
      </w:r>
      <w:r w:rsidR="00454C7A">
        <w:t xml:space="preserve">while it </w:t>
      </w:r>
      <w:r w:rsidR="000211BF">
        <w:t>was close to the 75% targ</w:t>
      </w:r>
      <w:r w:rsidR="00454C7A">
        <w:t xml:space="preserve">et for the &gt;65 in </w:t>
      </w:r>
      <w:r w:rsidR="000211BF">
        <w:t>20014/15</w:t>
      </w:r>
      <w:r w:rsidR="00454C7A">
        <w:t>,</w:t>
      </w:r>
      <w:r w:rsidR="000211BF">
        <w:t xml:space="preserve"> </w:t>
      </w:r>
      <w:r w:rsidR="00B934C4">
        <w:t xml:space="preserve">most of Merseyside </w:t>
      </w:r>
      <w:r w:rsidR="007643E2">
        <w:t>was</w:t>
      </w:r>
      <w:r w:rsidR="00B934C4">
        <w:t xml:space="preserve"> below target in 2015/16.</w:t>
      </w:r>
    </w:p>
    <w:p w14:paraId="5A1D2B2F" w14:textId="0BA8F7CC" w:rsidR="00CD3C5A" w:rsidRDefault="00E9193F" w:rsidP="00B620BB">
      <w:pPr>
        <w:spacing w:line="480" w:lineRule="auto"/>
      </w:pPr>
      <w:r>
        <w:t xml:space="preserve">In contrast to our findings among adults, IAI </w:t>
      </w:r>
      <w:r w:rsidR="008900FF">
        <w:t>hospitalis</w:t>
      </w:r>
      <w:r>
        <w:t xml:space="preserve">ation rates among children </w:t>
      </w:r>
      <w:r w:rsidR="007E642C">
        <w:t xml:space="preserve">&lt;5 years </w:t>
      </w:r>
      <w:r w:rsidR="00C34B9B">
        <w:t xml:space="preserve">of age </w:t>
      </w:r>
      <w:r>
        <w:t xml:space="preserve">were similar across socioeconomic strata, and vaccination uptake remained consistently below the 40% DH target for both 2014/15 and 2015/16 seasons. It could be hypothesised that in childhood, in the absence of comorbidities that could exacerbate the disease, </w:t>
      </w:r>
      <w:r w:rsidR="008900FF">
        <w:t>hospitalis</w:t>
      </w:r>
      <w:r w:rsidR="006F3BF7">
        <w:t>ation following exposure to the influenza v</w:t>
      </w:r>
      <w:r w:rsidR="00454C7A">
        <w:t xml:space="preserve">irus is likely to be driven by factors other than </w:t>
      </w:r>
      <w:r w:rsidR="006F3BF7">
        <w:t>social determinants of health. While</w:t>
      </w:r>
      <w:r w:rsidR="00F523B5">
        <w:t xml:space="preserve"> </w:t>
      </w:r>
      <w:r w:rsidR="00F523B5">
        <w:lastRenderedPageBreak/>
        <w:t xml:space="preserve">there is robust evidence </w:t>
      </w:r>
      <w:r w:rsidR="006F3BF7">
        <w:t>indicating that</w:t>
      </w:r>
      <w:r w:rsidR="00F523B5">
        <w:t xml:space="preserve"> social</w:t>
      </w:r>
      <w:r w:rsidR="00FD15ED">
        <w:t xml:space="preserve"> and economic</w:t>
      </w:r>
      <w:r w:rsidR="00F523B5">
        <w:t xml:space="preserve"> disadvantage is strongly associated with the development of ill-health in childhood and in </w:t>
      </w:r>
      <w:r w:rsidR="005B0BC7">
        <w:t>later life</w:t>
      </w:r>
      <w:r w:rsidR="00E56E44">
        <w:t xml:space="preserve"> </w:t>
      </w:r>
      <w:r w:rsidR="00E56E44">
        <w:fldChar w:fldCharType="begin"/>
      </w:r>
      <w:r w:rsidR="00B519AB">
        <w:instrText xml:space="preserve"> ADDIN ZOTERO_ITEM CSL_CITATION {"citationID":"a2d3nu1tps4","properties":{"formattedCitation":"[32]","plainCitation":"[32]","noteIndex":0},"citationItems":[{"id":4224,"uris":["http://zotero.org/groups/1793288/items/IWWFW7CB"],"uri":["http://zotero.org/groups/1793288/items/IWWFW7CB"],"itemData":{"id":4224,"type":"article-journal","title":"Poverty and child health in the UK: using evidence for action","container-title":"Archives of Disease in Childhood","page":"759","volume":"101","issue":"8","abstract":"There are currently high levels of child poverty in the UK, and for the first time in almost two decades child poverty has started to rise in absolute terms. Child poverty is associated with a wide range of health-damaging impacts, negative educational outcomes and adverse long-term social and psychological outcomes. The poor health associated with child poverty limits children's potential and development, leading to poor health and life chances in adulthood. This article outlines some key definitions with regard to child poverty, reviews the links between child poverty and a range of health, developmental, behavioural and social outcomes for children, describes gaps in the evidence base and provides an overview of current policies relevant to child poverty in the UK. Finally, the article outlines how child health professionals can take action by (1) supporting policies to reduce child poverty, (2) providing services that reduce the health consequences of child poverty and (3) measuring and understanding the problem and assessing the impact of action.","DOI":"10.1136/archdischild-2014-306746","journalAbbreviation":"Arch Dis Child","author":[{"family":"Wickham","given":"Sophie"},{"family":"Anwar","given":"Elspeth"},{"family":"Barr","given":"Ben"},{"family":"Law","given":"Catherine"},{"family":"Taylor-Robinson","given":"David"}],"issued":{"date-parts":[["2016",7,19]]}}}],"schema":"https://github.com/citation-style-language/schema/raw/master/csl-citation.json"} </w:instrText>
      </w:r>
      <w:r w:rsidR="00E56E44">
        <w:fldChar w:fldCharType="separate"/>
      </w:r>
      <w:r w:rsidR="00B519AB" w:rsidRPr="003563BA">
        <w:rPr>
          <w:rFonts w:ascii="Calibri" w:hAnsi="Calibri" w:cs="Calibri"/>
        </w:rPr>
        <w:t>[32]</w:t>
      </w:r>
      <w:r w:rsidR="00E56E44">
        <w:fldChar w:fldCharType="end"/>
      </w:r>
      <w:r w:rsidR="005B0BC7">
        <w:t xml:space="preserve">, our results </w:t>
      </w:r>
      <w:r w:rsidR="006F3BF7">
        <w:t xml:space="preserve">suggest </w:t>
      </w:r>
      <w:r w:rsidR="00327B76">
        <w:t xml:space="preserve">that </w:t>
      </w:r>
      <w:r w:rsidR="000107AF">
        <w:t xml:space="preserve">hospitalisations for </w:t>
      </w:r>
      <w:r w:rsidR="005B0BC7">
        <w:t xml:space="preserve">infectious </w:t>
      </w:r>
      <w:r w:rsidR="00244E25">
        <w:t xml:space="preserve">respiratory </w:t>
      </w:r>
      <w:r w:rsidR="005B0BC7">
        <w:t>diseases</w:t>
      </w:r>
      <w:r w:rsidR="00D6798F">
        <w:t>, such as influenza illness</w:t>
      </w:r>
      <w:r w:rsidR="000A4E22">
        <w:t>,</w:t>
      </w:r>
      <w:r w:rsidR="005B0BC7">
        <w:t xml:space="preserve"> are an equal threat to </w:t>
      </w:r>
      <w:r w:rsidR="00A36EF0">
        <w:t xml:space="preserve">very </w:t>
      </w:r>
      <w:r w:rsidR="00FD15ED">
        <w:t xml:space="preserve">young </w:t>
      </w:r>
      <w:r w:rsidR="005B0BC7">
        <w:t xml:space="preserve">children regardless of their </w:t>
      </w:r>
      <w:r w:rsidR="000A4E22">
        <w:t>socioeconomic background</w:t>
      </w:r>
      <w:r w:rsidR="000107AF">
        <w:t xml:space="preserve">, which is likely to be related to there being less of </w:t>
      </w:r>
      <w:r w:rsidR="00AD3CD1">
        <w:t xml:space="preserve">a </w:t>
      </w:r>
      <w:r w:rsidR="000107AF">
        <w:t>differential in comorbidities across deprivation strata at a young age</w:t>
      </w:r>
      <w:r w:rsidR="00D6798F">
        <w:t>.</w:t>
      </w:r>
      <w:r w:rsidR="005B0BC7">
        <w:t xml:space="preserve"> </w:t>
      </w:r>
    </w:p>
    <w:p w14:paraId="1FC9D490" w14:textId="55562E9C" w:rsidR="004A275F" w:rsidRDefault="006F3BF7" w:rsidP="004A275F">
      <w:pPr>
        <w:spacing w:line="480" w:lineRule="auto"/>
      </w:pPr>
      <w:r>
        <w:t xml:space="preserve">While data on vaccine uptake was not available </w:t>
      </w:r>
      <w:r w:rsidR="00CD7312">
        <w:t xml:space="preserve">for </w:t>
      </w:r>
      <w:r>
        <w:t xml:space="preserve">influenza seasons prior to 2014/15, </w:t>
      </w:r>
      <w:r w:rsidR="008900FF">
        <w:t>hospitalis</w:t>
      </w:r>
      <w:r>
        <w:t>ation rates have followed a consistent pattern throughout the study period, with an age-shift observed in the 2009/10 season, consistent with the H1N1 pandemic</w:t>
      </w:r>
      <w:r w:rsidR="00176AE7">
        <w:t xml:space="preserve"> </w:t>
      </w:r>
      <w:r w:rsidR="005E31D6" w:rsidRPr="005E31D6">
        <w:fldChar w:fldCharType="begin"/>
      </w:r>
      <w:r w:rsidR="00B519AB">
        <w:instrText xml:space="preserve"> ADDIN ZOTERO_ITEM CSL_CITATION {"citationID":"a1mh9ktjva0","properties":{"formattedCitation":"[33]","plainCitation":"[33]","noteIndex":0},"citationItems":[{"id":4507,"uris":["http://zotero.org/groups/1793288/items/BT6VEXZ9"],"uri":["http://zotero.org/groups/1793288/items/BT6VEXZ9"],"itemData":{"id":4507,"type":"article-journal","title":"Pandemic A(H1N1) 2009 influenza: review of the Southern Hemisphere experience","container-title":"Epidemiology and Infection","page":"27-40","volume":"139","issue":"1","source":"PubMed","abstract":"We sought to systematically review the published literature describing the epidemiological aspects of the first wave of pandemic A(H1N1) 2009 influenza in the Southern Hemisphere. Fifteen studies were included in this review, originating from South America, Australia or New Zealand, and Africa. Across the different studies, 16·8-45·3% of the laboratory-confirmed cases were admitted to hospital, and 7·5-26·0% of these cases were admitted to intensive care units (ICUs). The fatality rate was 0·5-1·5% for laboratory-confirmed cases in 6/8 studies reporting specific relevant data, and 14·3-22·2% for cases admitted to ICUs in 5/7 studies, respectively. In 4/5 studies the majority of laboratory-confirmed cases were observed in young and middle-aged adults, the percentage of older adults increased the higher the level of healthcare the cases received (e.g. laboratory confirmation, hospitalization or ICU admission) or for fatal cases. Many of the cases had no prior comorbidity, including conditions identified as risk factors for seasonal influenza. Pregnant women represented 7·4-9·1% and 7·1-9·1% of unselected laboratory-confirmed cases and of those admitted to ICUs, respectively. Obesity and morbid obesity were more commonly reported as the level of healthcare increased.","DOI":"10.1017/S0950268810002037","ISSN":"1469-4409","note":"PMID: 20920380","shortTitle":"Pandemic A(H1N1) 2009 influenza","journalAbbreviation":"Epidemiol. Infect.","language":"eng","author":[{"family":"Falagas","given":"M. E."},{"family":"Koletsi","given":"P. K."},{"family":"Baskouta","given":"E."},{"family":"Rafailidis","given":"P. I."},{"family":"Dimopoulos","given":"G."},{"family":"Karageorgopoulos","given":"D. E."}],"issued":{"date-parts":[["2011",1]]}}}],"schema":"https://github.com/citation-style-language/schema/raw/master/csl-citation.json"} </w:instrText>
      </w:r>
      <w:r w:rsidR="005E31D6" w:rsidRPr="005E31D6">
        <w:fldChar w:fldCharType="separate"/>
      </w:r>
      <w:r w:rsidR="00B519AB" w:rsidRPr="00466B41">
        <w:rPr>
          <w:rFonts w:ascii="Calibri" w:hAnsi="Calibri" w:cs="Calibri"/>
        </w:rPr>
        <w:t>[33]</w:t>
      </w:r>
      <w:r w:rsidR="005E31D6" w:rsidRPr="005E31D6">
        <w:fldChar w:fldCharType="end"/>
      </w:r>
      <w:r w:rsidR="00CD7312">
        <w:t>. C</w:t>
      </w:r>
      <w:r w:rsidR="001B21CC">
        <w:t xml:space="preserve">onsistent failure to attain the DH vaccination targets across </w:t>
      </w:r>
      <w:r w:rsidR="00CD7312">
        <w:t>all eligible</w:t>
      </w:r>
      <w:r w:rsidR="001B21CC">
        <w:t xml:space="preserve"> groups warrant further investigations</w:t>
      </w:r>
      <w:r w:rsidR="00F94C03">
        <w:t xml:space="preserve">. </w:t>
      </w:r>
      <w:r w:rsidR="001B21CC">
        <w:t xml:space="preserve"> </w:t>
      </w:r>
      <w:r w:rsidR="00153A56">
        <w:t>Accessibility to vaccination, knowledge and perceptions of both vaccination and disease are critical aspects of explaining and tackling low uptake of influenza vaccination. T</w:t>
      </w:r>
      <w:r w:rsidR="001D79DA">
        <w:t>he</w:t>
      </w:r>
      <w:r w:rsidR="00153A56">
        <w:t xml:space="preserve"> interaction and relative importance of these issues will vary between populations, </w:t>
      </w:r>
      <w:r w:rsidR="00466B41">
        <w:t>and will differ</w:t>
      </w:r>
      <w:r w:rsidR="00153A56">
        <w:t xml:space="preserve"> between adults and children. </w:t>
      </w:r>
      <w:r w:rsidR="00466B41">
        <w:t>There is evidence that</w:t>
      </w:r>
      <w:r w:rsidR="00A67922">
        <w:t xml:space="preserve"> </w:t>
      </w:r>
      <w:r w:rsidR="00153A56">
        <w:t>individuals</w:t>
      </w:r>
      <w:r w:rsidR="00A67922">
        <w:t xml:space="preserve"> at high-risk of complicated influenza infection do not perceive </w:t>
      </w:r>
      <w:r w:rsidR="007C0176">
        <w:t>themselves to</w:t>
      </w:r>
      <w:r w:rsidR="00A67922">
        <w:t xml:space="preserve"> be susceptible to influenza illness</w:t>
      </w:r>
      <w:r w:rsidR="00466B41">
        <w:t>,</w:t>
      </w:r>
      <w:r w:rsidR="00A67922">
        <w:t xml:space="preserve"> and </w:t>
      </w:r>
      <w:r w:rsidR="00153A56">
        <w:t>that they have c</w:t>
      </w:r>
      <w:r w:rsidR="00A67922">
        <w:t>oncern</w:t>
      </w:r>
      <w:r w:rsidR="00153A56">
        <w:t>s</w:t>
      </w:r>
      <w:r w:rsidR="00A67922">
        <w:t xml:space="preserve"> over adverse effects of vaccination</w:t>
      </w:r>
      <w:r w:rsidR="00153A56">
        <w:t xml:space="preserve"> </w:t>
      </w:r>
      <w:r w:rsidR="00153A56">
        <w:fldChar w:fldCharType="begin"/>
      </w:r>
      <w:r w:rsidR="007C0176">
        <w:instrText xml:space="preserve"> ADDIN ZOTERO_ITEM CSL_CITATION {"citationID":"1weyHwSe","properties":{"unsorted":true,"formattedCitation":"[34\\uc0\\u8211{}36]","plainCitation":"[34–36]","noteIndex":0},"citationItems":[{"id":4691,"uris":["http://zotero.org/groups/1793288/items/A3SMZQF9"],"uri":["http://zotero.org/groups/1793288/items/A3SMZQF9"],"itemData":{"id":4691,"type":"article-journal","title":"Elderly people's beliefs about influenza vaccination","container-title":"The British Journal of General Practice: The Journal of the Royal College of General Practitioners","page":"281-284","volume":"49","issue":"441","source":"PubMed","abstract":"BACKGROUND: Influenza is an important cause of death in the elderly. The uptake of influenza vaccination, despite its effectiveness, is low.\nAIM: To examine beliefs about influenza vaccination in elderly patients at risk from influenza.\nMETHOD: A qualitative study using semi-structured interviews with 50 patients aged over 75 years at risk from influenza, equally divided between vaccinated and non-vaccinated groups.\nRESULTS: Although they acknowledged their medical diseases, the patients regarded themselves as healthy in the sense of being independent and active. Few in either the vaccinated or non-vaccinated groups believed themselves at risk of dying from influenza even though they recognized it could be fatal for particular groups of people. Decisions to have the vaccination were based on other considerations, including whether it was thought likely to reduce (or increase) the number and severity of colds and influenza-like illnesses. Although the group with negative views towards vaccination placed more emphasis on the 'side-effects' from the vaccination (including colds and influenza), this was also common in the group who were more positive towards vaccination; however, the side-effects were interpreted in different ways.\nCONCLUSION: Recommendations to vaccinate according to individual risk status are not in keeping with lay beliefs. The policy to include all people aged 75 years and older as a group requiring influenza vaccination is supported by this study. The evidence that vaccination reduces morbidity from influenza and does not cause colds and influenza needs stressing.","ISSN":"0960-1643","note":"PMID: 10736905\nPMCID: PMC1313393","journalAbbreviation":"Br J Gen Pract","language":"eng","author":[{"family":"Cornford","given":"C. S."},{"family":"Morgan","given":"M."}],"issued":{"date-parts":[["1999",4]]}},"label":"page"},{"id":4693,"uris":["http://zotero.org/groups/1793288/items/RIURPBT2"],"uri":["http://zotero.org/groups/1793288/items/RIURPBT2"],"itemData":{"id":4693,"type":"article-journal","title":"Disparities in influenza vaccination coverage rates by target group in five European countries: trends over seven consecutive seasons","container-title":"Infection","page":"390-400","volume":"37","issue":"5","source":"PubMed","abstract":"BACKGROUND: The primary objective of this study was to measure influenza vaccination coverage rates in the general population, including children, and in high-risk groups of five European countries during the season 2007/2008. An additional aim was to analyze coverage trends over seven consecutive seasons and to gain an understanding of the primary drivers and barriers to immunization.\nMETHODS: Community-based telephone and mail surveys have been conducted in the UK, Germany, Italy, France, and Spain, yearly, since 2001/2002. Approximately 2,000 individuals per country and season were interviewed who were considered to be representative of the adult population aged 14 years and older. Data on the vaccination status of children were obtained by proxy interviews. The questionnaire used was essentially the same for all seven seasons. Five target groups were identified for the study: (1) persons aged &gt; or = 65 years; (2) elderly suffering from a chronic illness; (3) patients suffering from a chronic illness; (4) persons working in the health care sector; (5) children.\nRESULTS: In the season 2007/2008, vaccination coverage rates in the general population remained stable in Germany. Compared to the coverage rates of the previous season, increases of 3.7%, 2.0%, and 1.8% were observed for the UK, Spain, and France, respectively, while a decrease of -1.5% was observed for Italy. Across all five countries, vaccination rates in the predefined target groups decreased to some extent (elderly) or increased slightly (chronically ill and health care workers). Vaccination rates among children varied strongly between countries and ranged from 6.1% in UK to 19.3% in Germany. The most powerful motivation for getting vaccinated in all countries was advice from a family doctor (58.6%) and the perception of influenza as a serious illness (51.9%). The major reasons why individuals did not become vaccinated were (1) the feeling of not being likely to catch influenza (39.5%) and (2) never having considered the option of being vaccinated (35.8%).\nCONCLUSIONS: The change in general influenza vaccination coverage in the 2007/2008 season compared to the previous season was small, but decreases were seen in some target groups. The underlying motivations for and against vaccination did not substantially change. An effort to activate those driving forces that would encourage vaccination as well as dealing with barriers that tend to prevent it may help enhance coverage rates in Europe in the future.","DOI":"10.1007/s15010-009-8467-y","ISSN":"1439-0973","note":"PMID: 19768382","shortTitle":"Disparities in influenza vaccination coverage rates by target group in five European countries","journalAbbreviation":"Infection","language":"eng","author":[{"family":"Blank","given":"P. R."},{"family":"Schwenkglenks","given":"M."},{"family":"Szucs","given":"T. D."}],"issued":{"date-parts":[["2009",10]]}},"label":"page"},{"id":4689,"uris":["http://zotero.org/groups/1793288/items/U32TX6E9"],"uri":["http://zotero.org/groups/1793288/items/U32TX6E9"],"itemData":{"id":4689,"type":"article-journal","title":"Beliefs and attitudes towards the influenza vaccine in high-risk individuals","container-title":"Epidemiology and Infection","page":"1786-1796","volume":"145","issue":"9","source":"PubMed","abstract":"Societal and economic impact of influenza is mainly due to influenza infection of specific groups, who are at higher risk of health complications leading up to hospitalisation or death. In this study we applied the health belief model (HBM) to evaluate beliefs and attitudes towards influenza disease and vaccine in community-dwelling high-risk individuals (aged 65 or more or having a chronic disease). We conducted a mixed-method study using data collected through a telephone survey of a household unit sample. We used thematic analysis to map responses to HBM dimensions and Poisson regression to model vaccine non-uptake prevalence. The main self-reported reason not to take the vaccine referred to the susceptibility dimension: 'considering oneself to be a healthy person' (29·8%, (95% confidence interval (CI) 22·1-38·7)). Bad experiences after vaccination - barriers dimension - were also commonly reported (17·0%, (95% CI 10·8-23·8)). Vaccine non-uptake prevalence was 22% higher in those who did not consider themselves susceptible to contract flu (Prevalence Ratio (PR) = 1·22, (95% CI 1·0-1·5)) and 18% lower in those who did not consider that the vaccine causes flu symptoms (PR = 0·82, (95% CI 0·68-0·99)). Results suggest that high-risk individuals do not think of themselves susceptible to influenza infection and fear adverse events following immunisation.","DOI":"10.1017/S0950268817000814","ISSN":"1469-4409","note":"PMID: 28434418","journalAbbreviation":"Epidemiol. Infect.","language":"eng","author":[{"family":"Santos","given":"A. J."},{"family":"Kislaya","given":"I."},{"family":"Machado","given":"A."},{"family":"Nunes","given":"B."}],"issued":{"date-parts":[["2017"]]}},"label":"page"}],"schema":"https://github.com/citation-style-language/schema/raw/master/csl-citation.json"} </w:instrText>
      </w:r>
      <w:r w:rsidR="00153A56">
        <w:fldChar w:fldCharType="separate"/>
      </w:r>
      <w:r w:rsidR="007C0176" w:rsidRPr="00466B41">
        <w:rPr>
          <w:rFonts w:ascii="Calibri" w:hAnsi="Calibri" w:cs="Calibri"/>
          <w:szCs w:val="24"/>
        </w:rPr>
        <w:t>[34–36]</w:t>
      </w:r>
      <w:r w:rsidR="00153A56">
        <w:fldChar w:fldCharType="end"/>
      </w:r>
      <w:r w:rsidR="00466B41">
        <w:t>,</w:t>
      </w:r>
      <w:r w:rsidR="00A67922">
        <w:t xml:space="preserve"> </w:t>
      </w:r>
      <w:r w:rsidR="00466B41">
        <w:t>which s</w:t>
      </w:r>
      <w:r w:rsidR="007C0176">
        <w:t>uggest</w:t>
      </w:r>
      <w:r w:rsidR="00466B41">
        <w:t xml:space="preserve"> that</w:t>
      </w:r>
      <w:r w:rsidR="007C0176">
        <w:t xml:space="preserve"> providing knowledge and education about influenza disease to high-risk groups will be crucial for any interventions attempting to improve vaccine uptake. </w:t>
      </w:r>
      <w:r w:rsidR="00466B41">
        <w:t>Our findings further</w:t>
      </w:r>
      <w:r w:rsidR="00A67922">
        <w:t xml:space="preserve"> </w:t>
      </w:r>
      <w:r w:rsidR="001B21CC">
        <w:t xml:space="preserve">highlight the need for </w:t>
      </w:r>
      <w:r w:rsidR="007C0176">
        <w:t xml:space="preserve">informed </w:t>
      </w:r>
      <w:r w:rsidR="001B21CC">
        <w:t xml:space="preserve">targeted interventions addressing low vaccine uptake among children and individuals at risk of complicated influenza to ensure national vaccination targets are met in coming years. The lower vaccine uptake rates observed among the most socioeconomically deprived populations compared the most affluent ones suggest Interventions should prioritise areas where vaccine uptake is low and </w:t>
      </w:r>
      <w:r w:rsidR="008900FF">
        <w:t>hospitalis</w:t>
      </w:r>
      <w:r w:rsidR="001B21CC">
        <w:t>ation rates are high.</w:t>
      </w:r>
      <w:r w:rsidR="004A275F" w:rsidRPr="004A275F">
        <w:t xml:space="preserve"> </w:t>
      </w:r>
      <w:r w:rsidR="004A275F">
        <w:t xml:space="preserve">Vaccination with the seasonal influenza vaccine can induce long-term cross-reactive antibodies that could have a protective effect in the event of an influenza pandemic </w:t>
      </w:r>
      <w:r w:rsidR="004A275F">
        <w:fldChar w:fldCharType="begin"/>
      </w:r>
      <w:r w:rsidR="007C0176">
        <w:instrText xml:space="preserve"> ADDIN ZOTERO_ITEM CSL_CITATION {"citationID":"kv5YOcAR","properties":{"formattedCitation":"[37,38]","plainCitation":"[37,38]","noteIndex":0},"citationItems":[{"id":4221,"uris":["http://zotero.org/groups/1793288/items/7WGHR2CG"],"uri":["http://zotero.org/groups/1793288/items/7WGHR2CG"],"itemData":{"id":4221,"type":"article-journal","title":"Recipients of vaccine against the 1976 \"swine flu\" have enhanced neutralization responses to the 2009 novel H1N1 influenza virus","container-title":"Clinical Infectious Diseases: An Official Publication of the Infectious Diseases Society of America","page":"1487-1492","volume":"50","issue":"11","source":"PubMed","abstract":"BACKGROUND. The world is facing a novel H1N1 influenza pandemic. A pandemic scare with a similar influenza virus in 1976 resulted in the vaccination of nearly 45 million persons. We hypothesized that prior receipt of the 1976 \"swine flu\" vaccine would enhance immune responses to the 2009 novel H1N1 influenza strain. METHODS. A prospective, volunteer sample of employees aged &gt; or = 55 years at a children's cancer hospital in August 2009 was assessed for antibody responses to the 2009 pandemic H1N1 influenza virus and the 2008-2009 seasonal H1N1 influenza virus. RESULTS. Antibody responses by hemagglutination-inhibition assay were high against both the seasonal influenza virus (89.7% had a titer considered seroprotective) and pandemic H1N1 influenza virus (88.8% had a seroprotective titer). These antibodies were effective at neutralizing the seasonal H1N1 influenza virus in 68.1% of participants (titer &gt; or = 40), but only 18.1% had detectable neutralizing titers against the pandemic H1N1 influenza virus. Of 116 participants, 46 (39.7%) received the 1976 \"swine flu\" vaccine. Receipt of this vaccine significantly enhanced neutralization responses; 8 (17.4%) of 46 vaccine recipients had titers &gt; or = 160, compared with only 3 (4.3%) of 70 who did not receive the vaccine (P = .018 by chi(2) test). CONCLUSIONS. In this cohort, persons aged &gt; or = 55 years had evidence of robust immunity to the 2008-2009 seasonal H1N1 influenza virus. These antibodies were cross-reactive but nonneutralizing against the 2009 pandemic H1N1 influenza strain. Receipt of a vaccine to a related virus significantly enhanced the neutralization capacity of these responses, suggesting homologous vaccination against the 2009 pandemic H1N1 influenza virus would have a similar effect.","DOI":"10.1086/652441","ISSN":"1537-6591","note":"PMID: 20415539\nPMCID: PMC2946351","journalAbbreviation":"Clin. Infect. Dis.","language":"eng","author":[{"family":"McCullers","given":"Jonathan A."},{"family":"Van De Velde","given":"Lee-Ann"},{"family":"Allison","given":"Kim J."},{"family":"Branum","given":"Kristen C."},{"family":"Webby","given":"Richard J."},{"family":"Flynn","given":"Patricia M."}],"issued":{"date-parts":[["2010",6,1]]}}},{"id":4222,"uris":["http://zotero.org/groups/1793288/items/QKB5RK95"],"uri":["http://zotero.org/groups/1793288/items/QKB5RK95"],"itemData":{"id":4222,"type":"article-journal","title":"Cross-neutralization of 1918 and 2009 influenza viruses: role of glycans in viral evolution and vaccine design","container-title":"Science Translational Medicine","page":"24ra21","volume":"2","issue":"24","source":"PubMed","abstract":"New strains of H1N1 influenza virus have emerged episodically over the last century to cause human pandemics, notably in 1918 and recently in 2009. Pandemic viruses typically evolve into seasonal forms that develop resistance to antibody neutralization, and cross-protection between strains separated by more than 3 years is uncommon. Here, we define the structural basis for cross-neutralization between two temporally distant pandemic influenza viruses--from 1918 and 2009. Vaccination of mice with the 1918 strain protected against subsequent lethal infection by 2009 virus. Both were resistant to antibodies directed against a seasonal influenza, A/New Caledonia/20/1999 (1999 NC), which was insensitive to antisera to the pandemic strains. Pandemic strain-neutralizing antibodies were directed against a subregion of the hemagglutinin (HA) receptor binding domain that is highly conserved between the 1918 and the 2009 viruses. In seasonal strains, this region undergoes amino acid diversification but is shielded from antibody neutralization by two highly conserved glycosylation sites absent in the pandemic strains. Pandemic HA trimers modified by glycosylation at these positions were resistant to neutralizing antibodies to wild-type HA. Yet, antisera generated against the glycosylated HA mutant neutralized it, suggesting that the focus of the immune response can be selectively changed with this modification. Collectively, these findings define critical determinants of H1N1 viral evolution and have implications for vaccine design. Immunization directed to conserved receptor binding domain subregions of pandemic viruses could potentially protect against similar future pandemic viruses, and vaccination with glycosylated 2009 pandemic virus may limit its further spread and transformation into a seasonal influenza.","DOI":"10.1126/scitranslmed.3000799","ISSN":"1946-6242","note":"PMID: 20375007\nPMCID: PMC3182573","shortTitle":"Cross-neutralization of 1918 and 2009 influenza viruses","journalAbbreviation":"Sci Transl Med","language":"eng","author":[{"family":"Wei","given":"Chih-Jen"},{"family":"Boyington","given":"Jeffrey C."},{"family":"Dai","given":"Kaifan"},{"family":"Houser","given":"Katherine V."},{"family":"Pearce","given":"Melissa B."},{"family":"Kong","given":"Wing-Pui"},{"family":"Yang","given":"Zhi-Yong"},{"family":"Tumpey","given":"Terrence M."},{"family":"Nabel","given":"Gary J."}],"issued":{"date-parts":[["2010",3,24]]}}}],"schema":"https://github.com/citation-style-language/schema/raw/master/csl-citation.json"} </w:instrText>
      </w:r>
      <w:r w:rsidR="004A275F">
        <w:fldChar w:fldCharType="separate"/>
      </w:r>
      <w:r w:rsidR="007C0176" w:rsidRPr="00466B41">
        <w:rPr>
          <w:rFonts w:ascii="Calibri" w:hAnsi="Calibri" w:cs="Calibri"/>
        </w:rPr>
        <w:t>[37,38]</w:t>
      </w:r>
      <w:r w:rsidR="004A275F">
        <w:fldChar w:fldCharType="end"/>
      </w:r>
      <w:r w:rsidR="004A275F">
        <w:t xml:space="preserve">. Highlighting this added benefit of the vaccine could </w:t>
      </w:r>
      <w:r w:rsidR="00D80100">
        <w:t xml:space="preserve">potentially </w:t>
      </w:r>
      <w:r w:rsidR="004A275F">
        <w:t xml:space="preserve">have a positive influence in people’s perception of influenza vaccine, and </w:t>
      </w:r>
      <w:r w:rsidR="00CD7312">
        <w:t xml:space="preserve">contribute to </w:t>
      </w:r>
      <w:r w:rsidR="004A275F">
        <w:t>improve vaccine uptake.</w:t>
      </w:r>
    </w:p>
    <w:p w14:paraId="03335A89" w14:textId="6646EEC9" w:rsidR="00E820E4" w:rsidRDefault="00E820E4" w:rsidP="00E820E4">
      <w:pPr>
        <w:spacing w:line="480" w:lineRule="auto"/>
      </w:pPr>
      <w:r>
        <w:lastRenderedPageBreak/>
        <w:t xml:space="preserve">The </w:t>
      </w:r>
      <w:r w:rsidR="0030042C">
        <w:t xml:space="preserve">strongest association between IAI </w:t>
      </w:r>
      <w:r w:rsidR="008900FF">
        <w:t>hospitalis</w:t>
      </w:r>
      <w:r w:rsidR="0030042C">
        <w:t>ation</w:t>
      </w:r>
      <w:r w:rsidR="00467056">
        <w:t xml:space="preserve"> and deprivation w</w:t>
      </w:r>
      <w:r w:rsidR="0030042C">
        <w:t xml:space="preserve">as seen among those </w:t>
      </w:r>
      <w:r>
        <w:t xml:space="preserve">aged 40-64. </w:t>
      </w:r>
      <w:r w:rsidR="00566393">
        <w:t xml:space="preserve">This could be in great part explained by the fact that unhealthy </w:t>
      </w:r>
      <w:r w:rsidR="004625F0">
        <w:t xml:space="preserve">behaviours </w:t>
      </w:r>
      <w:r w:rsidR="00566393">
        <w:t>(</w:t>
      </w:r>
      <w:r w:rsidR="00566393">
        <w:rPr>
          <w:i/>
        </w:rPr>
        <w:t xml:space="preserve">e.g. </w:t>
      </w:r>
      <w:r w:rsidR="00566393">
        <w:t>smoking</w:t>
      </w:r>
      <w:r w:rsidR="004625F0">
        <w:t>, alcohol abuse</w:t>
      </w:r>
      <w:r w:rsidR="00543EC5">
        <w:t>)</w:t>
      </w:r>
      <w:r w:rsidR="004625F0">
        <w:t xml:space="preserve"> and environmental risk factors (e.g. poor living environment) are</w:t>
      </w:r>
      <w:r w:rsidR="00543EC5">
        <w:t xml:space="preserve"> associated with lower socioeconomic status. These factors </w:t>
      </w:r>
      <w:r w:rsidR="004625F0">
        <w:t>will contribute</w:t>
      </w:r>
      <w:r w:rsidR="00543EC5">
        <w:t xml:space="preserve"> cumulatively</w:t>
      </w:r>
      <w:r w:rsidR="00D80100">
        <w:t xml:space="preserve"> to comorbi</w:t>
      </w:r>
      <w:r w:rsidR="004625F0">
        <w:t>di</w:t>
      </w:r>
      <w:r w:rsidR="00D80100">
        <w:t xml:space="preserve">ties </w:t>
      </w:r>
      <w:r w:rsidR="00543EC5">
        <w:t xml:space="preserve">over time </w:t>
      </w:r>
      <w:r w:rsidR="004625F0">
        <w:t xml:space="preserve">peaking in middle to old age </w:t>
      </w:r>
      <w:r w:rsidR="004625F0">
        <w:fldChar w:fldCharType="begin"/>
      </w:r>
      <w:r w:rsidR="007C0176">
        <w:instrText xml:space="preserve"> ADDIN ZOTERO_ITEM CSL_CITATION {"citationID":"jirYJJhs","properties":{"formattedCitation":"[39]","plainCitation":"[39]","noteIndex":0},"citationItems":[{"id":4517,"uris":["http://zotero.org/groups/1793288/items/M55E4JNC"],"uri":["http://zotero.org/groups/1793288/items/M55E4JNC"],"itemData":{"id":4517,"type":"book","title":"The Effects of Tobacco Use on Health","publisher":"National Academies Press (US)","source":"www.ncbi.nlm.nih.gov","abstract":"The scope of the burden of disease and death that cigarette smoking imposes on the public's health is extensive. Cigarette smoking is the major focus of this chapter because it is the central public health problem, but the topics of secondhand smoke exposure, smoking of other combustible tobacco products, smokeless tobacco, and electronic nicotine delivery systems (ENDS) are also considered. The magnitude of the public health threat posed by cigarette smoking stems from two factors: (1) the prevalence of cigarette smoking is so high, and (2) smoking causes so many deleterious health effects. A policy change that reduces the prevalence of cigarette smoking will result in a commensurate reduction in the population burden of disease and death caused by cigarette smoking. The associations between cigarette smoking and the adverse health effects caused by smoking are dose-dependent (HHS, 2014). Thus, a public health benefit would be realized if a policy change led to reduced exposure to cigarette smoke via means other than reducing the prevalence of smoking. For example, additional reduction in the population burden of smoking-caused disease and death will be generated if the policy also results in delayed initiation of cigarette smoking. The population health benefit from delayed initiation, although potentially large, will be less than the benefit from a commensurate reduction in smoking prevalence because delayed initiation is associated with reduced exposure to cigarette smoking rather than with the complete prevention of the exposure. A decrease in the prevalence of cigarette smoking will have additional downstream benefits by reducing the potential for nonsmokers to be exposed to secondhand tobacco smoke.","URL":"https://www.ncbi.nlm.nih.gov/books/NBK310413/","language":"en","author":[{"family":"Bonnie","given":"Richard J."},{"family":"Stratton","given":"Kathleen"},{"family":"Kwan","given":"Leslie Y."},{"family":"Products","given":"Committee on the Public Health Implications of Raising the Minimum Age for Purchasing Tobacco"},{"family":"Practice","given":"Board on Population Health and Public Health"},{"family":"Medicine","given":"Institute","dropping-particle":"of"}],"issued":{"date-parts":[["2015",7,23]]},"accessed":{"date-parts":[["2018",1,22]]}}}],"schema":"https://github.com/citation-style-language/schema/raw/master/csl-citation.json"} </w:instrText>
      </w:r>
      <w:r w:rsidR="004625F0">
        <w:fldChar w:fldCharType="separate"/>
      </w:r>
      <w:r w:rsidR="007C0176" w:rsidRPr="00466B41">
        <w:rPr>
          <w:rFonts w:ascii="Calibri" w:hAnsi="Calibri" w:cs="Calibri"/>
        </w:rPr>
        <w:t>[39]</w:t>
      </w:r>
      <w:r w:rsidR="004625F0">
        <w:fldChar w:fldCharType="end"/>
      </w:r>
      <w:r w:rsidR="004625F0">
        <w:t>,</w:t>
      </w:r>
      <w:r w:rsidR="00543EC5">
        <w:t xml:space="preserve"> </w:t>
      </w:r>
      <w:r w:rsidR="008421FF">
        <w:t>and will, in turn</w:t>
      </w:r>
      <w:r w:rsidR="00466B41">
        <w:t>,</w:t>
      </w:r>
      <w:r w:rsidR="008421FF">
        <w:t xml:space="preserve"> have a negative impact in </w:t>
      </w:r>
      <w:r w:rsidR="00C33409">
        <w:t xml:space="preserve">on </w:t>
      </w:r>
      <w:r w:rsidR="00543EC5">
        <w:t>life expectancy</w:t>
      </w:r>
      <w:r w:rsidR="004625F0">
        <w:t>,</w:t>
      </w:r>
      <w:r w:rsidR="00543EC5">
        <w:t xml:space="preserve"> which is lower in deprived areas</w:t>
      </w:r>
      <w:r w:rsidR="004625F0">
        <w:t xml:space="preserve"> </w:t>
      </w:r>
      <w:r w:rsidR="004625F0">
        <w:fldChar w:fldCharType="begin"/>
      </w:r>
      <w:r w:rsidR="007C0176">
        <w:instrText xml:space="preserve"> ADDIN ZOTERO_ITEM CSL_CITATION {"citationID":"a18nock6ogm","properties":{"formattedCitation":"[40]","plainCitation":"[40]","noteIndex":0},"citationItems":[{"id":4519,"uris":["http://zotero.org/groups/1793288/items/KK3EAEC3"],"uri":["http://zotero.org/groups/1793288/items/KK3EAEC3"],"itemData":{"id":4519,"type":"webpage","title":"Health state life expectancies by Index of Multiple Deprivation (IMD) - Office for National Statistics","URL":"https://www.ons.gov.uk/peoplepopulationandcommunity/healthandsocialcare/healthinequalities/bulletins/healthstatelifeexpectanciesbyindexofmultipledeprivationimd/england2013to2015","accessed":{"date-parts":[["2018",1,22]]}}}],"schema":"https://github.com/citation-style-language/schema/raw/master/csl-citation.json"} </w:instrText>
      </w:r>
      <w:r w:rsidR="004625F0">
        <w:fldChar w:fldCharType="separate"/>
      </w:r>
      <w:r w:rsidR="007C0176" w:rsidRPr="00466B41">
        <w:rPr>
          <w:rFonts w:ascii="Calibri" w:hAnsi="Calibri" w:cs="Calibri"/>
        </w:rPr>
        <w:t>[40]</w:t>
      </w:r>
      <w:r w:rsidR="004625F0">
        <w:fldChar w:fldCharType="end"/>
      </w:r>
      <w:r w:rsidR="00543EC5">
        <w:t>.</w:t>
      </w:r>
      <w:r w:rsidR="00653FCC">
        <w:t xml:space="preserve"> </w:t>
      </w:r>
      <w:r w:rsidR="00466B41">
        <w:t>While,</w:t>
      </w:r>
      <w:r w:rsidR="00A67922">
        <w:t xml:space="preserve"> vaccine uptake in vaccine eligible</w:t>
      </w:r>
      <w:r w:rsidR="0021184F">
        <w:t xml:space="preserve"> 65+ year olds </w:t>
      </w:r>
      <w:r w:rsidR="00A67922">
        <w:t xml:space="preserve">is significantly higher than in those aged 40-64 years, </w:t>
      </w:r>
      <w:r w:rsidR="0021184F">
        <w:t>t</w:t>
      </w:r>
      <w:r w:rsidR="00A67922">
        <w:t>he association</w:t>
      </w:r>
      <w:r w:rsidR="00F94C03">
        <w:t xml:space="preserve"> between </w:t>
      </w:r>
      <w:r w:rsidR="0021184F">
        <w:t xml:space="preserve">IAI hospitalisation and deprivation </w:t>
      </w:r>
      <w:r w:rsidR="00A67922">
        <w:t>is</w:t>
      </w:r>
      <w:r w:rsidR="0021184F">
        <w:t xml:space="preserve"> still clearly present</w:t>
      </w:r>
      <w:r w:rsidR="003563BA">
        <w:t>,</w:t>
      </w:r>
      <w:r w:rsidR="0021184F">
        <w:t xml:space="preserve"> </w:t>
      </w:r>
      <w:r w:rsidR="00A67922">
        <w:t>though</w:t>
      </w:r>
      <w:r w:rsidR="0021184F">
        <w:t xml:space="preserve"> slightly less pronounced. </w:t>
      </w:r>
      <w:r>
        <w:t>Interventions</w:t>
      </w:r>
      <w:r w:rsidR="002A7963">
        <w:t xml:space="preserve"> designed with the aim of </w:t>
      </w:r>
      <w:r>
        <w:t xml:space="preserve">improving the overall health </w:t>
      </w:r>
      <w:r w:rsidR="002A7963">
        <w:t xml:space="preserve">and quality of life </w:t>
      </w:r>
      <w:r w:rsidR="003563BA">
        <w:t xml:space="preserve">of </w:t>
      </w:r>
      <w:r w:rsidR="002A7963">
        <w:t>the adult</w:t>
      </w:r>
      <w:r w:rsidR="003563BA">
        <w:t xml:space="preserve">s </w:t>
      </w:r>
      <w:r w:rsidR="002A7963">
        <w:t xml:space="preserve">in the most socioeconomically deprived populations </w:t>
      </w:r>
      <w:r>
        <w:t xml:space="preserve">can potentially contribute to a reduction </w:t>
      </w:r>
      <w:r w:rsidR="00D6798F">
        <w:t xml:space="preserve">in </w:t>
      </w:r>
      <w:r>
        <w:t>IAI</w:t>
      </w:r>
      <w:r w:rsidR="002A7963">
        <w:t xml:space="preserve"> </w:t>
      </w:r>
      <w:r w:rsidR="00E56E44">
        <w:fldChar w:fldCharType="begin"/>
      </w:r>
      <w:r w:rsidR="007C0176">
        <w:instrText xml:space="preserve"> ADDIN ZOTERO_ITEM CSL_CITATION {"citationID":"a2gsjccvtal","properties":{"formattedCitation":"[41]","plainCitation":"[41]","noteIndex":0},"citationItems":[{"id":4220,"uris":["http://zotero.org/groups/1793288/items/B7VDIKG9"],"uri":["http://zotero.org/groups/1793288/items/B7VDIKG9"],"itemData":{"id":4220,"type":"article-journal","title":"Double trouble: the impact of multimorbidity and deprivation on preference-weighted health related quality of life a cross sectional analysis of the Scottish Health Survey","container-title":"International Journal for Equity in Health","page":"67","volume":"12","source":"PubMed Central","abstract":"Objective\nTo investigate the association between multimorbidity and Preference_Weighted Health Related Quality of Life (PW_HRQoL), a score that combines physical and mental functioning, and how this varies by socioeconomic deprivation and age.\n\nDesign\nThe Scottish Health Survey (SHeS) is a cross-sectional representative survey of the general population which included the SF-12, a survey of HRQoL, for individuals 20 years and over.\n\nMethods\nFor 7,054 participants we generated PW_HRQoL scores by running SF-12 responses through the SF-6D algorithm. The resulting scores ranged from 0.29 (worst health) to 1 (perfect health). Using ordinary least squares, we first investigated associations between scores and increasing counts of longstanding conditions, and then repeated for multimorbidity (2+ conditions). Estimates were made for the general population and quintiles of socioeconomic deprivation. For multimorbidity, the analyses were repeated stratifying the population by age group (20–44, 45–64, 65+).\n\nResults\n45% of participants reported a longstanding condition and 18% reported multimorbidity. The presence of 1, 2, or 3+ longstanding conditions were associated with average reductions in PW_HRQoL scores of 0.081, 0.151 and 0.212 respectively. Reduction in scores associated with multimorbidity was 33% greater in the most deprived quintile compared to the least deprived quintile, with the biggest difference (80%) in the 20–44 age groups. There were no significant gender differences.\n\nConclusions\nPW_HRQoL decreases markedly with multimorbidity, and is exacerbated by higher deprivation and younger age. There is a need to prioritise interventions to improve the HRQoL for (especially younger) adults with multimorbidity in deprived areas.\n\nBox 1\nWhat Is Known?, Prevalence and premature onset of multimorbidity increases as socioeconomic position worsens. Previous studies have investigated the effect of multimorbidity on Health Related Quality of Life (HRQoL) on separate physical and mental health states. There is limited data on how HRQoL falls as the number of conditions increase, and how estimates vary across the general population., Leaving physical and mental health as separate categories can inhibit assessment of overall HRQoL. The use of a Preference_Weighted Health Related Quality of Life (PW_HRQoL) score provides a single summary measure of overall health, by weighting mental and physical states by their perceived importance as part of overall HRQoL. The use of a single score enables a simple and consistent assessment of the impact of conditions and how this varies across the population. Economists term PW_HRQoL scores health utilities., What this study adds?, This is the first study to estimate how the impact of multimorbidity on PW_HRQoL scores varies by age group and socioeconomic deprivation. Multimorbidity has a substantial negative impact on HRQoL which is most severe in areas of deprivation, especially in younger adults., Measuring the burden of multimorbidity using PW_HRQoL provides consistency with how economists measure HRQoL; changes in which can be used in economic evaluation to assess the cost effectiveness of interventions.","DOI":"10.1186/1475-9276-12-67","ISSN":"1475-9276","note":"PMID: 23962150\nPMCID: PMC3765174","shortTitle":"Double trouble","journalAbbreviation":"Int J Equity Health","author":[{"family":"Lawson","given":"Kenny D"},{"family":"Mercer","given":"Stewart W"},{"family":"Wyke","given":"Sally"},{"family":"Grieve","given":"Eleanor"},{"family":"Guthrie","given":"Bruce"},{"family":"Watt","given":"Graham CM"},{"family":"Fenwick","given":"Elisabeth AE"}],"issued":{"date-parts":[["2013",8,20]]}}}],"schema":"https://github.com/citation-style-language/schema/raw/master/csl-citation.json"} </w:instrText>
      </w:r>
      <w:r w:rsidR="00E56E44">
        <w:fldChar w:fldCharType="separate"/>
      </w:r>
      <w:r w:rsidR="007C0176" w:rsidRPr="003563BA">
        <w:rPr>
          <w:rFonts w:ascii="Calibri" w:hAnsi="Calibri" w:cs="Calibri"/>
        </w:rPr>
        <w:t>[41]</w:t>
      </w:r>
      <w:r w:rsidR="00E56E44">
        <w:fldChar w:fldCharType="end"/>
      </w:r>
      <w:r w:rsidR="002A7963">
        <w:t xml:space="preserve">. </w:t>
      </w:r>
    </w:p>
    <w:p w14:paraId="632EFFF6" w14:textId="30B988B2" w:rsidR="006F1A2D" w:rsidRDefault="006F1A2D" w:rsidP="00E820E4">
      <w:pPr>
        <w:spacing w:line="480" w:lineRule="auto"/>
      </w:pPr>
      <w:r w:rsidRPr="006E256E">
        <w:rPr>
          <w:color w:val="2E74B5" w:themeColor="accent1" w:themeShade="BF"/>
        </w:rPr>
        <w:t>Limitations</w:t>
      </w:r>
      <w:r>
        <w:t xml:space="preserve"> </w:t>
      </w:r>
    </w:p>
    <w:p w14:paraId="49BBC554" w14:textId="3BA00042" w:rsidR="006F1A2D" w:rsidRDefault="00F71BD6" w:rsidP="00E820E4">
      <w:pPr>
        <w:spacing w:line="480" w:lineRule="auto"/>
        <w:rPr>
          <w:rFonts w:cs="Arial"/>
        </w:rPr>
      </w:pPr>
      <w:r>
        <w:t xml:space="preserve">Reliance on </w:t>
      </w:r>
      <w:r w:rsidR="006F1A2D">
        <w:t>ICD-10 codes for the identification of IAI is an important limitatio</w:t>
      </w:r>
      <w:r w:rsidR="00510C79">
        <w:t xml:space="preserve">n to our study. While we </w:t>
      </w:r>
      <w:r>
        <w:t xml:space="preserve">can </w:t>
      </w:r>
      <w:r w:rsidR="00510C79">
        <w:t>assume</w:t>
      </w:r>
      <w:r w:rsidR="006F1A2D">
        <w:t xml:space="preserve"> that ICD-10 cod</w:t>
      </w:r>
      <w:r>
        <w:t>ing</w:t>
      </w:r>
      <w:r w:rsidR="006F1A2D">
        <w:t xml:space="preserve"> for confirmed influenza </w:t>
      </w:r>
      <w:r>
        <w:t xml:space="preserve">denotes </w:t>
      </w:r>
      <w:r w:rsidR="006F1A2D">
        <w:t>laboratory confirmation</w:t>
      </w:r>
      <w:r>
        <w:t xml:space="preserve">, </w:t>
      </w:r>
      <w:r w:rsidR="000D5D5B">
        <w:t xml:space="preserve">many </w:t>
      </w:r>
      <w:r w:rsidR="008900FF">
        <w:t>hospitalis</w:t>
      </w:r>
      <w:r w:rsidR="000D5D5B">
        <w:t>ed influenza case</w:t>
      </w:r>
      <w:r w:rsidR="00244E25">
        <w:t>s</w:t>
      </w:r>
      <w:r w:rsidR="000D5D5B">
        <w:t xml:space="preserve"> will be unconfirmed by laboratory diagnostics</w:t>
      </w:r>
      <w:r w:rsidR="00244E25">
        <w:t xml:space="preserve"> and are</w:t>
      </w:r>
      <w:r w:rsidR="000D5D5B">
        <w:t xml:space="preserve"> likely to receive a </w:t>
      </w:r>
      <w:r w:rsidR="00244E25">
        <w:t>s</w:t>
      </w:r>
      <w:r w:rsidR="000D5D5B">
        <w:t>ymptom</w:t>
      </w:r>
      <w:r w:rsidR="008421FF">
        <w:t>-</w:t>
      </w:r>
      <w:r w:rsidR="000D5D5B">
        <w:t>based ICD-10 diagnosis code on discharge.</w:t>
      </w:r>
      <w:r w:rsidR="006F1A2D">
        <w:t xml:space="preserve"> </w:t>
      </w:r>
      <w:r w:rsidR="001671DC">
        <w:t>Consequently</w:t>
      </w:r>
      <w:r w:rsidR="00467056">
        <w:t>,</w:t>
      </w:r>
      <w:r w:rsidR="006E256E">
        <w:t xml:space="preserve"> the true burden of influenza </w:t>
      </w:r>
      <w:r w:rsidR="008900FF">
        <w:t>hospitalis</w:t>
      </w:r>
      <w:r w:rsidR="006E256E">
        <w:t>ations</w:t>
      </w:r>
      <w:r w:rsidR="00467056">
        <w:t xml:space="preserve"> could be higher or lower t</w:t>
      </w:r>
      <w:r w:rsidR="00B9156D">
        <w:t>han</w:t>
      </w:r>
      <w:r w:rsidR="00467056">
        <w:t xml:space="preserve"> our estimations</w:t>
      </w:r>
      <w:r w:rsidR="00B9156D">
        <w:t>.</w:t>
      </w:r>
      <w:r w:rsidR="006E256E">
        <w:t xml:space="preserve"> </w:t>
      </w:r>
      <w:r w:rsidR="00B9156D">
        <w:t>T</w:t>
      </w:r>
      <w:r w:rsidR="00BB1566">
        <w:rPr>
          <w:rFonts w:cs="Arial"/>
        </w:rPr>
        <w:t xml:space="preserve">he use of a seasonal usage ratio </w:t>
      </w:r>
      <w:r w:rsidR="00A84983">
        <w:rPr>
          <w:rFonts w:cs="Arial"/>
        </w:rPr>
        <w:t>to help identify ICD-10 codes associated with IAI</w:t>
      </w:r>
      <w:r w:rsidR="00BB1566">
        <w:rPr>
          <w:rFonts w:cs="Arial"/>
        </w:rPr>
        <w:t xml:space="preserve"> </w:t>
      </w:r>
      <w:r w:rsidR="00A84983">
        <w:rPr>
          <w:rFonts w:cs="Arial"/>
        </w:rPr>
        <w:t>was</w:t>
      </w:r>
      <w:r w:rsidR="00BB1566">
        <w:rPr>
          <w:rFonts w:cs="Arial"/>
        </w:rPr>
        <w:t xml:space="preserve"> identified </w:t>
      </w:r>
      <w:r w:rsidR="00BB1566" w:rsidRPr="00DB4EEC">
        <w:rPr>
          <w:rFonts w:cs="Arial"/>
          <w:i/>
        </w:rPr>
        <w:t>a-priori</w:t>
      </w:r>
      <w:r w:rsidR="00BB1566">
        <w:rPr>
          <w:rFonts w:cs="Arial"/>
        </w:rPr>
        <w:t xml:space="preserve"> through</w:t>
      </w:r>
      <w:r w:rsidR="00A84983">
        <w:rPr>
          <w:rFonts w:cs="Arial"/>
        </w:rPr>
        <w:t xml:space="preserve"> professional consultation</w:t>
      </w:r>
      <w:r w:rsidR="00C33409">
        <w:rPr>
          <w:rFonts w:cs="Arial"/>
        </w:rPr>
        <w:t xml:space="preserve"> but </w:t>
      </w:r>
      <w:r w:rsidR="00C33409" w:rsidRPr="00C33409">
        <w:rPr>
          <w:rFonts w:cs="Arial"/>
        </w:rPr>
        <w:t>unvalidated against a gold standard diagnostic.</w:t>
      </w:r>
      <w:r w:rsidR="00DB4EEC">
        <w:rPr>
          <w:rFonts w:cs="Arial"/>
        </w:rPr>
        <w:t xml:space="preserve"> </w:t>
      </w:r>
      <w:r w:rsidR="006E256E">
        <w:t xml:space="preserve">However, the selection of ICD-10 codes used for this study was carefully assessed and </w:t>
      </w:r>
      <w:r>
        <w:t xml:space="preserve">informed by previous </w:t>
      </w:r>
      <w:r w:rsidR="006E256E">
        <w:t xml:space="preserve">studies </w:t>
      </w:r>
      <w:r w:rsidR="006E256E" w:rsidRPr="002B3886">
        <w:rPr>
          <w:rFonts w:cs="Arial"/>
        </w:rPr>
        <w:fldChar w:fldCharType="begin"/>
      </w:r>
      <w:r w:rsidR="00B519AB">
        <w:rPr>
          <w:rFonts w:cs="Arial"/>
        </w:rPr>
        <w:instrText xml:space="preserve"> ADDIN ZOTERO_ITEM CSL_CITATION {"citationID":"PuEIN1O5","properties":{"formattedCitation":"[2,24,25]","plainCitation":"[2,24,25]","noteIndex":0},"citationItems":[{"id":4271,"uris":["http://zotero.org/groups/1793288/items/4H2AQJMH"],"uri":["http://zotero.org/groups/1793288/items/4H2AQJMH"],"itemData":{"id":4271,"type":"article-journal","title":"The burden of influenza in England by age and clinical risk group: A statistical analysis to inform vaccine policy","container-title":"Journal of Infection","page":"363-371","volume":"68","issue":"4","source":"ScienceDirect","abstract":"SummaryObjectives\nTo assess the burden of influenza by age and clinical status and use this to inform evaluations of the age and risk-based influenza vaccination policy in the United Kingdom.\nMethods\nWeekly laboratory reports for influenza and 7 other respiratory pathogens were extracted from the national database and used in a regression model to estimate the proportion of acute respiratory illness outcomes attributable to each pathogen.\nResults\nInfluenza accounted for </w:instrText>
      </w:r>
      <w:r w:rsidR="00B519AB">
        <w:rPr>
          <w:rFonts w:ascii="Cambria Math" w:hAnsi="Cambria Math" w:cs="Cambria Math"/>
        </w:rPr>
        <w:instrText>∼</w:instrText>
      </w:r>
      <w:r w:rsidR="00B519AB">
        <w:rPr>
          <w:rFonts w:cs="Arial"/>
        </w:rPr>
        <w:instrText xml:space="preserve">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respectively.\nConclusions\nAdditional strategies are needed to reduce the remaining morbidity and mortality in the high-risk and elderly populations, and to protect healthy children currently not offered the benefits of vaccination.","DOI":"10.1016/j.jinf.2013.11.013","ISSN":"0163-4453","shortTitle":"The burden of influenza in England by age and clinical risk group","journalAbbreviation":"Journal of Infection","author":[{"family":"Cromer","given":"Deborah"},{"family":"Hoek","given":"Albert Jan","non-dropping-particle":"van"},{"family":"Jit","given":"Mark"},{"family":"Edmunds","given":"W. John"},{"family":"Fleming","given":"Douglas"},{"family":"Miller","given":"Elizabeth"}],"issued":{"date-parts":[["2014",4]]}}},{"id":4284,"uris":["http://zotero.org/groups/1793288/items/HUC6JK93"],"uri":["http://zotero.org/groups/1793288/items/HUC6JK93"],"itemData":{"id":4284,"type":"article-journal","title":"How Accurate Are International Classification of Diseases-10 Diagnosis Codes in Detecting Influenza and Pertussis Hospitalizations in Children?","container-title":"Journal of the Pediatric Infectious Diseases Society","page":"255-260","volume":"3","issue":"3","source":"jpids.oxfordjournals.org","abstract":"Influenza and pertussis are major causes of pediatric morbidity. We measured the accuracy of their International Classification of Diseases (ICD-10-AM) diagnosis codes using linked population-based laboratory and hospital data in 245,249 children. Influenza diagnosis codes had high specificity (98.6%) and modest positive predictive value (PPV; 84.1%) and sensitivity (86.1%, 95% CI: 83.4%–88.6%) for a laboratory-confirmed episode. For pertussis diagnosis codes, PPV (86.8%) and specificity (98.9%) were high, but sensitivity was poor (27.8%, 95% CI: 23.5%–32.4%). Measures varied according to age, remoteness, Aboriginality, severity, and detection method. Both laboratory and hospitalization data are needed to accurately determine the burden of pediatric influenza and pertussis.","DOI":"10.1093/jpids/pit036","ISSN":"2048-7193, 2048-7207","note":"PMID: 26625389","journalAbbreviation":"J Ped Infect Dis","language":"en","author":[{"family":"Moore","given":"Hannah C."},{"family":"Lehmann","given":"Deborah"},{"family":"Klerk","given":"Nicholas","dropping-particle":"de"},{"family":"Smith","given":"David W."},{"family":"Richmond","given":"Peter C."},{"family":"Keil","given":"Anthony D."},{"family":"Blyth","given":"Christopher C."}],"issued":{"date-parts":[["2014",9,1]]}}},{"id":4285,"uris":["http://zotero.org/groups/1793288/items/7SZ5ITDM"],"uri":["http://zotero.org/groups/1793288/items/7SZ5ITDM"],"itemData":{"id":4285,"type":"article-journal","title":"Syndromic surveillance for influenza in two hospital emergency departments. Relationships between ICD-10 codes and notified cases, before and during a pandemic","container-title":"BMC Public Health","page":"338","volume":"11","source":"BioMed Central","abstract":"Interest in the use of emergency department (ED) data by syndromic surveillance systems to detect influenza outbreaks has been growing. Evaluations of these systems generally focus on events during influenza seasons. The aims of this study were to identify which emergency department disease codes best correlated with confirmed influenza cases and to determine if these same codes would be useful in the non-influenza season. The 2009 influenza pandemic in Victoria, Australia, provided further opportunity to examine the performance of the syndromic surveillance system during this event.","DOI":"10.1186/1471-2458-11-338","ISSN":"1471-2458","journalAbbreviation":"BMC Public Health","author":[{"family":"Moore","given":"Karen"},{"family":"Black","given":"James"},{"family":"Rowe","given":"Stacey"},{"family":"Franklin","given":"Lucinda"}],"issued":{"date-parts":[["2011"]]}}}],"schema":"https://github.com/citation-style-language/schema/raw/master/csl-citation.json"} </w:instrText>
      </w:r>
      <w:r w:rsidR="006E256E" w:rsidRPr="002B3886">
        <w:rPr>
          <w:rFonts w:cs="Arial"/>
        </w:rPr>
        <w:fldChar w:fldCharType="separate"/>
      </w:r>
      <w:r w:rsidR="00B519AB" w:rsidRPr="003563BA">
        <w:rPr>
          <w:rFonts w:ascii="Calibri" w:hAnsi="Calibri" w:cs="Calibri"/>
        </w:rPr>
        <w:t>[2,24,25]</w:t>
      </w:r>
      <w:r w:rsidR="006E256E" w:rsidRPr="002B3886">
        <w:rPr>
          <w:rFonts w:cs="Arial"/>
        </w:rPr>
        <w:fldChar w:fldCharType="end"/>
      </w:r>
      <w:r w:rsidR="00366957">
        <w:rPr>
          <w:rFonts w:cs="Arial"/>
        </w:rPr>
        <w:t>,</w:t>
      </w:r>
      <w:r w:rsidR="006E256E">
        <w:rPr>
          <w:rFonts w:cs="Arial"/>
        </w:rPr>
        <w:t xml:space="preserve"> in an attempt to minimize </w:t>
      </w:r>
      <w:r>
        <w:rPr>
          <w:rFonts w:cs="Arial"/>
        </w:rPr>
        <w:t>misclassification</w:t>
      </w:r>
      <w:r w:rsidR="00BB1566">
        <w:rPr>
          <w:rFonts w:cs="Arial"/>
        </w:rPr>
        <w:t xml:space="preserve">. </w:t>
      </w:r>
      <w:r w:rsidR="00073C49">
        <w:rPr>
          <w:rFonts w:cs="Arial"/>
        </w:rPr>
        <w:t xml:space="preserve">Crucially for the research aims, </w:t>
      </w:r>
      <w:r w:rsidR="00B57AB0">
        <w:rPr>
          <w:rFonts w:cs="Arial"/>
        </w:rPr>
        <w:t>variations in coding</w:t>
      </w:r>
      <w:r w:rsidR="00DB4EEC">
        <w:rPr>
          <w:rFonts w:cs="Arial"/>
        </w:rPr>
        <w:t xml:space="preserve"> over time were not observed, nor are they likely to be influenced by the socioeconomic background of the patient</w:t>
      </w:r>
      <w:r w:rsidR="00073C49">
        <w:rPr>
          <w:rFonts w:cs="Arial"/>
        </w:rPr>
        <w:t>,</w:t>
      </w:r>
      <w:r w:rsidR="00073C49" w:rsidRPr="00073C49">
        <w:rPr>
          <w:rFonts w:cs="Arial"/>
        </w:rPr>
        <w:t xml:space="preserve"> </w:t>
      </w:r>
      <w:r w:rsidR="00073C49">
        <w:rPr>
          <w:rFonts w:cs="Arial"/>
        </w:rPr>
        <w:t>since we used data from the national health system</w:t>
      </w:r>
      <w:r w:rsidR="00B57AB0">
        <w:rPr>
          <w:rFonts w:cs="Arial"/>
        </w:rPr>
        <w:t xml:space="preserve">. Therefore, we are reassured that the observed association and direction of the effect have not been affected by using ICD-10 coding. </w:t>
      </w:r>
    </w:p>
    <w:p w14:paraId="6424FA48" w14:textId="70F02C49" w:rsidR="009D568A" w:rsidRDefault="006E256E" w:rsidP="00E820E4">
      <w:pPr>
        <w:spacing w:line="480" w:lineRule="auto"/>
      </w:pPr>
      <w:r>
        <w:rPr>
          <w:rFonts w:cs="Arial"/>
        </w:rPr>
        <w:t>Another important limitation identified in this study is the fact that information is recorded in several databases throughout the health system</w:t>
      </w:r>
      <w:r w:rsidR="00F71BD6">
        <w:rPr>
          <w:rFonts w:cs="Arial"/>
        </w:rPr>
        <w:t xml:space="preserve"> </w:t>
      </w:r>
      <w:r w:rsidR="004F6E7E">
        <w:rPr>
          <w:rFonts w:cs="Arial"/>
        </w:rPr>
        <w:t xml:space="preserve">without </w:t>
      </w:r>
      <w:r>
        <w:rPr>
          <w:rFonts w:cs="Arial"/>
        </w:rPr>
        <w:t>common identifier</w:t>
      </w:r>
      <w:r w:rsidR="004F6E7E">
        <w:rPr>
          <w:rFonts w:cs="Arial"/>
        </w:rPr>
        <w:t>s</w:t>
      </w:r>
      <w:r>
        <w:rPr>
          <w:rFonts w:cs="Arial"/>
        </w:rPr>
        <w:t xml:space="preserve"> to enable the </w:t>
      </w:r>
      <w:r w:rsidR="004F6E7E">
        <w:rPr>
          <w:rFonts w:cs="Arial"/>
        </w:rPr>
        <w:t xml:space="preserve">data </w:t>
      </w:r>
      <w:r>
        <w:rPr>
          <w:rFonts w:cs="Arial"/>
        </w:rPr>
        <w:lastRenderedPageBreak/>
        <w:t xml:space="preserve">linkage </w:t>
      </w:r>
      <w:r w:rsidR="004F6E7E">
        <w:rPr>
          <w:rFonts w:cs="Arial"/>
        </w:rPr>
        <w:t xml:space="preserve">of </w:t>
      </w:r>
      <w:r>
        <w:rPr>
          <w:rFonts w:cs="Arial"/>
        </w:rPr>
        <w:t>individual</w:t>
      </w:r>
      <w:r w:rsidR="004F6E7E">
        <w:rPr>
          <w:rFonts w:cs="Arial"/>
        </w:rPr>
        <w:t>s</w:t>
      </w:r>
      <w:r>
        <w:rPr>
          <w:rFonts w:cs="Arial"/>
        </w:rPr>
        <w:t xml:space="preserve">. While </w:t>
      </w:r>
      <w:r w:rsidR="008900FF">
        <w:rPr>
          <w:rFonts w:cs="Arial"/>
        </w:rPr>
        <w:t>hospitalis</w:t>
      </w:r>
      <w:r>
        <w:rPr>
          <w:rFonts w:cs="Arial"/>
        </w:rPr>
        <w:t xml:space="preserve">ation data could be identified </w:t>
      </w:r>
      <w:r w:rsidR="00D6798F">
        <w:rPr>
          <w:rFonts w:cs="Arial"/>
        </w:rPr>
        <w:t>to LSOA</w:t>
      </w:r>
      <w:r w:rsidR="001848CB">
        <w:rPr>
          <w:rFonts w:cs="Arial"/>
        </w:rPr>
        <w:t xml:space="preserve"> </w:t>
      </w:r>
      <w:r w:rsidR="00D6798F">
        <w:rPr>
          <w:rFonts w:cs="Arial"/>
        </w:rPr>
        <w:t xml:space="preserve">level </w:t>
      </w:r>
      <w:r w:rsidR="001848CB">
        <w:rPr>
          <w:rFonts w:cs="Arial"/>
        </w:rPr>
        <w:t>through HES,</w:t>
      </w:r>
      <w:r>
        <w:rPr>
          <w:rFonts w:cs="Arial"/>
        </w:rPr>
        <w:t xml:space="preserve"> vaccine uptake could only be </w:t>
      </w:r>
      <w:r w:rsidR="004F6E7E">
        <w:rPr>
          <w:rFonts w:cs="Arial"/>
        </w:rPr>
        <w:t xml:space="preserve">obtained </w:t>
      </w:r>
      <w:r>
        <w:rPr>
          <w:rFonts w:cs="Arial"/>
        </w:rPr>
        <w:t>at GP practice level</w:t>
      </w:r>
      <w:r w:rsidR="001848CB">
        <w:rPr>
          <w:rFonts w:cs="Arial"/>
        </w:rPr>
        <w:t xml:space="preserve"> through ImmForm</w:t>
      </w:r>
      <w:r w:rsidR="006B34F2">
        <w:rPr>
          <w:rFonts w:cs="Arial"/>
        </w:rPr>
        <w:t>,</w:t>
      </w:r>
      <w:r w:rsidR="00244E25">
        <w:rPr>
          <w:rFonts w:cs="Arial"/>
        </w:rPr>
        <w:t xml:space="preserve"> and was synthetically estimated at LSOA level</w:t>
      </w:r>
      <w:r>
        <w:rPr>
          <w:rFonts w:cs="Arial"/>
        </w:rPr>
        <w:t xml:space="preserve">. </w:t>
      </w:r>
      <w:r w:rsidR="001848CB">
        <w:rPr>
          <w:rFonts w:cs="Arial"/>
        </w:rPr>
        <w:t>Moreover, none of these databases are linked to laboratory information. W</w:t>
      </w:r>
      <w:r>
        <w:rPr>
          <w:rFonts w:cs="Arial"/>
        </w:rPr>
        <w:t xml:space="preserve">hile the correlation </w:t>
      </w:r>
      <w:r w:rsidR="001848CB">
        <w:rPr>
          <w:rFonts w:cs="Arial"/>
        </w:rPr>
        <w:t xml:space="preserve">with socioeconomic deprivation was demonstrated for both outcomes, and is apparent in our graphic representations, this limitation prevented the development of more complex </w:t>
      </w:r>
      <w:r w:rsidR="00D6798F">
        <w:rPr>
          <w:rFonts w:cs="Arial"/>
        </w:rPr>
        <w:t>spatio-temporal</w:t>
      </w:r>
      <w:r w:rsidR="001848CB">
        <w:rPr>
          <w:rFonts w:cs="Arial"/>
        </w:rPr>
        <w:t xml:space="preserve"> </w:t>
      </w:r>
      <w:r w:rsidR="00D6798F" w:rsidRPr="00D6798F">
        <w:rPr>
          <w:rFonts w:cs="Arial"/>
        </w:rPr>
        <w:t>Bayesian hierarchical models</w:t>
      </w:r>
      <w:r w:rsidR="001848CB">
        <w:rPr>
          <w:rFonts w:cs="Arial"/>
        </w:rPr>
        <w:t xml:space="preserve">. </w:t>
      </w:r>
      <w:r w:rsidR="00E820E4">
        <w:t xml:space="preserve">In order to evaluate interventions aimed at improving vaccine uptake and reducing the burden of </w:t>
      </w:r>
      <w:r w:rsidR="008900FF">
        <w:t>hospitalis</w:t>
      </w:r>
      <w:r w:rsidR="00E820E4">
        <w:t>ations due to IAI, surveill</w:t>
      </w:r>
      <w:r w:rsidR="001848CB">
        <w:t xml:space="preserve">ance data on disease incidence, </w:t>
      </w:r>
      <w:r w:rsidR="008900FF">
        <w:t>hospitalis</w:t>
      </w:r>
      <w:r w:rsidR="00E820E4">
        <w:t>ations, and vaccine uptake should be recorded in a systematic and consistent manner over time to facilitate comparison before and after the intervention was implemented.</w:t>
      </w:r>
      <w:r w:rsidR="001848CB">
        <w:rPr>
          <w:rFonts w:cs="Arial"/>
        </w:rPr>
        <w:t xml:space="preserve"> </w:t>
      </w:r>
      <w:r w:rsidR="00244E25">
        <w:t>A</w:t>
      </w:r>
      <w:r w:rsidR="00E820E4">
        <w:t xml:space="preserve"> </w:t>
      </w:r>
      <w:r w:rsidR="004F6E7E">
        <w:t>surveillance</w:t>
      </w:r>
      <w:r w:rsidR="00E820E4">
        <w:t xml:space="preserve"> system facilitating record matching between the various existing databases </w:t>
      </w:r>
      <w:r w:rsidR="004F6E7E">
        <w:t>and</w:t>
      </w:r>
      <w:r w:rsidR="00E820E4">
        <w:t xml:space="preserve"> the incorporation of laboratory data would facilitate recording disease trends and the identification of any changes </w:t>
      </w:r>
      <w:r w:rsidR="004F6E7E">
        <w:t xml:space="preserve">in </w:t>
      </w:r>
      <w:r w:rsidR="00E820E4">
        <w:t xml:space="preserve">disease epidemiology, </w:t>
      </w:r>
      <w:r w:rsidR="006A4301">
        <w:t xml:space="preserve">naturally </w:t>
      </w:r>
      <w:r w:rsidR="00E820E4">
        <w:t xml:space="preserve">or </w:t>
      </w:r>
      <w:r w:rsidR="006A4301">
        <w:t>as a consequence of</w:t>
      </w:r>
      <w:r w:rsidR="004F6E7E">
        <w:t xml:space="preserve"> </w:t>
      </w:r>
      <w:r w:rsidR="00E820E4">
        <w:t>a public health intervention.</w:t>
      </w:r>
    </w:p>
    <w:p w14:paraId="2577D050" w14:textId="7293F910" w:rsidR="0056098E" w:rsidRDefault="0056098E" w:rsidP="00B2781A">
      <w:pPr>
        <w:spacing w:line="480" w:lineRule="auto"/>
      </w:pPr>
      <w:r>
        <w:t>Finally, while our study has been able to demonstrate the</w:t>
      </w:r>
      <w:r w:rsidR="00F47588">
        <w:t xml:space="preserve"> </w:t>
      </w:r>
      <w:r w:rsidR="00E80DBB">
        <w:t>association between</w:t>
      </w:r>
      <w:r>
        <w:t xml:space="preserve"> </w:t>
      </w:r>
      <w:r w:rsidR="00F47588">
        <w:t xml:space="preserve">socioeconomic </w:t>
      </w:r>
      <w:r>
        <w:t xml:space="preserve">deprivation and IAI </w:t>
      </w:r>
      <w:r w:rsidR="008900FF">
        <w:t>hospitalis</w:t>
      </w:r>
      <w:r>
        <w:t xml:space="preserve">ations, and with lower vaccine uptake, the results cannot elucidate the underlying causes </w:t>
      </w:r>
      <w:r w:rsidR="00172845">
        <w:t xml:space="preserve">for this observation. </w:t>
      </w:r>
      <w:r w:rsidR="000C51CB">
        <w:t>C</w:t>
      </w:r>
      <w:r>
        <w:t>omorbidities exacerbate r</w:t>
      </w:r>
      <w:r w:rsidR="00172845">
        <w:t>espiratory disease</w:t>
      </w:r>
      <w:r w:rsidR="005E31D6">
        <w:fldChar w:fldCharType="begin"/>
      </w:r>
      <w:r w:rsidR="00C33409">
        <w:instrText xml:space="preserve"> ADDIN ZOTERO_ITEM CSL_CITATION {"citationID":"a24tbnfsh3s","properties":{"formattedCitation":"[6]","plainCitation":"[6]","noteIndex":0},"citationItems":[{"id":4247,"uris":["http://zotero.org/groups/1793288/items/D22Z6NXK"],"uri":["http://zotero.org/groups/1793288/items/D22Z6NXK"],"itemData":{"id":4247,"type":"article-journal","title":"Impact of respiratory virus infections on persons with chronic underlying conditions","container-title":"JAMA","page":"499-505","volume":"283","issue":"4","source":"PubMed","abstract":"CONTEXT: While hospitalization rates have declined overall, hospitalizations for acute lower respiratory tract infections have increased steadily since 1980. Development of new approaches for prevention of acute respiratory tract conditions requires studies of the etiologies of infections and quantification of the risk of hospitalization for vulnerable patients.\nOBJECTIVE: To determine the frequency of specific virus infections associated with acute respiratory tract conditions leading to hospitalization of chronically ill patients.\nDESIGN: Analysis of viral etiology of patients hospitalized with acute respiratory tract conditions between July 1991 and June 1995.\nSETTING: Four large clinics and related hospitals serving diverse populations representative of Harris County, Texas.\nPATIENTS: A total of 1029 patients who were hospitalized for pneumonia, tracheobronchitis, bronchiolitis, croup, exacerbations of asthma or chronic obstructive pulmonary disease, and/or congestive heart failure.\nMAIN OUTCOME MEASURE: Virus infection, defined by culture, antigen detection, and significant rise in serum antibodies, by underlying condition; hospitalization rates by low- vs middle-income status.\nRESULTS: Ninety-three percent of patients older than 5 years had a chronic underlying condition; a chronic pulmonary condition was most common. Patients with chronic pulmonary disease from low-income populations were hospitalized at a rate of 398.6 per 10000, almost 8 times higher than the rate for patients from middle-income groups (52.2 per 10000; P&lt;.001). Of the 403 patients (44.4% of adults and 32.3% of children) who submitted convalescent serum specimens for antibody testing, respiratory tract virus infections were detected in 181 (44.9%). Influenza, parainfluenza, and respiratory syncytial virus (RSV) infections accounted for 75% of all virus infections.\nCONCLUSIONS: Our study suggests that respiratory virus infections commonly trigger serious acute respiratory conditions that result in hospitalization of patients with chronic underlying conditions, highlighting the need for development of effective vaccines for these viruses, especially for parainfluenza and RSV.","ISSN":"0098-7484","note":"PMID: 10659876","journalAbbreviation":"JAMA","language":"eng","author":[{"family":"Glezen","given":"W. P."},{"family":"Greenberg","given":"S. B."},{"family":"Atmar","given":"R. L."},{"family":"Piedra","given":"P. A."},{"family":"Couch","given":"R. B."}],"issued":{"date-parts":[["2000",1,26]]}}}],"schema":"https://github.com/citation-style-language/schema/raw/master/csl-citation.json"} </w:instrText>
      </w:r>
      <w:r w:rsidR="005E31D6">
        <w:fldChar w:fldCharType="separate"/>
      </w:r>
      <w:r w:rsidR="00C33409" w:rsidRPr="00DA47B1">
        <w:rPr>
          <w:rFonts w:ascii="Calibri" w:hAnsi="Calibri" w:cs="Calibri"/>
        </w:rPr>
        <w:t>[6]</w:t>
      </w:r>
      <w:r w:rsidR="005E31D6">
        <w:fldChar w:fldCharType="end"/>
      </w:r>
      <w:r w:rsidR="00F90B1D">
        <w:t xml:space="preserve">, and </w:t>
      </w:r>
      <w:r w:rsidR="00E40E0B">
        <w:t xml:space="preserve">socially-deprived areas </w:t>
      </w:r>
      <w:r w:rsidR="00E41117">
        <w:t xml:space="preserve">tend to </w:t>
      </w:r>
      <w:r w:rsidR="00E40E0B">
        <w:t xml:space="preserve">have </w:t>
      </w:r>
      <w:r w:rsidR="00E41117">
        <w:t xml:space="preserve">more </w:t>
      </w:r>
      <w:r w:rsidR="00E40E0B">
        <w:t>limited access to social resources, resulting in poorer health outcomes</w:t>
      </w:r>
      <w:r w:rsidR="005E31D6">
        <w:t xml:space="preserve"> </w:t>
      </w:r>
      <w:r w:rsidR="005E31D6">
        <w:fldChar w:fldCharType="begin"/>
      </w:r>
      <w:r w:rsidR="007C0176">
        <w:instrText xml:space="preserve"> ADDIN ZOTERO_ITEM CSL_CITATION {"citationID":"a72rrcdnam","properties":{"formattedCitation":"[42]","plainCitation":"[42]","noteIndex":0},"citationItems":[{"id":4509,"uris":["http://zotero.org/groups/1793288/items/L4EWI7TB"],"uri":["http://zotero.org/groups/1793288/items/L4EWI7TB"],"itemData":{"id":4509,"type":"article-journal","title":"The effects of deprivation and relative deprivation on self-reported morbidity in England: an area-level ecological study","container-title":"International Journal of Health Geographics","page":"5","volume":"12","source":"PubMed","abstract":"BACKGROUND: Socioeconomic status gradients in health outcomes are well recognised and may operate in part through the psychological effect of observing disparities in affluence. At an area-level, we explored whether the deprivation differential between neighbouring areas influenced self-reported morbidity over and above the known effect of the deprivation of the area itself.\nMETHODS: Deprivation differentials between small areas (population size approximately 1,500) and their immediate neighbours were derived (from the Index of Multiple Deprivation (IMD)) for Lower Super Output Area (LSOA) in the whole of England (n=32482). Outcome variables were self-reported from the 2001 UK Census: the proportion of the population suffering Limiting Long-Term Illness (LLTI) and 'not good health'. Linear regression was used to identify the effect of the deprivation differential on morbidity in different segments of the population, controlling for the absolute deprivation. The population was segmented using IMD tertiles and P2 People and Places geodemographic classification. P2 is a commercial market segmentation tool, which classifies small areas according to the characteristics of the population. The classifications range in deprivation, with the most affluent type being 'Mature Oaks' and the least being 'Urban Challenge'.\nRESULTS: Areas that were deprived compared to their immediate neighbours suffered higher rates of 'not good health' (β=0.312, p&lt;0.001) and LLTI (β=0.278, p&lt;0.001), after controlling for the deprivation of the area itself ('not good health'-ß=0.655, p&lt;0.001; LLTI-ß=0.548, p&lt;0.001). The effect of the deprivation differential relative to the effect of deprivation was strongest in least deprived segments (e.g., for 'not good health', P2 segments 'Mature Oaks'-β=0.638; 'Rooted Households'-β=0.555).\nCONCLUSIONS: Living in an area that is surrounded by areas of greater affluence has a negative impact on health in England. A possible explanation for this phenomenon is that negative social comparisons between areas cause ill-health. This 'psychosocial effect' is greater still in least deprived segments of the population, supporting the notion that psychosocial effects become more important when material (absolute) deprivation is less relevant.","DOI":"10.1186/1476-072X-12-5","ISSN":"1476-072X","note":"PMID: 23360584\nPMCID: PMC3623854","shortTitle":"The effects of deprivation and relative deprivation on self-reported morbidity in England","journalAbbreviation":"Int J Health Geogr","language":"eng","author":[{"family":"Zhang","given":"Xin"},{"family":"Cook","given":"Penny A."},{"family":"Lisboa","given":"Paulo J."},{"family":"Jarman","given":"Ian H."},{"family":"Bellis","given":"Mark A."}],"issued":{"date-parts":[["2013",1,29]]}}}],"schema":"https://github.com/citation-style-language/schema/raw/master/csl-citation.json"} </w:instrText>
      </w:r>
      <w:r w:rsidR="005E31D6">
        <w:fldChar w:fldCharType="separate"/>
      </w:r>
      <w:r w:rsidR="007C0176" w:rsidRPr="003563BA">
        <w:rPr>
          <w:rFonts w:ascii="Calibri" w:hAnsi="Calibri" w:cs="Calibri"/>
        </w:rPr>
        <w:t>[42]</w:t>
      </w:r>
      <w:r w:rsidR="005E31D6">
        <w:fldChar w:fldCharType="end"/>
      </w:r>
      <w:r w:rsidR="00B2781A">
        <w:t xml:space="preserve">. </w:t>
      </w:r>
      <w:r w:rsidR="005E227F">
        <w:t>Therefore, d</w:t>
      </w:r>
      <w:r w:rsidR="005E227F" w:rsidRPr="005E227F">
        <w:t xml:space="preserve">esigning effective vaccine policy and public health interventions that translate outcomes to health equity </w:t>
      </w:r>
      <w:r w:rsidR="005E227F">
        <w:t xml:space="preserve">is critical; and </w:t>
      </w:r>
      <w:r w:rsidR="005E227F" w:rsidRPr="005E227F">
        <w:t>requires improved understanding of the healthcare system engagement that underpins lower influenza vaccine uptake</w:t>
      </w:r>
      <w:r w:rsidR="005E227F">
        <w:t xml:space="preserve"> </w:t>
      </w:r>
      <w:r w:rsidR="001940C9">
        <w:fldChar w:fldCharType="begin"/>
      </w:r>
      <w:r w:rsidR="007C0176">
        <w:instrText xml:space="preserve"> ADDIN ZOTERO_ITEM CSL_CITATION {"citationID":"a1j4f6eugu0","properties":{"formattedCitation":"[43]","plainCitation":"[43]","noteIndex":0},"citationItems":[{"id":4515,"uris":["http://zotero.org/groups/1793288/items/8VCP2D49"],"uri":["http://zotero.org/groups/1793288/items/8VCP2D49"],"itemData":{"id":4515,"type":"article-journal","title":"Social determinants of health and seasonal influenza vaccination in adults ≥65 years: a systematic review of qualitative and quantitative data","container-title":"BMC public health","page":"388","volume":"13","source":"PubMed","abstract":"BACKGROUND: Vaccination against influenza is considered the most important public health intervention to prevent unnecessary hospitalizations and premature deaths related to influenza in the elderly, though there are significant inequities among global influenza vaccine resources, capacities, and policies. The objective of this study was to assess the social determinants of health preventing adults ≥ 65 years old from accessing and accepting seasonal influenza vaccination.\nMETHODS: A systematic search was performed in January 2011 using MEDLINE, ISI - Web of Science, PsycINFO, and CINAHL (1980-2011). Reference lists of articles were also examined. Selection criteria included qualitative and quantitative studies written in English that examined social determinants of and barriers against seasonal influenza vaccination among adults ≥ 65 years. Two authors performed the quality assessment and data extraction. Thematic analysis was the main approach for joint synthesis, using identification and juxtaposition of themes associated with vaccination.\nRESULTS: Overall, 58 studies were analyzed. Structural social determinants such as age, gender, marital status, education, ethnicity, socio-economic status, social and cultural values, as well as intermediary determinants including housing-place of residence, behavioral beliefs, social influences, previous vaccine experiences, perceived susceptibility, sources of information, and perceived health status influenced seasonal influenza vaccination. Healthcare system related factors including accessibility, affordability, knowledge and attitudes about vaccination, and physicians' advice were also important determinants of vaccination.\nCONCLUSIONS: Our results demonstrate that the ability of adults ≥ 65 years to receive seasonal influenza vaccine is influenced by structural, intermediate, and healthcare-related social determinants which have an impact at the health system, provider, and individual levels.","DOI":"10.1186/1471-2458-13-388","ISSN":"1471-2458","note":"PMID: 23617788\nPMCID: PMC3667118","shortTitle":"Social determinants of health and seasonal influenza vaccination in adults ≥65 years","journalAbbreviation":"BMC Public Health","language":"eng","author":[{"family":"Nagata","given":"Jason M."},{"family":"Hernández-Ramos","given":"Isabel"},{"family":"Kurup","given":"Anand Sivasankara"},{"family":"Albrecht","given":"Daniel"},{"family":"Vivas-Torrealba","given":"Claudia"},{"family":"Franco-Paredes","given":"Carlos"}],"issued":{"date-parts":[["2013",4,25]]}}}],"schema":"https://github.com/citation-style-language/schema/raw/master/csl-citation.json"} </w:instrText>
      </w:r>
      <w:r w:rsidR="001940C9">
        <w:fldChar w:fldCharType="separate"/>
      </w:r>
      <w:r w:rsidR="007C0176" w:rsidRPr="003563BA">
        <w:rPr>
          <w:rFonts w:ascii="Calibri" w:hAnsi="Calibri" w:cs="Calibri"/>
        </w:rPr>
        <w:t>[43]</w:t>
      </w:r>
      <w:r w:rsidR="001940C9">
        <w:fldChar w:fldCharType="end"/>
      </w:r>
      <w:r w:rsidR="00550B05">
        <w:t xml:space="preserve">. </w:t>
      </w:r>
    </w:p>
    <w:p w14:paraId="6AD76651" w14:textId="77777777" w:rsidR="0061069B" w:rsidRPr="0061069B" w:rsidRDefault="0061069B" w:rsidP="0061069B">
      <w:pPr>
        <w:pStyle w:val="Heading2"/>
      </w:pPr>
      <w:r w:rsidRPr="0061069B">
        <w:t>Declarations</w:t>
      </w:r>
    </w:p>
    <w:p w14:paraId="647D118F" w14:textId="77777777" w:rsidR="0061069B" w:rsidRPr="00E04F69" w:rsidRDefault="0061069B" w:rsidP="0061069B"/>
    <w:p w14:paraId="3976F2CC" w14:textId="0FD0CCDA" w:rsidR="00F535DF" w:rsidRPr="003563BA" w:rsidRDefault="0061069B" w:rsidP="00F535DF">
      <w:pPr>
        <w:spacing w:after="0" w:line="480" w:lineRule="auto"/>
        <w:rPr>
          <w:rFonts w:ascii="Calibri" w:eastAsia="Calibri" w:hAnsi="Calibri" w:cs="Times New Roman"/>
          <w:i/>
        </w:rPr>
      </w:pPr>
      <w:r w:rsidRPr="00FF5182">
        <w:rPr>
          <w:rFonts w:ascii="Calibri" w:eastAsia="Calibri" w:hAnsi="Calibri" w:cs="Times New Roman"/>
        </w:rPr>
        <w:t>Ethical approval</w:t>
      </w:r>
      <w:r>
        <w:rPr>
          <w:rFonts w:ascii="Calibri" w:eastAsia="Calibri" w:hAnsi="Calibri" w:cs="Times New Roman"/>
        </w:rPr>
        <w:t>:</w:t>
      </w:r>
      <w:r w:rsidRPr="00FF5182">
        <w:rPr>
          <w:rFonts w:ascii="Calibri" w:eastAsia="Calibri" w:hAnsi="Calibri" w:cs="Times New Roman"/>
        </w:rPr>
        <w:t xml:space="preserve"> </w:t>
      </w:r>
      <w:r w:rsidR="00054744" w:rsidRPr="00054744">
        <w:rPr>
          <w:rFonts w:ascii="Calibri" w:eastAsia="Calibri" w:hAnsi="Calibri" w:cs="Times New Roman"/>
        </w:rPr>
        <w:t>The data accessed was aggrega</w:t>
      </w:r>
      <w:r w:rsidR="00054744">
        <w:rPr>
          <w:rFonts w:ascii="Calibri" w:eastAsia="Calibri" w:hAnsi="Calibri" w:cs="Times New Roman"/>
        </w:rPr>
        <w:t>ted and anonymised</w:t>
      </w:r>
      <w:r w:rsidR="00135A13">
        <w:rPr>
          <w:rFonts w:ascii="Calibri" w:eastAsia="Calibri" w:hAnsi="Calibri" w:cs="Times New Roman"/>
        </w:rPr>
        <w:t xml:space="preserve"> and therefore as specified by </w:t>
      </w:r>
      <w:r w:rsidR="00F535DF">
        <w:rPr>
          <w:rFonts w:ascii="Calibri" w:eastAsia="Calibri" w:hAnsi="Calibri" w:cs="Times New Roman"/>
        </w:rPr>
        <w:t xml:space="preserve">the </w:t>
      </w:r>
      <w:r w:rsidR="00135A13">
        <w:rPr>
          <w:rFonts w:ascii="Calibri" w:eastAsia="Calibri" w:hAnsi="Calibri" w:cs="Times New Roman"/>
        </w:rPr>
        <w:t xml:space="preserve">University of Liverpool ethics guidance </w:t>
      </w:r>
      <w:r w:rsidR="00F535DF">
        <w:rPr>
          <w:rFonts w:ascii="Calibri" w:eastAsia="Calibri" w:hAnsi="Calibri" w:cs="Times New Roman"/>
        </w:rPr>
        <w:t xml:space="preserve">and the </w:t>
      </w:r>
      <w:r w:rsidR="003563BA">
        <w:rPr>
          <w:rFonts w:ascii="Calibri" w:eastAsia="Calibri" w:hAnsi="Calibri" w:cs="Times New Roman"/>
        </w:rPr>
        <w:t>‘</w:t>
      </w:r>
      <w:r w:rsidR="00F535DF" w:rsidRPr="003563BA">
        <w:rPr>
          <w:rFonts w:ascii="Calibri" w:eastAsia="Calibri" w:hAnsi="Calibri" w:cs="Times New Roman"/>
          <w:i/>
        </w:rPr>
        <w:t>NHS Health Research Authority Research Do I</w:t>
      </w:r>
    </w:p>
    <w:p w14:paraId="2D177697" w14:textId="5594117E" w:rsidR="0061069B" w:rsidRDefault="00F535DF" w:rsidP="00F535DF">
      <w:pPr>
        <w:spacing w:after="0" w:line="480" w:lineRule="auto"/>
        <w:rPr>
          <w:rFonts w:ascii="Calibri" w:eastAsia="Calibri" w:hAnsi="Calibri" w:cs="Times New Roman"/>
        </w:rPr>
      </w:pPr>
      <w:r w:rsidRPr="003563BA">
        <w:rPr>
          <w:rFonts w:ascii="Calibri" w:eastAsia="Calibri" w:hAnsi="Calibri" w:cs="Times New Roman"/>
          <w:i/>
        </w:rPr>
        <w:t>need NHS REC approval Tool</w:t>
      </w:r>
      <w:r w:rsidR="003563BA">
        <w:rPr>
          <w:rFonts w:ascii="Calibri" w:eastAsia="Calibri" w:hAnsi="Calibri" w:cs="Times New Roman"/>
          <w:i/>
        </w:rPr>
        <w:t xml:space="preserve">’ </w:t>
      </w:r>
      <w:r w:rsidR="003563BA">
        <w:rPr>
          <w:rFonts w:ascii="Calibri" w:eastAsia="Calibri" w:hAnsi="Calibri" w:cs="Times New Roman"/>
        </w:rPr>
        <w:t>(</w:t>
      </w:r>
      <w:r w:rsidR="003563BA" w:rsidRPr="006426EC">
        <w:rPr>
          <w:rFonts w:ascii="Calibri" w:eastAsia="Calibri" w:hAnsi="Calibri" w:cs="Times New Roman"/>
        </w:rPr>
        <w:t xml:space="preserve">http://www.hra-decisiontools.org.uk/research/ </w:t>
      </w:r>
      <w:r w:rsidR="003563BA">
        <w:rPr>
          <w:rFonts w:ascii="Calibri" w:eastAsia="Calibri" w:hAnsi="Calibri" w:cs="Times New Roman"/>
        </w:rPr>
        <w:t xml:space="preserve">) </w:t>
      </w:r>
      <w:r w:rsidR="004C5BD3">
        <w:rPr>
          <w:rFonts w:ascii="Calibri" w:eastAsia="Calibri" w:hAnsi="Calibri" w:cs="Times New Roman"/>
        </w:rPr>
        <w:t xml:space="preserve">this study </w:t>
      </w:r>
      <w:r w:rsidR="00135A13">
        <w:rPr>
          <w:rFonts w:ascii="Calibri" w:eastAsia="Calibri" w:hAnsi="Calibri" w:cs="Times New Roman"/>
        </w:rPr>
        <w:t>did not require ethical approval</w:t>
      </w:r>
      <w:r w:rsidR="00054744">
        <w:rPr>
          <w:rFonts w:ascii="Calibri" w:eastAsia="Calibri" w:hAnsi="Calibri" w:cs="Times New Roman"/>
        </w:rPr>
        <w:t xml:space="preserve">. </w:t>
      </w:r>
    </w:p>
    <w:p w14:paraId="782D37F3" w14:textId="77777777" w:rsidR="00326E33" w:rsidRDefault="00326E33" w:rsidP="0061069B">
      <w:pPr>
        <w:spacing w:after="0" w:line="480" w:lineRule="auto"/>
        <w:rPr>
          <w:rFonts w:ascii="Calibri" w:eastAsia="Calibri" w:hAnsi="Calibri" w:cs="Times New Roman"/>
        </w:rPr>
      </w:pPr>
    </w:p>
    <w:p w14:paraId="79C84ED9" w14:textId="77777777" w:rsidR="0061069B" w:rsidRDefault="0061069B" w:rsidP="0061069B">
      <w:pPr>
        <w:spacing w:after="0" w:line="480" w:lineRule="auto"/>
      </w:pPr>
      <w:r>
        <w:rPr>
          <w:rFonts w:ascii="Calibri" w:eastAsia="Calibri" w:hAnsi="Calibri" w:cs="Times New Roman"/>
        </w:rPr>
        <w:t xml:space="preserve">Availability of data and material: </w:t>
      </w:r>
      <w:r w:rsidR="005B5C98" w:rsidRPr="005B5C98">
        <w:rPr>
          <w:rFonts w:ascii="Calibri" w:eastAsia="Calibri" w:hAnsi="Calibri" w:cs="Times New Roman"/>
        </w:rPr>
        <w:t xml:space="preserve">The data that support the findings of this study are available from a Public Health England but restrictions apply to </w:t>
      </w:r>
      <w:r w:rsidR="005B5C98">
        <w:rPr>
          <w:rFonts w:ascii="Calibri" w:eastAsia="Calibri" w:hAnsi="Calibri" w:cs="Times New Roman"/>
        </w:rPr>
        <w:t>the availability of these data as they are</w:t>
      </w:r>
      <w:r w:rsidR="005B5C98" w:rsidRPr="005B5C98">
        <w:rPr>
          <w:rFonts w:ascii="Calibri" w:eastAsia="Calibri" w:hAnsi="Calibri" w:cs="Times New Roman"/>
        </w:rPr>
        <w:t xml:space="preserve"> not publicly available. Aggregated data </w:t>
      </w:r>
      <w:r w:rsidR="005B5C98">
        <w:rPr>
          <w:rFonts w:ascii="Calibri" w:eastAsia="Calibri" w:hAnsi="Calibri" w:cs="Times New Roman"/>
        </w:rPr>
        <w:t>may be</w:t>
      </w:r>
      <w:r w:rsidR="005B5C98" w:rsidRPr="005B5C98">
        <w:rPr>
          <w:rFonts w:ascii="Calibri" w:eastAsia="Calibri" w:hAnsi="Calibri" w:cs="Times New Roman"/>
        </w:rPr>
        <w:t xml:space="preserve"> available from the authors</w:t>
      </w:r>
      <w:r w:rsidR="005B5C98">
        <w:rPr>
          <w:rFonts w:ascii="Calibri" w:eastAsia="Calibri" w:hAnsi="Calibri" w:cs="Times New Roman"/>
        </w:rPr>
        <w:t>/ Public Health England</w:t>
      </w:r>
      <w:r w:rsidR="005B5C98" w:rsidRPr="005B5C98">
        <w:rPr>
          <w:rFonts w:ascii="Calibri" w:eastAsia="Calibri" w:hAnsi="Calibri" w:cs="Times New Roman"/>
        </w:rPr>
        <w:t xml:space="preserve"> upon reasonable request and with permission </w:t>
      </w:r>
      <w:r w:rsidR="005B5C98">
        <w:rPr>
          <w:rFonts w:ascii="Calibri" w:eastAsia="Calibri" w:hAnsi="Calibri" w:cs="Times New Roman"/>
        </w:rPr>
        <w:t xml:space="preserve">of </w:t>
      </w:r>
      <w:r w:rsidR="005B5C98" w:rsidRPr="005B5C98">
        <w:rPr>
          <w:rFonts w:ascii="Calibri" w:eastAsia="Calibri" w:hAnsi="Calibri" w:cs="Times New Roman"/>
        </w:rPr>
        <w:t>Public Health England.</w:t>
      </w:r>
    </w:p>
    <w:p w14:paraId="3129890D" w14:textId="77777777" w:rsidR="006849EE" w:rsidRDefault="006849EE" w:rsidP="0061069B">
      <w:pPr>
        <w:keepNext/>
        <w:keepLines/>
        <w:spacing w:after="0" w:line="480" w:lineRule="auto"/>
        <w:outlineLvl w:val="1"/>
        <w:rPr>
          <w:rFonts w:ascii="Calibri" w:eastAsia="Calibri" w:hAnsi="Calibri" w:cs="Times New Roman"/>
        </w:rPr>
      </w:pPr>
    </w:p>
    <w:p w14:paraId="1485D87D" w14:textId="0457BAED" w:rsidR="0061069B" w:rsidRDefault="0061069B" w:rsidP="0061069B">
      <w:pPr>
        <w:keepNext/>
        <w:keepLines/>
        <w:spacing w:after="0" w:line="480" w:lineRule="auto"/>
        <w:outlineLvl w:val="1"/>
        <w:rPr>
          <w:rFonts w:ascii="Calibri" w:eastAsia="Calibri" w:hAnsi="Calibri" w:cs="Times New Roman"/>
        </w:rPr>
      </w:pPr>
      <w:r w:rsidRPr="005E141D">
        <w:rPr>
          <w:rFonts w:ascii="Calibri" w:eastAsia="Calibri" w:hAnsi="Calibri" w:cs="Times New Roman"/>
        </w:rPr>
        <w:t xml:space="preserve">Potential </w:t>
      </w:r>
      <w:r>
        <w:rPr>
          <w:rFonts w:ascii="Calibri" w:eastAsia="Calibri" w:hAnsi="Calibri" w:cs="Times New Roman"/>
        </w:rPr>
        <w:t xml:space="preserve">competing interests: </w:t>
      </w:r>
      <w:r w:rsidR="005B5C98">
        <w:rPr>
          <w:rFonts w:ascii="Calibri" w:eastAsia="Calibri" w:hAnsi="Calibri" w:cs="Times New Roman"/>
        </w:rPr>
        <w:t xml:space="preserve">NF </w:t>
      </w:r>
      <w:r w:rsidR="005B5C98" w:rsidRPr="005B5C98">
        <w:rPr>
          <w:rFonts w:ascii="Calibri" w:eastAsia="Calibri" w:hAnsi="Calibri" w:cs="Times New Roman"/>
        </w:rPr>
        <w:t xml:space="preserve">and DH </w:t>
      </w:r>
      <w:r w:rsidR="005B5C98">
        <w:rPr>
          <w:rFonts w:ascii="Calibri" w:eastAsia="Calibri" w:hAnsi="Calibri" w:cs="Times New Roman"/>
        </w:rPr>
        <w:t>were in</w:t>
      </w:r>
      <w:r w:rsidR="005B5C98" w:rsidRPr="005B5C98">
        <w:rPr>
          <w:rFonts w:ascii="Calibri" w:eastAsia="Calibri" w:hAnsi="Calibri" w:cs="Times New Roman"/>
        </w:rPr>
        <w:t xml:space="preserve"> receipt of research grant support </w:t>
      </w:r>
      <w:r w:rsidR="005E227F">
        <w:rPr>
          <w:rFonts w:ascii="Calibri" w:eastAsia="Calibri" w:hAnsi="Calibri" w:cs="Times New Roman"/>
        </w:rPr>
        <w:t>on the topic of rotavirus vaccines</w:t>
      </w:r>
      <w:r w:rsidR="005E227F" w:rsidRPr="005B5C98">
        <w:rPr>
          <w:rFonts w:ascii="Calibri" w:eastAsia="Calibri" w:hAnsi="Calibri" w:cs="Times New Roman"/>
        </w:rPr>
        <w:t xml:space="preserve"> </w:t>
      </w:r>
      <w:r w:rsidR="005B5C98" w:rsidRPr="005B5C98">
        <w:rPr>
          <w:rFonts w:ascii="Calibri" w:eastAsia="Calibri" w:hAnsi="Calibri" w:cs="Times New Roman"/>
        </w:rPr>
        <w:t xml:space="preserve">from GlaxoSmithKline (GSK) Biologicals. DH </w:t>
      </w:r>
      <w:r w:rsidR="005B5C98">
        <w:rPr>
          <w:rFonts w:ascii="Calibri" w:eastAsia="Calibri" w:hAnsi="Calibri" w:cs="Times New Roman"/>
        </w:rPr>
        <w:t xml:space="preserve">is </w:t>
      </w:r>
      <w:r w:rsidR="005B5C98" w:rsidRPr="005B5C98">
        <w:rPr>
          <w:rFonts w:ascii="Calibri" w:eastAsia="Calibri" w:hAnsi="Calibri" w:cs="Times New Roman"/>
        </w:rPr>
        <w:t>in receipt of research grant support</w:t>
      </w:r>
      <w:r w:rsidR="005E227F">
        <w:rPr>
          <w:rFonts w:ascii="Calibri" w:eastAsia="Calibri" w:hAnsi="Calibri" w:cs="Times New Roman"/>
        </w:rPr>
        <w:t xml:space="preserve"> on the topic of rotavirus vaccines from </w:t>
      </w:r>
      <w:r w:rsidR="005E227F" w:rsidRPr="005E227F">
        <w:rPr>
          <w:rFonts w:ascii="Calibri" w:eastAsia="Calibri" w:hAnsi="Calibri" w:cs="Times New Roman"/>
        </w:rPr>
        <w:t>Sanofi Pasteur, and Merck &amp; Co., Inc. (Kenilworth, NJ USA) after the closure of Sanofi Pasteur-MSD in December 2016</w:t>
      </w:r>
      <w:r w:rsidR="005B5C98">
        <w:rPr>
          <w:rFonts w:ascii="Calibri" w:eastAsia="Calibri" w:hAnsi="Calibri" w:cs="Times New Roman"/>
        </w:rPr>
        <w:t>.</w:t>
      </w:r>
    </w:p>
    <w:p w14:paraId="6DCEFE69" w14:textId="77777777" w:rsidR="00326E33" w:rsidRDefault="00326E33" w:rsidP="0061069B">
      <w:pPr>
        <w:spacing w:after="0" w:line="480" w:lineRule="auto"/>
        <w:rPr>
          <w:rFonts w:ascii="Calibri" w:eastAsia="Calibri" w:hAnsi="Calibri" w:cs="Times New Roman"/>
        </w:rPr>
      </w:pPr>
    </w:p>
    <w:p w14:paraId="3902FB87" w14:textId="77777777" w:rsidR="0061069B" w:rsidRDefault="0061069B" w:rsidP="0061069B">
      <w:pPr>
        <w:spacing w:after="0" w:line="480" w:lineRule="auto"/>
        <w:rPr>
          <w:rFonts w:ascii="Calibri" w:eastAsia="Calibri" w:hAnsi="Calibri" w:cs="Times New Roman"/>
        </w:rPr>
      </w:pPr>
      <w:r>
        <w:rPr>
          <w:rFonts w:ascii="Calibri" w:eastAsia="Calibri" w:hAnsi="Calibri" w:cs="Times New Roman"/>
        </w:rPr>
        <w:t xml:space="preserve">Funding: </w:t>
      </w:r>
      <w:r w:rsidR="00F4746A">
        <w:rPr>
          <w:rFonts w:ascii="Calibri" w:eastAsia="Calibri" w:hAnsi="Calibri" w:cs="Times New Roman"/>
        </w:rPr>
        <w:t>This study was</w:t>
      </w:r>
      <w:r w:rsidR="00F4746A" w:rsidRPr="00F4746A">
        <w:rPr>
          <w:rFonts w:ascii="Calibri" w:eastAsia="Calibri" w:hAnsi="Calibri" w:cs="Times New Roman"/>
        </w:rPr>
        <w:t xml:space="preserve"> supported by </w:t>
      </w:r>
      <w:r w:rsidR="00F4746A">
        <w:rPr>
          <w:rFonts w:ascii="Calibri" w:eastAsia="Calibri" w:hAnsi="Calibri" w:cs="Times New Roman"/>
        </w:rPr>
        <w:t xml:space="preserve">a grant from NIHR Research Capacity Funding via </w:t>
      </w:r>
      <w:r w:rsidR="00F4746A" w:rsidRPr="00F4746A">
        <w:rPr>
          <w:rFonts w:ascii="Calibri" w:eastAsia="Calibri" w:hAnsi="Calibri" w:cs="Times New Roman"/>
        </w:rPr>
        <w:t>Liverpool NHS clinical commissioning group</w:t>
      </w:r>
      <w:r w:rsidR="00F4746A">
        <w:rPr>
          <w:rFonts w:ascii="Calibri" w:eastAsia="Calibri" w:hAnsi="Calibri" w:cs="Times New Roman"/>
        </w:rPr>
        <w:t>.</w:t>
      </w:r>
    </w:p>
    <w:p w14:paraId="42784DC6" w14:textId="77777777" w:rsidR="00326E33" w:rsidRDefault="00326E33" w:rsidP="00326E33">
      <w:pPr>
        <w:spacing w:after="0" w:line="480" w:lineRule="auto"/>
        <w:rPr>
          <w:rFonts w:ascii="Calibri" w:eastAsia="Calibri" w:hAnsi="Calibri" w:cs="Times New Roman"/>
        </w:rPr>
      </w:pPr>
    </w:p>
    <w:p w14:paraId="1C4C75B4" w14:textId="77777777" w:rsidR="0061069B" w:rsidRPr="00326E33" w:rsidRDefault="0061069B" w:rsidP="00326E33">
      <w:pPr>
        <w:spacing w:after="0" w:line="480" w:lineRule="auto"/>
        <w:rPr>
          <w:rFonts w:ascii="Calibri" w:eastAsia="Calibri" w:hAnsi="Calibri" w:cs="Times New Roman"/>
        </w:rPr>
      </w:pPr>
      <w:r>
        <w:rPr>
          <w:rFonts w:ascii="Calibri" w:eastAsia="Calibri" w:hAnsi="Calibri" w:cs="Times New Roman"/>
        </w:rPr>
        <w:t xml:space="preserve">Authors’ contributions: </w:t>
      </w:r>
      <w:r w:rsidR="00F4746A">
        <w:t>AIP</w:t>
      </w:r>
      <w:r w:rsidR="00F4746A" w:rsidRPr="00F4746A">
        <w:t>, DH</w:t>
      </w:r>
      <w:r w:rsidR="00F4746A">
        <w:t>, PC</w:t>
      </w:r>
      <w:r w:rsidR="00F4746A" w:rsidRPr="00F4746A">
        <w:t xml:space="preserve"> and NF conceived of and designed the study. DH </w:t>
      </w:r>
      <w:r w:rsidR="00F4746A">
        <w:t>acquired and analysed the data. All</w:t>
      </w:r>
      <w:r w:rsidR="00F4746A" w:rsidRPr="00F4746A">
        <w:t xml:space="preserve"> authors interpreted the data; DH </w:t>
      </w:r>
      <w:r w:rsidR="00F4746A">
        <w:t xml:space="preserve">and AIP </w:t>
      </w:r>
      <w:r w:rsidR="00F4746A" w:rsidRPr="00F4746A">
        <w:t>wrote the first draft of the report; and all authors reviewed the draft and final manuscript.</w:t>
      </w:r>
    </w:p>
    <w:p w14:paraId="3C4C4CE3" w14:textId="77777777" w:rsidR="00326E33" w:rsidRDefault="00326E33" w:rsidP="0061069B">
      <w:pPr>
        <w:keepNext/>
        <w:keepLines/>
        <w:spacing w:after="0" w:line="480" w:lineRule="auto"/>
        <w:outlineLvl w:val="1"/>
      </w:pPr>
    </w:p>
    <w:p w14:paraId="562E79C7" w14:textId="24BA41CF" w:rsidR="0061069B" w:rsidRPr="009D568A" w:rsidRDefault="0061069B" w:rsidP="0061069B">
      <w:pPr>
        <w:keepNext/>
        <w:keepLines/>
        <w:spacing w:after="0" w:line="480" w:lineRule="auto"/>
        <w:outlineLvl w:val="1"/>
      </w:pPr>
      <w:r>
        <w:t xml:space="preserve">Acknowledgements: The authors acknowledge the contribution of </w:t>
      </w:r>
      <w:r w:rsidR="00F4746A">
        <w:t xml:space="preserve">Gabbie Marr </w:t>
      </w:r>
      <w:r w:rsidR="00E466D8">
        <w:t xml:space="preserve">and Ed Gaynor </w:t>
      </w:r>
      <w:r w:rsidR="00F4746A">
        <w:t>at Liverpool NHS clinical commissioning group and Emer Coffey from Public Health, Liverpool City Council.</w:t>
      </w:r>
    </w:p>
    <w:p w14:paraId="5002B4EA" w14:textId="77777777" w:rsidR="0061069B" w:rsidRPr="009D568A" w:rsidRDefault="0061069B" w:rsidP="0061069B"/>
    <w:p w14:paraId="12E344E2" w14:textId="77777777" w:rsidR="0061069B" w:rsidRDefault="0061069B" w:rsidP="009D568A">
      <w:pPr>
        <w:spacing w:line="480" w:lineRule="auto"/>
      </w:pPr>
    </w:p>
    <w:p w14:paraId="33D65DB5" w14:textId="77777777" w:rsidR="0061069B" w:rsidRDefault="0061069B" w:rsidP="009D568A">
      <w:pPr>
        <w:spacing w:line="480" w:lineRule="auto"/>
        <w:sectPr w:rsidR="0061069B" w:rsidSect="009F1676">
          <w:pgSz w:w="11906" w:h="16838"/>
          <w:pgMar w:top="1440" w:right="1440" w:bottom="1440" w:left="1440" w:header="708" w:footer="708" w:gutter="0"/>
          <w:lnNumType w:countBy="1" w:restart="continuous"/>
          <w:cols w:space="708"/>
          <w:docGrid w:linePitch="360"/>
        </w:sectPr>
      </w:pPr>
    </w:p>
    <w:p w14:paraId="41D5A6CB" w14:textId="77777777" w:rsidR="009D568A" w:rsidRDefault="009D568A" w:rsidP="009D568A">
      <w:pPr>
        <w:pStyle w:val="Heading2"/>
      </w:pPr>
      <w:r>
        <w:lastRenderedPageBreak/>
        <w:t>References</w:t>
      </w:r>
    </w:p>
    <w:p w14:paraId="2B380C90" w14:textId="77777777" w:rsidR="0006262D" w:rsidRPr="0006262D" w:rsidRDefault="0006262D" w:rsidP="0006262D"/>
    <w:p w14:paraId="1FA243C9" w14:textId="77777777" w:rsidR="007C0176" w:rsidRDefault="00FC138A" w:rsidP="00FA7364">
      <w:pPr>
        <w:pStyle w:val="Bibliography"/>
      </w:pPr>
      <w:r>
        <w:fldChar w:fldCharType="begin"/>
      </w:r>
      <w:r w:rsidR="00C33409">
        <w:instrText xml:space="preserve"> ADDIN ZOTERO_BIBL {"uncited":[],"omitted":[],"custom":[]} CSL_BIBLIOGRAPHY </w:instrText>
      </w:r>
      <w:r>
        <w:fldChar w:fldCharType="separate"/>
      </w:r>
      <w:r w:rsidR="007C0176">
        <w:t xml:space="preserve">1. </w:t>
      </w:r>
      <w:r w:rsidR="007C0176">
        <w:tab/>
        <w:t>Pitman RJ, Melegaro A, Gelb D, Siddiqui MR, Gay NJ, Edmunds WJ. Assessing the burden of influenza and other respiratory infections in England and Wales. J Infect. 2007;54: 530–538. doi:10.1016/j.jinf.2006.09.017</w:t>
      </w:r>
    </w:p>
    <w:p w14:paraId="2F0F2779" w14:textId="77777777" w:rsidR="007C0176" w:rsidRDefault="007C0176" w:rsidP="00FA7364">
      <w:pPr>
        <w:pStyle w:val="Bibliography"/>
      </w:pPr>
      <w:r>
        <w:t xml:space="preserve">2. </w:t>
      </w:r>
      <w:r>
        <w:tab/>
        <w:t>Cromer D, van Hoek AJ, Jit M, Edmunds WJ, Fleming D, Miller E. The burden of influenza in England by age and clinical risk group: A statistical analysis to inform vaccine policy. J Infect. 2014;68: 363–371. doi:10.1016/j.jinf.2013.11.013</w:t>
      </w:r>
    </w:p>
    <w:p w14:paraId="736A224C" w14:textId="77777777" w:rsidR="007C0176" w:rsidRDefault="007C0176" w:rsidP="00FA7364">
      <w:pPr>
        <w:pStyle w:val="Bibliography"/>
      </w:pPr>
      <w:r>
        <w:t xml:space="preserve">3. </w:t>
      </w:r>
      <w:r>
        <w:tab/>
        <w:t>Fleming DM, Taylor RJ, Haguinet F, Schuck-Paim C, Logie J, Webb DJ, et al. Influenza-attributable burden in United Kingdom primary care. Epidemiol Infect. 2015; 1–11. doi:10.1017/S0950268815001119</w:t>
      </w:r>
    </w:p>
    <w:p w14:paraId="49B2B98A" w14:textId="77777777" w:rsidR="007C0176" w:rsidRDefault="007C0176" w:rsidP="00FA7364">
      <w:pPr>
        <w:pStyle w:val="Bibliography"/>
      </w:pPr>
      <w:r>
        <w:t xml:space="preserve">4. </w:t>
      </w:r>
      <w:r>
        <w:tab/>
        <w:t xml:space="preserve">Meier CR, Napalkov PN, Wegmüller Y, Jefferson T, Jick H. Population-based study on incidence, risk factors, clinical complications and drug utilisation associated with influenza in the United Kingdom. Eur J Clin Microbiol Infect Dis Off Publ Eur Soc Clin Microbiol. 2000;19: 834–842. </w:t>
      </w:r>
    </w:p>
    <w:p w14:paraId="6884CDC1" w14:textId="77777777" w:rsidR="007C0176" w:rsidRDefault="007C0176" w:rsidP="00FA7364">
      <w:pPr>
        <w:pStyle w:val="Bibliography"/>
      </w:pPr>
      <w:r>
        <w:t xml:space="preserve">5. </w:t>
      </w:r>
      <w:r>
        <w:tab/>
        <w:t>Pockett RD, Watkins J, McEwan P, Meier G. Burden of Illness in UK Subjects with Reported Respiratory Infections Vaccinated or Unvaccinated against Influenza: A Retrospective Observational Study. PloS One. 2015;10: e0134928. doi:10.1371/journal.pone.0134928</w:t>
      </w:r>
    </w:p>
    <w:p w14:paraId="49D65129" w14:textId="77777777" w:rsidR="007C0176" w:rsidRDefault="007C0176" w:rsidP="00FA7364">
      <w:pPr>
        <w:pStyle w:val="Bibliography"/>
      </w:pPr>
      <w:r>
        <w:t xml:space="preserve">6. </w:t>
      </w:r>
      <w:r>
        <w:tab/>
        <w:t xml:space="preserve">Glezen WP, Greenberg SB, Atmar RL, Piedra PA, Couch RB. Impact of respiratory virus infections on persons with chronic underlying conditions. JAMA. 2000;283: 499–505. </w:t>
      </w:r>
    </w:p>
    <w:p w14:paraId="3DF468E3" w14:textId="77777777" w:rsidR="007C0176" w:rsidRDefault="007C0176" w:rsidP="00FA7364">
      <w:pPr>
        <w:pStyle w:val="Bibliography"/>
      </w:pPr>
      <w:r>
        <w:t xml:space="preserve">7. </w:t>
      </w:r>
      <w:r>
        <w:tab/>
        <w:t>Balasegaram S, Ogilvie F, Glasswell A, Anderson C, Cleary V, Turbitt D, et al. Patterns of early transmission of pandemic influenza in London - link with deprivation. Influenza Other Respir Viruses. 2012;6: e35-41. doi:10.1111/j.1750-2659.2011.00327.x</w:t>
      </w:r>
    </w:p>
    <w:p w14:paraId="6468A1E2" w14:textId="77777777" w:rsidR="007C0176" w:rsidRDefault="007C0176" w:rsidP="00FA7364">
      <w:pPr>
        <w:pStyle w:val="Bibliography"/>
      </w:pPr>
      <w:r>
        <w:t xml:space="preserve">8. </w:t>
      </w:r>
      <w:r>
        <w:tab/>
        <w:t xml:space="preserve">Hawker JI, Olowokure B, Sufi F, Weinberg J, Gill N, Wilson RC. Social deprivation and hospital admission for respiratory infection: an ecological study. Respir Med. 2003;97: 1219–1224. </w:t>
      </w:r>
    </w:p>
    <w:p w14:paraId="1D1737A4" w14:textId="77777777" w:rsidR="007C0176" w:rsidRDefault="007C0176" w:rsidP="00FA7364">
      <w:pPr>
        <w:pStyle w:val="Bibliography"/>
      </w:pPr>
      <w:r>
        <w:t xml:space="preserve">9. </w:t>
      </w:r>
      <w:r>
        <w:tab/>
        <w:t>Rutter PD, Mytton OT, Mak M, Donaldson LJ. Socio-economic disparities in mortality due to pandemic influenza in England. Int J Public Health. 2012;57: 745–750. doi:10.1007/s00038-012-0337-1</w:t>
      </w:r>
    </w:p>
    <w:p w14:paraId="1EBE4E92" w14:textId="77777777" w:rsidR="007C0176" w:rsidRDefault="007C0176" w:rsidP="00FA7364">
      <w:pPr>
        <w:pStyle w:val="Bibliography"/>
      </w:pPr>
      <w:r>
        <w:t xml:space="preserve">10. </w:t>
      </w:r>
      <w:r>
        <w:tab/>
        <w:t>Joint Committee on Vaccination and Immunisation. JCVI statement on the routine annual influenza vaccination programme - extension of the programme to children [Internet]. Department of Health; 2013 Jul pp. 1–6. Available: https://www.gov.uk/government/publications/jcvi-statement-on-the-routine-annual-influenza-vaccination-programme</w:t>
      </w:r>
    </w:p>
    <w:p w14:paraId="05D8EF2A" w14:textId="77777777" w:rsidR="007C0176" w:rsidRDefault="007C0176" w:rsidP="00FA7364">
      <w:pPr>
        <w:pStyle w:val="Bibliography"/>
      </w:pPr>
      <w:r>
        <w:t xml:space="preserve">11. </w:t>
      </w:r>
      <w:r>
        <w:tab/>
        <w:t>Public Health England. Seasonal influenza vaccine uptake amongst GP Patients in England: winter season 2016 to 2017 [Internet]. London, England: Public Health England; 2017 Nov. Available: https://www.gov.uk/government/statistics/seasonal-flu-vaccine-uptake-in-gp-patients-in-england-winter-season-2016-to-2017</w:t>
      </w:r>
    </w:p>
    <w:p w14:paraId="6E5BD39B" w14:textId="77777777" w:rsidR="007C0176" w:rsidRDefault="007C0176" w:rsidP="00FA7364">
      <w:pPr>
        <w:pStyle w:val="Bibliography"/>
      </w:pPr>
      <w:r>
        <w:t xml:space="preserve">12. </w:t>
      </w:r>
      <w:r>
        <w:tab/>
        <w:t>Public Health England. Seasonal flu vaccine uptake in children of primary school age: winter season 2016 to 2017 [Internet]. London, England: Public Health England; 2017 Nov. Available: https://www.gov.uk/government/statistics/seasonal-flu-vaccine-uptake-in-children-of-primary-school-age-winter-season-2016-to-2017</w:t>
      </w:r>
    </w:p>
    <w:p w14:paraId="53D1C7BC" w14:textId="77777777" w:rsidR="007C0176" w:rsidRDefault="007C0176" w:rsidP="00FA7364">
      <w:pPr>
        <w:pStyle w:val="Bibliography"/>
      </w:pPr>
      <w:r>
        <w:lastRenderedPageBreak/>
        <w:t xml:space="preserve">13. </w:t>
      </w:r>
      <w:r>
        <w:tab/>
        <w:t>Public Health England. Who we are and what we do: Annual Plan 2015/16 [Internet]. London: Public Health England; 2015 Jul pp. 1–14. Available: https://www.gov.uk/government/uploads/system/uploads/attachment_data/file/452328/Annual_plan_2015-_Aug7-web.pdf</w:t>
      </w:r>
    </w:p>
    <w:p w14:paraId="31E85CD3" w14:textId="77777777" w:rsidR="007C0176" w:rsidRDefault="007C0176" w:rsidP="00FA7364">
      <w:pPr>
        <w:pStyle w:val="Bibliography"/>
      </w:pPr>
      <w:r>
        <w:t xml:space="preserve">14. </w:t>
      </w:r>
      <w:r>
        <w:tab/>
        <w:t>Hungerford D, Macpherson P, Farmer S, Ghebrehewet S, Seddon D, Vivancos R, et al. Effect of socioeconomic deprivation on uptake of measles, mumps and rubella vaccination in Liverpool, UK over 16 years: a longitudinal ecological study. Epidemiol Infect. 2015; 1–11. doi:10.1017/S0950268815002599</w:t>
      </w:r>
    </w:p>
    <w:p w14:paraId="3A3DE936" w14:textId="77777777" w:rsidR="007C0176" w:rsidRDefault="007C0176" w:rsidP="00FA7364">
      <w:pPr>
        <w:pStyle w:val="Bibliography"/>
      </w:pPr>
      <w:r>
        <w:t xml:space="preserve">15. </w:t>
      </w:r>
      <w:r>
        <w:tab/>
        <w:t>Green HK, Andrews N, Letley L, Sunderland A, White J, Pebody R. Phased introduction of a universal childhood influenza vaccination programme in England: population-level factors predicting variation in national uptake during the first year, 2013/14. Vaccine. 2015;33: 2620–2628. doi:10.1016/j.vaccine.2015.03.049</w:t>
      </w:r>
    </w:p>
    <w:p w14:paraId="74289F4B" w14:textId="77777777" w:rsidR="007C0176" w:rsidRDefault="007C0176" w:rsidP="00FA7364">
      <w:pPr>
        <w:pStyle w:val="Bibliography"/>
      </w:pPr>
      <w:r>
        <w:t xml:space="preserve">16. </w:t>
      </w:r>
      <w:r>
        <w:tab/>
        <w:t>Spencer AM, Roberts SA, Brabin L, Patnick J, Verma A. Sociodemographic factors predicting mother’s cervical screening and daughter’s HPV vaccination uptake. J Epidemiol Community Health. 2014;68: 571–577. doi:10.1136/jech-2013-202629</w:t>
      </w:r>
    </w:p>
    <w:p w14:paraId="557408EA" w14:textId="77777777" w:rsidR="007C0176" w:rsidRDefault="007C0176" w:rsidP="00FA7364">
      <w:pPr>
        <w:pStyle w:val="Bibliography"/>
      </w:pPr>
      <w:r>
        <w:t xml:space="preserve">17. </w:t>
      </w:r>
      <w:r>
        <w:tab/>
        <w:t>Baguelin M, Flasche S, Camacho A, Demiris N, Miller E, Edmunds WJ. Assessing Optimal Target Populations for Influenza Vaccination Programmes: An Evidence Synthesis and Modelling Study. PLoS Med. 2013;10: e1001527. doi:10.1371/journal.pmed.1001527</w:t>
      </w:r>
    </w:p>
    <w:p w14:paraId="5F86DED5" w14:textId="77777777" w:rsidR="007C0176" w:rsidRDefault="007C0176" w:rsidP="00FA7364">
      <w:pPr>
        <w:pStyle w:val="Bibliography"/>
      </w:pPr>
      <w:r>
        <w:t xml:space="preserve">18. </w:t>
      </w:r>
      <w:r>
        <w:tab/>
        <w:t>Baguelin M, Hoek AJV, Jit M, Flasche S, White PJ, Edmunds WJ. Vaccination against pandemic influenza A/H1N1v in England: a real-time economic evaluation. Vaccine. 2010;28: 2370–2384. doi:10.1016/j.vaccine.2010.01.002</w:t>
      </w:r>
    </w:p>
    <w:p w14:paraId="541F8BD0" w14:textId="77777777" w:rsidR="007C0176" w:rsidRDefault="007C0176" w:rsidP="00FA7364">
      <w:pPr>
        <w:pStyle w:val="Bibliography"/>
      </w:pPr>
      <w:r>
        <w:t xml:space="preserve">19. </w:t>
      </w:r>
      <w:r>
        <w:tab/>
        <w:t>Hiscock R, Bauld L, Amos A, Platt S. Smoking and socioeconomic status in England: the rise of the never smoker and the disadvantaged smoker. J Public Health Oxf Engl. 2012;34: 390–396. doi:10.1093/pubmed/fds012</w:t>
      </w:r>
    </w:p>
    <w:p w14:paraId="59437CC2" w14:textId="77777777" w:rsidR="007C0176" w:rsidRDefault="007C0176" w:rsidP="00FA7364">
      <w:pPr>
        <w:pStyle w:val="Bibliography"/>
      </w:pPr>
      <w:r>
        <w:t xml:space="preserve">20. </w:t>
      </w:r>
      <w:r>
        <w:tab/>
        <w:t>Newton JN, Briggs ADM, Murray CJL, Dicker D, Foreman KJ, Wang H, et al. Changes in health in England, with analysis by English regions and areas of deprivation, 1990-2013: a systematic analysis for the Global Burden of Disease Study 2013. Lancet Lond Engl. 2015;386: 2257–2274. doi:10.1016/S0140-6736(15)00195-6</w:t>
      </w:r>
    </w:p>
    <w:p w14:paraId="0D160249" w14:textId="77777777" w:rsidR="007C0176" w:rsidRDefault="007C0176" w:rsidP="00FA7364">
      <w:pPr>
        <w:pStyle w:val="Bibliography"/>
      </w:pPr>
      <w:r>
        <w:t xml:space="preserve">21. </w:t>
      </w:r>
      <w:r>
        <w:tab/>
        <w:t>Office for National Statistics. Lower Super Output Area Mid-Year Population Estimates [Internet]. 26 Oct 2016 [cited 5 Jul 2017]. Available: https://www.ons.gov.uk/peoplepopulationandcommunity/populationandmigration/populationestimates/datasets/lowersuperoutputareamidyearpopulationestimates</w:t>
      </w:r>
    </w:p>
    <w:p w14:paraId="20625BE6" w14:textId="77777777" w:rsidR="007C0176" w:rsidRDefault="007C0176" w:rsidP="00FA7364">
      <w:pPr>
        <w:pStyle w:val="Bibliography"/>
      </w:pPr>
      <w:r>
        <w:t xml:space="preserve">22. </w:t>
      </w:r>
      <w:r>
        <w:tab/>
        <w:t>Department for Communities and Local Government. English indices of deprivation 2015 [Internet]. London, England: Department for Communities and Local Government; 2015 Sep. Available: https://www.gov.uk/government/statistics/english-indices-of-deprivation-2015</w:t>
      </w:r>
    </w:p>
    <w:p w14:paraId="786C54ED" w14:textId="77777777" w:rsidR="007C0176" w:rsidRDefault="007C0176" w:rsidP="00FA7364">
      <w:pPr>
        <w:pStyle w:val="Bibliography"/>
      </w:pPr>
      <w:r>
        <w:t xml:space="preserve">23. </w:t>
      </w:r>
      <w:r>
        <w:tab/>
        <w:t>Atkins K, Hoek AJ van, Watson C, Baguelin M, Choga L, Patel A, et al. Seasonal influenza vaccination delivery through community pharmacists in England: evaluation of the London pilot. BMJ Open. 2016;6: e009739. doi:10.1136/bmjopen-2015-009739</w:t>
      </w:r>
    </w:p>
    <w:p w14:paraId="6F030826" w14:textId="77777777" w:rsidR="007C0176" w:rsidRDefault="007C0176" w:rsidP="00FA7364">
      <w:pPr>
        <w:pStyle w:val="Bibliography"/>
      </w:pPr>
      <w:r>
        <w:t xml:space="preserve">24. </w:t>
      </w:r>
      <w:r>
        <w:tab/>
        <w:t>Moore HC, Lehmann D, Klerk N de, Smith DW, Richmond PC, Keil AD, et al. How Accurate Are International Classification of Diseases-10 Diagnosis Codes in Detecting Influenza and Pertussis Hospitalizations in Children? J Pediatr Infect Dis Soc. 2014;3: 255–260. doi:10.1093/jpids/pit036</w:t>
      </w:r>
    </w:p>
    <w:p w14:paraId="625C83FA" w14:textId="77777777" w:rsidR="007C0176" w:rsidRDefault="007C0176" w:rsidP="00FA7364">
      <w:pPr>
        <w:pStyle w:val="Bibliography"/>
      </w:pPr>
      <w:r>
        <w:lastRenderedPageBreak/>
        <w:t xml:space="preserve">25. </w:t>
      </w:r>
      <w:r>
        <w:tab/>
        <w:t>Moore K, Black J, Rowe S, Franklin L. Syndromic surveillance for influenza in two hospital emergency departments. Relationships between ICD-10 codes and notified cases, before and during a pandemic. BMC Public Health. 2011;11: 338. doi:10.1186/1471-2458-11-338</w:t>
      </w:r>
    </w:p>
    <w:p w14:paraId="123FF680" w14:textId="77777777" w:rsidR="007C0176" w:rsidRDefault="007C0176" w:rsidP="00FA7364">
      <w:pPr>
        <w:pStyle w:val="Bibliography"/>
      </w:pPr>
      <w:r>
        <w:t xml:space="preserve">26. </w:t>
      </w:r>
      <w:r>
        <w:tab/>
        <w:t>Buda S, Tolksdorf K, Schuler E, Kuhlen R, Haas W. Establishing an ICD-10 code based SARI-surveillance in Germany - description of the system and first results from five recent influenza seasons. BMC Public Health. 2017;17: 612. doi:10.1186/s12889-017-4515-1</w:t>
      </w:r>
    </w:p>
    <w:p w14:paraId="3AE03676" w14:textId="77777777" w:rsidR="007C0176" w:rsidRDefault="007C0176" w:rsidP="00FA7364">
      <w:pPr>
        <w:pStyle w:val="Bibliography"/>
      </w:pPr>
      <w:r>
        <w:t xml:space="preserve">27. </w:t>
      </w:r>
      <w:r>
        <w:tab/>
        <w:t>Public Health England. Flu plan: winter 2016 to 2017 [Internet]. London, England: Public Health England; 2017 May. Available: https://www.gov.uk/government/publications/flu-plan-winter-2016-to-2017</w:t>
      </w:r>
    </w:p>
    <w:p w14:paraId="46961BEB" w14:textId="77777777" w:rsidR="007C0176" w:rsidRDefault="007C0176" w:rsidP="00FA7364">
      <w:pPr>
        <w:pStyle w:val="Bibliography"/>
      </w:pPr>
      <w:r>
        <w:t xml:space="preserve">28. </w:t>
      </w:r>
      <w:r>
        <w:tab/>
        <w:t>Papke LE, Wooldridge JM. Econometric methods for fractional response variables with an application to 401(k) plan participation rates. J Appl Econom. 1996;11: 619–632. doi:10.1002/(SICI)1099-1255(199611)11:6&lt;619::AID-JAE418&gt;3.0.CO;2-1</w:t>
      </w:r>
    </w:p>
    <w:p w14:paraId="07B9D20D" w14:textId="77777777" w:rsidR="007C0176" w:rsidRDefault="007C0176" w:rsidP="00FA7364">
      <w:pPr>
        <w:pStyle w:val="Bibliography"/>
      </w:pPr>
      <w:r>
        <w:t xml:space="preserve">29. </w:t>
      </w:r>
      <w:r>
        <w:tab/>
        <w:t>R Core Team. R: A Language and Environment for Statistical Computing [Internet]. Vienna, Austria: R Foundation for Statistical Computing; 2016. Available: http://www.R-project.org</w:t>
      </w:r>
    </w:p>
    <w:p w14:paraId="7EBC01BA" w14:textId="77777777" w:rsidR="007C0176" w:rsidRDefault="007C0176" w:rsidP="00FA7364">
      <w:pPr>
        <w:pStyle w:val="Bibliography"/>
      </w:pPr>
      <w:r>
        <w:t xml:space="preserve">30. </w:t>
      </w:r>
      <w:r>
        <w:tab/>
        <w:t>Charland KM, Brownstein JS, Verma A, Brien S, Buckeridge DL. Socio-economic disparities in the burden of seasonal influenza: the effect of social and material deprivation on rates of influenza infection. PloS One PLoS ONE. 2011;6, 6: e17207–e17207. doi:10.1371/journal.pone.0017207, 10.1371/journal.pone.0017207</w:t>
      </w:r>
    </w:p>
    <w:p w14:paraId="0D9B47F1" w14:textId="77777777" w:rsidR="007C0176" w:rsidRDefault="007C0176" w:rsidP="00FA7364">
      <w:pPr>
        <w:pStyle w:val="Bibliography"/>
      </w:pPr>
      <w:r>
        <w:t xml:space="preserve">31. </w:t>
      </w:r>
      <w:r>
        <w:tab/>
        <w:t>Hyder A, Leung B. Social deprivation and burden of influenza: Testing hypotheses and gaining insights from a simulation model for the spread of influenza. Epidemics. 2015;11: 71–79. doi:10.1016/j.epidem.2015.03.004</w:t>
      </w:r>
    </w:p>
    <w:p w14:paraId="19239656" w14:textId="77777777" w:rsidR="007C0176" w:rsidRDefault="007C0176" w:rsidP="00FA7364">
      <w:pPr>
        <w:pStyle w:val="Bibliography"/>
      </w:pPr>
      <w:r>
        <w:t xml:space="preserve">32. </w:t>
      </w:r>
      <w:r>
        <w:tab/>
        <w:t>Wickham S, Anwar E, Barr B, Law C, Taylor-Robinson D. Poverty and child health in the UK: using evidence for action. Arch Dis Child. 2016;101: 759. doi:10.1136/archdischild-2014-306746</w:t>
      </w:r>
    </w:p>
    <w:p w14:paraId="054B140C" w14:textId="77777777" w:rsidR="007C0176" w:rsidRDefault="007C0176" w:rsidP="00FA7364">
      <w:pPr>
        <w:pStyle w:val="Bibliography"/>
      </w:pPr>
      <w:r>
        <w:t xml:space="preserve">33. </w:t>
      </w:r>
      <w:r>
        <w:tab/>
        <w:t>Falagas ME, Koletsi PK, Baskouta E, Rafailidis PI, Dimopoulos G, Karageorgopoulos DE. Pandemic A(H1N1) 2009 influenza: review of the Southern Hemisphere experience. Epidemiol Infect. 2011;139: 27–40. doi:10.1017/S0950268810002037</w:t>
      </w:r>
    </w:p>
    <w:p w14:paraId="2C4CC9AE" w14:textId="77777777" w:rsidR="007C0176" w:rsidRDefault="007C0176" w:rsidP="00FA7364">
      <w:pPr>
        <w:pStyle w:val="Bibliography"/>
      </w:pPr>
      <w:r>
        <w:t xml:space="preserve">34. </w:t>
      </w:r>
      <w:r>
        <w:tab/>
        <w:t xml:space="preserve">Cornford CS, Morgan M. Elderly people’s beliefs about influenza vaccination. Br J Gen Pract J R Coll Gen Pract. 1999;49: 281–284. </w:t>
      </w:r>
    </w:p>
    <w:p w14:paraId="18E1F054" w14:textId="77777777" w:rsidR="007C0176" w:rsidRDefault="007C0176" w:rsidP="00FA7364">
      <w:pPr>
        <w:pStyle w:val="Bibliography"/>
      </w:pPr>
      <w:r>
        <w:t xml:space="preserve">35. </w:t>
      </w:r>
      <w:r>
        <w:tab/>
        <w:t>Blank PR, Schwenkglenks M, Szucs TD. Disparities in influenza vaccination coverage rates by target group in five European countries: trends over seven consecutive seasons. Infection. 2009;37: 390–400. doi:10.1007/s15010-009-8467-y</w:t>
      </w:r>
    </w:p>
    <w:p w14:paraId="2ECD915F" w14:textId="77777777" w:rsidR="007C0176" w:rsidRDefault="007C0176" w:rsidP="00FA7364">
      <w:pPr>
        <w:pStyle w:val="Bibliography"/>
      </w:pPr>
      <w:r>
        <w:t xml:space="preserve">36. </w:t>
      </w:r>
      <w:r>
        <w:tab/>
        <w:t>Santos AJ, Kislaya I, Machado A, Nunes B. Beliefs and attitudes towards the influenza vaccine in high-risk individuals. Epidemiol Infect. 2017;145: 1786–1796. doi:10.1017/S0950268817000814</w:t>
      </w:r>
    </w:p>
    <w:p w14:paraId="1F4EAE99" w14:textId="77777777" w:rsidR="007C0176" w:rsidRDefault="007C0176" w:rsidP="00FA7364">
      <w:pPr>
        <w:pStyle w:val="Bibliography"/>
      </w:pPr>
      <w:r>
        <w:t xml:space="preserve">37. </w:t>
      </w:r>
      <w:r>
        <w:tab/>
        <w:t>McCullers JA, Van De Velde L-A, Allison KJ, Branum KC, Webby RJ, Flynn PM. Recipients of vaccine against the 1976 “swine flu” have enhanced neutralization responses to the 2009 novel H1N1 influenza virus. Clin Infect Dis Off Publ Infect Dis Soc Am. 2010;50: 1487–1492. doi:10.1086/652441</w:t>
      </w:r>
    </w:p>
    <w:p w14:paraId="288CE931" w14:textId="77777777" w:rsidR="007C0176" w:rsidRDefault="007C0176" w:rsidP="00FA7364">
      <w:pPr>
        <w:pStyle w:val="Bibliography"/>
      </w:pPr>
      <w:r>
        <w:lastRenderedPageBreak/>
        <w:t xml:space="preserve">38. </w:t>
      </w:r>
      <w:r>
        <w:tab/>
        <w:t>Wei C-J, Boyington JC, Dai K, Houser KV, Pearce MB, Kong W-P, et al. Cross-neutralization of 1918 and 2009 influenza viruses: role of glycans in viral evolution and vaccine design. Sci Transl Med. 2010;2: 24ra21. doi:10.1126/scitranslmed.3000799</w:t>
      </w:r>
    </w:p>
    <w:p w14:paraId="40DACCD3" w14:textId="77777777" w:rsidR="007C0176" w:rsidRDefault="007C0176" w:rsidP="00FA7364">
      <w:pPr>
        <w:pStyle w:val="Bibliography"/>
      </w:pPr>
      <w:r>
        <w:t xml:space="preserve">39. </w:t>
      </w:r>
      <w:r>
        <w:tab/>
        <w:t>Bonnie RJ, Stratton K, Kwan LY, Products C on the PHI of R the MA for PT, Practice B on PH and PH, Medicine I of. The Effects of Tobacco Use on Health [Internet]. National Academies Press (US); 2015. Available: https://www.ncbi.nlm.nih.gov/books/NBK310413/</w:t>
      </w:r>
    </w:p>
    <w:p w14:paraId="24F09432" w14:textId="77777777" w:rsidR="007C0176" w:rsidRDefault="007C0176" w:rsidP="00FA7364">
      <w:pPr>
        <w:pStyle w:val="Bibliography"/>
      </w:pPr>
      <w:r>
        <w:t xml:space="preserve">40. </w:t>
      </w:r>
      <w:r>
        <w:tab/>
        <w:t>Health state life expectancies by Index of Multiple Deprivation (IMD) - Office for National Statistics [Internet]. [cited 22 Jan 2018]. Available: https://www.ons.gov.uk/peoplepopulationandcommunity/healthandsocialcare/healthinequalities/bulletins/healthstatelifeexpectanciesbyindexofmultipledeprivationimd/england2013to2015</w:t>
      </w:r>
    </w:p>
    <w:p w14:paraId="3C71F7F7" w14:textId="77777777" w:rsidR="007C0176" w:rsidRDefault="007C0176" w:rsidP="00FA7364">
      <w:pPr>
        <w:pStyle w:val="Bibliography"/>
      </w:pPr>
      <w:r>
        <w:t xml:space="preserve">41. </w:t>
      </w:r>
      <w:r>
        <w:tab/>
        <w:t>Lawson KD, Mercer SW, Wyke S, Grieve E, Guthrie B, Watt GC, et al. Double trouble: the impact of multimorbidity and deprivation on preference-weighted health related quality of life a cross sectional analysis of the Scottish Health Survey. Int J Equity Health. 2013;12: 67. doi:10.1186/1475-9276-12-67</w:t>
      </w:r>
    </w:p>
    <w:p w14:paraId="7B42823D" w14:textId="77777777" w:rsidR="007C0176" w:rsidRDefault="007C0176" w:rsidP="00FA7364">
      <w:pPr>
        <w:pStyle w:val="Bibliography"/>
      </w:pPr>
      <w:r>
        <w:t xml:space="preserve">42. </w:t>
      </w:r>
      <w:r>
        <w:tab/>
        <w:t>Zhang X, Cook PA, Lisboa PJ, Jarman IH, Bellis MA. The effects of deprivation and relative deprivation on self-reported morbidity in England: an area-level ecological study. Int J Health Geogr. 2013;12: 5. doi:10.1186/1476-072X-12-5</w:t>
      </w:r>
    </w:p>
    <w:p w14:paraId="418B5140" w14:textId="77777777" w:rsidR="007C0176" w:rsidRDefault="007C0176" w:rsidP="00FA7364">
      <w:pPr>
        <w:pStyle w:val="Bibliography"/>
      </w:pPr>
      <w:r>
        <w:t xml:space="preserve">43. </w:t>
      </w:r>
      <w:r>
        <w:tab/>
        <w:t>Nagata JM, Hernández-Ramos I, Kurup AS, Albrecht D, Vivas-Torrealba C, Franco-Paredes C. Social determinants of health and seasonal influenza vaccination in adults ≥65 years: a systematic review of qualitative and quantitative data. BMC Public Health. 2013;13: 388. doi:10.1186/1471-2458-13-388</w:t>
      </w:r>
    </w:p>
    <w:p w14:paraId="05967146" w14:textId="1C8286DA" w:rsidR="005C2007" w:rsidRDefault="00FC138A" w:rsidP="00CB64A4">
      <w:r>
        <w:fldChar w:fldCharType="end"/>
      </w:r>
    </w:p>
    <w:p w14:paraId="7C566C84" w14:textId="77777777" w:rsidR="00747D39" w:rsidRDefault="00747D39" w:rsidP="0061069B">
      <w:pPr>
        <w:rPr>
          <w:b/>
          <w:color w:val="5B9BD5" w:themeColor="accent1"/>
        </w:rPr>
        <w:sectPr w:rsidR="00747D39" w:rsidSect="00CB64A4">
          <w:pgSz w:w="11894" w:h="16834"/>
          <w:pgMar w:top="1440" w:right="1440" w:bottom="1440" w:left="1440" w:header="720" w:footer="720" w:gutter="0"/>
          <w:cols w:space="720"/>
          <w:docGrid w:linePitch="360"/>
        </w:sectPr>
      </w:pPr>
    </w:p>
    <w:p w14:paraId="23012272" w14:textId="11CF32D5" w:rsidR="006406D7" w:rsidRDefault="00EC3307" w:rsidP="00A27893">
      <w:pPr>
        <w:rPr>
          <w:b/>
          <w:color w:val="5B9BD5" w:themeColor="accent1"/>
        </w:rPr>
      </w:pPr>
      <w:r>
        <w:rPr>
          <w:b/>
          <w:noProof/>
          <w:color w:val="5B9BD5" w:themeColor="accent1"/>
          <w:sz w:val="24"/>
          <w:lang w:eastAsia="en-GB"/>
        </w:rPr>
        <w:lastRenderedPageBreak/>
        <w:drawing>
          <wp:inline distT="0" distB="0" distL="0" distR="0" wp14:anchorId="54DDD272" wp14:editId="3A1659D5">
            <wp:extent cx="5401056" cy="720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56" cy="7200900"/>
                    </a:xfrm>
                    <a:prstGeom prst="rect">
                      <a:avLst/>
                    </a:prstGeom>
                  </pic:spPr>
                </pic:pic>
              </a:graphicData>
            </a:graphic>
          </wp:inline>
        </w:drawing>
      </w:r>
      <w:r w:rsidR="00A27893" w:rsidRPr="00BA626A">
        <w:rPr>
          <w:b/>
          <w:color w:val="5B9BD5" w:themeColor="accent1"/>
          <w:sz w:val="24"/>
        </w:rPr>
        <w:t xml:space="preserve">Figure </w:t>
      </w:r>
      <w:r w:rsidR="00636C5A" w:rsidRPr="00BA626A">
        <w:rPr>
          <w:b/>
          <w:color w:val="5B9BD5" w:themeColor="accent1"/>
          <w:sz w:val="24"/>
        </w:rPr>
        <w:t>1</w:t>
      </w:r>
      <w:r w:rsidR="00A27893" w:rsidRPr="00BA626A">
        <w:rPr>
          <w:b/>
          <w:color w:val="5B9BD5" w:themeColor="accent1"/>
          <w:sz w:val="24"/>
        </w:rPr>
        <w:t>.</w:t>
      </w:r>
      <w:r w:rsidR="00A27893" w:rsidRPr="00BA626A">
        <w:rPr>
          <w:sz w:val="24"/>
        </w:rPr>
        <w:t xml:space="preserve"> Number of </w:t>
      </w:r>
      <w:r w:rsidR="008900FF">
        <w:rPr>
          <w:sz w:val="24"/>
        </w:rPr>
        <w:t>hospitalis</w:t>
      </w:r>
      <w:r w:rsidR="00A27893" w:rsidRPr="00BA626A">
        <w:rPr>
          <w:sz w:val="24"/>
        </w:rPr>
        <w:t>ations for IAI by Merseyside residents, 5 week moving average 2004/05-2015/16, by age-groups</w:t>
      </w:r>
      <w:r w:rsidR="00BA626A" w:rsidRPr="00BA626A">
        <w:rPr>
          <w:sz w:val="24"/>
        </w:rPr>
        <w:t xml:space="preserve">. </w:t>
      </w:r>
      <w:r w:rsidR="00BA626A">
        <w:rPr>
          <w:sz w:val="18"/>
          <w:szCs w:val="18"/>
        </w:rPr>
        <w:t>m:</w:t>
      </w:r>
      <w:r w:rsidR="00BA626A" w:rsidRPr="00BA626A">
        <w:rPr>
          <w:sz w:val="18"/>
          <w:szCs w:val="18"/>
        </w:rPr>
        <w:t xml:space="preserve"> months; y</w:t>
      </w:r>
      <w:r w:rsidR="00BA626A">
        <w:rPr>
          <w:sz w:val="18"/>
          <w:szCs w:val="18"/>
        </w:rPr>
        <w:t>:</w:t>
      </w:r>
      <w:r w:rsidR="00BA626A" w:rsidRPr="00BA626A">
        <w:rPr>
          <w:sz w:val="18"/>
          <w:szCs w:val="18"/>
        </w:rPr>
        <w:t xml:space="preserve"> years</w:t>
      </w:r>
    </w:p>
    <w:p w14:paraId="7C4C38B4" w14:textId="212B2FC7" w:rsidR="00A27893" w:rsidRPr="00D14E4C" w:rsidRDefault="00EC3307" w:rsidP="00A27893">
      <w:pPr>
        <w:rPr>
          <w:sz w:val="24"/>
          <w:szCs w:val="24"/>
        </w:rPr>
      </w:pPr>
      <w:r>
        <w:rPr>
          <w:b/>
          <w:noProof/>
          <w:color w:val="5B9BD5" w:themeColor="accent1"/>
          <w:sz w:val="24"/>
          <w:szCs w:val="24"/>
          <w:lang w:eastAsia="en-GB"/>
        </w:rPr>
        <w:lastRenderedPageBreak/>
        <w:drawing>
          <wp:inline distT="0" distB="0" distL="0" distR="0" wp14:anchorId="10D4A968" wp14:editId="7694C446">
            <wp:extent cx="5184648" cy="6480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4648" cy="6480048"/>
                    </a:xfrm>
                    <a:prstGeom prst="rect">
                      <a:avLst/>
                    </a:prstGeom>
                  </pic:spPr>
                </pic:pic>
              </a:graphicData>
            </a:graphic>
          </wp:inline>
        </w:drawing>
      </w:r>
      <w:r w:rsidR="00A27893" w:rsidRPr="00D14E4C">
        <w:rPr>
          <w:b/>
          <w:color w:val="5B9BD5" w:themeColor="accent1"/>
          <w:sz w:val="24"/>
          <w:szCs w:val="24"/>
        </w:rPr>
        <w:t xml:space="preserve">Figure </w:t>
      </w:r>
      <w:r w:rsidR="00636C5A" w:rsidRPr="00D14E4C">
        <w:rPr>
          <w:b/>
          <w:color w:val="5B9BD5" w:themeColor="accent1"/>
          <w:sz w:val="24"/>
          <w:szCs w:val="24"/>
        </w:rPr>
        <w:t>2</w:t>
      </w:r>
      <w:r w:rsidR="00A27893" w:rsidRPr="00D14E4C">
        <w:rPr>
          <w:b/>
          <w:color w:val="5B9BD5" w:themeColor="accent1"/>
          <w:sz w:val="24"/>
          <w:szCs w:val="24"/>
        </w:rPr>
        <w:t>.</w:t>
      </w:r>
      <w:r w:rsidR="00A27893" w:rsidRPr="00D14E4C">
        <w:rPr>
          <w:color w:val="5B9BD5" w:themeColor="accent1"/>
          <w:sz w:val="24"/>
          <w:szCs w:val="24"/>
        </w:rPr>
        <w:t xml:space="preserve"> </w:t>
      </w:r>
      <w:r w:rsidR="00A27893" w:rsidRPr="00D14E4C">
        <w:rPr>
          <w:sz w:val="24"/>
          <w:szCs w:val="24"/>
        </w:rPr>
        <w:t>Incidence</w:t>
      </w:r>
      <w:r w:rsidR="00A27893" w:rsidRPr="00D14E4C">
        <w:rPr>
          <w:color w:val="5B9BD5" w:themeColor="accent1"/>
          <w:sz w:val="24"/>
          <w:szCs w:val="24"/>
        </w:rPr>
        <w:t xml:space="preserve"> </w:t>
      </w:r>
      <w:r w:rsidR="00A27893" w:rsidRPr="00D14E4C">
        <w:rPr>
          <w:sz w:val="24"/>
          <w:szCs w:val="24"/>
        </w:rPr>
        <w:t xml:space="preserve">rate ratios of IAI </w:t>
      </w:r>
      <w:r w:rsidR="008900FF">
        <w:rPr>
          <w:sz w:val="24"/>
          <w:szCs w:val="24"/>
        </w:rPr>
        <w:t>hospitalis</w:t>
      </w:r>
      <w:r w:rsidR="00A27893" w:rsidRPr="00D14E4C">
        <w:rPr>
          <w:sz w:val="24"/>
          <w:szCs w:val="24"/>
        </w:rPr>
        <w:t xml:space="preserve">ation rate for </w:t>
      </w:r>
      <w:r w:rsidR="00666BFE" w:rsidRPr="00D14E4C">
        <w:rPr>
          <w:sz w:val="24"/>
          <w:szCs w:val="24"/>
        </w:rPr>
        <w:t>I</w:t>
      </w:r>
      <w:r w:rsidR="00E90D0B" w:rsidRPr="00D14E4C">
        <w:rPr>
          <w:sz w:val="24"/>
          <w:szCs w:val="24"/>
        </w:rPr>
        <w:t xml:space="preserve">ndex of </w:t>
      </w:r>
      <w:r w:rsidR="00666BFE" w:rsidRPr="00D14E4C">
        <w:rPr>
          <w:sz w:val="24"/>
          <w:szCs w:val="24"/>
        </w:rPr>
        <w:t>M</w:t>
      </w:r>
      <w:r w:rsidR="00E90D0B" w:rsidRPr="00D14E4C">
        <w:rPr>
          <w:sz w:val="24"/>
          <w:szCs w:val="24"/>
        </w:rPr>
        <w:t xml:space="preserve">ultiple </w:t>
      </w:r>
      <w:r w:rsidR="00666BFE" w:rsidRPr="00D14E4C">
        <w:rPr>
          <w:sz w:val="24"/>
          <w:szCs w:val="24"/>
        </w:rPr>
        <w:t>D</w:t>
      </w:r>
      <w:r w:rsidR="00E90D0B" w:rsidRPr="00D14E4C">
        <w:rPr>
          <w:sz w:val="24"/>
          <w:szCs w:val="24"/>
        </w:rPr>
        <w:t>eprivation</w:t>
      </w:r>
      <w:r w:rsidR="00666BFE" w:rsidRPr="00D14E4C">
        <w:rPr>
          <w:sz w:val="24"/>
          <w:szCs w:val="24"/>
        </w:rPr>
        <w:t xml:space="preserve"> </w:t>
      </w:r>
      <w:r w:rsidR="00A27893" w:rsidRPr="00D14E4C">
        <w:rPr>
          <w:sz w:val="24"/>
          <w:szCs w:val="24"/>
        </w:rPr>
        <w:t xml:space="preserve">quintiles 1 (most deprived)-4 compared to a reference group of the least deprived quintile (5) </w:t>
      </w:r>
      <w:r w:rsidR="00D14E4C">
        <w:rPr>
          <w:sz w:val="24"/>
          <w:szCs w:val="24"/>
        </w:rPr>
        <w:t>by age group</w:t>
      </w:r>
    </w:p>
    <w:p w14:paraId="64B483E9" w14:textId="52623EB7" w:rsidR="00A27893" w:rsidRPr="00A27893" w:rsidRDefault="00A27893" w:rsidP="00E90D0B">
      <w:pPr>
        <w:rPr>
          <w:sz w:val="24"/>
          <w:szCs w:val="24"/>
          <w:lang w:val="en-US"/>
        </w:rPr>
      </w:pPr>
      <w:r w:rsidRPr="00A27893">
        <w:rPr>
          <w:sz w:val="18"/>
        </w:rPr>
        <w:t xml:space="preserve">Rate ratios for IAI </w:t>
      </w:r>
      <w:r w:rsidR="008900FF">
        <w:rPr>
          <w:sz w:val="18"/>
        </w:rPr>
        <w:t>hospitalis</w:t>
      </w:r>
      <w:r w:rsidRPr="00A27893">
        <w:rPr>
          <w:sz w:val="18"/>
        </w:rPr>
        <w:t>ed incidence rates were estimated with negative binomial regression</w:t>
      </w:r>
      <w:r w:rsidR="00810689">
        <w:rPr>
          <w:sz w:val="18"/>
        </w:rPr>
        <w:t xml:space="preserve"> stratified by age group</w:t>
      </w:r>
      <w:r w:rsidR="00344028">
        <w:rPr>
          <w:sz w:val="18"/>
        </w:rPr>
        <w:t>.</w:t>
      </w:r>
      <w:r w:rsidRPr="00A27893">
        <w:rPr>
          <w:sz w:val="18"/>
        </w:rPr>
        <w:t xml:space="preserve"> Model</w:t>
      </w:r>
      <w:r w:rsidR="00FC0835">
        <w:rPr>
          <w:sz w:val="18"/>
        </w:rPr>
        <w:t>s</w:t>
      </w:r>
      <w:r w:rsidRPr="00A27893">
        <w:rPr>
          <w:sz w:val="18"/>
        </w:rPr>
        <w:t xml:space="preserve"> were additionally adjusted for </w:t>
      </w:r>
      <w:r w:rsidR="006406D7">
        <w:rPr>
          <w:sz w:val="18"/>
        </w:rPr>
        <w:t xml:space="preserve">sex and </w:t>
      </w:r>
      <w:r w:rsidRPr="00A27893">
        <w:rPr>
          <w:sz w:val="18"/>
        </w:rPr>
        <w:t>fiscal year.</w:t>
      </w:r>
      <w:r w:rsidR="00BA626A">
        <w:rPr>
          <w:sz w:val="18"/>
        </w:rPr>
        <w:t xml:space="preserve"> m:</w:t>
      </w:r>
      <w:r w:rsidR="00BA626A" w:rsidRPr="00BA626A">
        <w:rPr>
          <w:sz w:val="18"/>
        </w:rPr>
        <w:t xml:space="preserve"> months; y</w:t>
      </w:r>
      <w:r w:rsidR="00BA626A">
        <w:rPr>
          <w:sz w:val="18"/>
        </w:rPr>
        <w:t>:</w:t>
      </w:r>
      <w:r w:rsidR="00BA626A" w:rsidRPr="00BA626A">
        <w:rPr>
          <w:sz w:val="18"/>
        </w:rPr>
        <w:t xml:space="preserve"> years</w:t>
      </w:r>
      <w:r w:rsidR="00BA626A">
        <w:rPr>
          <w:sz w:val="18"/>
        </w:rPr>
        <w:t>.</w:t>
      </w:r>
      <w:r w:rsidR="00227EAD">
        <w:rPr>
          <w:sz w:val="18"/>
        </w:rPr>
        <w:t xml:space="preserve"> </w:t>
      </w:r>
      <w:r w:rsidRPr="00A27893">
        <w:rPr>
          <w:sz w:val="18"/>
        </w:rPr>
        <w:t>* p &lt; 0.05, ** p &lt; 0.01, ***p &lt; 0.001</w:t>
      </w:r>
    </w:p>
    <w:p w14:paraId="7C35637F" w14:textId="19F70E99" w:rsidR="00A27893" w:rsidRPr="00D14E4C" w:rsidRDefault="00EC3307" w:rsidP="00A27893">
      <w:pPr>
        <w:spacing w:before="180" w:after="180" w:line="240" w:lineRule="auto"/>
        <w:rPr>
          <w:sz w:val="24"/>
          <w:szCs w:val="24"/>
          <w:lang w:val="en-US"/>
        </w:rPr>
      </w:pPr>
      <w:r>
        <w:rPr>
          <w:b/>
          <w:noProof/>
          <w:color w:val="5B9BD5" w:themeColor="accent1"/>
          <w:sz w:val="24"/>
          <w:szCs w:val="24"/>
          <w:lang w:eastAsia="en-GB"/>
        </w:rPr>
        <w:lastRenderedPageBreak/>
        <w:drawing>
          <wp:inline distT="0" distB="0" distL="0" distR="0" wp14:anchorId="35F7D45B" wp14:editId="4B40BC39">
            <wp:extent cx="5731510" cy="60528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052820"/>
                    </a:xfrm>
                    <a:prstGeom prst="rect">
                      <a:avLst/>
                    </a:prstGeom>
                  </pic:spPr>
                </pic:pic>
              </a:graphicData>
            </a:graphic>
          </wp:inline>
        </w:drawing>
      </w:r>
      <w:r w:rsidR="00A27893" w:rsidRPr="00D14E4C">
        <w:rPr>
          <w:b/>
          <w:color w:val="5B9BD5" w:themeColor="accent1"/>
          <w:sz w:val="24"/>
          <w:szCs w:val="24"/>
          <w:lang w:val="en-US"/>
        </w:rPr>
        <w:t xml:space="preserve">Figure </w:t>
      </w:r>
      <w:r w:rsidR="00636C5A" w:rsidRPr="00D14E4C">
        <w:rPr>
          <w:b/>
          <w:color w:val="5B9BD5" w:themeColor="accent1"/>
          <w:sz w:val="24"/>
          <w:szCs w:val="24"/>
          <w:lang w:val="en-US"/>
        </w:rPr>
        <w:t>3</w:t>
      </w:r>
      <w:r w:rsidR="00A27893" w:rsidRPr="00D14E4C">
        <w:rPr>
          <w:b/>
          <w:color w:val="5B9BD5" w:themeColor="accent1"/>
          <w:sz w:val="24"/>
          <w:szCs w:val="24"/>
          <w:lang w:val="en-US"/>
        </w:rPr>
        <w:t>.</w:t>
      </w:r>
      <w:r w:rsidR="00A27893" w:rsidRPr="00D14E4C">
        <w:rPr>
          <w:color w:val="5B9BD5" w:themeColor="accent1"/>
          <w:sz w:val="24"/>
          <w:szCs w:val="24"/>
          <w:lang w:val="en-US"/>
        </w:rPr>
        <w:t xml:space="preserve"> </w:t>
      </w:r>
      <w:r w:rsidR="008900FF">
        <w:rPr>
          <w:sz w:val="24"/>
          <w:szCs w:val="24"/>
          <w:lang w:val="en-US"/>
        </w:rPr>
        <w:t>Age and sex standardis</w:t>
      </w:r>
      <w:r w:rsidR="00A27893" w:rsidRPr="00D14E4C">
        <w:rPr>
          <w:sz w:val="24"/>
          <w:szCs w:val="24"/>
          <w:lang w:val="en-US"/>
        </w:rPr>
        <w:t xml:space="preserve">ed incidence ratios for IAI </w:t>
      </w:r>
      <w:r w:rsidR="008900FF">
        <w:rPr>
          <w:sz w:val="24"/>
          <w:szCs w:val="24"/>
          <w:lang w:val="en-US"/>
        </w:rPr>
        <w:t>hospitalis</w:t>
      </w:r>
      <w:r w:rsidR="00A27893" w:rsidRPr="00D14E4C">
        <w:rPr>
          <w:sz w:val="24"/>
          <w:szCs w:val="24"/>
          <w:lang w:val="en-US"/>
        </w:rPr>
        <w:t>ations for Merseyside residents by MSOA and pooled years, 2004/05 - 2015/16</w:t>
      </w:r>
    </w:p>
    <w:p w14:paraId="437F87DF" w14:textId="480B2E97" w:rsidR="00A27893" w:rsidRPr="00CB64A4" w:rsidRDefault="00EC3307" w:rsidP="00A27893">
      <w:pPr>
        <w:spacing w:before="180" w:after="180" w:line="240" w:lineRule="auto"/>
        <w:rPr>
          <w:sz w:val="18"/>
          <w:szCs w:val="18"/>
          <w:lang w:val="en-US"/>
        </w:rPr>
      </w:pPr>
      <w:r>
        <w:rPr>
          <w:b/>
          <w:noProof/>
          <w:color w:val="5B9BD5" w:themeColor="accent1"/>
          <w:sz w:val="24"/>
          <w:szCs w:val="24"/>
          <w:lang w:eastAsia="en-GB"/>
        </w:rPr>
        <w:lastRenderedPageBreak/>
        <w:drawing>
          <wp:inline distT="0" distB="0" distL="0" distR="0" wp14:anchorId="70072B86" wp14:editId="3EF70B73">
            <wp:extent cx="5731510" cy="37871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87140"/>
                    </a:xfrm>
                    <a:prstGeom prst="rect">
                      <a:avLst/>
                    </a:prstGeom>
                  </pic:spPr>
                </pic:pic>
              </a:graphicData>
            </a:graphic>
          </wp:inline>
        </w:drawing>
      </w:r>
      <w:r w:rsidR="00A27893" w:rsidRPr="00D14E4C">
        <w:rPr>
          <w:b/>
          <w:color w:val="5B9BD5" w:themeColor="accent1"/>
          <w:sz w:val="24"/>
          <w:szCs w:val="24"/>
          <w:lang w:val="en-US"/>
        </w:rPr>
        <w:t xml:space="preserve">Figure </w:t>
      </w:r>
      <w:r w:rsidR="00636C5A" w:rsidRPr="00D14E4C">
        <w:rPr>
          <w:b/>
          <w:color w:val="5B9BD5" w:themeColor="accent1"/>
          <w:sz w:val="24"/>
          <w:szCs w:val="24"/>
          <w:lang w:val="en-US"/>
        </w:rPr>
        <w:t>4</w:t>
      </w:r>
      <w:r w:rsidR="00A27893" w:rsidRPr="00D14E4C">
        <w:rPr>
          <w:b/>
          <w:color w:val="5B9BD5" w:themeColor="accent1"/>
          <w:sz w:val="24"/>
          <w:szCs w:val="24"/>
          <w:lang w:val="en-US"/>
        </w:rPr>
        <w:t>.</w:t>
      </w:r>
      <w:r w:rsidR="00A27893" w:rsidRPr="00D14E4C">
        <w:rPr>
          <w:color w:val="5B9BD5" w:themeColor="accent1"/>
          <w:sz w:val="24"/>
          <w:szCs w:val="24"/>
          <w:lang w:val="en-US"/>
        </w:rPr>
        <w:t xml:space="preserve"> </w:t>
      </w:r>
      <w:r w:rsidR="00A27893" w:rsidRPr="00D14E4C">
        <w:rPr>
          <w:sz w:val="24"/>
          <w:szCs w:val="24"/>
          <w:lang w:val="en-US"/>
        </w:rPr>
        <w:t xml:space="preserve">Influenza vaccine uptake by LSOA 2014/15 and 2015/16 seasons in: a) </w:t>
      </w:r>
      <w:r w:rsidR="00244E25" w:rsidRPr="00D14E4C">
        <w:rPr>
          <w:sz w:val="24"/>
          <w:szCs w:val="24"/>
          <w:lang w:val="en-US"/>
        </w:rPr>
        <w:t>24-59</w:t>
      </w:r>
      <w:r w:rsidR="00A27893" w:rsidRPr="00D14E4C">
        <w:rPr>
          <w:sz w:val="24"/>
          <w:szCs w:val="24"/>
          <w:lang w:val="en-US"/>
        </w:rPr>
        <w:t xml:space="preserve"> month olds (40% NHS England target); b) 65+ year olds (75% NHS England target); c) at risk groups aged 6 months to 64 years (55% NHS England target)</w:t>
      </w:r>
      <w:r w:rsidR="00E83FDD" w:rsidRPr="00D14E4C">
        <w:rPr>
          <w:sz w:val="24"/>
          <w:szCs w:val="24"/>
          <w:lang w:val="en-US"/>
        </w:rPr>
        <w:t>.</w:t>
      </w:r>
      <w:r w:rsidR="00E83FDD">
        <w:rPr>
          <w:sz w:val="24"/>
          <w:szCs w:val="24"/>
          <w:lang w:val="en-US"/>
        </w:rPr>
        <w:t xml:space="preserve"> </w:t>
      </w:r>
      <w:r w:rsidR="00E83FDD" w:rsidRPr="00CB64A4">
        <w:rPr>
          <w:sz w:val="18"/>
          <w:szCs w:val="18"/>
          <w:lang w:val="en-US"/>
        </w:rPr>
        <w:t>Each block represents 1 of 989 LSOAs</w:t>
      </w:r>
      <w:r w:rsidR="00B57596" w:rsidRPr="00CB64A4">
        <w:rPr>
          <w:sz w:val="18"/>
          <w:szCs w:val="18"/>
          <w:lang w:val="en-US"/>
        </w:rPr>
        <w:t xml:space="preserve"> in Merseyside</w:t>
      </w:r>
      <w:r w:rsidR="00E83FDD" w:rsidRPr="00CB64A4">
        <w:rPr>
          <w:sz w:val="18"/>
          <w:szCs w:val="18"/>
          <w:lang w:val="en-US"/>
        </w:rPr>
        <w:t xml:space="preserve">. </w:t>
      </w:r>
    </w:p>
    <w:p w14:paraId="1DBAFA45" w14:textId="77777777" w:rsidR="00EC3307" w:rsidRDefault="00EC3307" w:rsidP="00A27893">
      <w:pPr>
        <w:rPr>
          <w:b/>
          <w:color w:val="5B9BD5" w:themeColor="accent1"/>
          <w:sz w:val="24"/>
        </w:rPr>
      </w:pPr>
      <w:r>
        <w:rPr>
          <w:b/>
          <w:noProof/>
          <w:color w:val="5B9BD5" w:themeColor="accent1"/>
          <w:sz w:val="24"/>
          <w:lang w:eastAsia="en-GB"/>
        </w:rPr>
        <w:lastRenderedPageBreak/>
        <w:drawing>
          <wp:inline distT="0" distB="0" distL="0" distR="0" wp14:anchorId="2ABAC139" wp14:editId="52052238">
            <wp:extent cx="3601212" cy="46802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1212" cy="4680204"/>
                    </a:xfrm>
                    <a:prstGeom prst="rect">
                      <a:avLst/>
                    </a:prstGeom>
                  </pic:spPr>
                </pic:pic>
              </a:graphicData>
            </a:graphic>
          </wp:inline>
        </w:drawing>
      </w:r>
    </w:p>
    <w:p w14:paraId="0E8C45F7" w14:textId="291FF785" w:rsidR="00A27893" w:rsidRPr="00D14E4C" w:rsidRDefault="00A27893" w:rsidP="00A27893">
      <w:pPr>
        <w:rPr>
          <w:sz w:val="24"/>
        </w:rPr>
      </w:pPr>
      <w:bookmarkStart w:id="0" w:name="_GoBack"/>
      <w:bookmarkEnd w:id="0"/>
      <w:r w:rsidRPr="00D14E4C">
        <w:rPr>
          <w:b/>
          <w:color w:val="5B9BD5" w:themeColor="accent1"/>
          <w:sz w:val="24"/>
        </w:rPr>
        <w:t xml:space="preserve">Figure </w:t>
      </w:r>
      <w:r w:rsidR="00636C5A" w:rsidRPr="00D14E4C">
        <w:rPr>
          <w:b/>
          <w:color w:val="5B9BD5" w:themeColor="accent1"/>
          <w:sz w:val="24"/>
        </w:rPr>
        <w:t>5</w:t>
      </w:r>
      <w:r w:rsidRPr="00D14E4C">
        <w:rPr>
          <w:b/>
          <w:color w:val="5B9BD5" w:themeColor="accent1"/>
          <w:sz w:val="24"/>
        </w:rPr>
        <w:t>.</w:t>
      </w:r>
      <w:r w:rsidRPr="00D14E4C">
        <w:rPr>
          <w:color w:val="5B9BD5" w:themeColor="accent1"/>
          <w:sz w:val="24"/>
        </w:rPr>
        <w:t xml:space="preserve"> </w:t>
      </w:r>
      <w:r w:rsidRPr="00D14E4C">
        <w:rPr>
          <w:sz w:val="24"/>
        </w:rPr>
        <w:t xml:space="preserve">Odds ratios of vaccine uptake by </w:t>
      </w:r>
      <w:r w:rsidR="00223A63" w:rsidRPr="00D14E4C">
        <w:rPr>
          <w:sz w:val="24"/>
        </w:rPr>
        <w:t>Index of Multiple Deprivation</w:t>
      </w:r>
      <w:r w:rsidRPr="00D14E4C">
        <w:rPr>
          <w:sz w:val="24"/>
        </w:rPr>
        <w:t xml:space="preserve"> quintiles 1 (most deprived)-4 compared to a reference group of the least deprived quintile (5) by age group, 2014/15-2015/16</w:t>
      </w:r>
    </w:p>
    <w:p w14:paraId="3664C0F0" w14:textId="7B50CD23" w:rsidR="00A27893" w:rsidRPr="00BA626A" w:rsidRDefault="002C5A90" w:rsidP="00A27893">
      <w:pPr>
        <w:rPr>
          <w:sz w:val="18"/>
          <w:szCs w:val="18"/>
        </w:rPr>
      </w:pPr>
      <w:r>
        <w:rPr>
          <w:sz w:val="18"/>
        </w:rPr>
        <w:t>Adjusted o</w:t>
      </w:r>
      <w:r w:rsidR="00A27893" w:rsidRPr="00A27893">
        <w:rPr>
          <w:sz w:val="18"/>
        </w:rPr>
        <w:t>dds ratios for vaccine uptake were estimated with general linear models of the binomial family with a logit function, robust standard errors were used to calculate 95% confidence intervals. Models were additionally adjusted for fiscal year and weighted using the relevant age related population of each LSOA.</w:t>
      </w:r>
      <w:r w:rsidR="00BA626A">
        <w:rPr>
          <w:sz w:val="18"/>
        </w:rPr>
        <w:t xml:space="preserve"> </w:t>
      </w:r>
      <w:r w:rsidR="00BA626A" w:rsidRPr="00BA626A">
        <w:rPr>
          <w:sz w:val="18"/>
          <w:szCs w:val="18"/>
        </w:rPr>
        <w:t>m, months</w:t>
      </w:r>
      <w:r w:rsidR="00BA626A">
        <w:rPr>
          <w:sz w:val="18"/>
          <w:szCs w:val="18"/>
        </w:rPr>
        <w:t>.</w:t>
      </w:r>
    </w:p>
    <w:p w14:paraId="524A9778" w14:textId="77777777" w:rsidR="00A27893" w:rsidRPr="00A27893" w:rsidRDefault="00A27893" w:rsidP="00A27893">
      <w:pPr>
        <w:rPr>
          <w:rFonts w:ascii="Arial" w:hAnsi="Arial" w:cs="Arial"/>
        </w:rPr>
      </w:pPr>
      <w:r w:rsidRPr="00A27893">
        <w:rPr>
          <w:sz w:val="18"/>
        </w:rPr>
        <w:t>* p &lt; 0.05, ** p &lt; 0.01, ***p &lt; 0.001</w:t>
      </w:r>
    </w:p>
    <w:p w14:paraId="6664E765" w14:textId="77777777" w:rsidR="004F684D" w:rsidRPr="00416D6E" w:rsidRDefault="004F684D" w:rsidP="00CB64A4">
      <w:pPr>
        <w:rPr>
          <w:sz w:val="18"/>
        </w:rPr>
      </w:pPr>
    </w:p>
    <w:sectPr w:rsidR="004F684D" w:rsidRPr="00416D6E" w:rsidSect="00CB64A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F9ED2B" w16cid:durableId="1E538DDF"/>
  <w16cid:commentId w16cid:paraId="562DFC99" w16cid:durableId="1E538DE0"/>
  <w16cid:commentId w16cid:paraId="38792BC2" w16cid:durableId="1E538DE2"/>
  <w16cid:commentId w16cid:paraId="63D7611C" w16cid:durableId="1E538DE4"/>
  <w16cid:commentId w16cid:paraId="13C17FEA" w16cid:durableId="1E538DE5"/>
  <w16cid:commentId w16cid:paraId="630360C2" w16cid:durableId="1E538DE6"/>
  <w16cid:commentId w16cid:paraId="6715AEC9" w16cid:durableId="1E538DEA"/>
  <w16cid:commentId w16cid:paraId="3D40827C" w16cid:durableId="1E53B3BC"/>
  <w16cid:commentId w16cid:paraId="01F81408" w16cid:durableId="1E538DED"/>
  <w16cid:commentId w16cid:paraId="437BEF8E" w16cid:durableId="1E538DEE"/>
  <w16cid:commentId w16cid:paraId="008EEFA9" w16cid:durableId="1E538DEF"/>
  <w16cid:commentId w16cid:paraId="3A8D3B7A" w16cid:durableId="1E538DF0"/>
  <w16cid:commentId w16cid:paraId="4D49A80A" w16cid:durableId="1E53B53D"/>
  <w16cid:commentId w16cid:paraId="5FBE2803" w16cid:durableId="1E53C8CB"/>
  <w16cid:commentId w16cid:paraId="44297C10" w16cid:durableId="1E538D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BBD6" w14:textId="77777777" w:rsidR="00D42CC1" w:rsidRDefault="00D42CC1" w:rsidP="009F1676">
      <w:pPr>
        <w:spacing w:after="0" w:line="240" w:lineRule="auto"/>
      </w:pPr>
      <w:r>
        <w:separator/>
      </w:r>
    </w:p>
  </w:endnote>
  <w:endnote w:type="continuationSeparator" w:id="0">
    <w:p w14:paraId="657B960B" w14:textId="77777777" w:rsidR="00D42CC1" w:rsidRDefault="00D42CC1" w:rsidP="009F1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087804"/>
      <w:docPartObj>
        <w:docPartGallery w:val="Page Numbers (Bottom of Page)"/>
        <w:docPartUnique/>
      </w:docPartObj>
    </w:sdtPr>
    <w:sdtEndPr>
      <w:rPr>
        <w:noProof/>
      </w:rPr>
    </w:sdtEndPr>
    <w:sdtContent>
      <w:p w14:paraId="7C94686A" w14:textId="290B7391" w:rsidR="00002D76" w:rsidRDefault="00002D76">
        <w:pPr>
          <w:pStyle w:val="Footer"/>
          <w:jc w:val="right"/>
        </w:pPr>
        <w:r>
          <w:fldChar w:fldCharType="begin"/>
        </w:r>
        <w:r>
          <w:instrText xml:space="preserve"> PAGE   \* MERGEFORMAT </w:instrText>
        </w:r>
        <w:r>
          <w:fldChar w:fldCharType="separate"/>
        </w:r>
        <w:r w:rsidR="00EC3307">
          <w:rPr>
            <w:noProof/>
          </w:rPr>
          <w:t>26</w:t>
        </w:r>
        <w:r>
          <w:rPr>
            <w:noProof/>
          </w:rPr>
          <w:fldChar w:fldCharType="end"/>
        </w:r>
      </w:p>
    </w:sdtContent>
  </w:sdt>
  <w:p w14:paraId="6476A0AB" w14:textId="77777777" w:rsidR="00002D76" w:rsidRDefault="00002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0DA6D" w14:textId="77777777" w:rsidR="00D42CC1" w:rsidRDefault="00D42CC1" w:rsidP="009F1676">
      <w:pPr>
        <w:spacing w:after="0" w:line="240" w:lineRule="auto"/>
      </w:pPr>
      <w:r>
        <w:separator/>
      </w:r>
    </w:p>
  </w:footnote>
  <w:footnote w:type="continuationSeparator" w:id="0">
    <w:p w14:paraId="2973DA69" w14:textId="77777777" w:rsidR="00D42CC1" w:rsidRDefault="00D42CC1" w:rsidP="009F16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71DF6"/>
    <w:multiLevelType w:val="hybridMultilevel"/>
    <w:tmpl w:val="4AA06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E9500B"/>
    <w:multiLevelType w:val="hybridMultilevel"/>
    <w:tmpl w:val="D54C3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E0403C"/>
    <w:multiLevelType w:val="hybridMultilevel"/>
    <w:tmpl w:val="16AA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DC4C97"/>
    <w:multiLevelType w:val="hybridMultilevel"/>
    <w:tmpl w:val="E872E436"/>
    <w:lvl w:ilvl="0" w:tplc="08090001">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F2960BE"/>
    <w:multiLevelType w:val="hybridMultilevel"/>
    <w:tmpl w:val="3ECA3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94E210D"/>
    <w:multiLevelType w:val="hybridMultilevel"/>
    <w:tmpl w:val="6FA6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E33C3"/>
    <w:multiLevelType w:val="hybridMultilevel"/>
    <w:tmpl w:val="ECB477F4"/>
    <w:lvl w:ilvl="0" w:tplc="DF1E2EFC">
      <w:start w:val="1"/>
      <w:numFmt w:val="lowerLetter"/>
      <w:lvlText w:val="%1)"/>
      <w:lvlJc w:val="left"/>
      <w:pPr>
        <w:ind w:left="720" w:hanging="360"/>
      </w:pPr>
      <w:rPr>
        <w:rFonts w:ascii="Arial" w:hAnsi="Arial" w:cs="Arial" w:hint="default"/>
        <w:b/>
        <w:color w:val="000000" w:themeColor="tex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AD4"/>
    <w:rsid w:val="00002D76"/>
    <w:rsid w:val="000107AF"/>
    <w:rsid w:val="000200E5"/>
    <w:rsid w:val="000211BF"/>
    <w:rsid w:val="00024C1B"/>
    <w:rsid w:val="0003645A"/>
    <w:rsid w:val="00041CB1"/>
    <w:rsid w:val="000452B3"/>
    <w:rsid w:val="0004597C"/>
    <w:rsid w:val="00054744"/>
    <w:rsid w:val="00057801"/>
    <w:rsid w:val="00061FC7"/>
    <w:rsid w:val="0006262D"/>
    <w:rsid w:val="000656B6"/>
    <w:rsid w:val="00073C49"/>
    <w:rsid w:val="0008549B"/>
    <w:rsid w:val="00093DDD"/>
    <w:rsid w:val="00094D7F"/>
    <w:rsid w:val="000953DC"/>
    <w:rsid w:val="00096402"/>
    <w:rsid w:val="000A23F6"/>
    <w:rsid w:val="000A4E22"/>
    <w:rsid w:val="000A6938"/>
    <w:rsid w:val="000B0D2E"/>
    <w:rsid w:val="000C0CA3"/>
    <w:rsid w:val="000C51CB"/>
    <w:rsid w:val="000C622D"/>
    <w:rsid w:val="000C6F9A"/>
    <w:rsid w:val="000C75FA"/>
    <w:rsid w:val="000D5D5B"/>
    <w:rsid w:val="000D6C59"/>
    <w:rsid w:val="000E1611"/>
    <w:rsid w:val="000E7107"/>
    <w:rsid w:val="000F1DEC"/>
    <w:rsid w:val="000F27D9"/>
    <w:rsid w:val="000F6648"/>
    <w:rsid w:val="000F6CB8"/>
    <w:rsid w:val="000F6FB0"/>
    <w:rsid w:val="00102BEB"/>
    <w:rsid w:val="0010333E"/>
    <w:rsid w:val="0010798B"/>
    <w:rsid w:val="001238B5"/>
    <w:rsid w:val="00126040"/>
    <w:rsid w:val="001317B5"/>
    <w:rsid w:val="00132084"/>
    <w:rsid w:val="0013277A"/>
    <w:rsid w:val="00132CB1"/>
    <w:rsid w:val="00135A13"/>
    <w:rsid w:val="00144FF7"/>
    <w:rsid w:val="00145F18"/>
    <w:rsid w:val="00153A56"/>
    <w:rsid w:val="0016689F"/>
    <w:rsid w:val="001671DC"/>
    <w:rsid w:val="00172845"/>
    <w:rsid w:val="00176A84"/>
    <w:rsid w:val="00176AE7"/>
    <w:rsid w:val="0018027D"/>
    <w:rsid w:val="001848CB"/>
    <w:rsid w:val="00190F5E"/>
    <w:rsid w:val="001940C9"/>
    <w:rsid w:val="001977B0"/>
    <w:rsid w:val="001A4A1F"/>
    <w:rsid w:val="001A6D2A"/>
    <w:rsid w:val="001A75E3"/>
    <w:rsid w:val="001B21CC"/>
    <w:rsid w:val="001B2424"/>
    <w:rsid w:val="001B7696"/>
    <w:rsid w:val="001D4870"/>
    <w:rsid w:val="001D5C34"/>
    <w:rsid w:val="001D70D7"/>
    <w:rsid w:val="001D79DA"/>
    <w:rsid w:val="001D79E0"/>
    <w:rsid w:val="001E4253"/>
    <w:rsid w:val="001E5FA5"/>
    <w:rsid w:val="001F162B"/>
    <w:rsid w:val="001F4D45"/>
    <w:rsid w:val="00203321"/>
    <w:rsid w:val="00203A8A"/>
    <w:rsid w:val="00210057"/>
    <w:rsid w:val="0021184F"/>
    <w:rsid w:val="00220B9D"/>
    <w:rsid w:val="00221669"/>
    <w:rsid w:val="00223A63"/>
    <w:rsid w:val="00227EAD"/>
    <w:rsid w:val="00233B17"/>
    <w:rsid w:val="002446BC"/>
    <w:rsid w:val="00244E25"/>
    <w:rsid w:val="00246F22"/>
    <w:rsid w:val="0025542D"/>
    <w:rsid w:val="00261304"/>
    <w:rsid w:val="002663E5"/>
    <w:rsid w:val="002709A8"/>
    <w:rsid w:val="00273E49"/>
    <w:rsid w:val="00274AE8"/>
    <w:rsid w:val="0027653E"/>
    <w:rsid w:val="002868DE"/>
    <w:rsid w:val="00294403"/>
    <w:rsid w:val="0029721D"/>
    <w:rsid w:val="002A652E"/>
    <w:rsid w:val="002A7963"/>
    <w:rsid w:val="002B3410"/>
    <w:rsid w:val="002B3886"/>
    <w:rsid w:val="002B4D53"/>
    <w:rsid w:val="002B50E5"/>
    <w:rsid w:val="002B7432"/>
    <w:rsid w:val="002B7CD3"/>
    <w:rsid w:val="002C0E37"/>
    <w:rsid w:val="002C2412"/>
    <w:rsid w:val="002C4C40"/>
    <w:rsid w:val="002C5A90"/>
    <w:rsid w:val="002D1F95"/>
    <w:rsid w:val="002D6837"/>
    <w:rsid w:val="002F240C"/>
    <w:rsid w:val="002F7EC8"/>
    <w:rsid w:val="0030042C"/>
    <w:rsid w:val="00315352"/>
    <w:rsid w:val="00317EEC"/>
    <w:rsid w:val="00323154"/>
    <w:rsid w:val="00326E33"/>
    <w:rsid w:val="00327141"/>
    <w:rsid w:val="00327B76"/>
    <w:rsid w:val="003336B3"/>
    <w:rsid w:val="00343C4C"/>
    <w:rsid w:val="00344008"/>
    <w:rsid w:val="00344028"/>
    <w:rsid w:val="003563BA"/>
    <w:rsid w:val="00366957"/>
    <w:rsid w:val="0037199D"/>
    <w:rsid w:val="003731CB"/>
    <w:rsid w:val="00381490"/>
    <w:rsid w:val="00385F1B"/>
    <w:rsid w:val="00391663"/>
    <w:rsid w:val="00393545"/>
    <w:rsid w:val="003950A8"/>
    <w:rsid w:val="003A0619"/>
    <w:rsid w:val="003A065F"/>
    <w:rsid w:val="003A4D38"/>
    <w:rsid w:val="003A51E0"/>
    <w:rsid w:val="003B0CA5"/>
    <w:rsid w:val="003B456E"/>
    <w:rsid w:val="003D3248"/>
    <w:rsid w:val="003D384E"/>
    <w:rsid w:val="003D3A24"/>
    <w:rsid w:val="003D4698"/>
    <w:rsid w:val="003E1A1F"/>
    <w:rsid w:val="003F0714"/>
    <w:rsid w:val="003F6881"/>
    <w:rsid w:val="003F6D5F"/>
    <w:rsid w:val="00414390"/>
    <w:rsid w:val="00434411"/>
    <w:rsid w:val="00437DB6"/>
    <w:rsid w:val="00441BDF"/>
    <w:rsid w:val="004424EB"/>
    <w:rsid w:val="00442AE2"/>
    <w:rsid w:val="00444E0F"/>
    <w:rsid w:val="00452E4E"/>
    <w:rsid w:val="00454C7A"/>
    <w:rsid w:val="004625F0"/>
    <w:rsid w:val="00466B41"/>
    <w:rsid w:val="00467056"/>
    <w:rsid w:val="00470A52"/>
    <w:rsid w:val="00482290"/>
    <w:rsid w:val="004824FA"/>
    <w:rsid w:val="00483F92"/>
    <w:rsid w:val="004847C0"/>
    <w:rsid w:val="004A1CC8"/>
    <w:rsid w:val="004A275F"/>
    <w:rsid w:val="004B3C31"/>
    <w:rsid w:val="004B5CC0"/>
    <w:rsid w:val="004B7637"/>
    <w:rsid w:val="004C06BD"/>
    <w:rsid w:val="004C5BD3"/>
    <w:rsid w:val="004D0682"/>
    <w:rsid w:val="004D38B4"/>
    <w:rsid w:val="004E28F5"/>
    <w:rsid w:val="004E70DC"/>
    <w:rsid w:val="004F684D"/>
    <w:rsid w:val="004F6E7E"/>
    <w:rsid w:val="00503DCA"/>
    <w:rsid w:val="00510C79"/>
    <w:rsid w:val="00527B67"/>
    <w:rsid w:val="00531888"/>
    <w:rsid w:val="00541403"/>
    <w:rsid w:val="005424D0"/>
    <w:rsid w:val="00543EC5"/>
    <w:rsid w:val="00545014"/>
    <w:rsid w:val="00550B05"/>
    <w:rsid w:val="0056098E"/>
    <w:rsid w:val="00563C2A"/>
    <w:rsid w:val="00565368"/>
    <w:rsid w:val="0056578A"/>
    <w:rsid w:val="00566393"/>
    <w:rsid w:val="00567BA5"/>
    <w:rsid w:val="00572EEE"/>
    <w:rsid w:val="00575DCF"/>
    <w:rsid w:val="00586B9A"/>
    <w:rsid w:val="005916CE"/>
    <w:rsid w:val="005928C2"/>
    <w:rsid w:val="0059788B"/>
    <w:rsid w:val="005A3A1E"/>
    <w:rsid w:val="005B03E4"/>
    <w:rsid w:val="005B0BC7"/>
    <w:rsid w:val="005B1A9D"/>
    <w:rsid w:val="005B33BF"/>
    <w:rsid w:val="005B5C98"/>
    <w:rsid w:val="005B6012"/>
    <w:rsid w:val="005B6DC6"/>
    <w:rsid w:val="005C2007"/>
    <w:rsid w:val="005D30BE"/>
    <w:rsid w:val="005E07A7"/>
    <w:rsid w:val="005E227F"/>
    <w:rsid w:val="005E31D6"/>
    <w:rsid w:val="005E5A59"/>
    <w:rsid w:val="005F2315"/>
    <w:rsid w:val="005F2A5A"/>
    <w:rsid w:val="00602EED"/>
    <w:rsid w:val="0061069B"/>
    <w:rsid w:val="006136A4"/>
    <w:rsid w:val="00617E3E"/>
    <w:rsid w:val="00620CF1"/>
    <w:rsid w:val="006230F7"/>
    <w:rsid w:val="00636C5A"/>
    <w:rsid w:val="006406D7"/>
    <w:rsid w:val="00640C90"/>
    <w:rsid w:val="00650C9C"/>
    <w:rsid w:val="00653FCC"/>
    <w:rsid w:val="00666BFE"/>
    <w:rsid w:val="006674CF"/>
    <w:rsid w:val="00672A5D"/>
    <w:rsid w:val="00683319"/>
    <w:rsid w:val="006849EE"/>
    <w:rsid w:val="006877F5"/>
    <w:rsid w:val="006910E9"/>
    <w:rsid w:val="006A2102"/>
    <w:rsid w:val="006A376B"/>
    <w:rsid w:val="006A4301"/>
    <w:rsid w:val="006B09E2"/>
    <w:rsid w:val="006B1451"/>
    <w:rsid w:val="006B34F2"/>
    <w:rsid w:val="006C509C"/>
    <w:rsid w:val="006C7104"/>
    <w:rsid w:val="006D78E0"/>
    <w:rsid w:val="006E256E"/>
    <w:rsid w:val="006E6455"/>
    <w:rsid w:val="006E705A"/>
    <w:rsid w:val="006F1A2D"/>
    <w:rsid w:val="006F3BF7"/>
    <w:rsid w:val="006F6380"/>
    <w:rsid w:val="00701E75"/>
    <w:rsid w:val="00703C93"/>
    <w:rsid w:val="007119ED"/>
    <w:rsid w:val="00727AE7"/>
    <w:rsid w:val="007314F9"/>
    <w:rsid w:val="0073625A"/>
    <w:rsid w:val="007442A9"/>
    <w:rsid w:val="00747662"/>
    <w:rsid w:val="00747D39"/>
    <w:rsid w:val="00755D98"/>
    <w:rsid w:val="007643E2"/>
    <w:rsid w:val="00772A17"/>
    <w:rsid w:val="00780080"/>
    <w:rsid w:val="00780F33"/>
    <w:rsid w:val="007826B0"/>
    <w:rsid w:val="00784635"/>
    <w:rsid w:val="00787391"/>
    <w:rsid w:val="00797C1F"/>
    <w:rsid w:val="007A3798"/>
    <w:rsid w:val="007A52A7"/>
    <w:rsid w:val="007B2DB7"/>
    <w:rsid w:val="007C0176"/>
    <w:rsid w:val="007C1A57"/>
    <w:rsid w:val="007C4124"/>
    <w:rsid w:val="007C47E2"/>
    <w:rsid w:val="007D0202"/>
    <w:rsid w:val="007D1726"/>
    <w:rsid w:val="007E3EAA"/>
    <w:rsid w:val="007E642C"/>
    <w:rsid w:val="00801ACE"/>
    <w:rsid w:val="008044ED"/>
    <w:rsid w:val="00810689"/>
    <w:rsid w:val="008145C9"/>
    <w:rsid w:val="00823CB8"/>
    <w:rsid w:val="008421FF"/>
    <w:rsid w:val="0085067C"/>
    <w:rsid w:val="0085068E"/>
    <w:rsid w:val="0085124A"/>
    <w:rsid w:val="00863004"/>
    <w:rsid w:val="00872E94"/>
    <w:rsid w:val="00876C00"/>
    <w:rsid w:val="00887443"/>
    <w:rsid w:val="008900FF"/>
    <w:rsid w:val="008903B7"/>
    <w:rsid w:val="00891B25"/>
    <w:rsid w:val="008950B8"/>
    <w:rsid w:val="0089685F"/>
    <w:rsid w:val="008A4502"/>
    <w:rsid w:val="008C102B"/>
    <w:rsid w:val="008D3F33"/>
    <w:rsid w:val="008D6F20"/>
    <w:rsid w:val="009008C1"/>
    <w:rsid w:val="00904907"/>
    <w:rsid w:val="009051F2"/>
    <w:rsid w:val="009138E7"/>
    <w:rsid w:val="00917926"/>
    <w:rsid w:val="00921E00"/>
    <w:rsid w:val="00923C83"/>
    <w:rsid w:val="0093011D"/>
    <w:rsid w:val="00937929"/>
    <w:rsid w:val="00940D5E"/>
    <w:rsid w:val="00942C69"/>
    <w:rsid w:val="00945EBC"/>
    <w:rsid w:val="00951E04"/>
    <w:rsid w:val="0095705C"/>
    <w:rsid w:val="00962533"/>
    <w:rsid w:val="0097382C"/>
    <w:rsid w:val="0097725C"/>
    <w:rsid w:val="00977CFD"/>
    <w:rsid w:val="00983051"/>
    <w:rsid w:val="00986521"/>
    <w:rsid w:val="00995455"/>
    <w:rsid w:val="009A1E70"/>
    <w:rsid w:val="009A4BC1"/>
    <w:rsid w:val="009B100F"/>
    <w:rsid w:val="009B1095"/>
    <w:rsid w:val="009B7629"/>
    <w:rsid w:val="009C0900"/>
    <w:rsid w:val="009C0C29"/>
    <w:rsid w:val="009D0E06"/>
    <w:rsid w:val="009D568A"/>
    <w:rsid w:val="009E1D13"/>
    <w:rsid w:val="009E40D4"/>
    <w:rsid w:val="009E5744"/>
    <w:rsid w:val="009F08B9"/>
    <w:rsid w:val="009F149C"/>
    <w:rsid w:val="009F1676"/>
    <w:rsid w:val="009F34A9"/>
    <w:rsid w:val="009F7B25"/>
    <w:rsid w:val="00A055FD"/>
    <w:rsid w:val="00A05A1B"/>
    <w:rsid w:val="00A05D3E"/>
    <w:rsid w:val="00A22BAD"/>
    <w:rsid w:val="00A27893"/>
    <w:rsid w:val="00A27BCF"/>
    <w:rsid w:val="00A30A97"/>
    <w:rsid w:val="00A36EF0"/>
    <w:rsid w:val="00A416BE"/>
    <w:rsid w:val="00A44926"/>
    <w:rsid w:val="00A52B17"/>
    <w:rsid w:val="00A54481"/>
    <w:rsid w:val="00A57084"/>
    <w:rsid w:val="00A60144"/>
    <w:rsid w:val="00A62AD4"/>
    <w:rsid w:val="00A64770"/>
    <w:rsid w:val="00A6695C"/>
    <w:rsid w:val="00A67922"/>
    <w:rsid w:val="00A719F8"/>
    <w:rsid w:val="00A73069"/>
    <w:rsid w:val="00A75CBA"/>
    <w:rsid w:val="00A7750D"/>
    <w:rsid w:val="00A835FA"/>
    <w:rsid w:val="00A84983"/>
    <w:rsid w:val="00A87E49"/>
    <w:rsid w:val="00A90107"/>
    <w:rsid w:val="00A95BB3"/>
    <w:rsid w:val="00A9708B"/>
    <w:rsid w:val="00A977BA"/>
    <w:rsid w:val="00AA215C"/>
    <w:rsid w:val="00AA4B48"/>
    <w:rsid w:val="00AB1A39"/>
    <w:rsid w:val="00AB473A"/>
    <w:rsid w:val="00AC2206"/>
    <w:rsid w:val="00AC5C4A"/>
    <w:rsid w:val="00AC660F"/>
    <w:rsid w:val="00AD27C2"/>
    <w:rsid w:val="00AD3BC8"/>
    <w:rsid w:val="00AD3CD1"/>
    <w:rsid w:val="00AE038F"/>
    <w:rsid w:val="00AE0945"/>
    <w:rsid w:val="00AE7FB2"/>
    <w:rsid w:val="00AF71E2"/>
    <w:rsid w:val="00B02F23"/>
    <w:rsid w:val="00B037E0"/>
    <w:rsid w:val="00B10165"/>
    <w:rsid w:val="00B16087"/>
    <w:rsid w:val="00B2352C"/>
    <w:rsid w:val="00B2781A"/>
    <w:rsid w:val="00B314B6"/>
    <w:rsid w:val="00B3308D"/>
    <w:rsid w:val="00B36581"/>
    <w:rsid w:val="00B42C0F"/>
    <w:rsid w:val="00B519AB"/>
    <w:rsid w:val="00B57596"/>
    <w:rsid w:val="00B57AB0"/>
    <w:rsid w:val="00B620BB"/>
    <w:rsid w:val="00B63E22"/>
    <w:rsid w:val="00B640BA"/>
    <w:rsid w:val="00B67C10"/>
    <w:rsid w:val="00B72C1D"/>
    <w:rsid w:val="00B73DE5"/>
    <w:rsid w:val="00B764AF"/>
    <w:rsid w:val="00B82A4B"/>
    <w:rsid w:val="00B83094"/>
    <w:rsid w:val="00B8539B"/>
    <w:rsid w:val="00B90A68"/>
    <w:rsid w:val="00B9156D"/>
    <w:rsid w:val="00B93200"/>
    <w:rsid w:val="00B934C4"/>
    <w:rsid w:val="00B94DA5"/>
    <w:rsid w:val="00BA626A"/>
    <w:rsid w:val="00BB1566"/>
    <w:rsid w:val="00BC3C47"/>
    <w:rsid w:val="00BD16A0"/>
    <w:rsid w:val="00BD3C04"/>
    <w:rsid w:val="00BE2212"/>
    <w:rsid w:val="00BE5ECB"/>
    <w:rsid w:val="00C03388"/>
    <w:rsid w:val="00C0414A"/>
    <w:rsid w:val="00C10EAA"/>
    <w:rsid w:val="00C33409"/>
    <w:rsid w:val="00C3433F"/>
    <w:rsid w:val="00C34B9B"/>
    <w:rsid w:val="00C406AC"/>
    <w:rsid w:val="00C458A8"/>
    <w:rsid w:val="00C50896"/>
    <w:rsid w:val="00C56240"/>
    <w:rsid w:val="00C63AAD"/>
    <w:rsid w:val="00C6567F"/>
    <w:rsid w:val="00C66CB7"/>
    <w:rsid w:val="00C726B2"/>
    <w:rsid w:val="00C74441"/>
    <w:rsid w:val="00C767F6"/>
    <w:rsid w:val="00C866A4"/>
    <w:rsid w:val="00C96A50"/>
    <w:rsid w:val="00CA1E15"/>
    <w:rsid w:val="00CA48E9"/>
    <w:rsid w:val="00CA757C"/>
    <w:rsid w:val="00CB25EE"/>
    <w:rsid w:val="00CB64A4"/>
    <w:rsid w:val="00CC0070"/>
    <w:rsid w:val="00CC3C40"/>
    <w:rsid w:val="00CD27EB"/>
    <w:rsid w:val="00CD3C5A"/>
    <w:rsid w:val="00CD7312"/>
    <w:rsid w:val="00CD77CD"/>
    <w:rsid w:val="00CE0113"/>
    <w:rsid w:val="00CE0984"/>
    <w:rsid w:val="00CE7FB3"/>
    <w:rsid w:val="00CF72F9"/>
    <w:rsid w:val="00D00199"/>
    <w:rsid w:val="00D01595"/>
    <w:rsid w:val="00D05400"/>
    <w:rsid w:val="00D14E4C"/>
    <w:rsid w:val="00D2137C"/>
    <w:rsid w:val="00D2750A"/>
    <w:rsid w:val="00D30119"/>
    <w:rsid w:val="00D35483"/>
    <w:rsid w:val="00D42CC1"/>
    <w:rsid w:val="00D50076"/>
    <w:rsid w:val="00D5148B"/>
    <w:rsid w:val="00D52A9A"/>
    <w:rsid w:val="00D651BB"/>
    <w:rsid w:val="00D6798F"/>
    <w:rsid w:val="00D75209"/>
    <w:rsid w:val="00D7551C"/>
    <w:rsid w:val="00D80100"/>
    <w:rsid w:val="00D82DF6"/>
    <w:rsid w:val="00D87D86"/>
    <w:rsid w:val="00D93179"/>
    <w:rsid w:val="00DA1347"/>
    <w:rsid w:val="00DA47B1"/>
    <w:rsid w:val="00DA6A65"/>
    <w:rsid w:val="00DA7EA2"/>
    <w:rsid w:val="00DB083D"/>
    <w:rsid w:val="00DB4EEC"/>
    <w:rsid w:val="00DB7609"/>
    <w:rsid w:val="00DC05AA"/>
    <w:rsid w:val="00DC2303"/>
    <w:rsid w:val="00DD3C78"/>
    <w:rsid w:val="00DD5AFA"/>
    <w:rsid w:val="00DD6673"/>
    <w:rsid w:val="00DD6D43"/>
    <w:rsid w:val="00DE0AAE"/>
    <w:rsid w:val="00DF24C9"/>
    <w:rsid w:val="00DF7DC7"/>
    <w:rsid w:val="00E00CF7"/>
    <w:rsid w:val="00E01C89"/>
    <w:rsid w:val="00E02FFB"/>
    <w:rsid w:val="00E178E4"/>
    <w:rsid w:val="00E22C24"/>
    <w:rsid w:val="00E373C6"/>
    <w:rsid w:val="00E37B61"/>
    <w:rsid w:val="00E401DC"/>
    <w:rsid w:val="00E40DA1"/>
    <w:rsid w:val="00E40E0B"/>
    <w:rsid w:val="00E41117"/>
    <w:rsid w:val="00E41564"/>
    <w:rsid w:val="00E4537C"/>
    <w:rsid w:val="00E466D8"/>
    <w:rsid w:val="00E4792B"/>
    <w:rsid w:val="00E50321"/>
    <w:rsid w:val="00E56E44"/>
    <w:rsid w:val="00E65689"/>
    <w:rsid w:val="00E66132"/>
    <w:rsid w:val="00E6707A"/>
    <w:rsid w:val="00E7794A"/>
    <w:rsid w:val="00E80DBB"/>
    <w:rsid w:val="00E820E4"/>
    <w:rsid w:val="00E83D5F"/>
    <w:rsid w:val="00E83FDD"/>
    <w:rsid w:val="00E90D0B"/>
    <w:rsid w:val="00E9193F"/>
    <w:rsid w:val="00E92482"/>
    <w:rsid w:val="00E924BC"/>
    <w:rsid w:val="00E96612"/>
    <w:rsid w:val="00EA0EEC"/>
    <w:rsid w:val="00EA22A1"/>
    <w:rsid w:val="00EB3D9A"/>
    <w:rsid w:val="00EB702C"/>
    <w:rsid w:val="00EC3307"/>
    <w:rsid w:val="00EC71BB"/>
    <w:rsid w:val="00ED7F16"/>
    <w:rsid w:val="00EE43BB"/>
    <w:rsid w:val="00EE77AD"/>
    <w:rsid w:val="00EF2FDF"/>
    <w:rsid w:val="00EF44C6"/>
    <w:rsid w:val="00EF45F8"/>
    <w:rsid w:val="00EF660E"/>
    <w:rsid w:val="00F0177E"/>
    <w:rsid w:val="00F0255D"/>
    <w:rsid w:val="00F11450"/>
    <w:rsid w:val="00F24746"/>
    <w:rsid w:val="00F26B7E"/>
    <w:rsid w:val="00F4746A"/>
    <w:rsid w:val="00F47588"/>
    <w:rsid w:val="00F523B5"/>
    <w:rsid w:val="00F535DF"/>
    <w:rsid w:val="00F60F0A"/>
    <w:rsid w:val="00F6280A"/>
    <w:rsid w:val="00F6393E"/>
    <w:rsid w:val="00F70622"/>
    <w:rsid w:val="00F71BD6"/>
    <w:rsid w:val="00F76B2A"/>
    <w:rsid w:val="00F77D19"/>
    <w:rsid w:val="00F80770"/>
    <w:rsid w:val="00F83E51"/>
    <w:rsid w:val="00F90B1D"/>
    <w:rsid w:val="00F94C03"/>
    <w:rsid w:val="00FA6882"/>
    <w:rsid w:val="00FA7364"/>
    <w:rsid w:val="00FB2B10"/>
    <w:rsid w:val="00FC0835"/>
    <w:rsid w:val="00FC138A"/>
    <w:rsid w:val="00FC455B"/>
    <w:rsid w:val="00FD15ED"/>
    <w:rsid w:val="00FE2E0A"/>
    <w:rsid w:val="00FF3F0B"/>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CBABC"/>
  <w15:docId w15:val="{DB9873D5-7267-4C4C-B2E8-651B9A34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2A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56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06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901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A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568A"/>
    <w:rPr>
      <w:rFonts w:asciiTheme="majorHAnsi" w:eastAsiaTheme="majorEastAsia" w:hAnsiTheme="majorHAnsi" w:cstheme="majorBidi"/>
      <w:color w:val="2E74B5" w:themeColor="accent1" w:themeShade="BF"/>
      <w:sz w:val="26"/>
      <w:szCs w:val="26"/>
    </w:rPr>
  </w:style>
  <w:style w:type="paragraph" w:customStyle="1" w:styleId="Default">
    <w:name w:val="Default"/>
    <w:rsid w:val="00233B1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9721D"/>
    <w:rPr>
      <w:color w:val="0563C1" w:themeColor="hyperlink"/>
      <w:u w:val="single"/>
    </w:rPr>
  </w:style>
  <w:style w:type="paragraph" w:styleId="ListParagraph">
    <w:name w:val="List Paragraph"/>
    <w:basedOn w:val="Normal"/>
    <w:uiPriority w:val="34"/>
    <w:qFormat/>
    <w:rsid w:val="0061069B"/>
    <w:pPr>
      <w:spacing w:after="0" w:line="240" w:lineRule="auto"/>
      <w:ind w:left="720"/>
      <w:contextualSpacing/>
    </w:pPr>
    <w:rPr>
      <w:sz w:val="24"/>
      <w:szCs w:val="24"/>
    </w:rPr>
  </w:style>
  <w:style w:type="character" w:customStyle="1" w:styleId="Heading3Char">
    <w:name w:val="Heading 3 Char"/>
    <w:basedOn w:val="DefaultParagraphFont"/>
    <w:link w:val="Heading3"/>
    <w:uiPriority w:val="9"/>
    <w:rsid w:val="0061069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61069B"/>
    <w:rPr>
      <w:sz w:val="16"/>
      <w:szCs w:val="16"/>
    </w:rPr>
  </w:style>
  <w:style w:type="paragraph" w:styleId="BodyText">
    <w:name w:val="Body Text"/>
    <w:basedOn w:val="Normal"/>
    <w:link w:val="BodyTextChar"/>
    <w:qFormat/>
    <w:rsid w:val="0061069B"/>
    <w:pPr>
      <w:spacing w:before="180" w:after="180" w:line="240" w:lineRule="auto"/>
    </w:pPr>
    <w:rPr>
      <w:sz w:val="24"/>
      <w:szCs w:val="24"/>
      <w:lang w:val="en-US"/>
    </w:rPr>
  </w:style>
  <w:style w:type="character" w:customStyle="1" w:styleId="BodyTextChar">
    <w:name w:val="Body Text Char"/>
    <w:basedOn w:val="DefaultParagraphFont"/>
    <w:link w:val="BodyText"/>
    <w:rsid w:val="0061069B"/>
    <w:rPr>
      <w:sz w:val="24"/>
      <w:szCs w:val="24"/>
      <w:lang w:val="en-US"/>
    </w:rPr>
  </w:style>
  <w:style w:type="table" w:styleId="LightList">
    <w:name w:val="Light List"/>
    <w:basedOn w:val="TableNormal"/>
    <w:rsid w:val="0061069B"/>
    <w:pPr>
      <w:spacing w:after="0" w:line="240" w:lineRule="auto"/>
    </w:pPr>
    <w:rPr>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FC138A"/>
    <w:pPr>
      <w:tabs>
        <w:tab w:val="left" w:pos="504"/>
      </w:tabs>
      <w:spacing w:after="240" w:line="240" w:lineRule="auto"/>
      <w:ind w:left="504" w:hanging="504"/>
    </w:pPr>
  </w:style>
  <w:style w:type="character" w:customStyle="1" w:styleId="Heading4Char">
    <w:name w:val="Heading 4 Char"/>
    <w:basedOn w:val="DefaultParagraphFont"/>
    <w:link w:val="Heading4"/>
    <w:uiPriority w:val="9"/>
    <w:rsid w:val="00A9010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9F1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676"/>
  </w:style>
  <w:style w:type="paragraph" w:styleId="Footer">
    <w:name w:val="footer"/>
    <w:basedOn w:val="Normal"/>
    <w:link w:val="FooterChar"/>
    <w:uiPriority w:val="99"/>
    <w:unhideWhenUsed/>
    <w:rsid w:val="009F1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676"/>
  </w:style>
  <w:style w:type="character" w:styleId="LineNumber">
    <w:name w:val="line number"/>
    <w:basedOn w:val="DefaultParagraphFont"/>
    <w:uiPriority w:val="99"/>
    <w:semiHidden/>
    <w:unhideWhenUsed/>
    <w:rsid w:val="009F1676"/>
  </w:style>
  <w:style w:type="paragraph" w:styleId="CommentText">
    <w:name w:val="annotation text"/>
    <w:basedOn w:val="Normal"/>
    <w:link w:val="CommentTextChar"/>
    <w:uiPriority w:val="99"/>
    <w:semiHidden/>
    <w:unhideWhenUsed/>
    <w:rsid w:val="00A64770"/>
    <w:pPr>
      <w:spacing w:line="240" w:lineRule="auto"/>
    </w:pPr>
    <w:rPr>
      <w:sz w:val="20"/>
      <w:szCs w:val="20"/>
    </w:rPr>
  </w:style>
  <w:style w:type="character" w:customStyle="1" w:styleId="CommentTextChar">
    <w:name w:val="Comment Text Char"/>
    <w:basedOn w:val="DefaultParagraphFont"/>
    <w:link w:val="CommentText"/>
    <w:uiPriority w:val="99"/>
    <w:semiHidden/>
    <w:rsid w:val="00A64770"/>
    <w:rPr>
      <w:sz w:val="20"/>
      <w:szCs w:val="20"/>
    </w:rPr>
  </w:style>
  <w:style w:type="paragraph" w:styleId="CommentSubject">
    <w:name w:val="annotation subject"/>
    <w:basedOn w:val="CommentText"/>
    <w:next w:val="CommentText"/>
    <w:link w:val="CommentSubjectChar"/>
    <w:uiPriority w:val="99"/>
    <w:semiHidden/>
    <w:unhideWhenUsed/>
    <w:rsid w:val="00A64770"/>
    <w:rPr>
      <w:b/>
      <w:bCs/>
    </w:rPr>
  </w:style>
  <w:style w:type="character" w:customStyle="1" w:styleId="CommentSubjectChar">
    <w:name w:val="Comment Subject Char"/>
    <w:basedOn w:val="CommentTextChar"/>
    <w:link w:val="CommentSubject"/>
    <w:uiPriority w:val="99"/>
    <w:semiHidden/>
    <w:rsid w:val="00A64770"/>
    <w:rPr>
      <w:b/>
      <w:bCs/>
      <w:sz w:val="20"/>
      <w:szCs w:val="20"/>
    </w:rPr>
  </w:style>
  <w:style w:type="paragraph" w:styleId="BalloonText">
    <w:name w:val="Balloon Text"/>
    <w:basedOn w:val="Normal"/>
    <w:link w:val="BalloonTextChar"/>
    <w:uiPriority w:val="99"/>
    <w:semiHidden/>
    <w:unhideWhenUsed/>
    <w:rsid w:val="00A64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770"/>
    <w:rPr>
      <w:rFonts w:ascii="Segoe UI" w:hAnsi="Segoe UI" w:cs="Segoe UI"/>
      <w:sz w:val="18"/>
      <w:szCs w:val="18"/>
    </w:rPr>
  </w:style>
  <w:style w:type="paragraph" w:styleId="FootnoteText">
    <w:name w:val="footnote text"/>
    <w:basedOn w:val="Normal"/>
    <w:link w:val="FootnoteTextChar"/>
    <w:uiPriority w:val="99"/>
    <w:unhideWhenUsed/>
    <w:rsid w:val="00787391"/>
    <w:pPr>
      <w:spacing w:after="0" w:line="240" w:lineRule="auto"/>
    </w:pPr>
    <w:rPr>
      <w:sz w:val="24"/>
      <w:szCs w:val="24"/>
    </w:rPr>
  </w:style>
  <w:style w:type="character" w:customStyle="1" w:styleId="FootnoteTextChar">
    <w:name w:val="Footnote Text Char"/>
    <w:basedOn w:val="DefaultParagraphFont"/>
    <w:link w:val="FootnoteText"/>
    <w:uiPriority w:val="99"/>
    <w:rsid w:val="00787391"/>
    <w:rPr>
      <w:sz w:val="24"/>
      <w:szCs w:val="24"/>
    </w:rPr>
  </w:style>
  <w:style w:type="character" w:styleId="FootnoteReference">
    <w:name w:val="footnote reference"/>
    <w:basedOn w:val="DefaultParagraphFont"/>
    <w:uiPriority w:val="99"/>
    <w:unhideWhenUsed/>
    <w:rsid w:val="00787391"/>
    <w:rPr>
      <w:vertAlign w:val="superscript"/>
    </w:rPr>
  </w:style>
  <w:style w:type="table" w:customStyle="1" w:styleId="LightList1">
    <w:name w:val="Light List1"/>
    <w:basedOn w:val="TableNormal"/>
    <w:next w:val="LightList"/>
    <w:rsid w:val="004F684D"/>
    <w:pPr>
      <w:spacing w:after="0" w:line="240" w:lineRule="auto"/>
    </w:pPr>
    <w:rPr>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basedOn w:val="DefaultParagraphFont"/>
    <w:uiPriority w:val="99"/>
    <w:semiHidden/>
    <w:rsid w:val="001E5FA5"/>
    <w:rPr>
      <w:color w:val="808080"/>
    </w:rPr>
  </w:style>
  <w:style w:type="paragraph" w:styleId="Revision">
    <w:name w:val="Revision"/>
    <w:hidden/>
    <w:uiPriority w:val="99"/>
    <w:semiHidden/>
    <w:rsid w:val="008903B7"/>
    <w:pPr>
      <w:spacing w:after="0" w:line="240" w:lineRule="auto"/>
    </w:pPr>
  </w:style>
  <w:style w:type="paragraph" w:styleId="NormalWeb">
    <w:name w:val="Normal (Web)"/>
    <w:basedOn w:val="Normal"/>
    <w:uiPriority w:val="99"/>
    <w:semiHidden/>
    <w:unhideWhenUsed/>
    <w:rsid w:val="00E83FD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455268">
      <w:bodyDiv w:val="1"/>
      <w:marLeft w:val="0"/>
      <w:marRight w:val="0"/>
      <w:marTop w:val="0"/>
      <w:marBottom w:val="0"/>
      <w:divBdr>
        <w:top w:val="none" w:sz="0" w:space="0" w:color="auto"/>
        <w:left w:val="none" w:sz="0" w:space="0" w:color="auto"/>
        <w:bottom w:val="none" w:sz="0" w:space="0" w:color="auto"/>
        <w:right w:val="none" w:sz="0" w:space="0" w:color="auto"/>
      </w:divBdr>
    </w:div>
    <w:div w:id="712459529">
      <w:bodyDiv w:val="1"/>
      <w:marLeft w:val="0"/>
      <w:marRight w:val="0"/>
      <w:marTop w:val="0"/>
      <w:marBottom w:val="0"/>
      <w:divBdr>
        <w:top w:val="none" w:sz="0" w:space="0" w:color="auto"/>
        <w:left w:val="none" w:sz="0" w:space="0" w:color="auto"/>
        <w:bottom w:val="none" w:sz="0" w:space="0" w:color="auto"/>
        <w:right w:val="none" w:sz="0" w:space="0" w:color="auto"/>
      </w:divBdr>
      <w:divsChild>
        <w:div w:id="935678539">
          <w:marLeft w:val="0"/>
          <w:marRight w:val="0"/>
          <w:marTop w:val="0"/>
          <w:marBottom w:val="0"/>
          <w:divBdr>
            <w:top w:val="none" w:sz="0" w:space="0" w:color="auto"/>
            <w:left w:val="none" w:sz="0" w:space="0" w:color="auto"/>
            <w:bottom w:val="none" w:sz="0" w:space="0" w:color="auto"/>
            <w:right w:val="none" w:sz="0" w:space="0" w:color="auto"/>
          </w:divBdr>
          <w:divsChild>
            <w:div w:id="139082431">
              <w:marLeft w:val="0"/>
              <w:marRight w:val="0"/>
              <w:marTop w:val="0"/>
              <w:marBottom w:val="0"/>
              <w:divBdr>
                <w:top w:val="none" w:sz="0" w:space="0" w:color="auto"/>
                <w:left w:val="none" w:sz="0" w:space="0" w:color="auto"/>
                <w:bottom w:val="none" w:sz="0" w:space="0" w:color="auto"/>
                <w:right w:val="none" w:sz="0" w:space="0" w:color="auto"/>
              </w:divBdr>
            </w:div>
            <w:div w:id="1020085295">
              <w:marLeft w:val="0"/>
              <w:marRight w:val="0"/>
              <w:marTop w:val="0"/>
              <w:marBottom w:val="0"/>
              <w:divBdr>
                <w:top w:val="none" w:sz="0" w:space="0" w:color="auto"/>
                <w:left w:val="none" w:sz="0" w:space="0" w:color="auto"/>
                <w:bottom w:val="none" w:sz="0" w:space="0" w:color="auto"/>
                <w:right w:val="none" w:sz="0" w:space="0" w:color="auto"/>
              </w:divBdr>
            </w:div>
            <w:div w:id="13496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2245">
      <w:bodyDiv w:val="1"/>
      <w:marLeft w:val="0"/>
      <w:marRight w:val="0"/>
      <w:marTop w:val="0"/>
      <w:marBottom w:val="0"/>
      <w:divBdr>
        <w:top w:val="none" w:sz="0" w:space="0" w:color="auto"/>
        <w:left w:val="none" w:sz="0" w:space="0" w:color="auto"/>
        <w:bottom w:val="none" w:sz="0" w:space="0" w:color="auto"/>
        <w:right w:val="none" w:sz="0" w:space="0" w:color="auto"/>
      </w:divBdr>
    </w:div>
    <w:div w:id="1594781504">
      <w:bodyDiv w:val="1"/>
      <w:marLeft w:val="0"/>
      <w:marRight w:val="0"/>
      <w:marTop w:val="0"/>
      <w:marBottom w:val="0"/>
      <w:divBdr>
        <w:top w:val="none" w:sz="0" w:space="0" w:color="auto"/>
        <w:left w:val="none" w:sz="0" w:space="0" w:color="auto"/>
        <w:bottom w:val="none" w:sz="0" w:space="0" w:color="auto"/>
        <w:right w:val="none" w:sz="0" w:space="0" w:color="auto"/>
      </w:divBdr>
      <w:divsChild>
        <w:div w:id="900991839">
          <w:marLeft w:val="0"/>
          <w:marRight w:val="0"/>
          <w:marTop w:val="0"/>
          <w:marBottom w:val="0"/>
          <w:divBdr>
            <w:top w:val="none" w:sz="0" w:space="0" w:color="auto"/>
            <w:left w:val="none" w:sz="0" w:space="0" w:color="auto"/>
            <w:bottom w:val="none" w:sz="0" w:space="0" w:color="auto"/>
            <w:right w:val="none" w:sz="0" w:space="0" w:color="auto"/>
          </w:divBdr>
        </w:div>
        <w:div w:id="1218668004">
          <w:marLeft w:val="0"/>
          <w:marRight w:val="0"/>
          <w:marTop w:val="0"/>
          <w:marBottom w:val="0"/>
          <w:divBdr>
            <w:top w:val="none" w:sz="0" w:space="0" w:color="auto"/>
            <w:left w:val="none" w:sz="0" w:space="0" w:color="auto"/>
            <w:bottom w:val="none" w:sz="0" w:space="0" w:color="auto"/>
            <w:right w:val="none" w:sz="0" w:space="0" w:color="auto"/>
          </w:divBdr>
        </w:div>
        <w:div w:id="6910675">
          <w:marLeft w:val="0"/>
          <w:marRight w:val="0"/>
          <w:marTop w:val="0"/>
          <w:marBottom w:val="0"/>
          <w:divBdr>
            <w:top w:val="none" w:sz="0" w:space="0" w:color="auto"/>
            <w:left w:val="none" w:sz="0" w:space="0" w:color="auto"/>
            <w:bottom w:val="none" w:sz="0" w:space="0" w:color="auto"/>
            <w:right w:val="none" w:sz="0" w:space="0" w:color="auto"/>
          </w:divBdr>
        </w:div>
        <w:div w:id="963317614">
          <w:marLeft w:val="0"/>
          <w:marRight w:val="0"/>
          <w:marTop w:val="0"/>
          <w:marBottom w:val="0"/>
          <w:divBdr>
            <w:top w:val="none" w:sz="0" w:space="0" w:color="auto"/>
            <w:left w:val="none" w:sz="0" w:space="0" w:color="auto"/>
            <w:bottom w:val="none" w:sz="0" w:space="0" w:color="auto"/>
            <w:right w:val="none" w:sz="0" w:space="0" w:color="auto"/>
          </w:divBdr>
        </w:div>
        <w:div w:id="28772577">
          <w:marLeft w:val="0"/>
          <w:marRight w:val="0"/>
          <w:marTop w:val="0"/>
          <w:marBottom w:val="0"/>
          <w:divBdr>
            <w:top w:val="none" w:sz="0" w:space="0" w:color="auto"/>
            <w:left w:val="none" w:sz="0" w:space="0" w:color="auto"/>
            <w:bottom w:val="none" w:sz="0" w:space="0" w:color="auto"/>
            <w:right w:val="none" w:sz="0" w:space="0" w:color="auto"/>
          </w:divBdr>
        </w:div>
        <w:div w:id="417797982">
          <w:marLeft w:val="0"/>
          <w:marRight w:val="0"/>
          <w:marTop w:val="0"/>
          <w:marBottom w:val="0"/>
          <w:divBdr>
            <w:top w:val="none" w:sz="0" w:space="0" w:color="auto"/>
            <w:left w:val="none" w:sz="0" w:space="0" w:color="auto"/>
            <w:bottom w:val="none" w:sz="0" w:space="0" w:color="auto"/>
            <w:right w:val="none" w:sz="0" w:space="0" w:color="auto"/>
          </w:divBdr>
        </w:div>
        <w:div w:id="114255045">
          <w:marLeft w:val="0"/>
          <w:marRight w:val="0"/>
          <w:marTop w:val="0"/>
          <w:marBottom w:val="0"/>
          <w:divBdr>
            <w:top w:val="none" w:sz="0" w:space="0" w:color="auto"/>
            <w:left w:val="none" w:sz="0" w:space="0" w:color="auto"/>
            <w:bottom w:val="none" w:sz="0" w:space="0" w:color="auto"/>
            <w:right w:val="none" w:sz="0" w:space="0" w:color="auto"/>
          </w:divBdr>
        </w:div>
        <w:div w:id="2059893307">
          <w:marLeft w:val="0"/>
          <w:marRight w:val="0"/>
          <w:marTop w:val="0"/>
          <w:marBottom w:val="0"/>
          <w:divBdr>
            <w:top w:val="none" w:sz="0" w:space="0" w:color="auto"/>
            <w:left w:val="none" w:sz="0" w:space="0" w:color="auto"/>
            <w:bottom w:val="none" w:sz="0" w:space="0" w:color="auto"/>
            <w:right w:val="none" w:sz="0" w:space="0" w:color="auto"/>
          </w:divBdr>
        </w:div>
        <w:div w:id="1152982832">
          <w:marLeft w:val="0"/>
          <w:marRight w:val="0"/>
          <w:marTop w:val="0"/>
          <w:marBottom w:val="0"/>
          <w:divBdr>
            <w:top w:val="none" w:sz="0" w:space="0" w:color="auto"/>
            <w:left w:val="none" w:sz="0" w:space="0" w:color="auto"/>
            <w:bottom w:val="none" w:sz="0" w:space="0" w:color="auto"/>
            <w:right w:val="none" w:sz="0" w:space="0" w:color="auto"/>
          </w:divBdr>
        </w:div>
        <w:div w:id="128475489">
          <w:marLeft w:val="0"/>
          <w:marRight w:val="0"/>
          <w:marTop w:val="0"/>
          <w:marBottom w:val="0"/>
          <w:divBdr>
            <w:top w:val="none" w:sz="0" w:space="0" w:color="auto"/>
            <w:left w:val="none" w:sz="0" w:space="0" w:color="auto"/>
            <w:bottom w:val="none" w:sz="0" w:space="0" w:color="auto"/>
            <w:right w:val="none" w:sz="0" w:space="0" w:color="auto"/>
          </w:divBdr>
        </w:div>
        <w:div w:id="1770730778">
          <w:marLeft w:val="0"/>
          <w:marRight w:val="0"/>
          <w:marTop w:val="0"/>
          <w:marBottom w:val="0"/>
          <w:divBdr>
            <w:top w:val="none" w:sz="0" w:space="0" w:color="auto"/>
            <w:left w:val="none" w:sz="0" w:space="0" w:color="auto"/>
            <w:bottom w:val="none" w:sz="0" w:space="0" w:color="auto"/>
            <w:right w:val="none" w:sz="0" w:space="0" w:color="auto"/>
          </w:divBdr>
        </w:div>
        <w:div w:id="773937081">
          <w:marLeft w:val="0"/>
          <w:marRight w:val="0"/>
          <w:marTop w:val="0"/>
          <w:marBottom w:val="0"/>
          <w:divBdr>
            <w:top w:val="none" w:sz="0" w:space="0" w:color="auto"/>
            <w:left w:val="none" w:sz="0" w:space="0" w:color="auto"/>
            <w:bottom w:val="none" w:sz="0" w:space="0" w:color="auto"/>
            <w:right w:val="none" w:sz="0" w:space="0" w:color="auto"/>
          </w:divBdr>
        </w:div>
        <w:div w:id="2054497309">
          <w:marLeft w:val="0"/>
          <w:marRight w:val="0"/>
          <w:marTop w:val="0"/>
          <w:marBottom w:val="0"/>
          <w:divBdr>
            <w:top w:val="none" w:sz="0" w:space="0" w:color="auto"/>
            <w:left w:val="none" w:sz="0" w:space="0" w:color="auto"/>
            <w:bottom w:val="none" w:sz="0" w:space="0" w:color="auto"/>
            <w:right w:val="none" w:sz="0" w:space="0" w:color="auto"/>
          </w:divBdr>
        </w:div>
        <w:div w:id="104468144">
          <w:marLeft w:val="0"/>
          <w:marRight w:val="0"/>
          <w:marTop w:val="0"/>
          <w:marBottom w:val="0"/>
          <w:divBdr>
            <w:top w:val="none" w:sz="0" w:space="0" w:color="auto"/>
            <w:left w:val="none" w:sz="0" w:space="0" w:color="auto"/>
            <w:bottom w:val="none" w:sz="0" w:space="0" w:color="auto"/>
            <w:right w:val="none" w:sz="0" w:space="0" w:color="auto"/>
          </w:divBdr>
        </w:div>
        <w:div w:id="178127804">
          <w:marLeft w:val="0"/>
          <w:marRight w:val="0"/>
          <w:marTop w:val="0"/>
          <w:marBottom w:val="0"/>
          <w:divBdr>
            <w:top w:val="none" w:sz="0" w:space="0" w:color="auto"/>
            <w:left w:val="none" w:sz="0" w:space="0" w:color="auto"/>
            <w:bottom w:val="none" w:sz="0" w:space="0" w:color="auto"/>
            <w:right w:val="none" w:sz="0" w:space="0" w:color="auto"/>
          </w:divBdr>
        </w:div>
        <w:div w:id="1469323896">
          <w:marLeft w:val="0"/>
          <w:marRight w:val="0"/>
          <w:marTop w:val="0"/>
          <w:marBottom w:val="0"/>
          <w:divBdr>
            <w:top w:val="none" w:sz="0" w:space="0" w:color="auto"/>
            <w:left w:val="none" w:sz="0" w:space="0" w:color="auto"/>
            <w:bottom w:val="none" w:sz="0" w:space="0" w:color="auto"/>
            <w:right w:val="none" w:sz="0" w:space="0" w:color="auto"/>
          </w:divBdr>
        </w:div>
        <w:div w:id="1844541810">
          <w:marLeft w:val="0"/>
          <w:marRight w:val="0"/>
          <w:marTop w:val="0"/>
          <w:marBottom w:val="0"/>
          <w:divBdr>
            <w:top w:val="none" w:sz="0" w:space="0" w:color="auto"/>
            <w:left w:val="none" w:sz="0" w:space="0" w:color="auto"/>
            <w:bottom w:val="none" w:sz="0" w:space="0" w:color="auto"/>
            <w:right w:val="none" w:sz="0" w:space="0" w:color="auto"/>
          </w:divBdr>
        </w:div>
        <w:div w:id="933708734">
          <w:marLeft w:val="0"/>
          <w:marRight w:val="0"/>
          <w:marTop w:val="0"/>
          <w:marBottom w:val="0"/>
          <w:divBdr>
            <w:top w:val="none" w:sz="0" w:space="0" w:color="auto"/>
            <w:left w:val="none" w:sz="0" w:space="0" w:color="auto"/>
            <w:bottom w:val="none" w:sz="0" w:space="0" w:color="auto"/>
            <w:right w:val="none" w:sz="0" w:space="0" w:color="auto"/>
          </w:divBdr>
        </w:div>
        <w:div w:id="1875657125">
          <w:marLeft w:val="0"/>
          <w:marRight w:val="0"/>
          <w:marTop w:val="0"/>
          <w:marBottom w:val="0"/>
          <w:divBdr>
            <w:top w:val="none" w:sz="0" w:space="0" w:color="auto"/>
            <w:left w:val="none" w:sz="0" w:space="0" w:color="auto"/>
            <w:bottom w:val="none" w:sz="0" w:space="0" w:color="auto"/>
            <w:right w:val="none" w:sz="0" w:space="0" w:color="auto"/>
          </w:divBdr>
        </w:div>
        <w:div w:id="1631401716">
          <w:marLeft w:val="0"/>
          <w:marRight w:val="0"/>
          <w:marTop w:val="0"/>
          <w:marBottom w:val="0"/>
          <w:divBdr>
            <w:top w:val="none" w:sz="0" w:space="0" w:color="auto"/>
            <w:left w:val="none" w:sz="0" w:space="0" w:color="auto"/>
            <w:bottom w:val="none" w:sz="0" w:space="0" w:color="auto"/>
            <w:right w:val="none" w:sz="0" w:space="0" w:color="auto"/>
          </w:divBdr>
        </w:div>
        <w:div w:id="1245260815">
          <w:marLeft w:val="0"/>
          <w:marRight w:val="0"/>
          <w:marTop w:val="0"/>
          <w:marBottom w:val="0"/>
          <w:divBdr>
            <w:top w:val="none" w:sz="0" w:space="0" w:color="auto"/>
            <w:left w:val="none" w:sz="0" w:space="0" w:color="auto"/>
            <w:bottom w:val="none" w:sz="0" w:space="0" w:color="auto"/>
            <w:right w:val="none" w:sz="0" w:space="0" w:color="auto"/>
          </w:divBdr>
        </w:div>
        <w:div w:id="1608388225">
          <w:marLeft w:val="0"/>
          <w:marRight w:val="0"/>
          <w:marTop w:val="0"/>
          <w:marBottom w:val="0"/>
          <w:divBdr>
            <w:top w:val="none" w:sz="0" w:space="0" w:color="auto"/>
            <w:left w:val="none" w:sz="0" w:space="0" w:color="auto"/>
            <w:bottom w:val="none" w:sz="0" w:space="0" w:color="auto"/>
            <w:right w:val="none" w:sz="0" w:space="0" w:color="auto"/>
          </w:divBdr>
        </w:div>
        <w:div w:id="1896120195">
          <w:marLeft w:val="0"/>
          <w:marRight w:val="0"/>
          <w:marTop w:val="0"/>
          <w:marBottom w:val="0"/>
          <w:divBdr>
            <w:top w:val="none" w:sz="0" w:space="0" w:color="auto"/>
            <w:left w:val="none" w:sz="0" w:space="0" w:color="auto"/>
            <w:bottom w:val="none" w:sz="0" w:space="0" w:color="auto"/>
            <w:right w:val="none" w:sz="0" w:space="0" w:color="auto"/>
          </w:divBdr>
        </w:div>
        <w:div w:id="1860660332">
          <w:marLeft w:val="0"/>
          <w:marRight w:val="0"/>
          <w:marTop w:val="0"/>
          <w:marBottom w:val="0"/>
          <w:divBdr>
            <w:top w:val="none" w:sz="0" w:space="0" w:color="auto"/>
            <w:left w:val="none" w:sz="0" w:space="0" w:color="auto"/>
            <w:bottom w:val="none" w:sz="0" w:space="0" w:color="auto"/>
            <w:right w:val="none" w:sz="0" w:space="0" w:color="auto"/>
          </w:divBdr>
        </w:div>
        <w:div w:id="352927533">
          <w:marLeft w:val="0"/>
          <w:marRight w:val="0"/>
          <w:marTop w:val="0"/>
          <w:marBottom w:val="0"/>
          <w:divBdr>
            <w:top w:val="none" w:sz="0" w:space="0" w:color="auto"/>
            <w:left w:val="none" w:sz="0" w:space="0" w:color="auto"/>
            <w:bottom w:val="none" w:sz="0" w:space="0" w:color="auto"/>
            <w:right w:val="none" w:sz="0" w:space="0" w:color="auto"/>
          </w:divBdr>
        </w:div>
        <w:div w:id="1252473507">
          <w:marLeft w:val="0"/>
          <w:marRight w:val="0"/>
          <w:marTop w:val="0"/>
          <w:marBottom w:val="0"/>
          <w:divBdr>
            <w:top w:val="none" w:sz="0" w:space="0" w:color="auto"/>
            <w:left w:val="none" w:sz="0" w:space="0" w:color="auto"/>
            <w:bottom w:val="none" w:sz="0" w:space="0" w:color="auto"/>
            <w:right w:val="none" w:sz="0" w:space="0" w:color="auto"/>
          </w:divBdr>
        </w:div>
        <w:div w:id="511532842">
          <w:marLeft w:val="0"/>
          <w:marRight w:val="0"/>
          <w:marTop w:val="0"/>
          <w:marBottom w:val="0"/>
          <w:divBdr>
            <w:top w:val="none" w:sz="0" w:space="0" w:color="auto"/>
            <w:left w:val="none" w:sz="0" w:space="0" w:color="auto"/>
            <w:bottom w:val="none" w:sz="0" w:space="0" w:color="auto"/>
            <w:right w:val="none" w:sz="0" w:space="0" w:color="auto"/>
          </w:divBdr>
        </w:div>
        <w:div w:id="1847555521">
          <w:marLeft w:val="0"/>
          <w:marRight w:val="0"/>
          <w:marTop w:val="0"/>
          <w:marBottom w:val="0"/>
          <w:divBdr>
            <w:top w:val="none" w:sz="0" w:space="0" w:color="auto"/>
            <w:left w:val="none" w:sz="0" w:space="0" w:color="auto"/>
            <w:bottom w:val="none" w:sz="0" w:space="0" w:color="auto"/>
            <w:right w:val="none" w:sz="0" w:space="0" w:color="auto"/>
          </w:divBdr>
        </w:div>
        <w:div w:id="109517074">
          <w:marLeft w:val="0"/>
          <w:marRight w:val="0"/>
          <w:marTop w:val="0"/>
          <w:marBottom w:val="0"/>
          <w:divBdr>
            <w:top w:val="none" w:sz="0" w:space="0" w:color="auto"/>
            <w:left w:val="none" w:sz="0" w:space="0" w:color="auto"/>
            <w:bottom w:val="none" w:sz="0" w:space="0" w:color="auto"/>
            <w:right w:val="none" w:sz="0" w:space="0" w:color="auto"/>
          </w:divBdr>
        </w:div>
        <w:div w:id="1725717868">
          <w:marLeft w:val="0"/>
          <w:marRight w:val="0"/>
          <w:marTop w:val="0"/>
          <w:marBottom w:val="0"/>
          <w:divBdr>
            <w:top w:val="none" w:sz="0" w:space="0" w:color="auto"/>
            <w:left w:val="none" w:sz="0" w:space="0" w:color="auto"/>
            <w:bottom w:val="none" w:sz="0" w:space="0" w:color="auto"/>
            <w:right w:val="none" w:sz="0" w:space="0" w:color="auto"/>
          </w:divBdr>
        </w:div>
        <w:div w:id="166098091">
          <w:marLeft w:val="0"/>
          <w:marRight w:val="0"/>
          <w:marTop w:val="0"/>
          <w:marBottom w:val="0"/>
          <w:divBdr>
            <w:top w:val="none" w:sz="0" w:space="0" w:color="auto"/>
            <w:left w:val="none" w:sz="0" w:space="0" w:color="auto"/>
            <w:bottom w:val="none" w:sz="0" w:space="0" w:color="auto"/>
            <w:right w:val="none" w:sz="0" w:space="0" w:color="auto"/>
          </w:divBdr>
        </w:div>
      </w:divsChild>
    </w:div>
    <w:div w:id="1810047594">
      <w:bodyDiv w:val="1"/>
      <w:marLeft w:val="0"/>
      <w:marRight w:val="0"/>
      <w:marTop w:val="0"/>
      <w:marBottom w:val="0"/>
      <w:divBdr>
        <w:top w:val="none" w:sz="0" w:space="0" w:color="auto"/>
        <w:left w:val="none" w:sz="0" w:space="0" w:color="auto"/>
        <w:bottom w:val="none" w:sz="0" w:space="0" w:color="auto"/>
        <w:right w:val="none" w:sz="0" w:space="0" w:color="auto"/>
      </w:divBdr>
      <w:divsChild>
        <w:div w:id="356588646">
          <w:marLeft w:val="0"/>
          <w:marRight w:val="0"/>
          <w:marTop w:val="0"/>
          <w:marBottom w:val="0"/>
          <w:divBdr>
            <w:top w:val="none" w:sz="0" w:space="0" w:color="auto"/>
            <w:left w:val="none" w:sz="0" w:space="0" w:color="auto"/>
            <w:bottom w:val="none" w:sz="0" w:space="0" w:color="auto"/>
            <w:right w:val="none" w:sz="0" w:space="0" w:color="auto"/>
          </w:divBdr>
        </w:div>
        <w:div w:id="1951623970">
          <w:marLeft w:val="0"/>
          <w:marRight w:val="0"/>
          <w:marTop w:val="0"/>
          <w:marBottom w:val="0"/>
          <w:divBdr>
            <w:top w:val="none" w:sz="0" w:space="0" w:color="auto"/>
            <w:left w:val="none" w:sz="0" w:space="0" w:color="auto"/>
            <w:bottom w:val="none" w:sz="0" w:space="0" w:color="auto"/>
            <w:right w:val="none" w:sz="0" w:space="0" w:color="auto"/>
          </w:divBdr>
        </w:div>
        <w:div w:id="353961359">
          <w:marLeft w:val="0"/>
          <w:marRight w:val="0"/>
          <w:marTop w:val="0"/>
          <w:marBottom w:val="0"/>
          <w:divBdr>
            <w:top w:val="none" w:sz="0" w:space="0" w:color="auto"/>
            <w:left w:val="none" w:sz="0" w:space="0" w:color="auto"/>
            <w:bottom w:val="none" w:sz="0" w:space="0" w:color="auto"/>
            <w:right w:val="none" w:sz="0" w:space="0" w:color="auto"/>
          </w:divBdr>
        </w:div>
        <w:div w:id="1321545145">
          <w:marLeft w:val="0"/>
          <w:marRight w:val="0"/>
          <w:marTop w:val="0"/>
          <w:marBottom w:val="0"/>
          <w:divBdr>
            <w:top w:val="none" w:sz="0" w:space="0" w:color="auto"/>
            <w:left w:val="none" w:sz="0" w:space="0" w:color="auto"/>
            <w:bottom w:val="none" w:sz="0" w:space="0" w:color="auto"/>
            <w:right w:val="none" w:sz="0" w:space="0" w:color="auto"/>
          </w:divBdr>
        </w:div>
        <w:div w:id="756171665">
          <w:marLeft w:val="0"/>
          <w:marRight w:val="0"/>
          <w:marTop w:val="0"/>
          <w:marBottom w:val="0"/>
          <w:divBdr>
            <w:top w:val="none" w:sz="0" w:space="0" w:color="auto"/>
            <w:left w:val="none" w:sz="0" w:space="0" w:color="auto"/>
            <w:bottom w:val="none" w:sz="0" w:space="0" w:color="auto"/>
            <w:right w:val="none" w:sz="0" w:space="0" w:color="auto"/>
          </w:divBdr>
        </w:div>
        <w:div w:id="449203116">
          <w:marLeft w:val="0"/>
          <w:marRight w:val="0"/>
          <w:marTop w:val="0"/>
          <w:marBottom w:val="0"/>
          <w:divBdr>
            <w:top w:val="none" w:sz="0" w:space="0" w:color="auto"/>
            <w:left w:val="none" w:sz="0" w:space="0" w:color="auto"/>
            <w:bottom w:val="none" w:sz="0" w:space="0" w:color="auto"/>
            <w:right w:val="none" w:sz="0" w:space="0" w:color="auto"/>
          </w:divBdr>
        </w:div>
      </w:divsChild>
    </w:div>
    <w:div w:id="213413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ungerford@liverpool.ac.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D8E9E-3E43-4030-BC9B-B5BAAFC8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26861</Words>
  <Characters>153113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179615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Hungerford, Dan</dc:creator>
  <cp:lastModifiedBy>Hungerford, Dan</cp:lastModifiedBy>
  <cp:revision>8</cp:revision>
  <cp:lastPrinted>2017-10-11T09:54:00Z</cp:lastPrinted>
  <dcterms:created xsi:type="dcterms:W3CDTF">2018-08-03T10:32:00Z</dcterms:created>
  <dcterms:modified xsi:type="dcterms:W3CDTF">2018-10-05T12:24:00Z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id="w3jYKmkR"/&gt;&lt;style id="http://www.zotero.org/styles/plos-one"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value="true"/&gt;&lt;/prefs&gt;&lt;/data&gt;</vt:lpwstr>
  </property>
</Properties>
</file>