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E1" w:rsidRPr="00413F49" w:rsidRDefault="00361702" w:rsidP="00240D00">
      <w:pPr>
        <w:rPr>
          <w:rFonts w:asciiTheme="majorHAnsi" w:hAnsiTheme="majorHAnsi"/>
          <w:b/>
          <w:sz w:val="40"/>
        </w:rPr>
      </w:pPr>
      <w:r w:rsidRPr="00413F49">
        <w:rPr>
          <w:rFonts w:asciiTheme="majorHAnsi" w:hAnsiTheme="majorHAnsi"/>
          <w:b/>
          <w:sz w:val="40"/>
        </w:rPr>
        <w:t xml:space="preserve">Rituximab </w:t>
      </w:r>
      <w:r w:rsidR="00DB2FEC" w:rsidRPr="00413F49">
        <w:rPr>
          <w:rFonts w:asciiTheme="majorHAnsi" w:hAnsiTheme="majorHAnsi"/>
          <w:b/>
          <w:sz w:val="40"/>
        </w:rPr>
        <w:t xml:space="preserve">in </w:t>
      </w:r>
      <w:r w:rsidRPr="00413F49">
        <w:rPr>
          <w:rFonts w:asciiTheme="majorHAnsi" w:hAnsiTheme="majorHAnsi"/>
          <w:b/>
          <w:sz w:val="40"/>
        </w:rPr>
        <w:t>n</w:t>
      </w:r>
      <w:r w:rsidR="000975C2" w:rsidRPr="00413F49">
        <w:rPr>
          <w:rFonts w:asciiTheme="majorHAnsi" w:hAnsiTheme="majorHAnsi"/>
          <w:b/>
          <w:sz w:val="40"/>
        </w:rPr>
        <w:t>euro</w:t>
      </w:r>
      <w:r w:rsidR="00DB2FEC" w:rsidRPr="00413F49">
        <w:rPr>
          <w:rFonts w:asciiTheme="majorHAnsi" w:hAnsiTheme="majorHAnsi"/>
          <w:b/>
          <w:sz w:val="40"/>
        </w:rPr>
        <w:t>logical disease: principles</w:t>
      </w:r>
      <w:r w:rsidR="00376073" w:rsidRPr="00413F49">
        <w:rPr>
          <w:rFonts w:asciiTheme="majorHAnsi" w:hAnsiTheme="majorHAnsi"/>
          <w:b/>
          <w:sz w:val="40"/>
        </w:rPr>
        <w:t>, evidence</w:t>
      </w:r>
      <w:r w:rsidR="00DB2FEC" w:rsidRPr="00413F49">
        <w:rPr>
          <w:rFonts w:asciiTheme="majorHAnsi" w:hAnsiTheme="majorHAnsi"/>
          <w:b/>
          <w:sz w:val="40"/>
        </w:rPr>
        <w:t xml:space="preserve"> and practice</w:t>
      </w:r>
    </w:p>
    <w:p w:rsidR="00361702" w:rsidRPr="00413F49" w:rsidRDefault="00361702">
      <w:pPr>
        <w:rPr>
          <w:rFonts w:asciiTheme="majorHAnsi" w:hAnsiTheme="majorHAnsi"/>
          <w:sz w:val="40"/>
        </w:rPr>
      </w:pPr>
    </w:p>
    <w:p w:rsidR="00013875" w:rsidRPr="00413F49" w:rsidRDefault="00013875">
      <w:pPr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Daniel </w:t>
      </w:r>
      <w:r w:rsidR="00AC144B" w:rsidRPr="00413F49">
        <w:rPr>
          <w:rFonts w:asciiTheme="majorHAnsi" w:hAnsiTheme="majorHAnsi"/>
        </w:rPr>
        <w:t xml:space="preserve">H </w:t>
      </w:r>
      <w:r w:rsidRPr="00413F49">
        <w:rPr>
          <w:rFonts w:asciiTheme="majorHAnsi" w:hAnsiTheme="majorHAnsi"/>
        </w:rPr>
        <w:t>Whittam</w:t>
      </w:r>
      <w:r w:rsidR="004834D4" w:rsidRPr="00413F49">
        <w:rPr>
          <w:rFonts w:asciiTheme="majorHAnsi" w:hAnsiTheme="majorHAnsi"/>
          <w:vertAlign w:val="superscript"/>
        </w:rPr>
        <w:t>1</w:t>
      </w:r>
      <w:r w:rsidR="00361702" w:rsidRPr="00413F49">
        <w:rPr>
          <w:rFonts w:asciiTheme="majorHAnsi" w:hAnsiTheme="majorHAnsi"/>
        </w:rPr>
        <w:t>, Emma C Tallantyre</w:t>
      </w:r>
      <w:r w:rsidR="004834D4" w:rsidRPr="00413F49">
        <w:rPr>
          <w:rFonts w:asciiTheme="majorHAnsi" w:hAnsiTheme="majorHAnsi"/>
          <w:vertAlign w:val="superscript"/>
        </w:rPr>
        <w:t>2,3</w:t>
      </w:r>
      <w:r w:rsidR="00361702" w:rsidRPr="00413F49">
        <w:rPr>
          <w:rFonts w:asciiTheme="majorHAnsi" w:hAnsiTheme="majorHAnsi"/>
        </w:rPr>
        <w:t>, Stephen Jolles</w:t>
      </w:r>
      <w:r w:rsidR="002B4137" w:rsidRPr="00413F49">
        <w:rPr>
          <w:rFonts w:asciiTheme="majorHAnsi" w:hAnsiTheme="majorHAnsi"/>
          <w:vertAlign w:val="superscript"/>
        </w:rPr>
        <w:t>4,5</w:t>
      </w:r>
      <w:r w:rsidR="00361702" w:rsidRPr="00413F49">
        <w:rPr>
          <w:rFonts w:asciiTheme="majorHAnsi" w:hAnsiTheme="majorHAnsi"/>
        </w:rPr>
        <w:t>,</w:t>
      </w:r>
      <w:r w:rsidR="00770ACF" w:rsidRPr="00413F49">
        <w:rPr>
          <w:rFonts w:asciiTheme="majorHAnsi" w:hAnsiTheme="majorHAnsi"/>
        </w:rPr>
        <w:t xml:space="preserve"> Saif Huda</w:t>
      </w:r>
      <w:r w:rsidR="005A31BB" w:rsidRPr="00413F49">
        <w:rPr>
          <w:rFonts w:asciiTheme="majorHAnsi" w:hAnsiTheme="majorHAnsi"/>
          <w:vertAlign w:val="superscript"/>
        </w:rPr>
        <w:t>1</w:t>
      </w:r>
      <w:r w:rsidR="00770ACF" w:rsidRPr="00413F49">
        <w:rPr>
          <w:rFonts w:asciiTheme="majorHAnsi" w:hAnsiTheme="majorHAnsi"/>
        </w:rPr>
        <w:t xml:space="preserve">, </w:t>
      </w:r>
      <w:r w:rsidR="00361702" w:rsidRPr="00413F49">
        <w:rPr>
          <w:rFonts w:asciiTheme="majorHAnsi" w:hAnsiTheme="majorHAnsi"/>
        </w:rPr>
        <w:t xml:space="preserve"> Robert J Moots</w:t>
      </w:r>
      <w:r w:rsidR="002B4137" w:rsidRPr="00413F49">
        <w:rPr>
          <w:rFonts w:asciiTheme="majorHAnsi" w:hAnsiTheme="majorHAnsi"/>
          <w:vertAlign w:val="superscript"/>
        </w:rPr>
        <w:t>6</w:t>
      </w:r>
      <w:r w:rsidR="004834D4" w:rsidRPr="00413F49">
        <w:rPr>
          <w:rFonts w:asciiTheme="majorHAnsi" w:hAnsiTheme="majorHAnsi"/>
        </w:rPr>
        <w:t>, Ho Jin Kim</w:t>
      </w:r>
      <w:r w:rsidR="002B4137" w:rsidRPr="00413F49">
        <w:rPr>
          <w:rFonts w:asciiTheme="majorHAnsi" w:hAnsiTheme="majorHAnsi"/>
          <w:vertAlign w:val="superscript"/>
        </w:rPr>
        <w:t>7</w:t>
      </w:r>
      <w:r w:rsidR="004834D4" w:rsidRPr="00413F49">
        <w:rPr>
          <w:rFonts w:asciiTheme="majorHAnsi" w:hAnsiTheme="majorHAnsi"/>
        </w:rPr>
        <w:t xml:space="preserve">, Neil </w:t>
      </w:r>
      <w:r w:rsidR="00151686" w:rsidRPr="00413F49">
        <w:rPr>
          <w:rFonts w:asciiTheme="majorHAnsi" w:hAnsiTheme="majorHAnsi"/>
        </w:rPr>
        <w:t xml:space="preserve">P </w:t>
      </w:r>
      <w:r w:rsidR="004834D4" w:rsidRPr="00413F49">
        <w:rPr>
          <w:rFonts w:asciiTheme="majorHAnsi" w:hAnsiTheme="majorHAnsi"/>
        </w:rPr>
        <w:t>Robertson</w:t>
      </w:r>
      <w:r w:rsidR="004834D4" w:rsidRPr="00413F49">
        <w:rPr>
          <w:rFonts w:asciiTheme="majorHAnsi" w:hAnsiTheme="majorHAnsi"/>
          <w:vertAlign w:val="superscript"/>
        </w:rPr>
        <w:t>2</w:t>
      </w:r>
      <w:r w:rsidR="00F2094D" w:rsidRPr="00413F49">
        <w:rPr>
          <w:rFonts w:asciiTheme="majorHAnsi" w:hAnsiTheme="majorHAnsi"/>
          <w:vertAlign w:val="superscript"/>
        </w:rPr>
        <w:t>,</w:t>
      </w:r>
      <w:r w:rsidR="00794954" w:rsidRPr="00413F49">
        <w:rPr>
          <w:rFonts w:asciiTheme="majorHAnsi" w:hAnsiTheme="majorHAnsi"/>
          <w:vertAlign w:val="superscript"/>
        </w:rPr>
        <w:t>3</w:t>
      </w:r>
      <w:r w:rsidR="004834D4" w:rsidRPr="00413F49">
        <w:rPr>
          <w:rFonts w:asciiTheme="majorHAnsi" w:hAnsiTheme="majorHAnsi"/>
        </w:rPr>
        <w:t>,</w:t>
      </w:r>
      <w:r w:rsidR="00794954" w:rsidRPr="00413F49">
        <w:rPr>
          <w:rFonts w:asciiTheme="majorHAnsi" w:hAnsiTheme="majorHAnsi"/>
        </w:rPr>
        <w:t xml:space="preserve"> Bruce </w:t>
      </w:r>
      <w:r w:rsidR="00F2094D" w:rsidRPr="00413F49">
        <w:rPr>
          <w:rFonts w:asciiTheme="majorHAnsi" w:hAnsiTheme="majorHAnsi"/>
        </w:rPr>
        <w:t>A</w:t>
      </w:r>
      <w:r w:rsidR="00AC144B" w:rsidRPr="00413F49">
        <w:rPr>
          <w:rFonts w:asciiTheme="majorHAnsi" w:hAnsiTheme="majorHAnsi"/>
        </w:rPr>
        <w:t xml:space="preserve"> </w:t>
      </w:r>
      <w:r w:rsidR="00F2094D" w:rsidRPr="00413F49">
        <w:rPr>
          <w:rFonts w:asciiTheme="majorHAnsi" w:hAnsiTheme="majorHAnsi"/>
        </w:rPr>
        <w:t>C</w:t>
      </w:r>
      <w:r w:rsidR="00AC144B" w:rsidRPr="00413F49">
        <w:rPr>
          <w:rFonts w:asciiTheme="majorHAnsi" w:hAnsiTheme="majorHAnsi"/>
        </w:rPr>
        <w:t xml:space="preserve"> Cree</w:t>
      </w:r>
      <w:r w:rsidR="002B4137" w:rsidRPr="00413F49">
        <w:rPr>
          <w:rFonts w:asciiTheme="majorHAnsi" w:hAnsiTheme="majorHAnsi"/>
          <w:vertAlign w:val="superscript"/>
        </w:rPr>
        <w:t>8</w:t>
      </w:r>
      <w:r w:rsidR="004834D4" w:rsidRPr="00413F49">
        <w:rPr>
          <w:rFonts w:asciiTheme="majorHAnsi" w:hAnsiTheme="majorHAnsi"/>
        </w:rPr>
        <w:t>, Anu Jacob</w:t>
      </w:r>
      <w:r w:rsidR="004834D4" w:rsidRPr="00413F49">
        <w:rPr>
          <w:rFonts w:asciiTheme="majorHAnsi" w:hAnsiTheme="majorHAnsi"/>
          <w:vertAlign w:val="superscript"/>
        </w:rPr>
        <w:t>1</w:t>
      </w:r>
      <w:r w:rsidR="002B4137" w:rsidRPr="00413F49">
        <w:rPr>
          <w:rFonts w:asciiTheme="majorHAnsi" w:hAnsiTheme="majorHAnsi"/>
          <w:vertAlign w:val="superscript"/>
        </w:rPr>
        <w:t>,9</w:t>
      </w:r>
      <w:r w:rsidR="004834D4"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</w:rPr>
        <w:t xml:space="preserve"> </w:t>
      </w:r>
    </w:p>
    <w:p w:rsidR="00013875" w:rsidRPr="00413F49" w:rsidRDefault="00013875">
      <w:pPr>
        <w:rPr>
          <w:rFonts w:asciiTheme="majorHAnsi" w:hAnsiTheme="majorHAnsi"/>
        </w:rPr>
      </w:pPr>
    </w:p>
    <w:p w:rsidR="002345DD" w:rsidRPr="00413F49" w:rsidRDefault="002345DD" w:rsidP="002345D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The Walton Centre NHS Foundation Trust, Liverpool, UK</w:t>
      </w:r>
    </w:p>
    <w:p w:rsidR="002345DD" w:rsidRPr="00413F49" w:rsidRDefault="002345DD" w:rsidP="002345DD">
      <w:pPr>
        <w:pStyle w:val="ListParagraph"/>
        <w:rPr>
          <w:rFonts w:asciiTheme="majorHAnsi" w:hAnsiTheme="majorHAnsi"/>
        </w:rPr>
      </w:pPr>
    </w:p>
    <w:p w:rsidR="00DA6CAA" w:rsidRPr="00413F49" w:rsidRDefault="00581C76" w:rsidP="002345D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Helen Durham Centre for Neuroinflammation, University Hospital or Wales, </w:t>
      </w:r>
      <w:r w:rsidR="00013875" w:rsidRPr="00413F49">
        <w:rPr>
          <w:rFonts w:asciiTheme="majorHAnsi" w:hAnsiTheme="majorHAnsi"/>
        </w:rPr>
        <w:t>Cardiff, UK</w:t>
      </w:r>
    </w:p>
    <w:p w:rsidR="002345DD" w:rsidRPr="00413F49" w:rsidRDefault="002345DD">
      <w:pPr>
        <w:rPr>
          <w:rFonts w:asciiTheme="majorHAnsi" w:hAnsiTheme="majorHAnsi"/>
        </w:rPr>
      </w:pPr>
    </w:p>
    <w:p w:rsidR="00811A9A" w:rsidRPr="00413F49" w:rsidRDefault="00581C76" w:rsidP="002345D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Division of Psychological Medicine and Clinical Neurosciences, School of Medicine, </w:t>
      </w:r>
      <w:r w:rsidR="002345DD" w:rsidRPr="00413F49">
        <w:rPr>
          <w:rFonts w:asciiTheme="majorHAnsi" w:hAnsiTheme="majorHAnsi"/>
        </w:rPr>
        <w:t>Cardiff University</w:t>
      </w:r>
      <w:r w:rsidR="00F23368" w:rsidRPr="00413F49">
        <w:rPr>
          <w:rFonts w:asciiTheme="majorHAnsi" w:hAnsiTheme="majorHAnsi"/>
        </w:rPr>
        <w:t>, Cardiff, UK</w:t>
      </w:r>
    </w:p>
    <w:p w:rsidR="002345DD" w:rsidRPr="00413F49" w:rsidRDefault="002345DD">
      <w:pPr>
        <w:rPr>
          <w:rFonts w:asciiTheme="majorHAnsi" w:hAnsiTheme="majorHAnsi"/>
        </w:rPr>
      </w:pPr>
    </w:p>
    <w:p w:rsidR="00151686" w:rsidRPr="00413F49" w:rsidRDefault="00361702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Immunodeficiency Centre for Wales, University Hospital of Wales, Cardiff, UK</w:t>
      </w:r>
    </w:p>
    <w:p w:rsidR="002B4137" w:rsidRPr="00413F49" w:rsidRDefault="002B4137" w:rsidP="002B4137">
      <w:pPr>
        <w:pStyle w:val="ListParagraph"/>
        <w:rPr>
          <w:rFonts w:asciiTheme="majorHAnsi" w:hAnsiTheme="majorHAnsi"/>
        </w:rPr>
      </w:pPr>
    </w:p>
    <w:p w:rsidR="002B4137" w:rsidRPr="00413F49" w:rsidRDefault="002B4137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School of Medicine, Cardiff University, Cardiff, UK</w:t>
      </w:r>
    </w:p>
    <w:p w:rsidR="00151686" w:rsidRPr="00413F49" w:rsidRDefault="00151686" w:rsidP="00151686">
      <w:pPr>
        <w:pStyle w:val="ListParagraph"/>
        <w:rPr>
          <w:rFonts w:asciiTheme="majorHAnsi" w:hAnsiTheme="majorHAnsi"/>
        </w:rPr>
      </w:pPr>
    </w:p>
    <w:p w:rsidR="00151686" w:rsidRPr="00413F49" w:rsidRDefault="002345DD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Dep</w:t>
      </w:r>
      <w:r w:rsidR="00151686" w:rsidRPr="00413F49">
        <w:rPr>
          <w:rFonts w:asciiTheme="majorHAnsi" w:hAnsiTheme="majorHAnsi"/>
        </w:rPr>
        <w:t>artment of Musculoskeletal D</w:t>
      </w:r>
      <w:r w:rsidRPr="00413F49">
        <w:rPr>
          <w:rFonts w:asciiTheme="majorHAnsi" w:hAnsiTheme="majorHAnsi"/>
        </w:rPr>
        <w:t>iseases, I</w:t>
      </w:r>
      <w:r w:rsidR="00151686" w:rsidRPr="00413F49">
        <w:rPr>
          <w:rFonts w:asciiTheme="majorHAnsi" w:hAnsiTheme="majorHAnsi"/>
        </w:rPr>
        <w:t>nstitute of Ageing and Chronic D</w:t>
      </w:r>
      <w:r w:rsidRPr="00413F49">
        <w:rPr>
          <w:rFonts w:asciiTheme="majorHAnsi" w:hAnsiTheme="majorHAnsi"/>
        </w:rPr>
        <w:t>iseases, University of Liverpool, Liverpool, UK</w:t>
      </w:r>
    </w:p>
    <w:p w:rsidR="00151686" w:rsidRPr="00413F49" w:rsidRDefault="00151686" w:rsidP="00151686">
      <w:pPr>
        <w:pStyle w:val="ListParagraph"/>
        <w:rPr>
          <w:rFonts w:asciiTheme="majorHAnsi" w:hAnsiTheme="majorHAnsi"/>
        </w:rPr>
      </w:pPr>
    </w:p>
    <w:p w:rsidR="00151686" w:rsidRPr="00413F49" w:rsidRDefault="00151686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Department of Neurology, Research Institute and Hospital of National Cancer </w:t>
      </w:r>
      <w:proofErr w:type="spellStart"/>
      <w:r w:rsidRPr="00413F49">
        <w:rPr>
          <w:rFonts w:asciiTheme="majorHAnsi" w:hAnsiTheme="majorHAnsi"/>
        </w:rPr>
        <w:t>Center</w:t>
      </w:r>
      <w:proofErr w:type="spellEnd"/>
      <w:r w:rsidRPr="00413F49">
        <w:rPr>
          <w:rFonts w:asciiTheme="majorHAnsi" w:hAnsiTheme="majorHAnsi"/>
        </w:rPr>
        <w:t xml:space="preserve">, </w:t>
      </w:r>
      <w:proofErr w:type="spellStart"/>
      <w:r w:rsidRPr="00413F49">
        <w:rPr>
          <w:rFonts w:asciiTheme="majorHAnsi" w:hAnsiTheme="majorHAnsi"/>
        </w:rPr>
        <w:t>Goyang</w:t>
      </w:r>
      <w:proofErr w:type="spellEnd"/>
      <w:r w:rsidRPr="00413F49">
        <w:rPr>
          <w:rFonts w:asciiTheme="majorHAnsi" w:hAnsiTheme="majorHAnsi"/>
        </w:rPr>
        <w:t xml:space="preserve">, </w:t>
      </w:r>
      <w:r w:rsidR="00F23368" w:rsidRPr="00413F49">
        <w:rPr>
          <w:rFonts w:asciiTheme="majorHAnsi" w:hAnsiTheme="majorHAnsi"/>
        </w:rPr>
        <w:t>Korea</w:t>
      </w:r>
      <w:r w:rsidR="002345DD" w:rsidRPr="00413F49">
        <w:rPr>
          <w:rFonts w:asciiTheme="majorHAnsi" w:hAnsiTheme="majorHAnsi"/>
        </w:rPr>
        <w:t xml:space="preserve"> </w:t>
      </w:r>
    </w:p>
    <w:p w:rsidR="00151686" w:rsidRPr="00413F49" w:rsidRDefault="00151686" w:rsidP="00151686">
      <w:pPr>
        <w:pStyle w:val="ListParagraph"/>
        <w:rPr>
          <w:rFonts w:asciiTheme="majorHAnsi" w:hAnsiTheme="majorHAnsi"/>
        </w:rPr>
      </w:pPr>
    </w:p>
    <w:p w:rsidR="00334AF4" w:rsidRPr="00413F49" w:rsidRDefault="0055712C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Weill Institute for Ne</w:t>
      </w:r>
      <w:r w:rsidR="00D910CA" w:rsidRPr="00413F49">
        <w:rPr>
          <w:rFonts w:asciiTheme="majorHAnsi" w:hAnsiTheme="majorHAnsi"/>
        </w:rPr>
        <w:t>urosciences, University of Cali</w:t>
      </w:r>
      <w:r w:rsidRPr="00413F49">
        <w:rPr>
          <w:rFonts w:asciiTheme="majorHAnsi" w:hAnsiTheme="majorHAnsi"/>
        </w:rPr>
        <w:t xml:space="preserve">fornia </w:t>
      </w:r>
      <w:r w:rsidR="0040362A" w:rsidRPr="00413F49">
        <w:rPr>
          <w:rFonts w:asciiTheme="majorHAnsi" w:hAnsiTheme="majorHAnsi"/>
        </w:rPr>
        <w:t>San Francisco, San Francisco, California</w:t>
      </w:r>
      <w:r w:rsidRPr="00413F49">
        <w:rPr>
          <w:rFonts w:asciiTheme="majorHAnsi" w:hAnsiTheme="majorHAnsi"/>
        </w:rPr>
        <w:t>, USA</w:t>
      </w:r>
    </w:p>
    <w:p w:rsidR="002212E4" w:rsidRPr="00413F49" w:rsidRDefault="002212E4">
      <w:pPr>
        <w:pStyle w:val="ListParagraph"/>
        <w:rPr>
          <w:rFonts w:asciiTheme="majorHAnsi" w:hAnsiTheme="majorHAnsi"/>
        </w:rPr>
      </w:pPr>
    </w:p>
    <w:p w:rsidR="00770ACF" w:rsidRPr="00413F49" w:rsidRDefault="00770ACF" w:rsidP="0015168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413F49">
        <w:rPr>
          <w:rFonts w:asciiTheme="majorHAnsi" w:hAnsiTheme="majorHAnsi"/>
        </w:rPr>
        <w:t>University of Liverpool</w:t>
      </w:r>
      <w:r w:rsidR="0048599A" w:rsidRPr="00413F49">
        <w:rPr>
          <w:rFonts w:asciiTheme="majorHAnsi" w:hAnsiTheme="majorHAnsi"/>
        </w:rPr>
        <w:t>, Liverpool, UK</w:t>
      </w:r>
    </w:p>
    <w:p w:rsidR="00C22EF3" w:rsidRPr="00413F49" w:rsidRDefault="00C22EF3" w:rsidP="00361702">
      <w:pPr>
        <w:rPr>
          <w:rFonts w:asciiTheme="majorHAnsi" w:hAnsiTheme="majorHAnsi"/>
          <w:b/>
        </w:rPr>
      </w:pPr>
    </w:p>
    <w:p w:rsidR="005246E1" w:rsidRPr="00413F49" w:rsidRDefault="005246E1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Abstract</w:t>
      </w:r>
    </w:p>
    <w:p w:rsidR="00D1702A" w:rsidRPr="00413F49" w:rsidRDefault="00D1702A" w:rsidP="000C6FDD">
      <w:pPr>
        <w:jc w:val="both"/>
        <w:rPr>
          <w:rFonts w:asciiTheme="majorHAnsi" w:hAnsiTheme="majorHAnsi"/>
          <w:color w:val="FF0000"/>
        </w:rPr>
      </w:pPr>
    </w:p>
    <w:p w:rsidR="00E41847" w:rsidRPr="00413F49" w:rsidRDefault="00FB268A" w:rsidP="00FC5159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Rituximab is a </w:t>
      </w:r>
      <w:r w:rsidR="00E33FE5" w:rsidRPr="00413F49">
        <w:rPr>
          <w:rFonts w:asciiTheme="majorHAnsi" w:hAnsiTheme="majorHAnsi"/>
          <w:b/>
        </w:rPr>
        <w:t xml:space="preserve">widely used </w:t>
      </w:r>
      <w:r w:rsidRPr="00413F49">
        <w:rPr>
          <w:rFonts w:asciiTheme="majorHAnsi" w:hAnsiTheme="majorHAnsi"/>
          <w:b/>
        </w:rPr>
        <w:t>B-cell depleting monoclonal antibody</w:t>
      </w:r>
      <w:r w:rsidR="00E33FE5" w:rsidRPr="00413F49">
        <w:rPr>
          <w:rFonts w:asciiTheme="majorHAnsi" w:hAnsiTheme="majorHAnsi"/>
          <w:b/>
        </w:rPr>
        <w:t>. It is unlicensed in neurolog</w:t>
      </w:r>
      <w:r w:rsidR="00A830FE" w:rsidRPr="00413F49">
        <w:rPr>
          <w:rFonts w:asciiTheme="majorHAnsi" w:hAnsiTheme="majorHAnsi"/>
          <w:b/>
        </w:rPr>
        <w:t>ical dis</w:t>
      </w:r>
      <w:r w:rsidR="004A7AFE" w:rsidRPr="00413F49">
        <w:rPr>
          <w:rFonts w:asciiTheme="majorHAnsi" w:hAnsiTheme="majorHAnsi"/>
          <w:b/>
        </w:rPr>
        <w:t>order</w:t>
      </w:r>
      <w:r w:rsidR="00A830FE" w:rsidRPr="00413F49">
        <w:rPr>
          <w:rFonts w:asciiTheme="majorHAnsi" w:hAnsiTheme="majorHAnsi"/>
          <w:b/>
        </w:rPr>
        <w:t>s</w:t>
      </w:r>
      <w:r w:rsidR="00E33FE5" w:rsidRPr="00413F49">
        <w:rPr>
          <w:rFonts w:asciiTheme="majorHAnsi" w:hAnsiTheme="majorHAnsi"/>
          <w:b/>
        </w:rPr>
        <w:t xml:space="preserve"> and </w:t>
      </w:r>
      <w:r w:rsidR="00A830FE" w:rsidRPr="00413F49">
        <w:rPr>
          <w:rFonts w:asciiTheme="majorHAnsi" w:hAnsiTheme="majorHAnsi"/>
          <w:b/>
        </w:rPr>
        <w:t xml:space="preserve">treatment </w:t>
      </w:r>
      <w:r w:rsidR="00E33FE5" w:rsidRPr="00413F49">
        <w:rPr>
          <w:rFonts w:asciiTheme="majorHAnsi" w:hAnsiTheme="majorHAnsi"/>
          <w:b/>
        </w:rPr>
        <w:t>guidelines are lacking</w:t>
      </w:r>
      <w:r w:rsidR="00E41847" w:rsidRPr="00413F49">
        <w:rPr>
          <w:rFonts w:asciiTheme="majorHAnsi" w:hAnsiTheme="majorHAnsi"/>
          <w:b/>
        </w:rPr>
        <w:t>. However,</w:t>
      </w:r>
      <w:r w:rsidR="00E33FE5" w:rsidRPr="00413F49">
        <w:rPr>
          <w:rFonts w:asciiTheme="majorHAnsi" w:hAnsiTheme="majorHAnsi"/>
          <w:b/>
        </w:rPr>
        <w:t xml:space="preserve"> a</w:t>
      </w:r>
      <w:r w:rsidR="00B62666" w:rsidRPr="00413F49">
        <w:rPr>
          <w:rFonts w:asciiTheme="majorHAnsi" w:hAnsiTheme="majorHAnsi"/>
          <w:b/>
        </w:rPr>
        <w:t xml:space="preserve">s a </w:t>
      </w:r>
      <w:r w:rsidR="007335B4" w:rsidRPr="00413F49">
        <w:rPr>
          <w:rFonts w:asciiTheme="majorHAnsi" w:hAnsiTheme="majorHAnsi"/>
          <w:b/>
        </w:rPr>
        <w:t>rapidly acting</w:t>
      </w:r>
      <w:r w:rsidR="00E33FE5" w:rsidRPr="00413F49">
        <w:rPr>
          <w:rFonts w:asciiTheme="majorHAnsi" w:hAnsiTheme="majorHAnsi"/>
          <w:b/>
        </w:rPr>
        <w:t>,</w:t>
      </w:r>
      <w:r w:rsidR="007335B4" w:rsidRPr="00413F49">
        <w:rPr>
          <w:rFonts w:asciiTheme="majorHAnsi" w:hAnsiTheme="majorHAnsi"/>
          <w:b/>
        </w:rPr>
        <w:t xml:space="preserve"> </w:t>
      </w:r>
      <w:r w:rsidR="00B62666" w:rsidRPr="00413F49">
        <w:rPr>
          <w:rFonts w:asciiTheme="majorHAnsi" w:hAnsiTheme="majorHAnsi"/>
          <w:b/>
        </w:rPr>
        <w:t>targeted therapy</w:t>
      </w:r>
      <w:r w:rsidR="007335B4" w:rsidRPr="00413F49">
        <w:rPr>
          <w:rFonts w:asciiTheme="majorHAnsi" w:hAnsiTheme="majorHAnsi"/>
          <w:b/>
        </w:rPr>
        <w:t xml:space="preserve"> w</w:t>
      </w:r>
      <w:r w:rsidR="00B62666" w:rsidRPr="00413F49">
        <w:rPr>
          <w:rFonts w:asciiTheme="majorHAnsi" w:hAnsiTheme="majorHAnsi"/>
          <w:b/>
        </w:rPr>
        <w:t xml:space="preserve">ith </w:t>
      </w:r>
      <w:r w:rsidR="007335B4" w:rsidRPr="00413F49">
        <w:rPr>
          <w:rFonts w:asciiTheme="majorHAnsi" w:hAnsiTheme="majorHAnsi"/>
          <w:b/>
        </w:rPr>
        <w:t>g</w:t>
      </w:r>
      <w:r w:rsidR="00B62666" w:rsidRPr="00413F49">
        <w:rPr>
          <w:rFonts w:asciiTheme="majorHAnsi" w:hAnsiTheme="majorHAnsi"/>
          <w:b/>
        </w:rPr>
        <w:t xml:space="preserve">rowing evidence </w:t>
      </w:r>
      <w:r w:rsidR="007335B4" w:rsidRPr="00413F49">
        <w:rPr>
          <w:rFonts w:asciiTheme="majorHAnsi" w:hAnsiTheme="majorHAnsi"/>
          <w:b/>
        </w:rPr>
        <w:t xml:space="preserve">of </w:t>
      </w:r>
      <w:r w:rsidR="00B62666" w:rsidRPr="00413F49">
        <w:rPr>
          <w:rFonts w:asciiTheme="majorHAnsi" w:hAnsiTheme="majorHAnsi"/>
          <w:b/>
        </w:rPr>
        <w:t xml:space="preserve">efficacy and tolerability in </w:t>
      </w:r>
      <w:r w:rsidR="007335B4" w:rsidRPr="00413F49">
        <w:rPr>
          <w:rFonts w:asciiTheme="majorHAnsi" w:hAnsiTheme="majorHAnsi"/>
          <w:b/>
        </w:rPr>
        <w:t xml:space="preserve">several </w:t>
      </w:r>
      <w:r w:rsidR="00B62666" w:rsidRPr="00413F49">
        <w:rPr>
          <w:rFonts w:asciiTheme="majorHAnsi" w:hAnsiTheme="majorHAnsi"/>
          <w:b/>
        </w:rPr>
        <w:t xml:space="preserve">neuroinflammatory disorders, it </w:t>
      </w:r>
      <w:r w:rsidR="00E33FE5" w:rsidRPr="00413F49">
        <w:rPr>
          <w:rFonts w:asciiTheme="majorHAnsi" w:hAnsiTheme="majorHAnsi"/>
          <w:b/>
        </w:rPr>
        <w:t xml:space="preserve">is </w:t>
      </w:r>
      <w:r w:rsidR="00B62666" w:rsidRPr="00413F49">
        <w:rPr>
          <w:rFonts w:asciiTheme="majorHAnsi" w:hAnsiTheme="majorHAnsi"/>
          <w:b/>
        </w:rPr>
        <w:t xml:space="preserve">an attractive alternative to conventional immunomodulatory </w:t>
      </w:r>
      <w:r w:rsidR="00E33FE5" w:rsidRPr="00413F49">
        <w:rPr>
          <w:rFonts w:asciiTheme="majorHAnsi" w:hAnsiTheme="majorHAnsi"/>
          <w:b/>
        </w:rPr>
        <w:t>medications</w:t>
      </w:r>
      <w:r w:rsidR="00B62666" w:rsidRPr="00413F49">
        <w:rPr>
          <w:rFonts w:asciiTheme="majorHAnsi" w:hAnsiTheme="majorHAnsi"/>
          <w:b/>
        </w:rPr>
        <w:t xml:space="preserve">. </w:t>
      </w:r>
    </w:p>
    <w:p w:rsidR="00E41847" w:rsidRPr="00413F49" w:rsidRDefault="00E41847" w:rsidP="00FC5159">
      <w:pPr>
        <w:jc w:val="both"/>
        <w:rPr>
          <w:rFonts w:asciiTheme="majorHAnsi" w:hAnsiTheme="majorHAnsi"/>
          <w:b/>
        </w:rPr>
      </w:pPr>
    </w:p>
    <w:p w:rsidR="00FC5159" w:rsidRPr="00413F49" w:rsidRDefault="00B62666" w:rsidP="00FC5159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This practical review </w:t>
      </w:r>
      <w:r w:rsidR="00A830FE" w:rsidRPr="00413F49">
        <w:rPr>
          <w:rFonts w:asciiTheme="majorHAnsi" w:hAnsiTheme="majorHAnsi"/>
          <w:b/>
        </w:rPr>
        <w:t xml:space="preserve">aims to </w:t>
      </w:r>
      <w:r w:rsidR="00E33FE5" w:rsidRPr="00413F49">
        <w:rPr>
          <w:rFonts w:asciiTheme="majorHAnsi" w:hAnsiTheme="majorHAnsi"/>
          <w:b/>
        </w:rPr>
        <w:t xml:space="preserve">explain </w:t>
      </w:r>
      <w:r w:rsidRPr="00413F49">
        <w:rPr>
          <w:rFonts w:asciiTheme="majorHAnsi" w:hAnsiTheme="majorHAnsi"/>
          <w:b/>
        </w:rPr>
        <w:t xml:space="preserve">the basic principles of B-cell depletion and </w:t>
      </w:r>
      <w:r w:rsidR="007335B4" w:rsidRPr="00413F49">
        <w:rPr>
          <w:rFonts w:asciiTheme="majorHAnsi" w:hAnsiTheme="majorHAnsi"/>
          <w:b/>
        </w:rPr>
        <w:t xml:space="preserve">therapeutic </w:t>
      </w:r>
      <w:r w:rsidRPr="00413F49">
        <w:rPr>
          <w:rFonts w:asciiTheme="majorHAnsi" w:hAnsiTheme="majorHAnsi"/>
          <w:b/>
        </w:rPr>
        <w:t>monoclonal antibod</w:t>
      </w:r>
      <w:r w:rsidR="00E33FE5" w:rsidRPr="00413F49">
        <w:rPr>
          <w:rFonts w:asciiTheme="majorHAnsi" w:hAnsiTheme="majorHAnsi"/>
          <w:b/>
        </w:rPr>
        <w:t>ies</w:t>
      </w:r>
      <w:r w:rsidRPr="00413F49">
        <w:rPr>
          <w:rFonts w:asciiTheme="majorHAnsi" w:hAnsiTheme="majorHAnsi"/>
          <w:b/>
        </w:rPr>
        <w:t>. The</w:t>
      </w:r>
      <w:r w:rsidR="00E41847" w:rsidRPr="00413F49">
        <w:rPr>
          <w:rFonts w:asciiTheme="majorHAnsi" w:hAnsiTheme="majorHAnsi"/>
          <w:b/>
        </w:rPr>
        <w:t xml:space="preserve"> </w:t>
      </w:r>
      <w:r w:rsidRPr="00413F49">
        <w:rPr>
          <w:rFonts w:asciiTheme="majorHAnsi" w:hAnsiTheme="majorHAnsi"/>
          <w:b/>
        </w:rPr>
        <w:t>evidence for rituximab in neurolog</w:t>
      </w:r>
      <w:r w:rsidR="00A830FE" w:rsidRPr="00413F49">
        <w:rPr>
          <w:rFonts w:asciiTheme="majorHAnsi" w:hAnsiTheme="majorHAnsi"/>
          <w:b/>
        </w:rPr>
        <w:t>ical diseases</w:t>
      </w:r>
      <w:r w:rsidRPr="00413F49">
        <w:rPr>
          <w:rFonts w:asciiTheme="majorHAnsi" w:hAnsiTheme="majorHAnsi"/>
          <w:b/>
        </w:rPr>
        <w:t xml:space="preserve"> </w:t>
      </w:r>
      <w:r w:rsidR="00E41847" w:rsidRPr="00413F49">
        <w:rPr>
          <w:rFonts w:asciiTheme="majorHAnsi" w:hAnsiTheme="majorHAnsi"/>
          <w:b/>
        </w:rPr>
        <w:t>is</w:t>
      </w:r>
      <w:r w:rsidRPr="00413F49">
        <w:rPr>
          <w:rFonts w:asciiTheme="majorHAnsi" w:hAnsiTheme="majorHAnsi"/>
          <w:b/>
        </w:rPr>
        <w:t xml:space="preserve"> presented</w:t>
      </w:r>
      <w:r w:rsidR="00E41847" w:rsidRPr="00413F49">
        <w:rPr>
          <w:rFonts w:asciiTheme="majorHAnsi" w:hAnsiTheme="majorHAnsi"/>
          <w:b/>
        </w:rPr>
        <w:t xml:space="preserve">, followed by the practical aspects of </w:t>
      </w:r>
      <w:r w:rsidR="004834D4" w:rsidRPr="00413F49">
        <w:rPr>
          <w:rFonts w:asciiTheme="majorHAnsi" w:hAnsiTheme="majorHAnsi"/>
          <w:b/>
        </w:rPr>
        <w:t>prescribing</w:t>
      </w:r>
      <w:r w:rsidR="00825196" w:rsidRPr="00413F49">
        <w:rPr>
          <w:rFonts w:asciiTheme="majorHAnsi" w:hAnsiTheme="majorHAnsi"/>
          <w:b/>
        </w:rPr>
        <w:t xml:space="preserve"> </w:t>
      </w:r>
      <w:r w:rsidR="00E41847" w:rsidRPr="00413F49">
        <w:rPr>
          <w:rFonts w:asciiTheme="majorHAnsi" w:hAnsiTheme="majorHAnsi"/>
          <w:b/>
        </w:rPr>
        <w:t xml:space="preserve">– </w:t>
      </w:r>
      <w:r w:rsidR="004834D4" w:rsidRPr="00413F49">
        <w:rPr>
          <w:rFonts w:asciiTheme="majorHAnsi" w:hAnsiTheme="majorHAnsi"/>
          <w:b/>
        </w:rPr>
        <w:t xml:space="preserve">dosing, monitoring, safety, treatment failure and use </w:t>
      </w:r>
      <w:r w:rsidR="00A830FE" w:rsidRPr="00413F49">
        <w:rPr>
          <w:rFonts w:asciiTheme="majorHAnsi" w:hAnsiTheme="majorHAnsi"/>
          <w:b/>
        </w:rPr>
        <w:t xml:space="preserve">in special circumstances including co-existing viral hepatitis, </w:t>
      </w:r>
      <w:r w:rsidR="004834D4" w:rsidRPr="00413F49">
        <w:rPr>
          <w:rFonts w:asciiTheme="majorHAnsi" w:hAnsiTheme="majorHAnsi"/>
          <w:b/>
        </w:rPr>
        <w:t xml:space="preserve">pregnancy and lactation.  </w:t>
      </w:r>
      <w:r w:rsidR="00041EF9" w:rsidRPr="00413F49">
        <w:rPr>
          <w:rFonts w:asciiTheme="majorHAnsi" w:hAnsiTheme="majorHAnsi"/>
          <w:b/>
        </w:rPr>
        <w:t>A</w:t>
      </w:r>
      <w:r w:rsidR="00E33FE5" w:rsidRPr="00413F49">
        <w:rPr>
          <w:rFonts w:asciiTheme="majorHAnsi" w:hAnsiTheme="majorHAnsi"/>
          <w:b/>
        </w:rPr>
        <w:t>n</w:t>
      </w:r>
      <w:r w:rsidRPr="00413F49">
        <w:rPr>
          <w:rFonts w:asciiTheme="majorHAnsi" w:hAnsiTheme="majorHAnsi"/>
          <w:b/>
        </w:rPr>
        <w:t xml:space="preserve"> administration guide</w:t>
      </w:r>
      <w:r w:rsidR="009F5FAE" w:rsidRPr="00413F49">
        <w:rPr>
          <w:rFonts w:asciiTheme="majorHAnsi" w:hAnsiTheme="majorHAnsi"/>
          <w:b/>
        </w:rPr>
        <w:t>, checklist</w:t>
      </w:r>
      <w:r w:rsidRPr="00413F49">
        <w:rPr>
          <w:rFonts w:asciiTheme="majorHAnsi" w:hAnsiTheme="majorHAnsi"/>
          <w:b/>
        </w:rPr>
        <w:t xml:space="preserve"> </w:t>
      </w:r>
      <w:r w:rsidR="00473CAD" w:rsidRPr="00413F49">
        <w:rPr>
          <w:rFonts w:asciiTheme="majorHAnsi" w:hAnsiTheme="majorHAnsi"/>
          <w:b/>
        </w:rPr>
        <w:t xml:space="preserve">and patient information leaflet </w:t>
      </w:r>
      <w:r w:rsidR="00232F70" w:rsidRPr="00413F49">
        <w:rPr>
          <w:rFonts w:asciiTheme="majorHAnsi" w:hAnsiTheme="majorHAnsi"/>
          <w:b/>
        </w:rPr>
        <w:t>are</w:t>
      </w:r>
      <w:r w:rsidR="00E41847" w:rsidRPr="00413F49">
        <w:rPr>
          <w:rFonts w:asciiTheme="majorHAnsi" w:hAnsiTheme="majorHAnsi"/>
          <w:b/>
        </w:rPr>
        <w:t xml:space="preserve"> provided, </w:t>
      </w:r>
      <w:r w:rsidR="00405726" w:rsidRPr="00413F49">
        <w:rPr>
          <w:rFonts w:asciiTheme="majorHAnsi" w:hAnsiTheme="majorHAnsi"/>
          <w:b/>
        </w:rPr>
        <w:t>which</w:t>
      </w:r>
      <w:r w:rsidRPr="00413F49">
        <w:rPr>
          <w:rFonts w:asciiTheme="majorHAnsi" w:hAnsiTheme="majorHAnsi"/>
          <w:b/>
        </w:rPr>
        <w:t xml:space="preserve"> can be adapted for local use.  </w:t>
      </w:r>
      <w:r w:rsidR="004834D4" w:rsidRPr="00413F49">
        <w:rPr>
          <w:rFonts w:asciiTheme="majorHAnsi" w:hAnsiTheme="majorHAnsi"/>
          <w:b/>
        </w:rPr>
        <w:t>Finally</w:t>
      </w:r>
      <w:r w:rsidR="00405726" w:rsidRPr="00413F49">
        <w:rPr>
          <w:rFonts w:asciiTheme="majorHAnsi" w:hAnsiTheme="majorHAnsi"/>
          <w:b/>
        </w:rPr>
        <w:t>,</w:t>
      </w:r>
      <w:r w:rsidR="004834D4" w:rsidRPr="00413F49">
        <w:rPr>
          <w:rFonts w:asciiTheme="majorHAnsi" w:hAnsiTheme="majorHAnsi"/>
          <w:b/>
        </w:rPr>
        <w:t xml:space="preserve"> we </w:t>
      </w:r>
      <w:r w:rsidR="00A830FE" w:rsidRPr="00413F49">
        <w:rPr>
          <w:rFonts w:asciiTheme="majorHAnsi" w:hAnsiTheme="majorHAnsi"/>
          <w:b/>
        </w:rPr>
        <w:t xml:space="preserve">review </w:t>
      </w:r>
      <w:r w:rsidR="00232F70" w:rsidRPr="00413F49">
        <w:rPr>
          <w:rFonts w:asciiTheme="majorHAnsi" w:hAnsiTheme="majorHAnsi"/>
          <w:b/>
        </w:rPr>
        <w:t xml:space="preserve">the </w:t>
      </w:r>
      <w:r w:rsidR="00A830FE" w:rsidRPr="00413F49">
        <w:rPr>
          <w:rFonts w:asciiTheme="majorHAnsi" w:hAnsiTheme="majorHAnsi"/>
          <w:b/>
        </w:rPr>
        <w:t xml:space="preserve">safety data of </w:t>
      </w:r>
      <w:r w:rsidR="00E41847" w:rsidRPr="00413F49">
        <w:rPr>
          <w:rFonts w:asciiTheme="majorHAnsi" w:hAnsiTheme="majorHAnsi"/>
          <w:b/>
        </w:rPr>
        <w:t xml:space="preserve">rituximab </w:t>
      </w:r>
      <w:r w:rsidR="00A830FE" w:rsidRPr="00413F49">
        <w:rPr>
          <w:rFonts w:asciiTheme="majorHAnsi" w:hAnsiTheme="majorHAnsi"/>
          <w:b/>
        </w:rPr>
        <w:t xml:space="preserve">and </w:t>
      </w:r>
      <w:r w:rsidR="00041EF9" w:rsidRPr="00413F49">
        <w:rPr>
          <w:rFonts w:asciiTheme="majorHAnsi" w:hAnsiTheme="majorHAnsi"/>
          <w:b/>
        </w:rPr>
        <w:t>ocrelizumab</w:t>
      </w:r>
      <w:r w:rsidR="00E41847" w:rsidRPr="00413F49">
        <w:rPr>
          <w:rFonts w:asciiTheme="majorHAnsi" w:hAnsiTheme="majorHAnsi"/>
          <w:b/>
        </w:rPr>
        <w:t xml:space="preserve"> (a newer and recently licensed B-cell depleting therapy</w:t>
      </w:r>
      <w:r w:rsidR="004A7AFE" w:rsidRPr="00413F49">
        <w:rPr>
          <w:rFonts w:asciiTheme="majorHAnsi" w:hAnsiTheme="majorHAnsi"/>
          <w:b/>
        </w:rPr>
        <w:t xml:space="preserve"> for MS</w:t>
      </w:r>
      <w:r w:rsidR="00E41847" w:rsidRPr="00413F49">
        <w:rPr>
          <w:rFonts w:asciiTheme="majorHAnsi" w:hAnsiTheme="majorHAnsi"/>
          <w:b/>
        </w:rPr>
        <w:t>)</w:t>
      </w:r>
      <w:r w:rsidR="00A830FE" w:rsidRPr="00413F49">
        <w:rPr>
          <w:rFonts w:asciiTheme="majorHAnsi" w:hAnsiTheme="majorHAnsi"/>
          <w:b/>
        </w:rPr>
        <w:t xml:space="preserve"> and suggest monitoring and risk reduction strategies</w:t>
      </w:r>
      <w:r w:rsidR="007335B4" w:rsidRPr="00413F49">
        <w:rPr>
          <w:rFonts w:asciiTheme="majorHAnsi" w:hAnsiTheme="majorHAnsi"/>
          <w:b/>
        </w:rPr>
        <w:t xml:space="preserve">.  </w:t>
      </w:r>
      <w:r w:rsidR="00041EF9" w:rsidRPr="00413F49">
        <w:rPr>
          <w:rFonts w:asciiTheme="majorHAnsi" w:hAnsiTheme="majorHAnsi"/>
          <w:b/>
        </w:rPr>
        <w:t xml:space="preserve"> </w:t>
      </w:r>
      <w:r w:rsidRPr="00413F49">
        <w:rPr>
          <w:rFonts w:asciiTheme="majorHAnsi" w:hAnsiTheme="majorHAnsi"/>
          <w:b/>
        </w:rPr>
        <w:t xml:space="preserve"> </w:t>
      </w:r>
    </w:p>
    <w:p w:rsidR="00C22EF3" w:rsidRPr="00413F49" w:rsidRDefault="00C22EF3" w:rsidP="00FC5159">
      <w:pPr>
        <w:jc w:val="both"/>
        <w:rPr>
          <w:rFonts w:asciiTheme="majorHAnsi" w:hAnsiTheme="majorHAnsi"/>
        </w:rPr>
      </w:pPr>
    </w:p>
    <w:p w:rsidR="00E41847" w:rsidRPr="00413F49" w:rsidRDefault="00E41847" w:rsidP="00FC5159">
      <w:pPr>
        <w:jc w:val="both"/>
        <w:rPr>
          <w:rFonts w:asciiTheme="majorHAnsi" w:hAnsiTheme="majorHAnsi"/>
        </w:rPr>
      </w:pPr>
    </w:p>
    <w:p w:rsidR="00E822CE" w:rsidRPr="00413F49" w:rsidRDefault="00E822CE" w:rsidP="00C22EF3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Introduction</w:t>
      </w:r>
    </w:p>
    <w:p w:rsidR="00E822CE" w:rsidRPr="00413F49" w:rsidRDefault="00E822CE" w:rsidP="00C22EF3">
      <w:pPr>
        <w:rPr>
          <w:rFonts w:asciiTheme="majorHAnsi" w:hAnsiTheme="majorHAnsi"/>
          <w:b/>
        </w:rPr>
      </w:pPr>
    </w:p>
    <w:p w:rsidR="00780660" w:rsidRPr="00413F49" w:rsidRDefault="00780660" w:rsidP="00F22093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This article </w:t>
      </w:r>
      <w:r w:rsidR="00550DC7" w:rsidRPr="00413F49">
        <w:rPr>
          <w:rFonts w:asciiTheme="majorHAnsi" w:hAnsiTheme="majorHAnsi"/>
        </w:rPr>
        <w:t xml:space="preserve">covers both </w:t>
      </w:r>
      <w:r w:rsidR="00BB6142" w:rsidRPr="00413F49">
        <w:rPr>
          <w:rFonts w:asciiTheme="majorHAnsi" w:hAnsiTheme="majorHAnsi"/>
        </w:rPr>
        <w:t xml:space="preserve">the </w:t>
      </w:r>
      <w:r w:rsidR="00550DC7" w:rsidRPr="00413F49">
        <w:rPr>
          <w:rFonts w:asciiTheme="majorHAnsi" w:hAnsiTheme="majorHAnsi"/>
        </w:rPr>
        <w:t xml:space="preserve">practical aspects of </w:t>
      </w:r>
      <w:r w:rsidR="00550DC7" w:rsidRPr="00BB42FE">
        <w:rPr>
          <w:rFonts w:asciiTheme="majorHAnsi" w:hAnsiTheme="majorHAnsi"/>
        </w:rPr>
        <w:t>prescribing rituximab and some of the basic principles of B-cell depletion with monoclonal antibodies</w:t>
      </w:r>
      <w:r w:rsidR="00F9703F" w:rsidRPr="00BB42FE">
        <w:rPr>
          <w:rFonts w:asciiTheme="majorHAnsi" w:hAnsiTheme="majorHAnsi"/>
        </w:rPr>
        <w:t xml:space="preserve"> (mAbs). We briefly explain how rituximab compares to other B-cell depleting mAbs, </w:t>
      </w:r>
      <w:r w:rsidR="00550DC7" w:rsidRPr="00BB42FE">
        <w:rPr>
          <w:rFonts w:asciiTheme="majorHAnsi" w:hAnsiTheme="majorHAnsi"/>
        </w:rPr>
        <w:t xml:space="preserve">which are relevant to neurologists. </w:t>
      </w:r>
      <w:r w:rsidR="00AA5AFE" w:rsidRPr="00BB42FE">
        <w:rPr>
          <w:rFonts w:asciiTheme="majorHAnsi" w:hAnsiTheme="majorHAnsi"/>
        </w:rPr>
        <w:t>T</w:t>
      </w:r>
      <w:r w:rsidRPr="00BB42FE">
        <w:rPr>
          <w:rFonts w:asciiTheme="majorHAnsi" w:hAnsiTheme="majorHAnsi"/>
        </w:rPr>
        <w:t>hose seeking a rapid overview of the indications and ev</w:t>
      </w:r>
      <w:r w:rsidR="00AA5AFE" w:rsidRPr="00BB42FE">
        <w:rPr>
          <w:rFonts w:asciiTheme="majorHAnsi" w:hAnsiTheme="majorHAnsi"/>
        </w:rPr>
        <w:t>idence for rituximab in specific disorders</w:t>
      </w:r>
      <w:r w:rsidRPr="00BB42FE">
        <w:rPr>
          <w:rFonts w:asciiTheme="majorHAnsi" w:hAnsiTheme="majorHAnsi"/>
        </w:rPr>
        <w:t xml:space="preserve"> </w:t>
      </w:r>
      <w:r w:rsidR="00AA5AFE" w:rsidRPr="00BB42FE">
        <w:rPr>
          <w:rFonts w:asciiTheme="majorHAnsi" w:hAnsiTheme="majorHAnsi"/>
        </w:rPr>
        <w:t xml:space="preserve">may </w:t>
      </w:r>
      <w:r w:rsidR="00512CF2">
        <w:rPr>
          <w:rFonts w:asciiTheme="majorHAnsi" w:hAnsiTheme="majorHAnsi"/>
        </w:rPr>
        <w:t>wish to skip straight to table 1</w:t>
      </w:r>
      <w:r w:rsidR="00AA5AFE" w:rsidRPr="00BB42FE">
        <w:rPr>
          <w:rFonts w:asciiTheme="majorHAnsi" w:hAnsiTheme="majorHAnsi"/>
        </w:rPr>
        <w:t xml:space="preserve">.  Box 1 is a suggested administration </w:t>
      </w:r>
      <w:r w:rsidR="00550DC7" w:rsidRPr="00BB42FE">
        <w:rPr>
          <w:rFonts w:asciiTheme="majorHAnsi" w:hAnsiTheme="majorHAnsi"/>
        </w:rPr>
        <w:t>guide; t</w:t>
      </w:r>
      <w:r w:rsidR="00512CF2">
        <w:rPr>
          <w:rFonts w:asciiTheme="majorHAnsi" w:hAnsiTheme="majorHAnsi"/>
        </w:rPr>
        <w:t>able 2</w:t>
      </w:r>
      <w:r w:rsidR="00AA5AFE" w:rsidRPr="00BB42FE">
        <w:rPr>
          <w:rFonts w:asciiTheme="majorHAnsi" w:hAnsiTheme="majorHAnsi"/>
        </w:rPr>
        <w:t xml:space="preserve"> deals with adverse events and their manageme</w:t>
      </w:r>
      <w:r w:rsidR="00550DC7" w:rsidRPr="00BB42FE">
        <w:rPr>
          <w:rFonts w:asciiTheme="majorHAnsi" w:hAnsiTheme="majorHAnsi"/>
        </w:rPr>
        <w:t>nt; and t</w:t>
      </w:r>
      <w:r w:rsidR="00AA5AFE" w:rsidRPr="00BB42FE">
        <w:rPr>
          <w:rFonts w:asciiTheme="majorHAnsi" w:hAnsiTheme="majorHAnsi"/>
        </w:rPr>
        <w:t>able</w:t>
      </w:r>
      <w:r w:rsidR="00512CF2">
        <w:rPr>
          <w:rFonts w:asciiTheme="majorHAnsi" w:hAnsiTheme="majorHAnsi"/>
        </w:rPr>
        <w:t xml:space="preserve"> 3</w:t>
      </w:r>
      <w:r w:rsidR="00AA5AFE" w:rsidRPr="00413F49">
        <w:rPr>
          <w:rFonts w:asciiTheme="majorHAnsi" w:hAnsiTheme="majorHAnsi"/>
        </w:rPr>
        <w:t xml:space="preserve"> deals with</w:t>
      </w:r>
      <w:r w:rsidR="00550DC7" w:rsidRPr="00413F49">
        <w:rPr>
          <w:rFonts w:asciiTheme="majorHAnsi" w:hAnsiTheme="majorHAnsi"/>
        </w:rPr>
        <w:t xml:space="preserve"> specific prescribing circumstances, including pregnancy, breas</w:t>
      </w:r>
      <w:r w:rsidR="00BB6142" w:rsidRPr="00413F49">
        <w:rPr>
          <w:rFonts w:asciiTheme="majorHAnsi" w:hAnsiTheme="majorHAnsi"/>
        </w:rPr>
        <w:t>t</w:t>
      </w:r>
      <w:r w:rsidR="00550DC7" w:rsidRPr="00413F49">
        <w:rPr>
          <w:rFonts w:asciiTheme="majorHAnsi" w:hAnsiTheme="majorHAnsi"/>
        </w:rPr>
        <w:t>feeding and history of viral hepatitis.</w:t>
      </w:r>
      <w:r w:rsidR="00AA5AFE" w:rsidRPr="00413F49">
        <w:rPr>
          <w:rFonts w:asciiTheme="majorHAnsi" w:hAnsiTheme="majorHAnsi"/>
        </w:rPr>
        <w:t xml:space="preserve"> </w:t>
      </w:r>
      <w:r w:rsidR="00473CAD" w:rsidRPr="00413F49">
        <w:rPr>
          <w:rFonts w:asciiTheme="majorHAnsi" w:hAnsiTheme="majorHAnsi"/>
        </w:rPr>
        <w:t xml:space="preserve"> An example patient information sheet</w:t>
      </w:r>
      <w:r w:rsidR="000632E8" w:rsidRPr="00413F49">
        <w:rPr>
          <w:rFonts w:asciiTheme="majorHAnsi" w:hAnsiTheme="majorHAnsi"/>
        </w:rPr>
        <w:t xml:space="preserve"> and an administration checklist</w:t>
      </w:r>
      <w:r w:rsidR="00473CAD" w:rsidRPr="00413F49">
        <w:rPr>
          <w:rFonts w:asciiTheme="majorHAnsi" w:hAnsiTheme="majorHAnsi"/>
        </w:rPr>
        <w:t xml:space="preserve"> </w:t>
      </w:r>
      <w:r w:rsidR="000632E8" w:rsidRPr="00413F49">
        <w:rPr>
          <w:rFonts w:asciiTheme="majorHAnsi" w:hAnsiTheme="majorHAnsi"/>
        </w:rPr>
        <w:t>are</w:t>
      </w:r>
      <w:r w:rsidR="00473CAD" w:rsidRPr="00413F49">
        <w:rPr>
          <w:rFonts w:asciiTheme="majorHAnsi" w:hAnsiTheme="majorHAnsi"/>
        </w:rPr>
        <w:t xml:space="preserve"> available as supplementary online material.</w:t>
      </w:r>
    </w:p>
    <w:p w:rsidR="00E822CE" w:rsidRPr="00413F49" w:rsidRDefault="00E822CE" w:rsidP="00C22EF3">
      <w:pPr>
        <w:rPr>
          <w:rFonts w:asciiTheme="majorHAnsi" w:hAnsiTheme="majorHAnsi"/>
          <w:b/>
        </w:rPr>
      </w:pPr>
    </w:p>
    <w:p w:rsidR="005246E1" w:rsidRPr="00413F49" w:rsidRDefault="00602D1F" w:rsidP="00C22EF3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B-</w:t>
      </w:r>
      <w:r w:rsidR="00AC144B" w:rsidRPr="00413F49">
        <w:rPr>
          <w:rFonts w:asciiTheme="majorHAnsi" w:hAnsiTheme="majorHAnsi"/>
          <w:b/>
        </w:rPr>
        <w:t>cell</w:t>
      </w:r>
      <w:r w:rsidRPr="00413F49">
        <w:rPr>
          <w:rFonts w:asciiTheme="majorHAnsi" w:hAnsiTheme="majorHAnsi"/>
          <w:b/>
        </w:rPr>
        <w:t>s</w:t>
      </w:r>
      <w:r w:rsidR="000975C2" w:rsidRPr="00413F49">
        <w:rPr>
          <w:rFonts w:asciiTheme="majorHAnsi" w:hAnsiTheme="majorHAnsi"/>
          <w:b/>
        </w:rPr>
        <w:t xml:space="preserve"> – function and</w:t>
      </w:r>
      <w:r w:rsidR="005246E1" w:rsidRPr="00413F49">
        <w:rPr>
          <w:rFonts w:asciiTheme="majorHAnsi" w:hAnsiTheme="majorHAnsi"/>
          <w:b/>
        </w:rPr>
        <w:t xml:space="preserve"> role in neurological disease</w:t>
      </w:r>
    </w:p>
    <w:p w:rsidR="006E59B8" w:rsidRPr="00413F49" w:rsidRDefault="006E59B8">
      <w:pPr>
        <w:rPr>
          <w:rFonts w:asciiTheme="majorHAnsi" w:hAnsiTheme="majorHAnsi"/>
          <w:b/>
        </w:rPr>
      </w:pPr>
    </w:p>
    <w:p w:rsidR="001A2DF0" w:rsidRPr="00413F49" w:rsidRDefault="00D17146" w:rsidP="006D0DC1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B-cells </w:t>
      </w:r>
      <w:r w:rsidR="006E5E32" w:rsidRPr="00413F49">
        <w:rPr>
          <w:rFonts w:asciiTheme="majorHAnsi" w:hAnsiTheme="majorHAnsi"/>
        </w:rPr>
        <w:t xml:space="preserve">secrete antibodies, </w:t>
      </w:r>
      <w:r w:rsidR="006E59B8" w:rsidRPr="00413F49">
        <w:rPr>
          <w:rFonts w:asciiTheme="majorHAnsi" w:hAnsiTheme="majorHAnsi"/>
        </w:rPr>
        <w:t xml:space="preserve">present antigen and </w:t>
      </w:r>
      <w:r w:rsidR="00B43D48" w:rsidRPr="00413F49">
        <w:rPr>
          <w:rFonts w:asciiTheme="majorHAnsi" w:hAnsiTheme="majorHAnsi"/>
        </w:rPr>
        <w:t>regulate the immune response by producing</w:t>
      </w:r>
      <w:r w:rsidR="006E59B8" w:rsidRPr="00413F49">
        <w:rPr>
          <w:rFonts w:asciiTheme="majorHAnsi" w:hAnsiTheme="majorHAnsi"/>
        </w:rPr>
        <w:t xml:space="preserve"> </w:t>
      </w:r>
      <w:r w:rsidR="00B43D48" w:rsidRPr="00413F49">
        <w:rPr>
          <w:rFonts w:asciiTheme="majorHAnsi" w:hAnsiTheme="majorHAnsi"/>
        </w:rPr>
        <w:t xml:space="preserve">pro-inflammatory and anti-inflammatory </w:t>
      </w:r>
      <w:r w:rsidR="006E59B8" w:rsidRPr="00413F49">
        <w:rPr>
          <w:rFonts w:asciiTheme="majorHAnsi" w:hAnsiTheme="majorHAnsi"/>
        </w:rPr>
        <w:t>cytokines.</w:t>
      </w:r>
      <w:r w:rsidR="00DF354A" w:rsidRPr="00413F49">
        <w:rPr>
          <w:rFonts w:asciiTheme="majorHAnsi" w:hAnsiTheme="majorHAnsi"/>
        </w:rPr>
        <w:t xml:space="preserve"> </w:t>
      </w:r>
      <w:r w:rsidR="00AD6914" w:rsidRPr="00413F49">
        <w:rPr>
          <w:rFonts w:asciiTheme="majorHAnsi" w:hAnsiTheme="majorHAnsi"/>
        </w:rPr>
        <w:t xml:space="preserve">Only 2.5% of the total B-cell population is found within the peripheral circulation, made up predominantly of naïve mature B-cells </w:t>
      </w:r>
      <w:r w:rsidR="00F77CD5" w:rsidRPr="00413F49">
        <w:rPr>
          <w:rFonts w:asciiTheme="majorHAnsi" w:hAnsiTheme="majorHAnsi"/>
        </w:rPr>
        <w:t>and memory B-cells</w:t>
      </w:r>
      <w:r w:rsidR="00AC144B" w:rsidRPr="00413F49">
        <w:rPr>
          <w:rFonts w:asciiTheme="majorHAnsi" w:hAnsiTheme="majorHAnsi"/>
        </w:rPr>
        <w:t>; the rest reside in bone marrow and lymphoid tissue</w:t>
      </w:r>
      <w:r w:rsidR="00AD6914" w:rsidRPr="00413F49">
        <w:rPr>
          <w:rFonts w:asciiTheme="majorHAnsi" w:hAnsiTheme="majorHAnsi"/>
        </w:rPr>
        <w:t>.</w:t>
      </w:r>
      <w:r w:rsidR="00F77CD5" w:rsidRPr="00413F49">
        <w:rPr>
          <w:rFonts w:asciiTheme="majorHAnsi" w:hAnsiTheme="majorHAnsi"/>
          <w:vertAlign w:val="superscript"/>
        </w:rPr>
        <w:t>1</w:t>
      </w:r>
      <w:r w:rsidR="006B6AB6" w:rsidRPr="00413F49">
        <w:rPr>
          <w:rFonts w:asciiTheme="majorHAnsi" w:hAnsiTheme="majorHAnsi"/>
        </w:rPr>
        <w:t xml:space="preserve"> </w:t>
      </w:r>
      <w:r w:rsidR="004A7AFE" w:rsidRPr="00413F49">
        <w:rPr>
          <w:rFonts w:asciiTheme="majorHAnsi" w:hAnsiTheme="majorHAnsi"/>
        </w:rPr>
        <w:t>A</w:t>
      </w:r>
      <w:r w:rsidR="007018D8" w:rsidRPr="00413F49">
        <w:rPr>
          <w:rFonts w:asciiTheme="majorHAnsi" w:hAnsiTheme="majorHAnsi"/>
        </w:rPr>
        <w:t>ntibodies may</w:t>
      </w:r>
      <w:r w:rsidR="002A1AAB" w:rsidRPr="00413F49">
        <w:rPr>
          <w:rFonts w:asciiTheme="majorHAnsi" w:hAnsiTheme="majorHAnsi"/>
        </w:rPr>
        <w:t xml:space="preserve"> be of any immunoglobulin class (G,</w:t>
      </w:r>
      <w:r w:rsidR="004A7AFE" w:rsidRPr="00413F49">
        <w:rPr>
          <w:rFonts w:asciiTheme="majorHAnsi" w:hAnsiTheme="majorHAnsi"/>
        </w:rPr>
        <w:t xml:space="preserve"> </w:t>
      </w:r>
      <w:r w:rsidR="002A1AAB" w:rsidRPr="00413F49">
        <w:rPr>
          <w:rFonts w:asciiTheme="majorHAnsi" w:hAnsiTheme="majorHAnsi"/>
        </w:rPr>
        <w:t>M, A, D</w:t>
      </w:r>
      <w:r w:rsidR="00780660" w:rsidRPr="00413F49">
        <w:rPr>
          <w:rFonts w:asciiTheme="majorHAnsi" w:hAnsiTheme="majorHAnsi"/>
        </w:rPr>
        <w:t xml:space="preserve"> or</w:t>
      </w:r>
      <w:r w:rsidR="002A1AAB" w:rsidRPr="00413F49">
        <w:rPr>
          <w:rFonts w:asciiTheme="majorHAnsi" w:hAnsiTheme="majorHAnsi"/>
        </w:rPr>
        <w:t xml:space="preserve"> E)</w:t>
      </w:r>
      <w:r w:rsidR="007018D8" w:rsidRPr="00413F49">
        <w:rPr>
          <w:rFonts w:asciiTheme="majorHAnsi" w:hAnsiTheme="majorHAnsi"/>
        </w:rPr>
        <w:t xml:space="preserve"> or subclass (e.g. </w:t>
      </w:r>
      <w:r w:rsidR="002A1AAB" w:rsidRPr="00413F49">
        <w:rPr>
          <w:rFonts w:asciiTheme="majorHAnsi" w:hAnsiTheme="majorHAnsi"/>
        </w:rPr>
        <w:t>IgG1-4)</w:t>
      </w:r>
      <w:r w:rsidR="007018D8" w:rsidRPr="00413F49">
        <w:rPr>
          <w:rFonts w:asciiTheme="majorHAnsi" w:hAnsiTheme="majorHAnsi"/>
        </w:rPr>
        <w:t>, each of which have differing functions</w:t>
      </w:r>
      <w:r w:rsidR="002A1AAB" w:rsidRPr="00413F49">
        <w:rPr>
          <w:rFonts w:asciiTheme="majorHAnsi" w:hAnsiTheme="majorHAnsi"/>
        </w:rPr>
        <w:t>.</w:t>
      </w:r>
      <w:r w:rsidR="004A7AFE" w:rsidRPr="00413F49">
        <w:rPr>
          <w:rFonts w:asciiTheme="majorHAnsi" w:hAnsiTheme="majorHAnsi"/>
        </w:rPr>
        <w:t xml:space="preserve"> </w:t>
      </w:r>
      <w:r w:rsidR="002A1AAB" w:rsidRPr="00413F49">
        <w:rPr>
          <w:rFonts w:asciiTheme="majorHAnsi" w:hAnsiTheme="majorHAnsi"/>
        </w:rPr>
        <w:t>Examples of dis</w:t>
      </w:r>
      <w:r w:rsidR="004A7AFE" w:rsidRPr="00413F49">
        <w:rPr>
          <w:rFonts w:asciiTheme="majorHAnsi" w:hAnsiTheme="majorHAnsi"/>
        </w:rPr>
        <w:t>order</w:t>
      </w:r>
      <w:r w:rsidR="002A1AAB" w:rsidRPr="00413F49">
        <w:rPr>
          <w:rFonts w:asciiTheme="majorHAnsi" w:hAnsiTheme="majorHAnsi"/>
        </w:rPr>
        <w:t xml:space="preserve">s in which </w:t>
      </w:r>
      <w:r w:rsidR="004A7AFE" w:rsidRPr="00413F49">
        <w:rPr>
          <w:rFonts w:asciiTheme="majorHAnsi" w:hAnsiTheme="majorHAnsi"/>
        </w:rPr>
        <w:t>autoantibodies</w:t>
      </w:r>
      <w:r w:rsidR="002A1AAB" w:rsidRPr="00413F49">
        <w:rPr>
          <w:rFonts w:asciiTheme="majorHAnsi" w:hAnsiTheme="majorHAnsi"/>
        </w:rPr>
        <w:t xml:space="preserve"> are almost certainly pathogenic include </w:t>
      </w:r>
      <w:r w:rsidR="007018D8" w:rsidRPr="00413F49">
        <w:rPr>
          <w:rFonts w:asciiTheme="majorHAnsi" w:hAnsiTheme="majorHAnsi"/>
        </w:rPr>
        <w:t xml:space="preserve">myasthenia gravis (MG) with </w:t>
      </w:r>
      <w:r w:rsidR="002A1AAB" w:rsidRPr="00413F49">
        <w:rPr>
          <w:rFonts w:asciiTheme="majorHAnsi" w:hAnsiTheme="majorHAnsi"/>
        </w:rPr>
        <w:t>acetylcholine receptor (AChR</w:t>
      </w:r>
      <w:r w:rsidR="004A7AFE" w:rsidRPr="00413F49">
        <w:rPr>
          <w:rFonts w:asciiTheme="majorHAnsi" w:hAnsiTheme="majorHAnsi"/>
        </w:rPr>
        <w:t>) antibodies (</w:t>
      </w:r>
      <w:r w:rsidR="00536D4D" w:rsidRPr="00413F49">
        <w:rPr>
          <w:rFonts w:asciiTheme="majorHAnsi" w:hAnsiTheme="majorHAnsi"/>
        </w:rPr>
        <w:t xml:space="preserve">usually </w:t>
      </w:r>
      <w:r w:rsidR="002A1AAB" w:rsidRPr="00413F49">
        <w:rPr>
          <w:rFonts w:asciiTheme="majorHAnsi" w:hAnsiTheme="majorHAnsi"/>
        </w:rPr>
        <w:t xml:space="preserve">IgG1 or IgG3) or muscle-specific tyrosine kinase (MuSK) antibodies </w:t>
      </w:r>
      <w:r w:rsidR="004A7AFE" w:rsidRPr="00413F49">
        <w:rPr>
          <w:rFonts w:asciiTheme="majorHAnsi" w:hAnsiTheme="majorHAnsi"/>
        </w:rPr>
        <w:t>(IgG4)</w:t>
      </w:r>
      <w:r w:rsidR="002A1AAB" w:rsidRPr="00413F49">
        <w:rPr>
          <w:rFonts w:asciiTheme="majorHAnsi" w:hAnsiTheme="majorHAnsi"/>
        </w:rPr>
        <w:t>, antibodies against the aquaporin-4 water channel</w:t>
      </w:r>
      <w:r w:rsidR="00780660" w:rsidRPr="00413F49">
        <w:rPr>
          <w:rFonts w:asciiTheme="majorHAnsi" w:hAnsiTheme="majorHAnsi"/>
        </w:rPr>
        <w:t xml:space="preserve"> </w:t>
      </w:r>
      <w:r w:rsidR="002A1AAB" w:rsidRPr="00413F49">
        <w:rPr>
          <w:rFonts w:asciiTheme="majorHAnsi" w:hAnsiTheme="majorHAnsi"/>
        </w:rPr>
        <w:t xml:space="preserve"> in neuromyelitis optica spectrum disorders (NMOSD) </w:t>
      </w:r>
      <w:r w:rsidR="007018D8" w:rsidRPr="00413F49">
        <w:rPr>
          <w:rFonts w:asciiTheme="majorHAnsi" w:hAnsiTheme="majorHAnsi"/>
        </w:rPr>
        <w:t xml:space="preserve">(mainly IgG1) </w:t>
      </w:r>
      <w:r w:rsidR="002A1AAB" w:rsidRPr="00413F49">
        <w:rPr>
          <w:rFonts w:asciiTheme="majorHAnsi" w:hAnsiTheme="majorHAnsi"/>
        </w:rPr>
        <w:t xml:space="preserve">and antibodies to the N-methyl-D-aspartate receptor (NMDAR) </w:t>
      </w:r>
      <w:r w:rsidR="00780660" w:rsidRPr="00413F49">
        <w:rPr>
          <w:rFonts w:asciiTheme="majorHAnsi" w:hAnsiTheme="majorHAnsi"/>
        </w:rPr>
        <w:t>(</w:t>
      </w:r>
      <w:r w:rsidR="007018D8" w:rsidRPr="00413F49">
        <w:rPr>
          <w:rFonts w:asciiTheme="majorHAnsi" w:hAnsiTheme="majorHAnsi"/>
        </w:rPr>
        <w:t xml:space="preserve">mainly </w:t>
      </w:r>
      <w:r w:rsidR="00780660" w:rsidRPr="00413F49">
        <w:rPr>
          <w:rFonts w:asciiTheme="majorHAnsi" w:hAnsiTheme="majorHAnsi"/>
        </w:rPr>
        <w:t>IgG</w:t>
      </w:r>
      <w:r w:rsidR="007018D8" w:rsidRPr="00413F49">
        <w:rPr>
          <w:rFonts w:asciiTheme="majorHAnsi" w:hAnsiTheme="majorHAnsi"/>
        </w:rPr>
        <w:t>1) or leucine-rich glioma inactivated-1 (LGI1) (mainly IgG4)</w:t>
      </w:r>
      <w:r w:rsidR="00780660" w:rsidRPr="00413F49">
        <w:rPr>
          <w:rFonts w:asciiTheme="majorHAnsi" w:hAnsiTheme="majorHAnsi"/>
        </w:rPr>
        <w:t xml:space="preserve"> </w:t>
      </w:r>
      <w:r w:rsidR="002A1AAB" w:rsidRPr="00413F49">
        <w:rPr>
          <w:rFonts w:asciiTheme="majorHAnsi" w:hAnsiTheme="majorHAnsi"/>
        </w:rPr>
        <w:t>in autoimmune encephalitis.</w:t>
      </w:r>
      <w:r w:rsidR="004B2894" w:rsidRPr="00413F49">
        <w:rPr>
          <w:rFonts w:asciiTheme="majorHAnsi" w:hAnsiTheme="majorHAnsi"/>
        </w:rPr>
        <w:t xml:space="preserve"> </w:t>
      </w:r>
      <w:r w:rsidR="007D2F12" w:rsidRPr="00413F49">
        <w:rPr>
          <w:rFonts w:asciiTheme="majorHAnsi" w:hAnsiTheme="majorHAnsi"/>
        </w:rPr>
        <w:t>B</w:t>
      </w:r>
      <w:r w:rsidR="00E56267" w:rsidRPr="00413F49">
        <w:rPr>
          <w:rFonts w:asciiTheme="majorHAnsi" w:hAnsiTheme="majorHAnsi"/>
        </w:rPr>
        <w:t>-</w:t>
      </w:r>
      <w:r w:rsidR="007D2F12" w:rsidRPr="00413F49">
        <w:rPr>
          <w:rFonts w:asciiTheme="majorHAnsi" w:hAnsiTheme="majorHAnsi"/>
        </w:rPr>
        <w:t xml:space="preserve">cells </w:t>
      </w:r>
      <w:r w:rsidR="00E56267" w:rsidRPr="00413F49">
        <w:rPr>
          <w:rFonts w:asciiTheme="majorHAnsi" w:hAnsiTheme="majorHAnsi"/>
        </w:rPr>
        <w:t xml:space="preserve">also </w:t>
      </w:r>
      <w:r w:rsidR="007D2F12" w:rsidRPr="00413F49">
        <w:rPr>
          <w:rFonts w:asciiTheme="majorHAnsi" w:hAnsiTheme="majorHAnsi"/>
        </w:rPr>
        <w:t>play a crucial role in multi</w:t>
      </w:r>
      <w:r w:rsidR="002A2D23" w:rsidRPr="00413F49">
        <w:rPr>
          <w:rFonts w:asciiTheme="majorHAnsi" w:hAnsiTheme="majorHAnsi"/>
        </w:rPr>
        <w:t xml:space="preserve">ple sclerosis (MS) pathogenesis, evidenced by </w:t>
      </w:r>
      <w:r w:rsidR="00E56267" w:rsidRPr="00413F49">
        <w:rPr>
          <w:rFonts w:asciiTheme="majorHAnsi" w:hAnsiTheme="majorHAnsi"/>
        </w:rPr>
        <w:t>C</w:t>
      </w:r>
      <w:r w:rsidR="00121CF4" w:rsidRPr="00413F49">
        <w:rPr>
          <w:rFonts w:asciiTheme="majorHAnsi" w:hAnsiTheme="majorHAnsi"/>
        </w:rPr>
        <w:t xml:space="preserve">SF </w:t>
      </w:r>
      <w:r w:rsidR="00AC144B" w:rsidRPr="00413F49">
        <w:rPr>
          <w:rFonts w:asciiTheme="majorHAnsi" w:hAnsiTheme="majorHAnsi"/>
        </w:rPr>
        <w:t>oligoclonal IgG bands</w:t>
      </w:r>
      <w:r w:rsidR="007D2F12" w:rsidRPr="00413F49">
        <w:rPr>
          <w:rFonts w:asciiTheme="majorHAnsi" w:hAnsiTheme="majorHAnsi"/>
        </w:rPr>
        <w:t>,</w:t>
      </w:r>
      <w:r w:rsidR="00AC144B" w:rsidRPr="00413F49">
        <w:rPr>
          <w:rFonts w:asciiTheme="majorHAnsi" w:hAnsiTheme="majorHAnsi"/>
        </w:rPr>
        <w:t xml:space="preserve"> meningeal-based </w:t>
      </w:r>
      <w:r w:rsidR="00AD6914" w:rsidRPr="00413F49">
        <w:rPr>
          <w:rFonts w:asciiTheme="majorHAnsi" w:hAnsiTheme="majorHAnsi"/>
        </w:rPr>
        <w:t>ectopic B-cell follicles adjacent to areas of focal cortical demyelination</w:t>
      </w:r>
      <w:r w:rsidR="00F77CD5" w:rsidRPr="00413F49">
        <w:rPr>
          <w:rFonts w:asciiTheme="majorHAnsi" w:hAnsiTheme="majorHAnsi"/>
          <w:vertAlign w:val="superscript"/>
        </w:rPr>
        <w:t>2</w:t>
      </w:r>
      <w:r w:rsidR="00AD6914" w:rsidRPr="00413F49">
        <w:rPr>
          <w:rFonts w:asciiTheme="majorHAnsi" w:hAnsiTheme="majorHAnsi"/>
        </w:rPr>
        <w:t xml:space="preserve"> </w:t>
      </w:r>
      <w:r w:rsidR="00E56267" w:rsidRPr="00413F49">
        <w:rPr>
          <w:rFonts w:asciiTheme="majorHAnsi" w:hAnsiTheme="majorHAnsi"/>
        </w:rPr>
        <w:t>and the</w:t>
      </w:r>
      <w:r w:rsidR="007D2F12" w:rsidRPr="00413F49">
        <w:rPr>
          <w:rFonts w:asciiTheme="majorHAnsi" w:hAnsiTheme="majorHAnsi"/>
        </w:rPr>
        <w:t xml:space="preserve"> </w:t>
      </w:r>
      <w:r w:rsidR="00E40612" w:rsidRPr="00413F49">
        <w:rPr>
          <w:rFonts w:asciiTheme="majorHAnsi" w:hAnsiTheme="majorHAnsi"/>
        </w:rPr>
        <w:t xml:space="preserve">efficacy </w:t>
      </w:r>
      <w:r w:rsidR="00E56267" w:rsidRPr="00413F49">
        <w:rPr>
          <w:rFonts w:asciiTheme="majorHAnsi" w:hAnsiTheme="majorHAnsi"/>
        </w:rPr>
        <w:t xml:space="preserve">of </w:t>
      </w:r>
      <w:r w:rsidR="00121CF4" w:rsidRPr="00413F49">
        <w:rPr>
          <w:rFonts w:asciiTheme="majorHAnsi" w:hAnsiTheme="majorHAnsi"/>
        </w:rPr>
        <w:t xml:space="preserve">B-cell depleting therapies </w:t>
      </w:r>
      <w:r w:rsidR="00E56267" w:rsidRPr="00413F49">
        <w:rPr>
          <w:rFonts w:asciiTheme="majorHAnsi" w:hAnsiTheme="majorHAnsi"/>
        </w:rPr>
        <w:t xml:space="preserve">to treat </w:t>
      </w:r>
      <w:r w:rsidR="007D2F12" w:rsidRPr="00413F49">
        <w:rPr>
          <w:rFonts w:asciiTheme="majorHAnsi" w:hAnsiTheme="majorHAnsi"/>
        </w:rPr>
        <w:t>MS.</w:t>
      </w:r>
    </w:p>
    <w:p w:rsidR="00F44F88" w:rsidRPr="00413F49" w:rsidRDefault="00F44F88">
      <w:pPr>
        <w:rPr>
          <w:rFonts w:asciiTheme="majorHAnsi" w:hAnsiTheme="majorHAnsi"/>
          <w:b/>
        </w:rPr>
      </w:pPr>
    </w:p>
    <w:p w:rsidR="009C0A6E" w:rsidRPr="00413F49" w:rsidRDefault="0001073C" w:rsidP="00C22EF3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B-cell </w:t>
      </w:r>
      <w:r w:rsidR="00984852" w:rsidRPr="00413F49">
        <w:rPr>
          <w:rFonts w:asciiTheme="majorHAnsi" w:hAnsiTheme="majorHAnsi"/>
          <w:b/>
        </w:rPr>
        <w:t xml:space="preserve">surface </w:t>
      </w:r>
      <w:r w:rsidRPr="00413F49">
        <w:rPr>
          <w:rFonts w:asciiTheme="majorHAnsi" w:hAnsiTheme="majorHAnsi"/>
          <w:b/>
        </w:rPr>
        <w:t>markers</w:t>
      </w:r>
    </w:p>
    <w:p w:rsidR="009C0A6E" w:rsidRPr="00413F49" w:rsidRDefault="009C0A6E">
      <w:pPr>
        <w:rPr>
          <w:rFonts w:asciiTheme="majorHAnsi" w:hAnsiTheme="majorHAnsi"/>
          <w:b/>
        </w:rPr>
      </w:pPr>
    </w:p>
    <w:p w:rsidR="00516D9A" w:rsidRPr="00413F49" w:rsidRDefault="007E3184" w:rsidP="0072674B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CD19 and CD20 are </w:t>
      </w:r>
      <w:r w:rsidR="007D2F12" w:rsidRPr="00413F49">
        <w:rPr>
          <w:rFonts w:asciiTheme="majorHAnsi" w:hAnsiTheme="majorHAnsi"/>
        </w:rPr>
        <w:t xml:space="preserve">B-cell </w:t>
      </w:r>
      <w:r w:rsidRPr="00413F49">
        <w:rPr>
          <w:rFonts w:asciiTheme="majorHAnsi" w:hAnsiTheme="majorHAnsi"/>
        </w:rPr>
        <w:t>transmembrane proteins</w:t>
      </w:r>
      <w:r w:rsidR="007D2F12" w:rsidRPr="00413F49">
        <w:rPr>
          <w:rFonts w:asciiTheme="majorHAnsi" w:hAnsiTheme="majorHAnsi"/>
        </w:rPr>
        <w:t xml:space="preserve">. They can be used as </w:t>
      </w:r>
      <w:r w:rsidR="00984852" w:rsidRPr="00413F49">
        <w:rPr>
          <w:rFonts w:asciiTheme="majorHAnsi" w:hAnsiTheme="majorHAnsi"/>
        </w:rPr>
        <w:t xml:space="preserve">targets for drugs and as </w:t>
      </w:r>
      <w:r w:rsidR="00DF354A" w:rsidRPr="00413F49">
        <w:rPr>
          <w:rFonts w:asciiTheme="majorHAnsi" w:hAnsiTheme="majorHAnsi"/>
        </w:rPr>
        <w:t>surface markers</w:t>
      </w:r>
      <w:r w:rsidR="007D2F12" w:rsidRPr="00413F49">
        <w:rPr>
          <w:rFonts w:asciiTheme="majorHAnsi" w:hAnsiTheme="majorHAnsi"/>
        </w:rPr>
        <w:t xml:space="preserve"> (in flow cytometry to quantify B-cell populations and assess treatment response)</w:t>
      </w:r>
      <w:r w:rsidR="00DF354A" w:rsidRPr="00413F49">
        <w:rPr>
          <w:rFonts w:asciiTheme="majorHAnsi" w:hAnsiTheme="majorHAnsi"/>
        </w:rPr>
        <w:t xml:space="preserve">. </w:t>
      </w:r>
      <w:r w:rsidR="00D154A3" w:rsidRPr="00413F49">
        <w:rPr>
          <w:rFonts w:asciiTheme="majorHAnsi" w:hAnsiTheme="majorHAnsi"/>
        </w:rPr>
        <w:t xml:space="preserve">CD19 is expressed more widely </w:t>
      </w:r>
      <w:r w:rsidRPr="00413F49">
        <w:rPr>
          <w:rFonts w:asciiTheme="majorHAnsi" w:hAnsiTheme="majorHAnsi"/>
        </w:rPr>
        <w:t xml:space="preserve">throughout B-cell development </w:t>
      </w:r>
      <w:r w:rsidR="00D154A3" w:rsidRPr="00413F49">
        <w:rPr>
          <w:rFonts w:asciiTheme="majorHAnsi" w:hAnsiTheme="majorHAnsi"/>
        </w:rPr>
        <w:t>than CD2</w:t>
      </w:r>
      <w:r w:rsidR="00984852" w:rsidRPr="00413F49">
        <w:rPr>
          <w:rFonts w:asciiTheme="majorHAnsi" w:hAnsiTheme="majorHAnsi"/>
        </w:rPr>
        <w:t>0</w:t>
      </w:r>
      <w:r w:rsidR="002A2D23" w:rsidRPr="00413F49">
        <w:rPr>
          <w:rFonts w:asciiTheme="majorHAnsi" w:hAnsiTheme="majorHAnsi"/>
        </w:rPr>
        <w:t xml:space="preserve"> but </w:t>
      </w:r>
      <w:r w:rsidR="00D154A3" w:rsidRPr="00413F49">
        <w:rPr>
          <w:rFonts w:asciiTheme="majorHAnsi" w:hAnsiTheme="majorHAnsi"/>
        </w:rPr>
        <w:t xml:space="preserve">both markers are absent on </w:t>
      </w:r>
      <w:r w:rsidR="002A2D23" w:rsidRPr="00413F49">
        <w:rPr>
          <w:rFonts w:asciiTheme="majorHAnsi" w:hAnsiTheme="majorHAnsi"/>
        </w:rPr>
        <w:t xml:space="preserve">long-lived </w:t>
      </w:r>
      <w:r w:rsidR="00D154A3" w:rsidRPr="00413F49">
        <w:rPr>
          <w:rFonts w:asciiTheme="majorHAnsi" w:hAnsiTheme="majorHAnsi"/>
        </w:rPr>
        <w:t>plasma cells</w:t>
      </w:r>
      <w:r w:rsidR="00984852" w:rsidRPr="00413F49">
        <w:rPr>
          <w:rFonts w:asciiTheme="majorHAnsi" w:hAnsiTheme="majorHAnsi"/>
        </w:rPr>
        <w:t xml:space="preserve"> (figure 1)</w:t>
      </w:r>
      <w:r w:rsidR="00EA436F" w:rsidRPr="00413F49">
        <w:rPr>
          <w:rFonts w:asciiTheme="majorHAnsi" w:hAnsiTheme="majorHAnsi"/>
        </w:rPr>
        <w:t xml:space="preserve">.  </w:t>
      </w:r>
      <w:r w:rsidR="00516D9A" w:rsidRPr="00413F49">
        <w:rPr>
          <w:rFonts w:asciiTheme="majorHAnsi" w:hAnsiTheme="majorHAnsi"/>
        </w:rPr>
        <w:t>In healthy adults</w:t>
      </w:r>
      <w:r w:rsidR="004D4825" w:rsidRPr="00413F49">
        <w:rPr>
          <w:rFonts w:asciiTheme="majorHAnsi" w:hAnsiTheme="majorHAnsi"/>
        </w:rPr>
        <w:t xml:space="preserve"> CD19</w:t>
      </w:r>
      <w:r w:rsidR="00D154A3" w:rsidRPr="00413F49">
        <w:rPr>
          <w:rFonts w:asciiTheme="majorHAnsi" w:hAnsiTheme="majorHAnsi"/>
          <w:vertAlign w:val="superscript"/>
        </w:rPr>
        <w:t>+</w:t>
      </w:r>
      <w:r w:rsidRPr="00413F49">
        <w:rPr>
          <w:rFonts w:asciiTheme="majorHAnsi" w:hAnsiTheme="majorHAnsi"/>
        </w:rPr>
        <w:t xml:space="preserve"> or </w:t>
      </w:r>
      <w:r w:rsidR="004D4825" w:rsidRPr="00413F49">
        <w:rPr>
          <w:rFonts w:asciiTheme="majorHAnsi" w:hAnsiTheme="majorHAnsi"/>
        </w:rPr>
        <w:t>CD20</w:t>
      </w:r>
      <w:r w:rsidR="00D154A3" w:rsidRPr="00413F49">
        <w:rPr>
          <w:rFonts w:asciiTheme="majorHAnsi" w:hAnsiTheme="majorHAnsi"/>
          <w:vertAlign w:val="superscript"/>
        </w:rPr>
        <w:t>+</w:t>
      </w:r>
      <w:r w:rsidR="00EC276C" w:rsidRPr="00413F49">
        <w:rPr>
          <w:rFonts w:asciiTheme="majorHAnsi" w:hAnsiTheme="majorHAnsi"/>
        </w:rPr>
        <w:t xml:space="preserve"> </w:t>
      </w:r>
      <w:r w:rsidR="004D4825" w:rsidRPr="00413F49">
        <w:rPr>
          <w:rFonts w:asciiTheme="majorHAnsi" w:hAnsiTheme="majorHAnsi"/>
        </w:rPr>
        <w:t xml:space="preserve">B-cells comprise </w:t>
      </w:r>
      <w:r w:rsidR="003B2A62" w:rsidRPr="00413F49">
        <w:rPr>
          <w:rFonts w:asciiTheme="majorHAnsi" w:hAnsiTheme="majorHAnsi"/>
        </w:rPr>
        <w:t>12-22</w:t>
      </w:r>
      <w:r w:rsidR="004D4825" w:rsidRPr="00413F49">
        <w:rPr>
          <w:rFonts w:asciiTheme="majorHAnsi" w:hAnsiTheme="majorHAnsi"/>
        </w:rPr>
        <w:t xml:space="preserve">% of the total circulating lymphocyte population </w:t>
      </w:r>
      <w:r w:rsidR="00516D9A" w:rsidRPr="00413F49">
        <w:rPr>
          <w:rFonts w:asciiTheme="majorHAnsi" w:hAnsiTheme="majorHAnsi"/>
        </w:rPr>
        <w:t>(</w:t>
      </w:r>
      <w:r w:rsidR="0021175E" w:rsidRPr="00413F49">
        <w:rPr>
          <w:rFonts w:asciiTheme="majorHAnsi" w:hAnsiTheme="majorHAnsi"/>
        </w:rPr>
        <w:t>absolute</w:t>
      </w:r>
      <w:r w:rsidR="00516D9A" w:rsidRPr="00413F49">
        <w:rPr>
          <w:rFonts w:asciiTheme="majorHAnsi" w:hAnsiTheme="majorHAnsi"/>
        </w:rPr>
        <w:t xml:space="preserve"> reference range</w:t>
      </w:r>
      <w:r w:rsidR="0021175E" w:rsidRPr="00413F49">
        <w:rPr>
          <w:rFonts w:asciiTheme="majorHAnsi" w:hAnsiTheme="majorHAnsi"/>
        </w:rPr>
        <w:t xml:space="preserve"> = </w:t>
      </w:r>
      <w:r w:rsidR="00BB63D9" w:rsidRPr="00413F49">
        <w:rPr>
          <w:rFonts w:asciiTheme="majorHAnsi" w:hAnsiTheme="majorHAnsi"/>
        </w:rPr>
        <w:t>50</w:t>
      </w:r>
      <w:r w:rsidR="0021175E" w:rsidRPr="00413F49">
        <w:rPr>
          <w:rFonts w:asciiTheme="majorHAnsi" w:hAnsiTheme="majorHAnsi"/>
        </w:rPr>
        <w:t>-500</w:t>
      </w:r>
      <w:r w:rsidR="00F37648" w:rsidRPr="00413F49">
        <w:rPr>
          <w:rFonts w:asciiTheme="majorHAnsi" w:hAnsiTheme="majorHAnsi"/>
        </w:rPr>
        <w:t xml:space="preserve"> </w:t>
      </w:r>
      <w:r w:rsidR="0021175E" w:rsidRPr="00413F49">
        <w:rPr>
          <w:rFonts w:asciiTheme="majorHAnsi" w:hAnsiTheme="majorHAnsi"/>
        </w:rPr>
        <w:t>cells/mm</w:t>
      </w:r>
      <w:r w:rsidR="0021175E" w:rsidRPr="00413F49">
        <w:rPr>
          <w:rFonts w:asciiTheme="majorHAnsi" w:hAnsiTheme="majorHAnsi"/>
          <w:vertAlign w:val="superscript"/>
        </w:rPr>
        <w:t>3</w:t>
      </w:r>
      <w:r w:rsidR="00516D9A" w:rsidRPr="00413F49">
        <w:rPr>
          <w:rFonts w:asciiTheme="majorHAnsi" w:hAnsiTheme="majorHAnsi"/>
        </w:rPr>
        <w:t>)</w:t>
      </w:r>
      <w:r w:rsidR="003D4A7B" w:rsidRPr="00413F49">
        <w:rPr>
          <w:rFonts w:asciiTheme="majorHAnsi" w:hAnsiTheme="majorHAnsi"/>
        </w:rPr>
        <w:t>.</w:t>
      </w:r>
    </w:p>
    <w:p w:rsidR="00516D9A" w:rsidRPr="00413F49" w:rsidRDefault="00516D9A" w:rsidP="0072674B">
      <w:pPr>
        <w:jc w:val="both"/>
        <w:rPr>
          <w:rFonts w:asciiTheme="majorHAnsi" w:hAnsiTheme="majorHAnsi"/>
        </w:rPr>
      </w:pPr>
    </w:p>
    <w:p w:rsidR="000D0BBE" w:rsidRPr="00413F49" w:rsidRDefault="00516D9A" w:rsidP="0072674B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C</w:t>
      </w:r>
      <w:r w:rsidR="004D4825" w:rsidRPr="00413F49">
        <w:rPr>
          <w:rFonts w:asciiTheme="majorHAnsi" w:hAnsiTheme="majorHAnsi"/>
        </w:rPr>
        <w:t xml:space="preserve">D27 is expressed </w:t>
      </w:r>
      <w:r w:rsidR="00F37648" w:rsidRPr="00413F49">
        <w:rPr>
          <w:rFonts w:asciiTheme="majorHAnsi" w:hAnsiTheme="majorHAnsi"/>
        </w:rPr>
        <w:t xml:space="preserve">by </w:t>
      </w:r>
      <w:r w:rsidR="004D4825" w:rsidRPr="00413F49">
        <w:rPr>
          <w:rFonts w:asciiTheme="majorHAnsi" w:hAnsiTheme="majorHAnsi"/>
        </w:rPr>
        <w:t>memory B-cell</w:t>
      </w:r>
      <w:r w:rsidR="008A3DC5" w:rsidRPr="00413F49">
        <w:rPr>
          <w:rFonts w:asciiTheme="majorHAnsi" w:hAnsiTheme="majorHAnsi"/>
        </w:rPr>
        <w:t xml:space="preserve">s </w:t>
      </w:r>
      <w:r w:rsidR="00C47205" w:rsidRPr="00413F49">
        <w:rPr>
          <w:rFonts w:asciiTheme="majorHAnsi" w:hAnsiTheme="majorHAnsi"/>
        </w:rPr>
        <w:t xml:space="preserve">and </w:t>
      </w:r>
      <w:r w:rsidR="008A3DC5" w:rsidRPr="00413F49">
        <w:rPr>
          <w:rFonts w:asciiTheme="majorHAnsi" w:hAnsiTheme="majorHAnsi"/>
        </w:rPr>
        <w:t>certain other immune cell types</w:t>
      </w:r>
      <w:r w:rsidR="00E767BE" w:rsidRPr="00413F49">
        <w:rPr>
          <w:rFonts w:asciiTheme="majorHAnsi" w:hAnsiTheme="majorHAnsi"/>
        </w:rPr>
        <w:t>. T</w:t>
      </w:r>
      <w:r w:rsidR="002E7B21" w:rsidRPr="00413F49">
        <w:rPr>
          <w:rFonts w:asciiTheme="majorHAnsi" w:hAnsiTheme="majorHAnsi"/>
        </w:rPr>
        <w:t xml:space="preserve">he combination of CD19 and CD27 </w:t>
      </w:r>
      <w:r w:rsidR="00F37648" w:rsidRPr="00413F49">
        <w:rPr>
          <w:rFonts w:asciiTheme="majorHAnsi" w:hAnsiTheme="majorHAnsi"/>
        </w:rPr>
        <w:t>is specific to</w:t>
      </w:r>
      <w:r w:rsidR="002E7B21" w:rsidRPr="00413F49">
        <w:rPr>
          <w:rFonts w:asciiTheme="majorHAnsi" w:hAnsiTheme="majorHAnsi"/>
        </w:rPr>
        <w:t xml:space="preserve"> memory B-cells</w:t>
      </w:r>
      <w:r w:rsidR="00DF354A" w:rsidRPr="00413F49">
        <w:rPr>
          <w:rFonts w:asciiTheme="majorHAnsi" w:hAnsiTheme="majorHAnsi"/>
        </w:rPr>
        <w:t xml:space="preserve">. </w:t>
      </w:r>
      <w:r w:rsidR="000D0BBE" w:rsidRPr="00413F49">
        <w:rPr>
          <w:rFonts w:asciiTheme="majorHAnsi" w:hAnsiTheme="majorHAnsi"/>
        </w:rPr>
        <w:t xml:space="preserve">This subset of </w:t>
      </w:r>
      <w:r w:rsidR="00D52B6A" w:rsidRPr="00413F49">
        <w:rPr>
          <w:rFonts w:asciiTheme="majorHAnsi" w:hAnsiTheme="majorHAnsi"/>
        </w:rPr>
        <w:t xml:space="preserve">long-lived </w:t>
      </w:r>
      <w:r w:rsidR="000D0BBE" w:rsidRPr="00413F49">
        <w:rPr>
          <w:rFonts w:asciiTheme="majorHAnsi" w:hAnsiTheme="majorHAnsi"/>
        </w:rPr>
        <w:t>B-cells, capable of rapid differentiation into high-affinity plasma cells follo</w:t>
      </w:r>
      <w:r w:rsidR="009E4230" w:rsidRPr="00413F49">
        <w:rPr>
          <w:rFonts w:asciiTheme="majorHAnsi" w:hAnsiTheme="majorHAnsi"/>
        </w:rPr>
        <w:t>wing repeated antigen exposure</w:t>
      </w:r>
      <w:r w:rsidR="000D0BBE" w:rsidRPr="00413F49">
        <w:rPr>
          <w:rFonts w:asciiTheme="majorHAnsi" w:hAnsiTheme="majorHAnsi"/>
        </w:rPr>
        <w:t xml:space="preserve">, </w:t>
      </w:r>
      <w:r w:rsidR="000D73C6" w:rsidRPr="00413F49">
        <w:rPr>
          <w:rFonts w:asciiTheme="majorHAnsi" w:hAnsiTheme="majorHAnsi"/>
        </w:rPr>
        <w:t>may</w:t>
      </w:r>
      <w:r w:rsidR="000D0BBE" w:rsidRPr="00413F49">
        <w:rPr>
          <w:rFonts w:asciiTheme="majorHAnsi" w:hAnsiTheme="majorHAnsi"/>
        </w:rPr>
        <w:t xml:space="preserve"> be </w:t>
      </w:r>
      <w:r w:rsidR="0026111D" w:rsidRPr="00413F49">
        <w:rPr>
          <w:rFonts w:asciiTheme="majorHAnsi" w:hAnsiTheme="majorHAnsi"/>
        </w:rPr>
        <w:t>a</w:t>
      </w:r>
      <w:r w:rsidR="007D2F12" w:rsidRPr="00413F49">
        <w:rPr>
          <w:rFonts w:asciiTheme="majorHAnsi" w:hAnsiTheme="majorHAnsi"/>
        </w:rPr>
        <w:t>n</w:t>
      </w:r>
      <w:r w:rsidR="0026111D" w:rsidRPr="00413F49">
        <w:rPr>
          <w:rFonts w:asciiTheme="majorHAnsi" w:hAnsiTheme="majorHAnsi"/>
        </w:rPr>
        <w:t xml:space="preserve"> </w:t>
      </w:r>
      <w:r w:rsidR="000D0BBE" w:rsidRPr="00413F49">
        <w:rPr>
          <w:rFonts w:asciiTheme="majorHAnsi" w:hAnsiTheme="majorHAnsi"/>
        </w:rPr>
        <w:t>important target in the treatment of autoimmune neurological disease</w:t>
      </w:r>
      <w:r w:rsidR="008F184F" w:rsidRPr="00413F49">
        <w:rPr>
          <w:rFonts w:asciiTheme="majorHAnsi" w:hAnsiTheme="majorHAnsi"/>
        </w:rPr>
        <w:t>.</w:t>
      </w:r>
      <w:r w:rsidR="00336D73" w:rsidRPr="00413F49">
        <w:rPr>
          <w:rFonts w:asciiTheme="majorHAnsi" w:hAnsiTheme="majorHAnsi"/>
          <w:vertAlign w:val="superscript"/>
        </w:rPr>
        <w:t>3 4</w:t>
      </w:r>
      <w:r w:rsidR="00DD0CA4" w:rsidRPr="00413F49">
        <w:rPr>
          <w:rFonts w:asciiTheme="majorHAnsi" w:hAnsiTheme="majorHAnsi"/>
        </w:rPr>
        <w:t xml:space="preserve"> </w:t>
      </w:r>
    </w:p>
    <w:p w:rsidR="00EA436F" w:rsidRPr="00413F49" w:rsidRDefault="00EA436F">
      <w:pPr>
        <w:rPr>
          <w:rFonts w:asciiTheme="majorHAnsi" w:hAnsiTheme="majorHAnsi"/>
        </w:rPr>
      </w:pPr>
    </w:p>
    <w:p w:rsidR="00186404" w:rsidRPr="00413F49" w:rsidRDefault="00D841F1" w:rsidP="00C22EF3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B-cell depleting m</w:t>
      </w:r>
      <w:r w:rsidR="002155A5" w:rsidRPr="00413F49">
        <w:rPr>
          <w:rFonts w:asciiTheme="majorHAnsi" w:hAnsiTheme="majorHAnsi"/>
          <w:b/>
        </w:rPr>
        <w:t>onoclonal antibodies</w:t>
      </w:r>
    </w:p>
    <w:p w:rsidR="001C075A" w:rsidRPr="00413F49" w:rsidRDefault="001C075A">
      <w:pPr>
        <w:rPr>
          <w:rFonts w:asciiTheme="majorHAnsi" w:hAnsiTheme="majorHAnsi"/>
          <w:b/>
        </w:rPr>
      </w:pPr>
    </w:p>
    <w:p w:rsidR="0081255E" w:rsidRPr="00413F49" w:rsidRDefault="007C67AB" w:rsidP="00F172F7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Monoclonal antibodies</w:t>
      </w:r>
      <w:r w:rsidR="00B7360D" w:rsidRPr="00413F49">
        <w:rPr>
          <w:rFonts w:asciiTheme="majorHAnsi" w:hAnsiTheme="majorHAnsi"/>
        </w:rPr>
        <w:t xml:space="preserve"> (mAbs)</w:t>
      </w:r>
      <w:r w:rsidRPr="00413F49">
        <w:rPr>
          <w:rFonts w:asciiTheme="majorHAnsi" w:hAnsiTheme="majorHAnsi"/>
        </w:rPr>
        <w:t xml:space="preserve"> </w:t>
      </w:r>
      <w:r w:rsidR="004C27E9" w:rsidRPr="00413F49">
        <w:rPr>
          <w:rFonts w:asciiTheme="majorHAnsi" w:hAnsiTheme="majorHAnsi"/>
        </w:rPr>
        <w:t>are</w:t>
      </w:r>
      <w:r w:rsidR="00382878" w:rsidRPr="00413F49">
        <w:rPr>
          <w:rFonts w:asciiTheme="majorHAnsi" w:hAnsiTheme="majorHAnsi"/>
        </w:rPr>
        <w:t xml:space="preserve"> immunoglobulins produc</w:t>
      </w:r>
      <w:r w:rsidR="00B7360D" w:rsidRPr="00413F49">
        <w:rPr>
          <w:rFonts w:asciiTheme="majorHAnsi" w:hAnsiTheme="majorHAnsi"/>
        </w:rPr>
        <w:t xml:space="preserve">ed by a single clone of plasma </w:t>
      </w:r>
      <w:r w:rsidR="00382878" w:rsidRPr="00413F49">
        <w:rPr>
          <w:rFonts w:asciiTheme="majorHAnsi" w:hAnsiTheme="majorHAnsi"/>
        </w:rPr>
        <w:t>cells</w:t>
      </w:r>
      <w:r w:rsidR="00F37648" w:rsidRPr="00413F49">
        <w:rPr>
          <w:rFonts w:asciiTheme="majorHAnsi" w:hAnsiTheme="majorHAnsi"/>
        </w:rPr>
        <w:t>. They</w:t>
      </w:r>
      <w:r w:rsidR="00382878" w:rsidRPr="00413F49">
        <w:rPr>
          <w:rFonts w:asciiTheme="majorHAnsi" w:hAnsiTheme="majorHAnsi"/>
        </w:rPr>
        <w:t xml:space="preserve"> bind </w:t>
      </w:r>
      <w:r w:rsidR="007674DC" w:rsidRPr="00413F49">
        <w:rPr>
          <w:rFonts w:asciiTheme="majorHAnsi" w:hAnsiTheme="majorHAnsi"/>
        </w:rPr>
        <w:t xml:space="preserve">via </w:t>
      </w:r>
      <w:r w:rsidR="00AD6914" w:rsidRPr="00413F49">
        <w:rPr>
          <w:rFonts w:asciiTheme="majorHAnsi" w:hAnsiTheme="majorHAnsi"/>
          <w:szCs w:val="18"/>
        </w:rPr>
        <w:t xml:space="preserve">their </w:t>
      </w:r>
      <w:r w:rsidR="0092470C" w:rsidRPr="00413F49">
        <w:rPr>
          <w:rFonts w:asciiTheme="majorHAnsi" w:hAnsiTheme="majorHAnsi"/>
          <w:szCs w:val="18"/>
        </w:rPr>
        <w:t xml:space="preserve">two identical </w:t>
      </w:r>
      <w:r w:rsidR="00AD6914" w:rsidRPr="00413F49">
        <w:rPr>
          <w:rFonts w:asciiTheme="majorHAnsi" w:hAnsiTheme="majorHAnsi"/>
          <w:szCs w:val="18"/>
        </w:rPr>
        <w:t>Fab (</w:t>
      </w:r>
      <w:r w:rsidR="002709A5" w:rsidRPr="00413F49">
        <w:rPr>
          <w:rFonts w:asciiTheme="majorHAnsi" w:hAnsiTheme="majorHAnsi"/>
          <w:szCs w:val="18"/>
        </w:rPr>
        <w:t xml:space="preserve">fragment </w:t>
      </w:r>
      <w:r w:rsidR="00AD6914" w:rsidRPr="00413F49">
        <w:rPr>
          <w:rFonts w:asciiTheme="majorHAnsi" w:hAnsiTheme="majorHAnsi"/>
          <w:szCs w:val="18"/>
        </w:rPr>
        <w:t>antigen binding) domain</w:t>
      </w:r>
      <w:r w:rsidR="0092470C" w:rsidRPr="00413F49">
        <w:rPr>
          <w:rFonts w:asciiTheme="majorHAnsi" w:hAnsiTheme="majorHAnsi"/>
          <w:szCs w:val="18"/>
        </w:rPr>
        <w:t>s</w:t>
      </w:r>
      <w:r w:rsidR="00AD6914" w:rsidRPr="00413F49">
        <w:rPr>
          <w:rFonts w:asciiTheme="majorHAnsi" w:hAnsiTheme="majorHAnsi"/>
          <w:szCs w:val="18"/>
        </w:rPr>
        <w:t xml:space="preserve"> to a single epitope and activate the immune system via their Fc (</w:t>
      </w:r>
      <w:r w:rsidR="002709A5" w:rsidRPr="00413F49">
        <w:rPr>
          <w:rFonts w:asciiTheme="majorHAnsi" w:hAnsiTheme="majorHAnsi"/>
          <w:szCs w:val="18"/>
        </w:rPr>
        <w:t xml:space="preserve">fragment </w:t>
      </w:r>
      <w:r w:rsidR="00AD6914" w:rsidRPr="00413F49">
        <w:rPr>
          <w:rFonts w:asciiTheme="majorHAnsi" w:hAnsiTheme="majorHAnsi"/>
          <w:szCs w:val="18"/>
        </w:rPr>
        <w:t>c</w:t>
      </w:r>
      <w:r w:rsidR="002709A5" w:rsidRPr="00413F49">
        <w:rPr>
          <w:rFonts w:asciiTheme="majorHAnsi" w:hAnsiTheme="majorHAnsi"/>
          <w:szCs w:val="18"/>
        </w:rPr>
        <w:t>rystallisable</w:t>
      </w:r>
      <w:r w:rsidR="00AD6914" w:rsidRPr="00413F49">
        <w:rPr>
          <w:rFonts w:asciiTheme="majorHAnsi" w:hAnsiTheme="majorHAnsi"/>
          <w:szCs w:val="18"/>
        </w:rPr>
        <w:t>)</w:t>
      </w:r>
      <w:r w:rsidR="0081255E" w:rsidRPr="00413F49">
        <w:rPr>
          <w:rFonts w:asciiTheme="majorHAnsi" w:hAnsiTheme="majorHAnsi"/>
        </w:rPr>
        <w:t xml:space="preserve"> domain</w:t>
      </w:r>
      <w:r w:rsidR="00DF354A" w:rsidRPr="00413F49">
        <w:rPr>
          <w:rFonts w:asciiTheme="majorHAnsi" w:hAnsiTheme="majorHAnsi"/>
        </w:rPr>
        <w:t xml:space="preserve">. </w:t>
      </w:r>
      <w:r w:rsidR="006B6AB6" w:rsidRPr="00413F49">
        <w:rPr>
          <w:rFonts w:asciiTheme="majorHAnsi" w:hAnsiTheme="majorHAnsi"/>
        </w:rPr>
        <w:t>Cells expressing that epitope are</w:t>
      </w:r>
      <w:r w:rsidR="00130304" w:rsidRPr="00413F49">
        <w:rPr>
          <w:rFonts w:asciiTheme="majorHAnsi" w:hAnsiTheme="majorHAnsi"/>
        </w:rPr>
        <w:t xml:space="preserve"> killed</w:t>
      </w:r>
      <w:r w:rsidR="006B6AB6" w:rsidRPr="00413F49">
        <w:rPr>
          <w:rFonts w:asciiTheme="majorHAnsi" w:hAnsiTheme="majorHAnsi"/>
        </w:rPr>
        <w:t xml:space="preserve">, </w:t>
      </w:r>
      <w:r w:rsidR="00E767BE" w:rsidRPr="00413F49">
        <w:rPr>
          <w:rFonts w:asciiTheme="majorHAnsi" w:hAnsiTheme="majorHAnsi"/>
        </w:rPr>
        <w:t>therefore</w:t>
      </w:r>
      <w:r w:rsidR="0081255E" w:rsidRPr="00413F49">
        <w:rPr>
          <w:rFonts w:asciiTheme="majorHAnsi" w:hAnsiTheme="majorHAnsi"/>
        </w:rPr>
        <w:t xml:space="preserve"> allow</w:t>
      </w:r>
      <w:r w:rsidR="006B6AB6" w:rsidRPr="00413F49">
        <w:rPr>
          <w:rFonts w:asciiTheme="majorHAnsi" w:hAnsiTheme="majorHAnsi"/>
        </w:rPr>
        <w:t>ing</w:t>
      </w:r>
      <w:r w:rsidR="00382878" w:rsidRPr="00413F49">
        <w:rPr>
          <w:rFonts w:asciiTheme="majorHAnsi" w:hAnsiTheme="majorHAnsi"/>
        </w:rPr>
        <w:t xml:space="preserve"> highly </w:t>
      </w:r>
      <w:r w:rsidRPr="00413F49">
        <w:rPr>
          <w:rFonts w:asciiTheme="majorHAnsi" w:hAnsiTheme="majorHAnsi"/>
        </w:rPr>
        <w:t>targeted</w:t>
      </w:r>
      <w:r w:rsidR="00B7360D" w:rsidRPr="00413F49">
        <w:rPr>
          <w:rFonts w:asciiTheme="majorHAnsi" w:hAnsiTheme="majorHAnsi"/>
        </w:rPr>
        <w:t xml:space="preserve"> </w:t>
      </w:r>
      <w:r w:rsidR="003E4651" w:rsidRPr="00413F49">
        <w:rPr>
          <w:rFonts w:asciiTheme="majorHAnsi" w:hAnsiTheme="majorHAnsi"/>
        </w:rPr>
        <w:t>immuno</w:t>
      </w:r>
      <w:r w:rsidR="00B7360D" w:rsidRPr="00413F49">
        <w:rPr>
          <w:rFonts w:asciiTheme="majorHAnsi" w:hAnsiTheme="majorHAnsi"/>
        </w:rPr>
        <w:t>therapy</w:t>
      </w:r>
      <w:r w:rsidR="0081255E" w:rsidRPr="00413F49">
        <w:rPr>
          <w:rFonts w:asciiTheme="majorHAnsi" w:hAnsiTheme="majorHAnsi"/>
        </w:rPr>
        <w:t xml:space="preserve"> for a </w:t>
      </w:r>
      <w:r w:rsidR="0081255E" w:rsidRPr="00413F49">
        <w:rPr>
          <w:rFonts w:asciiTheme="majorHAnsi" w:hAnsiTheme="majorHAnsi"/>
        </w:rPr>
        <w:lastRenderedPageBreak/>
        <w:t>variety of neoplastic and autoimmune diseases</w:t>
      </w:r>
      <w:r w:rsidR="00B7360D" w:rsidRPr="00413F49">
        <w:rPr>
          <w:rFonts w:asciiTheme="majorHAnsi" w:hAnsiTheme="majorHAnsi"/>
        </w:rPr>
        <w:t xml:space="preserve">. </w:t>
      </w:r>
      <w:r w:rsidR="007674DC" w:rsidRPr="00413F49">
        <w:rPr>
          <w:rFonts w:asciiTheme="majorHAnsi" w:hAnsiTheme="majorHAnsi"/>
        </w:rPr>
        <w:t xml:space="preserve">Available B-cell </w:t>
      </w:r>
      <w:r w:rsidR="0081255E" w:rsidRPr="00413F49">
        <w:rPr>
          <w:rFonts w:asciiTheme="majorHAnsi" w:hAnsiTheme="majorHAnsi"/>
        </w:rPr>
        <w:t>depleting mAbs have Fab d</w:t>
      </w:r>
      <w:r w:rsidR="00D37FB6" w:rsidRPr="00413F49">
        <w:rPr>
          <w:rFonts w:asciiTheme="majorHAnsi" w:hAnsiTheme="majorHAnsi"/>
        </w:rPr>
        <w:t xml:space="preserve">omains targeted to CD20 or CD19, </w:t>
      </w:r>
      <w:r w:rsidR="00E767BE" w:rsidRPr="00413F49">
        <w:rPr>
          <w:rFonts w:asciiTheme="majorHAnsi" w:hAnsiTheme="majorHAnsi"/>
        </w:rPr>
        <w:t xml:space="preserve">and so </w:t>
      </w:r>
      <w:r w:rsidR="00A22970" w:rsidRPr="00413F49">
        <w:rPr>
          <w:rFonts w:asciiTheme="majorHAnsi" w:hAnsiTheme="majorHAnsi"/>
        </w:rPr>
        <w:t xml:space="preserve">selectively </w:t>
      </w:r>
      <w:r w:rsidR="00DC7DAF" w:rsidRPr="00413F49">
        <w:rPr>
          <w:rFonts w:asciiTheme="majorHAnsi" w:hAnsiTheme="majorHAnsi"/>
        </w:rPr>
        <w:t>deplet</w:t>
      </w:r>
      <w:r w:rsidR="00E767BE" w:rsidRPr="00413F49">
        <w:rPr>
          <w:rFonts w:asciiTheme="majorHAnsi" w:hAnsiTheme="majorHAnsi"/>
        </w:rPr>
        <w:t>e</w:t>
      </w:r>
      <w:r w:rsidR="00EA436F" w:rsidRPr="00413F49">
        <w:rPr>
          <w:rFonts w:asciiTheme="majorHAnsi" w:hAnsiTheme="majorHAnsi"/>
        </w:rPr>
        <w:t xml:space="preserve"> the </w:t>
      </w:r>
      <w:r w:rsidR="00A22970" w:rsidRPr="00413F49">
        <w:rPr>
          <w:rFonts w:asciiTheme="majorHAnsi" w:hAnsiTheme="majorHAnsi"/>
        </w:rPr>
        <w:t>circulating</w:t>
      </w:r>
      <w:r w:rsidR="00EA436F" w:rsidRPr="00413F49">
        <w:rPr>
          <w:rFonts w:asciiTheme="majorHAnsi" w:hAnsiTheme="majorHAnsi"/>
        </w:rPr>
        <w:t xml:space="preserve"> B-cell population</w:t>
      </w:r>
      <w:r w:rsidR="00A22970" w:rsidRPr="00413F49">
        <w:rPr>
          <w:rFonts w:asciiTheme="majorHAnsi" w:hAnsiTheme="majorHAnsi"/>
        </w:rPr>
        <w:t>,</w:t>
      </w:r>
      <w:r w:rsidR="00D7376F" w:rsidRPr="00413F49">
        <w:rPr>
          <w:rFonts w:asciiTheme="majorHAnsi" w:hAnsiTheme="majorHAnsi"/>
        </w:rPr>
        <w:t xml:space="preserve"> </w:t>
      </w:r>
      <w:r w:rsidR="00EA436F" w:rsidRPr="00413F49">
        <w:rPr>
          <w:rFonts w:asciiTheme="majorHAnsi" w:hAnsiTheme="majorHAnsi"/>
        </w:rPr>
        <w:t xml:space="preserve">with the exception of mature </w:t>
      </w:r>
      <w:r w:rsidR="003D291A" w:rsidRPr="00413F49">
        <w:rPr>
          <w:rFonts w:asciiTheme="majorHAnsi" w:hAnsiTheme="majorHAnsi"/>
        </w:rPr>
        <w:t xml:space="preserve">antibody-secreting </w:t>
      </w:r>
      <w:r w:rsidR="00EA436F" w:rsidRPr="00413F49">
        <w:rPr>
          <w:rFonts w:asciiTheme="majorHAnsi" w:hAnsiTheme="majorHAnsi"/>
        </w:rPr>
        <w:t>plasma cells</w:t>
      </w:r>
      <w:r w:rsidR="00D37FB6" w:rsidRPr="00413F49">
        <w:rPr>
          <w:rFonts w:asciiTheme="majorHAnsi" w:hAnsiTheme="majorHAnsi"/>
        </w:rPr>
        <w:t>.</w:t>
      </w:r>
      <w:r w:rsidR="003D291A" w:rsidRPr="00413F49">
        <w:rPr>
          <w:rFonts w:asciiTheme="majorHAnsi" w:hAnsiTheme="majorHAnsi"/>
        </w:rPr>
        <w:t xml:space="preserve"> </w:t>
      </w:r>
      <w:r w:rsidR="00DC7DAF" w:rsidRPr="00413F49">
        <w:rPr>
          <w:rFonts w:asciiTheme="majorHAnsi" w:hAnsiTheme="majorHAnsi"/>
        </w:rPr>
        <w:t>Th</w:t>
      </w:r>
      <w:r w:rsidR="000C4B49" w:rsidRPr="00413F49">
        <w:rPr>
          <w:rFonts w:asciiTheme="majorHAnsi" w:hAnsiTheme="majorHAnsi"/>
        </w:rPr>
        <w:t>ose</w:t>
      </w:r>
      <w:r w:rsidR="003D291A" w:rsidRPr="00413F49">
        <w:rPr>
          <w:rFonts w:asciiTheme="majorHAnsi" w:hAnsiTheme="majorHAnsi"/>
        </w:rPr>
        <w:t xml:space="preserve"> </w:t>
      </w:r>
      <w:r w:rsidR="00DC7DAF" w:rsidRPr="00413F49">
        <w:rPr>
          <w:rFonts w:asciiTheme="majorHAnsi" w:hAnsiTheme="majorHAnsi"/>
        </w:rPr>
        <w:t xml:space="preserve">used in the treatment of </w:t>
      </w:r>
      <w:r w:rsidR="007674DC" w:rsidRPr="00413F49">
        <w:rPr>
          <w:rFonts w:asciiTheme="majorHAnsi" w:hAnsiTheme="majorHAnsi"/>
        </w:rPr>
        <w:t>neuroinflammatory disease</w:t>
      </w:r>
      <w:r w:rsidR="00DC7DAF" w:rsidRPr="00413F49">
        <w:rPr>
          <w:rFonts w:asciiTheme="majorHAnsi" w:hAnsiTheme="majorHAnsi"/>
        </w:rPr>
        <w:t>s</w:t>
      </w:r>
      <w:r w:rsidR="007674DC" w:rsidRPr="00413F49">
        <w:rPr>
          <w:rFonts w:asciiTheme="majorHAnsi" w:hAnsiTheme="majorHAnsi"/>
        </w:rPr>
        <w:t xml:space="preserve"> are shown in table </w:t>
      </w:r>
      <w:r w:rsidR="00D60650" w:rsidRPr="00413F49">
        <w:rPr>
          <w:rFonts w:asciiTheme="majorHAnsi" w:hAnsiTheme="majorHAnsi"/>
        </w:rPr>
        <w:t xml:space="preserve">1. </w:t>
      </w:r>
    </w:p>
    <w:p w:rsidR="000C4B49" w:rsidRPr="00413F49" w:rsidRDefault="000C4B49" w:rsidP="000C4B49">
      <w:pPr>
        <w:jc w:val="both"/>
        <w:rPr>
          <w:rFonts w:asciiTheme="majorHAnsi" w:hAnsiTheme="majorHAnsi"/>
        </w:rPr>
      </w:pPr>
    </w:p>
    <w:p w:rsidR="000C4B49" w:rsidRPr="00413F49" w:rsidRDefault="000C4B49" w:rsidP="000C4B49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Rituximab was the first anti-CD20 </w:t>
      </w:r>
      <w:proofErr w:type="spellStart"/>
      <w:r w:rsidRPr="00413F49">
        <w:rPr>
          <w:rFonts w:asciiTheme="majorHAnsi" w:hAnsiTheme="majorHAnsi"/>
        </w:rPr>
        <w:t>mAb</w:t>
      </w:r>
      <w:proofErr w:type="spellEnd"/>
      <w:r w:rsidRPr="00413F49">
        <w:rPr>
          <w:rFonts w:asciiTheme="majorHAnsi" w:hAnsiTheme="majorHAnsi"/>
        </w:rPr>
        <w:t xml:space="preserve"> to be approved in 1997 for the treatment of B-cell lymphomas. It has since been licensed to treat refractory rheumatoid arthritis (RA) and </w:t>
      </w:r>
      <w:r w:rsidR="00364F19" w:rsidRPr="00413F49">
        <w:rPr>
          <w:rFonts w:asciiTheme="majorHAnsi" w:hAnsiTheme="majorHAnsi"/>
        </w:rPr>
        <w:t>anti-neutrophil cytoplasmic antibody (</w:t>
      </w:r>
      <w:r w:rsidRPr="00413F49">
        <w:rPr>
          <w:rFonts w:asciiTheme="majorHAnsi" w:hAnsiTheme="majorHAnsi"/>
        </w:rPr>
        <w:t>ANCA</w:t>
      </w:r>
      <w:r w:rsidR="00364F19" w:rsidRPr="00413F49">
        <w:rPr>
          <w:rFonts w:asciiTheme="majorHAnsi" w:hAnsiTheme="majorHAnsi"/>
        </w:rPr>
        <w:t>)</w:t>
      </w:r>
      <w:r w:rsidRPr="00413F49">
        <w:rPr>
          <w:rFonts w:asciiTheme="majorHAnsi" w:hAnsiTheme="majorHAnsi"/>
        </w:rPr>
        <w:t xml:space="preserve">-associated vasculitis. Unlicensed use </w:t>
      </w:r>
      <w:r w:rsidR="001B79A9" w:rsidRPr="00413F49">
        <w:rPr>
          <w:rFonts w:asciiTheme="majorHAnsi" w:hAnsiTheme="majorHAnsi"/>
        </w:rPr>
        <w:t xml:space="preserve">for </w:t>
      </w:r>
      <w:r w:rsidRPr="00413F49">
        <w:rPr>
          <w:rFonts w:asciiTheme="majorHAnsi" w:hAnsiTheme="majorHAnsi"/>
        </w:rPr>
        <w:t>neuroinflammatory di</w:t>
      </w:r>
      <w:r w:rsidR="001B79A9" w:rsidRPr="00413F49">
        <w:rPr>
          <w:rFonts w:asciiTheme="majorHAnsi" w:hAnsiTheme="majorHAnsi"/>
        </w:rPr>
        <w:t>sease</w:t>
      </w:r>
      <w:r w:rsidRPr="00413F49">
        <w:rPr>
          <w:rFonts w:asciiTheme="majorHAnsi" w:hAnsiTheme="majorHAnsi"/>
        </w:rPr>
        <w:t xml:space="preserve"> is growing.</w:t>
      </w:r>
    </w:p>
    <w:p w:rsidR="0028516B" w:rsidRPr="00413F49" w:rsidRDefault="0028516B" w:rsidP="0028516B">
      <w:pPr>
        <w:jc w:val="both"/>
        <w:rPr>
          <w:rFonts w:asciiTheme="majorHAnsi" w:hAnsiTheme="majorHAnsi"/>
        </w:rPr>
      </w:pPr>
    </w:p>
    <w:p w:rsidR="00A3048C" w:rsidRPr="00413F49" w:rsidRDefault="0028516B" w:rsidP="00627A1C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Rituximab is a first generation, </w:t>
      </w:r>
      <w:r w:rsidR="00723A25" w:rsidRPr="00413F49">
        <w:rPr>
          <w:rFonts w:asciiTheme="majorHAnsi" w:hAnsiTheme="majorHAnsi"/>
        </w:rPr>
        <w:t xml:space="preserve">chimeric </w:t>
      </w:r>
      <w:proofErr w:type="spellStart"/>
      <w:r w:rsidRPr="00413F49">
        <w:rPr>
          <w:rFonts w:asciiTheme="majorHAnsi" w:hAnsiTheme="majorHAnsi"/>
        </w:rPr>
        <w:t>mAb</w:t>
      </w:r>
      <w:proofErr w:type="spellEnd"/>
      <w:r w:rsidR="009E516D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made by fusing a murine</w:t>
      </w:r>
      <w:r w:rsidR="002709A5" w:rsidRPr="00413F49">
        <w:rPr>
          <w:rFonts w:asciiTheme="majorHAnsi" w:hAnsiTheme="majorHAnsi"/>
        </w:rPr>
        <w:t xml:space="preserve"> (rodent)</w:t>
      </w:r>
      <w:r w:rsidR="00723A25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Fab domain with a human Fc domain</w:t>
      </w:r>
      <w:r w:rsidR="00702920" w:rsidRPr="00413F49">
        <w:rPr>
          <w:rFonts w:asciiTheme="majorHAnsi" w:hAnsiTheme="majorHAnsi"/>
        </w:rPr>
        <w:t xml:space="preserve"> (‘chimeric’ is from the mythological </w:t>
      </w:r>
      <w:r w:rsidR="00702920" w:rsidRPr="00413F49">
        <w:rPr>
          <w:rFonts w:asciiTheme="majorHAnsi" w:hAnsiTheme="majorHAnsi"/>
          <w:i/>
        </w:rPr>
        <w:t>Chimera</w:t>
      </w:r>
      <w:r w:rsidR="00702920" w:rsidRPr="00413F49">
        <w:rPr>
          <w:rFonts w:asciiTheme="majorHAnsi" w:hAnsiTheme="majorHAnsi"/>
        </w:rPr>
        <w:t xml:space="preserve"> – a monstrous fire-breathing hybrid creature, part lion and part goat)</w:t>
      </w:r>
      <w:r w:rsidRPr="00413F49">
        <w:rPr>
          <w:rFonts w:asciiTheme="majorHAnsi" w:hAnsiTheme="majorHAnsi"/>
        </w:rPr>
        <w:t>. Th</w:t>
      </w:r>
      <w:r w:rsidR="001A2658" w:rsidRPr="00413F49">
        <w:rPr>
          <w:rFonts w:asciiTheme="majorHAnsi" w:hAnsiTheme="majorHAnsi"/>
        </w:rPr>
        <w:t>e</w:t>
      </w:r>
      <w:r w:rsidRPr="00413F49">
        <w:rPr>
          <w:rFonts w:asciiTheme="majorHAnsi" w:hAnsiTheme="majorHAnsi"/>
        </w:rPr>
        <w:t xml:space="preserve"> Fc domain </w:t>
      </w:r>
      <w:r w:rsidR="002709A5" w:rsidRPr="00413F49">
        <w:rPr>
          <w:rFonts w:asciiTheme="majorHAnsi" w:hAnsiTheme="majorHAnsi"/>
        </w:rPr>
        <w:t xml:space="preserve">activates various immune mechanisms </w:t>
      </w:r>
      <w:r w:rsidR="001A2658" w:rsidRPr="00413F49">
        <w:rPr>
          <w:rFonts w:asciiTheme="majorHAnsi" w:hAnsiTheme="majorHAnsi"/>
        </w:rPr>
        <w:t>as shown in figure 2.</w:t>
      </w:r>
      <w:r w:rsidR="00744D63" w:rsidRPr="00413F49">
        <w:rPr>
          <w:rFonts w:asciiTheme="majorHAnsi" w:hAnsiTheme="majorHAnsi"/>
        </w:rPr>
        <w:t xml:space="preserve"> </w:t>
      </w:r>
      <w:r w:rsidR="00A3048C" w:rsidRPr="00413F49">
        <w:rPr>
          <w:rFonts w:asciiTheme="majorHAnsi" w:hAnsiTheme="majorHAnsi"/>
        </w:rPr>
        <w:t xml:space="preserve">90% of </w:t>
      </w:r>
      <w:r w:rsidR="003B7835" w:rsidRPr="00413F49">
        <w:rPr>
          <w:rFonts w:asciiTheme="majorHAnsi" w:hAnsiTheme="majorHAnsi"/>
        </w:rPr>
        <w:t xml:space="preserve">circulating </w:t>
      </w:r>
      <w:r w:rsidR="00A3048C" w:rsidRPr="00413F49">
        <w:rPr>
          <w:rFonts w:asciiTheme="majorHAnsi" w:hAnsiTheme="majorHAnsi"/>
        </w:rPr>
        <w:t xml:space="preserve">B-cells </w:t>
      </w:r>
      <w:r w:rsidR="00702920" w:rsidRPr="00413F49">
        <w:rPr>
          <w:rFonts w:asciiTheme="majorHAnsi" w:hAnsiTheme="majorHAnsi"/>
        </w:rPr>
        <w:t xml:space="preserve">are </w:t>
      </w:r>
      <w:r w:rsidR="00A3048C" w:rsidRPr="00413F49">
        <w:rPr>
          <w:rFonts w:asciiTheme="majorHAnsi" w:hAnsiTheme="majorHAnsi"/>
        </w:rPr>
        <w:t xml:space="preserve">killed </w:t>
      </w:r>
      <w:r w:rsidR="002155A5" w:rsidRPr="00413F49">
        <w:rPr>
          <w:rFonts w:asciiTheme="majorHAnsi" w:hAnsiTheme="majorHAnsi"/>
        </w:rPr>
        <w:t>within three</w:t>
      </w:r>
      <w:r w:rsidR="00A3048C" w:rsidRPr="00413F49">
        <w:rPr>
          <w:rFonts w:asciiTheme="majorHAnsi" w:hAnsiTheme="majorHAnsi"/>
        </w:rPr>
        <w:t xml:space="preserve"> days</w:t>
      </w:r>
      <w:r w:rsidR="002155A5" w:rsidRPr="00413F49">
        <w:rPr>
          <w:rFonts w:asciiTheme="majorHAnsi" w:hAnsiTheme="majorHAnsi"/>
        </w:rPr>
        <w:t xml:space="preserve"> of infusion</w:t>
      </w:r>
      <w:r w:rsidR="00A3048C" w:rsidRPr="00413F49">
        <w:rPr>
          <w:rFonts w:asciiTheme="majorHAnsi" w:hAnsiTheme="majorHAnsi"/>
        </w:rPr>
        <w:t>.</w:t>
      </w:r>
      <w:r w:rsidR="002155A5" w:rsidRPr="00413F49">
        <w:rPr>
          <w:rFonts w:asciiTheme="majorHAnsi" w:hAnsiTheme="majorHAnsi"/>
        </w:rPr>
        <w:t xml:space="preserve"> </w:t>
      </w:r>
      <w:r w:rsidR="00A3048C" w:rsidRPr="00413F49">
        <w:rPr>
          <w:rFonts w:asciiTheme="majorHAnsi" w:hAnsiTheme="majorHAnsi"/>
        </w:rPr>
        <w:t>Reduction of pathogenic antibody titres</w:t>
      </w:r>
      <w:r w:rsidR="002155A5" w:rsidRPr="00413F49">
        <w:rPr>
          <w:rFonts w:asciiTheme="majorHAnsi" w:hAnsiTheme="majorHAnsi"/>
        </w:rPr>
        <w:t xml:space="preserve"> </w:t>
      </w:r>
      <w:r w:rsidR="00A3048C" w:rsidRPr="00413F49">
        <w:rPr>
          <w:rFonts w:asciiTheme="majorHAnsi" w:hAnsiTheme="majorHAnsi"/>
        </w:rPr>
        <w:t xml:space="preserve">correlates with efficacy in </w:t>
      </w:r>
      <w:r w:rsidR="002155A5" w:rsidRPr="00413F49">
        <w:rPr>
          <w:rFonts w:asciiTheme="majorHAnsi" w:hAnsiTheme="majorHAnsi"/>
        </w:rPr>
        <w:t>some d</w:t>
      </w:r>
      <w:r w:rsidR="00A3048C" w:rsidRPr="00413F49">
        <w:rPr>
          <w:rFonts w:asciiTheme="majorHAnsi" w:hAnsiTheme="majorHAnsi"/>
        </w:rPr>
        <w:t>isorders</w:t>
      </w:r>
      <w:r w:rsidR="002155A5" w:rsidRPr="00413F49">
        <w:rPr>
          <w:rFonts w:asciiTheme="majorHAnsi" w:hAnsiTheme="majorHAnsi"/>
        </w:rPr>
        <w:t>.  However, rit</w:t>
      </w:r>
      <w:r w:rsidR="00A3048C" w:rsidRPr="00413F49">
        <w:rPr>
          <w:rFonts w:asciiTheme="majorHAnsi" w:hAnsiTheme="majorHAnsi"/>
        </w:rPr>
        <w:t xml:space="preserve">uximab is likely to affect the whole spectrum of B-cell function, </w:t>
      </w:r>
      <w:r w:rsidR="002155A5" w:rsidRPr="00413F49">
        <w:rPr>
          <w:rFonts w:asciiTheme="majorHAnsi" w:hAnsiTheme="majorHAnsi"/>
        </w:rPr>
        <w:t xml:space="preserve">and secondary changes in T-cell function, </w:t>
      </w:r>
      <w:r w:rsidR="001C7CA5" w:rsidRPr="00413F49">
        <w:rPr>
          <w:rFonts w:asciiTheme="majorHAnsi" w:hAnsiTheme="majorHAnsi"/>
        </w:rPr>
        <w:t>such as</w:t>
      </w:r>
      <w:r w:rsidR="002155A5" w:rsidRPr="00413F49">
        <w:rPr>
          <w:rFonts w:asciiTheme="majorHAnsi" w:hAnsiTheme="majorHAnsi"/>
        </w:rPr>
        <w:t xml:space="preserve"> i</w:t>
      </w:r>
      <w:r w:rsidR="00A3048C" w:rsidRPr="00413F49">
        <w:rPr>
          <w:rFonts w:asciiTheme="majorHAnsi" w:hAnsiTheme="majorHAnsi"/>
        </w:rPr>
        <w:t xml:space="preserve">nduction of </w:t>
      </w:r>
      <w:proofErr w:type="spellStart"/>
      <w:r w:rsidR="00A3048C" w:rsidRPr="00413F49">
        <w:rPr>
          <w:rFonts w:asciiTheme="majorHAnsi" w:hAnsiTheme="majorHAnsi"/>
        </w:rPr>
        <w:t>immunoregulatory</w:t>
      </w:r>
      <w:proofErr w:type="spellEnd"/>
      <w:r w:rsidR="00A3048C" w:rsidRPr="00413F49">
        <w:rPr>
          <w:rFonts w:asciiTheme="majorHAnsi" w:hAnsiTheme="majorHAnsi"/>
        </w:rPr>
        <w:t xml:space="preserve"> T-cells</w:t>
      </w:r>
      <w:r w:rsidR="002155A5" w:rsidRPr="00413F49">
        <w:rPr>
          <w:rFonts w:asciiTheme="majorHAnsi" w:hAnsiTheme="majorHAnsi"/>
        </w:rPr>
        <w:t>,</w:t>
      </w:r>
      <w:r w:rsidR="000C4B49" w:rsidRPr="00413F49">
        <w:rPr>
          <w:rFonts w:asciiTheme="majorHAnsi" w:hAnsiTheme="majorHAnsi"/>
        </w:rPr>
        <w:t xml:space="preserve"> may be important in some</w:t>
      </w:r>
      <w:r w:rsidR="00A3048C" w:rsidRPr="00413F49">
        <w:rPr>
          <w:rFonts w:asciiTheme="majorHAnsi" w:hAnsiTheme="majorHAnsi"/>
        </w:rPr>
        <w:t xml:space="preserve"> </w:t>
      </w:r>
      <w:r w:rsidR="002155A5" w:rsidRPr="00413F49">
        <w:rPr>
          <w:rFonts w:asciiTheme="majorHAnsi" w:hAnsiTheme="majorHAnsi"/>
        </w:rPr>
        <w:t xml:space="preserve">neuroinflammatory </w:t>
      </w:r>
      <w:r w:rsidR="00A3048C" w:rsidRPr="00413F49">
        <w:rPr>
          <w:rFonts w:asciiTheme="majorHAnsi" w:hAnsiTheme="majorHAnsi"/>
        </w:rPr>
        <w:t>disorders.</w:t>
      </w:r>
      <w:r w:rsidR="002155A5" w:rsidRPr="00413F49">
        <w:rPr>
          <w:rFonts w:asciiTheme="majorHAnsi" w:hAnsiTheme="majorHAnsi"/>
        </w:rPr>
        <w:t xml:space="preserve">  Sparing of CD20</w:t>
      </w:r>
      <w:r w:rsidR="0014009D" w:rsidRPr="00413F49">
        <w:rPr>
          <w:rFonts w:asciiTheme="majorHAnsi" w:hAnsiTheme="majorHAnsi"/>
          <w:vertAlign w:val="superscript"/>
        </w:rPr>
        <w:t>negative</w:t>
      </w:r>
      <w:r w:rsidR="002155A5" w:rsidRPr="00413F49">
        <w:rPr>
          <w:rFonts w:asciiTheme="majorHAnsi" w:hAnsiTheme="majorHAnsi"/>
        </w:rPr>
        <w:t xml:space="preserve"> long-lived plasma cells is hoped to preserve lasting humoral immunity.</w:t>
      </w:r>
    </w:p>
    <w:p w:rsidR="006A3FC6" w:rsidRPr="00413F49" w:rsidRDefault="006A3FC6" w:rsidP="00F172F7">
      <w:pPr>
        <w:jc w:val="both"/>
        <w:rPr>
          <w:rFonts w:asciiTheme="majorHAnsi" w:hAnsiTheme="majorHAnsi"/>
        </w:rPr>
      </w:pPr>
    </w:p>
    <w:p w:rsidR="001A6355" w:rsidRPr="00413F49" w:rsidRDefault="00AE5E08" w:rsidP="00A22970">
      <w:pPr>
        <w:jc w:val="both"/>
        <w:rPr>
          <w:rFonts w:asciiTheme="majorHAnsi" w:hAnsiTheme="majorHAnsi"/>
        </w:rPr>
      </w:pPr>
      <w:r w:rsidRPr="00BB42FE">
        <w:rPr>
          <w:rFonts w:asciiTheme="majorHAnsi" w:hAnsiTheme="majorHAnsi"/>
        </w:rPr>
        <w:t>In comparis</w:t>
      </w:r>
      <w:r w:rsidR="007524F8" w:rsidRPr="00BB42FE">
        <w:rPr>
          <w:rFonts w:asciiTheme="majorHAnsi" w:hAnsiTheme="majorHAnsi"/>
        </w:rPr>
        <w:t>on to first generation</w:t>
      </w:r>
      <w:r w:rsidRPr="00BB42FE">
        <w:rPr>
          <w:rFonts w:asciiTheme="majorHAnsi" w:hAnsiTheme="majorHAnsi"/>
        </w:rPr>
        <w:t xml:space="preserve"> m</w:t>
      </w:r>
      <w:r w:rsidR="007524F8" w:rsidRPr="00BB42FE">
        <w:rPr>
          <w:rFonts w:asciiTheme="majorHAnsi" w:hAnsiTheme="majorHAnsi"/>
        </w:rPr>
        <w:t>Abs, s</w:t>
      </w:r>
      <w:r w:rsidR="00D70585" w:rsidRPr="00BB42FE">
        <w:rPr>
          <w:rFonts w:asciiTheme="majorHAnsi" w:hAnsiTheme="majorHAnsi"/>
        </w:rPr>
        <w:t>econd</w:t>
      </w:r>
      <w:r w:rsidR="00D70585" w:rsidRPr="00413F49">
        <w:rPr>
          <w:rFonts w:asciiTheme="majorHAnsi" w:hAnsiTheme="majorHAnsi"/>
        </w:rPr>
        <w:t xml:space="preserve"> </w:t>
      </w:r>
      <w:r w:rsidR="00A22970" w:rsidRPr="00413F49">
        <w:rPr>
          <w:rFonts w:asciiTheme="majorHAnsi" w:hAnsiTheme="majorHAnsi"/>
        </w:rPr>
        <w:t>generation mAbs have improved Fab domains, often humanized or fully human, which improves B-cell killi</w:t>
      </w:r>
      <w:r w:rsidR="00512CF2">
        <w:rPr>
          <w:rFonts w:asciiTheme="majorHAnsi" w:hAnsiTheme="majorHAnsi"/>
        </w:rPr>
        <w:t>ng and tolerability (figure 3</w:t>
      </w:r>
      <w:r w:rsidR="00A22970" w:rsidRPr="00413F49">
        <w:rPr>
          <w:rFonts w:asciiTheme="majorHAnsi" w:hAnsiTheme="majorHAnsi"/>
        </w:rPr>
        <w:t xml:space="preserve">). </w:t>
      </w:r>
      <w:r w:rsidR="00D70585" w:rsidRPr="00413F49">
        <w:rPr>
          <w:rFonts w:asciiTheme="majorHAnsi" w:hAnsiTheme="majorHAnsi"/>
        </w:rPr>
        <w:t>Ocrelizumab</w:t>
      </w:r>
      <w:r w:rsidR="00A22970" w:rsidRPr="00413F49">
        <w:rPr>
          <w:rFonts w:asciiTheme="majorHAnsi" w:hAnsiTheme="majorHAnsi"/>
        </w:rPr>
        <w:t xml:space="preserve"> (humanized)</w:t>
      </w:r>
      <w:r w:rsidR="00872A58" w:rsidRPr="00413F49">
        <w:rPr>
          <w:rFonts w:asciiTheme="majorHAnsi" w:hAnsiTheme="majorHAnsi"/>
        </w:rPr>
        <w:t xml:space="preserve"> </w:t>
      </w:r>
      <w:r w:rsidR="000D73C6" w:rsidRPr="00413F49">
        <w:rPr>
          <w:rFonts w:asciiTheme="majorHAnsi" w:hAnsiTheme="majorHAnsi"/>
        </w:rPr>
        <w:t>was</w:t>
      </w:r>
      <w:r w:rsidR="00872A58" w:rsidRPr="00413F49">
        <w:rPr>
          <w:rFonts w:asciiTheme="majorHAnsi" w:hAnsiTheme="majorHAnsi"/>
        </w:rPr>
        <w:t xml:space="preserve"> recently approved to treat relapsing </w:t>
      </w:r>
      <w:r w:rsidR="00094AE2" w:rsidRPr="00413F49">
        <w:rPr>
          <w:rFonts w:asciiTheme="majorHAnsi" w:hAnsiTheme="majorHAnsi"/>
        </w:rPr>
        <w:t xml:space="preserve">and progressive MS. </w:t>
      </w:r>
      <w:proofErr w:type="spellStart"/>
      <w:r w:rsidR="00094AE2" w:rsidRPr="00413F49">
        <w:rPr>
          <w:rFonts w:asciiTheme="majorHAnsi" w:hAnsiTheme="majorHAnsi"/>
        </w:rPr>
        <w:t>O</w:t>
      </w:r>
      <w:r w:rsidR="009C4814" w:rsidRPr="00413F49">
        <w:rPr>
          <w:rFonts w:asciiTheme="majorHAnsi" w:hAnsiTheme="majorHAnsi"/>
        </w:rPr>
        <w:t>fatum</w:t>
      </w:r>
      <w:r w:rsidR="00872A58" w:rsidRPr="00413F49">
        <w:rPr>
          <w:rFonts w:asciiTheme="majorHAnsi" w:hAnsiTheme="majorHAnsi"/>
        </w:rPr>
        <w:t>umab</w:t>
      </w:r>
      <w:proofErr w:type="spellEnd"/>
      <w:r w:rsidR="00A22970" w:rsidRPr="00413F49">
        <w:rPr>
          <w:rFonts w:asciiTheme="majorHAnsi" w:hAnsiTheme="majorHAnsi"/>
        </w:rPr>
        <w:t xml:space="preserve">, a fully human </w:t>
      </w:r>
      <w:proofErr w:type="spellStart"/>
      <w:r w:rsidR="00A22970" w:rsidRPr="00413F49">
        <w:rPr>
          <w:rFonts w:asciiTheme="majorHAnsi" w:hAnsiTheme="majorHAnsi"/>
        </w:rPr>
        <w:t>mAb</w:t>
      </w:r>
      <w:proofErr w:type="spellEnd"/>
      <w:r w:rsidR="00A22970" w:rsidRPr="00413F49">
        <w:rPr>
          <w:rFonts w:asciiTheme="majorHAnsi" w:hAnsiTheme="majorHAnsi"/>
        </w:rPr>
        <w:t xml:space="preserve"> given by </w:t>
      </w:r>
      <w:r w:rsidR="00094AE2" w:rsidRPr="00413F49">
        <w:rPr>
          <w:rFonts w:asciiTheme="majorHAnsi" w:hAnsiTheme="majorHAnsi"/>
        </w:rPr>
        <w:t>once monthly subcutaneous injection</w:t>
      </w:r>
      <w:r w:rsidR="00A22970" w:rsidRPr="00413F49">
        <w:rPr>
          <w:rFonts w:asciiTheme="majorHAnsi" w:hAnsiTheme="majorHAnsi"/>
        </w:rPr>
        <w:t>,</w:t>
      </w:r>
      <w:r w:rsidR="00094AE2" w:rsidRPr="00413F49">
        <w:rPr>
          <w:rFonts w:asciiTheme="majorHAnsi" w:hAnsiTheme="majorHAnsi"/>
        </w:rPr>
        <w:t xml:space="preserve"> </w:t>
      </w:r>
      <w:r w:rsidR="00A22970" w:rsidRPr="00413F49">
        <w:rPr>
          <w:rFonts w:asciiTheme="majorHAnsi" w:hAnsiTheme="majorHAnsi"/>
        </w:rPr>
        <w:t xml:space="preserve">is in clinical trials. Third generation mAbs have been further engineered to improve their Fc-mediated immune functions or half-life.  </w:t>
      </w:r>
      <w:proofErr w:type="spellStart"/>
      <w:r w:rsidR="00A22970" w:rsidRPr="00413F49">
        <w:rPr>
          <w:rFonts w:asciiTheme="majorHAnsi" w:hAnsiTheme="majorHAnsi"/>
        </w:rPr>
        <w:t>U</w:t>
      </w:r>
      <w:r w:rsidR="00DC7DAF" w:rsidRPr="00413F49">
        <w:rPr>
          <w:rFonts w:asciiTheme="majorHAnsi" w:hAnsiTheme="majorHAnsi"/>
        </w:rPr>
        <w:t>blituximab</w:t>
      </w:r>
      <w:proofErr w:type="spellEnd"/>
      <w:r w:rsidR="00334AF4" w:rsidRPr="00413F49">
        <w:rPr>
          <w:rFonts w:asciiTheme="majorHAnsi" w:hAnsiTheme="majorHAnsi"/>
        </w:rPr>
        <w:t xml:space="preserve"> (TG-1101), a </w:t>
      </w:r>
      <w:r w:rsidR="00094AE2" w:rsidRPr="00413F49">
        <w:rPr>
          <w:rFonts w:asciiTheme="majorHAnsi" w:hAnsiTheme="majorHAnsi"/>
        </w:rPr>
        <w:t xml:space="preserve">rapidly infusible </w:t>
      </w:r>
      <w:r w:rsidR="00334AF4" w:rsidRPr="00413F49">
        <w:rPr>
          <w:rFonts w:asciiTheme="majorHAnsi" w:hAnsiTheme="majorHAnsi"/>
        </w:rPr>
        <w:t xml:space="preserve">chimeric </w:t>
      </w:r>
      <w:proofErr w:type="spellStart"/>
      <w:r w:rsidR="00334AF4" w:rsidRPr="00413F49">
        <w:rPr>
          <w:rFonts w:asciiTheme="majorHAnsi" w:hAnsiTheme="majorHAnsi"/>
        </w:rPr>
        <w:t>glycoengineered</w:t>
      </w:r>
      <w:proofErr w:type="spellEnd"/>
      <w:r w:rsidR="00334AF4" w:rsidRPr="00413F49">
        <w:rPr>
          <w:rFonts w:asciiTheme="majorHAnsi" w:hAnsiTheme="majorHAnsi"/>
        </w:rPr>
        <w:t xml:space="preserve"> </w:t>
      </w:r>
      <w:proofErr w:type="spellStart"/>
      <w:r w:rsidR="00334AF4" w:rsidRPr="00413F49">
        <w:rPr>
          <w:rFonts w:asciiTheme="majorHAnsi" w:hAnsiTheme="majorHAnsi"/>
        </w:rPr>
        <w:t>mAb</w:t>
      </w:r>
      <w:proofErr w:type="spellEnd"/>
      <w:r w:rsidR="002A2D23" w:rsidRPr="00413F49">
        <w:rPr>
          <w:rFonts w:asciiTheme="majorHAnsi" w:hAnsiTheme="majorHAnsi"/>
        </w:rPr>
        <w:t>,</w:t>
      </w:r>
      <w:r w:rsidR="00334AF4" w:rsidRPr="00413F49">
        <w:rPr>
          <w:rFonts w:asciiTheme="majorHAnsi" w:hAnsiTheme="majorHAnsi"/>
        </w:rPr>
        <w:t xml:space="preserve"> </w:t>
      </w:r>
      <w:r w:rsidR="00A22970" w:rsidRPr="00413F49">
        <w:rPr>
          <w:rFonts w:asciiTheme="majorHAnsi" w:hAnsiTheme="majorHAnsi"/>
        </w:rPr>
        <w:t>is also being trialled in MS currently.</w:t>
      </w:r>
      <w:r w:rsidR="00094AE2" w:rsidRPr="00413F49">
        <w:rPr>
          <w:rFonts w:asciiTheme="majorHAnsi" w:hAnsiTheme="majorHAnsi"/>
        </w:rPr>
        <w:t xml:space="preserve"> </w:t>
      </w:r>
    </w:p>
    <w:p w:rsidR="00A22970" w:rsidRPr="00413F49" w:rsidRDefault="00A22970" w:rsidP="00A22970">
      <w:pPr>
        <w:jc w:val="both"/>
        <w:rPr>
          <w:rFonts w:asciiTheme="majorHAnsi" w:hAnsiTheme="majorHAnsi"/>
        </w:rPr>
      </w:pPr>
    </w:p>
    <w:p w:rsidR="00751AA5" w:rsidRPr="00413F49" w:rsidRDefault="003E638B" w:rsidP="00D14F32">
      <w:pPr>
        <w:jc w:val="both"/>
        <w:rPr>
          <w:rFonts w:asciiTheme="majorHAnsi" w:hAnsiTheme="majorHAnsi"/>
          <w:vertAlign w:val="superscript"/>
        </w:rPr>
      </w:pPr>
      <w:r w:rsidRPr="00413F49">
        <w:rPr>
          <w:rFonts w:asciiTheme="majorHAnsi" w:hAnsiTheme="majorHAnsi"/>
        </w:rPr>
        <w:t>Anti-</w:t>
      </w:r>
      <w:r w:rsidR="001A6355" w:rsidRPr="00413F49">
        <w:rPr>
          <w:rFonts w:asciiTheme="majorHAnsi" w:hAnsiTheme="majorHAnsi"/>
        </w:rPr>
        <w:t>CD19</w:t>
      </w:r>
      <w:r w:rsidRPr="00413F49">
        <w:rPr>
          <w:rFonts w:asciiTheme="majorHAnsi" w:hAnsiTheme="majorHAnsi"/>
        </w:rPr>
        <w:t xml:space="preserve"> B</w:t>
      </w:r>
      <w:r w:rsidR="00780660" w:rsidRPr="00413F49">
        <w:rPr>
          <w:rFonts w:asciiTheme="majorHAnsi" w:hAnsiTheme="majorHAnsi"/>
        </w:rPr>
        <w:t>-</w:t>
      </w:r>
      <w:r w:rsidRPr="00413F49">
        <w:rPr>
          <w:rFonts w:asciiTheme="majorHAnsi" w:hAnsiTheme="majorHAnsi"/>
        </w:rPr>
        <w:t>cell depleting</w:t>
      </w:r>
      <w:r w:rsidR="001A6355" w:rsidRPr="00413F49">
        <w:rPr>
          <w:rFonts w:asciiTheme="majorHAnsi" w:hAnsiTheme="majorHAnsi"/>
        </w:rPr>
        <w:t xml:space="preserve"> </w:t>
      </w:r>
      <w:r w:rsidR="00257C83" w:rsidRPr="00413F49">
        <w:rPr>
          <w:rFonts w:asciiTheme="majorHAnsi" w:hAnsiTheme="majorHAnsi"/>
        </w:rPr>
        <w:t xml:space="preserve">therapies </w:t>
      </w:r>
      <w:r w:rsidR="00F07183" w:rsidRPr="00413F49">
        <w:rPr>
          <w:rFonts w:asciiTheme="majorHAnsi" w:hAnsiTheme="majorHAnsi"/>
        </w:rPr>
        <w:t xml:space="preserve">may </w:t>
      </w:r>
      <w:r w:rsidR="001A6355" w:rsidRPr="00413F49">
        <w:rPr>
          <w:rFonts w:asciiTheme="majorHAnsi" w:hAnsiTheme="majorHAnsi"/>
        </w:rPr>
        <w:t xml:space="preserve">offer </w:t>
      </w:r>
      <w:r w:rsidR="006F2424" w:rsidRPr="00413F49">
        <w:rPr>
          <w:rFonts w:asciiTheme="majorHAnsi" w:hAnsiTheme="majorHAnsi"/>
        </w:rPr>
        <w:t xml:space="preserve">better </w:t>
      </w:r>
      <w:r w:rsidR="001A6355" w:rsidRPr="00413F49">
        <w:rPr>
          <w:rFonts w:asciiTheme="majorHAnsi" w:hAnsiTheme="majorHAnsi"/>
        </w:rPr>
        <w:t>efficacy</w:t>
      </w:r>
      <w:r w:rsidR="006F2424" w:rsidRPr="00413F49">
        <w:rPr>
          <w:rFonts w:asciiTheme="majorHAnsi" w:hAnsiTheme="majorHAnsi"/>
        </w:rPr>
        <w:t xml:space="preserve"> </w:t>
      </w:r>
      <w:r w:rsidR="00E822CE" w:rsidRPr="00413F49">
        <w:rPr>
          <w:rFonts w:asciiTheme="majorHAnsi" w:hAnsiTheme="majorHAnsi"/>
        </w:rPr>
        <w:t xml:space="preserve">(and potentially higher risks) </w:t>
      </w:r>
      <w:r w:rsidR="006F2424" w:rsidRPr="00413F49">
        <w:rPr>
          <w:rFonts w:asciiTheme="majorHAnsi" w:hAnsiTheme="majorHAnsi"/>
        </w:rPr>
        <w:t>than anti-CD20 therapies</w:t>
      </w:r>
      <w:r w:rsidR="00E822CE" w:rsidRPr="00413F49">
        <w:rPr>
          <w:rFonts w:asciiTheme="majorHAnsi" w:hAnsiTheme="majorHAnsi"/>
        </w:rPr>
        <w:t xml:space="preserve"> due to the broader expression of CD19 throughout B-cell development</w:t>
      </w:r>
      <w:r w:rsidR="001C7CA5" w:rsidRPr="00413F49">
        <w:rPr>
          <w:rFonts w:asciiTheme="majorHAnsi" w:hAnsiTheme="majorHAnsi"/>
        </w:rPr>
        <w:t>,</w:t>
      </w:r>
      <w:r w:rsidR="00E822CE" w:rsidRPr="00413F49">
        <w:rPr>
          <w:rFonts w:asciiTheme="majorHAnsi" w:hAnsiTheme="majorHAnsi"/>
        </w:rPr>
        <w:t xml:space="preserve"> including the plasmablast phase (figure 1).</w:t>
      </w:r>
      <w:r w:rsidR="00965062" w:rsidRPr="00413F49">
        <w:rPr>
          <w:rFonts w:asciiTheme="majorHAnsi" w:hAnsiTheme="majorHAnsi"/>
        </w:rPr>
        <w:t xml:space="preserve"> </w:t>
      </w:r>
      <w:r w:rsidR="00D14F32" w:rsidRPr="00413F49">
        <w:rPr>
          <w:rFonts w:asciiTheme="majorHAnsi" w:hAnsiTheme="majorHAnsi"/>
        </w:rPr>
        <w:t xml:space="preserve"> </w:t>
      </w:r>
      <w:proofErr w:type="spellStart"/>
      <w:r w:rsidR="00EF7F19" w:rsidRPr="00413F49">
        <w:rPr>
          <w:rFonts w:asciiTheme="majorHAnsi" w:hAnsiTheme="majorHAnsi"/>
        </w:rPr>
        <w:t>Inebilizumab</w:t>
      </w:r>
      <w:proofErr w:type="spellEnd"/>
      <w:r w:rsidR="00EF7F19" w:rsidRPr="00413F49">
        <w:rPr>
          <w:rFonts w:asciiTheme="majorHAnsi" w:hAnsiTheme="majorHAnsi"/>
        </w:rPr>
        <w:t xml:space="preserve"> (MEDI-551) </w:t>
      </w:r>
      <w:r w:rsidR="00094AE2" w:rsidRPr="00413F49">
        <w:rPr>
          <w:rFonts w:asciiTheme="majorHAnsi" w:hAnsiTheme="majorHAnsi"/>
        </w:rPr>
        <w:t>is in</w:t>
      </w:r>
      <w:r w:rsidR="007A1636" w:rsidRPr="00413F49">
        <w:rPr>
          <w:rFonts w:asciiTheme="majorHAnsi" w:hAnsiTheme="majorHAnsi"/>
        </w:rPr>
        <w:t xml:space="preserve"> a</w:t>
      </w:r>
      <w:r w:rsidR="00094AE2" w:rsidRPr="00413F49">
        <w:rPr>
          <w:rFonts w:asciiTheme="majorHAnsi" w:hAnsiTheme="majorHAnsi"/>
        </w:rPr>
        <w:t xml:space="preserve"> phase 3 trial</w:t>
      </w:r>
      <w:r w:rsidR="00990283" w:rsidRPr="00413F49">
        <w:rPr>
          <w:rFonts w:asciiTheme="majorHAnsi" w:hAnsiTheme="majorHAnsi"/>
        </w:rPr>
        <w:t xml:space="preserve"> in</w:t>
      </w:r>
      <w:r w:rsidR="00094AE2" w:rsidRPr="00413F49">
        <w:rPr>
          <w:rFonts w:asciiTheme="majorHAnsi" w:hAnsiTheme="majorHAnsi"/>
        </w:rPr>
        <w:t xml:space="preserve"> </w:t>
      </w:r>
      <w:r w:rsidR="00872A58" w:rsidRPr="00413F49">
        <w:rPr>
          <w:rFonts w:asciiTheme="majorHAnsi" w:hAnsiTheme="majorHAnsi"/>
        </w:rPr>
        <w:t>NMOSD</w:t>
      </w:r>
      <w:r w:rsidR="00530A9E" w:rsidRPr="00413F49">
        <w:rPr>
          <w:rFonts w:asciiTheme="majorHAnsi" w:hAnsiTheme="majorHAnsi"/>
        </w:rPr>
        <w:t>.</w:t>
      </w:r>
      <w:r w:rsidR="00D74085" w:rsidRPr="00413F49">
        <w:rPr>
          <w:rFonts w:asciiTheme="majorHAnsi" w:hAnsiTheme="majorHAnsi"/>
          <w:vertAlign w:val="superscript"/>
        </w:rPr>
        <w:t>5</w:t>
      </w:r>
    </w:p>
    <w:p w:rsidR="007C67AB" w:rsidRPr="00413F49" w:rsidRDefault="007C67AB" w:rsidP="00B3773E">
      <w:pPr>
        <w:jc w:val="both"/>
        <w:rPr>
          <w:rFonts w:asciiTheme="majorHAnsi" w:hAnsiTheme="majorHAnsi"/>
        </w:rPr>
      </w:pPr>
    </w:p>
    <w:p w:rsidR="007674DC" w:rsidRPr="00413F49" w:rsidRDefault="007674DC" w:rsidP="00C22EF3">
      <w:pPr>
        <w:jc w:val="both"/>
        <w:rPr>
          <w:rFonts w:asciiTheme="majorHAnsi" w:hAnsiTheme="majorHAnsi"/>
          <w:b/>
        </w:rPr>
      </w:pPr>
      <w:proofErr w:type="spellStart"/>
      <w:r w:rsidRPr="00413F49">
        <w:rPr>
          <w:rFonts w:asciiTheme="majorHAnsi" w:hAnsiTheme="majorHAnsi"/>
          <w:b/>
        </w:rPr>
        <w:t>Biosimilars</w:t>
      </w:r>
      <w:proofErr w:type="spellEnd"/>
    </w:p>
    <w:p w:rsidR="007674DC" w:rsidRPr="00413F49" w:rsidRDefault="007674DC" w:rsidP="00B3773E">
      <w:pPr>
        <w:jc w:val="both"/>
        <w:rPr>
          <w:rFonts w:asciiTheme="majorHAnsi" w:hAnsiTheme="majorHAnsi"/>
        </w:rPr>
      </w:pPr>
    </w:p>
    <w:p w:rsidR="00FE37B7" w:rsidRPr="00413F49" w:rsidRDefault="00F85C9E" w:rsidP="00A3048C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Most </w:t>
      </w:r>
      <w:r w:rsidR="007674DC" w:rsidRPr="00413F49">
        <w:rPr>
          <w:rFonts w:asciiTheme="majorHAnsi" w:hAnsiTheme="majorHAnsi"/>
        </w:rPr>
        <w:t>mAbs</w:t>
      </w:r>
      <w:r w:rsidR="007C67AB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are </w:t>
      </w:r>
      <w:r w:rsidR="00F20D74" w:rsidRPr="00413F49">
        <w:rPr>
          <w:rFonts w:asciiTheme="majorHAnsi" w:hAnsiTheme="majorHAnsi"/>
        </w:rPr>
        <w:t>costly.</w:t>
      </w:r>
      <w:r w:rsidR="00F97D33" w:rsidRPr="00413F49">
        <w:rPr>
          <w:rFonts w:asciiTheme="majorHAnsi" w:hAnsiTheme="majorHAnsi"/>
        </w:rPr>
        <w:t xml:space="preserve"> </w:t>
      </w:r>
      <w:r w:rsidR="007A1636" w:rsidRPr="00413F49">
        <w:rPr>
          <w:rFonts w:asciiTheme="majorHAnsi" w:hAnsiTheme="majorHAnsi"/>
        </w:rPr>
        <w:t>However, o</w:t>
      </w:r>
      <w:r w:rsidR="00F8234B" w:rsidRPr="00413F49">
        <w:rPr>
          <w:rFonts w:asciiTheme="majorHAnsi" w:hAnsiTheme="majorHAnsi"/>
        </w:rPr>
        <w:t xml:space="preserve">nce the original </w:t>
      </w:r>
      <w:r w:rsidR="000D486E" w:rsidRPr="00413F49">
        <w:rPr>
          <w:rFonts w:asciiTheme="majorHAnsi" w:hAnsiTheme="majorHAnsi"/>
        </w:rPr>
        <w:t xml:space="preserve">drug patent expires, </w:t>
      </w:r>
      <w:r w:rsidR="00387F97" w:rsidRPr="00413F49">
        <w:rPr>
          <w:rFonts w:asciiTheme="majorHAnsi" w:hAnsiTheme="majorHAnsi"/>
        </w:rPr>
        <w:t xml:space="preserve">cheaper, </w:t>
      </w:r>
      <w:r w:rsidR="004C27E9" w:rsidRPr="00413F49">
        <w:rPr>
          <w:rFonts w:asciiTheme="majorHAnsi" w:hAnsiTheme="majorHAnsi"/>
        </w:rPr>
        <w:t>copy version</w:t>
      </w:r>
      <w:r w:rsidR="007A1636" w:rsidRPr="00413F49">
        <w:rPr>
          <w:rFonts w:asciiTheme="majorHAnsi" w:hAnsiTheme="majorHAnsi"/>
        </w:rPr>
        <w:t xml:space="preserve">s – </w:t>
      </w:r>
      <w:r w:rsidR="000D486E" w:rsidRPr="00413F49">
        <w:rPr>
          <w:rFonts w:asciiTheme="majorHAnsi" w:hAnsiTheme="majorHAnsi"/>
        </w:rPr>
        <w:t>‘</w:t>
      </w:r>
      <w:proofErr w:type="spellStart"/>
      <w:r w:rsidR="000D486E" w:rsidRPr="00413F49">
        <w:rPr>
          <w:rFonts w:asciiTheme="majorHAnsi" w:hAnsiTheme="majorHAnsi"/>
        </w:rPr>
        <w:t>biosimilars</w:t>
      </w:r>
      <w:proofErr w:type="spellEnd"/>
      <w:r w:rsidR="000D486E" w:rsidRPr="00413F49">
        <w:rPr>
          <w:rFonts w:asciiTheme="majorHAnsi" w:hAnsiTheme="majorHAnsi"/>
        </w:rPr>
        <w:t>’</w:t>
      </w:r>
      <w:r w:rsidR="007A1636" w:rsidRPr="00413F49">
        <w:rPr>
          <w:rFonts w:asciiTheme="majorHAnsi" w:hAnsiTheme="majorHAnsi"/>
        </w:rPr>
        <w:t xml:space="preserve"> – </w:t>
      </w:r>
      <w:r w:rsidR="00387F97" w:rsidRPr="00413F49">
        <w:rPr>
          <w:rFonts w:asciiTheme="majorHAnsi" w:hAnsiTheme="majorHAnsi"/>
        </w:rPr>
        <w:t>become available</w:t>
      </w:r>
      <w:r w:rsidR="00A43EE4" w:rsidRPr="00413F49">
        <w:rPr>
          <w:rFonts w:asciiTheme="majorHAnsi" w:hAnsiTheme="majorHAnsi"/>
        </w:rPr>
        <w:t>.</w:t>
      </w:r>
      <w:r w:rsidR="000D486E" w:rsidRPr="00413F49">
        <w:rPr>
          <w:rFonts w:asciiTheme="majorHAnsi" w:hAnsiTheme="majorHAnsi"/>
        </w:rPr>
        <w:t xml:space="preserve"> </w:t>
      </w:r>
      <w:r w:rsidR="00B3773E" w:rsidRPr="00413F49">
        <w:rPr>
          <w:rFonts w:asciiTheme="majorHAnsi" w:hAnsiTheme="majorHAnsi"/>
        </w:rPr>
        <w:t>Competing companies</w:t>
      </w:r>
      <w:r w:rsidR="000D486E" w:rsidRPr="00413F49">
        <w:rPr>
          <w:rFonts w:asciiTheme="majorHAnsi" w:hAnsiTheme="majorHAnsi"/>
        </w:rPr>
        <w:t xml:space="preserve"> do not have access to the original molecular clone, cell bank or exact manufacturing process</w:t>
      </w:r>
      <w:r w:rsidR="00B3773E" w:rsidRPr="00413F49">
        <w:rPr>
          <w:rFonts w:asciiTheme="majorHAnsi" w:hAnsiTheme="majorHAnsi"/>
        </w:rPr>
        <w:t>, which may result in slight differences to these complex molecular structures</w:t>
      </w:r>
      <w:r w:rsidR="00387F97" w:rsidRPr="00413F49">
        <w:rPr>
          <w:rFonts w:asciiTheme="majorHAnsi" w:hAnsiTheme="majorHAnsi"/>
        </w:rPr>
        <w:t xml:space="preserve">. </w:t>
      </w:r>
      <w:r w:rsidR="007A1636" w:rsidRPr="00413F49">
        <w:rPr>
          <w:rFonts w:asciiTheme="majorHAnsi" w:hAnsiTheme="majorHAnsi"/>
        </w:rPr>
        <w:t>Therefore</w:t>
      </w:r>
      <w:r w:rsidR="00387F97" w:rsidRPr="00413F49">
        <w:rPr>
          <w:rFonts w:asciiTheme="majorHAnsi" w:hAnsiTheme="majorHAnsi"/>
        </w:rPr>
        <w:t xml:space="preserve"> </w:t>
      </w:r>
      <w:proofErr w:type="spellStart"/>
      <w:r w:rsidR="00387F97" w:rsidRPr="00413F49">
        <w:rPr>
          <w:rFonts w:asciiTheme="majorHAnsi" w:hAnsiTheme="majorHAnsi"/>
        </w:rPr>
        <w:t>biosimilars</w:t>
      </w:r>
      <w:proofErr w:type="spellEnd"/>
      <w:r w:rsidR="00387F97" w:rsidRPr="00413F49">
        <w:rPr>
          <w:rFonts w:asciiTheme="majorHAnsi" w:hAnsiTheme="majorHAnsi"/>
        </w:rPr>
        <w:t xml:space="preserve"> are not truly ‘generic’</w:t>
      </w:r>
      <w:r w:rsidR="00B3773E" w:rsidRPr="00413F49">
        <w:rPr>
          <w:rFonts w:asciiTheme="majorHAnsi" w:hAnsiTheme="majorHAnsi"/>
        </w:rPr>
        <w:t xml:space="preserve">. </w:t>
      </w:r>
      <w:r w:rsidR="00387F97" w:rsidRPr="00413F49">
        <w:rPr>
          <w:rFonts w:asciiTheme="majorHAnsi" w:hAnsiTheme="majorHAnsi"/>
        </w:rPr>
        <w:t>T</w:t>
      </w:r>
      <w:r w:rsidR="008C0C15" w:rsidRPr="00413F49">
        <w:rPr>
          <w:rFonts w:asciiTheme="majorHAnsi" w:hAnsiTheme="majorHAnsi"/>
        </w:rPr>
        <w:t xml:space="preserve">o gain </w:t>
      </w:r>
      <w:r w:rsidR="007A1636" w:rsidRPr="00413F49">
        <w:rPr>
          <w:rFonts w:asciiTheme="majorHAnsi" w:hAnsiTheme="majorHAnsi"/>
        </w:rPr>
        <w:t xml:space="preserve">a </w:t>
      </w:r>
      <w:r w:rsidR="003B3629" w:rsidRPr="00413F49">
        <w:rPr>
          <w:rFonts w:asciiTheme="majorHAnsi" w:hAnsiTheme="majorHAnsi"/>
        </w:rPr>
        <w:t>licence</w:t>
      </w:r>
      <w:r w:rsidR="008C0C15" w:rsidRPr="00413F49">
        <w:rPr>
          <w:rFonts w:asciiTheme="majorHAnsi" w:hAnsiTheme="majorHAnsi"/>
        </w:rPr>
        <w:t xml:space="preserve">, </w:t>
      </w:r>
      <w:proofErr w:type="spellStart"/>
      <w:r w:rsidR="008C0C15" w:rsidRPr="00413F49">
        <w:rPr>
          <w:rFonts w:asciiTheme="majorHAnsi" w:hAnsiTheme="majorHAnsi"/>
        </w:rPr>
        <w:t>biosimilars</w:t>
      </w:r>
      <w:proofErr w:type="spellEnd"/>
      <w:r w:rsidR="008C0C15" w:rsidRPr="00413F49">
        <w:rPr>
          <w:rFonts w:asciiTheme="majorHAnsi" w:hAnsiTheme="majorHAnsi"/>
        </w:rPr>
        <w:t xml:space="preserve"> must be shown to be highly similar</w:t>
      </w:r>
      <w:r w:rsidR="009B6368" w:rsidRPr="00413F49">
        <w:rPr>
          <w:rFonts w:asciiTheme="majorHAnsi" w:hAnsiTheme="majorHAnsi"/>
        </w:rPr>
        <w:t xml:space="preserve"> in</w:t>
      </w:r>
      <w:r w:rsidR="004C27E9" w:rsidRPr="00413F49">
        <w:rPr>
          <w:rFonts w:asciiTheme="majorHAnsi" w:hAnsiTheme="majorHAnsi"/>
        </w:rPr>
        <w:t xml:space="preserve"> structure, purity and biological activity to the original </w:t>
      </w:r>
      <w:proofErr w:type="spellStart"/>
      <w:r w:rsidR="004C27E9" w:rsidRPr="00413F49">
        <w:rPr>
          <w:rFonts w:asciiTheme="majorHAnsi" w:hAnsiTheme="majorHAnsi"/>
        </w:rPr>
        <w:t>mAb</w:t>
      </w:r>
      <w:proofErr w:type="spellEnd"/>
      <w:r w:rsidR="000D73C6" w:rsidRPr="00413F49">
        <w:rPr>
          <w:rFonts w:asciiTheme="majorHAnsi" w:hAnsiTheme="majorHAnsi"/>
        </w:rPr>
        <w:t>;</w:t>
      </w:r>
      <w:r w:rsidR="004C27E9" w:rsidRPr="00413F49">
        <w:rPr>
          <w:rFonts w:asciiTheme="majorHAnsi" w:hAnsiTheme="majorHAnsi"/>
        </w:rPr>
        <w:t xml:space="preserve"> </w:t>
      </w:r>
      <w:r w:rsidR="000D73C6" w:rsidRPr="00413F49">
        <w:rPr>
          <w:rFonts w:asciiTheme="majorHAnsi" w:hAnsiTheme="majorHAnsi"/>
        </w:rPr>
        <w:t xml:space="preserve">however, </w:t>
      </w:r>
      <w:r w:rsidR="004C27E9" w:rsidRPr="00413F49">
        <w:rPr>
          <w:rFonts w:asciiTheme="majorHAnsi" w:hAnsiTheme="majorHAnsi"/>
        </w:rPr>
        <w:t xml:space="preserve">repetition of </w:t>
      </w:r>
      <w:r w:rsidR="008C0C15" w:rsidRPr="00413F49">
        <w:rPr>
          <w:rFonts w:asciiTheme="majorHAnsi" w:hAnsiTheme="majorHAnsi"/>
        </w:rPr>
        <w:t>clinical trials</w:t>
      </w:r>
      <w:r w:rsidR="004C27E9" w:rsidRPr="00413F49">
        <w:rPr>
          <w:rFonts w:asciiTheme="majorHAnsi" w:hAnsiTheme="majorHAnsi"/>
        </w:rPr>
        <w:t xml:space="preserve"> for each indication is not required</w:t>
      </w:r>
      <w:r w:rsidR="00BF4F98" w:rsidRPr="00413F49">
        <w:rPr>
          <w:rFonts w:asciiTheme="majorHAnsi" w:hAnsiTheme="majorHAnsi"/>
        </w:rPr>
        <w:t xml:space="preserve">. </w:t>
      </w:r>
      <w:r w:rsidR="003E4651" w:rsidRPr="00413F49">
        <w:rPr>
          <w:rFonts w:asciiTheme="majorHAnsi" w:hAnsiTheme="majorHAnsi"/>
        </w:rPr>
        <w:t>Rit</w:t>
      </w:r>
      <w:r w:rsidR="00232F70" w:rsidRPr="00413F49">
        <w:rPr>
          <w:rFonts w:asciiTheme="majorHAnsi" w:hAnsiTheme="majorHAnsi"/>
        </w:rPr>
        <w:t>uximab’s patent expired in 2016</w:t>
      </w:r>
      <w:r w:rsidR="003E4651" w:rsidRPr="00413F49">
        <w:rPr>
          <w:rFonts w:asciiTheme="majorHAnsi" w:hAnsiTheme="majorHAnsi"/>
        </w:rPr>
        <w:t xml:space="preserve"> and </w:t>
      </w:r>
      <w:r w:rsidR="00232F70" w:rsidRPr="00413F49">
        <w:rPr>
          <w:rFonts w:asciiTheme="majorHAnsi" w:hAnsiTheme="majorHAnsi"/>
        </w:rPr>
        <w:t xml:space="preserve">two </w:t>
      </w:r>
      <w:proofErr w:type="spellStart"/>
      <w:r w:rsidR="003E4651" w:rsidRPr="00413F49">
        <w:rPr>
          <w:rFonts w:asciiTheme="majorHAnsi" w:hAnsiTheme="majorHAnsi"/>
        </w:rPr>
        <w:t>biosimilar</w:t>
      </w:r>
      <w:r w:rsidR="00232F70" w:rsidRPr="00413F49">
        <w:rPr>
          <w:rFonts w:asciiTheme="majorHAnsi" w:hAnsiTheme="majorHAnsi"/>
        </w:rPr>
        <w:t>s</w:t>
      </w:r>
      <w:proofErr w:type="spellEnd"/>
      <w:r w:rsidR="003E4651" w:rsidRPr="00413F49">
        <w:rPr>
          <w:rFonts w:asciiTheme="majorHAnsi" w:hAnsiTheme="majorHAnsi"/>
        </w:rPr>
        <w:t xml:space="preserve">, </w:t>
      </w:r>
      <w:proofErr w:type="spellStart"/>
      <w:r w:rsidR="00B3773E" w:rsidRPr="00413F49">
        <w:rPr>
          <w:rFonts w:asciiTheme="majorHAnsi" w:hAnsiTheme="majorHAnsi"/>
        </w:rPr>
        <w:t>Truxima</w:t>
      </w:r>
      <w:proofErr w:type="spellEnd"/>
      <w:r w:rsidR="00232F70" w:rsidRPr="00413F49">
        <w:rPr>
          <w:rFonts w:asciiTheme="majorHAnsi" w:hAnsiTheme="majorHAnsi"/>
        </w:rPr>
        <w:t xml:space="preserve"> and </w:t>
      </w:r>
      <w:proofErr w:type="spellStart"/>
      <w:r w:rsidR="00232F70" w:rsidRPr="00413F49">
        <w:rPr>
          <w:rFonts w:asciiTheme="majorHAnsi" w:hAnsiTheme="majorHAnsi"/>
        </w:rPr>
        <w:t>Rixathon</w:t>
      </w:r>
      <w:proofErr w:type="spellEnd"/>
      <w:r w:rsidR="00232F70" w:rsidRPr="00413F49">
        <w:rPr>
          <w:rFonts w:asciiTheme="majorHAnsi" w:hAnsiTheme="majorHAnsi"/>
        </w:rPr>
        <w:t>, have been</w:t>
      </w:r>
      <w:r w:rsidR="00B3773E" w:rsidRPr="00413F49">
        <w:rPr>
          <w:rFonts w:asciiTheme="majorHAnsi" w:hAnsiTheme="majorHAnsi"/>
        </w:rPr>
        <w:t xml:space="preserve"> approved by the</w:t>
      </w:r>
      <w:r w:rsidR="008C0C15" w:rsidRPr="00413F49">
        <w:rPr>
          <w:rFonts w:asciiTheme="majorHAnsi" w:hAnsiTheme="majorHAnsi"/>
        </w:rPr>
        <w:t xml:space="preserve"> Europe</w:t>
      </w:r>
      <w:r w:rsidR="00BF4F98" w:rsidRPr="00413F49">
        <w:rPr>
          <w:rFonts w:asciiTheme="majorHAnsi" w:hAnsiTheme="majorHAnsi"/>
        </w:rPr>
        <w:t xml:space="preserve">an Medicines Agency. </w:t>
      </w:r>
      <w:r w:rsidR="00B3773E" w:rsidRPr="00413F49">
        <w:rPr>
          <w:rFonts w:asciiTheme="majorHAnsi" w:hAnsiTheme="majorHAnsi"/>
        </w:rPr>
        <w:t xml:space="preserve">Dosing and </w:t>
      </w:r>
      <w:r w:rsidR="00DC7DAF" w:rsidRPr="00413F49">
        <w:rPr>
          <w:rFonts w:asciiTheme="majorHAnsi" w:hAnsiTheme="majorHAnsi"/>
        </w:rPr>
        <w:t>administration</w:t>
      </w:r>
      <w:r w:rsidR="00A34D40" w:rsidRPr="00413F49">
        <w:rPr>
          <w:rFonts w:asciiTheme="majorHAnsi" w:hAnsiTheme="majorHAnsi"/>
        </w:rPr>
        <w:t xml:space="preserve"> protocols are identical. </w:t>
      </w:r>
      <w:r w:rsidR="008A0A7D">
        <w:rPr>
          <w:rFonts w:asciiTheme="majorHAnsi" w:hAnsiTheme="majorHAnsi"/>
        </w:rPr>
        <w:t xml:space="preserve">British National Formulary prices are </w:t>
      </w:r>
      <w:r w:rsidR="008A0A7D" w:rsidRPr="00BB42FE">
        <w:rPr>
          <w:rFonts w:asciiTheme="majorHAnsi" w:hAnsiTheme="majorHAnsi"/>
        </w:rPr>
        <w:t>currently</w:t>
      </w:r>
      <w:r w:rsidR="008A0A7D" w:rsidRPr="00413F49">
        <w:rPr>
          <w:rFonts w:asciiTheme="majorHAnsi" w:hAnsiTheme="majorHAnsi"/>
        </w:rPr>
        <w:t xml:space="preserve"> </w:t>
      </w:r>
      <w:r w:rsidR="008A0A7D" w:rsidRPr="00BB42FE">
        <w:rPr>
          <w:rFonts w:asciiTheme="majorHAnsi" w:hAnsiTheme="majorHAnsi"/>
        </w:rPr>
        <w:t xml:space="preserve">£1746 for </w:t>
      </w:r>
      <w:proofErr w:type="spellStart"/>
      <w:r w:rsidR="008A0A7D" w:rsidRPr="00BB42FE">
        <w:rPr>
          <w:rFonts w:asciiTheme="majorHAnsi" w:hAnsiTheme="majorHAnsi"/>
        </w:rPr>
        <w:t>MabThera</w:t>
      </w:r>
      <w:proofErr w:type="spellEnd"/>
      <w:r w:rsidR="008A0A7D">
        <w:rPr>
          <w:rFonts w:asciiTheme="majorHAnsi" w:hAnsiTheme="majorHAnsi"/>
        </w:rPr>
        <w:t xml:space="preserve"> 1g (the original form of rituximab), versus </w:t>
      </w:r>
      <w:r w:rsidR="008A0A7D" w:rsidRPr="00BB42FE">
        <w:rPr>
          <w:rFonts w:asciiTheme="majorHAnsi" w:hAnsiTheme="majorHAnsi"/>
        </w:rPr>
        <w:t xml:space="preserve">£1572 </w:t>
      </w:r>
      <w:r w:rsidR="008A0A7D">
        <w:rPr>
          <w:rFonts w:asciiTheme="majorHAnsi" w:hAnsiTheme="majorHAnsi"/>
        </w:rPr>
        <w:t>for</w:t>
      </w:r>
      <w:r w:rsidR="008A0A7D" w:rsidRPr="00413F49">
        <w:rPr>
          <w:rFonts w:asciiTheme="majorHAnsi" w:hAnsiTheme="majorHAnsi"/>
        </w:rPr>
        <w:t xml:space="preserve"> </w:t>
      </w:r>
      <w:proofErr w:type="spellStart"/>
      <w:r w:rsidR="00702920" w:rsidRPr="00413F49">
        <w:rPr>
          <w:rFonts w:asciiTheme="majorHAnsi" w:hAnsiTheme="majorHAnsi"/>
        </w:rPr>
        <w:t>Truxima</w:t>
      </w:r>
      <w:proofErr w:type="spellEnd"/>
      <w:r w:rsidR="00702920" w:rsidRPr="00413F49">
        <w:rPr>
          <w:rFonts w:asciiTheme="majorHAnsi" w:hAnsiTheme="majorHAnsi"/>
        </w:rPr>
        <w:t xml:space="preserve"> </w:t>
      </w:r>
      <w:r w:rsidR="008A0A7D">
        <w:rPr>
          <w:rFonts w:asciiTheme="majorHAnsi" w:hAnsiTheme="majorHAnsi"/>
        </w:rPr>
        <w:t>or</w:t>
      </w:r>
      <w:r w:rsidR="00232F70" w:rsidRPr="00413F49">
        <w:rPr>
          <w:rFonts w:asciiTheme="majorHAnsi" w:hAnsiTheme="majorHAnsi"/>
        </w:rPr>
        <w:t xml:space="preserve"> Rix</w:t>
      </w:r>
      <w:r w:rsidR="00232F70" w:rsidRPr="00BB42FE">
        <w:rPr>
          <w:rFonts w:asciiTheme="majorHAnsi" w:hAnsiTheme="majorHAnsi"/>
        </w:rPr>
        <w:t>athon</w:t>
      </w:r>
      <w:r w:rsidR="008A0A7D">
        <w:rPr>
          <w:rFonts w:asciiTheme="majorHAnsi" w:hAnsiTheme="majorHAnsi"/>
        </w:rPr>
        <w:t>.</w:t>
      </w:r>
      <w:r w:rsidR="00F9703F" w:rsidRPr="00BB42FE">
        <w:rPr>
          <w:rFonts w:asciiTheme="majorHAnsi" w:hAnsiTheme="majorHAnsi"/>
          <w:vertAlign w:val="superscript"/>
        </w:rPr>
        <w:t>6</w:t>
      </w:r>
      <w:r w:rsidR="00F9703F" w:rsidRPr="00BB42FE">
        <w:rPr>
          <w:rFonts w:asciiTheme="majorHAnsi" w:hAnsiTheme="majorHAnsi"/>
        </w:rPr>
        <w:t xml:space="preserve"> </w:t>
      </w:r>
      <w:r w:rsidR="008A0A7D">
        <w:rPr>
          <w:rFonts w:asciiTheme="majorHAnsi" w:hAnsiTheme="majorHAnsi"/>
        </w:rPr>
        <w:t xml:space="preserve">However, prices to NHS hospitals vary substantially according to regional contracts and discussion with the hospital pharmacy department is advised. </w:t>
      </w:r>
      <w:r w:rsidR="00361702" w:rsidRPr="00413F49">
        <w:rPr>
          <w:rFonts w:asciiTheme="majorHAnsi" w:hAnsiTheme="majorHAnsi"/>
        </w:rPr>
        <w:t>P</w:t>
      </w:r>
      <w:r w:rsidR="00A34D40" w:rsidRPr="00413F49">
        <w:rPr>
          <w:rFonts w:asciiTheme="majorHAnsi" w:hAnsiTheme="majorHAnsi"/>
        </w:rPr>
        <w:t>atients</w:t>
      </w:r>
      <w:r w:rsidR="00361702" w:rsidRPr="00413F49">
        <w:rPr>
          <w:rFonts w:asciiTheme="majorHAnsi" w:hAnsiTheme="majorHAnsi"/>
        </w:rPr>
        <w:t xml:space="preserve"> should be informed</w:t>
      </w:r>
      <w:r w:rsidR="00A34D40" w:rsidRPr="00413F49">
        <w:rPr>
          <w:rFonts w:asciiTheme="majorHAnsi" w:hAnsiTheme="majorHAnsi"/>
        </w:rPr>
        <w:t xml:space="preserve"> </w:t>
      </w:r>
      <w:r w:rsidR="00387F97" w:rsidRPr="00413F49">
        <w:rPr>
          <w:rFonts w:asciiTheme="majorHAnsi" w:hAnsiTheme="majorHAnsi"/>
        </w:rPr>
        <w:t xml:space="preserve">of the </w:t>
      </w:r>
      <w:r w:rsidR="00A34D40" w:rsidRPr="00413F49">
        <w:rPr>
          <w:rFonts w:asciiTheme="majorHAnsi" w:hAnsiTheme="majorHAnsi"/>
        </w:rPr>
        <w:t xml:space="preserve">switch </w:t>
      </w:r>
      <w:r w:rsidR="00361702" w:rsidRPr="00413F49">
        <w:rPr>
          <w:rFonts w:asciiTheme="majorHAnsi" w:hAnsiTheme="majorHAnsi"/>
        </w:rPr>
        <w:t xml:space="preserve">and monitored to ensure that tolerability and </w:t>
      </w:r>
      <w:r w:rsidR="00A43EE4" w:rsidRPr="00413F49">
        <w:rPr>
          <w:rFonts w:asciiTheme="majorHAnsi" w:hAnsiTheme="majorHAnsi"/>
        </w:rPr>
        <w:t>side effects</w:t>
      </w:r>
      <w:r w:rsidR="00361702" w:rsidRPr="00413F49">
        <w:rPr>
          <w:rFonts w:asciiTheme="majorHAnsi" w:hAnsiTheme="majorHAnsi"/>
        </w:rPr>
        <w:t xml:space="preserve"> remain unchanged.</w:t>
      </w:r>
    </w:p>
    <w:p w:rsidR="00DB7918" w:rsidRPr="00413F49" w:rsidRDefault="00DB7918">
      <w:pPr>
        <w:rPr>
          <w:rFonts w:asciiTheme="majorHAnsi" w:hAnsiTheme="majorHAnsi"/>
          <w:b/>
        </w:rPr>
      </w:pPr>
    </w:p>
    <w:p w:rsidR="002A2D23" w:rsidRPr="00413F49" w:rsidRDefault="002A2D23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Indications</w:t>
      </w:r>
      <w:r w:rsidR="00353E63" w:rsidRPr="00413F49">
        <w:rPr>
          <w:rFonts w:asciiTheme="majorHAnsi" w:hAnsiTheme="majorHAnsi"/>
          <w:b/>
        </w:rPr>
        <w:t xml:space="preserve"> and evidence</w:t>
      </w:r>
      <w:r w:rsidRPr="00413F49">
        <w:rPr>
          <w:rFonts w:asciiTheme="majorHAnsi" w:hAnsiTheme="majorHAnsi"/>
          <w:b/>
        </w:rPr>
        <w:t xml:space="preserve"> for rituximab in neurology</w:t>
      </w:r>
    </w:p>
    <w:p w:rsidR="002A2D23" w:rsidRPr="00413F49" w:rsidRDefault="002A2D23" w:rsidP="00CB2C68">
      <w:pPr>
        <w:rPr>
          <w:rFonts w:asciiTheme="majorHAnsi" w:hAnsiTheme="majorHAnsi"/>
          <w:b/>
        </w:rPr>
      </w:pPr>
    </w:p>
    <w:p w:rsidR="00A3048C" w:rsidRPr="00413F49" w:rsidRDefault="000632E8" w:rsidP="0040226B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An understanding of the</w:t>
      </w:r>
      <w:r w:rsidR="00D535C4" w:rsidRPr="00413F49">
        <w:rPr>
          <w:rFonts w:asciiTheme="majorHAnsi" w:hAnsiTheme="majorHAnsi"/>
        </w:rPr>
        <w:t xml:space="preserve"> </w:t>
      </w:r>
      <w:r w:rsidR="00A3048C" w:rsidRPr="00413F49">
        <w:rPr>
          <w:rFonts w:asciiTheme="majorHAnsi" w:hAnsiTheme="majorHAnsi"/>
        </w:rPr>
        <w:t xml:space="preserve">evidence for rituximab in </w:t>
      </w:r>
      <w:r w:rsidR="00D535C4" w:rsidRPr="00413F49">
        <w:rPr>
          <w:rFonts w:asciiTheme="majorHAnsi" w:hAnsiTheme="majorHAnsi"/>
        </w:rPr>
        <w:t>neuroinf</w:t>
      </w:r>
      <w:r w:rsidR="00512CF2">
        <w:rPr>
          <w:rFonts w:asciiTheme="majorHAnsi" w:hAnsiTheme="majorHAnsi"/>
        </w:rPr>
        <w:t xml:space="preserve">lammatory disorders </w:t>
      </w:r>
      <w:r w:rsidR="00353E63" w:rsidRPr="00413F49">
        <w:rPr>
          <w:rFonts w:asciiTheme="majorHAnsi" w:hAnsiTheme="majorHAnsi"/>
        </w:rPr>
        <w:t>should inform off-license prescribing</w:t>
      </w:r>
      <w:r w:rsidR="00512CF2">
        <w:rPr>
          <w:rFonts w:asciiTheme="majorHAnsi" w:hAnsiTheme="majorHAnsi"/>
        </w:rPr>
        <w:t xml:space="preserve"> </w:t>
      </w:r>
      <w:r w:rsidR="00512CF2">
        <w:rPr>
          <w:rFonts w:asciiTheme="majorHAnsi" w:hAnsiTheme="majorHAnsi"/>
        </w:rPr>
        <w:t>(see table 1</w:t>
      </w:r>
      <w:r w:rsidR="00512CF2" w:rsidRPr="00413F49">
        <w:rPr>
          <w:rFonts w:asciiTheme="majorHAnsi" w:hAnsiTheme="majorHAnsi"/>
        </w:rPr>
        <w:t xml:space="preserve"> for a briefer summary)</w:t>
      </w:r>
      <w:r w:rsidRPr="00413F49">
        <w:rPr>
          <w:rFonts w:asciiTheme="majorHAnsi" w:hAnsiTheme="majorHAnsi"/>
        </w:rPr>
        <w:t>.</w:t>
      </w:r>
      <w:r w:rsidR="00353E63" w:rsidRPr="00413F49">
        <w:rPr>
          <w:rFonts w:asciiTheme="majorHAnsi" w:hAnsiTheme="majorHAnsi"/>
        </w:rPr>
        <w:t xml:space="preserve"> </w:t>
      </w:r>
    </w:p>
    <w:p w:rsidR="00A3048C" w:rsidRPr="00413F49" w:rsidRDefault="00A3048C" w:rsidP="00CB2C68">
      <w:pPr>
        <w:rPr>
          <w:rFonts w:asciiTheme="majorHAnsi" w:hAnsiTheme="majorHAnsi"/>
          <w:i/>
        </w:rPr>
      </w:pPr>
    </w:p>
    <w:p w:rsidR="002A2D23" w:rsidRPr="00413F49" w:rsidRDefault="00A3048C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Multiple sclerosis (MS)</w:t>
      </w:r>
    </w:p>
    <w:p w:rsidR="00A3048C" w:rsidRPr="00413F49" w:rsidRDefault="00A3048C" w:rsidP="00CB2C68">
      <w:pPr>
        <w:rPr>
          <w:rFonts w:asciiTheme="majorHAnsi" w:hAnsiTheme="majorHAnsi"/>
          <w:i/>
        </w:rPr>
      </w:pPr>
    </w:p>
    <w:p w:rsidR="0040226B" w:rsidRPr="00413F49" w:rsidRDefault="00DD1B44" w:rsidP="0040226B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With a</w:t>
      </w:r>
      <w:r w:rsidR="0040226B" w:rsidRPr="00413F49">
        <w:rPr>
          <w:rFonts w:asciiTheme="majorHAnsi" w:hAnsiTheme="majorHAnsi"/>
        </w:rPr>
        <w:t xml:space="preserve"> </w:t>
      </w:r>
      <w:r w:rsidR="006141A1" w:rsidRPr="00413F49">
        <w:rPr>
          <w:rFonts w:asciiTheme="majorHAnsi" w:hAnsiTheme="majorHAnsi"/>
        </w:rPr>
        <w:t xml:space="preserve">choice </w:t>
      </w:r>
      <w:r w:rsidR="0040226B" w:rsidRPr="00413F49">
        <w:rPr>
          <w:rFonts w:asciiTheme="majorHAnsi" w:hAnsiTheme="majorHAnsi"/>
        </w:rPr>
        <w:t>of licensed disease-modifying therapies</w:t>
      </w:r>
      <w:r w:rsidR="006141A1" w:rsidRPr="00413F49">
        <w:rPr>
          <w:rFonts w:asciiTheme="majorHAnsi" w:hAnsiTheme="majorHAnsi"/>
        </w:rPr>
        <w:t xml:space="preserve"> (DMTs)</w:t>
      </w:r>
      <w:r w:rsidR="00E65C4E" w:rsidRPr="00413F49">
        <w:rPr>
          <w:rFonts w:asciiTheme="majorHAnsi" w:hAnsiTheme="majorHAnsi"/>
        </w:rPr>
        <w:t xml:space="preserve"> supported by phase III randomised controlled trials (RCTs)</w:t>
      </w:r>
      <w:r w:rsidR="006141A1" w:rsidRPr="00413F49">
        <w:rPr>
          <w:rFonts w:asciiTheme="majorHAnsi" w:hAnsiTheme="majorHAnsi"/>
        </w:rPr>
        <w:t>,</w:t>
      </w:r>
      <w:r w:rsidR="0040226B" w:rsidRPr="00413F49">
        <w:rPr>
          <w:rFonts w:asciiTheme="majorHAnsi" w:hAnsiTheme="majorHAnsi"/>
        </w:rPr>
        <w:t xml:space="preserve"> use</w:t>
      </w:r>
      <w:r w:rsidR="006141A1" w:rsidRPr="00413F49">
        <w:rPr>
          <w:rFonts w:asciiTheme="majorHAnsi" w:hAnsiTheme="majorHAnsi"/>
        </w:rPr>
        <w:t xml:space="preserve"> of rituximab in the UK for MS is rare. </w:t>
      </w:r>
      <w:r w:rsidR="0040226B" w:rsidRPr="00413F49">
        <w:rPr>
          <w:rFonts w:asciiTheme="majorHAnsi" w:hAnsiTheme="majorHAnsi"/>
        </w:rPr>
        <w:t>However,</w:t>
      </w:r>
      <w:r w:rsidR="006141A1" w:rsidRPr="00413F49">
        <w:rPr>
          <w:rFonts w:asciiTheme="majorHAnsi" w:hAnsiTheme="majorHAnsi"/>
        </w:rPr>
        <w:t xml:space="preserve"> there is evidence suggesting efficacy, and it may be an option in </w:t>
      </w:r>
      <w:r w:rsidR="00E65C4E" w:rsidRPr="00413F49">
        <w:rPr>
          <w:rFonts w:asciiTheme="majorHAnsi" w:hAnsiTheme="majorHAnsi"/>
        </w:rPr>
        <w:t>occasional</w:t>
      </w:r>
      <w:r w:rsidR="006141A1" w:rsidRPr="00413F49">
        <w:rPr>
          <w:rFonts w:asciiTheme="majorHAnsi" w:hAnsiTheme="majorHAnsi"/>
        </w:rPr>
        <w:t xml:space="preserve"> cases (especially if licensed co-morbidities, such as active RA, facilitate funding).</w:t>
      </w:r>
      <w:r w:rsidRPr="00413F49">
        <w:rPr>
          <w:rFonts w:asciiTheme="majorHAnsi" w:hAnsiTheme="majorHAnsi"/>
        </w:rPr>
        <w:t xml:space="preserve"> P</w:t>
      </w:r>
      <w:r w:rsidR="0040226B" w:rsidRPr="00413F49">
        <w:rPr>
          <w:rFonts w:asciiTheme="majorHAnsi" w:hAnsiTheme="majorHAnsi"/>
        </w:rPr>
        <w:t>hase I and II</w:t>
      </w:r>
      <w:r w:rsidR="006141A1" w:rsidRPr="00413F49">
        <w:rPr>
          <w:rFonts w:asciiTheme="majorHAnsi" w:hAnsiTheme="majorHAnsi"/>
        </w:rPr>
        <w:t xml:space="preserve"> trials of rituximab in re</w:t>
      </w:r>
      <w:r w:rsidRPr="00413F49">
        <w:rPr>
          <w:rFonts w:asciiTheme="majorHAnsi" w:hAnsiTheme="majorHAnsi"/>
        </w:rPr>
        <w:t xml:space="preserve">lapsing remitting MS (RRMS) </w:t>
      </w:r>
      <w:r w:rsidR="006141A1" w:rsidRPr="00413F49">
        <w:rPr>
          <w:rFonts w:asciiTheme="majorHAnsi" w:hAnsiTheme="majorHAnsi"/>
        </w:rPr>
        <w:t xml:space="preserve">met their </w:t>
      </w:r>
      <w:r w:rsidR="00751ED7" w:rsidRPr="00413F49">
        <w:rPr>
          <w:rFonts w:asciiTheme="majorHAnsi" w:hAnsiTheme="majorHAnsi"/>
        </w:rPr>
        <w:t>primary endpoints</w:t>
      </w:r>
      <w:r w:rsidR="006141A1" w:rsidRPr="00413F49">
        <w:rPr>
          <w:rFonts w:asciiTheme="majorHAnsi" w:hAnsiTheme="majorHAnsi"/>
        </w:rPr>
        <w:t>.</w:t>
      </w:r>
      <w:r w:rsidR="00114EF0" w:rsidRPr="00413F49">
        <w:rPr>
          <w:rFonts w:asciiTheme="majorHAnsi" w:hAnsiTheme="majorHAnsi"/>
          <w:vertAlign w:val="superscript"/>
        </w:rPr>
        <w:t>7</w:t>
      </w:r>
      <w:r w:rsidR="00751ED7" w:rsidRPr="00413F49">
        <w:rPr>
          <w:rFonts w:asciiTheme="majorHAnsi" w:hAnsiTheme="majorHAnsi"/>
          <w:vertAlign w:val="superscript"/>
        </w:rPr>
        <w:t>-</w:t>
      </w:r>
      <w:r w:rsidR="00114EF0" w:rsidRPr="00413F49">
        <w:rPr>
          <w:rFonts w:asciiTheme="majorHAnsi" w:hAnsiTheme="majorHAnsi"/>
          <w:vertAlign w:val="superscript"/>
        </w:rPr>
        <w:t>9</w:t>
      </w:r>
      <w:r w:rsidR="006141A1" w:rsidRPr="00413F49">
        <w:rPr>
          <w:rFonts w:asciiTheme="majorHAnsi" w:hAnsiTheme="majorHAnsi"/>
        </w:rPr>
        <w:t xml:space="preserve"> A </w:t>
      </w:r>
      <w:r w:rsidR="00B36C30" w:rsidRPr="00413F49">
        <w:rPr>
          <w:rFonts w:asciiTheme="majorHAnsi" w:hAnsiTheme="majorHAnsi"/>
        </w:rPr>
        <w:t xml:space="preserve">large 96-week multicentre RCT in primary progressive MS </w:t>
      </w:r>
      <w:r w:rsidR="006141A1" w:rsidRPr="00413F49">
        <w:rPr>
          <w:rFonts w:asciiTheme="majorHAnsi" w:hAnsiTheme="majorHAnsi"/>
        </w:rPr>
        <w:t xml:space="preserve">failed to demonstrate a delay to confirmed disease progression, but subgroup analysis showed a benefit </w:t>
      </w:r>
      <w:r w:rsidR="0025029B" w:rsidRPr="00413F49">
        <w:rPr>
          <w:rFonts w:asciiTheme="majorHAnsi" w:hAnsiTheme="majorHAnsi"/>
        </w:rPr>
        <w:t>in</w:t>
      </w:r>
      <w:r w:rsidR="006141A1" w:rsidRPr="00413F49">
        <w:rPr>
          <w:rFonts w:asciiTheme="majorHAnsi" w:hAnsiTheme="majorHAnsi"/>
        </w:rPr>
        <w:t xml:space="preserve"> younger patients, particularly wi</w:t>
      </w:r>
      <w:r w:rsidR="00751ED7" w:rsidRPr="00413F49">
        <w:rPr>
          <w:rFonts w:asciiTheme="majorHAnsi" w:hAnsiTheme="majorHAnsi"/>
        </w:rPr>
        <w:t>th inflammatory lesions</w:t>
      </w:r>
      <w:r w:rsidR="006141A1" w:rsidRPr="00413F49">
        <w:rPr>
          <w:rFonts w:asciiTheme="majorHAnsi" w:hAnsiTheme="majorHAnsi"/>
        </w:rPr>
        <w:t>.</w:t>
      </w:r>
      <w:r w:rsidR="00114EF0" w:rsidRPr="00413F49">
        <w:rPr>
          <w:rFonts w:asciiTheme="majorHAnsi" w:hAnsiTheme="majorHAnsi"/>
          <w:vertAlign w:val="superscript"/>
        </w:rPr>
        <w:t>10</w:t>
      </w:r>
      <w:r w:rsidR="00B36C30" w:rsidRPr="00413F49">
        <w:rPr>
          <w:rFonts w:asciiTheme="majorHAnsi" w:hAnsiTheme="majorHAnsi"/>
        </w:rPr>
        <w:t xml:space="preserve"> Trials</w:t>
      </w:r>
      <w:r w:rsidR="00E65C4E" w:rsidRPr="00413F49">
        <w:rPr>
          <w:rFonts w:asciiTheme="majorHAnsi" w:hAnsiTheme="majorHAnsi"/>
        </w:rPr>
        <w:t xml:space="preserve"> in</w:t>
      </w:r>
      <w:r w:rsidR="0040226B" w:rsidRPr="00413F49">
        <w:rPr>
          <w:rFonts w:asciiTheme="majorHAnsi" w:hAnsiTheme="majorHAnsi"/>
        </w:rPr>
        <w:t xml:space="preserve"> MS </w:t>
      </w:r>
      <w:r w:rsidR="006141A1" w:rsidRPr="00413F49">
        <w:rPr>
          <w:rFonts w:asciiTheme="majorHAnsi" w:hAnsiTheme="majorHAnsi"/>
        </w:rPr>
        <w:t xml:space="preserve">then </w:t>
      </w:r>
      <w:r w:rsidR="00E65C4E" w:rsidRPr="00413F49">
        <w:rPr>
          <w:rFonts w:asciiTheme="majorHAnsi" w:hAnsiTheme="majorHAnsi"/>
        </w:rPr>
        <w:t>ceased</w:t>
      </w:r>
      <w:r w:rsidR="006141A1" w:rsidRPr="00413F49">
        <w:rPr>
          <w:rFonts w:asciiTheme="majorHAnsi" w:hAnsiTheme="majorHAnsi"/>
        </w:rPr>
        <w:t>,</w:t>
      </w:r>
      <w:r w:rsidRPr="00413F49">
        <w:rPr>
          <w:rFonts w:asciiTheme="majorHAnsi" w:hAnsiTheme="majorHAnsi"/>
        </w:rPr>
        <w:t xml:space="preserve"> probably</w:t>
      </w:r>
      <w:r w:rsidR="006141A1" w:rsidRPr="00413F49">
        <w:rPr>
          <w:rFonts w:asciiTheme="majorHAnsi" w:hAnsiTheme="majorHAnsi"/>
        </w:rPr>
        <w:t xml:space="preserve"> due to</w:t>
      </w:r>
      <w:r w:rsidR="0040226B" w:rsidRPr="00413F49">
        <w:rPr>
          <w:rFonts w:asciiTheme="majorHAnsi" w:hAnsiTheme="majorHAnsi"/>
        </w:rPr>
        <w:t xml:space="preserve"> </w:t>
      </w:r>
      <w:r w:rsidR="006141A1" w:rsidRPr="00413F49">
        <w:rPr>
          <w:rFonts w:asciiTheme="majorHAnsi" w:hAnsiTheme="majorHAnsi"/>
        </w:rPr>
        <w:t>the impending expiration of rituximab’s</w:t>
      </w:r>
      <w:r w:rsidR="0040226B" w:rsidRPr="00413F49">
        <w:rPr>
          <w:rFonts w:asciiTheme="majorHAnsi" w:hAnsiTheme="majorHAnsi"/>
        </w:rPr>
        <w:t xml:space="preserve"> patent</w:t>
      </w:r>
      <w:r w:rsidR="006141A1" w:rsidRPr="00413F49">
        <w:rPr>
          <w:rFonts w:asciiTheme="majorHAnsi" w:hAnsiTheme="majorHAnsi"/>
        </w:rPr>
        <w:t xml:space="preserve"> and the emergence of newer B-cell depleting</w:t>
      </w:r>
      <w:r w:rsidRPr="00413F49">
        <w:rPr>
          <w:rFonts w:asciiTheme="majorHAnsi" w:hAnsiTheme="majorHAnsi"/>
        </w:rPr>
        <w:t xml:space="preserve"> therapies</w:t>
      </w:r>
      <w:r w:rsidR="0025029B" w:rsidRPr="00413F49">
        <w:rPr>
          <w:rFonts w:asciiTheme="majorHAnsi" w:hAnsiTheme="majorHAnsi"/>
        </w:rPr>
        <w:t xml:space="preserve"> </w:t>
      </w:r>
      <w:r w:rsidR="000632E8" w:rsidRPr="00413F49">
        <w:rPr>
          <w:rFonts w:asciiTheme="majorHAnsi" w:hAnsiTheme="majorHAnsi"/>
        </w:rPr>
        <w:t>from the s</w:t>
      </w:r>
      <w:r w:rsidR="0025029B" w:rsidRPr="00413F49">
        <w:rPr>
          <w:rFonts w:asciiTheme="majorHAnsi" w:hAnsiTheme="majorHAnsi"/>
        </w:rPr>
        <w:t>ame manufacturer</w:t>
      </w:r>
      <w:r w:rsidR="006141A1" w:rsidRPr="00413F49">
        <w:rPr>
          <w:rFonts w:asciiTheme="majorHAnsi" w:hAnsiTheme="majorHAnsi"/>
        </w:rPr>
        <w:t>. Sweden is the biggest off-license prescriber of rituximab for</w:t>
      </w:r>
      <w:r w:rsidR="00E65C4E" w:rsidRPr="00413F49">
        <w:rPr>
          <w:rFonts w:asciiTheme="majorHAnsi" w:hAnsiTheme="majorHAnsi"/>
        </w:rPr>
        <w:t xml:space="preserve"> all forms of MS and has publishe</w:t>
      </w:r>
      <w:r w:rsidR="006141A1" w:rsidRPr="00413F49">
        <w:rPr>
          <w:rFonts w:asciiTheme="majorHAnsi" w:hAnsiTheme="majorHAnsi"/>
        </w:rPr>
        <w:t xml:space="preserve">d class IV evidence of safety and efficacy in </w:t>
      </w:r>
      <w:r w:rsidR="00B36C30" w:rsidRPr="00413F49">
        <w:rPr>
          <w:rFonts w:asciiTheme="majorHAnsi" w:hAnsiTheme="majorHAnsi"/>
        </w:rPr>
        <w:t xml:space="preserve">a </w:t>
      </w:r>
      <w:r w:rsidR="006141A1" w:rsidRPr="00413F49">
        <w:rPr>
          <w:rFonts w:asciiTheme="majorHAnsi" w:hAnsiTheme="majorHAnsi"/>
        </w:rPr>
        <w:t>larg</w:t>
      </w:r>
      <w:r w:rsidR="00B36C30" w:rsidRPr="00413F49">
        <w:rPr>
          <w:rFonts w:asciiTheme="majorHAnsi" w:hAnsiTheme="majorHAnsi"/>
        </w:rPr>
        <w:t>e multicentre cohort (n=822)</w:t>
      </w:r>
      <w:r w:rsidR="00710C67" w:rsidRPr="00413F49">
        <w:rPr>
          <w:rFonts w:asciiTheme="majorHAnsi" w:hAnsiTheme="majorHAnsi"/>
        </w:rPr>
        <w:t>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1</w:t>
      </w:r>
      <w:r w:rsidR="006141A1" w:rsidRPr="00413F49">
        <w:rPr>
          <w:rFonts w:asciiTheme="majorHAnsi" w:hAnsiTheme="majorHAnsi"/>
        </w:rPr>
        <w:t xml:space="preserve"> </w:t>
      </w:r>
      <w:r w:rsidR="00B36C30" w:rsidRPr="00413F49">
        <w:rPr>
          <w:rFonts w:asciiTheme="majorHAnsi" w:hAnsiTheme="majorHAnsi"/>
        </w:rPr>
        <w:t>The</w:t>
      </w:r>
      <w:r w:rsidR="006141A1" w:rsidRPr="00413F49">
        <w:rPr>
          <w:rFonts w:asciiTheme="majorHAnsi" w:hAnsiTheme="majorHAnsi"/>
        </w:rPr>
        <w:t xml:space="preserve"> dose used is 500-100</w:t>
      </w:r>
      <w:r w:rsidR="00710C67" w:rsidRPr="00413F49">
        <w:rPr>
          <w:rFonts w:asciiTheme="majorHAnsi" w:hAnsiTheme="majorHAnsi"/>
        </w:rPr>
        <w:t>0</w:t>
      </w:r>
      <w:r w:rsidR="006141A1" w:rsidRPr="00413F49">
        <w:rPr>
          <w:rFonts w:asciiTheme="majorHAnsi" w:hAnsiTheme="majorHAnsi"/>
        </w:rPr>
        <w:t>mg 6-12 monthly.</w:t>
      </w:r>
      <w:r w:rsidR="00710C67" w:rsidRPr="00413F49">
        <w:rPr>
          <w:rFonts w:asciiTheme="majorHAnsi" w:hAnsiTheme="majorHAnsi"/>
        </w:rPr>
        <w:t xml:space="preserve"> </w:t>
      </w:r>
      <w:r w:rsidR="006141A1" w:rsidRPr="00413F49">
        <w:rPr>
          <w:rFonts w:asciiTheme="majorHAnsi" w:hAnsiTheme="majorHAnsi"/>
        </w:rPr>
        <w:t>A recent real-word retrospective co</w:t>
      </w:r>
      <w:r w:rsidRPr="00413F49">
        <w:rPr>
          <w:rFonts w:asciiTheme="majorHAnsi" w:hAnsiTheme="majorHAnsi"/>
        </w:rPr>
        <w:t xml:space="preserve">mparative study demonstrated </w:t>
      </w:r>
      <w:r w:rsidR="006141A1" w:rsidRPr="00413F49">
        <w:rPr>
          <w:rFonts w:asciiTheme="majorHAnsi" w:hAnsiTheme="majorHAnsi"/>
        </w:rPr>
        <w:t xml:space="preserve">efficacy </w:t>
      </w:r>
      <w:r w:rsidR="00710C67" w:rsidRPr="00413F49">
        <w:rPr>
          <w:rFonts w:asciiTheme="majorHAnsi" w:hAnsiTheme="majorHAnsi"/>
        </w:rPr>
        <w:t xml:space="preserve">in RRMS </w:t>
      </w:r>
      <w:r w:rsidR="006141A1" w:rsidRPr="00413F49">
        <w:rPr>
          <w:rFonts w:asciiTheme="majorHAnsi" w:hAnsiTheme="majorHAnsi"/>
        </w:rPr>
        <w:t xml:space="preserve">comparable to </w:t>
      </w:r>
      <w:proofErr w:type="spellStart"/>
      <w:r w:rsidR="006141A1" w:rsidRPr="00413F49">
        <w:rPr>
          <w:rFonts w:asciiTheme="majorHAnsi" w:hAnsiTheme="majorHAnsi"/>
        </w:rPr>
        <w:t>natalizumab</w:t>
      </w:r>
      <w:proofErr w:type="spellEnd"/>
      <w:r w:rsidR="006141A1" w:rsidRPr="00413F49">
        <w:rPr>
          <w:rFonts w:asciiTheme="majorHAnsi" w:hAnsiTheme="majorHAnsi"/>
        </w:rPr>
        <w:t xml:space="preserve"> and fingolimod, and significantly better than injectable DMTs </w:t>
      </w:r>
      <w:r w:rsidR="00710C67" w:rsidRPr="00413F49">
        <w:rPr>
          <w:rFonts w:asciiTheme="majorHAnsi" w:hAnsiTheme="majorHAnsi"/>
        </w:rPr>
        <w:t xml:space="preserve">and dimethyl fumarate. </w:t>
      </w:r>
      <w:r w:rsidR="006141A1" w:rsidRPr="00413F49">
        <w:rPr>
          <w:rFonts w:asciiTheme="majorHAnsi" w:hAnsiTheme="majorHAnsi"/>
        </w:rPr>
        <w:t>Rituximab was superior to all drugs i</w:t>
      </w:r>
      <w:r w:rsidR="00751ED7" w:rsidRPr="00413F49">
        <w:rPr>
          <w:rFonts w:asciiTheme="majorHAnsi" w:hAnsiTheme="majorHAnsi"/>
        </w:rPr>
        <w:t>n terms of discontinuation rate</w:t>
      </w:r>
      <w:r w:rsidR="006141A1" w:rsidRPr="00413F49">
        <w:rPr>
          <w:rFonts w:asciiTheme="majorHAnsi" w:hAnsiTheme="majorHAnsi"/>
        </w:rPr>
        <w:t>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2</w:t>
      </w:r>
      <w:r w:rsidR="006141A1" w:rsidRPr="00413F49">
        <w:rPr>
          <w:rFonts w:asciiTheme="majorHAnsi" w:hAnsiTheme="majorHAnsi"/>
        </w:rPr>
        <w:t xml:space="preserve"> </w:t>
      </w:r>
      <w:r w:rsidR="00710C67" w:rsidRPr="00413F49">
        <w:rPr>
          <w:rFonts w:asciiTheme="majorHAnsi" w:hAnsiTheme="majorHAnsi"/>
        </w:rPr>
        <w:t>Although this is relatively low quality evidence, there is a clear indication that rituximab is an efficacious therapy for MS, which would be expected in lig</w:t>
      </w:r>
      <w:r w:rsidR="00B36C30" w:rsidRPr="00413F49">
        <w:rPr>
          <w:rFonts w:asciiTheme="majorHAnsi" w:hAnsiTheme="majorHAnsi"/>
        </w:rPr>
        <w:t xml:space="preserve">ht of the recent positive RCTs </w:t>
      </w:r>
      <w:r w:rsidR="00710C67" w:rsidRPr="00413F49">
        <w:rPr>
          <w:rFonts w:asciiTheme="majorHAnsi" w:hAnsiTheme="majorHAnsi"/>
        </w:rPr>
        <w:t>f</w:t>
      </w:r>
      <w:r w:rsidR="00B36C30" w:rsidRPr="00413F49">
        <w:rPr>
          <w:rFonts w:asciiTheme="majorHAnsi" w:hAnsiTheme="majorHAnsi"/>
        </w:rPr>
        <w:t>or</w:t>
      </w:r>
      <w:r w:rsidR="00710C67" w:rsidRPr="00413F49">
        <w:rPr>
          <w:rFonts w:asciiTheme="majorHAnsi" w:hAnsiTheme="majorHAnsi"/>
        </w:rPr>
        <w:t xml:space="preserve"> newer B-cell therapies.  </w:t>
      </w:r>
    </w:p>
    <w:p w:rsidR="0040226B" w:rsidRPr="00413F49" w:rsidRDefault="0040226B" w:rsidP="00CB2C68">
      <w:pPr>
        <w:rPr>
          <w:rFonts w:asciiTheme="majorHAnsi" w:hAnsiTheme="majorHAnsi"/>
          <w:i/>
        </w:rPr>
      </w:pPr>
    </w:p>
    <w:p w:rsidR="002A2D23" w:rsidRPr="00413F49" w:rsidRDefault="00A3048C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Neuromyelitis optica spectrum disorders (NMOSD)</w:t>
      </w:r>
    </w:p>
    <w:p w:rsidR="00A3048C" w:rsidRPr="00413F49" w:rsidRDefault="00A3048C" w:rsidP="00CB2C68">
      <w:pPr>
        <w:rPr>
          <w:rFonts w:asciiTheme="majorHAnsi" w:hAnsiTheme="majorHAnsi"/>
          <w:i/>
        </w:rPr>
      </w:pPr>
    </w:p>
    <w:p w:rsidR="0040226B" w:rsidRPr="00413F49" w:rsidRDefault="000632E8" w:rsidP="00C908B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N</w:t>
      </w:r>
      <w:r w:rsidR="0040226B" w:rsidRPr="00413F49">
        <w:rPr>
          <w:rFonts w:asciiTheme="majorHAnsi" w:hAnsiTheme="majorHAnsi"/>
        </w:rPr>
        <w:t xml:space="preserve">o immunosuppressive therapy in NMOSD is </w:t>
      </w:r>
      <w:r w:rsidR="00710C67" w:rsidRPr="00413F49">
        <w:rPr>
          <w:rFonts w:asciiTheme="majorHAnsi" w:hAnsiTheme="majorHAnsi"/>
        </w:rPr>
        <w:t xml:space="preserve">yet </w:t>
      </w:r>
      <w:r w:rsidR="0040226B" w:rsidRPr="00413F49">
        <w:rPr>
          <w:rFonts w:asciiTheme="majorHAnsi" w:hAnsiTheme="majorHAnsi"/>
        </w:rPr>
        <w:t xml:space="preserve">validated by </w:t>
      </w:r>
      <w:r w:rsidR="00751ED7" w:rsidRPr="00413F49">
        <w:rPr>
          <w:rFonts w:asciiTheme="majorHAnsi" w:hAnsiTheme="majorHAnsi"/>
        </w:rPr>
        <w:t>a high quality RCT</w:t>
      </w:r>
      <w:r w:rsidR="00436FCF" w:rsidRPr="00413F49">
        <w:rPr>
          <w:rFonts w:asciiTheme="majorHAnsi" w:hAnsiTheme="majorHAnsi"/>
        </w:rPr>
        <w:t>, though three RCTs are ongoing</w:t>
      </w:r>
      <w:r w:rsidR="00751ED7" w:rsidRPr="00413F49">
        <w:rPr>
          <w:rFonts w:asciiTheme="majorHAnsi" w:hAnsiTheme="majorHAnsi"/>
        </w:rPr>
        <w:t>.</w:t>
      </w:r>
      <w:r w:rsidR="00710C67" w:rsidRPr="00413F49">
        <w:rPr>
          <w:rFonts w:asciiTheme="majorHAnsi" w:hAnsiTheme="majorHAnsi"/>
        </w:rPr>
        <w:t xml:space="preserve"> Rituximab </w:t>
      </w:r>
      <w:r w:rsidR="00436FCF" w:rsidRPr="00413F49">
        <w:rPr>
          <w:rFonts w:asciiTheme="majorHAnsi" w:hAnsiTheme="majorHAnsi"/>
        </w:rPr>
        <w:t xml:space="preserve">use </w:t>
      </w:r>
      <w:r w:rsidR="00710C67" w:rsidRPr="00413F49">
        <w:rPr>
          <w:rFonts w:asciiTheme="majorHAnsi" w:hAnsiTheme="majorHAnsi"/>
        </w:rPr>
        <w:t>is supported by numerous</w:t>
      </w:r>
      <w:r w:rsidR="00537AD8" w:rsidRPr="00413F49">
        <w:rPr>
          <w:rFonts w:asciiTheme="majorHAnsi" w:hAnsiTheme="majorHAnsi"/>
        </w:rPr>
        <w:t>, predominantly</w:t>
      </w:r>
      <w:r w:rsidR="00710C67" w:rsidRPr="00413F49">
        <w:rPr>
          <w:rFonts w:asciiTheme="majorHAnsi" w:hAnsiTheme="majorHAnsi"/>
        </w:rPr>
        <w:t xml:space="preserve"> retrospective</w:t>
      </w:r>
      <w:r w:rsidR="00537AD8" w:rsidRPr="00413F49">
        <w:rPr>
          <w:rFonts w:asciiTheme="majorHAnsi" w:hAnsiTheme="majorHAnsi"/>
        </w:rPr>
        <w:t>,</w:t>
      </w:r>
      <w:r w:rsidR="00710C67" w:rsidRPr="00413F49">
        <w:rPr>
          <w:rFonts w:asciiTheme="majorHAnsi" w:hAnsiTheme="majorHAnsi"/>
        </w:rPr>
        <w:t xml:space="preserve"> </w:t>
      </w:r>
      <w:r w:rsidR="00537AD8" w:rsidRPr="00413F49">
        <w:rPr>
          <w:rFonts w:asciiTheme="majorHAnsi" w:hAnsiTheme="majorHAnsi"/>
        </w:rPr>
        <w:t xml:space="preserve">case </w:t>
      </w:r>
      <w:r w:rsidR="00710C67" w:rsidRPr="00413F49">
        <w:rPr>
          <w:rFonts w:asciiTheme="majorHAnsi" w:hAnsiTheme="majorHAnsi"/>
        </w:rPr>
        <w:t>series amounting to over 400 patients and demonstrating consistent reductions in annualised relapse rate (ARR)</w:t>
      </w:r>
      <w:r w:rsidR="00FA2B4E" w:rsidRPr="00413F49">
        <w:rPr>
          <w:rFonts w:asciiTheme="majorHAnsi" w:hAnsiTheme="majorHAnsi"/>
        </w:rPr>
        <w:t xml:space="preserve">.  </w:t>
      </w:r>
      <w:r w:rsidR="004501C5" w:rsidRPr="00413F49">
        <w:rPr>
          <w:rFonts w:asciiTheme="majorHAnsi" w:hAnsiTheme="majorHAnsi"/>
        </w:rPr>
        <w:t xml:space="preserve">A variety of dosing strategies are in use, which </w:t>
      </w:r>
      <w:r w:rsidRPr="00413F49">
        <w:rPr>
          <w:rFonts w:asciiTheme="majorHAnsi" w:hAnsiTheme="majorHAnsi"/>
        </w:rPr>
        <w:t>are</w:t>
      </w:r>
      <w:r w:rsidR="004501C5" w:rsidRPr="00413F49">
        <w:rPr>
          <w:rFonts w:asciiTheme="majorHAnsi" w:hAnsiTheme="majorHAnsi"/>
        </w:rPr>
        <w:t xml:space="preserve"> discussed la</w:t>
      </w:r>
      <w:r w:rsidR="00751ED7" w:rsidRPr="00413F49">
        <w:rPr>
          <w:rFonts w:asciiTheme="majorHAnsi" w:hAnsiTheme="majorHAnsi"/>
        </w:rPr>
        <w:t>ter in ‘dosing and monitoring’.</w:t>
      </w:r>
      <w:r w:rsidR="004501C5" w:rsidRPr="00413F49">
        <w:rPr>
          <w:rFonts w:asciiTheme="majorHAnsi" w:hAnsiTheme="majorHAnsi"/>
        </w:rPr>
        <w:t xml:space="preserve"> </w:t>
      </w:r>
      <w:r w:rsidR="00FA2B4E" w:rsidRPr="00413F49">
        <w:rPr>
          <w:rFonts w:asciiTheme="majorHAnsi" w:hAnsiTheme="majorHAnsi"/>
        </w:rPr>
        <w:t>A</w:t>
      </w:r>
      <w:r w:rsidR="00710C67" w:rsidRPr="00413F49">
        <w:rPr>
          <w:rFonts w:asciiTheme="majorHAnsi" w:hAnsiTheme="majorHAnsi"/>
        </w:rPr>
        <w:t xml:space="preserve"> recent meta-analysis calculated a mean reduction in </w:t>
      </w:r>
      <w:r w:rsidR="00E823C1" w:rsidRPr="00413F49">
        <w:rPr>
          <w:rFonts w:asciiTheme="majorHAnsi" w:hAnsiTheme="majorHAnsi"/>
        </w:rPr>
        <w:t xml:space="preserve">relapse </w:t>
      </w:r>
      <w:r w:rsidRPr="00413F49">
        <w:rPr>
          <w:rFonts w:asciiTheme="majorHAnsi" w:hAnsiTheme="majorHAnsi"/>
        </w:rPr>
        <w:t>rate of</w:t>
      </w:r>
      <w:r w:rsidR="00710C67" w:rsidRPr="00413F49">
        <w:rPr>
          <w:rFonts w:asciiTheme="majorHAnsi" w:hAnsiTheme="majorHAnsi"/>
        </w:rPr>
        <w:t xml:space="preserve"> 79%</w:t>
      </w:r>
      <w:r w:rsidR="00DD1B44" w:rsidRPr="00413F49">
        <w:rPr>
          <w:rFonts w:asciiTheme="majorHAnsi" w:hAnsiTheme="majorHAnsi"/>
        </w:rPr>
        <w:t>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3</w:t>
      </w:r>
      <w:r w:rsidR="00751ED7" w:rsidRPr="00413F49">
        <w:rPr>
          <w:rFonts w:asciiTheme="majorHAnsi" w:hAnsiTheme="majorHAnsi"/>
        </w:rPr>
        <w:t xml:space="preserve"> </w:t>
      </w:r>
      <w:r w:rsidR="00DD1B44" w:rsidRPr="00413F49">
        <w:rPr>
          <w:rFonts w:asciiTheme="majorHAnsi" w:hAnsiTheme="majorHAnsi"/>
        </w:rPr>
        <w:t>As such, rituximab</w:t>
      </w:r>
      <w:r w:rsidR="00FA2B4E" w:rsidRPr="00413F49">
        <w:rPr>
          <w:rFonts w:asciiTheme="majorHAnsi" w:hAnsiTheme="majorHAnsi"/>
        </w:rPr>
        <w:t xml:space="preserve"> currently has the best evidence of any immunotherapy used in NMOSD, but due </w:t>
      </w:r>
      <w:r w:rsidRPr="00413F49">
        <w:rPr>
          <w:rFonts w:asciiTheme="majorHAnsi" w:hAnsiTheme="majorHAnsi"/>
        </w:rPr>
        <w:t xml:space="preserve">to </w:t>
      </w:r>
      <w:r w:rsidR="00FA2B4E" w:rsidRPr="00413F49">
        <w:rPr>
          <w:rFonts w:asciiTheme="majorHAnsi" w:hAnsiTheme="majorHAnsi"/>
        </w:rPr>
        <w:t>the relative</w:t>
      </w:r>
      <w:r w:rsidR="00B36C30" w:rsidRPr="00413F49">
        <w:rPr>
          <w:rFonts w:asciiTheme="majorHAnsi" w:hAnsiTheme="majorHAnsi"/>
        </w:rPr>
        <w:t xml:space="preserve">ly high </w:t>
      </w:r>
      <w:r w:rsidRPr="00413F49">
        <w:rPr>
          <w:rFonts w:asciiTheme="majorHAnsi" w:hAnsiTheme="majorHAnsi"/>
        </w:rPr>
        <w:t>cost, it</w:t>
      </w:r>
      <w:r w:rsidR="00B36C30" w:rsidRPr="00413F49">
        <w:rPr>
          <w:rFonts w:asciiTheme="majorHAnsi" w:hAnsiTheme="majorHAnsi"/>
        </w:rPr>
        <w:t xml:space="preserve"> remains second-</w:t>
      </w:r>
      <w:r w:rsidR="00FA2B4E" w:rsidRPr="00413F49">
        <w:rPr>
          <w:rFonts w:asciiTheme="majorHAnsi" w:hAnsiTheme="majorHAnsi"/>
        </w:rPr>
        <w:t>line t</w:t>
      </w:r>
      <w:r w:rsidR="00751ED7" w:rsidRPr="00413F49">
        <w:rPr>
          <w:rFonts w:asciiTheme="majorHAnsi" w:hAnsiTheme="majorHAnsi"/>
        </w:rPr>
        <w:t xml:space="preserve">herapy for patients in the UK. </w:t>
      </w:r>
      <w:r w:rsidRPr="00413F49">
        <w:rPr>
          <w:rFonts w:asciiTheme="majorHAnsi" w:hAnsiTheme="majorHAnsi"/>
        </w:rPr>
        <w:t>It is</w:t>
      </w:r>
      <w:r w:rsidR="00DD1B44" w:rsidRPr="00413F49">
        <w:rPr>
          <w:rFonts w:asciiTheme="majorHAnsi" w:hAnsiTheme="majorHAnsi"/>
        </w:rPr>
        <w:t xml:space="preserve"> </w:t>
      </w:r>
      <w:r w:rsidR="00E823C1" w:rsidRPr="00413F49">
        <w:rPr>
          <w:rFonts w:asciiTheme="majorHAnsi" w:hAnsiTheme="majorHAnsi"/>
        </w:rPr>
        <w:t xml:space="preserve">available </w:t>
      </w:r>
      <w:r w:rsidR="00690A31" w:rsidRPr="00413F49">
        <w:rPr>
          <w:rFonts w:asciiTheme="majorHAnsi" w:hAnsiTheme="majorHAnsi"/>
        </w:rPr>
        <w:t>for</w:t>
      </w:r>
      <w:r w:rsidR="00DD1B44" w:rsidRPr="00413F49">
        <w:rPr>
          <w:rFonts w:asciiTheme="majorHAnsi" w:hAnsiTheme="majorHAnsi"/>
        </w:rPr>
        <w:t xml:space="preserve"> </w:t>
      </w:r>
      <w:r w:rsidR="00FA2B4E" w:rsidRPr="00413F49">
        <w:rPr>
          <w:rFonts w:asciiTheme="majorHAnsi" w:hAnsiTheme="majorHAnsi"/>
        </w:rPr>
        <w:t xml:space="preserve">patients who have relapsed despite </w:t>
      </w:r>
      <w:r w:rsidR="00B36C30" w:rsidRPr="00413F49">
        <w:rPr>
          <w:rFonts w:asciiTheme="majorHAnsi" w:hAnsiTheme="majorHAnsi"/>
        </w:rPr>
        <w:t xml:space="preserve">adequate </w:t>
      </w:r>
      <w:r w:rsidR="00FA2B4E" w:rsidRPr="00413F49">
        <w:rPr>
          <w:rFonts w:asciiTheme="majorHAnsi" w:hAnsiTheme="majorHAnsi"/>
        </w:rPr>
        <w:t>treatment with</w:t>
      </w:r>
      <w:r w:rsidR="00DD1B44" w:rsidRPr="00413F49">
        <w:rPr>
          <w:rFonts w:asciiTheme="majorHAnsi" w:hAnsiTheme="majorHAnsi"/>
        </w:rPr>
        <w:t xml:space="preserve"> azathioprine or mycophenolate </w:t>
      </w:r>
      <w:proofErr w:type="spellStart"/>
      <w:r w:rsidR="00DD1B44" w:rsidRPr="00413F49">
        <w:rPr>
          <w:rFonts w:asciiTheme="majorHAnsi" w:hAnsiTheme="majorHAnsi"/>
        </w:rPr>
        <w:t>m</w:t>
      </w:r>
      <w:r w:rsidR="00FA2B4E" w:rsidRPr="00413F49">
        <w:rPr>
          <w:rFonts w:asciiTheme="majorHAnsi" w:hAnsiTheme="majorHAnsi"/>
        </w:rPr>
        <w:t>ofetil</w:t>
      </w:r>
      <w:proofErr w:type="spellEnd"/>
      <w:r w:rsidR="00FA2B4E" w:rsidRPr="00413F49">
        <w:rPr>
          <w:rFonts w:asciiTheme="majorHAnsi" w:hAnsiTheme="majorHAnsi"/>
        </w:rPr>
        <w:t xml:space="preserve"> in combina</w:t>
      </w:r>
      <w:r w:rsidR="00DD1B44" w:rsidRPr="00413F49">
        <w:rPr>
          <w:rFonts w:asciiTheme="majorHAnsi" w:hAnsiTheme="majorHAnsi"/>
        </w:rPr>
        <w:t xml:space="preserve">tion with low-dose </w:t>
      </w:r>
      <w:r w:rsidR="005E4594" w:rsidRPr="00413F49">
        <w:rPr>
          <w:rFonts w:asciiTheme="majorHAnsi" w:hAnsiTheme="majorHAnsi"/>
        </w:rPr>
        <w:t>p</w:t>
      </w:r>
      <w:r w:rsidR="00DD1B44" w:rsidRPr="00413F49">
        <w:rPr>
          <w:rFonts w:asciiTheme="majorHAnsi" w:hAnsiTheme="majorHAnsi"/>
        </w:rPr>
        <w:t>rednisolone.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4</w:t>
      </w:r>
      <w:r w:rsidR="00DD1B44" w:rsidRPr="00413F49">
        <w:rPr>
          <w:rFonts w:asciiTheme="majorHAnsi" w:hAnsiTheme="majorHAnsi"/>
        </w:rPr>
        <w:t xml:space="preserve"> F</w:t>
      </w:r>
      <w:r w:rsidR="00FA2B4E" w:rsidRPr="00413F49">
        <w:rPr>
          <w:rFonts w:asciiTheme="majorHAnsi" w:hAnsiTheme="majorHAnsi"/>
        </w:rPr>
        <w:t xml:space="preserve">unding can be </w:t>
      </w:r>
      <w:r w:rsidR="000A5A44" w:rsidRPr="00413F49">
        <w:rPr>
          <w:rFonts w:asciiTheme="majorHAnsi" w:hAnsiTheme="majorHAnsi"/>
        </w:rPr>
        <w:t xml:space="preserve">obtained through </w:t>
      </w:r>
      <w:r w:rsidRPr="00413F49">
        <w:rPr>
          <w:rFonts w:asciiTheme="majorHAnsi" w:hAnsiTheme="majorHAnsi"/>
        </w:rPr>
        <w:t>The Sp</w:t>
      </w:r>
      <w:r w:rsidR="000A5A44" w:rsidRPr="00413F49">
        <w:rPr>
          <w:rFonts w:asciiTheme="majorHAnsi" w:hAnsiTheme="majorHAnsi"/>
        </w:rPr>
        <w:t>ecialised NHS</w:t>
      </w:r>
      <w:r w:rsidRPr="00413F49">
        <w:rPr>
          <w:rFonts w:asciiTheme="majorHAnsi" w:hAnsiTheme="majorHAnsi"/>
        </w:rPr>
        <w:t xml:space="preserve"> England</w:t>
      </w:r>
      <w:r w:rsidR="000A5A44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S</w:t>
      </w:r>
      <w:r w:rsidR="000A5A44" w:rsidRPr="00413F49">
        <w:rPr>
          <w:rFonts w:asciiTheme="majorHAnsi" w:hAnsiTheme="majorHAnsi"/>
        </w:rPr>
        <w:t>ervice for NMO</w:t>
      </w:r>
      <w:r w:rsidR="005E4594" w:rsidRPr="00413F49">
        <w:rPr>
          <w:rFonts w:asciiTheme="majorHAnsi" w:hAnsiTheme="majorHAnsi"/>
        </w:rPr>
        <w:t xml:space="preserve"> </w:t>
      </w:r>
      <w:r w:rsidR="00FA2B4E" w:rsidRPr="00413F49">
        <w:rPr>
          <w:rFonts w:asciiTheme="majorHAnsi" w:hAnsiTheme="majorHAnsi"/>
        </w:rPr>
        <w:t>(</w:t>
      </w:r>
      <w:hyperlink r:id="rId8" w:history="1">
        <w:r w:rsidR="00FA2B4E" w:rsidRPr="00413F49">
          <w:rPr>
            <w:rStyle w:val="Hyperlink"/>
            <w:rFonts w:asciiTheme="majorHAnsi" w:hAnsiTheme="majorHAnsi"/>
          </w:rPr>
          <w:t>www.nmouk.nhs.uk</w:t>
        </w:r>
      </w:hyperlink>
      <w:r w:rsidR="00751ED7" w:rsidRPr="00413F49">
        <w:rPr>
          <w:rFonts w:asciiTheme="majorHAnsi" w:hAnsiTheme="majorHAnsi"/>
        </w:rPr>
        <w:t xml:space="preserve">). </w:t>
      </w:r>
    </w:p>
    <w:p w:rsidR="004501C5" w:rsidRPr="00413F49" w:rsidRDefault="004501C5" w:rsidP="00CB2C68">
      <w:pPr>
        <w:rPr>
          <w:rFonts w:asciiTheme="majorHAnsi" w:hAnsiTheme="majorHAnsi"/>
          <w:i/>
        </w:rPr>
      </w:pPr>
    </w:p>
    <w:p w:rsidR="00A3048C" w:rsidRPr="00413F49" w:rsidRDefault="00A3048C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Autoimmune encephalitis (AIE)</w:t>
      </w:r>
    </w:p>
    <w:p w:rsidR="00A3048C" w:rsidRPr="00413F49" w:rsidRDefault="00A3048C" w:rsidP="00CB2C68">
      <w:pPr>
        <w:rPr>
          <w:rFonts w:asciiTheme="majorHAnsi" w:hAnsiTheme="majorHAnsi"/>
          <w:i/>
        </w:rPr>
      </w:pPr>
    </w:p>
    <w:p w:rsidR="0085197A" w:rsidRPr="00413F49" w:rsidRDefault="005E4594" w:rsidP="0085197A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As most AIE </w:t>
      </w:r>
      <w:r w:rsidR="000632E8" w:rsidRPr="00413F49">
        <w:rPr>
          <w:rFonts w:asciiTheme="majorHAnsi" w:hAnsiTheme="majorHAnsi"/>
        </w:rPr>
        <w:t>is</w:t>
      </w:r>
      <w:r w:rsidRPr="00413F49">
        <w:rPr>
          <w:rFonts w:asciiTheme="majorHAnsi" w:hAnsiTheme="majorHAnsi"/>
        </w:rPr>
        <w:t xml:space="preserve"> monophasic, </w:t>
      </w:r>
      <w:r w:rsidR="005162F8" w:rsidRPr="00413F49">
        <w:rPr>
          <w:rFonts w:asciiTheme="majorHAnsi" w:hAnsiTheme="majorHAnsi"/>
        </w:rPr>
        <w:t>Rituximab</w:t>
      </w:r>
      <w:r w:rsidR="00B36C30" w:rsidRPr="00413F49">
        <w:rPr>
          <w:rFonts w:asciiTheme="majorHAnsi" w:hAnsiTheme="majorHAnsi"/>
        </w:rPr>
        <w:t>’s role is</w:t>
      </w:r>
      <w:r w:rsidR="005162F8" w:rsidRPr="00413F49">
        <w:rPr>
          <w:rFonts w:asciiTheme="majorHAnsi" w:hAnsiTheme="majorHAnsi"/>
        </w:rPr>
        <w:t xml:space="preserve"> </w:t>
      </w:r>
      <w:r w:rsidR="00B36C30" w:rsidRPr="00413F49">
        <w:rPr>
          <w:rFonts w:asciiTheme="majorHAnsi" w:hAnsiTheme="majorHAnsi"/>
        </w:rPr>
        <w:t>usually as a</w:t>
      </w:r>
      <w:r w:rsidR="005162F8" w:rsidRPr="00413F49">
        <w:rPr>
          <w:rFonts w:asciiTheme="majorHAnsi" w:hAnsiTheme="majorHAnsi"/>
        </w:rPr>
        <w:t xml:space="preserve"> second-line </w:t>
      </w:r>
      <w:r w:rsidR="00B36C30" w:rsidRPr="00413F49">
        <w:rPr>
          <w:rFonts w:asciiTheme="majorHAnsi" w:hAnsiTheme="majorHAnsi"/>
        </w:rPr>
        <w:t xml:space="preserve">acute </w:t>
      </w:r>
      <w:r w:rsidR="005162F8" w:rsidRPr="00413F49">
        <w:rPr>
          <w:rFonts w:asciiTheme="majorHAnsi" w:hAnsiTheme="majorHAnsi"/>
        </w:rPr>
        <w:t xml:space="preserve">therapy (single course) to maximise neurological recovery, rather than as a long-term maintenance treatment (as with </w:t>
      </w:r>
      <w:r w:rsidR="00C02D03" w:rsidRPr="00413F49">
        <w:rPr>
          <w:rFonts w:asciiTheme="majorHAnsi" w:hAnsiTheme="majorHAnsi"/>
        </w:rPr>
        <w:t>MS/</w:t>
      </w:r>
      <w:r w:rsidR="00751ED7" w:rsidRPr="00413F49">
        <w:rPr>
          <w:rFonts w:asciiTheme="majorHAnsi" w:hAnsiTheme="majorHAnsi"/>
        </w:rPr>
        <w:t xml:space="preserve">NMOSD). </w:t>
      </w:r>
      <w:r w:rsidR="005162F8" w:rsidRPr="00413F49">
        <w:rPr>
          <w:rFonts w:asciiTheme="majorHAnsi" w:hAnsiTheme="majorHAnsi"/>
        </w:rPr>
        <w:t>The weekly 375mg/m</w:t>
      </w:r>
      <w:r w:rsidR="005162F8" w:rsidRPr="00413F49">
        <w:rPr>
          <w:rFonts w:asciiTheme="majorHAnsi" w:hAnsiTheme="majorHAnsi"/>
          <w:vertAlign w:val="superscript"/>
        </w:rPr>
        <w:t>2</w:t>
      </w:r>
      <w:r w:rsidR="005162F8" w:rsidRPr="00413F49">
        <w:rPr>
          <w:rFonts w:asciiTheme="majorHAnsi" w:hAnsiTheme="majorHAnsi"/>
        </w:rPr>
        <w:t xml:space="preserve"> dosing regime is most commonly used. </w:t>
      </w:r>
      <w:r w:rsidR="00537AD8" w:rsidRPr="00413F49">
        <w:rPr>
          <w:rFonts w:asciiTheme="majorHAnsi" w:hAnsiTheme="majorHAnsi"/>
        </w:rPr>
        <w:t xml:space="preserve">Limited retrospective evidence supports </w:t>
      </w:r>
      <w:r w:rsidR="005162F8" w:rsidRPr="00413F49">
        <w:rPr>
          <w:rFonts w:asciiTheme="majorHAnsi" w:hAnsiTheme="majorHAnsi"/>
        </w:rPr>
        <w:t xml:space="preserve">its </w:t>
      </w:r>
      <w:r w:rsidR="00537AD8" w:rsidRPr="00413F49">
        <w:rPr>
          <w:rFonts w:asciiTheme="majorHAnsi" w:hAnsiTheme="majorHAnsi"/>
        </w:rPr>
        <w:t xml:space="preserve">use </w:t>
      </w:r>
      <w:r w:rsidR="005162F8" w:rsidRPr="00413F49">
        <w:rPr>
          <w:rFonts w:asciiTheme="majorHAnsi" w:hAnsiTheme="majorHAnsi"/>
        </w:rPr>
        <w:t>when there has been an inadequate response</w:t>
      </w:r>
      <w:r w:rsidR="004501C5" w:rsidRPr="00413F49">
        <w:rPr>
          <w:rFonts w:asciiTheme="majorHAnsi" w:hAnsiTheme="majorHAnsi"/>
        </w:rPr>
        <w:t xml:space="preserve"> to intravenous corticoster</w:t>
      </w:r>
      <w:r w:rsidR="005162F8" w:rsidRPr="00413F49">
        <w:rPr>
          <w:rFonts w:asciiTheme="majorHAnsi" w:hAnsiTheme="majorHAnsi"/>
        </w:rPr>
        <w:t xml:space="preserve">oids, plasma exchange and </w:t>
      </w:r>
      <w:r w:rsidR="00CF533E" w:rsidRPr="00413F49">
        <w:rPr>
          <w:rFonts w:asciiTheme="majorHAnsi" w:hAnsiTheme="majorHAnsi"/>
        </w:rPr>
        <w:t>intravenous immunoglobulin (</w:t>
      </w:r>
      <w:r w:rsidR="005162F8" w:rsidRPr="00413F49">
        <w:rPr>
          <w:rFonts w:asciiTheme="majorHAnsi" w:hAnsiTheme="majorHAnsi"/>
        </w:rPr>
        <w:t>IVIg</w:t>
      </w:r>
      <w:r w:rsidR="00CF533E" w:rsidRPr="00413F49">
        <w:rPr>
          <w:rFonts w:asciiTheme="majorHAnsi" w:hAnsiTheme="majorHAnsi"/>
        </w:rPr>
        <w:t>)</w:t>
      </w:r>
      <w:r w:rsidR="005162F8" w:rsidRPr="00413F49">
        <w:rPr>
          <w:rFonts w:asciiTheme="majorHAnsi" w:hAnsiTheme="majorHAnsi"/>
        </w:rPr>
        <w:t xml:space="preserve">. No evidence compares the effects of individual immunotherapies in AIE, so it is not possible to ascribe therapeutic benefits solely to rituximab. However, its rapid onset of </w:t>
      </w:r>
      <w:r w:rsidR="005162F8" w:rsidRPr="00413F49">
        <w:rPr>
          <w:rFonts w:asciiTheme="majorHAnsi" w:hAnsiTheme="majorHAnsi"/>
        </w:rPr>
        <w:lastRenderedPageBreak/>
        <w:t xml:space="preserve">action, established efficacy in </w:t>
      </w:r>
      <w:r w:rsidR="002262B9" w:rsidRPr="00413F49">
        <w:rPr>
          <w:rFonts w:asciiTheme="majorHAnsi" w:hAnsiTheme="majorHAnsi"/>
        </w:rPr>
        <w:t xml:space="preserve">other </w:t>
      </w:r>
      <w:r w:rsidR="000632E8" w:rsidRPr="00413F49">
        <w:rPr>
          <w:rFonts w:asciiTheme="majorHAnsi" w:hAnsiTheme="majorHAnsi"/>
        </w:rPr>
        <w:t>antibody</w:t>
      </w:r>
      <w:r w:rsidR="005162F8" w:rsidRPr="00413F49">
        <w:rPr>
          <w:rFonts w:asciiTheme="majorHAnsi" w:hAnsiTheme="majorHAnsi"/>
        </w:rPr>
        <w:t>-mediated diseases and</w:t>
      </w:r>
      <w:r w:rsidR="00C02D03" w:rsidRPr="00413F49">
        <w:rPr>
          <w:rFonts w:asciiTheme="majorHAnsi" w:hAnsiTheme="majorHAnsi"/>
        </w:rPr>
        <w:t xml:space="preserve"> </w:t>
      </w:r>
      <w:r w:rsidR="000632E8" w:rsidRPr="00413F49">
        <w:rPr>
          <w:rFonts w:asciiTheme="majorHAnsi" w:hAnsiTheme="majorHAnsi"/>
        </w:rPr>
        <w:t>good safety profile</w:t>
      </w:r>
      <w:r w:rsidR="005162F8" w:rsidRPr="00413F49">
        <w:rPr>
          <w:rFonts w:asciiTheme="majorHAnsi" w:hAnsiTheme="majorHAnsi"/>
        </w:rPr>
        <w:t xml:space="preserve"> with short-term use make it an attractive option.  </w:t>
      </w:r>
      <w:r w:rsidR="0085197A" w:rsidRPr="00413F49">
        <w:rPr>
          <w:rFonts w:asciiTheme="majorHAnsi" w:hAnsiTheme="majorHAnsi"/>
        </w:rPr>
        <w:t>The major study supporting rituximab use in AIE is a retrospective compariso</w:t>
      </w:r>
      <w:r w:rsidR="00751ED7" w:rsidRPr="00413F49">
        <w:rPr>
          <w:rFonts w:asciiTheme="majorHAnsi" w:hAnsiTheme="majorHAnsi"/>
        </w:rPr>
        <w:t xml:space="preserve">n of outcomes in 161 patients. </w:t>
      </w:r>
      <w:r w:rsidR="0085197A" w:rsidRPr="00413F49">
        <w:rPr>
          <w:rFonts w:asciiTheme="majorHAnsi" w:hAnsiTheme="majorHAnsi"/>
        </w:rPr>
        <w:t>Functional improvement measured by modified Rankin Scale (mRS) occurred more frequently in the rituximab-treated group, reg</w:t>
      </w:r>
      <w:r w:rsidR="00751ED7" w:rsidRPr="00413F49">
        <w:rPr>
          <w:rFonts w:asciiTheme="majorHAnsi" w:hAnsiTheme="majorHAnsi"/>
        </w:rPr>
        <w:t>ardless of antibody status</w:t>
      </w:r>
      <w:r w:rsidR="001D026B" w:rsidRPr="00413F49">
        <w:rPr>
          <w:rFonts w:asciiTheme="majorHAnsi" w:hAnsiTheme="majorHAnsi"/>
        </w:rPr>
        <w:t xml:space="preserve"> (p</w:t>
      </w:r>
      <w:r w:rsidR="006D0AD9" w:rsidRPr="00413F49">
        <w:rPr>
          <w:rFonts w:asciiTheme="majorHAnsi" w:hAnsiTheme="majorHAnsi"/>
        </w:rPr>
        <w:t>=0.001</w:t>
      </w:r>
      <w:r w:rsidR="001D026B" w:rsidRPr="00413F49">
        <w:rPr>
          <w:rFonts w:asciiTheme="majorHAnsi" w:hAnsiTheme="majorHAnsi"/>
        </w:rPr>
        <w:t>)</w:t>
      </w:r>
      <w:r w:rsidR="0085197A" w:rsidRPr="00413F49">
        <w:rPr>
          <w:rFonts w:asciiTheme="majorHAnsi" w:hAnsiTheme="majorHAnsi"/>
        </w:rPr>
        <w:t>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5</w:t>
      </w:r>
    </w:p>
    <w:p w:rsidR="0085197A" w:rsidRPr="00413F49" w:rsidRDefault="0085197A" w:rsidP="004501C5">
      <w:pPr>
        <w:jc w:val="both"/>
        <w:rPr>
          <w:rFonts w:asciiTheme="majorHAnsi" w:hAnsiTheme="majorHAnsi"/>
        </w:rPr>
      </w:pPr>
    </w:p>
    <w:p w:rsidR="004501C5" w:rsidRPr="00413F49" w:rsidRDefault="0085197A" w:rsidP="00CB10C5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Additional evidence exists specifically for anti-NMD</w:t>
      </w:r>
      <w:r w:rsidR="00537AD8" w:rsidRPr="00413F49">
        <w:rPr>
          <w:rFonts w:asciiTheme="majorHAnsi" w:hAnsiTheme="majorHAnsi"/>
        </w:rPr>
        <w:t>A</w:t>
      </w:r>
      <w:r w:rsidRPr="00413F49">
        <w:rPr>
          <w:rFonts w:asciiTheme="majorHAnsi" w:hAnsiTheme="majorHAnsi"/>
        </w:rPr>
        <w:t>R encephalitis, which is the most common subtype of AIE. A large prospective cohort study (n = 577) found that 78% of patients who failed first-line and received second-line immunotherapy (rituximab and/or cyclophosphamide) had</w:t>
      </w:r>
      <w:r w:rsidR="005162F8" w:rsidRPr="00413F49">
        <w:rPr>
          <w:rFonts w:asciiTheme="majorHAnsi" w:hAnsiTheme="majorHAnsi"/>
        </w:rPr>
        <w:t xml:space="preserve"> a</w:t>
      </w:r>
      <w:r w:rsidRPr="00413F49">
        <w:rPr>
          <w:rFonts w:asciiTheme="majorHAnsi" w:hAnsiTheme="majorHAnsi"/>
        </w:rPr>
        <w:t xml:space="preserve"> good outcome at 24 months, compared to 55% of patients who failed first-line and did not receive second-line therapy.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6</w:t>
      </w:r>
      <w:r w:rsidRPr="00413F49">
        <w:rPr>
          <w:rFonts w:asciiTheme="majorHAnsi" w:hAnsiTheme="majorHAnsi"/>
        </w:rPr>
        <w:t xml:space="preserve"> </w:t>
      </w:r>
      <w:r w:rsidR="005162F8" w:rsidRPr="00413F49">
        <w:rPr>
          <w:rFonts w:asciiTheme="majorHAnsi" w:hAnsiTheme="majorHAnsi"/>
        </w:rPr>
        <w:t>A study of rituximab in paediatric neuroinflammatory disease included 44 patients with anti-NMDAR encephalitis. 97% of these patients had some benefit from second-line rituximab therapy, es</w:t>
      </w:r>
      <w:r w:rsidR="00CB10C5" w:rsidRPr="00413F49">
        <w:rPr>
          <w:rFonts w:asciiTheme="majorHAnsi" w:hAnsiTheme="majorHAnsi"/>
        </w:rPr>
        <w:t xml:space="preserve">pecially when </w:t>
      </w:r>
      <w:r w:rsidR="000632E8" w:rsidRPr="00413F49">
        <w:rPr>
          <w:rFonts w:asciiTheme="majorHAnsi" w:hAnsiTheme="majorHAnsi"/>
        </w:rPr>
        <w:t xml:space="preserve">given </w:t>
      </w:r>
      <w:r w:rsidR="00CB10C5" w:rsidRPr="00413F49">
        <w:rPr>
          <w:rFonts w:asciiTheme="majorHAnsi" w:hAnsiTheme="majorHAnsi"/>
        </w:rPr>
        <w:t>early.</w:t>
      </w:r>
      <w:r w:rsidR="000632E8" w:rsidRPr="00413F49">
        <w:rPr>
          <w:rFonts w:asciiTheme="majorHAnsi" w:hAnsiTheme="majorHAnsi"/>
          <w:vertAlign w:val="superscript"/>
        </w:rPr>
        <w:t>17</w:t>
      </w:r>
      <w:r w:rsidR="000632E8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In light of these studies, a UK clinical commissioning policy, published in March 2018, agreed to routinely fund rituximab for adult and paediatric patients with anti-NMDAR encephalitis that have an inadequate response to first-line therapy (failure to improve by two or more points on the mRS scale by four weeks from first-line treatment initiation or by six weeks from sy</w:t>
      </w:r>
      <w:r w:rsidR="00751ED7" w:rsidRPr="00413F49">
        <w:rPr>
          <w:rFonts w:asciiTheme="majorHAnsi" w:hAnsiTheme="majorHAnsi"/>
        </w:rPr>
        <w:t>mptom onset)</w:t>
      </w:r>
      <w:r w:rsidRPr="00413F49">
        <w:rPr>
          <w:rFonts w:asciiTheme="majorHAnsi" w:hAnsiTheme="majorHAnsi"/>
        </w:rPr>
        <w:t>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8</w:t>
      </w:r>
    </w:p>
    <w:p w:rsidR="00CB10C5" w:rsidRPr="00413F49" w:rsidRDefault="00CB10C5" w:rsidP="00CB10C5">
      <w:pPr>
        <w:jc w:val="both"/>
        <w:rPr>
          <w:rFonts w:asciiTheme="majorHAnsi" w:hAnsiTheme="majorHAnsi"/>
        </w:rPr>
      </w:pPr>
    </w:p>
    <w:p w:rsidR="00CB10C5" w:rsidRPr="00413F49" w:rsidRDefault="00CB10C5" w:rsidP="00CB10C5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Evidence for AIE with less common antibodies is limited to case reports and small case series, which are frequently confounded by co-administration of multiple immunotherapies. For example, there are two case series reporting outcomes after rituximab in seven patients wit</w:t>
      </w:r>
      <w:r w:rsidR="007018D8" w:rsidRPr="00413F49">
        <w:rPr>
          <w:rFonts w:asciiTheme="majorHAnsi" w:hAnsiTheme="majorHAnsi"/>
        </w:rPr>
        <w:t>h anti-LGI1</w:t>
      </w:r>
      <w:r w:rsidR="00751ED7" w:rsidRPr="00413F49">
        <w:rPr>
          <w:rFonts w:asciiTheme="majorHAnsi" w:hAnsiTheme="majorHAnsi"/>
        </w:rPr>
        <w:t xml:space="preserve"> encephalitis. </w:t>
      </w:r>
      <w:r w:rsidRPr="00413F49">
        <w:rPr>
          <w:rFonts w:asciiTheme="majorHAnsi" w:hAnsiTheme="majorHAnsi"/>
        </w:rPr>
        <w:t>Three patients (43%) had good outcomes and one patient had a possible response.</w:t>
      </w:r>
      <w:r w:rsidR="00751ED7" w:rsidRPr="00413F49">
        <w:rPr>
          <w:rFonts w:asciiTheme="majorHAnsi" w:hAnsiTheme="majorHAnsi"/>
          <w:vertAlign w:val="superscript"/>
        </w:rPr>
        <w:t>1</w:t>
      </w:r>
      <w:r w:rsidR="00114EF0" w:rsidRPr="00413F49">
        <w:rPr>
          <w:rFonts w:asciiTheme="majorHAnsi" w:hAnsiTheme="majorHAnsi"/>
          <w:vertAlign w:val="superscript"/>
        </w:rPr>
        <w:t>9 20</w:t>
      </w:r>
      <w:r w:rsidRPr="00413F49">
        <w:rPr>
          <w:rFonts w:asciiTheme="majorHAnsi" w:hAnsiTheme="majorHAnsi"/>
        </w:rPr>
        <w:t xml:space="preserve"> The emerging theme in AIE</w:t>
      </w:r>
      <w:r w:rsidR="00DD7363" w:rsidRPr="00413F49">
        <w:rPr>
          <w:rFonts w:asciiTheme="majorHAnsi" w:hAnsiTheme="majorHAnsi"/>
        </w:rPr>
        <w:t>,</w:t>
      </w:r>
      <w:r w:rsidRPr="00413F49">
        <w:rPr>
          <w:rFonts w:asciiTheme="majorHAnsi" w:hAnsiTheme="majorHAnsi"/>
        </w:rPr>
        <w:t xml:space="preserve"> irrespective of antibody status, is that early and aggressive immunotherapy is beneficial.  It seems plausible that rituximab, or similar B-cell </w:t>
      </w:r>
      <w:r w:rsidR="00114EF0" w:rsidRPr="00413F49">
        <w:rPr>
          <w:rFonts w:asciiTheme="majorHAnsi" w:hAnsiTheme="majorHAnsi"/>
        </w:rPr>
        <w:t xml:space="preserve">depleting </w:t>
      </w:r>
      <w:r w:rsidRPr="00413F49">
        <w:rPr>
          <w:rFonts w:asciiTheme="majorHAnsi" w:hAnsiTheme="majorHAnsi"/>
        </w:rPr>
        <w:t>therapies, will</w:t>
      </w:r>
      <w:r w:rsidR="00DD7363" w:rsidRPr="00413F49">
        <w:rPr>
          <w:rFonts w:asciiTheme="majorHAnsi" w:hAnsiTheme="majorHAnsi"/>
        </w:rPr>
        <w:t xml:space="preserve"> increasingly </w:t>
      </w:r>
      <w:r w:rsidR="00114EF0" w:rsidRPr="00413F49">
        <w:rPr>
          <w:rFonts w:asciiTheme="majorHAnsi" w:hAnsiTheme="majorHAnsi"/>
        </w:rPr>
        <w:t>form</w:t>
      </w:r>
      <w:r w:rsidR="00DD7363" w:rsidRPr="00413F49">
        <w:rPr>
          <w:rFonts w:asciiTheme="majorHAnsi" w:hAnsiTheme="majorHAnsi"/>
        </w:rPr>
        <w:t xml:space="preserve"> part of immunotherapy algorithms.</w:t>
      </w:r>
      <w:r w:rsidRPr="00413F49">
        <w:rPr>
          <w:rFonts w:asciiTheme="majorHAnsi" w:hAnsiTheme="majorHAnsi"/>
        </w:rPr>
        <w:t xml:space="preserve"> </w:t>
      </w:r>
    </w:p>
    <w:p w:rsidR="00537AD8" w:rsidRPr="00413F49" w:rsidRDefault="00537AD8" w:rsidP="00CB2C68">
      <w:pPr>
        <w:rPr>
          <w:rFonts w:asciiTheme="majorHAnsi" w:hAnsiTheme="majorHAnsi"/>
          <w:i/>
        </w:rPr>
      </w:pPr>
    </w:p>
    <w:p w:rsidR="00A3048C" w:rsidRPr="00413F49" w:rsidRDefault="00A3048C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Primary angiitis of the CNS (PACNS)</w:t>
      </w:r>
    </w:p>
    <w:p w:rsidR="00A3048C" w:rsidRPr="00413F49" w:rsidRDefault="00A3048C" w:rsidP="00CB2C68">
      <w:pPr>
        <w:rPr>
          <w:rFonts w:asciiTheme="majorHAnsi" w:hAnsiTheme="majorHAnsi"/>
          <w:i/>
        </w:rPr>
      </w:pPr>
    </w:p>
    <w:p w:rsidR="00F50986" w:rsidRPr="00413F49" w:rsidRDefault="00DD7363" w:rsidP="00DD7363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High-dose corticosteroids with or without </w:t>
      </w:r>
      <w:r w:rsidR="00E720C7" w:rsidRPr="00413F49">
        <w:rPr>
          <w:rFonts w:asciiTheme="majorHAnsi" w:hAnsiTheme="majorHAnsi"/>
        </w:rPr>
        <w:t>cyclophosphamide form the mainstay of treatment</w:t>
      </w:r>
      <w:r w:rsidRPr="00413F49">
        <w:rPr>
          <w:rFonts w:asciiTheme="majorHAnsi" w:hAnsiTheme="majorHAnsi"/>
        </w:rPr>
        <w:t xml:space="preserve"> for this rare condition.</w:t>
      </w:r>
      <w:r w:rsidR="00355EDA" w:rsidRPr="00413F49">
        <w:rPr>
          <w:rFonts w:asciiTheme="majorHAnsi" w:hAnsiTheme="majorHAnsi"/>
          <w:vertAlign w:val="superscript"/>
        </w:rPr>
        <w:t>2</w:t>
      </w:r>
      <w:r w:rsidR="00114EF0" w:rsidRPr="00413F49">
        <w:rPr>
          <w:rFonts w:asciiTheme="majorHAnsi" w:hAnsiTheme="majorHAnsi"/>
          <w:vertAlign w:val="superscript"/>
        </w:rPr>
        <w:t>1</w:t>
      </w:r>
      <w:r w:rsidR="00E720C7" w:rsidRPr="00413F49">
        <w:rPr>
          <w:rFonts w:asciiTheme="majorHAnsi" w:hAnsiTheme="majorHAnsi"/>
        </w:rPr>
        <w:t xml:space="preserve"> Favourable outcomes with rituximab are reported in two small </w:t>
      </w:r>
      <w:r w:rsidR="00835397" w:rsidRPr="00413F49">
        <w:rPr>
          <w:rFonts w:asciiTheme="majorHAnsi" w:hAnsiTheme="majorHAnsi"/>
        </w:rPr>
        <w:t xml:space="preserve">case </w:t>
      </w:r>
      <w:r w:rsidR="00E720C7" w:rsidRPr="00413F49">
        <w:rPr>
          <w:rFonts w:asciiTheme="majorHAnsi" w:hAnsiTheme="majorHAnsi"/>
        </w:rPr>
        <w:t xml:space="preserve">series, in which 2/2 and 6/7 patients </w:t>
      </w:r>
      <w:r w:rsidR="00355EDA" w:rsidRPr="00413F49">
        <w:rPr>
          <w:rFonts w:asciiTheme="majorHAnsi" w:hAnsiTheme="majorHAnsi"/>
        </w:rPr>
        <w:t>appeared to respond</w:t>
      </w:r>
      <w:r w:rsidR="00E720C7" w:rsidRPr="00413F49">
        <w:rPr>
          <w:rFonts w:asciiTheme="majorHAnsi" w:hAnsiTheme="majorHAnsi"/>
        </w:rPr>
        <w:t>.</w:t>
      </w:r>
      <w:r w:rsidR="00355EDA" w:rsidRPr="00413F49">
        <w:rPr>
          <w:rFonts w:asciiTheme="majorHAnsi" w:hAnsiTheme="majorHAnsi"/>
          <w:vertAlign w:val="superscript"/>
        </w:rPr>
        <w:t>2</w:t>
      </w:r>
      <w:r w:rsidR="00114EF0" w:rsidRPr="00413F49">
        <w:rPr>
          <w:rFonts w:asciiTheme="majorHAnsi" w:hAnsiTheme="majorHAnsi"/>
          <w:vertAlign w:val="superscript"/>
        </w:rPr>
        <w:t>2</w:t>
      </w:r>
      <w:r w:rsidR="00355EDA" w:rsidRPr="00413F49">
        <w:rPr>
          <w:rFonts w:asciiTheme="majorHAnsi" w:hAnsiTheme="majorHAnsi"/>
          <w:vertAlign w:val="superscript"/>
        </w:rPr>
        <w:t xml:space="preserve"> 2</w:t>
      </w:r>
      <w:r w:rsidR="00114EF0" w:rsidRPr="00413F49">
        <w:rPr>
          <w:rFonts w:asciiTheme="majorHAnsi" w:hAnsiTheme="majorHAnsi"/>
          <w:vertAlign w:val="superscript"/>
        </w:rPr>
        <w:t>3</w:t>
      </w:r>
      <w:r w:rsidR="00E720C7" w:rsidRPr="00413F49">
        <w:rPr>
          <w:rFonts w:asciiTheme="majorHAnsi" w:hAnsiTheme="majorHAnsi"/>
        </w:rPr>
        <w:t xml:space="preserve"> There are additional case reports describing its use.</w:t>
      </w:r>
      <w:r w:rsidR="00355EDA" w:rsidRPr="00413F49">
        <w:rPr>
          <w:rFonts w:asciiTheme="majorHAnsi" w:hAnsiTheme="majorHAnsi"/>
          <w:vertAlign w:val="superscript"/>
        </w:rPr>
        <w:t>2</w:t>
      </w:r>
      <w:r w:rsidR="00114EF0" w:rsidRPr="00413F49">
        <w:rPr>
          <w:rFonts w:asciiTheme="majorHAnsi" w:hAnsiTheme="majorHAnsi"/>
          <w:vertAlign w:val="superscript"/>
        </w:rPr>
        <w:t>4</w:t>
      </w:r>
      <w:r w:rsidR="00E720C7" w:rsidRPr="00413F49">
        <w:rPr>
          <w:rFonts w:asciiTheme="majorHAnsi" w:hAnsiTheme="majorHAnsi"/>
        </w:rPr>
        <w:t xml:space="preserve"> </w:t>
      </w:r>
    </w:p>
    <w:p w:rsidR="00FE2EAD" w:rsidRPr="00413F49" w:rsidRDefault="00FE2EAD" w:rsidP="00DD7363">
      <w:pPr>
        <w:jc w:val="both"/>
        <w:rPr>
          <w:rFonts w:asciiTheme="majorHAnsi" w:hAnsiTheme="majorHAnsi"/>
          <w:i/>
        </w:rPr>
      </w:pPr>
    </w:p>
    <w:p w:rsidR="00F50986" w:rsidRPr="00413F49" w:rsidRDefault="00FE2EAD" w:rsidP="00DD7363">
      <w:pPr>
        <w:jc w:val="both"/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ANCA-associated vasculitis (AAV)</w:t>
      </w:r>
    </w:p>
    <w:p w:rsidR="00FE2EAD" w:rsidRPr="00413F49" w:rsidRDefault="00FE2EAD" w:rsidP="00DD7363">
      <w:pPr>
        <w:jc w:val="both"/>
        <w:rPr>
          <w:rFonts w:asciiTheme="majorHAnsi" w:hAnsiTheme="majorHAnsi"/>
        </w:rPr>
      </w:pPr>
    </w:p>
    <w:p w:rsidR="00DD7363" w:rsidRPr="00413F49" w:rsidRDefault="00717BE4" w:rsidP="00DD7363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AAV will occasionally present to the neur</w:t>
      </w:r>
      <w:r w:rsidR="007453DB" w:rsidRPr="00413F49">
        <w:rPr>
          <w:rFonts w:asciiTheme="majorHAnsi" w:hAnsiTheme="majorHAnsi"/>
        </w:rPr>
        <w:t xml:space="preserve">ologist, </w:t>
      </w:r>
      <w:r w:rsidR="00835397" w:rsidRPr="00413F49">
        <w:rPr>
          <w:rFonts w:asciiTheme="majorHAnsi" w:hAnsiTheme="majorHAnsi"/>
        </w:rPr>
        <w:t xml:space="preserve">for example </w:t>
      </w:r>
      <w:r w:rsidR="007453DB" w:rsidRPr="00413F49">
        <w:rPr>
          <w:rFonts w:asciiTheme="majorHAnsi" w:hAnsiTheme="majorHAnsi"/>
        </w:rPr>
        <w:t>with mononeuritis multiplex,</w:t>
      </w:r>
      <w:r w:rsidR="00A016DE" w:rsidRPr="00413F49">
        <w:rPr>
          <w:rFonts w:asciiTheme="majorHAnsi" w:hAnsiTheme="majorHAnsi"/>
        </w:rPr>
        <w:t xml:space="preserve"> but is </w:t>
      </w:r>
      <w:r w:rsidR="00C72BDC" w:rsidRPr="00413F49">
        <w:rPr>
          <w:rFonts w:asciiTheme="majorHAnsi" w:hAnsiTheme="majorHAnsi"/>
        </w:rPr>
        <w:t xml:space="preserve">likely to be </w:t>
      </w:r>
      <w:r w:rsidR="00A016DE" w:rsidRPr="00413F49">
        <w:rPr>
          <w:rFonts w:asciiTheme="majorHAnsi" w:hAnsiTheme="majorHAnsi"/>
        </w:rPr>
        <w:t>co-</w:t>
      </w:r>
      <w:r w:rsidR="00C72BDC" w:rsidRPr="00413F49">
        <w:rPr>
          <w:rFonts w:asciiTheme="majorHAnsi" w:hAnsiTheme="majorHAnsi"/>
        </w:rPr>
        <w:t xml:space="preserve">managed with </w:t>
      </w:r>
      <w:r w:rsidR="003A32E4" w:rsidRPr="00413F49">
        <w:rPr>
          <w:rFonts w:asciiTheme="majorHAnsi" w:hAnsiTheme="majorHAnsi"/>
        </w:rPr>
        <w:t xml:space="preserve">other </w:t>
      </w:r>
      <w:r w:rsidR="00A016DE" w:rsidRPr="00413F49">
        <w:rPr>
          <w:rFonts w:asciiTheme="majorHAnsi" w:hAnsiTheme="majorHAnsi"/>
        </w:rPr>
        <w:t>vasculitis experts</w:t>
      </w:r>
      <w:r w:rsidRPr="00413F49">
        <w:rPr>
          <w:rFonts w:asciiTheme="majorHAnsi" w:hAnsiTheme="majorHAnsi"/>
        </w:rPr>
        <w:t xml:space="preserve">. </w:t>
      </w:r>
      <w:r w:rsidR="00FE2EAD" w:rsidRPr="00413F49">
        <w:rPr>
          <w:rFonts w:asciiTheme="majorHAnsi" w:hAnsiTheme="majorHAnsi"/>
        </w:rPr>
        <w:t>Rituximab is licensed and recommended by recent European Guidel</w:t>
      </w:r>
      <w:r w:rsidR="00A016DE" w:rsidRPr="00413F49">
        <w:rPr>
          <w:rFonts w:asciiTheme="majorHAnsi" w:hAnsiTheme="majorHAnsi"/>
        </w:rPr>
        <w:t xml:space="preserve">ines </w:t>
      </w:r>
      <w:r w:rsidR="00FE2EAD" w:rsidRPr="00413F49">
        <w:rPr>
          <w:rFonts w:asciiTheme="majorHAnsi" w:hAnsiTheme="majorHAnsi"/>
        </w:rPr>
        <w:t>for organ- or life-threatening</w:t>
      </w:r>
      <w:r w:rsidR="007453DB" w:rsidRPr="00413F49">
        <w:rPr>
          <w:rFonts w:asciiTheme="majorHAnsi" w:hAnsiTheme="majorHAnsi"/>
        </w:rPr>
        <w:t xml:space="preserve"> disease</w:t>
      </w:r>
      <w:r w:rsidR="00DE0BB6" w:rsidRPr="00413F49">
        <w:rPr>
          <w:rFonts w:asciiTheme="majorHAnsi" w:hAnsiTheme="majorHAnsi"/>
        </w:rPr>
        <w:t>.</w:t>
      </w:r>
      <w:r w:rsidR="00A016DE" w:rsidRPr="00413F49">
        <w:rPr>
          <w:rFonts w:asciiTheme="majorHAnsi" w:hAnsiTheme="majorHAnsi"/>
          <w:vertAlign w:val="superscript"/>
        </w:rPr>
        <w:t>25</w:t>
      </w:r>
      <w:r w:rsidR="00CE2D8A" w:rsidRPr="00413F49">
        <w:rPr>
          <w:rFonts w:asciiTheme="majorHAnsi" w:hAnsiTheme="majorHAnsi"/>
        </w:rPr>
        <w:t xml:space="preserve"> </w:t>
      </w:r>
      <w:r w:rsidR="00C72BDC" w:rsidRPr="00413F49">
        <w:rPr>
          <w:rFonts w:asciiTheme="majorHAnsi" w:hAnsiTheme="majorHAnsi"/>
        </w:rPr>
        <w:t>This follows two RCTs, in which rituximab (375mg/m</w:t>
      </w:r>
      <w:r w:rsidR="00C72BDC" w:rsidRPr="00413F49">
        <w:rPr>
          <w:rFonts w:asciiTheme="majorHAnsi" w:hAnsiTheme="majorHAnsi"/>
          <w:vertAlign w:val="superscript"/>
        </w:rPr>
        <w:t>2</w:t>
      </w:r>
      <w:r w:rsidR="00C72BDC" w:rsidRPr="00413F49">
        <w:rPr>
          <w:rFonts w:asciiTheme="majorHAnsi" w:hAnsiTheme="majorHAnsi"/>
        </w:rPr>
        <w:t xml:space="preserve"> weekly for four doses) was non-inferior to cyclophosphamide</w:t>
      </w:r>
      <w:r w:rsidR="007F79C8" w:rsidRPr="00413F49">
        <w:rPr>
          <w:rFonts w:asciiTheme="majorHAnsi" w:hAnsiTheme="majorHAnsi"/>
        </w:rPr>
        <w:t xml:space="preserve"> for remission induction</w:t>
      </w:r>
      <w:r w:rsidR="00C72BDC" w:rsidRPr="00413F49">
        <w:rPr>
          <w:rFonts w:asciiTheme="majorHAnsi" w:hAnsiTheme="majorHAnsi"/>
        </w:rPr>
        <w:t>.</w:t>
      </w:r>
      <w:r w:rsidR="00A016DE" w:rsidRPr="00413F49">
        <w:rPr>
          <w:rFonts w:asciiTheme="majorHAnsi" w:hAnsiTheme="majorHAnsi"/>
          <w:vertAlign w:val="superscript"/>
        </w:rPr>
        <w:t>26 27</w:t>
      </w:r>
      <w:r w:rsidR="00A016DE" w:rsidRPr="00413F49">
        <w:rPr>
          <w:rFonts w:asciiTheme="majorHAnsi" w:hAnsiTheme="majorHAnsi"/>
        </w:rPr>
        <w:t xml:space="preserve"> </w:t>
      </w:r>
      <w:r w:rsidR="00663444" w:rsidRPr="00413F49">
        <w:rPr>
          <w:rFonts w:asciiTheme="majorHAnsi" w:hAnsiTheme="majorHAnsi"/>
        </w:rPr>
        <w:t>It may be more effective than cyclophosphamide for relapsing disease.</w:t>
      </w:r>
      <w:r w:rsidR="007F79C8" w:rsidRPr="00413F49">
        <w:rPr>
          <w:rFonts w:asciiTheme="majorHAnsi" w:hAnsiTheme="majorHAnsi"/>
          <w:vertAlign w:val="superscript"/>
        </w:rPr>
        <w:t>27</w:t>
      </w:r>
      <w:r w:rsidR="00663444" w:rsidRPr="00413F49">
        <w:rPr>
          <w:rFonts w:asciiTheme="majorHAnsi" w:hAnsiTheme="majorHAnsi"/>
        </w:rPr>
        <w:t xml:space="preserve"> </w:t>
      </w:r>
      <w:r w:rsidR="00A016DE" w:rsidRPr="00413F49">
        <w:rPr>
          <w:rFonts w:asciiTheme="majorHAnsi" w:hAnsiTheme="majorHAnsi"/>
        </w:rPr>
        <w:t>NHS England will fund rituximab where cyclophosphamide has failed or is contra-in</w:t>
      </w:r>
      <w:r w:rsidR="00835397" w:rsidRPr="00413F49">
        <w:rPr>
          <w:rFonts w:asciiTheme="majorHAnsi" w:hAnsiTheme="majorHAnsi"/>
        </w:rPr>
        <w:t>dicated (e.g. patients who wish to preserve their reproductive potential</w:t>
      </w:r>
      <w:r w:rsidR="00A016DE" w:rsidRPr="00413F49">
        <w:rPr>
          <w:rFonts w:asciiTheme="majorHAnsi" w:hAnsiTheme="majorHAnsi"/>
        </w:rPr>
        <w:t>).</w:t>
      </w:r>
      <w:r w:rsidR="00184E24" w:rsidRPr="00413F49">
        <w:rPr>
          <w:rFonts w:asciiTheme="majorHAnsi" w:hAnsiTheme="majorHAnsi"/>
          <w:vertAlign w:val="superscript"/>
        </w:rPr>
        <w:t>28</w:t>
      </w:r>
    </w:p>
    <w:p w:rsidR="00DD7363" w:rsidRPr="00413F49" w:rsidRDefault="00DD7363" w:rsidP="00CB2C68">
      <w:pPr>
        <w:rPr>
          <w:rFonts w:asciiTheme="majorHAnsi" w:hAnsiTheme="majorHAnsi"/>
        </w:rPr>
      </w:pPr>
    </w:p>
    <w:p w:rsidR="00A3048C" w:rsidRPr="00413F49" w:rsidRDefault="00A3048C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Stiff person syndrome (SPS)</w:t>
      </w:r>
    </w:p>
    <w:p w:rsidR="002A2D23" w:rsidRPr="00413F49" w:rsidRDefault="002A2D23" w:rsidP="00CB2C68">
      <w:pPr>
        <w:rPr>
          <w:rFonts w:asciiTheme="majorHAnsi" w:hAnsiTheme="majorHAnsi"/>
          <w:i/>
        </w:rPr>
      </w:pPr>
    </w:p>
    <w:p w:rsidR="00AC0B8A" w:rsidRPr="00413F49" w:rsidRDefault="00AC0B8A" w:rsidP="00AC0B8A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lastRenderedPageBreak/>
        <w:t>Although some previous case reports suggested a possible bene</w:t>
      </w:r>
      <w:r w:rsidR="00355EDA" w:rsidRPr="00413F49">
        <w:rPr>
          <w:rFonts w:asciiTheme="majorHAnsi" w:hAnsiTheme="majorHAnsi"/>
        </w:rPr>
        <w:t>fit of rituximab for SPS</w:t>
      </w:r>
      <w:r w:rsidRPr="00413F49">
        <w:rPr>
          <w:rFonts w:asciiTheme="majorHAnsi" w:hAnsiTheme="majorHAnsi"/>
        </w:rPr>
        <w:t>,</w:t>
      </w:r>
      <w:r w:rsidR="00355EDA" w:rsidRPr="00413F49">
        <w:rPr>
          <w:rFonts w:asciiTheme="majorHAnsi" w:hAnsiTheme="majorHAnsi"/>
          <w:vertAlign w:val="superscript"/>
        </w:rPr>
        <w:t>2</w:t>
      </w:r>
      <w:r w:rsidR="007F79C8" w:rsidRPr="00413F49">
        <w:rPr>
          <w:rFonts w:asciiTheme="majorHAnsi" w:hAnsiTheme="majorHAnsi"/>
          <w:vertAlign w:val="superscript"/>
        </w:rPr>
        <w:t>9</w:t>
      </w:r>
      <w:r w:rsidR="00355EDA" w:rsidRPr="00413F49">
        <w:rPr>
          <w:rFonts w:asciiTheme="majorHAnsi" w:hAnsiTheme="majorHAnsi"/>
          <w:vertAlign w:val="superscript"/>
        </w:rPr>
        <w:t>-</w:t>
      </w:r>
      <w:r w:rsidR="007F79C8" w:rsidRPr="00413F49">
        <w:rPr>
          <w:rFonts w:asciiTheme="majorHAnsi" w:hAnsiTheme="majorHAnsi"/>
          <w:vertAlign w:val="superscript"/>
        </w:rPr>
        <w:t>31</w:t>
      </w:r>
      <w:r w:rsidRPr="00413F49">
        <w:rPr>
          <w:rFonts w:asciiTheme="majorHAnsi" w:hAnsiTheme="majorHAnsi"/>
        </w:rPr>
        <w:t xml:space="preserve"> a single small double-blind RCT (n = 24) did not identify significant changes in any outcome mea</w:t>
      </w:r>
      <w:r w:rsidR="00355EDA" w:rsidRPr="00413F49">
        <w:rPr>
          <w:rFonts w:asciiTheme="majorHAnsi" w:hAnsiTheme="majorHAnsi"/>
        </w:rPr>
        <w:t>sures six months post-rituximab</w:t>
      </w:r>
      <w:r w:rsidRPr="00413F49">
        <w:rPr>
          <w:rFonts w:asciiTheme="majorHAnsi" w:hAnsiTheme="majorHAnsi"/>
        </w:rPr>
        <w:t>.</w:t>
      </w:r>
      <w:r w:rsidR="007F79C8" w:rsidRPr="00413F49">
        <w:rPr>
          <w:rFonts w:asciiTheme="majorHAnsi" w:hAnsiTheme="majorHAnsi"/>
          <w:vertAlign w:val="superscript"/>
        </w:rPr>
        <w:t>32</w:t>
      </w:r>
    </w:p>
    <w:p w:rsidR="00AC0B8A" w:rsidRPr="00413F49" w:rsidRDefault="00AC0B8A" w:rsidP="00CB2C68">
      <w:pPr>
        <w:rPr>
          <w:rFonts w:asciiTheme="majorHAnsi" w:hAnsiTheme="majorHAnsi"/>
          <w:i/>
        </w:rPr>
      </w:pPr>
    </w:p>
    <w:p w:rsidR="009B402F" w:rsidRPr="00413F49" w:rsidRDefault="009B402F" w:rsidP="009B402F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Immune-mediated peripheral neuropathies</w:t>
      </w:r>
    </w:p>
    <w:p w:rsidR="002A2D23" w:rsidRPr="00413F49" w:rsidRDefault="002A2D23" w:rsidP="00CB2C68">
      <w:pPr>
        <w:rPr>
          <w:rFonts w:asciiTheme="majorHAnsi" w:hAnsiTheme="majorHAnsi"/>
          <w:b/>
        </w:rPr>
      </w:pPr>
    </w:p>
    <w:p w:rsidR="00246E7E" w:rsidRPr="00413F49" w:rsidRDefault="009B402F" w:rsidP="001A23AE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A UK clinical commissioning policy, published in December 2017, reviewed the evidence for rituximab to treat chronic inflammatory demyelinating polyneuropathy (CIDP),  multifocal motor neuropathy (MMN), </w:t>
      </w:r>
      <w:r w:rsidR="00883A18" w:rsidRPr="00413F49">
        <w:rPr>
          <w:rFonts w:asciiTheme="majorHAnsi" w:hAnsiTheme="majorHAnsi"/>
        </w:rPr>
        <w:t xml:space="preserve">non-systemic </w:t>
      </w:r>
      <w:proofErr w:type="spellStart"/>
      <w:r w:rsidR="00883A18" w:rsidRPr="00413F49">
        <w:rPr>
          <w:rFonts w:asciiTheme="majorHAnsi" w:hAnsiTheme="majorHAnsi"/>
        </w:rPr>
        <w:t>vasculitic</w:t>
      </w:r>
      <w:proofErr w:type="spellEnd"/>
      <w:r w:rsidR="00883A18" w:rsidRPr="00413F49">
        <w:rPr>
          <w:rFonts w:asciiTheme="majorHAnsi" w:hAnsiTheme="majorHAnsi"/>
        </w:rPr>
        <w:t xml:space="preserve"> neuropathy (NSVN)</w:t>
      </w:r>
      <w:r w:rsidRPr="00413F49">
        <w:rPr>
          <w:rFonts w:asciiTheme="majorHAnsi" w:hAnsiTheme="majorHAnsi"/>
        </w:rPr>
        <w:t xml:space="preserve"> and IgM </w:t>
      </w:r>
      <w:proofErr w:type="spellStart"/>
      <w:r w:rsidRPr="00413F49">
        <w:rPr>
          <w:rFonts w:asciiTheme="majorHAnsi" w:hAnsiTheme="majorHAnsi"/>
        </w:rPr>
        <w:t>paraprotein</w:t>
      </w:r>
      <w:proofErr w:type="spellEnd"/>
      <w:r w:rsidRPr="00413F49">
        <w:rPr>
          <w:rFonts w:asciiTheme="majorHAnsi" w:hAnsiTheme="majorHAnsi"/>
        </w:rPr>
        <w:t>-associated demyelinating neuropathy with antibodies to myelin-associated glyc</w:t>
      </w:r>
      <w:r w:rsidR="00355EDA" w:rsidRPr="00413F49">
        <w:rPr>
          <w:rFonts w:asciiTheme="majorHAnsi" w:hAnsiTheme="majorHAnsi"/>
        </w:rPr>
        <w:t>oprotein (anti-MAG neuropathy).</w:t>
      </w:r>
      <w:r w:rsidRPr="00413F49">
        <w:rPr>
          <w:rFonts w:asciiTheme="majorHAnsi" w:hAnsiTheme="majorHAnsi"/>
        </w:rPr>
        <w:t xml:space="preserve"> </w:t>
      </w:r>
      <w:r w:rsidR="00A649C3" w:rsidRPr="00413F49">
        <w:rPr>
          <w:rFonts w:asciiTheme="majorHAnsi" w:hAnsiTheme="majorHAnsi"/>
        </w:rPr>
        <w:t>It</w:t>
      </w:r>
      <w:r w:rsidRPr="00413F49">
        <w:rPr>
          <w:rFonts w:asciiTheme="majorHAnsi" w:hAnsiTheme="majorHAnsi"/>
        </w:rPr>
        <w:t xml:space="preserve"> concluded that there is insufficient evidence to make rituximab routinely available for these disorders.</w:t>
      </w:r>
      <w:r w:rsidR="00A649C3" w:rsidRPr="00413F49">
        <w:rPr>
          <w:rFonts w:asciiTheme="majorHAnsi" w:hAnsiTheme="majorHAnsi"/>
          <w:vertAlign w:val="superscript"/>
        </w:rPr>
        <w:t>33</w:t>
      </w:r>
      <w:r w:rsidR="00A3048C" w:rsidRPr="00413F49">
        <w:rPr>
          <w:rFonts w:asciiTheme="majorHAnsi" w:hAnsiTheme="majorHAnsi"/>
        </w:rPr>
        <w:t xml:space="preserve"> However, there may be circumstances</w:t>
      </w:r>
      <w:r w:rsidR="00246E7E" w:rsidRPr="00413F49">
        <w:rPr>
          <w:rFonts w:asciiTheme="majorHAnsi" w:hAnsiTheme="majorHAnsi"/>
        </w:rPr>
        <w:t xml:space="preserve">, in which rituximab could be beneficial, as discussed below. </w:t>
      </w:r>
      <w:r w:rsidR="00A649C3" w:rsidRPr="00413F49">
        <w:rPr>
          <w:rFonts w:asciiTheme="majorHAnsi" w:hAnsiTheme="majorHAnsi"/>
        </w:rPr>
        <w:t>M</w:t>
      </w:r>
      <w:r w:rsidR="00246E7E" w:rsidRPr="00413F49">
        <w:rPr>
          <w:rFonts w:asciiTheme="majorHAnsi" w:hAnsiTheme="majorHAnsi"/>
        </w:rPr>
        <w:t xml:space="preserve">ost studies </w:t>
      </w:r>
      <w:r w:rsidR="00A649C3" w:rsidRPr="00413F49">
        <w:rPr>
          <w:rFonts w:asciiTheme="majorHAnsi" w:hAnsiTheme="majorHAnsi"/>
        </w:rPr>
        <w:t>have</w:t>
      </w:r>
      <w:r w:rsidR="00246E7E" w:rsidRPr="00413F49">
        <w:rPr>
          <w:rFonts w:asciiTheme="majorHAnsi" w:hAnsiTheme="majorHAnsi"/>
        </w:rPr>
        <w:t xml:space="preserve"> us</w:t>
      </w:r>
      <w:r w:rsidR="00A649C3" w:rsidRPr="00413F49">
        <w:rPr>
          <w:rFonts w:asciiTheme="majorHAnsi" w:hAnsiTheme="majorHAnsi"/>
        </w:rPr>
        <w:t xml:space="preserve">ed </w:t>
      </w:r>
      <w:r w:rsidR="00246E7E" w:rsidRPr="00413F49">
        <w:rPr>
          <w:rFonts w:asciiTheme="majorHAnsi" w:hAnsiTheme="majorHAnsi"/>
        </w:rPr>
        <w:t>375mg/m</w:t>
      </w:r>
      <w:r w:rsidR="00246E7E" w:rsidRPr="00413F49">
        <w:rPr>
          <w:rFonts w:asciiTheme="majorHAnsi" w:hAnsiTheme="majorHAnsi"/>
          <w:vertAlign w:val="superscript"/>
        </w:rPr>
        <w:t>2</w:t>
      </w:r>
      <w:r w:rsidR="00A649C3" w:rsidRPr="00413F49">
        <w:rPr>
          <w:rFonts w:asciiTheme="majorHAnsi" w:hAnsiTheme="majorHAnsi"/>
        </w:rPr>
        <w:t xml:space="preserve"> weekly</w:t>
      </w:r>
      <w:r w:rsidR="00246E7E" w:rsidRPr="00413F49">
        <w:rPr>
          <w:rFonts w:asciiTheme="majorHAnsi" w:hAnsiTheme="majorHAnsi"/>
        </w:rPr>
        <w:t xml:space="preserve"> for four weeks.</w:t>
      </w:r>
    </w:p>
    <w:p w:rsidR="00246E7E" w:rsidRPr="00413F49" w:rsidRDefault="00246E7E" w:rsidP="001A23AE">
      <w:pPr>
        <w:jc w:val="both"/>
        <w:rPr>
          <w:rFonts w:asciiTheme="majorHAnsi" w:hAnsiTheme="majorHAnsi"/>
          <w:color w:val="FF0000"/>
        </w:rPr>
      </w:pPr>
    </w:p>
    <w:p w:rsidR="001A23AE" w:rsidRPr="00413F49" w:rsidRDefault="00C1254A" w:rsidP="001A23AE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Rituximab has been used in CIDP following inadequate response to conventional therapy (cortico</w:t>
      </w:r>
      <w:r w:rsidR="001A23AE" w:rsidRPr="00413F49">
        <w:rPr>
          <w:rFonts w:asciiTheme="majorHAnsi" w:hAnsiTheme="majorHAnsi"/>
        </w:rPr>
        <w:t>steroids</w:t>
      </w:r>
      <w:r w:rsidR="007126F9" w:rsidRPr="00413F49">
        <w:rPr>
          <w:rFonts w:asciiTheme="majorHAnsi" w:hAnsiTheme="majorHAnsi"/>
        </w:rPr>
        <w:t>, IVIg</w:t>
      </w:r>
      <w:r w:rsidR="001A23AE" w:rsidRPr="00413F49">
        <w:rPr>
          <w:rFonts w:asciiTheme="majorHAnsi" w:hAnsiTheme="majorHAnsi"/>
        </w:rPr>
        <w:t xml:space="preserve"> and plasma exchange). </w:t>
      </w:r>
      <w:r w:rsidRPr="00413F49">
        <w:rPr>
          <w:rFonts w:asciiTheme="majorHAnsi" w:hAnsiTheme="majorHAnsi"/>
        </w:rPr>
        <w:t xml:space="preserve">A </w:t>
      </w:r>
      <w:r w:rsidR="001A23AE" w:rsidRPr="00413F49">
        <w:rPr>
          <w:rFonts w:asciiTheme="majorHAnsi" w:hAnsiTheme="majorHAnsi"/>
        </w:rPr>
        <w:t>C</w:t>
      </w:r>
      <w:r w:rsidRPr="00413F49">
        <w:rPr>
          <w:rFonts w:asciiTheme="majorHAnsi" w:hAnsiTheme="majorHAnsi"/>
        </w:rPr>
        <w:t>ochrane review (2013) identified 17 published CIDP cases treated with rituximab, of w</w:t>
      </w:r>
      <w:r w:rsidR="00355EDA" w:rsidRPr="00413F49">
        <w:rPr>
          <w:rFonts w:asciiTheme="majorHAnsi" w:hAnsiTheme="majorHAnsi"/>
        </w:rPr>
        <w:t>hich 12</w:t>
      </w:r>
      <w:r w:rsidR="007126F9" w:rsidRPr="00413F49">
        <w:rPr>
          <w:rFonts w:asciiTheme="majorHAnsi" w:hAnsiTheme="majorHAnsi"/>
        </w:rPr>
        <w:t xml:space="preserve"> (71%)</w:t>
      </w:r>
      <w:r w:rsidR="00355EDA" w:rsidRPr="00413F49">
        <w:rPr>
          <w:rFonts w:asciiTheme="majorHAnsi" w:hAnsiTheme="majorHAnsi"/>
        </w:rPr>
        <w:t xml:space="preserve"> improved after treatment</w:t>
      </w:r>
      <w:r w:rsidR="001A23AE" w:rsidRPr="00413F49">
        <w:rPr>
          <w:rFonts w:asciiTheme="majorHAnsi" w:hAnsiTheme="majorHAnsi"/>
        </w:rPr>
        <w:t>.</w:t>
      </w:r>
      <w:r w:rsidR="007126F9" w:rsidRPr="00413F49">
        <w:rPr>
          <w:rFonts w:asciiTheme="majorHAnsi" w:hAnsiTheme="majorHAnsi"/>
          <w:vertAlign w:val="superscript"/>
        </w:rPr>
        <w:t>34</w:t>
      </w:r>
      <w:r w:rsidRPr="00413F49">
        <w:rPr>
          <w:rFonts w:asciiTheme="majorHAnsi" w:hAnsiTheme="majorHAnsi"/>
        </w:rPr>
        <w:t xml:space="preserve"> The largest</w:t>
      </w:r>
      <w:r w:rsidR="007126F9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series </w:t>
      </w:r>
      <w:r w:rsidR="007126F9" w:rsidRPr="00413F49">
        <w:rPr>
          <w:rFonts w:asciiTheme="majorHAnsi" w:hAnsiTheme="majorHAnsi"/>
        </w:rPr>
        <w:t>ha</w:t>
      </w:r>
      <w:r w:rsidR="00D14DB1" w:rsidRPr="00413F49">
        <w:rPr>
          <w:rFonts w:asciiTheme="majorHAnsi" w:hAnsiTheme="majorHAnsi"/>
        </w:rPr>
        <w:t>s ten</w:t>
      </w:r>
      <w:r w:rsidRPr="00413F49">
        <w:rPr>
          <w:rFonts w:asciiTheme="majorHAnsi" w:hAnsiTheme="majorHAnsi"/>
        </w:rPr>
        <w:t xml:space="preserve"> patients, of whom </w:t>
      </w:r>
      <w:r w:rsidR="00D14DB1" w:rsidRPr="00413F49">
        <w:rPr>
          <w:rFonts w:asciiTheme="majorHAnsi" w:hAnsiTheme="majorHAnsi"/>
        </w:rPr>
        <w:t>six</w:t>
      </w:r>
      <w:r w:rsidR="007126F9" w:rsidRPr="00413F49">
        <w:rPr>
          <w:rFonts w:asciiTheme="majorHAnsi" w:hAnsiTheme="majorHAnsi"/>
        </w:rPr>
        <w:t xml:space="preserve"> (60%)</w:t>
      </w:r>
      <w:r w:rsidRPr="00413F49">
        <w:rPr>
          <w:rFonts w:asciiTheme="majorHAnsi" w:hAnsiTheme="majorHAnsi"/>
        </w:rPr>
        <w:t xml:space="preserve"> improved.</w:t>
      </w:r>
      <w:r w:rsidR="00355EDA" w:rsidRPr="00413F49">
        <w:rPr>
          <w:rFonts w:asciiTheme="majorHAnsi" w:hAnsiTheme="majorHAnsi"/>
          <w:vertAlign w:val="superscript"/>
        </w:rPr>
        <w:t>3</w:t>
      </w:r>
      <w:r w:rsidR="007126F9" w:rsidRPr="00413F49">
        <w:rPr>
          <w:rFonts w:asciiTheme="majorHAnsi" w:hAnsiTheme="majorHAnsi"/>
          <w:vertAlign w:val="superscript"/>
        </w:rPr>
        <w:t>5</w:t>
      </w:r>
      <w:r w:rsidR="006D0AD9" w:rsidRPr="00413F49">
        <w:rPr>
          <w:rFonts w:asciiTheme="majorHAnsi" w:hAnsiTheme="majorHAnsi"/>
        </w:rPr>
        <w:t xml:space="preserve"> </w:t>
      </w:r>
      <w:r w:rsidR="007126F9" w:rsidRPr="00413F49">
        <w:rPr>
          <w:rFonts w:asciiTheme="majorHAnsi" w:hAnsiTheme="majorHAnsi"/>
        </w:rPr>
        <w:t xml:space="preserve">In a multicentre </w:t>
      </w:r>
      <w:r w:rsidR="001A23AE" w:rsidRPr="00413F49">
        <w:rPr>
          <w:rFonts w:asciiTheme="majorHAnsi" w:hAnsiTheme="majorHAnsi"/>
        </w:rPr>
        <w:t>retrospective analysis</w:t>
      </w:r>
      <w:r w:rsidR="00E75BBE" w:rsidRPr="00413F49">
        <w:rPr>
          <w:rFonts w:asciiTheme="majorHAnsi" w:hAnsiTheme="majorHAnsi"/>
        </w:rPr>
        <w:t>,</w:t>
      </w:r>
      <w:r w:rsidR="001A23AE" w:rsidRPr="00413F49">
        <w:rPr>
          <w:rFonts w:asciiTheme="majorHAnsi" w:hAnsiTheme="majorHAnsi"/>
        </w:rPr>
        <w:t xml:space="preserve"> </w:t>
      </w:r>
      <w:r w:rsidR="00E75BBE" w:rsidRPr="00413F49">
        <w:rPr>
          <w:rFonts w:asciiTheme="majorHAnsi" w:hAnsiTheme="majorHAnsi"/>
        </w:rPr>
        <w:t>18/</w:t>
      </w:r>
      <w:r w:rsidR="001A23AE" w:rsidRPr="00413F49">
        <w:rPr>
          <w:rFonts w:asciiTheme="majorHAnsi" w:hAnsiTheme="majorHAnsi"/>
        </w:rPr>
        <w:t>1</w:t>
      </w:r>
      <w:r w:rsidR="00E75BBE" w:rsidRPr="00413F49">
        <w:rPr>
          <w:rFonts w:asciiTheme="majorHAnsi" w:hAnsiTheme="majorHAnsi"/>
        </w:rPr>
        <w:t xml:space="preserve">10 (16.4%) </w:t>
      </w:r>
      <w:r w:rsidR="001A23AE" w:rsidRPr="00413F49">
        <w:rPr>
          <w:rFonts w:asciiTheme="majorHAnsi" w:hAnsiTheme="majorHAnsi"/>
        </w:rPr>
        <w:t>refractory CIDP</w:t>
      </w:r>
      <w:r w:rsidR="00E75BBE" w:rsidRPr="00413F49">
        <w:rPr>
          <w:rFonts w:asciiTheme="majorHAnsi" w:hAnsiTheme="majorHAnsi"/>
        </w:rPr>
        <w:t xml:space="preserve"> cases </w:t>
      </w:r>
      <w:r w:rsidR="001A23AE" w:rsidRPr="00413F49">
        <w:rPr>
          <w:rFonts w:asciiTheme="majorHAnsi" w:hAnsiTheme="majorHAnsi"/>
        </w:rPr>
        <w:t xml:space="preserve">received rituximab. The response </w:t>
      </w:r>
      <w:r w:rsidR="00E75BBE" w:rsidRPr="00413F49">
        <w:rPr>
          <w:rFonts w:asciiTheme="majorHAnsi" w:hAnsiTheme="majorHAnsi"/>
        </w:rPr>
        <w:t>rate (improvement in mRS by at least one point) was 33% – comparable to Azathioprine or Cyclophospha</w:t>
      </w:r>
      <w:r w:rsidR="001A23AE" w:rsidRPr="00413F49">
        <w:rPr>
          <w:rFonts w:asciiTheme="majorHAnsi" w:hAnsiTheme="majorHAnsi"/>
        </w:rPr>
        <w:t>mide.</w:t>
      </w:r>
      <w:r w:rsidR="00355EDA" w:rsidRPr="00413F49">
        <w:rPr>
          <w:rFonts w:asciiTheme="majorHAnsi" w:hAnsiTheme="majorHAnsi"/>
          <w:vertAlign w:val="superscript"/>
        </w:rPr>
        <w:t>3</w:t>
      </w:r>
      <w:r w:rsidR="00E75BBE" w:rsidRPr="00413F49">
        <w:rPr>
          <w:rFonts w:asciiTheme="majorHAnsi" w:hAnsiTheme="majorHAnsi"/>
          <w:vertAlign w:val="superscript"/>
        </w:rPr>
        <w:t>6</w:t>
      </w:r>
      <w:r w:rsidR="001A23AE" w:rsidRPr="00413F49">
        <w:rPr>
          <w:rFonts w:asciiTheme="majorHAnsi" w:hAnsiTheme="majorHAnsi"/>
        </w:rPr>
        <w:t xml:space="preserve"> </w:t>
      </w:r>
      <w:r w:rsidR="00E75BBE" w:rsidRPr="00413F49">
        <w:rPr>
          <w:rFonts w:asciiTheme="majorHAnsi" w:hAnsiTheme="majorHAnsi"/>
        </w:rPr>
        <w:t>R</w:t>
      </w:r>
      <w:r w:rsidR="001A23AE" w:rsidRPr="00413F49">
        <w:rPr>
          <w:rFonts w:asciiTheme="majorHAnsi" w:hAnsiTheme="majorHAnsi"/>
        </w:rPr>
        <w:t xml:space="preserve">ecently, marked improvement following rituximab in CIDP patients with IgG4 antibodies against </w:t>
      </w:r>
      <w:proofErr w:type="spellStart"/>
      <w:r w:rsidR="001A23AE" w:rsidRPr="00413F49">
        <w:rPr>
          <w:rFonts w:asciiTheme="majorHAnsi" w:hAnsiTheme="majorHAnsi"/>
        </w:rPr>
        <w:t>p</w:t>
      </w:r>
      <w:r w:rsidR="00033874" w:rsidRPr="00413F49">
        <w:rPr>
          <w:rFonts w:asciiTheme="majorHAnsi" w:hAnsiTheme="majorHAnsi"/>
        </w:rPr>
        <w:t>aranodal</w:t>
      </w:r>
      <w:proofErr w:type="spellEnd"/>
      <w:r w:rsidR="00033874" w:rsidRPr="00413F49">
        <w:rPr>
          <w:rFonts w:asciiTheme="majorHAnsi" w:hAnsiTheme="majorHAnsi"/>
        </w:rPr>
        <w:t xml:space="preserve"> proteins (anti-neurofascin</w:t>
      </w:r>
      <w:r w:rsidR="001A23AE" w:rsidRPr="00413F49">
        <w:rPr>
          <w:rFonts w:asciiTheme="majorHAnsi" w:hAnsiTheme="majorHAnsi"/>
        </w:rPr>
        <w:t>155</w:t>
      </w:r>
      <w:r w:rsidR="000632E8" w:rsidRPr="00413F49">
        <w:rPr>
          <w:rFonts w:asciiTheme="majorHAnsi" w:hAnsiTheme="majorHAnsi"/>
        </w:rPr>
        <w:t>/CNTN1</w:t>
      </w:r>
      <w:r w:rsidR="001A23AE" w:rsidRPr="00413F49">
        <w:rPr>
          <w:rFonts w:asciiTheme="majorHAnsi" w:hAnsiTheme="majorHAnsi"/>
        </w:rPr>
        <w:t>)</w:t>
      </w:r>
      <w:r w:rsidR="0073041A" w:rsidRPr="00413F49">
        <w:rPr>
          <w:rFonts w:asciiTheme="majorHAnsi" w:hAnsiTheme="majorHAnsi"/>
        </w:rPr>
        <w:t xml:space="preserve"> has been reported</w:t>
      </w:r>
      <w:r w:rsidR="001A23AE" w:rsidRPr="00413F49">
        <w:rPr>
          <w:rFonts w:asciiTheme="majorHAnsi" w:hAnsiTheme="majorHAnsi"/>
        </w:rPr>
        <w:t>.  These cases account for less than 10% of all CIDP patients but they are often relatively resistant to IVIg and corticosteroids, highlighting the importance of serological testing and suggesting a potential role for rituximab in a subset of CIDP patients</w:t>
      </w:r>
      <w:r w:rsidR="00355EDA" w:rsidRPr="00413F49">
        <w:rPr>
          <w:rFonts w:asciiTheme="majorHAnsi" w:hAnsiTheme="majorHAnsi"/>
        </w:rPr>
        <w:t xml:space="preserve"> that needs further exploration</w:t>
      </w:r>
      <w:r w:rsidR="001A23AE" w:rsidRPr="00413F49">
        <w:rPr>
          <w:rFonts w:asciiTheme="majorHAnsi" w:hAnsiTheme="majorHAnsi"/>
        </w:rPr>
        <w:t>.</w:t>
      </w:r>
      <w:r w:rsidR="00355EDA" w:rsidRPr="00413F49">
        <w:rPr>
          <w:rFonts w:asciiTheme="majorHAnsi" w:hAnsiTheme="majorHAnsi"/>
          <w:vertAlign w:val="superscript"/>
        </w:rPr>
        <w:t>3</w:t>
      </w:r>
      <w:r w:rsidR="0073041A" w:rsidRPr="00413F49">
        <w:rPr>
          <w:rFonts w:asciiTheme="majorHAnsi" w:hAnsiTheme="majorHAnsi"/>
          <w:vertAlign w:val="superscript"/>
        </w:rPr>
        <w:t>7</w:t>
      </w:r>
      <w:r w:rsidR="00355EDA" w:rsidRPr="00413F49">
        <w:rPr>
          <w:rFonts w:asciiTheme="majorHAnsi" w:hAnsiTheme="majorHAnsi"/>
          <w:vertAlign w:val="superscript"/>
        </w:rPr>
        <w:t xml:space="preserve"> 3</w:t>
      </w:r>
      <w:r w:rsidR="0073041A" w:rsidRPr="00413F49">
        <w:rPr>
          <w:rFonts w:asciiTheme="majorHAnsi" w:hAnsiTheme="majorHAnsi"/>
          <w:vertAlign w:val="superscript"/>
        </w:rPr>
        <w:t>8</w:t>
      </w:r>
    </w:p>
    <w:p w:rsidR="00F44F88" w:rsidRPr="00413F49" w:rsidRDefault="00F44F88" w:rsidP="00CB2C68">
      <w:pPr>
        <w:rPr>
          <w:rFonts w:asciiTheme="majorHAnsi" w:hAnsiTheme="majorHAnsi"/>
        </w:rPr>
      </w:pPr>
    </w:p>
    <w:p w:rsidR="00883A18" w:rsidRPr="00413F49" w:rsidRDefault="0073041A" w:rsidP="00883A18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D</w:t>
      </w:r>
      <w:r w:rsidR="00883A18" w:rsidRPr="00413F49">
        <w:rPr>
          <w:rFonts w:asciiTheme="majorHAnsi" w:hAnsiTheme="majorHAnsi"/>
        </w:rPr>
        <w:t xml:space="preserve">ata for rituximab in </w:t>
      </w:r>
      <w:r w:rsidR="00666C3F" w:rsidRPr="00413F49">
        <w:rPr>
          <w:rFonts w:asciiTheme="majorHAnsi" w:hAnsiTheme="majorHAnsi"/>
        </w:rPr>
        <w:t>multifocal motor neuropathy</w:t>
      </w:r>
      <w:r w:rsidR="00883A18" w:rsidRPr="00413F49">
        <w:rPr>
          <w:rFonts w:asciiTheme="majorHAnsi" w:hAnsiTheme="majorHAnsi"/>
        </w:rPr>
        <w:t xml:space="preserve"> is limited to small c</w:t>
      </w:r>
      <w:r w:rsidR="00355EDA" w:rsidRPr="00413F49">
        <w:rPr>
          <w:rFonts w:asciiTheme="majorHAnsi" w:hAnsiTheme="majorHAnsi"/>
        </w:rPr>
        <w:t xml:space="preserve">ase series and is conflicting. </w:t>
      </w:r>
      <w:r w:rsidR="00C1254A" w:rsidRPr="00413F49">
        <w:rPr>
          <w:rFonts w:asciiTheme="majorHAnsi" w:hAnsiTheme="majorHAnsi"/>
        </w:rPr>
        <w:t>I</w:t>
      </w:r>
      <w:r w:rsidRPr="00413F49">
        <w:rPr>
          <w:rFonts w:asciiTheme="majorHAnsi" w:hAnsiTheme="majorHAnsi"/>
        </w:rPr>
        <w:t>VIg</w:t>
      </w:r>
      <w:r w:rsidR="00C1254A" w:rsidRPr="00413F49">
        <w:rPr>
          <w:rFonts w:asciiTheme="majorHAnsi" w:hAnsiTheme="majorHAnsi"/>
        </w:rPr>
        <w:t xml:space="preserve"> is</w:t>
      </w:r>
      <w:r w:rsidR="00355EDA" w:rsidRPr="00413F49">
        <w:rPr>
          <w:rFonts w:asciiTheme="majorHAnsi" w:hAnsiTheme="majorHAnsi"/>
        </w:rPr>
        <w:t xml:space="preserve"> the mainstay of therapy. </w:t>
      </w:r>
      <w:r w:rsidR="00883A18" w:rsidRPr="00413F49">
        <w:rPr>
          <w:rFonts w:asciiTheme="majorHAnsi" w:hAnsiTheme="majorHAnsi"/>
        </w:rPr>
        <w:t xml:space="preserve">When </w:t>
      </w:r>
      <w:r w:rsidR="00C1254A" w:rsidRPr="00413F49">
        <w:rPr>
          <w:rFonts w:asciiTheme="majorHAnsi" w:hAnsiTheme="majorHAnsi"/>
        </w:rPr>
        <w:t xml:space="preserve">rituximab was </w:t>
      </w:r>
      <w:r w:rsidR="00883A18" w:rsidRPr="00413F49">
        <w:rPr>
          <w:rFonts w:asciiTheme="majorHAnsi" w:hAnsiTheme="majorHAnsi"/>
        </w:rPr>
        <w:t>used as monotherapy in seven patients in two separate observational studies, all showed some improvement</w:t>
      </w:r>
      <w:r w:rsidR="002221F2" w:rsidRPr="00413F49">
        <w:rPr>
          <w:rFonts w:asciiTheme="majorHAnsi" w:hAnsiTheme="majorHAnsi"/>
        </w:rPr>
        <w:t xml:space="preserve"> in muscle power</w:t>
      </w:r>
      <w:r w:rsidR="00883A18" w:rsidRPr="00413F49">
        <w:rPr>
          <w:rFonts w:asciiTheme="majorHAnsi" w:hAnsiTheme="majorHAnsi"/>
        </w:rPr>
        <w:t>.</w:t>
      </w:r>
      <w:r w:rsidR="00355EDA" w:rsidRPr="00413F49">
        <w:rPr>
          <w:rFonts w:asciiTheme="majorHAnsi" w:hAnsiTheme="majorHAnsi"/>
          <w:vertAlign w:val="superscript"/>
        </w:rPr>
        <w:t>3</w:t>
      </w:r>
      <w:r w:rsidRPr="00413F49">
        <w:rPr>
          <w:rFonts w:asciiTheme="majorHAnsi" w:hAnsiTheme="majorHAnsi"/>
          <w:vertAlign w:val="superscript"/>
        </w:rPr>
        <w:t>9</w:t>
      </w:r>
      <w:r w:rsidR="00355EDA" w:rsidRPr="00413F49">
        <w:rPr>
          <w:rFonts w:asciiTheme="majorHAnsi" w:hAnsiTheme="majorHAnsi"/>
          <w:vertAlign w:val="superscript"/>
        </w:rPr>
        <w:t xml:space="preserve"> </w:t>
      </w:r>
      <w:r w:rsidRPr="00413F49">
        <w:rPr>
          <w:rFonts w:asciiTheme="majorHAnsi" w:hAnsiTheme="majorHAnsi"/>
          <w:vertAlign w:val="superscript"/>
        </w:rPr>
        <w:t>40</w:t>
      </w:r>
      <w:r w:rsidR="00226D53" w:rsidRPr="00413F49">
        <w:rPr>
          <w:rFonts w:asciiTheme="majorHAnsi" w:hAnsiTheme="majorHAnsi"/>
        </w:rPr>
        <w:t xml:space="preserve"> </w:t>
      </w:r>
      <w:r w:rsidR="00C1254A" w:rsidRPr="00413F49">
        <w:rPr>
          <w:rFonts w:asciiTheme="majorHAnsi" w:hAnsiTheme="majorHAnsi"/>
        </w:rPr>
        <w:t>When given as an adjunct</w:t>
      </w:r>
      <w:r w:rsidR="001A23AE" w:rsidRPr="00413F49">
        <w:rPr>
          <w:rFonts w:asciiTheme="majorHAnsi" w:hAnsiTheme="majorHAnsi"/>
        </w:rPr>
        <w:t xml:space="preserve"> to IVIg</w:t>
      </w:r>
      <w:r w:rsidR="00C1254A" w:rsidRPr="00413F49">
        <w:rPr>
          <w:rFonts w:asciiTheme="majorHAnsi" w:hAnsiTheme="majorHAnsi"/>
        </w:rPr>
        <w:t xml:space="preserve"> in a small open-label trial (n=6), there was no significant change motor</w:t>
      </w:r>
      <w:r w:rsidR="00355EDA" w:rsidRPr="00413F49">
        <w:rPr>
          <w:rFonts w:asciiTheme="majorHAnsi" w:hAnsiTheme="majorHAnsi"/>
        </w:rPr>
        <w:t xml:space="preserve"> function or IVIg dose required</w:t>
      </w:r>
      <w:r w:rsidR="00C1254A"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  <w:vertAlign w:val="superscript"/>
        </w:rPr>
        <w:t>41</w:t>
      </w:r>
      <w:r w:rsidR="00C1254A" w:rsidRPr="00413F49">
        <w:rPr>
          <w:rFonts w:asciiTheme="majorHAnsi" w:hAnsiTheme="majorHAnsi"/>
        </w:rPr>
        <w:t xml:space="preserve"> In two further cases, one patient reduce</w:t>
      </w:r>
      <w:r w:rsidR="006D041E" w:rsidRPr="00413F49">
        <w:rPr>
          <w:rFonts w:asciiTheme="majorHAnsi" w:hAnsiTheme="majorHAnsi"/>
        </w:rPr>
        <w:t>d and one increased</w:t>
      </w:r>
      <w:r w:rsidR="00C1254A" w:rsidRPr="00413F49">
        <w:rPr>
          <w:rFonts w:asciiTheme="majorHAnsi" w:hAnsiTheme="majorHAnsi"/>
        </w:rPr>
        <w:t xml:space="preserve"> </w:t>
      </w:r>
      <w:r w:rsidR="006D041E" w:rsidRPr="00413F49">
        <w:rPr>
          <w:rFonts w:asciiTheme="majorHAnsi" w:hAnsiTheme="majorHAnsi"/>
        </w:rPr>
        <w:t xml:space="preserve">their </w:t>
      </w:r>
      <w:r w:rsidR="00C1254A" w:rsidRPr="00413F49">
        <w:rPr>
          <w:rFonts w:asciiTheme="majorHAnsi" w:hAnsiTheme="majorHAnsi"/>
        </w:rPr>
        <w:t xml:space="preserve">IVIg </w:t>
      </w:r>
      <w:r w:rsidR="006D041E" w:rsidRPr="00413F49">
        <w:rPr>
          <w:rFonts w:asciiTheme="majorHAnsi" w:hAnsiTheme="majorHAnsi"/>
        </w:rPr>
        <w:t>requirement</w:t>
      </w:r>
      <w:r w:rsidR="00C1254A"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  <w:vertAlign w:val="superscript"/>
        </w:rPr>
        <w:t>42</w:t>
      </w:r>
    </w:p>
    <w:p w:rsidR="00883A18" w:rsidRPr="00413F49" w:rsidRDefault="00883A18" w:rsidP="00CB2C68">
      <w:pPr>
        <w:rPr>
          <w:rFonts w:asciiTheme="majorHAnsi" w:hAnsiTheme="majorHAnsi"/>
        </w:rPr>
      </w:pPr>
    </w:p>
    <w:p w:rsidR="00ED1CB2" w:rsidRPr="00413F49" w:rsidRDefault="00883A18" w:rsidP="00C1254A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NSVN is a peripheral nerve vasculitis in the absence of clinical or laboratory ev</w:t>
      </w:r>
      <w:r w:rsidR="00355EDA" w:rsidRPr="00413F49">
        <w:rPr>
          <w:rFonts w:asciiTheme="majorHAnsi" w:hAnsiTheme="majorHAnsi"/>
        </w:rPr>
        <w:t xml:space="preserve">idence of systemic vasculitis. </w:t>
      </w:r>
      <w:r w:rsidRPr="00413F49">
        <w:rPr>
          <w:rFonts w:asciiTheme="majorHAnsi" w:hAnsiTheme="majorHAnsi"/>
        </w:rPr>
        <w:t>The Peripheral Nerve Society Guideline (2010) lists rituximab as an unproven treatment option, favouring high-dose corticosteroids and escalation to cyclophosphamide if needed.</w:t>
      </w:r>
      <w:r w:rsidR="009F7D8A" w:rsidRPr="00413F49">
        <w:rPr>
          <w:rFonts w:asciiTheme="majorHAnsi" w:hAnsiTheme="majorHAnsi"/>
          <w:vertAlign w:val="superscript"/>
        </w:rPr>
        <w:t>43</w:t>
      </w:r>
      <w:r w:rsidR="00ED1CB2" w:rsidRPr="00413F49">
        <w:rPr>
          <w:rFonts w:asciiTheme="majorHAnsi" w:hAnsiTheme="majorHAnsi"/>
          <w:vertAlign w:val="superscript"/>
        </w:rPr>
        <w:t xml:space="preserve"> </w:t>
      </w:r>
      <w:r w:rsidR="00ED1CB2" w:rsidRPr="00413F49">
        <w:rPr>
          <w:rFonts w:asciiTheme="majorHAnsi" w:hAnsiTheme="majorHAnsi"/>
        </w:rPr>
        <w:t>Rituximab could possibly be considered on an individual funding basis in refractory NSVN patients, on the basis of its efficacy in AAV.</w:t>
      </w:r>
      <w:r w:rsidR="00ED1CB2" w:rsidRPr="00413F49">
        <w:rPr>
          <w:rFonts w:asciiTheme="majorHAnsi" w:hAnsiTheme="majorHAnsi"/>
          <w:vertAlign w:val="superscript"/>
        </w:rPr>
        <w:t>44</w:t>
      </w:r>
    </w:p>
    <w:p w:rsidR="00ED1CB2" w:rsidRPr="00413F49" w:rsidRDefault="00ED1CB2" w:rsidP="00C1254A">
      <w:pPr>
        <w:jc w:val="both"/>
        <w:rPr>
          <w:rFonts w:asciiTheme="majorHAnsi" w:hAnsiTheme="majorHAnsi"/>
        </w:rPr>
      </w:pPr>
    </w:p>
    <w:p w:rsidR="00883A18" w:rsidRPr="00413F49" w:rsidRDefault="009F7D8A" w:rsidP="00C1254A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T</w:t>
      </w:r>
      <w:r w:rsidR="00F44F88" w:rsidRPr="00413F49">
        <w:rPr>
          <w:rFonts w:asciiTheme="majorHAnsi" w:hAnsiTheme="majorHAnsi"/>
        </w:rPr>
        <w:t xml:space="preserve">wo placebo-controlled trials of rituximab </w:t>
      </w:r>
      <w:r w:rsidR="008E748B" w:rsidRPr="00413F49">
        <w:rPr>
          <w:rFonts w:asciiTheme="majorHAnsi" w:hAnsiTheme="majorHAnsi"/>
        </w:rPr>
        <w:t>for</w:t>
      </w:r>
      <w:r w:rsidR="00F44F88" w:rsidRPr="00413F49">
        <w:rPr>
          <w:rFonts w:asciiTheme="majorHAnsi" w:hAnsiTheme="majorHAnsi"/>
        </w:rPr>
        <w:t xml:space="preserve"> anti-MAG neuropathy showed marginal benefits. In the first study, 4/13</w:t>
      </w:r>
      <w:r w:rsidRPr="00413F49">
        <w:rPr>
          <w:rFonts w:asciiTheme="majorHAnsi" w:hAnsiTheme="majorHAnsi"/>
        </w:rPr>
        <w:t xml:space="preserve"> (31%)</w:t>
      </w:r>
      <w:r w:rsidR="00F44F88" w:rsidRPr="00413F49">
        <w:rPr>
          <w:rFonts w:asciiTheme="majorHAnsi" w:hAnsiTheme="majorHAnsi"/>
        </w:rPr>
        <w:t xml:space="preserve"> rituximab-treated patients improved by one or more Inflammatory Neuropathy Course and Treatment (INCAT) score compared with 0/13 placebo-treated patients</w:t>
      </w:r>
      <w:r w:rsidR="00ED1CB2" w:rsidRPr="00413F49">
        <w:rPr>
          <w:rFonts w:asciiTheme="majorHAnsi" w:hAnsiTheme="majorHAnsi"/>
        </w:rPr>
        <w:t xml:space="preserve"> </w:t>
      </w:r>
      <w:r w:rsidR="006D0AD9" w:rsidRPr="00413F49">
        <w:rPr>
          <w:rFonts w:asciiTheme="majorHAnsi" w:hAnsiTheme="majorHAnsi"/>
        </w:rPr>
        <w:t>(p=0.036</w:t>
      </w:r>
      <w:r w:rsidR="00ED1CB2" w:rsidRPr="00413F49">
        <w:rPr>
          <w:rFonts w:asciiTheme="majorHAnsi" w:hAnsiTheme="majorHAnsi"/>
        </w:rPr>
        <w:t>)</w:t>
      </w:r>
      <w:r w:rsidR="00F44F88" w:rsidRPr="00413F49">
        <w:rPr>
          <w:rFonts w:asciiTheme="majorHAnsi" w:hAnsiTheme="majorHAnsi"/>
        </w:rPr>
        <w:t>.</w:t>
      </w:r>
      <w:r w:rsidR="00355EDA" w:rsidRPr="00413F49">
        <w:rPr>
          <w:rFonts w:asciiTheme="majorHAnsi" w:hAnsiTheme="majorHAnsi"/>
          <w:vertAlign w:val="superscript"/>
        </w:rPr>
        <w:t>4</w:t>
      </w:r>
      <w:r w:rsidR="00ED1CB2" w:rsidRPr="00413F49">
        <w:rPr>
          <w:rFonts w:asciiTheme="majorHAnsi" w:hAnsiTheme="majorHAnsi"/>
          <w:vertAlign w:val="superscript"/>
        </w:rPr>
        <w:t>5</w:t>
      </w:r>
      <w:r w:rsidR="00355EDA" w:rsidRPr="00413F49">
        <w:rPr>
          <w:rFonts w:asciiTheme="majorHAnsi" w:hAnsiTheme="majorHAnsi"/>
        </w:rPr>
        <w:t xml:space="preserve"> </w:t>
      </w:r>
      <w:r w:rsidR="00F44F88" w:rsidRPr="00413F49">
        <w:rPr>
          <w:rFonts w:asciiTheme="majorHAnsi" w:hAnsiTheme="majorHAnsi"/>
        </w:rPr>
        <w:t>In the second study (n=54), there was no significant difference in the absolute INCAT sensory score between the groups (negative primary outcome), but the number of patients with improvement in INCAT disability score was higher</w:t>
      </w:r>
      <w:r w:rsidR="00355EDA" w:rsidRPr="00413F49">
        <w:rPr>
          <w:rFonts w:asciiTheme="majorHAnsi" w:hAnsiTheme="majorHAnsi"/>
        </w:rPr>
        <w:t xml:space="preserve"> in the rituximab-treated group</w:t>
      </w:r>
      <w:r w:rsidR="008E748B" w:rsidRPr="00413F49">
        <w:rPr>
          <w:rFonts w:asciiTheme="majorHAnsi" w:hAnsiTheme="majorHAnsi"/>
        </w:rPr>
        <w:t xml:space="preserve"> (p</w:t>
      </w:r>
      <w:r w:rsidR="006D0AD9" w:rsidRPr="00413F49">
        <w:rPr>
          <w:rFonts w:asciiTheme="majorHAnsi" w:hAnsiTheme="majorHAnsi"/>
        </w:rPr>
        <w:t>=0.027</w:t>
      </w:r>
      <w:r w:rsidR="008E748B" w:rsidRPr="00413F49">
        <w:rPr>
          <w:rFonts w:asciiTheme="majorHAnsi" w:hAnsiTheme="majorHAnsi"/>
        </w:rPr>
        <w:t>)</w:t>
      </w:r>
      <w:r w:rsidR="00355EDA" w:rsidRPr="00413F49">
        <w:rPr>
          <w:rFonts w:asciiTheme="majorHAnsi" w:hAnsiTheme="majorHAnsi"/>
        </w:rPr>
        <w:t>.</w:t>
      </w:r>
      <w:r w:rsidR="00355EDA" w:rsidRPr="00413F49">
        <w:rPr>
          <w:rFonts w:asciiTheme="majorHAnsi" w:hAnsiTheme="majorHAnsi"/>
          <w:vertAlign w:val="superscript"/>
        </w:rPr>
        <w:t>4</w:t>
      </w:r>
      <w:r w:rsidR="00ED1CB2" w:rsidRPr="00413F49">
        <w:rPr>
          <w:rFonts w:asciiTheme="majorHAnsi" w:hAnsiTheme="majorHAnsi"/>
          <w:vertAlign w:val="superscript"/>
        </w:rPr>
        <w:t>6</w:t>
      </w:r>
      <w:r w:rsidR="00355EDA" w:rsidRPr="00413F49">
        <w:rPr>
          <w:rFonts w:asciiTheme="majorHAnsi" w:hAnsiTheme="majorHAnsi"/>
        </w:rPr>
        <w:t xml:space="preserve"> </w:t>
      </w:r>
      <w:r w:rsidR="00F44F88" w:rsidRPr="00413F49">
        <w:rPr>
          <w:rFonts w:asciiTheme="majorHAnsi" w:hAnsiTheme="majorHAnsi"/>
        </w:rPr>
        <w:t xml:space="preserve">Several prospective observational studies report improvements in roughly </w:t>
      </w:r>
      <w:r w:rsidR="00883A18" w:rsidRPr="00413F49">
        <w:rPr>
          <w:rFonts w:asciiTheme="majorHAnsi" w:hAnsiTheme="majorHAnsi"/>
        </w:rPr>
        <w:t>half to two thirds of patients.</w:t>
      </w:r>
      <w:r w:rsidR="00355EDA" w:rsidRPr="00413F49">
        <w:rPr>
          <w:rFonts w:asciiTheme="majorHAnsi" w:hAnsiTheme="majorHAnsi"/>
          <w:vertAlign w:val="superscript"/>
        </w:rPr>
        <w:t>4</w:t>
      </w:r>
      <w:r w:rsidR="00ED1CB2" w:rsidRPr="00413F49">
        <w:rPr>
          <w:rFonts w:asciiTheme="majorHAnsi" w:hAnsiTheme="majorHAnsi"/>
          <w:vertAlign w:val="superscript"/>
        </w:rPr>
        <w:t>7</w:t>
      </w:r>
      <w:r w:rsidR="00355EDA" w:rsidRPr="00413F49">
        <w:rPr>
          <w:rFonts w:asciiTheme="majorHAnsi" w:hAnsiTheme="majorHAnsi"/>
          <w:vertAlign w:val="superscript"/>
        </w:rPr>
        <w:t>-5</w:t>
      </w:r>
      <w:r w:rsidR="00ED1CB2" w:rsidRPr="00413F49">
        <w:rPr>
          <w:rFonts w:asciiTheme="majorHAnsi" w:hAnsiTheme="majorHAnsi"/>
          <w:vertAlign w:val="superscript"/>
        </w:rPr>
        <w:t>0</w:t>
      </w:r>
    </w:p>
    <w:p w:rsidR="00C1254A" w:rsidRPr="00413F49" w:rsidRDefault="00C1254A" w:rsidP="00C1254A">
      <w:pPr>
        <w:jc w:val="both"/>
        <w:rPr>
          <w:rFonts w:asciiTheme="majorHAnsi" w:hAnsiTheme="majorHAnsi"/>
        </w:rPr>
      </w:pPr>
    </w:p>
    <w:p w:rsidR="009B402F" w:rsidRPr="00413F49" w:rsidRDefault="009B402F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Myasthenia gravis (MG)</w:t>
      </w:r>
    </w:p>
    <w:p w:rsidR="002A2D23" w:rsidRPr="00413F49" w:rsidRDefault="009B402F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 xml:space="preserve"> </w:t>
      </w:r>
    </w:p>
    <w:p w:rsidR="006D0AD9" w:rsidRPr="00413F49" w:rsidRDefault="00327A3F" w:rsidP="002526B3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International Consensus Guidelines (2016) advise that “rituximab should be considered as an early therapeutic option in patients with MuSK-MG who have an unsatisfactory response to initial immunotherapy”.</w:t>
      </w:r>
      <w:r w:rsidRPr="00413F49">
        <w:rPr>
          <w:rFonts w:asciiTheme="majorHAnsi" w:hAnsiTheme="majorHAnsi"/>
          <w:vertAlign w:val="superscript"/>
        </w:rPr>
        <w:t>5</w:t>
      </w:r>
      <w:r w:rsidR="008E748B" w:rsidRPr="00413F49">
        <w:rPr>
          <w:rFonts w:asciiTheme="majorHAnsi" w:hAnsiTheme="majorHAnsi"/>
          <w:vertAlign w:val="superscript"/>
        </w:rPr>
        <w:t>1</w:t>
      </w:r>
      <w:r w:rsidRPr="00413F49">
        <w:rPr>
          <w:rFonts w:asciiTheme="majorHAnsi" w:hAnsiTheme="majorHAnsi"/>
        </w:rPr>
        <w:t xml:space="preserve"> A formal consensus could not be reached for AChR</w:t>
      </w:r>
      <w:r w:rsidR="008E748B" w:rsidRPr="00413F49">
        <w:rPr>
          <w:rFonts w:asciiTheme="majorHAnsi" w:hAnsiTheme="majorHAnsi"/>
        </w:rPr>
        <w:t>-</w:t>
      </w:r>
      <w:r w:rsidRPr="00413F49">
        <w:rPr>
          <w:rFonts w:asciiTheme="majorHAnsi" w:hAnsiTheme="majorHAnsi"/>
        </w:rPr>
        <w:t>MG</w:t>
      </w:r>
      <w:r w:rsidR="008E748B" w:rsidRPr="00413F49">
        <w:rPr>
          <w:rFonts w:asciiTheme="majorHAnsi" w:hAnsiTheme="majorHAnsi"/>
        </w:rPr>
        <w:t>.</w:t>
      </w:r>
      <w:r w:rsidR="006D0AD9" w:rsidRPr="00413F49">
        <w:rPr>
          <w:rFonts w:asciiTheme="majorHAnsi" w:hAnsiTheme="majorHAnsi"/>
        </w:rPr>
        <w:t xml:space="preserve"> </w:t>
      </w:r>
      <w:r w:rsidR="0034475B" w:rsidRPr="00413F49">
        <w:rPr>
          <w:rFonts w:asciiTheme="majorHAnsi" w:hAnsiTheme="majorHAnsi"/>
        </w:rPr>
        <w:t>S</w:t>
      </w:r>
      <w:r w:rsidR="002A2D23" w:rsidRPr="00413F49">
        <w:rPr>
          <w:rFonts w:asciiTheme="majorHAnsi" w:hAnsiTheme="majorHAnsi"/>
        </w:rPr>
        <w:t>everal</w:t>
      </w:r>
      <w:r w:rsidR="00F22093" w:rsidRPr="00413F49">
        <w:rPr>
          <w:rFonts w:asciiTheme="majorHAnsi" w:hAnsiTheme="majorHAnsi"/>
        </w:rPr>
        <w:t>, predominantly retrospective,</w:t>
      </w:r>
      <w:r w:rsidR="002A2D23" w:rsidRPr="00413F49">
        <w:rPr>
          <w:rFonts w:asciiTheme="majorHAnsi" w:hAnsiTheme="majorHAnsi"/>
        </w:rPr>
        <w:t xml:space="preserve"> observational studies and two </w:t>
      </w:r>
      <w:r w:rsidR="00D17146" w:rsidRPr="00413F49">
        <w:rPr>
          <w:rFonts w:asciiTheme="majorHAnsi" w:hAnsiTheme="majorHAnsi"/>
        </w:rPr>
        <w:t xml:space="preserve">systematic reviews </w:t>
      </w:r>
      <w:r w:rsidR="008E748B" w:rsidRPr="00413F49">
        <w:rPr>
          <w:rFonts w:asciiTheme="majorHAnsi" w:hAnsiTheme="majorHAnsi"/>
        </w:rPr>
        <w:t>have investigated</w:t>
      </w:r>
      <w:r w:rsidR="002A2D23" w:rsidRPr="00413F49">
        <w:rPr>
          <w:rFonts w:asciiTheme="majorHAnsi" w:hAnsiTheme="majorHAnsi"/>
        </w:rPr>
        <w:t xml:space="preserve"> rituximab</w:t>
      </w:r>
      <w:r w:rsidR="006D0AD9" w:rsidRPr="00413F49">
        <w:rPr>
          <w:rFonts w:asciiTheme="majorHAnsi" w:hAnsiTheme="majorHAnsi"/>
        </w:rPr>
        <w:t xml:space="preserve"> as an acute therapy (usually a </w:t>
      </w:r>
      <w:r w:rsidR="00F22093" w:rsidRPr="00413F49">
        <w:rPr>
          <w:rFonts w:asciiTheme="majorHAnsi" w:hAnsiTheme="majorHAnsi"/>
        </w:rPr>
        <w:t>single course</w:t>
      </w:r>
      <w:r w:rsidR="006D0AD9" w:rsidRPr="00413F49">
        <w:rPr>
          <w:rFonts w:asciiTheme="majorHAnsi" w:hAnsiTheme="majorHAnsi"/>
        </w:rPr>
        <w:t xml:space="preserve"> with</w:t>
      </w:r>
      <w:r w:rsidR="00F22093" w:rsidRPr="00413F49">
        <w:rPr>
          <w:rFonts w:asciiTheme="majorHAnsi" w:hAnsiTheme="majorHAnsi"/>
        </w:rPr>
        <w:t xml:space="preserve"> variable dosing)</w:t>
      </w:r>
      <w:r w:rsidR="002A2D23" w:rsidRPr="00413F49">
        <w:rPr>
          <w:rFonts w:asciiTheme="majorHAnsi" w:hAnsiTheme="majorHAnsi"/>
        </w:rPr>
        <w:t xml:space="preserve"> </w:t>
      </w:r>
      <w:r w:rsidR="00891BBD" w:rsidRPr="00413F49">
        <w:rPr>
          <w:rFonts w:asciiTheme="majorHAnsi" w:hAnsiTheme="majorHAnsi"/>
        </w:rPr>
        <w:t>for</w:t>
      </w:r>
      <w:r w:rsidR="002A2D23" w:rsidRPr="00413F49">
        <w:rPr>
          <w:rFonts w:asciiTheme="majorHAnsi" w:hAnsiTheme="majorHAnsi"/>
        </w:rPr>
        <w:t xml:space="preserve"> refractory</w:t>
      </w:r>
      <w:r w:rsidR="0034475B" w:rsidRPr="00413F49">
        <w:rPr>
          <w:rFonts w:asciiTheme="majorHAnsi" w:hAnsiTheme="majorHAnsi"/>
        </w:rPr>
        <w:t xml:space="preserve"> MG</w:t>
      </w:r>
      <w:r w:rsidR="005C39ED" w:rsidRPr="00413F49">
        <w:rPr>
          <w:rFonts w:asciiTheme="majorHAnsi" w:hAnsiTheme="majorHAnsi"/>
        </w:rPr>
        <w:t xml:space="preserve"> (</w:t>
      </w:r>
      <w:r w:rsidR="00D17146" w:rsidRPr="00413F49">
        <w:rPr>
          <w:rFonts w:asciiTheme="majorHAnsi" w:hAnsiTheme="majorHAnsi"/>
        </w:rPr>
        <w:t>persistent weakness or need for high dose corticosteroids despite conventional immunosuppression</w:t>
      </w:r>
      <w:r w:rsidR="005C39ED" w:rsidRPr="00413F49">
        <w:rPr>
          <w:rFonts w:asciiTheme="majorHAnsi" w:hAnsiTheme="majorHAnsi"/>
        </w:rPr>
        <w:t>)</w:t>
      </w:r>
      <w:r w:rsidR="00D17146" w:rsidRPr="00413F49">
        <w:rPr>
          <w:rFonts w:asciiTheme="majorHAnsi" w:hAnsiTheme="majorHAnsi"/>
        </w:rPr>
        <w:t>.</w:t>
      </w:r>
      <w:r w:rsidR="00984634" w:rsidRPr="00413F49">
        <w:rPr>
          <w:rFonts w:asciiTheme="majorHAnsi" w:hAnsiTheme="majorHAnsi"/>
        </w:rPr>
        <w:t xml:space="preserve"> </w:t>
      </w:r>
    </w:p>
    <w:p w:rsidR="006D0AD9" w:rsidRPr="00413F49" w:rsidRDefault="006D0AD9" w:rsidP="002526B3">
      <w:pPr>
        <w:jc w:val="both"/>
        <w:rPr>
          <w:rFonts w:asciiTheme="majorHAnsi" w:hAnsiTheme="majorHAnsi"/>
        </w:rPr>
      </w:pPr>
    </w:p>
    <w:p w:rsidR="006D0AD9" w:rsidRPr="00413F49" w:rsidRDefault="00984634" w:rsidP="002526B3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Despite many </w:t>
      </w:r>
      <w:r w:rsidR="006D0AD9" w:rsidRPr="00413F49">
        <w:rPr>
          <w:rFonts w:asciiTheme="majorHAnsi" w:hAnsiTheme="majorHAnsi"/>
        </w:rPr>
        <w:t>case</w:t>
      </w:r>
      <w:r w:rsidRPr="00413F49">
        <w:rPr>
          <w:rFonts w:asciiTheme="majorHAnsi" w:hAnsiTheme="majorHAnsi"/>
        </w:rPr>
        <w:t xml:space="preserve"> series being shared between the systematic reviews, the reported r</w:t>
      </w:r>
      <w:r w:rsidR="00F22093" w:rsidRPr="00413F49">
        <w:rPr>
          <w:rFonts w:asciiTheme="majorHAnsi" w:hAnsiTheme="majorHAnsi"/>
        </w:rPr>
        <w:t>esponse rate</w:t>
      </w:r>
      <w:r w:rsidRPr="00413F49">
        <w:rPr>
          <w:rFonts w:asciiTheme="majorHAnsi" w:hAnsiTheme="majorHAnsi"/>
        </w:rPr>
        <w:t>s in AChR-MG are discordant, with 30-80% of patients achieving a Myasthenia Gravis Foundation of America post-intervention status (MGFA-PIS) of ‘minimal manifestations or better’</w:t>
      </w:r>
      <w:r w:rsidR="006D0AD9" w:rsidRPr="00413F49">
        <w:rPr>
          <w:rFonts w:asciiTheme="majorHAnsi" w:hAnsiTheme="majorHAnsi"/>
        </w:rPr>
        <w:t xml:space="preserve"> following rituximab.</w:t>
      </w:r>
      <w:r w:rsidR="006D0AD9" w:rsidRPr="00413F49">
        <w:rPr>
          <w:rFonts w:asciiTheme="majorHAnsi" w:hAnsiTheme="majorHAnsi"/>
          <w:vertAlign w:val="superscript"/>
        </w:rPr>
        <w:t xml:space="preserve"> 52 53</w:t>
      </w:r>
      <w:r w:rsidR="006D0AD9" w:rsidRPr="00413F49">
        <w:rPr>
          <w:rFonts w:asciiTheme="majorHAnsi" w:hAnsiTheme="majorHAnsi"/>
        </w:rPr>
        <w:t xml:space="preserve"> This may be explained by variability in patient selection, inclusion of many ‘burnt out’, unresponsive cases and inclusion of cases where MGFA-PIS was not used as an outcome measure in the original report. Response did not correlate well with AChR antibody titres.</w:t>
      </w:r>
      <w:r w:rsidR="006D0AD9" w:rsidRPr="00413F49">
        <w:rPr>
          <w:rFonts w:asciiTheme="majorHAnsi" w:hAnsiTheme="majorHAnsi"/>
          <w:vertAlign w:val="superscript"/>
        </w:rPr>
        <w:t>53</w:t>
      </w:r>
      <w:r w:rsidR="006D0AD9" w:rsidRPr="00413F49">
        <w:rPr>
          <w:rFonts w:asciiTheme="majorHAnsi" w:hAnsiTheme="majorHAnsi"/>
        </w:rPr>
        <w:t xml:space="preserve"> Two ongoing RCTs may help to better define rituximab’s role in AChR-MG in the near future.  </w:t>
      </w:r>
    </w:p>
    <w:p w:rsidR="00D17146" w:rsidRPr="00413F49" w:rsidRDefault="00D17146" w:rsidP="00D17146">
      <w:pPr>
        <w:jc w:val="both"/>
        <w:rPr>
          <w:rFonts w:asciiTheme="majorHAnsi" w:hAnsiTheme="majorHAnsi"/>
        </w:rPr>
      </w:pPr>
    </w:p>
    <w:p w:rsidR="005C39ED" w:rsidRPr="00413F49" w:rsidRDefault="006D0AD9" w:rsidP="00D17146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In</w:t>
      </w:r>
      <w:r w:rsidR="00D17146" w:rsidRPr="00413F49">
        <w:rPr>
          <w:rFonts w:asciiTheme="majorHAnsi" w:hAnsiTheme="majorHAnsi"/>
        </w:rPr>
        <w:t xml:space="preserve"> comparison, response rates in MuSK</w:t>
      </w:r>
      <w:r w:rsidR="002526B3" w:rsidRPr="00413F49">
        <w:rPr>
          <w:rFonts w:asciiTheme="majorHAnsi" w:hAnsiTheme="majorHAnsi"/>
        </w:rPr>
        <w:t>-</w:t>
      </w:r>
      <w:r w:rsidR="00D17146" w:rsidRPr="00413F49">
        <w:rPr>
          <w:rFonts w:asciiTheme="majorHAnsi" w:hAnsiTheme="majorHAnsi"/>
        </w:rPr>
        <w:t>MG were high (</w:t>
      </w:r>
      <w:r w:rsidRPr="00413F49">
        <w:rPr>
          <w:rFonts w:asciiTheme="majorHAnsi" w:hAnsiTheme="majorHAnsi"/>
        </w:rPr>
        <w:t>72-</w:t>
      </w:r>
      <w:r w:rsidR="00D17146" w:rsidRPr="00413F49">
        <w:rPr>
          <w:rFonts w:asciiTheme="majorHAnsi" w:hAnsiTheme="majorHAnsi"/>
        </w:rPr>
        <w:t xml:space="preserve">89%) in both </w:t>
      </w:r>
      <w:r w:rsidR="00355EDA" w:rsidRPr="00413F49">
        <w:rPr>
          <w:rFonts w:asciiTheme="majorHAnsi" w:hAnsiTheme="majorHAnsi"/>
        </w:rPr>
        <w:t>reviews</w:t>
      </w:r>
      <w:r w:rsidR="005C39ED" w:rsidRPr="00413F49">
        <w:rPr>
          <w:rFonts w:asciiTheme="majorHAnsi" w:hAnsiTheme="majorHAnsi"/>
        </w:rPr>
        <w:t>.</w:t>
      </w:r>
      <w:r w:rsidR="00891BBD" w:rsidRPr="00413F49">
        <w:rPr>
          <w:rFonts w:asciiTheme="majorHAnsi" w:hAnsiTheme="majorHAnsi"/>
          <w:vertAlign w:val="superscript"/>
        </w:rPr>
        <w:t>52</w:t>
      </w:r>
      <w:r w:rsidR="00355EDA" w:rsidRPr="00413F49">
        <w:rPr>
          <w:rFonts w:asciiTheme="majorHAnsi" w:hAnsiTheme="majorHAnsi"/>
          <w:vertAlign w:val="superscript"/>
        </w:rPr>
        <w:t xml:space="preserve"> </w:t>
      </w:r>
      <w:r w:rsidR="00891BBD" w:rsidRPr="00413F49">
        <w:rPr>
          <w:rFonts w:asciiTheme="majorHAnsi" w:hAnsiTheme="majorHAnsi"/>
          <w:vertAlign w:val="superscript"/>
        </w:rPr>
        <w:t>53</w:t>
      </w:r>
      <w:r w:rsidR="005C39ED" w:rsidRPr="00413F49">
        <w:rPr>
          <w:rFonts w:asciiTheme="majorHAnsi" w:hAnsiTheme="majorHAnsi"/>
        </w:rPr>
        <w:t xml:space="preserve"> A further</w:t>
      </w:r>
      <w:r w:rsidR="00D17146" w:rsidRPr="00413F49">
        <w:rPr>
          <w:rFonts w:asciiTheme="majorHAnsi" w:hAnsiTheme="majorHAnsi"/>
        </w:rPr>
        <w:t xml:space="preserve"> blinded prospective </w:t>
      </w:r>
      <w:r w:rsidR="005C39ED" w:rsidRPr="00413F49">
        <w:rPr>
          <w:rFonts w:asciiTheme="majorHAnsi" w:hAnsiTheme="majorHAnsi"/>
        </w:rPr>
        <w:t xml:space="preserve">review </w:t>
      </w:r>
      <w:r w:rsidR="00D17146" w:rsidRPr="00413F49">
        <w:rPr>
          <w:rFonts w:asciiTheme="majorHAnsi" w:hAnsiTheme="majorHAnsi"/>
        </w:rPr>
        <w:t>found 67% of rituximab-treated patients obtained MGFA-PIS of ‘minimal manifestations or better’ versus 26% of controls</w:t>
      </w:r>
      <w:r w:rsidR="00355EDA" w:rsidRPr="00413F49">
        <w:rPr>
          <w:rFonts w:asciiTheme="majorHAnsi" w:hAnsiTheme="majorHAnsi"/>
        </w:rPr>
        <w:t>.</w:t>
      </w:r>
      <w:r w:rsidR="00891BBD" w:rsidRPr="00413F49">
        <w:rPr>
          <w:rFonts w:asciiTheme="majorHAnsi" w:hAnsiTheme="majorHAnsi"/>
          <w:vertAlign w:val="superscript"/>
        </w:rPr>
        <w:t>54</w:t>
      </w:r>
      <w:r w:rsidR="00355EDA" w:rsidRPr="00413F49">
        <w:rPr>
          <w:rFonts w:asciiTheme="majorHAnsi" w:hAnsiTheme="majorHAnsi"/>
        </w:rPr>
        <w:t xml:space="preserve"> </w:t>
      </w:r>
      <w:r w:rsidR="00D17146" w:rsidRPr="00413F49">
        <w:rPr>
          <w:rFonts w:asciiTheme="majorHAnsi" w:hAnsiTheme="majorHAnsi"/>
        </w:rPr>
        <w:t>The benefit of rituximab in MuSK</w:t>
      </w:r>
      <w:r w:rsidR="002526B3" w:rsidRPr="00413F49">
        <w:rPr>
          <w:rFonts w:asciiTheme="majorHAnsi" w:hAnsiTheme="majorHAnsi"/>
        </w:rPr>
        <w:t>-</w:t>
      </w:r>
      <w:r w:rsidR="00D17146" w:rsidRPr="00413F49">
        <w:rPr>
          <w:rFonts w:asciiTheme="majorHAnsi" w:hAnsiTheme="majorHAnsi"/>
        </w:rPr>
        <w:t>MG appears to be more prolonged and correlates better wi</w:t>
      </w:r>
      <w:r w:rsidR="00355EDA" w:rsidRPr="00413F49">
        <w:rPr>
          <w:rFonts w:asciiTheme="majorHAnsi" w:hAnsiTheme="majorHAnsi"/>
        </w:rPr>
        <w:t>th antibody titres</w:t>
      </w:r>
      <w:r w:rsidR="00D17146" w:rsidRPr="00413F49">
        <w:rPr>
          <w:rFonts w:asciiTheme="majorHAnsi" w:hAnsiTheme="majorHAnsi"/>
        </w:rPr>
        <w:t>.</w:t>
      </w:r>
      <w:r w:rsidR="00A45BD8" w:rsidRPr="00413F49">
        <w:rPr>
          <w:rFonts w:asciiTheme="majorHAnsi" w:hAnsiTheme="majorHAnsi"/>
          <w:vertAlign w:val="superscript"/>
        </w:rPr>
        <w:t>53</w:t>
      </w:r>
      <w:r w:rsidR="00355EDA" w:rsidRPr="00413F49">
        <w:rPr>
          <w:rFonts w:asciiTheme="majorHAnsi" w:hAnsiTheme="majorHAnsi"/>
          <w:vertAlign w:val="superscript"/>
        </w:rPr>
        <w:t xml:space="preserve"> </w:t>
      </w:r>
      <w:r w:rsidR="00A45BD8" w:rsidRPr="00413F49">
        <w:rPr>
          <w:rFonts w:asciiTheme="majorHAnsi" w:hAnsiTheme="majorHAnsi"/>
          <w:vertAlign w:val="superscript"/>
        </w:rPr>
        <w:t>55</w:t>
      </w:r>
      <w:r w:rsidR="00355EDA" w:rsidRPr="00413F49">
        <w:rPr>
          <w:rFonts w:asciiTheme="majorHAnsi" w:hAnsiTheme="majorHAnsi"/>
        </w:rPr>
        <w:t xml:space="preserve"> </w:t>
      </w:r>
      <w:r w:rsidR="00E635C9" w:rsidRPr="00413F49">
        <w:rPr>
          <w:rFonts w:asciiTheme="majorHAnsi" w:hAnsiTheme="majorHAnsi"/>
        </w:rPr>
        <w:t xml:space="preserve">MuSK antibodies are of the IgG4 subtype </w:t>
      </w:r>
      <w:r w:rsidR="005C39ED" w:rsidRPr="00413F49">
        <w:rPr>
          <w:rFonts w:asciiTheme="majorHAnsi" w:hAnsiTheme="majorHAnsi"/>
        </w:rPr>
        <w:t>whereas AChR antibodies are of the IgG1</w:t>
      </w:r>
      <w:r w:rsidRPr="00413F49">
        <w:rPr>
          <w:rFonts w:asciiTheme="majorHAnsi" w:hAnsiTheme="majorHAnsi"/>
        </w:rPr>
        <w:t>/3</w:t>
      </w:r>
      <w:r w:rsidR="005C39ED" w:rsidRPr="00413F49">
        <w:rPr>
          <w:rFonts w:asciiTheme="majorHAnsi" w:hAnsiTheme="majorHAnsi"/>
        </w:rPr>
        <w:t xml:space="preserve"> subtype</w:t>
      </w:r>
      <w:r w:rsidR="00355EDA" w:rsidRPr="00413F49">
        <w:rPr>
          <w:rFonts w:asciiTheme="majorHAnsi" w:hAnsiTheme="majorHAnsi"/>
        </w:rPr>
        <w:t xml:space="preserve">. </w:t>
      </w:r>
      <w:r w:rsidR="005C39ED" w:rsidRPr="00413F49">
        <w:rPr>
          <w:rFonts w:asciiTheme="majorHAnsi" w:hAnsiTheme="majorHAnsi"/>
        </w:rPr>
        <w:t>The</w:t>
      </w:r>
      <w:r w:rsidR="00E635C9" w:rsidRPr="00413F49">
        <w:rPr>
          <w:rFonts w:asciiTheme="majorHAnsi" w:hAnsiTheme="majorHAnsi"/>
        </w:rPr>
        <w:t xml:space="preserve"> </w:t>
      </w:r>
      <w:r w:rsidR="00D17146" w:rsidRPr="00413F49">
        <w:rPr>
          <w:rFonts w:asciiTheme="majorHAnsi" w:hAnsiTheme="majorHAnsi"/>
        </w:rPr>
        <w:t>superior efficacy of</w:t>
      </w:r>
      <w:r w:rsidR="00E635C9" w:rsidRPr="00413F49">
        <w:rPr>
          <w:rFonts w:asciiTheme="majorHAnsi" w:hAnsiTheme="majorHAnsi"/>
        </w:rPr>
        <w:t xml:space="preserve"> rituximab</w:t>
      </w:r>
      <w:r w:rsidR="00D17146" w:rsidRPr="00413F49">
        <w:rPr>
          <w:rFonts w:asciiTheme="majorHAnsi" w:hAnsiTheme="majorHAnsi"/>
        </w:rPr>
        <w:t xml:space="preserve"> may </w:t>
      </w:r>
      <w:r w:rsidR="005C39ED" w:rsidRPr="00413F49">
        <w:rPr>
          <w:rFonts w:asciiTheme="majorHAnsi" w:hAnsiTheme="majorHAnsi"/>
        </w:rPr>
        <w:t xml:space="preserve">therefore </w:t>
      </w:r>
      <w:r w:rsidR="00D17146" w:rsidRPr="00413F49">
        <w:rPr>
          <w:rFonts w:asciiTheme="majorHAnsi" w:hAnsiTheme="majorHAnsi"/>
        </w:rPr>
        <w:t xml:space="preserve">be explained by selective depletion of </w:t>
      </w:r>
      <w:r w:rsidR="005C39ED" w:rsidRPr="00413F49">
        <w:rPr>
          <w:rFonts w:asciiTheme="majorHAnsi" w:hAnsiTheme="majorHAnsi"/>
        </w:rPr>
        <w:t xml:space="preserve">short-lived </w:t>
      </w:r>
      <w:r w:rsidR="00D17146" w:rsidRPr="00413F49">
        <w:rPr>
          <w:rFonts w:asciiTheme="majorHAnsi" w:hAnsiTheme="majorHAnsi"/>
        </w:rPr>
        <w:t xml:space="preserve">IgG4-producing </w:t>
      </w:r>
      <w:r w:rsidR="005C39ED" w:rsidRPr="00413F49">
        <w:rPr>
          <w:rFonts w:asciiTheme="majorHAnsi" w:hAnsiTheme="majorHAnsi"/>
        </w:rPr>
        <w:t>B-</w:t>
      </w:r>
      <w:r w:rsidR="00D17146" w:rsidRPr="00413F49">
        <w:rPr>
          <w:rFonts w:asciiTheme="majorHAnsi" w:hAnsiTheme="majorHAnsi"/>
        </w:rPr>
        <w:t>cells.</w:t>
      </w:r>
      <w:r w:rsidR="00A45BD8" w:rsidRPr="00413F49">
        <w:rPr>
          <w:rFonts w:asciiTheme="majorHAnsi" w:hAnsiTheme="majorHAnsi"/>
          <w:vertAlign w:val="superscript"/>
        </w:rPr>
        <w:t>55</w:t>
      </w:r>
      <w:r w:rsidR="00D17146" w:rsidRPr="00413F49">
        <w:rPr>
          <w:rFonts w:asciiTheme="majorHAnsi" w:hAnsiTheme="majorHAnsi"/>
        </w:rPr>
        <w:t xml:space="preserve"> </w:t>
      </w:r>
    </w:p>
    <w:p w:rsidR="00944491" w:rsidRPr="00413F49" w:rsidRDefault="00944491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8112CA" w:rsidRPr="00413F49" w:rsidRDefault="008112CA" w:rsidP="00883A18">
      <w:pPr>
        <w:rPr>
          <w:rFonts w:asciiTheme="majorHAnsi" w:hAnsiTheme="majorHAnsi"/>
          <w:b/>
        </w:rPr>
      </w:pPr>
    </w:p>
    <w:p w:rsidR="000632E8" w:rsidRDefault="000632E8" w:rsidP="00883A18">
      <w:pPr>
        <w:rPr>
          <w:rFonts w:asciiTheme="majorHAnsi" w:hAnsiTheme="majorHAnsi"/>
          <w:b/>
        </w:rPr>
      </w:pPr>
    </w:p>
    <w:p w:rsidR="00512CF2" w:rsidRPr="00413F49" w:rsidRDefault="00512CF2" w:rsidP="00883A18">
      <w:pPr>
        <w:rPr>
          <w:rFonts w:asciiTheme="majorHAnsi" w:hAnsiTheme="majorHAnsi"/>
          <w:b/>
        </w:rPr>
      </w:pPr>
    </w:p>
    <w:p w:rsidR="00511841" w:rsidRDefault="00511841" w:rsidP="00883A18">
      <w:pPr>
        <w:rPr>
          <w:rFonts w:asciiTheme="majorHAnsi" w:hAnsiTheme="majorHAnsi"/>
          <w:b/>
        </w:rPr>
      </w:pPr>
    </w:p>
    <w:p w:rsidR="00425DC0" w:rsidRPr="00413F49" w:rsidRDefault="00512CF2" w:rsidP="00883A1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Table 1</w:t>
      </w:r>
      <w:r w:rsidR="00425DC0" w:rsidRPr="00413F49">
        <w:rPr>
          <w:rFonts w:asciiTheme="majorHAnsi" w:hAnsiTheme="majorHAnsi"/>
          <w:b/>
        </w:rPr>
        <w:t>: Indications for rituximab in neurology</w:t>
      </w:r>
    </w:p>
    <w:p w:rsidR="00425DC0" w:rsidRPr="00413F49" w:rsidRDefault="00425DC0" w:rsidP="00883A18">
      <w:pPr>
        <w:rPr>
          <w:rFonts w:asciiTheme="majorHAnsi" w:hAnsiTheme="maj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1418"/>
        <w:gridCol w:w="3118"/>
        <w:gridCol w:w="3402"/>
      </w:tblGrid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b/>
                <w:sz w:val="16"/>
                <w:szCs w:val="16"/>
              </w:rPr>
              <w:t>Disorder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b/>
                <w:sz w:val="16"/>
                <w:szCs w:val="16"/>
              </w:rPr>
              <w:t>Indication</w:t>
            </w:r>
          </w:p>
        </w:tc>
        <w:tc>
          <w:tcPr>
            <w:tcW w:w="3118" w:type="dxa"/>
          </w:tcPr>
          <w:p w:rsidR="0072109A" w:rsidRPr="00413F49" w:rsidRDefault="0072109A" w:rsidP="00425D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b/>
                <w:sz w:val="16"/>
                <w:szCs w:val="16"/>
              </w:rPr>
              <w:t>Summary of best evidence</w:t>
            </w:r>
          </w:p>
          <w:p w:rsidR="0072109A" w:rsidRPr="00413F49" w:rsidRDefault="0072109A" w:rsidP="00425D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72109A" w:rsidRPr="00413F49" w:rsidRDefault="0072109A" w:rsidP="0072109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b/>
                <w:sz w:val="16"/>
                <w:szCs w:val="16"/>
              </w:rPr>
              <w:t>UK usage and funding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Relapsing remitting multiple sclerosis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Maintenance therapy for relapse prevention</w:t>
            </w:r>
          </w:p>
        </w:tc>
        <w:tc>
          <w:tcPr>
            <w:tcW w:w="3118" w:type="dxa"/>
          </w:tcPr>
          <w:p w:rsidR="0072109A" w:rsidRPr="00413F49" w:rsidRDefault="0072109A" w:rsidP="00425DC0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Positive phase I and II trials and large real-world retrospective studies in Sweden suggesting good efficacy, safety and tolerability.</w:t>
            </w:r>
            <w:r w:rsidR="00DA5FAF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7-12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</w:tcPr>
          <w:p w:rsidR="0072109A" w:rsidRPr="00413F49" w:rsidRDefault="0072109A" w:rsidP="00425DC0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Rarely used in UK as there are several licensed DMTs.  No established funding pathway.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Neuromyelitis optica spectrum disorders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Maintenance therapy for relapse prevention</w:t>
            </w:r>
          </w:p>
        </w:tc>
        <w:tc>
          <w:tcPr>
            <w:tcW w:w="31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Predominantly retrospective case series (</w:t>
            </w:r>
            <w:r w:rsidR="0053240A" w:rsidRPr="00413F49">
              <w:rPr>
                <w:rFonts w:asciiTheme="majorHAnsi" w:hAnsiTheme="majorHAnsi"/>
                <w:sz w:val="16"/>
                <w:szCs w:val="16"/>
              </w:rPr>
              <w:t xml:space="preserve">of 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more than 400 patients in total)</w:t>
            </w:r>
            <w:r w:rsidR="00DA5FAF" w:rsidRPr="00413F49">
              <w:rPr>
                <w:rFonts w:asciiTheme="majorHAnsi" w:hAnsiTheme="majorHAnsi"/>
                <w:sz w:val="16"/>
                <w:szCs w:val="16"/>
              </w:rPr>
              <w:t xml:space="preserve">, which 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consistent</w:t>
            </w:r>
            <w:r w:rsidR="00DA5FAF" w:rsidRPr="00413F49">
              <w:rPr>
                <w:rFonts w:asciiTheme="majorHAnsi" w:hAnsiTheme="majorHAnsi"/>
                <w:sz w:val="16"/>
                <w:szCs w:val="16"/>
              </w:rPr>
              <w:t xml:space="preserve">ly 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show</w:t>
            </w:r>
            <w:r w:rsidR="0053240A" w:rsidRPr="00413F49">
              <w:rPr>
                <w:rFonts w:asciiTheme="majorHAnsi" w:hAnsiTheme="majorHAnsi"/>
                <w:sz w:val="16"/>
                <w:szCs w:val="16"/>
              </w:rPr>
              <w:t xml:space="preserve"> a </w:t>
            </w:r>
            <w:r w:rsidR="00DA5FAF" w:rsidRPr="00413F49">
              <w:rPr>
                <w:rFonts w:asciiTheme="majorHAnsi" w:hAnsiTheme="majorHAnsi"/>
                <w:sz w:val="16"/>
                <w:szCs w:val="16"/>
              </w:rPr>
              <w:t>marked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benefit.</w:t>
            </w:r>
            <w:r w:rsidR="00DA5FAF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13</w:t>
            </w:r>
          </w:p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</w:tcPr>
          <w:p w:rsidR="0072109A" w:rsidRPr="00413F49" w:rsidRDefault="0072109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 xml:space="preserve">Second-line therapy for patients that relapse despite adequate treatment with azathioprine or mycophenolate </w:t>
            </w:r>
            <w:proofErr w:type="spellStart"/>
            <w:r w:rsidRPr="00413F49">
              <w:rPr>
                <w:rFonts w:asciiTheme="majorHAnsi" w:hAnsiTheme="majorHAnsi"/>
                <w:sz w:val="16"/>
                <w:szCs w:val="16"/>
              </w:rPr>
              <w:t>mofetil</w:t>
            </w:r>
            <w:proofErr w:type="spellEnd"/>
            <w:r w:rsidRPr="00413F49">
              <w:rPr>
                <w:rFonts w:asciiTheme="majorHAnsi" w:hAnsiTheme="majorHAnsi"/>
                <w:sz w:val="16"/>
                <w:szCs w:val="16"/>
              </w:rPr>
              <w:t xml:space="preserve"> in combination with low dose </w:t>
            </w:r>
            <w:r w:rsidR="009F5FAE" w:rsidRPr="00413F49">
              <w:rPr>
                <w:rFonts w:asciiTheme="majorHAnsi" w:hAnsiTheme="majorHAnsi"/>
                <w:sz w:val="16"/>
                <w:szCs w:val="16"/>
              </w:rPr>
              <w:t>prednisolone.</w:t>
            </w:r>
            <w:r w:rsidR="009F5FAE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14</w:t>
            </w:r>
            <w:r w:rsidR="009F5FAE" w:rsidRPr="00413F49">
              <w:rPr>
                <w:rFonts w:asciiTheme="majorHAnsi" w:hAnsiTheme="majorHAnsi"/>
                <w:sz w:val="16"/>
                <w:szCs w:val="16"/>
              </w:rPr>
              <w:t xml:space="preserve"> Funded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30E8A" w:rsidRPr="00413F49">
              <w:rPr>
                <w:rFonts w:asciiTheme="majorHAnsi" w:hAnsiTheme="majorHAnsi"/>
                <w:sz w:val="16"/>
                <w:szCs w:val="16"/>
              </w:rPr>
              <w:t>through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the UK NMO Service</w:t>
            </w:r>
            <w:r w:rsidR="00DA5FAF" w:rsidRPr="00413F49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hyperlink r:id="rId9" w:history="1">
              <w:r w:rsidR="00DA5FAF" w:rsidRPr="00413F49">
                <w:rPr>
                  <w:rStyle w:val="Hyperlink"/>
                  <w:rFonts w:asciiTheme="majorHAnsi" w:hAnsiTheme="majorHAnsi"/>
                  <w:sz w:val="16"/>
                  <w:szCs w:val="16"/>
                </w:rPr>
                <w:t>www.nmouk.nhs.uk</w:t>
              </w:r>
            </w:hyperlink>
            <w:r w:rsidR="00DA5FAF" w:rsidRPr="00413F49">
              <w:rPr>
                <w:rFonts w:asciiTheme="majorHAnsi" w:hAnsiTheme="majorHAnsi"/>
                <w:sz w:val="16"/>
                <w:szCs w:val="16"/>
              </w:rPr>
              <w:t xml:space="preserve">). 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Autoimmune encephalitis (</w:t>
            </w:r>
            <w:r w:rsidR="00F61227" w:rsidRPr="00413F49">
              <w:rPr>
                <w:rFonts w:asciiTheme="majorHAnsi" w:hAnsiTheme="majorHAnsi"/>
                <w:sz w:val="16"/>
                <w:szCs w:val="16"/>
              </w:rPr>
              <w:t>other than anti-NMDAR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Acute therapy</w:t>
            </w:r>
          </w:p>
        </w:tc>
        <w:tc>
          <w:tcPr>
            <w:tcW w:w="3118" w:type="dxa"/>
          </w:tcPr>
          <w:p w:rsidR="0072109A" w:rsidRPr="00413F49" w:rsidRDefault="0072109A" w:rsidP="0072109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One large retrospective study and several case reports suggest a benefit but there are no comparative studies of individual immunotherapies.</w:t>
            </w:r>
            <w:r w:rsidR="001D026B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3402" w:type="dxa"/>
          </w:tcPr>
          <w:p w:rsidR="0072109A" w:rsidRPr="00413F49" w:rsidRDefault="0072109A" w:rsidP="000632E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Consider if there is inadequate response to first line therapy. Funding is via IPFR</w:t>
            </w:r>
            <w:r w:rsidR="006448F6" w:rsidRPr="00413F49">
              <w:rPr>
                <w:rFonts w:asciiTheme="majorHAnsi" w:hAnsiTheme="majorHAnsi"/>
                <w:sz w:val="16"/>
                <w:szCs w:val="16"/>
              </w:rPr>
              <w:t xml:space="preserve"> to NHSE</w:t>
            </w:r>
            <w:r w:rsidR="00F61227" w:rsidRPr="00413F49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r w:rsidR="000632E8" w:rsidRPr="00413F49">
              <w:rPr>
                <w:rFonts w:asciiTheme="majorHAnsi" w:hAnsiTheme="majorHAnsi"/>
                <w:sz w:val="16"/>
                <w:szCs w:val="16"/>
              </w:rPr>
              <w:t>through</w:t>
            </w:r>
            <w:r w:rsidR="00253C0B" w:rsidRPr="00413F49">
              <w:rPr>
                <w:rFonts w:asciiTheme="majorHAnsi" w:hAnsiTheme="majorHAnsi"/>
                <w:sz w:val="16"/>
                <w:szCs w:val="16"/>
              </w:rPr>
              <w:t xml:space="preserve"> local Trust resources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Anti-NMDAR encephalitis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Acute therapy</w:t>
            </w:r>
          </w:p>
        </w:tc>
        <w:tc>
          <w:tcPr>
            <w:tcW w:w="3118" w:type="dxa"/>
          </w:tcPr>
          <w:p w:rsidR="0072109A" w:rsidRPr="00413F49" w:rsidRDefault="0072109A" w:rsidP="0072109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Three retrospective studies suggest a benefit but there are no comparative studies of individual immunotherapies.</w:t>
            </w:r>
            <w:r w:rsidR="001D026B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15-17</w:t>
            </w:r>
          </w:p>
        </w:tc>
        <w:tc>
          <w:tcPr>
            <w:tcW w:w="3402" w:type="dxa"/>
          </w:tcPr>
          <w:p w:rsidR="0072109A" w:rsidRPr="00413F49" w:rsidRDefault="008112CA" w:rsidP="00883A1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Commissioned by NHSE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as second-line therapy if there is inadequate response to corticosteroids, plasma exchange and IVIg by four weeks from first-line treatment initiation or by six weeks from symptom onset.</w:t>
            </w:r>
            <w:r w:rsidR="001D026B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18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Primary angiitis of the CNS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 xml:space="preserve">Acute therapy </w:t>
            </w:r>
          </w:p>
        </w:tc>
        <w:tc>
          <w:tcPr>
            <w:tcW w:w="3118" w:type="dxa"/>
          </w:tcPr>
          <w:p w:rsidR="0072109A" w:rsidRPr="00413F49" w:rsidRDefault="0053240A" w:rsidP="0053240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S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>mall case series (</w:t>
            </w:r>
            <w:r w:rsidR="00C74E1F" w:rsidRPr="00413F49">
              <w:rPr>
                <w:rFonts w:asciiTheme="majorHAnsi" w:hAnsiTheme="majorHAnsi"/>
                <w:sz w:val="16"/>
                <w:szCs w:val="16"/>
              </w:rPr>
              <w:t>approximately ten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patients in total).</w:t>
            </w:r>
            <w:r w:rsidR="00E73E27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22-24</w:t>
            </w:r>
          </w:p>
        </w:tc>
        <w:tc>
          <w:tcPr>
            <w:tcW w:w="3402" w:type="dxa"/>
          </w:tcPr>
          <w:p w:rsidR="006C1520" w:rsidRPr="00413F49" w:rsidRDefault="0072109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Consider if there is inadequate response to corticosteroids and cyclophosphamide. Funding is via IPFR</w:t>
            </w:r>
            <w:r w:rsidR="00E33FE5" w:rsidRPr="00413F49">
              <w:rPr>
                <w:rFonts w:asciiTheme="majorHAnsi" w:hAnsiTheme="majorHAnsi"/>
                <w:sz w:val="16"/>
                <w:szCs w:val="16"/>
              </w:rPr>
              <w:t xml:space="preserve"> to NHSE </w:t>
            </w:r>
            <w:r w:rsidR="001948A1" w:rsidRPr="00413F49">
              <w:rPr>
                <w:rFonts w:asciiTheme="majorHAnsi" w:hAnsiTheme="majorHAnsi"/>
                <w:sz w:val="16"/>
                <w:szCs w:val="16"/>
              </w:rPr>
              <w:t>or through</w:t>
            </w:r>
            <w:r w:rsidR="00BB16EB" w:rsidRPr="00413F49">
              <w:rPr>
                <w:rFonts w:asciiTheme="majorHAnsi" w:hAnsiTheme="majorHAnsi"/>
                <w:sz w:val="16"/>
                <w:szCs w:val="16"/>
              </w:rPr>
              <w:t xml:space="preserve"> local Trust resources.</w:t>
            </w:r>
          </w:p>
        </w:tc>
      </w:tr>
      <w:tr w:rsidR="00A126E7" w:rsidRPr="00413F49">
        <w:tc>
          <w:tcPr>
            <w:tcW w:w="1384" w:type="dxa"/>
          </w:tcPr>
          <w:p w:rsidR="00A126E7" w:rsidRPr="00413F49" w:rsidRDefault="00A126E7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ANCA-associated vasculitis</w:t>
            </w:r>
          </w:p>
          <w:p w:rsidR="00A126E7" w:rsidRPr="00413F49" w:rsidRDefault="00A126E7" w:rsidP="00883A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26E7" w:rsidRPr="00413F49" w:rsidRDefault="00FC77E0" w:rsidP="008112C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Remission induction</w:t>
            </w:r>
            <w:r w:rsidR="008112CA" w:rsidRPr="00413F49">
              <w:rPr>
                <w:rFonts w:asciiTheme="majorHAnsi" w:hAnsiTheme="majorHAnsi"/>
                <w:sz w:val="16"/>
                <w:szCs w:val="16"/>
              </w:rPr>
              <w:t xml:space="preserve"> and relapsing disease</w:t>
            </w:r>
          </w:p>
        </w:tc>
        <w:tc>
          <w:tcPr>
            <w:tcW w:w="3118" w:type="dxa"/>
          </w:tcPr>
          <w:p w:rsidR="00A126E7" w:rsidRPr="00413F49" w:rsidRDefault="00E73E27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Two RCTs</w:t>
            </w:r>
            <w:r w:rsidR="008112CA" w:rsidRPr="00413F49">
              <w:rPr>
                <w:rFonts w:asciiTheme="majorHAnsi" w:hAnsiTheme="majorHAnsi"/>
                <w:sz w:val="16"/>
                <w:szCs w:val="16"/>
              </w:rPr>
              <w:t xml:space="preserve"> have demonstrated non-inferiority to cyclophosphamide for remission induction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.</w:t>
            </w:r>
            <w:r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26 27</w:t>
            </w:r>
          </w:p>
        </w:tc>
        <w:tc>
          <w:tcPr>
            <w:tcW w:w="3402" w:type="dxa"/>
          </w:tcPr>
          <w:p w:rsidR="00A126E7" w:rsidRPr="00413F49" w:rsidRDefault="00FC77E0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Licensed and recommended by NICE in combination with corticosteroids as an option for inducing remission of severe disease</w:t>
            </w:r>
            <w:r w:rsidR="00960D8E" w:rsidRPr="00413F49">
              <w:rPr>
                <w:rFonts w:asciiTheme="majorHAnsi" w:hAnsiTheme="majorHAnsi"/>
                <w:sz w:val="16"/>
                <w:szCs w:val="16"/>
              </w:rPr>
              <w:t>, when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cyclophosphamide has failed, is contra-indicated or the patient has not completed their family.</w:t>
            </w:r>
            <w:r w:rsidR="00EE7736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28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Stiff person syndrome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Treatment of refractory disease</w:t>
            </w:r>
          </w:p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Case reports suggested a possible benefit but a single small RCT was negative.</w:t>
            </w:r>
            <w:r w:rsidR="00E73E27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29-32</w:t>
            </w:r>
          </w:p>
        </w:tc>
        <w:tc>
          <w:tcPr>
            <w:tcW w:w="3402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May consider if there is inadequate response to first line therapy. Funding is via IPFR</w:t>
            </w:r>
            <w:r w:rsidR="00E73E27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112CA" w:rsidRPr="00413F49">
              <w:rPr>
                <w:rFonts w:asciiTheme="majorHAnsi" w:hAnsiTheme="majorHAnsi"/>
                <w:sz w:val="16"/>
                <w:szCs w:val="16"/>
              </w:rPr>
              <w:t>to NHSE</w:t>
            </w:r>
            <w:r w:rsidR="001948A1" w:rsidRPr="00413F49">
              <w:rPr>
                <w:rFonts w:asciiTheme="majorHAnsi" w:hAnsiTheme="majorHAnsi"/>
                <w:sz w:val="16"/>
                <w:szCs w:val="16"/>
              </w:rPr>
              <w:t xml:space="preserve"> or through local Trust resources.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Immune-mediated peripheral neuropathies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Treatment of refractory disease</w:t>
            </w:r>
          </w:p>
        </w:tc>
        <w:tc>
          <w:tcPr>
            <w:tcW w:w="3118" w:type="dxa"/>
          </w:tcPr>
          <w:p w:rsidR="0072109A" w:rsidRPr="00413F49" w:rsidRDefault="0072109A" w:rsidP="00570C8F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Mostly small retrospective series in which benefits are modest.</w:t>
            </w:r>
            <w:r w:rsidR="00D26F9A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34-50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An uncommon subset of CIDP patients with antibodies to </w:t>
            </w:r>
            <w:proofErr w:type="spellStart"/>
            <w:r w:rsidRPr="00413F49">
              <w:rPr>
                <w:rFonts w:asciiTheme="majorHAnsi" w:hAnsiTheme="majorHAnsi"/>
                <w:sz w:val="16"/>
                <w:szCs w:val="16"/>
              </w:rPr>
              <w:t>paranodal</w:t>
            </w:r>
            <w:proofErr w:type="spellEnd"/>
            <w:r w:rsidRPr="00413F49">
              <w:rPr>
                <w:rFonts w:asciiTheme="majorHAnsi" w:hAnsiTheme="majorHAnsi"/>
                <w:sz w:val="16"/>
                <w:szCs w:val="16"/>
              </w:rPr>
              <w:t xml:space="preserve"> proteins may benefit more so (case reports).</w:t>
            </w:r>
            <w:r w:rsidR="00D26F9A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37 38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Two small RCTs in anti-MAG neuropathy showed marginal benefits.</w:t>
            </w:r>
            <w:r w:rsidR="00D26F9A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45 46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</w:p>
        </w:tc>
        <w:tc>
          <w:tcPr>
            <w:tcW w:w="3402" w:type="dxa"/>
          </w:tcPr>
          <w:p w:rsidR="0072109A" w:rsidRPr="00413F49" w:rsidRDefault="008112CA" w:rsidP="000632E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NHS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>E will not routinely commission rituximab for refractory CIDP, MMN, NSVN or anti-MAG neuropathy.</w:t>
            </w:r>
            <w:r w:rsidR="00D26F9A" w:rsidRPr="00413F49">
              <w:rPr>
                <w:rFonts w:asciiTheme="majorHAnsi" w:hAnsiTheme="majorHAnsi"/>
                <w:sz w:val="16"/>
                <w:szCs w:val="16"/>
                <w:vertAlign w:val="superscript"/>
              </w:rPr>
              <w:t>33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>May c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>onsider in exceptional circumstances</w:t>
            </w:r>
            <w:r w:rsidR="00D26F9A" w:rsidRPr="00413F49">
              <w:rPr>
                <w:rFonts w:asciiTheme="majorHAnsi" w:hAnsiTheme="majorHAnsi"/>
                <w:sz w:val="16"/>
                <w:szCs w:val="16"/>
              </w:rPr>
              <w:t>, particularly in IgG4-mediated disease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>.  Funding is via IPFR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to NHSE</w:t>
            </w:r>
            <w:r w:rsidR="001948A1" w:rsidRPr="00413F49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r w:rsidR="008832C3" w:rsidRPr="00413F49">
              <w:rPr>
                <w:rFonts w:asciiTheme="majorHAnsi" w:hAnsiTheme="majorHAnsi"/>
                <w:sz w:val="16"/>
                <w:szCs w:val="16"/>
              </w:rPr>
              <w:t>through</w:t>
            </w:r>
            <w:r w:rsidR="001948A1" w:rsidRPr="00413F49">
              <w:rPr>
                <w:rFonts w:asciiTheme="majorHAnsi" w:hAnsiTheme="majorHAnsi"/>
                <w:sz w:val="16"/>
                <w:szCs w:val="16"/>
              </w:rPr>
              <w:t xml:space="preserve"> local Trust resources.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72109A" w:rsidRPr="00413F49">
        <w:tc>
          <w:tcPr>
            <w:tcW w:w="1384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Myasthenia gravis</w:t>
            </w:r>
          </w:p>
        </w:tc>
        <w:tc>
          <w:tcPr>
            <w:tcW w:w="1418" w:type="dxa"/>
          </w:tcPr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Treatment of refractory disease</w:t>
            </w:r>
          </w:p>
          <w:p w:rsidR="0072109A" w:rsidRPr="00413F49" w:rsidRDefault="0072109A" w:rsidP="00883A1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72109A" w:rsidRPr="00413F49" w:rsidRDefault="0053240A" w:rsidP="00383584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Mostl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>y small retrospective case series.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 xml:space="preserve">  Evidence of benefit is 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much 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>clearer in MuSK</w:t>
            </w:r>
            <w:r w:rsidR="00D26F9A" w:rsidRPr="00413F49">
              <w:rPr>
                <w:rFonts w:asciiTheme="majorHAnsi" w:hAnsiTheme="majorHAnsi"/>
                <w:sz w:val="16"/>
                <w:szCs w:val="16"/>
              </w:rPr>
              <w:t>-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>MG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 xml:space="preserve">than </w:t>
            </w:r>
            <w:proofErr w:type="spellStart"/>
            <w:r w:rsidR="00383584" w:rsidRPr="00413F49">
              <w:rPr>
                <w:rFonts w:asciiTheme="majorHAnsi" w:hAnsiTheme="majorHAnsi"/>
                <w:sz w:val="16"/>
                <w:szCs w:val="16"/>
              </w:rPr>
              <w:t>AChR</w:t>
            </w:r>
            <w:proofErr w:type="spellEnd"/>
            <w:r w:rsidR="00D26F9A" w:rsidRPr="00413F49">
              <w:rPr>
                <w:rFonts w:asciiTheme="majorHAnsi" w:hAnsiTheme="majorHAnsi"/>
                <w:sz w:val="16"/>
                <w:szCs w:val="16"/>
              </w:rPr>
              <w:t>-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>MG.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  Clinical trials in AChR</w:t>
            </w:r>
            <w:r w:rsidR="00D26F9A" w:rsidRPr="00413F49">
              <w:rPr>
                <w:rFonts w:asciiTheme="majorHAnsi" w:hAnsiTheme="majorHAnsi"/>
                <w:sz w:val="16"/>
                <w:szCs w:val="16"/>
              </w:rPr>
              <w:t>-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 xml:space="preserve">MG </w:t>
            </w:r>
            <w:r w:rsidR="008112CA" w:rsidRPr="00413F49">
              <w:rPr>
                <w:rFonts w:asciiTheme="majorHAnsi" w:hAnsiTheme="majorHAnsi"/>
                <w:sz w:val="16"/>
                <w:szCs w:val="16"/>
              </w:rPr>
              <w:t xml:space="preserve">are 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ongoing.</w:t>
            </w:r>
            <w:r w:rsidR="00383584" w:rsidRPr="00413F49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72109A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72109A" w:rsidRPr="00413F49" w:rsidRDefault="0053240A" w:rsidP="008112CA">
            <w:pPr>
              <w:rPr>
                <w:rFonts w:asciiTheme="majorHAnsi" w:hAnsiTheme="majorHAnsi"/>
                <w:sz w:val="16"/>
                <w:szCs w:val="16"/>
              </w:rPr>
            </w:pPr>
            <w:r w:rsidRPr="00413F49">
              <w:rPr>
                <w:rFonts w:asciiTheme="majorHAnsi" w:hAnsiTheme="majorHAnsi"/>
                <w:sz w:val="16"/>
                <w:szCs w:val="16"/>
              </w:rPr>
              <w:t>Consider if there is inadequate response to first line therapy, particularly in MuSK</w:t>
            </w:r>
            <w:r w:rsidR="002526B3" w:rsidRPr="00413F49">
              <w:rPr>
                <w:rFonts w:asciiTheme="majorHAnsi" w:hAnsiTheme="majorHAnsi"/>
                <w:sz w:val="16"/>
                <w:szCs w:val="16"/>
              </w:rPr>
              <w:t>-</w:t>
            </w:r>
            <w:r w:rsidRPr="00413F49">
              <w:rPr>
                <w:rFonts w:asciiTheme="majorHAnsi" w:hAnsiTheme="majorHAnsi"/>
                <w:sz w:val="16"/>
                <w:szCs w:val="16"/>
              </w:rPr>
              <w:t>MG. Funding is via IPFR</w:t>
            </w:r>
            <w:r w:rsidR="002526B3" w:rsidRPr="00413F4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112CA" w:rsidRPr="00413F49">
              <w:rPr>
                <w:rFonts w:asciiTheme="majorHAnsi" w:hAnsiTheme="majorHAnsi"/>
                <w:sz w:val="16"/>
                <w:szCs w:val="16"/>
              </w:rPr>
              <w:t>to NHSE</w:t>
            </w:r>
            <w:r w:rsidR="008832C3" w:rsidRPr="00413F49">
              <w:rPr>
                <w:rFonts w:asciiTheme="majorHAnsi" w:hAnsiTheme="majorHAnsi"/>
                <w:sz w:val="16"/>
                <w:szCs w:val="16"/>
              </w:rPr>
              <w:t xml:space="preserve"> or through local Trust resources.</w:t>
            </w:r>
          </w:p>
        </w:tc>
      </w:tr>
    </w:tbl>
    <w:p w:rsidR="00425DC0" w:rsidRPr="00413F49" w:rsidRDefault="00425DC0" w:rsidP="00883A18">
      <w:pPr>
        <w:rPr>
          <w:rFonts w:asciiTheme="majorHAnsi" w:hAnsiTheme="majorHAnsi"/>
          <w:sz w:val="20"/>
          <w:szCs w:val="20"/>
        </w:rPr>
      </w:pPr>
    </w:p>
    <w:p w:rsidR="0072109A" w:rsidRPr="00413F49" w:rsidRDefault="0072109A" w:rsidP="0072109A">
      <w:pPr>
        <w:rPr>
          <w:rFonts w:asciiTheme="majorHAnsi" w:hAnsiTheme="majorHAnsi"/>
          <w:sz w:val="20"/>
          <w:szCs w:val="20"/>
        </w:rPr>
      </w:pPr>
      <w:r w:rsidRPr="00413F49">
        <w:rPr>
          <w:rFonts w:asciiTheme="majorHAnsi" w:hAnsiTheme="majorHAnsi"/>
          <w:b/>
          <w:sz w:val="20"/>
          <w:szCs w:val="20"/>
        </w:rPr>
        <w:t xml:space="preserve">Abbreviations:  </w:t>
      </w:r>
      <w:r w:rsidRPr="00413F49">
        <w:rPr>
          <w:rFonts w:asciiTheme="majorHAnsi" w:hAnsiTheme="majorHAnsi"/>
          <w:sz w:val="20"/>
          <w:szCs w:val="20"/>
        </w:rPr>
        <w:t>DMTs = disease modifying therapies, IPFR = indi</w:t>
      </w:r>
      <w:r w:rsidR="00383584" w:rsidRPr="00413F49">
        <w:rPr>
          <w:rFonts w:asciiTheme="majorHAnsi" w:hAnsiTheme="majorHAnsi"/>
          <w:sz w:val="20"/>
          <w:szCs w:val="20"/>
        </w:rPr>
        <w:t xml:space="preserve">vidual patient funding request, </w:t>
      </w:r>
      <w:r w:rsidR="009F5FAE" w:rsidRPr="00413F49">
        <w:rPr>
          <w:rFonts w:asciiTheme="majorHAnsi" w:hAnsiTheme="majorHAnsi"/>
          <w:sz w:val="20"/>
          <w:szCs w:val="20"/>
        </w:rPr>
        <w:t xml:space="preserve">NHSE =National Health Service England, </w:t>
      </w:r>
      <w:r w:rsidR="00FC77E0" w:rsidRPr="00413F49">
        <w:rPr>
          <w:rFonts w:asciiTheme="majorHAnsi" w:hAnsiTheme="majorHAnsi"/>
          <w:sz w:val="20"/>
          <w:szCs w:val="20"/>
        </w:rPr>
        <w:t xml:space="preserve">NICE = National Institute for Health and Care Excellence, </w:t>
      </w:r>
      <w:r w:rsidR="00383584" w:rsidRPr="00413F49">
        <w:rPr>
          <w:rFonts w:asciiTheme="majorHAnsi" w:hAnsiTheme="majorHAnsi"/>
          <w:sz w:val="20"/>
          <w:szCs w:val="20"/>
        </w:rPr>
        <w:t xml:space="preserve">CIDP = chronic inflammatory demyelinating polyneuropathy, MMN = multifocal motor neuropathy, NSVN = non-systemic </w:t>
      </w:r>
      <w:proofErr w:type="spellStart"/>
      <w:r w:rsidR="00383584" w:rsidRPr="00413F49">
        <w:rPr>
          <w:rFonts w:asciiTheme="majorHAnsi" w:hAnsiTheme="majorHAnsi"/>
          <w:sz w:val="20"/>
          <w:szCs w:val="20"/>
        </w:rPr>
        <w:t>vasculitic</w:t>
      </w:r>
      <w:proofErr w:type="spellEnd"/>
      <w:r w:rsidR="00383584" w:rsidRPr="00413F49">
        <w:rPr>
          <w:rFonts w:asciiTheme="majorHAnsi" w:hAnsiTheme="majorHAnsi"/>
          <w:sz w:val="20"/>
          <w:szCs w:val="20"/>
        </w:rPr>
        <w:t xml:space="preserve"> neuropathy</w:t>
      </w:r>
      <w:r w:rsidR="009F5FAE" w:rsidRPr="00413F49">
        <w:rPr>
          <w:rFonts w:asciiTheme="majorHAnsi" w:hAnsiTheme="majorHAnsi"/>
          <w:sz w:val="20"/>
          <w:szCs w:val="20"/>
        </w:rPr>
        <w:t>.</w:t>
      </w:r>
      <w:r w:rsidR="008112CA" w:rsidRPr="00413F49">
        <w:rPr>
          <w:rFonts w:asciiTheme="majorHAnsi" w:hAnsiTheme="majorHAnsi"/>
          <w:sz w:val="20"/>
          <w:szCs w:val="20"/>
        </w:rPr>
        <w:t xml:space="preserve"> </w:t>
      </w:r>
    </w:p>
    <w:p w:rsidR="00883A18" w:rsidRPr="00413F49" w:rsidRDefault="00883A18" w:rsidP="00CB2C68">
      <w:pPr>
        <w:rPr>
          <w:rFonts w:asciiTheme="majorHAnsi" w:hAnsiTheme="majorHAnsi"/>
        </w:rPr>
      </w:pPr>
    </w:p>
    <w:p w:rsidR="00EF5C24" w:rsidRPr="00413F49" w:rsidRDefault="00EF5C24" w:rsidP="00EF5C24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Dosing and monitoring of rituximab</w:t>
      </w:r>
    </w:p>
    <w:p w:rsidR="00EF5C24" w:rsidRPr="00413F49" w:rsidRDefault="00EF5C24" w:rsidP="00EF5C24">
      <w:pPr>
        <w:rPr>
          <w:rFonts w:asciiTheme="majorHAnsi" w:hAnsiTheme="majorHAnsi"/>
          <w:b/>
        </w:rPr>
      </w:pPr>
    </w:p>
    <w:p w:rsidR="00EF5C24" w:rsidRPr="00413F49" w:rsidRDefault="00EF5C24" w:rsidP="00EF5C24">
      <w:pPr>
        <w:jc w:val="both"/>
        <w:rPr>
          <w:rFonts w:asciiTheme="majorHAnsi" w:hAnsiTheme="majorHAnsi"/>
          <w:szCs w:val="25"/>
          <w:shd w:val="clear" w:color="auto" w:fill="FFFFFF"/>
        </w:rPr>
      </w:pPr>
      <w:r w:rsidRPr="00413F49">
        <w:rPr>
          <w:rFonts w:asciiTheme="majorHAnsi" w:hAnsiTheme="majorHAnsi"/>
        </w:rPr>
        <w:t xml:space="preserve">Rituximab is given by intravenous infusion over </w:t>
      </w:r>
      <w:r w:rsidR="000632E8" w:rsidRPr="00413F49">
        <w:rPr>
          <w:rFonts w:asciiTheme="majorHAnsi" w:hAnsiTheme="majorHAnsi"/>
        </w:rPr>
        <w:t>3-</w:t>
      </w:r>
      <w:r w:rsidR="009F5FAE" w:rsidRPr="00413F49">
        <w:rPr>
          <w:rFonts w:asciiTheme="majorHAnsi" w:hAnsiTheme="majorHAnsi"/>
        </w:rPr>
        <w:t>6</w:t>
      </w:r>
      <w:r w:rsidR="000632E8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hours. There is no validated dosing strategy for neuroinflammatory disease and there is great heterogeneity in the literature. Box 1 is a suggested administration guide. The two most common dosing regimens are, either 375mg/m</w:t>
      </w:r>
      <w:r w:rsidRPr="00413F49">
        <w:rPr>
          <w:rFonts w:asciiTheme="majorHAnsi" w:hAnsiTheme="majorHAnsi"/>
          <w:vertAlign w:val="superscript"/>
        </w:rPr>
        <w:t>2</w:t>
      </w:r>
      <w:r w:rsidRPr="00413F49">
        <w:rPr>
          <w:rFonts w:asciiTheme="majorHAnsi" w:hAnsiTheme="majorHAnsi"/>
        </w:rPr>
        <w:t xml:space="preserve"> body surface area given once weekly for four weeks (adopted from </w:t>
      </w:r>
      <w:proofErr w:type="spellStart"/>
      <w:r w:rsidRPr="00413F49">
        <w:rPr>
          <w:rFonts w:asciiTheme="majorHAnsi" w:hAnsiTheme="majorHAnsi"/>
        </w:rPr>
        <w:t>haemato</w:t>
      </w:r>
      <w:proofErr w:type="spellEnd"/>
      <w:r w:rsidRPr="00413F49">
        <w:rPr>
          <w:rFonts w:asciiTheme="majorHAnsi" w:hAnsiTheme="majorHAnsi"/>
        </w:rPr>
        <w:t xml:space="preserve">-oncology), or two infusions of 500-1000mg given a fortnight apart (adopted from clinical trials in </w:t>
      </w:r>
      <w:r w:rsidR="003B5DAB" w:rsidRPr="00413F49">
        <w:rPr>
          <w:rFonts w:asciiTheme="majorHAnsi" w:hAnsiTheme="majorHAnsi"/>
        </w:rPr>
        <w:t>rheumatoid arthri</w:t>
      </w:r>
      <w:r w:rsidR="00F20325" w:rsidRPr="00413F49">
        <w:rPr>
          <w:rFonts w:asciiTheme="majorHAnsi" w:hAnsiTheme="majorHAnsi"/>
        </w:rPr>
        <w:t>tis</w:t>
      </w:r>
      <w:r w:rsidRPr="00413F49">
        <w:rPr>
          <w:rFonts w:asciiTheme="majorHAnsi" w:hAnsiTheme="majorHAnsi"/>
        </w:rPr>
        <w:t xml:space="preserve">). Following two 1000mg infusions, the mean half-life of </w:t>
      </w:r>
      <w:r w:rsidR="008112CA" w:rsidRPr="00413F49">
        <w:rPr>
          <w:rFonts w:asciiTheme="majorHAnsi" w:hAnsiTheme="majorHAnsi"/>
        </w:rPr>
        <w:t>r</w:t>
      </w:r>
      <w:r w:rsidRPr="00413F49">
        <w:rPr>
          <w:rFonts w:asciiTheme="majorHAnsi" w:hAnsiTheme="majorHAnsi"/>
        </w:rPr>
        <w:t xml:space="preserve">ituximab is 20.8 days </w:t>
      </w:r>
      <w:r w:rsidRPr="00413F49">
        <w:rPr>
          <w:rFonts w:asciiTheme="majorHAnsi" w:hAnsiTheme="majorHAnsi"/>
          <w:szCs w:val="25"/>
          <w:shd w:val="clear" w:color="auto" w:fill="FFFFFF"/>
        </w:rPr>
        <w:t>(range 8.58 to 35.9 days).</w:t>
      </w:r>
      <w:r w:rsidRPr="00413F49">
        <w:rPr>
          <w:rFonts w:asciiTheme="majorHAnsi" w:hAnsiTheme="majorHAnsi"/>
          <w:szCs w:val="25"/>
          <w:shd w:val="clear" w:color="auto" w:fill="FFFFFF"/>
          <w:vertAlign w:val="superscript"/>
        </w:rPr>
        <w:t>5</w:t>
      </w:r>
      <w:r w:rsidR="00A126E7" w:rsidRPr="00413F49">
        <w:rPr>
          <w:rFonts w:asciiTheme="majorHAnsi" w:hAnsiTheme="majorHAnsi"/>
          <w:szCs w:val="25"/>
          <w:shd w:val="clear" w:color="auto" w:fill="FFFFFF"/>
          <w:vertAlign w:val="superscript"/>
        </w:rPr>
        <w:t>6</w:t>
      </w:r>
      <w:r w:rsidRPr="00413F49">
        <w:rPr>
          <w:rFonts w:asciiTheme="majorHAnsi" w:hAnsiTheme="majorHAnsi"/>
          <w:szCs w:val="25"/>
          <w:shd w:val="clear" w:color="auto" w:fill="FFFFFF"/>
        </w:rPr>
        <w:t xml:space="preserve"> </w:t>
      </w:r>
    </w:p>
    <w:p w:rsidR="00EF5C24" w:rsidRPr="00413F49" w:rsidRDefault="00EF5C24" w:rsidP="00EF5C24">
      <w:pPr>
        <w:jc w:val="both"/>
        <w:rPr>
          <w:rFonts w:asciiTheme="majorHAnsi" w:hAnsiTheme="majorHAnsi"/>
          <w:szCs w:val="25"/>
          <w:shd w:val="clear" w:color="auto" w:fill="FFFFFF"/>
        </w:rPr>
      </w:pPr>
    </w:p>
    <w:p w:rsidR="00EF5C24" w:rsidRPr="00413F49" w:rsidRDefault="00EF5C24" w:rsidP="00EF5C2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In RA there is no significant difference in the clinical responses after high dose (2 x 1000mg) and lower dose (2 x 500mg) rituximab regimes.</w:t>
      </w:r>
      <w:r w:rsidRPr="00413F49">
        <w:rPr>
          <w:rFonts w:asciiTheme="majorHAnsi" w:hAnsiTheme="majorHAnsi"/>
          <w:vertAlign w:val="superscript"/>
        </w:rPr>
        <w:t>5</w:t>
      </w:r>
      <w:r w:rsidR="008112CA" w:rsidRPr="00413F49">
        <w:rPr>
          <w:rFonts w:asciiTheme="majorHAnsi" w:hAnsiTheme="majorHAnsi"/>
          <w:vertAlign w:val="superscript"/>
        </w:rPr>
        <w:t>7</w:t>
      </w:r>
      <w:r w:rsidRPr="00413F49">
        <w:rPr>
          <w:rFonts w:asciiTheme="majorHAnsi" w:hAnsiTheme="majorHAnsi"/>
        </w:rPr>
        <w:t xml:space="preserve"> The clinical response correlates with the degree of B-cell depletion, not the rituximab dose used.</w:t>
      </w:r>
      <w:r w:rsidR="008112CA" w:rsidRPr="00413F49">
        <w:rPr>
          <w:rFonts w:asciiTheme="majorHAnsi" w:hAnsiTheme="majorHAnsi"/>
          <w:vertAlign w:val="superscript"/>
        </w:rPr>
        <w:t>58</w:t>
      </w:r>
      <w:r w:rsidRPr="00413F49">
        <w:rPr>
          <w:rFonts w:asciiTheme="majorHAnsi" w:hAnsiTheme="majorHAnsi"/>
        </w:rPr>
        <w:t xml:space="preserve"> The same is likely to be true in </w:t>
      </w:r>
      <w:r w:rsidRPr="00413F49">
        <w:rPr>
          <w:rFonts w:asciiTheme="majorHAnsi" w:hAnsiTheme="majorHAnsi"/>
        </w:rPr>
        <w:lastRenderedPageBreak/>
        <w:t>neuroinflammatory disease. Doses as low as 100mg weekly for 3-4 weeks have been used successfully in small series of patients with MS, NMOSD and anti-NMDAR encephalitis.</w:t>
      </w:r>
      <w:r w:rsidR="008112CA" w:rsidRPr="00413F49">
        <w:rPr>
          <w:rFonts w:asciiTheme="majorHAnsi" w:hAnsiTheme="majorHAnsi"/>
          <w:vertAlign w:val="superscript"/>
        </w:rPr>
        <w:t>59-62</w:t>
      </w:r>
      <w:r w:rsidRPr="00413F49">
        <w:rPr>
          <w:rFonts w:asciiTheme="majorHAnsi" w:hAnsiTheme="majorHAnsi"/>
        </w:rPr>
        <w:t xml:space="preserve"> </w:t>
      </w:r>
    </w:p>
    <w:p w:rsidR="00EF5C24" w:rsidRPr="00413F49" w:rsidRDefault="00EF5C24" w:rsidP="00EF5C24">
      <w:pPr>
        <w:jc w:val="both"/>
        <w:rPr>
          <w:rFonts w:asciiTheme="majorHAnsi" w:hAnsiTheme="majorHAnsi"/>
          <w:szCs w:val="25"/>
          <w:shd w:val="clear" w:color="auto" w:fill="FFFFFF"/>
        </w:rPr>
      </w:pPr>
    </w:p>
    <w:p w:rsidR="00EF5C24" w:rsidRPr="00413F49" w:rsidRDefault="00EF5C24" w:rsidP="00EF5C2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  <w:szCs w:val="25"/>
          <w:shd w:val="clear" w:color="auto" w:fill="FFFFFF"/>
        </w:rPr>
        <w:t xml:space="preserve">Near complete B-cell depletion occurs within a fortnight of infusion and usually persists for 6-12 months. Therefore, where maintenance treatment is planned, repeated courses have commonly been administered at regular 6-monthly intervals. However, </w:t>
      </w:r>
      <w:r w:rsidRPr="00413F49">
        <w:rPr>
          <w:rFonts w:asciiTheme="majorHAnsi" w:hAnsiTheme="majorHAnsi"/>
        </w:rPr>
        <w:t>patients vary significantly in both the initial rituximab dose required to achieve B-cell depletion and the time to B-cell repopulation. In a study of NMOSD patients, 17% repopulated their B-cells before six months.</w:t>
      </w:r>
      <w:r w:rsidR="008112CA" w:rsidRPr="00413F49">
        <w:rPr>
          <w:rFonts w:asciiTheme="majorHAnsi" w:hAnsiTheme="majorHAnsi"/>
          <w:vertAlign w:val="superscript"/>
        </w:rPr>
        <w:t>63</w:t>
      </w:r>
      <w:r w:rsidRPr="00413F49">
        <w:rPr>
          <w:rFonts w:asciiTheme="majorHAnsi" w:hAnsiTheme="majorHAnsi"/>
        </w:rPr>
        <w:t xml:space="preserve"> Prolonged B-cell depletion lasting over </w:t>
      </w:r>
      <w:r w:rsidR="009F5FAE" w:rsidRPr="00413F49">
        <w:rPr>
          <w:rFonts w:asciiTheme="majorHAnsi" w:hAnsiTheme="majorHAnsi"/>
        </w:rPr>
        <w:t>three</w:t>
      </w:r>
      <w:r w:rsidRPr="00413F49">
        <w:rPr>
          <w:rFonts w:asciiTheme="majorHAnsi" w:hAnsiTheme="majorHAnsi"/>
        </w:rPr>
        <w:t xml:space="preserve"> years following a single dose of rituximab is also reported.</w:t>
      </w:r>
      <w:r w:rsidR="008112CA" w:rsidRPr="00413F49">
        <w:rPr>
          <w:rFonts w:asciiTheme="majorHAnsi" w:hAnsiTheme="majorHAnsi"/>
          <w:vertAlign w:val="superscript"/>
        </w:rPr>
        <w:t>64</w:t>
      </w:r>
      <w:r w:rsidRPr="00413F49">
        <w:rPr>
          <w:rFonts w:asciiTheme="majorHAnsi" w:hAnsiTheme="majorHAnsi"/>
        </w:rPr>
        <w:t xml:space="preserve"> This makes a case for monitoring and retreating according to B-cell repopulation, which will identify ‘early </w:t>
      </w:r>
      <w:proofErr w:type="spellStart"/>
      <w:r w:rsidRPr="00413F49">
        <w:rPr>
          <w:rFonts w:asciiTheme="majorHAnsi" w:hAnsiTheme="majorHAnsi"/>
        </w:rPr>
        <w:t>repopulators</w:t>
      </w:r>
      <w:proofErr w:type="spellEnd"/>
      <w:r w:rsidRPr="00413F49">
        <w:rPr>
          <w:rFonts w:asciiTheme="majorHAnsi" w:hAnsiTheme="majorHAnsi"/>
        </w:rPr>
        <w:t xml:space="preserve">’ at risk of disease relapse, and limit over-treatment of patients with sustained B-cell depletion, thereby preventing complications and reducing cost. </w:t>
      </w:r>
    </w:p>
    <w:p w:rsidR="00EF5C24" w:rsidRPr="00413F49" w:rsidRDefault="00EF5C24" w:rsidP="00EF5C24">
      <w:pPr>
        <w:jc w:val="both"/>
        <w:rPr>
          <w:rFonts w:asciiTheme="majorHAnsi" w:hAnsiTheme="majorHAnsi"/>
        </w:rPr>
      </w:pPr>
    </w:p>
    <w:p w:rsidR="00EF5C24" w:rsidRPr="00413F49" w:rsidRDefault="00EF5C24" w:rsidP="00EF5C2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Although rituximab is an anti-CD20 antibody, quantification CD19</w:t>
      </w:r>
      <w:r w:rsidRPr="00413F49">
        <w:rPr>
          <w:rFonts w:asciiTheme="majorHAnsi" w:hAnsiTheme="majorHAnsi"/>
          <w:vertAlign w:val="superscript"/>
        </w:rPr>
        <w:t>+</w:t>
      </w:r>
      <w:r w:rsidRPr="00413F49">
        <w:rPr>
          <w:rFonts w:asciiTheme="majorHAnsi" w:hAnsiTheme="majorHAnsi"/>
        </w:rPr>
        <w:t xml:space="preserve"> cells using flow cytometry is the preferred method for monitoring </w:t>
      </w:r>
      <w:r w:rsidR="008112CA" w:rsidRPr="00413F49">
        <w:rPr>
          <w:rFonts w:asciiTheme="majorHAnsi" w:hAnsiTheme="majorHAnsi"/>
        </w:rPr>
        <w:t xml:space="preserve">B-cell </w:t>
      </w:r>
      <w:r w:rsidRPr="00413F49">
        <w:rPr>
          <w:rFonts w:asciiTheme="majorHAnsi" w:hAnsiTheme="majorHAnsi"/>
        </w:rPr>
        <w:t xml:space="preserve">depletion and repopulation. This is because rituximab still present in serum could block binding of fluorophore-labelled anti-CD20 antibodies </w:t>
      </w:r>
      <w:r w:rsidR="00DA329B" w:rsidRPr="00413F49">
        <w:rPr>
          <w:rFonts w:asciiTheme="majorHAnsi" w:hAnsiTheme="majorHAnsi"/>
        </w:rPr>
        <w:t>used in flow cytometry</w:t>
      </w:r>
      <w:r w:rsidR="009F5FAE" w:rsidRPr="00413F49">
        <w:rPr>
          <w:rFonts w:asciiTheme="majorHAnsi" w:hAnsiTheme="majorHAnsi"/>
        </w:rPr>
        <w:t>,</w:t>
      </w:r>
      <w:r w:rsidR="00DA329B" w:rsidRPr="00413F49">
        <w:rPr>
          <w:rFonts w:asciiTheme="majorHAnsi" w:hAnsiTheme="majorHAnsi"/>
        </w:rPr>
        <w:t xml:space="preserve"> </w:t>
      </w:r>
      <w:r w:rsidR="009F5FAE" w:rsidRPr="00413F49">
        <w:rPr>
          <w:rFonts w:asciiTheme="majorHAnsi" w:hAnsiTheme="majorHAnsi"/>
        </w:rPr>
        <w:t xml:space="preserve">thereby </w:t>
      </w:r>
      <w:r w:rsidRPr="00413F49">
        <w:rPr>
          <w:rFonts w:asciiTheme="majorHAnsi" w:hAnsiTheme="majorHAnsi"/>
        </w:rPr>
        <w:t xml:space="preserve">interfering with the detection of B-cells. </w:t>
      </w:r>
    </w:p>
    <w:p w:rsidR="00EF5C24" w:rsidRPr="00413F49" w:rsidRDefault="00EF5C24" w:rsidP="00EF5C24">
      <w:pPr>
        <w:jc w:val="both"/>
        <w:rPr>
          <w:rFonts w:asciiTheme="majorHAnsi" w:hAnsiTheme="majorHAnsi"/>
        </w:rPr>
      </w:pPr>
    </w:p>
    <w:p w:rsidR="00EF5C24" w:rsidRPr="00413F49" w:rsidRDefault="009F5FAE" w:rsidP="00EF5C2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Amongst the</w:t>
      </w:r>
      <w:r w:rsidR="004D7351" w:rsidRPr="00413F49">
        <w:rPr>
          <w:rFonts w:asciiTheme="majorHAnsi" w:hAnsiTheme="majorHAnsi"/>
        </w:rPr>
        <w:t xml:space="preserve"> several relapsing illness </w:t>
      </w:r>
      <w:r w:rsidRPr="00413F49">
        <w:rPr>
          <w:rFonts w:asciiTheme="majorHAnsi" w:hAnsiTheme="majorHAnsi"/>
        </w:rPr>
        <w:t>that may</w:t>
      </w:r>
      <w:r w:rsidR="004D7351" w:rsidRPr="00413F49">
        <w:rPr>
          <w:rFonts w:asciiTheme="majorHAnsi" w:hAnsiTheme="majorHAnsi"/>
        </w:rPr>
        <w:t xml:space="preserve"> benefit from rituximab, relapses from NMOSD pose the highest risk of permanent disability. However t</w:t>
      </w:r>
      <w:r w:rsidR="00A77021" w:rsidRPr="00413F49">
        <w:rPr>
          <w:rFonts w:asciiTheme="majorHAnsi" w:hAnsiTheme="majorHAnsi"/>
        </w:rPr>
        <w:t>he critical threshold of B</w:t>
      </w:r>
      <w:r w:rsidRPr="00413F49">
        <w:rPr>
          <w:rFonts w:asciiTheme="majorHAnsi" w:hAnsiTheme="majorHAnsi"/>
        </w:rPr>
        <w:t>-</w:t>
      </w:r>
      <w:r w:rsidR="00A77021" w:rsidRPr="00413F49">
        <w:rPr>
          <w:rFonts w:asciiTheme="majorHAnsi" w:hAnsiTheme="majorHAnsi"/>
        </w:rPr>
        <w:t xml:space="preserve">cells in </w:t>
      </w:r>
      <w:r w:rsidR="00DD7453" w:rsidRPr="00413F49">
        <w:rPr>
          <w:rFonts w:asciiTheme="majorHAnsi" w:hAnsiTheme="majorHAnsi"/>
        </w:rPr>
        <w:t xml:space="preserve">the </w:t>
      </w:r>
      <w:r w:rsidR="00A77021" w:rsidRPr="00413F49">
        <w:rPr>
          <w:rFonts w:asciiTheme="majorHAnsi" w:hAnsiTheme="majorHAnsi"/>
        </w:rPr>
        <w:t>measurable peripheral circulation that is associated with</w:t>
      </w:r>
      <w:r w:rsidRPr="00413F49">
        <w:rPr>
          <w:rFonts w:asciiTheme="majorHAnsi" w:hAnsiTheme="majorHAnsi"/>
        </w:rPr>
        <w:t xml:space="preserve"> NMOSD</w:t>
      </w:r>
      <w:r w:rsidR="00A77021" w:rsidRPr="00413F49">
        <w:rPr>
          <w:rFonts w:asciiTheme="majorHAnsi" w:hAnsiTheme="majorHAnsi"/>
        </w:rPr>
        <w:t xml:space="preserve"> relapse is </w:t>
      </w:r>
      <w:r w:rsidR="00DD7453" w:rsidRPr="00413F49">
        <w:rPr>
          <w:rFonts w:asciiTheme="majorHAnsi" w:hAnsiTheme="majorHAnsi"/>
        </w:rPr>
        <w:t xml:space="preserve">undetermined and is likely to vary </w:t>
      </w:r>
      <w:r w:rsidR="004D7351" w:rsidRPr="00413F49">
        <w:rPr>
          <w:rFonts w:asciiTheme="majorHAnsi" w:hAnsiTheme="majorHAnsi"/>
        </w:rPr>
        <w:t xml:space="preserve">with the </w:t>
      </w:r>
      <w:r w:rsidR="00DD7453" w:rsidRPr="00413F49">
        <w:rPr>
          <w:rFonts w:asciiTheme="majorHAnsi" w:hAnsiTheme="majorHAnsi"/>
        </w:rPr>
        <w:t xml:space="preserve">disease and individual. </w:t>
      </w:r>
      <w:r w:rsidRPr="00413F49">
        <w:rPr>
          <w:rFonts w:asciiTheme="majorHAnsi" w:hAnsiTheme="majorHAnsi"/>
        </w:rPr>
        <w:t>N</w:t>
      </w:r>
      <w:r w:rsidR="00EF5C24" w:rsidRPr="00413F49">
        <w:rPr>
          <w:rFonts w:asciiTheme="majorHAnsi" w:hAnsiTheme="majorHAnsi"/>
        </w:rPr>
        <w:t xml:space="preserve">eurologists </w:t>
      </w:r>
      <w:r w:rsidRPr="00413F49">
        <w:rPr>
          <w:rFonts w:asciiTheme="majorHAnsi" w:hAnsiTheme="majorHAnsi"/>
        </w:rPr>
        <w:t xml:space="preserve">have </w:t>
      </w:r>
      <w:r w:rsidR="00EF5C24" w:rsidRPr="00413F49">
        <w:rPr>
          <w:rFonts w:asciiTheme="majorHAnsi" w:hAnsiTheme="majorHAnsi"/>
        </w:rPr>
        <w:t>retreat</w:t>
      </w:r>
      <w:r w:rsidRPr="00413F49">
        <w:rPr>
          <w:rFonts w:asciiTheme="majorHAnsi" w:hAnsiTheme="majorHAnsi"/>
        </w:rPr>
        <w:t>ed</w:t>
      </w:r>
      <w:r w:rsidR="00EF5C24" w:rsidRPr="00413F49">
        <w:rPr>
          <w:rFonts w:asciiTheme="majorHAnsi" w:hAnsiTheme="majorHAnsi"/>
        </w:rPr>
        <w:t xml:space="preserve"> when the CD19</w:t>
      </w:r>
      <w:r w:rsidR="00EF5C24" w:rsidRPr="00413F49">
        <w:rPr>
          <w:rFonts w:asciiTheme="majorHAnsi" w:hAnsiTheme="majorHAnsi"/>
          <w:vertAlign w:val="superscript"/>
        </w:rPr>
        <w:t>+</w:t>
      </w:r>
      <w:r w:rsidR="00EF5C24" w:rsidRPr="00413F49">
        <w:rPr>
          <w:rFonts w:asciiTheme="majorHAnsi" w:hAnsiTheme="majorHAnsi"/>
        </w:rPr>
        <w:t xml:space="preserve"> B-cell count becomes detectable</w:t>
      </w:r>
      <w:r w:rsidR="004D7351" w:rsidRPr="00413F49">
        <w:rPr>
          <w:rFonts w:asciiTheme="majorHAnsi" w:hAnsiTheme="majorHAnsi"/>
          <w:vertAlign w:val="superscript"/>
        </w:rPr>
        <w:t>65</w:t>
      </w:r>
      <w:r w:rsidRPr="00413F49">
        <w:rPr>
          <w:rFonts w:asciiTheme="majorHAnsi" w:hAnsiTheme="majorHAnsi"/>
        </w:rPr>
        <w:t xml:space="preserve"> </w:t>
      </w:r>
      <w:r w:rsidR="00EF5C24" w:rsidRPr="00413F49">
        <w:rPr>
          <w:rFonts w:asciiTheme="majorHAnsi" w:hAnsiTheme="majorHAnsi"/>
        </w:rPr>
        <w:t>or greater than 0.1% of total circulating lymphocyte count.</w:t>
      </w:r>
      <w:r w:rsidR="00EF5C24" w:rsidRPr="00413F49">
        <w:rPr>
          <w:rFonts w:asciiTheme="majorHAnsi" w:hAnsiTheme="majorHAnsi"/>
          <w:vertAlign w:val="superscript"/>
        </w:rPr>
        <w:t>6</w:t>
      </w:r>
      <w:r w:rsidR="008112CA" w:rsidRPr="00413F49">
        <w:rPr>
          <w:rFonts w:asciiTheme="majorHAnsi" w:hAnsiTheme="majorHAnsi"/>
          <w:vertAlign w:val="superscript"/>
        </w:rPr>
        <w:t>6</w:t>
      </w:r>
      <w:r w:rsidR="00EF5C24" w:rsidRPr="00413F49">
        <w:rPr>
          <w:rFonts w:asciiTheme="majorHAnsi" w:hAnsiTheme="majorHAnsi"/>
        </w:rPr>
        <w:t xml:space="preserve"> </w:t>
      </w:r>
      <w:r w:rsidR="00E4661C" w:rsidRPr="00413F49">
        <w:rPr>
          <w:rFonts w:asciiTheme="majorHAnsi" w:hAnsiTheme="majorHAnsi"/>
        </w:rPr>
        <w:t xml:space="preserve">Some measure </w:t>
      </w:r>
      <w:r w:rsidRPr="00413F49">
        <w:rPr>
          <w:rFonts w:asciiTheme="majorHAnsi" w:hAnsiTheme="majorHAnsi"/>
        </w:rPr>
        <w:t>the much smaller</w:t>
      </w:r>
      <w:r w:rsidR="00C924CA" w:rsidRPr="00413F49">
        <w:rPr>
          <w:rFonts w:asciiTheme="majorHAnsi" w:hAnsiTheme="majorHAnsi"/>
        </w:rPr>
        <w:t xml:space="preserve"> memory B-</w:t>
      </w:r>
      <w:r w:rsidR="00E4661C" w:rsidRPr="00413F49">
        <w:rPr>
          <w:rFonts w:asciiTheme="majorHAnsi" w:hAnsiTheme="majorHAnsi"/>
        </w:rPr>
        <w:t>cell (</w:t>
      </w:r>
      <w:r w:rsidR="00EF5C24" w:rsidRPr="00413F49">
        <w:rPr>
          <w:rFonts w:asciiTheme="majorHAnsi" w:hAnsiTheme="majorHAnsi"/>
        </w:rPr>
        <w:t>CD19</w:t>
      </w:r>
      <w:r w:rsidR="00EF5C24" w:rsidRPr="00413F49">
        <w:rPr>
          <w:rFonts w:asciiTheme="majorHAnsi" w:hAnsiTheme="majorHAnsi"/>
          <w:vertAlign w:val="superscript"/>
        </w:rPr>
        <w:t>+</w:t>
      </w:r>
      <w:r w:rsidR="00EF5C24" w:rsidRPr="00413F49">
        <w:rPr>
          <w:rFonts w:asciiTheme="majorHAnsi" w:hAnsiTheme="majorHAnsi"/>
        </w:rPr>
        <w:t>/CD27</w:t>
      </w:r>
      <w:r w:rsidR="00EF5C24" w:rsidRPr="00413F49">
        <w:rPr>
          <w:rFonts w:asciiTheme="majorHAnsi" w:hAnsiTheme="majorHAnsi"/>
          <w:vertAlign w:val="superscript"/>
        </w:rPr>
        <w:t>+</w:t>
      </w:r>
      <w:r w:rsidR="00E4661C" w:rsidRPr="00413F49">
        <w:rPr>
          <w:rFonts w:asciiTheme="majorHAnsi" w:hAnsiTheme="majorHAnsi"/>
        </w:rPr>
        <w:t>)</w:t>
      </w:r>
      <w:r w:rsidRPr="00413F49">
        <w:rPr>
          <w:rFonts w:asciiTheme="majorHAnsi" w:hAnsiTheme="majorHAnsi"/>
        </w:rPr>
        <w:t xml:space="preserve"> population </w:t>
      </w:r>
      <w:r w:rsidR="00EF5C24" w:rsidRPr="00413F49">
        <w:rPr>
          <w:rFonts w:asciiTheme="majorHAnsi" w:hAnsiTheme="majorHAnsi"/>
        </w:rPr>
        <w:t>(see box 1 – option 2).</w:t>
      </w:r>
      <w:r w:rsidR="00EF5C24" w:rsidRPr="00413F49">
        <w:rPr>
          <w:rFonts w:asciiTheme="majorHAnsi" w:hAnsiTheme="majorHAnsi"/>
          <w:vertAlign w:val="superscript"/>
        </w:rPr>
        <w:t>4 6</w:t>
      </w:r>
      <w:r w:rsidR="008112CA" w:rsidRPr="00413F49">
        <w:rPr>
          <w:rFonts w:asciiTheme="majorHAnsi" w:hAnsiTheme="majorHAnsi"/>
          <w:vertAlign w:val="superscript"/>
        </w:rPr>
        <w:t>7</w:t>
      </w:r>
      <w:r w:rsidR="00EF5C24" w:rsidRPr="00413F49">
        <w:rPr>
          <w:rFonts w:asciiTheme="majorHAnsi" w:hAnsiTheme="majorHAnsi"/>
        </w:rPr>
        <w:t xml:space="preserve"> Switching from 6-monthly infusions to memory B-cell</w:t>
      </w:r>
      <w:r w:rsidRPr="00413F49">
        <w:rPr>
          <w:rFonts w:asciiTheme="majorHAnsi" w:hAnsiTheme="majorHAnsi"/>
        </w:rPr>
        <w:t>-</w:t>
      </w:r>
      <w:r w:rsidR="00EF5C24" w:rsidRPr="00413F49">
        <w:rPr>
          <w:rFonts w:asciiTheme="majorHAnsi" w:hAnsiTheme="majorHAnsi"/>
        </w:rPr>
        <w:t>monitored treatment reduces cumulative rituximab dose without apparent loss of efficacy.</w:t>
      </w:r>
      <w:r w:rsidR="00EF5C24" w:rsidRPr="00413F49">
        <w:rPr>
          <w:rFonts w:asciiTheme="majorHAnsi" w:hAnsiTheme="majorHAnsi"/>
          <w:vertAlign w:val="superscript"/>
        </w:rPr>
        <w:t>6</w:t>
      </w:r>
      <w:r w:rsidR="008112CA" w:rsidRPr="00413F49">
        <w:rPr>
          <w:rFonts w:asciiTheme="majorHAnsi" w:hAnsiTheme="majorHAnsi"/>
          <w:vertAlign w:val="superscript"/>
        </w:rPr>
        <w:t>8</w:t>
      </w:r>
      <w:r w:rsidR="00EF5C24" w:rsidRPr="00413F49">
        <w:rPr>
          <w:rFonts w:asciiTheme="majorHAnsi" w:hAnsiTheme="majorHAnsi"/>
        </w:rPr>
        <w:t xml:space="preserve"> However, standardisation of flow cytometry techniques and inaccuracy when quantifying very small cell populations can pose problems.</w:t>
      </w:r>
      <w:r w:rsidR="00EF5C24" w:rsidRPr="00413F49">
        <w:rPr>
          <w:rFonts w:asciiTheme="majorHAnsi" w:hAnsiTheme="majorHAnsi"/>
          <w:vertAlign w:val="superscript"/>
        </w:rPr>
        <w:t>6</w:t>
      </w:r>
      <w:r w:rsidR="008112CA" w:rsidRPr="00413F49">
        <w:rPr>
          <w:rFonts w:asciiTheme="majorHAnsi" w:hAnsiTheme="majorHAnsi"/>
          <w:vertAlign w:val="superscript"/>
        </w:rPr>
        <w:t>9</w:t>
      </w:r>
      <w:r w:rsidR="00EF5C24" w:rsidRPr="00413F49">
        <w:rPr>
          <w:rFonts w:asciiTheme="majorHAnsi" w:hAnsiTheme="majorHAnsi"/>
        </w:rPr>
        <w:t xml:space="preserve"> </w:t>
      </w:r>
      <w:r w:rsidR="00E4661C" w:rsidRPr="00413F49">
        <w:rPr>
          <w:rFonts w:asciiTheme="majorHAnsi" w:hAnsiTheme="majorHAnsi"/>
        </w:rPr>
        <w:t xml:space="preserve">In the UK NMO Service </w:t>
      </w:r>
      <w:r w:rsidR="00EF5C24" w:rsidRPr="00413F49">
        <w:rPr>
          <w:rFonts w:asciiTheme="majorHAnsi" w:hAnsiTheme="majorHAnsi"/>
        </w:rPr>
        <w:t xml:space="preserve">we use </w:t>
      </w:r>
      <w:r w:rsidR="004D7351" w:rsidRPr="00413F49">
        <w:rPr>
          <w:rFonts w:asciiTheme="majorHAnsi" w:hAnsiTheme="majorHAnsi"/>
        </w:rPr>
        <w:t xml:space="preserve">monthly </w:t>
      </w:r>
      <w:r w:rsidR="00EF5C24" w:rsidRPr="00413F49">
        <w:rPr>
          <w:rFonts w:asciiTheme="majorHAnsi" w:hAnsiTheme="majorHAnsi"/>
        </w:rPr>
        <w:t>CD19</w:t>
      </w:r>
      <w:r w:rsidR="00EF5C24" w:rsidRPr="00413F49">
        <w:rPr>
          <w:rFonts w:asciiTheme="majorHAnsi" w:hAnsiTheme="majorHAnsi"/>
          <w:vertAlign w:val="superscript"/>
        </w:rPr>
        <w:t>+</w:t>
      </w:r>
      <w:r w:rsidR="00EF5C24" w:rsidRPr="00413F49">
        <w:rPr>
          <w:rFonts w:asciiTheme="majorHAnsi" w:hAnsiTheme="majorHAnsi"/>
        </w:rPr>
        <w:t xml:space="preserve"> B-cell monitoring and have found 1% </w:t>
      </w:r>
      <w:r w:rsidR="0076768B" w:rsidRPr="00413F49">
        <w:rPr>
          <w:rFonts w:asciiTheme="majorHAnsi" w:hAnsiTheme="majorHAnsi"/>
        </w:rPr>
        <w:t xml:space="preserve">(an arbitrary </w:t>
      </w:r>
      <w:r w:rsidR="0033560E" w:rsidRPr="00413F49">
        <w:rPr>
          <w:rFonts w:asciiTheme="majorHAnsi" w:hAnsiTheme="majorHAnsi"/>
        </w:rPr>
        <w:t xml:space="preserve">value </w:t>
      </w:r>
      <w:r w:rsidR="0076768B" w:rsidRPr="00413F49">
        <w:rPr>
          <w:rFonts w:asciiTheme="majorHAnsi" w:hAnsiTheme="majorHAnsi"/>
        </w:rPr>
        <w:t xml:space="preserve">based on clinician experience) </w:t>
      </w:r>
      <w:r w:rsidR="00EF5C24" w:rsidRPr="00413F49">
        <w:rPr>
          <w:rFonts w:asciiTheme="majorHAnsi" w:hAnsiTheme="majorHAnsi"/>
        </w:rPr>
        <w:t>to be an acceptable cut-off</w:t>
      </w:r>
      <w:r w:rsidR="008112CA" w:rsidRPr="00413F49">
        <w:rPr>
          <w:rFonts w:asciiTheme="majorHAnsi" w:hAnsiTheme="majorHAnsi"/>
        </w:rPr>
        <w:t xml:space="preserve"> for retreatment</w:t>
      </w:r>
      <w:r w:rsidR="008737E3" w:rsidRPr="00413F49">
        <w:rPr>
          <w:rFonts w:asciiTheme="majorHAnsi" w:hAnsiTheme="majorHAnsi"/>
        </w:rPr>
        <w:t xml:space="preserve"> for </w:t>
      </w:r>
      <w:r w:rsidRPr="00413F49">
        <w:rPr>
          <w:rFonts w:asciiTheme="majorHAnsi" w:hAnsiTheme="majorHAnsi"/>
        </w:rPr>
        <w:t xml:space="preserve">the </w:t>
      </w:r>
      <w:r w:rsidR="008737E3" w:rsidRPr="00413F49">
        <w:rPr>
          <w:rFonts w:asciiTheme="majorHAnsi" w:hAnsiTheme="majorHAnsi"/>
        </w:rPr>
        <w:t>majority of patients</w:t>
      </w:r>
      <w:r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  <w:vertAlign w:val="superscript"/>
        </w:rPr>
        <w:t>70</w:t>
      </w:r>
      <w:r w:rsidR="004D7351" w:rsidRPr="00413F49">
        <w:rPr>
          <w:rFonts w:asciiTheme="majorHAnsi" w:hAnsiTheme="majorHAnsi"/>
        </w:rPr>
        <w:t xml:space="preserve"> In those who relapse with a detectable B-cell count below 1%, retreatment aiming for complete suppression is suggested before considering treatment failure and switching</w:t>
      </w:r>
      <w:r w:rsidR="00C924CA" w:rsidRPr="00413F49">
        <w:rPr>
          <w:rFonts w:asciiTheme="majorHAnsi" w:hAnsiTheme="majorHAnsi"/>
        </w:rPr>
        <w:t xml:space="preserve"> immunotherapy</w:t>
      </w:r>
      <w:r w:rsidR="004D7351" w:rsidRPr="00413F49">
        <w:rPr>
          <w:rFonts w:asciiTheme="majorHAnsi" w:hAnsiTheme="majorHAnsi"/>
        </w:rPr>
        <w:t>.</w:t>
      </w:r>
    </w:p>
    <w:p w:rsidR="003F1C5F" w:rsidRPr="00413F49" w:rsidRDefault="003F1C5F" w:rsidP="00F74289">
      <w:pPr>
        <w:rPr>
          <w:rFonts w:asciiTheme="majorHAnsi" w:hAnsiTheme="majorHAnsi"/>
          <w:b/>
        </w:rPr>
      </w:pPr>
    </w:p>
    <w:p w:rsidR="00EF5C24" w:rsidRPr="00413F49" w:rsidRDefault="00EF5C24" w:rsidP="00F74289">
      <w:pPr>
        <w:rPr>
          <w:rFonts w:asciiTheme="majorHAnsi" w:hAnsiTheme="majorHAnsi"/>
          <w:b/>
        </w:rPr>
      </w:pPr>
    </w:p>
    <w:p w:rsidR="00EF5C24" w:rsidRPr="00413F49" w:rsidRDefault="00EF5C24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6F60C0" w:rsidRPr="00413F49" w:rsidRDefault="006F60C0" w:rsidP="00F74289">
      <w:pPr>
        <w:rPr>
          <w:rFonts w:asciiTheme="majorHAnsi" w:hAnsiTheme="majorHAnsi"/>
          <w:b/>
        </w:rPr>
      </w:pPr>
    </w:p>
    <w:p w:rsidR="00CB2C68" w:rsidRPr="00413F49" w:rsidRDefault="00CB2C68" w:rsidP="00CB2C68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b/>
        </w:rPr>
        <w:lastRenderedPageBreak/>
        <w:t>Box 1: Rituximab administration guide</w:t>
      </w:r>
      <w:r w:rsidRPr="00413F49">
        <w:rPr>
          <w:rFonts w:asciiTheme="majorHAnsi" w:hAnsiTheme="majorHAnsi"/>
          <w:b/>
        </w:rPr>
        <w:br/>
      </w:r>
      <w:r w:rsidRPr="00413F49">
        <w:rPr>
          <w:rFonts w:asciiTheme="majorHAnsi" w:hAnsiTheme="majorHAnsi"/>
          <w:i/>
        </w:rPr>
        <w:t xml:space="preserve">Italicised points reflect our personal practice rather than </w:t>
      </w:r>
      <w:r w:rsidR="00450090" w:rsidRPr="00413F49">
        <w:rPr>
          <w:rFonts w:asciiTheme="majorHAnsi" w:hAnsiTheme="majorHAnsi"/>
          <w:i/>
        </w:rPr>
        <w:t xml:space="preserve">established </w:t>
      </w:r>
      <w:r w:rsidRPr="00413F49">
        <w:rPr>
          <w:rFonts w:asciiTheme="majorHAnsi" w:hAnsiTheme="majorHAnsi"/>
          <w:i/>
        </w:rPr>
        <w:t>recommendations.</w:t>
      </w:r>
    </w:p>
    <w:p w:rsidR="00CB2C68" w:rsidRPr="00413F49" w:rsidRDefault="00D535C4" w:rsidP="00CB2C68">
      <w:pPr>
        <w:rPr>
          <w:b/>
        </w:rPr>
      </w:pPr>
      <w:r w:rsidRPr="00413F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23CBC" wp14:editId="0C60DC7B">
                <wp:simplePos x="0" y="0"/>
                <wp:positionH relativeFrom="column">
                  <wp:posOffset>-16510</wp:posOffset>
                </wp:positionH>
                <wp:positionV relativeFrom="paragraph">
                  <wp:posOffset>81915</wp:posOffset>
                </wp:positionV>
                <wp:extent cx="5608955" cy="2968625"/>
                <wp:effectExtent l="0" t="0" r="10795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96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Pr="008112CA" w:rsidRDefault="003D35B8" w:rsidP="0045009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Prior to first infusion: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Exclude contra-indications: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Hypersensitivity to rituximab / murine proteins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Active, severe infection (e.g. TB, sepsis, opportunistic infections)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Severe immunocompromised state *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  <w:t>Severe heart failure or  uncontrolled cardiac disease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Discuss risks and benefits, obtain consent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(see example patient information sheet in supplementary online material)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Baseline investigations in all patients both emergency and elective: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- Full blood count</w:t>
                            </w:r>
                            <w:r w:rsidR="00A42CAD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liver function tests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and immunoglobulin levels **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- HBV serology (</w:t>
                            </w:r>
                            <w:proofErr w:type="spellStart"/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HBVsAg</w:t>
                            </w:r>
                            <w:proofErr w:type="spellEnd"/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+ </w:t>
                            </w:r>
                            <w:proofErr w:type="spellStart"/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HBVcAb</w:t>
                            </w:r>
                            <w:proofErr w:type="spellEnd"/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)– if positive, seek expert opinion and start prophylaxis before rituximab treatment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- HCV and HIV serology</w:t>
                            </w:r>
                          </w:p>
                          <w:p w:rsidR="003D35B8" w:rsidRPr="008112CA" w:rsidRDefault="003D35B8" w:rsidP="0045009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Pr="008112CA" w:rsidRDefault="003D35B8" w:rsidP="00450090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 xml:space="preserve">In elective non-emergency use, and particularly when maintenance therapy is planned: </w:t>
                            </w:r>
                          </w:p>
                          <w:p w:rsidR="003D35B8" w:rsidRPr="008112CA" w:rsidRDefault="003D35B8" w:rsidP="00450090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- Discuss contraception</w:t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Test for latent TB in high-risk groups (</w:t>
                            </w:r>
                            <w:proofErr w:type="spellStart"/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QuantiFERON</w:t>
                            </w:r>
                            <w:proofErr w:type="spellEnd"/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-TB Gold or tuberculin skin testing, followed by chest radiograph if indicated). </w:t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- VZV serology if there is no history of primary infection.</w:t>
                            </w:r>
                          </w:p>
                          <w:p w:rsidR="003D35B8" w:rsidRPr="008112CA" w:rsidRDefault="003D35B8" w:rsidP="00CB2C6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- Take immunisation history and give necessary non-live vaccines &gt; 4weeks (and live vaccines &gt;8 weeks) prior to first infusion.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- In uncertain cases, titres could be obtained for important vaccines. </w:t>
                            </w:r>
                          </w:p>
                          <w:p w:rsidR="003D35B8" w:rsidRPr="008112CA" w:rsidRDefault="003D35B8" w:rsidP="00CB2C6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- We recommend Pneumococcal vaccine, preferably pre-treatment, for all patients if possible. </w:t>
                            </w:r>
                          </w:p>
                          <w:p w:rsidR="003D35B8" w:rsidRPr="008112CA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* CD3, CD4, CD8, CD19 and CD20 cell counts can be assessed and discussed with immunology when concerned.</w:t>
                            </w:r>
                          </w:p>
                          <w:p w:rsidR="003D35B8" w:rsidRPr="008112CA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** Subnormal immunoglobulin levels do not preclude treatment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.3pt;margin-top:6.45pt;width:441.65pt;height:2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">
                <v:textbox>
                  <w:txbxContent>
                    <w:p w:rsidR="003D35B8" w:rsidRPr="008112CA" w:rsidRDefault="003D35B8" w:rsidP="00450090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Prior to first infusion: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Exclude contra-indications: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Hypersensitivity to rituximab / murine proteins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Active, severe infection (e.g. TB, sepsis, opportunistic infections)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Severe immunocompromised state *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  <w:t>Severe heart failure or  uncontrolled cardiac disease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Discuss risks and benefits, obtain consent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(see example patient information sheet in supplementary online material)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Baseline investigations in all patients both emergency and elective: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- Full blood count</w:t>
                      </w:r>
                      <w:r w:rsidR="00A42CAD"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liver function tests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and immunoglobulin levels **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- HBV serology (</w:t>
                      </w:r>
                      <w:proofErr w:type="spellStart"/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HBVsAg</w:t>
                      </w:r>
                      <w:proofErr w:type="spellEnd"/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+ </w:t>
                      </w:r>
                      <w:proofErr w:type="spellStart"/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HBVcAb</w:t>
                      </w:r>
                      <w:proofErr w:type="spellEnd"/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)– if positive, seek expert opinion and start prophylaxis before rituximab treatment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- HCV and HIV serology</w:t>
                      </w:r>
                    </w:p>
                    <w:p w:rsidR="003D35B8" w:rsidRPr="008112CA" w:rsidRDefault="003D35B8" w:rsidP="00450090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Pr="008112CA" w:rsidRDefault="003D35B8" w:rsidP="00450090">
                      <w:pPr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</w:pP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 xml:space="preserve">In elective non-emergency use, and particularly when maintenance therapy is planned: </w:t>
                      </w:r>
                    </w:p>
                    <w:p w:rsidR="003D35B8" w:rsidRPr="008112CA" w:rsidRDefault="003D35B8" w:rsidP="00450090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- Discuss contraception</w:t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Test for latent TB in high-risk groups (</w:t>
                      </w:r>
                      <w:proofErr w:type="spellStart"/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QuantiFERON</w:t>
                      </w:r>
                      <w:proofErr w:type="spellEnd"/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-TB Gold or tuberculin skin testing, followed by chest radiograph if indicated). </w:t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- VZV serology if there is no history of primary infection.</w:t>
                      </w:r>
                    </w:p>
                    <w:p w:rsidR="003D35B8" w:rsidRPr="008112CA" w:rsidRDefault="003D35B8" w:rsidP="00CB2C6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- Take immunisation history and give necessary non-live vaccines &gt; 4weeks (and live vaccines &gt;8 weeks) prior to first infusion.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- In uncertain cases, titres could be obtained for important vaccines. </w:t>
                      </w:r>
                    </w:p>
                    <w:p w:rsidR="003D35B8" w:rsidRPr="008112CA" w:rsidRDefault="003D35B8" w:rsidP="00CB2C6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- We recommend Pneumococcal vaccine, preferably pre-treatment, for all patients if possible. </w:t>
                      </w:r>
                    </w:p>
                    <w:p w:rsidR="003D35B8" w:rsidRPr="008112CA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* CD3, CD4, CD8, CD19 and CD20 cell counts can be assessed and discussed with immunology when concerned.</w:t>
                      </w:r>
                    </w:p>
                    <w:p w:rsidR="003D35B8" w:rsidRPr="008112CA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** Subnormal immunoglobulin levels do not preclude treatment  </w:t>
                      </w:r>
                    </w:p>
                  </w:txbxContent>
                </v:textbox>
              </v:shape>
            </w:pict>
          </mc:Fallback>
        </mc:AlternateContent>
      </w: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D535C4" w:rsidP="00CB2C68">
      <w:pPr>
        <w:rPr>
          <w:b/>
        </w:rPr>
      </w:pPr>
      <w:r w:rsidRPr="00413F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70889" wp14:editId="720F7643">
                <wp:simplePos x="0" y="0"/>
                <wp:positionH relativeFrom="column">
                  <wp:posOffset>-19050</wp:posOffset>
                </wp:positionH>
                <wp:positionV relativeFrom="paragraph">
                  <wp:posOffset>149860</wp:posOffset>
                </wp:positionV>
                <wp:extent cx="5608955" cy="638175"/>
                <wp:effectExtent l="0" t="0" r="1079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On the day of infusion: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Clinical assessment to exclude active infection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Pregnancy test if appropriate </w:t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If possible, withhold antihypertensive medications that morning</w:t>
                            </w:r>
                          </w:p>
                          <w:p w:rsidR="003D35B8" w:rsidRPr="00C9564E" w:rsidRDefault="003D35B8" w:rsidP="00CB2C6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538C9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6538C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35B8" w:rsidRDefault="003D35B8" w:rsidP="00CB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5pt;margin-top:11.8pt;width:441.6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/u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">
                <v:textbox>
                  <w:txbxContent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On the day of infusion: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Clinical assessment to exclude active infection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Pregnancy test if appropriate </w:t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If possible, withhold antihypertensive medications that morning</w:t>
                      </w:r>
                    </w:p>
                    <w:p w:rsidR="003D35B8" w:rsidRPr="00C9564E" w:rsidRDefault="003D35B8" w:rsidP="00CB2C6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538C9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Pr="006538C9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3D35B8" w:rsidRDefault="003D35B8" w:rsidP="00CB2C68"/>
                  </w:txbxContent>
                </v:textbox>
              </v:shape>
            </w:pict>
          </mc:Fallback>
        </mc:AlternateContent>
      </w: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8112CA" w:rsidP="00CB2C68">
      <w:pPr>
        <w:rPr>
          <w:b/>
        </w:rPr>
      </w:pPr>
      <w:r w:rsidRPr="00413F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8EA57" wp14:editId="6082EB23">
                <wp:simplePos x="0" y="0"/>
                <wp:positionH relativeFrom="column">
                  <wp:posOffset>-17780</wp:posOffset>
                </wp:positionH>
                <wp:positionV relativeFrom="paragraph">
                  <wp:posOffset>25400</wp:posOffset>
                </wp:positionV>
                <wp:extent cx="5608955" cy="533400"/>
                <wp:effectExtent l="0" t="0" r="1079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Pr="008112CA" w:rsidRDefault="003D35B8" w:rsidP="00CB2C6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8112C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Administration:</w:t>
                            </w:r>
                            <w:r w:rsidRPr="008112C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1000mg on day 1 and day 15 (</w:t>
                            </w:r>
                            <w:r w:rsidRPr="008112CA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375mg/m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body surface area weekly for 4 weeks)</w:t>
                            </w:r>
                            <w:r w:rsidRPr="008112C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Give IV Methylprednisolone 100mg prior to infusion </w:t>
                            </w:r>
                            <w:r w:rsidRPr="008112CA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(may consider omitting if already taking high-dose glucocorticoids)</w:t>
                            </w:r>
                          </w:p>
                          <w:p w:rsidR="003D35B8" w:rsidRDefault="003D35B8" w:rsidP="00CB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4pt;margin-top:2pt;width:441.6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">
                <v:textbox>
                  <w:txbxContent>
                    <w:p w:rsidR="003D35B8" w:rsidRPr="008112CA" w:rsidRDefault="003D35B8" w:rsidP="00CB2C6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8112CA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Administration:</w:t>
                      </w:r>
                      <w:r w:rsidRPr="008112CA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br/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1000mg on day 1 and day 15 (</w:t>
                      </w:r>
                      <w:r w:rsidRPr="008112CA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or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375mg/m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body surface area weekly for 4 weeks)</w:t>
                      </w:r>
                      <w:r w:rsidRPr="008112C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Give IV Methylprednisolone 100mg prior to infusion </w:t>
                      </w:r>
                      <w:r w:rsidRPr="008112CA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(may consider omitting if already taking high-dose glucocorticoids)</w:t>
                      </w:r>
                    </w:p>
                    <w:p w:rsidR="003D35B8" w:rsidRDefault="003D35B8" w:rsidP="00CB2C68"/>
                  </w:txbxContent>
                </v:textbox>
              </v:shape>
            </w:pict>
          </mc:Fallback>
        </mc:AlternateContent>
      </w:r>
    </w:p>
    <w:p w:rsidR="00CB2C68" w:rsidRPr="00413F49" w:rsidRDefault="00CB2C68" w:rsidP="00CB2C68">
      <w:pPr>
        <w:rPr>
          <w:b/>
        </w:rPr>
      </w:pPr>
    </w:p>
    <w:p w:rsidR="00CB2C68" w:rsidRPr="00413F49" w:rsidRDefault="00CB2C68" w:rsidP="00CB2C68">
      <w:pPr>
        <w:rPr>
          <w:b/>
        </w:rPr>
      </w:pPr>
    </w:p>
    <w:p w:rsidR="00CB2C68" w:rsidRPr="00413F49" w:rsidRDefault="00D535C4" w:rsidP="00CB2C68">
      <w:pPr>
        <w:rPr>
          <w:b/>
        </w:rPr>
      </w:pPr>
      <w:r w:rsidRPr="00413F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38E43" wp14:editId="66F54D12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5608955" cy="2238375"/>
                <wp:effectExtent l="0" t="0" r="1079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If re-treatment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planned (usually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relapsing disease):</w:t>
                            </w:r>
                          </w:p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Option 1* </w:t>
                            </w: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Monitor B-cell count (CD19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cells) monthly.  Retreat with single 1g infusion when it rises above 1%.</w:t>
                            </w:r>
                          </w:p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Option 2** </w:t>
                            </w: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Monitor memory B-cell population (CD19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/CD27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cells) 6-weekly in first year, 8-weekly in second year, 10-weekly thereafter.  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Retreat when it rises above 0.05% in the first 2 years and 0.1% thereafter.</w:t>
                            </w:r>
                          </w:p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Option 3 (if B-cell monitoring is not possible or practical): </w:t>
                            </w: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Repeat infusions at 6 months with further 1-2g.</w:t>
                            </w:r>
                          </w:p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*UK NMO Service practice (adapted from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63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).  For repeated treatment cycles, we have found that giving a single 1g infusion is sufficient to maintain B-cell depletion and clinical outcomes in the majority of cases. </w:t>
                            </w:r>
                          </w:p>
                          <w:p w:rsidR="003D35B8" w:rsidRPr="00CB2C68" w:rsidRDefault="003D35B8" w:rsidP="00CB2C68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** Regime developed for NMOSD maintenance therapy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4 67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– requires monitoring a very small subset of B-cell population. Discuss with local laboratory regarding feasibility and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.5pt;margin-top:12.75pt;width:441.6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HtJwIAAEw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">
                <v:textbox>
                  <w:txbxContent>
                    <w:p w:rsidR="003D35B8" w:rsidRDefault="003D35B8" w:rsidP="00CB2C68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If re-treatment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is</w:t>
                      </w: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planned (usually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for</w:t>
                      </w: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relapsing disease):</w:t>
                      </w:r>
                    </w:p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Option 1* </w:t>
                      </w: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br/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Monitor B-cell count (CD19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cells) monthly.  Retreat with single 1g infusion when it rises above 1%.</w:t>
                      </w:r>
                    </w:p>
                    <w:p w:rsidR="003D35B8" w:rsidRDefault="003D35B8" w:rsidP="00CB2C68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Option 2** </w:t>
                      </w: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br/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Monitor memory B-cell population (CD19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/CD27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cells) 6-weekly in first year, 8-weekly in second year, 10-weekly thereafter.  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Retreat when it rises above 0.05% in the first 2 years and 0.1% thereafter.</w:t>
                      </w:r>
                    </w:p>
                    <w:p w:rsidR="003D35B8" w:rsidRDefault="003D35B8" w:rsidP="00CB2C68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3D35B8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Option 3 (if B-cell monitoring is not possible or practical): </w:t>
                      </w: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br/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Repeat infusions at 6 months with further 1-2g.</w:t>
                      </w:r>
                    </w:p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*UK NMO Service practice (adapted from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63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).  For repeated treatment cycles, we have found that giving a single 1g infusion is sufficient to maintain B-cell depletion and clinical outcomes in the majority of cases. </w:t>
                      </w:r>
                    </w:p>
                    <w:p w:rsidR="003D35B8" w:rsidRPr="00CB2C68" w:rsidRDefault="003D35B8" w:rsidP="00CB2C68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** Regime developed for NMOSD maintenance therapy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4 67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– requires monitoring a very small subset of B-cell population. Discuss with local laboratory regarding feasibility and cost.</w:t>
                      </w:r>
                    </w:p>
                  </w:txbxContent>
                </v:textbox>
              </v:shape>
            </w:pict>
          </mc:Fallback>
        </mc:AlternateContent>
      </w: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8112CA" w:rsidP="00CB2C68">
      <w:pPr>
        <w:rPr>
          <w:b/>
          <w:sz w:val="16"/>
        </w:rPr>
      </w:pPr>
      <w:r w:rsidRPr="00413F4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A963C" wp14:editId="24826ED0">
                <wp:simplePos x="0" y="0"/>
                <wp:positionH relativeFrom="column">
                  <wp:posOffset>-17780</wp:posOffset>
                </wp:positionH>
                <wp:positionV relativeFrom="paragraph">
                  <wp:posOffset>89535</wp:posOffset>
                </wp:positionV>
                <wp:extent cx="5608955" cy="889000"/>
                <wp:effectExtent l="0" t="0" r="10795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Default="003D35B8" w:rsidP="00CB2C68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CB2C6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Prior to subsequent infusions: </w:t>
                            </w:r>
                            <w:r w:rsidRPr="00CB2C6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Clinical assessment to exclude active infection </w:t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Pregnancy test if appropriate </w:t>
                            </w:r>
                          </w:p>
                          <w:p w:rsidR="003D35B8" w:rsidRDefault="003D35B8" w:rsidP="00CB2C68"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We perform baseline full blood count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  We c</w:t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heck immunoglobulin levels if there is history of recurrent infection, or in high risk patients for secondary antibody deficiency (including low baseline IgG, previous immunosuppression, combination therapy).</w:t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Retest as above if risk of exp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osure to viral hepatitis or TB </w:t>
                            </w:r>
                            <w:r w:rsidRPr="00CB2C6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35B8" w:rsidRDefault="003D35B8" w:rsidP="00CB2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.4pt;margin-top:7.05pt;width:441.65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">
                <v:textbox>
                  <w:txbxContent>
                    <w:p w:rsidR="003D35B8" w:rsidRDefault="003D35B8" w:rsidP="00CB2C68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CB2C68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Prior to subsequent infusions: </w:t>
                      </w:r>
                      <w:r w:rsidRPr="00CB2C68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Clinical assessment to exclude active infection </w:t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Pregnancy test if appropriate </w:t>
                      </w:r>
                    </w:p>
                    <w:p w:rsidR="003D35B8" w:rsidRDefault="003D35B8" w:rsidP="00CB2C68"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We perform baseline full blood count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  We c</w:t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heck immunoglobulin levels if there is history of recurrent infection, or in high risk patients for secondary antibody deficiency (including low baseline IgG, previous immunosuppression, combination therapy).</w:t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Retest as above if risk of exp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osure to viral hepatitis or TB </w:t>
                      </w:r>
                      <w:r w:rsidRPr="00CB2C6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3D35B8" w:rsidRDefault="003D35B8" w:rsidP="00CB2C68"/>
                  </w:txbxContent>
                </v:textbox>
              </v:shape>
            </w:pict>
          </mc:Fallback>
        </mc:AlternateContent>
      </w: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b/>
          <w:sz w:val="16"/>
        </w:rPr>
      </w:pPr>
    </w:p>
    <w:p w:rsidR="00CB2C68" w:rsidRPr="00413F49" w:rsidRDefault="00CB2C68" w:rsidP="00CB2C68">
      <w:pPr>
        <w:rPr>
          <w:rFonts w:asciiTheme="majorHAnsi" w:hAnsiTheme="majorHAnsi"/>
          <w:b/>
          <w:sz w:val="16"/>
        </w:rPr>
      </w:pPr>
    </w:p>
    <w:p w:rsidR="00240D00" w:rsidRPr="00413F49" w:rsidRDefault="00240D00" w:rsidP="00CB2C68">
      <w:pPr>
        <w:rPr>
          <w:rFonts w:asciiTheme="majorHAnsi" w:hAnsiTheme="majorHAnsi"/>
          <w:b/>
          <w:sz w:val="16"/>
        </w:rPr>
      </w:pPr>
    </w:p>
    <w:p w:rsidR="00450090" w:rsidRPr="00413F49" w:rsidRDefault="00450090" w:rsidP="00CB2C68">
      <w:pPr>
        <w:rPr>
          <w:rFonts w:asciiTheme="majorHAnsi" w:hAnsiTheme="majorHAnsi"/>
          <w:b/>
          <w:sz w:val="16"/>
        </w:rPr>
      </w:pPr>
    </w:p>
    <w:p w:rsidR="004F631A" w:rsidRPr="00413F49" w:rsidRDefault="004F631A" w:rsidP="00CB2C68">
      <w:pPr>
        <w:rPr>
          <w:rFonts w:asciiTheme="majorHAnsi" w:hAnsiTheme="majorHAnsi"/>
          <w:b/>
          <w:sz w:val="16"/>
        </w:rPr>
      </w:pPr>
    </w:p>
    <w:p w:rsidR="00CB2C68" w:rsidRPr="00413F49" w:rsidRDefault="00CB2C68" w:rsidP="00CB2C68">
      <w:pPr>
        <w:rPr>
          <w:rFonts w:asciiTheme="majorHAnsi" w:hAnsiTheme="majorHAnsi"/>
          <w:sz w:val="22"/>
        </w:rPr>
      </w:pPr>
      <w:r w:rsidRPr="00413F49">
        <w:rPr>
          <w:rFonts w:asciiTheme="majorHAnsi" w:hAnsiTheme="majorHAnsi"/>
          <w:b/>
          <w:sz w:val="22"/>
        </w:rPr>
        <w:t xml:space="preserve">Abbreviations:  </w:t>
      </w:r>
      <w:r w:rsidRPr="00413F49">
        <w:rPr>
          <w:rFonts w:asciiTheme="majorHAnsi" w:hAnsiTheme="majorHAnsi"/>
          <w:sz w:val="22"/>
        </w:rPr>
        <w:t xml:space="preserve">HBV = hepatitis B virus, </w:t>
      </w:r>
      <w:proofErr w:type="spellStart"/>
      <w:r w:rsidRPr="00413F49">
        <w:rPr>
          <w:rFonts w:asciiTheme="majorHAnsi" w:hAnsiTheme="majorHAnsi"/>
          <w:sz w:val="22"/>
        </w:rPr>
        <w:t>HBVsAg</w:t>
      </w:r>
      <w:proofErr w:type="spellEnd"/>
      <w:r w:rsidRPr="00413F49">
        <w:rPr>
          <w:rFonts w:asciiTheme="majorHAnsi" w:hAnsiTheme="majorHAnsi"/>
          <w:sz w:val="22"/>
        </w:rPr>
        <w:t xml:space="preserve"> = hepatitis B virus surface antigen, </w:t>
      </w:r>
      <w:proofErr w:type="spellStart"/>
      <w:r w:rsidRPr="00413F49">
        <w:rPr>
          <w:rFonts w:asciiTheme="majorHAnsi" w:hAnsiTheme="majorHAnsi"/>
          <w:sz w:val="22"/>
        </w:rPr>
        <w:t>HBVcAb</w:t>
      </w:r>
      <w:proofErr w:type="spellEnd"/>
      <w:r w:rsidRPr="00413F49">
        <w:rPr>
          <w:rFonts w:asciiTheme="majorHAnsi" w:hAnsiTheme="majorHAnsi"/>
          <w:sz w:val="22"/>
        </w:rPr>
        <w:t xml:space="preserve"> = hepatitis B virus core antibody, HCV = hepatitis C virus.</w:t>
      </w:r>
    </w:p>
    <w:p w:rsidR="00CB2C68" w:rsidRPr="00413F49" w:rsidRDefault="00CB2C68" w:rsidP="00CB2C68">
      <w:pPr>
        <w:rPr>
          <w:rFonts w:asciiTheme="majorHAnsi" w:hAnsiTheme="majorHAnsi"/>
          <w:u w:val="single"/>
        </w:rPr>
      </w:pPr>
    </w:p>
    <w:p w:rsidR="008112CA" w:rsidRPr="00413F49" w:rsidRDefault="008112CA" w:rsidP="00CB2C68">
      <w:pPr>
        <w:rPr>
          <w:rFonts w:asciiTheme="majorHAnsi" w:hAnsiTheme="majorHAnsi"/>
          <w:u w:val="single"/>
        </w:rPr>
      </w:pPr>
    </w:p>
    <w:p w:rsidR="00664887" w:rsidRPr="00413F49" w:rsidRDefault="008112CA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T</w:t>
      </w:r>
      <w:r w:rsidR="00664887" w:rsidRPr="00413F49">
        <w:rPr>
          <w:rFonts w:asciiTheme="majorHAnsi" w:hAnsiTheme="majorHAnsi"/>
          <w:b/>
        </w:rPr>
        <w:t>reatment failure</w:t>
      </w:r>
    </w:p>
    <w:p w:rsidR="006061FF" w:rsidRPr="00413F49" w:rsidRDefault="006061FF" w:rsidP="00D8368A">
      <w:pPr>
        <w:pStyle w:val="ListParagraph"/>
        <w:rPr>
          <w:rFonts w:asciiTheme="majorHAnsi" w:hAnsiTheme="majorHAnsi"/>
        </w:rPr>
      </w:pPr>
    </w:p>
    <w:p w:rsidR="00900CEB" w:rsidRPr="00413F49" w:rsidRDefault="006061FF" w:rsidP="00CF02DF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Where treatment failure is suspected, we advise</w:t>
      </w:r>
      <w:r w:rsidR="00CF02DF" w:rsidRPr="00413F49">
        <w:rPr>
          <w:rFonts w:asciiTheme="majorHAnsi" w:hAnsiTheme="majorHAnsi"/>
        </w:rPr>
        <w:t xml:space="preserve"> excluding alternative possibilities, such as </w:t>
      </w:r>
      <w:proofErr w:type="spellStart"/>
      <w:r w:rsidR="00CF02DF" w:rsidRPr="00413F49">
        <w:rPr>
          <w:rFonts w:asciiTheme="majorHAnsi" w:hAnsiTheme="majorHAnsi"/>
        </w:rPr>
        <w:t>intercurrent</w:t>
      </w:r>
      <w:proofErr w:type="spellEnd"/>
      <w:r w:rsidR="00CF02DF" w:rsidRPr="00413F49">
        <w:rPr>
          <w:rFonts w:asciiTheme="majorHAnsi" w:hAnsiTheme="majorHAnsi"/>
        </w:rPr>
        <w:t xml:space="preserve"> infection, and </w:t>
      </w:r>
      <w:r w:rsidR="006406F8" w:rsidRPr="00413F49">
        <w:rPr>
          <w:rFonts w:asciiTheme="majorHAnsi" w:hAnsiTheme="majorHAnsi"/>
        </w:rPr>
        <w:t xml:space="preserve">ensuring </w:t>
      </w:r>
      <w:r w:rsidRPr="00413F49">
        <w:rPr>
          <w:rFonts w:asciiTheme="majorHAnsi" w:hAnsiTheme="majorHAnsi"/>
        </w:rPr>
        <w:t>that B-cell depletion is adequate</w:t>
      </w:r>
      <w:r w:rsidR="007D5B45" w:rsidRPr="00413F49">
        <w:rPr>
          <w:rFonts w:asciiTheme="majorHAnsi" w:hAnsiTheme="majorHAnsi"/>
        </w:rPr>
        <w:t xml:space="preserve"> by checking a</w:t>
      </w:r>
      <w:r w:rsidR="00174DF3" w:rsidRPr="00413F49">
        <w:rPr>
          <w:rFonts w:asciiTheme="majorHAnsi" w:hAnsiTheme="majorHAnsi"/>
        </w:rPr>
        <w:t xml:space="preserve"> peripheral blood</w:t>
      </w:r>
      <w:r w:rsidR="00CF02DF" w:rsidRPr="00413F49">
        <w:rPr>
          <w:rFonts w:asciiTheme="majorHAnsi" w:hAnsiTheme="majorHAnsi"/>
        </w:rPr>
        <w:t xml:space="preserve"> CD19</w:t>
      </w:r>
      <w:r w:rsidR="00CF02DF" w:rsidRPr="00413F49">
        <w:rPr>
          <w:rFonts w:asciiTheme="majorHAnsi" w:hAnsiTheme="majorHAnsi"/>
          <w:vertAlign w:val="superscript"/>
        </w:rPr>
        <w:t>+</w:t>
      </w:r>
      <w:r w:rsidR="00CF02DF" w:rsidRPr="00413F49">
        <w:rPr>
          <w:rFonts w:asciiTheme="majorHAnsi" w:hAnsiTheme="majorHAnsi"/>
        </w:rPr>
        <w:t xml:space="preserve"> B-cell count.</w:t>
      </w:r>
      <w:r w:rsidR="00544D7B" w:rsidRPr="00413F49">
        <w:rPr>
          <w:rFonts w:asciiTheme="majorHAnsi" w:hAnsiTheme="majorHAnsi"/>
        </w:rPr>
        <w:t xml:space="preserve"> </w:t>
      </w:r>
      <w:r w:rsidR="00900CEB" w:rsidRPr="00413F49">
        <w:rPr>
          <w:rFonts w:asciiTheme="majorHAnsi" w:hAnsiTheme="majorHAnsi"/>
        </w:rPr>
        <w:t>Possible reasons for treatment failure include:</w:t>
      </w:r>
    </w:p>
    <w:p w:rsidR="00900CEB" w:rsidRPr="00413F49" w:rsidRDefault="00900CEB" w:rsidP="00CF02DF">
      <w:pPr>
        <w:jc w:val="both"/>
        <w:rPr>
          <w:rFonts w:asciiTheme="majorHAnsi" w:hAnsiTheme="majorHAnsi"/>
        </w:rPr>
      </w:pPr>
    </w:p>
    <w:p w:rsidR="00900CEB" w:rsidRPr="00413F49" w:rsidRDefault="00900CEB" w:rsidP="00CF02DF">
      <w:pPr>
        <w:jc w:val="both"/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Lack of efficacy of B-cell depletion</w:t>
      </w:r>
    </w:p>
    <w:p w:rsidR="00F733DE" w:rsidRPr="00413F49" w:rsidRDefault="008112CA" w:rsidP="00CF02DF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In </w:t>
      </w:r>
      <w:r w:rsidR="00FD798E" w:rsidRPr="00413F49">
        <w:rPr>
          <w:rFonts w:asciiTheme="majorHAnsi" w:hAnsiTheme="majorHAnsi"/>
        </w:rPr>
        <w:t xml:space="preserve">a large NMOSD cohort (n=100), nine patients (9%) experienced relapses despite </w:t>
      </w:r>
      <w:r w:rsidR="00900CEB" w:rsidRPr="00413F49">
        <w:rPr>
          <w:rFonts w:asciiTheme="majorHAnsi" w:hAnsiTheme="majorHAnsi"/>
        </w:rPr>
        <w:t>CD19</w:t>
      </w:r>
      <w:r w:rsidR="00900CEB" w:rsidRPr="00413F49">
        <w:rPr>
          <w:rFonts w:asciiTheme="majorHAnsi" w:hAnsiTheme="majorHAnsi"/>
          <w:vertAlign w:val="superscript"/>
        </w:rPr>
        <w:t>+</w:t>
      </w:r>
      <w:r w:rsidR="00900CEB" w:rsidRPr="00413F49">
        <w:rPr>
          <w:rFonts w:asciiTheme="majorHAnsi" w:hAnsiTheme="majorHAnsi"/>
        </w:rPr>
        <w:t>/CD27</w:t>
      </w:r>
      <w:r w:rsidR="00900CEB" w:rsidRPr="00413F49">
        <w:rPr>
          <w:rFonts w:asciiTheme="majorHAnsi" w:hAnsiTheme="majorHAnsi"/>
          <w:vertAlign w:val="superscript"/>
        </w:rPr>
        <w:t>+</w:t>
      </w:r>
      <w:r w:rsidR="00900CEB" w:rsidRPr="00413F49">
        <w:rPr>
          <w:rFonts w:asciiTheme="majorHAnsi" w:hAnsiTheme="majorHAnsi"/>
        </w:rPr>
        <w:t xml:space="preserve"> </w:t>
      </w:r>
      <w:r w:rsidR="00FD798E" w:rsidRPr="00413F49">
        <w:rPr>
          <w:rFonts w:asciiTheme="majorHAnsi" w:hAnsiTheme="majorHAnsi"/>
        </w:rPr>
        <w:t xml:space="preserve">memory B-cell depletion </w:t>
      </w:r>
      <w:r w:rsidR="00900CEB" w:rsidRPr="00413F49">
        <w:rPr>
          <w:rFonts w:asciiTheme="majorHAnsi" w:hAnsiTheme="majorHAnsi"/>
        </w:rPr>
        <w:t>within target range</w:t>
      </w:r>
      <w:r w:rsidRPr="00413F49">
        <w:rPr>
          <w:rFonts w:asciiTheme="majorHAnsi" w:hAnsiTheme="majorHAnsi"/>
        </w:rPr>
        <w:t>.</w:t>
      </w:r>
      <w:r w:rsidR="00900CEB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1</w:t>
      </w:r>
      <w:r w:rsidRPr="00413F49">
        <w:rPr>
          <w:rFonts w:asciiTheme="majorHAnsi" w:hAnsiTheme="majorHAnsi"/>
        </w:rPr>
        <w:t xml:space="preserve"> </w:t>
      </w:r>
      <w:r w:rsidR="00900CEB" w:rsidRPr="00413F49">
        <w:rPr>
          <w:rFonts w:asciiTheme="majorHAnsi" w:hAnsiTheme="majorHAnsi"/>
        </w:rPr>
        <w:t xml:space="preserve">NMOSD relapses occurring on rituximab are generally milder than those occurring off treatment. </w:t>
      </w:r>
      <w:r w:rsidR="00BE3C05" w:rsidRPr="00413F49">
        <w:rPr>
          <w:rFonts w:asciiTheme="majorHAnsi" w:hAnsiTheme="majorHAnsi"/>
        </w:rPr>
        <w:t>Non-circulating B-cells (i.e. the majority of the total body B-cell population) and long-lived plasma cells are not</w:t>
      </w:r>
      <w:r w:rsidR="009672E9" w:rsidRPr="00413F49">
        <w:rPr>
          <w:rFonts w:asciiTheme="majorHAnsi" w:hAnsiTheme="majorHAnsi"/>
        </w:rPr>
        <w:t xml:space="preserve"> thought to be depleted </w:t>
      </w:r>
      <w:r w:rsidR="00BE3C05" w:rsidRPr="00413F49">
        <w:rPr>
          <w:rFonts w:asciiTheme="majorHAnsi" w:hAnsiTheme="majorHAnsi"/>
        </w:rPr>
        <w:t>by rituximab and may have a role in breakthrough disease.</w:t>
      </w:r>
      <w:r w:rsidRPr="00413F49">
        <w:rPr>
          <w:rFonts w:asciiTheme="majorHAnsi" w:hAnsiTheme="majorHAnsi"/>
        </w:rPr>
        <w:t xml:space="preserve"> </w:t>
      </w:r>
    </w:p>
    <w:p w:rsidR="00CF02DF" w:rsidRPr="00413F49" w:rsidRDefault="00CF02DF" w:rsidP="00CF02DF">
      <w:pPr>
        <w:jc w:val="both"/>
        <w:rPr>
          <w:rFonts w:asciiTheme="majorHAnsi" w:hAnsiTheme="majorHAnsi"/>
        </w:rPr>
      </w:pPr>
    </w:p>
    <w:p w:rsidR="00CF02DF" w:rsidRPr="00413F49" w:rsidRDefault="00CF02DF" w:rsidP="00CF02DF">
      <w:pPr>
        <w:jc w:val="both"/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Early relapses / delayed therapeutic onset</w:t>
      </w:r>
    </w:p>
    <w:p w:rsidR="0002310A" w:rsidRPr="00413F49" w:rsidRDefault="0002310A" w:rsidP="00CF02DF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Early NMOSD relapses</w:t>
      </w:r>
      <w:r w:rsidR="00273989" w:rsidRPr="00413F49">
        <w:rPr>
          <w:rFonts w:asciiTheme="majorHAnsi" w:hAnsiTheme="majorHAnsi"/>
        </w:rPr>
        <w:t xml:space="preserve"> </w:t>
      </w:r>
      <w:r w:rsidR="00CF02DF" w:rsidRPr="00413F49">
        <w:rPr>
          <w:rFonts w:asciiTheme="majorHAnsi" w:hAnsiTheme="majorHAnsi"/>
        </w:rPr>
        <w:t xml:space="preserve">have been </w:t>
      </w:r>
      <w:r w:rsidRPr="00413F49">
        <w:rPr>
          <w:rFonts w:asciiTheme="majorHAnsi" w:hAnsiTheme="majorHAnsi"/>
        </w:rPr>
        <w:t xml:space="preserve">reported following </w:t>
      </w:r>
      <w:r w:rsidR="00653C1C" w:rsidRPr="00413F49">
        <w:rPr>
          <w:rFonts w:asciiTheme="majorHAnsi" w:hAnsiTheme="majorHAnsi"/>
        </w:rPr>
        <w:t>r</w:t>
      </w:r>
      <w:r w:rsidRPr="00413F49">
        <w:rPr>
          <w:rFonts w:asciiTheme="majorHAnsi" w:hAnsiTheme="majorHAnsi"/>
        </w:rPr>
        <w:t>ituximab induction therapy.</w:t>
      </w:r>
      <w:r w:rsidR="00D03B20" w:rsidRPr="00413F49">
        <w:rPr>
          <w:rFonts w:asciiTheme="majorHAnsi" w:hAnsiTheme="majorHAnsi"/>
          <w:vertAlign w:val="superscript"/>
        </w:rPr>
        <w:t>4 7</w:t>
      </w:r>
      <w:r w:rsidR="00243FB0" w:rsidRPr="00413F49">
        <w:rPr>
          <w:rFonts w:asciiTheme="majorHAnsi" w:hAnsiTheme="majorHAnsi"/>
          <w:vertAlign w:val="superscript"/>
        </w:rPr>
        <w:t>2</w:t>
      </w:r>
      <w:r w:rsidR="00D03B20" w:rsidRPr="00413F49">
        <w:rPr>
          <w:rFonts w:asciiTheme="majorHAnsi" w:hAnsiTheme="majorHAnsi"/>
          <w:vertAlign w:val="superscript"/>
        </w:rPr>
        <w:t xml:space="preserve"> 7</w:t>
      </w:r>
      <w:r w:rsidR="00243FB0" w:rsidRPr="00413F49">
        <w:rPr>
          <w:rFonts w:asciiTheme="majorHAnsi" w:hAnsiTheme="majorHAnsi"/>
          <w:vertAlign w:val="superscript"/>
        </w:rPr>
        <w:t>3</w:t>
      </w:r>
      <w:r w:rsidRPr="00413F49">
        <w:rPr>
          <w:rFonts w:asciiTheme="majorHAnsi" w:hAnsiTheme="majorHAnsi"/>
        </w:rPr>
        <w:t xml:space="preserve"> </w:t>
      </w:r>
      <w:r w:rsidR="00BE3C05" w:rsidRPr="00413F49">
        <w:rPr>
          <w:rFonts w:asciiTheme="majorHAnsi" w:hAnsiTheme="majorHAnsi"/>
        </w:rPr>
        <w:t>T</w:t>
      </w:r>
      <w:r w:rsidR="00653C1C" w:rsidRPr="00413F49">
        <w:rPr>
          <w:rFonts w:asciiTheme="majorHAnsi" w:hAnsiTheme="majorHAnsi"/>
        </w:rPr>
        <w:t>h</w:t>
      </w:r>
      <w:r w:rsidR="00BE3C05" w:rsidRPr="00413F49">
        <w:rPr>
          <w:rFonts w:asciiTheme="majorHAnsi" w:hAnsiTheme="majorHAnsi"/>
        </w:rPr>
        <w:t>is may be due to incomplete B-cell depl</w:t>
      </w:r>
      <w:r w:rsidR="00653C1C" w:rsidRPr="00413F49">
        <w:rPr>
          <w:rFonts w:asciiTheme="majorHAnsi" w:hAnsiTheme="majorHAnsi"/>
        </w:rPr>
        <w:t>e</w:t>
      </w:r>
      <w:r w:rsidR="00BE3C05" w:rsidRPr="00413F49">
        <w:rPr>
          <w:rFonts w:asciiTheme="majorHAnsi" w:hAnsiTheme="majorHAnsi"/>
        </w:rPr>
        <w:t>tion, or</w:t>
      </w:r>
      <w:r w:rsidR="00653C1C" w:rsidRPr="00413F49">
        <w:rPr>
          <w:rFonts w:asciiTheme="majorHAnsi" w:hAnsiTheme="majorHAnsi"/>
        </w:rPr>
        <w:t xml:space="preserve"> </w:t>
      </w:r>
      <w:r w:rsidR="00DC2F6A" w:rsidRPr="00413F49">
        <w:rPr>
          <w:rFonts w:asciiTheme="majorHAnsi" w:hAnsiTheme="majorHAnsi"/>
        </w:rPr>
        <w:t>release of</w:t>
      </w:r>
      <w:r w:rsidRPr="00413F49">
        <w:rPr>
          <w:rFonts w:asciiTheme="majorHAnsi" w:hAnsiTheme="majorHAnsi"/>
        </w:rPr>
        <w:t xml:space="preserve"> systemic B-cell activating factor</w:t>
      </w:r>
      <w:r w:rsidR="006B3DE6" w:rsidRPr="00413F49">
        <w:rPr>
          <w:rFonts w:asciiTheme="majorHAnsi" w:hAnsiTheme="majorHAnsi"/>
        </w:rPr>
        <w:t xml:space="preserve"> (BAFF)</w:t>
      </w:r>
      <w:r w:rsidR="00653C1C" w:rsidRPr="00413F49">
        <w:rPr>
          <w:rFonts w:asciiTheme="majorHAnsi" w:hAnsiTheme="majorHAnsi"/>
        </w:rPr>
        <w:t xml:space="preserve"> induced by B-cell depletion, may</w:t>
      </w:r>
      <w:r w:rsidR="00330CF6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promote </w:t>
      </w:r>
      <w:r w:rsidR="004D3872" w:rsidRPr="00413F49">
        <w:rPr>
          <w:rFonts w:asciiTheme="majorHAnsi" w:hAnsiTheme="majorHAnsi"/>
        </w:rPr>
        <w:t>auto</w:t>
      </w:r>
      <w:r w:rsidRPr="00413F49">
        <w:rPr>
          <w:rFonts w:asciiTheme="majorHAnsi" w:hAnsiTheme="majorHAnsi"/>
        </w:rPr>
        <w:t>antibody prod</w:t>
      </w:r>
      <w:r w:rsidR="004D3872" w:rsidRPr="00413F49">
        <w:rPr>
          <w:rFonts w:asciiTheme="majorHAnsi" w:hAnsiTheme="majorHAnsi"/>
        </w:rPr>
        <w:t>uction</w:t>
      </w:r>
      <w:r w:rsidR="006B3DE6" w:rsidRPr="00413F49">
        <w:rPr>
          <w:rFonts w:asciiTheme="majorHAnsi" w:hAnsiTheme="majorHAnsi"/>
        </w:rPr>
        <w:t xml:space="preserve"> </w:t>
      </w:r>
      <w:r w:rsidR="00653C1C" w:rsidRPr="00413F49">
        <w:rPr>
          <w:rFonts w:asciiTheme="majorHAnsi" w:hAnsiTheme="majorHAnsi"/>
        </w:rPr>
        <w:t>by plasma</w:t>
      </w:r>
      <w:r w:rsidR="006406F8" w:rsidRPr="00413F49">
        <w:rPr>
          <w:rFonts w:asciiTheme="majorHAnsi" w:hAnsiTheme="majorHAnsi"/>
        </w:rPr>
        <w:t xml:space="preserve"> </w:t>
      </w:r>
      <w:r w:rsidR="00653C1C" w:rsidRPr="00413F49">
        <w:rPr>
          <w:rFonts w:asciiTheme="majorHAnsi" w:hAnsiTheme="majorHAnsi"/>
        </w:rPr>
        <w:t>cells</w:t>
      </w:r>
      <w:r w:rsidR="007F5586" w:rsidRPr="00413F49">
        <w:rPr>
          <w:rFonts w:asciiTheme="majorHAnsi" w:hAnsiTheme="majorHAnsi"/>
        </w:rPr>
        <w:t>,</w:t>
      </w:r>
      <w:r w:rsidR="00653C1C" w:rsidRPr="00413F49">
        <w:rPr>
          <w:rFonts w:asciiTheme="majorHAnsi" w:hAnsiTheme="majorHAnsi"/>
        </w:rPr>
        <w:t xml:space="preserve"> leading to </w:t>
      </w:r>
      <w:r w:rsidR="007F5586" w:rsidRPr="00413F49">
        <w:rPr>
          <w:rFonts w:asciiTheme="majorHAnsi" w:hAnsiTheme="majorHAnsi"/>
        </w:rPr>
        <w:t xml:space="preserve">transient rise in </w:t>
      </w:r>
      <w:r w:rsidR="002E1CB7" w:rsidRPr="00413F49">
        <w:rPr>
          <w:rFonts w:asciiTheme="majorHAnsi" w:hAnsiTheme="majorHAnsi"/>
        </w:rPr>
        <w:t>antibody</w:t>
      </w:r>
      <w:r w:rsidR="007F5586" w:rsidRPr="00413F49">
        <w:rPr>
          <w:rFonts w:asciiTheme="majorHAnsi" w:hAnsiTheme="majorHAnsi"/>
        </w:rPr>
        <w:t xml:space="preserve"> titre and </w:t>
      </w:r>
      <w:r w:rsidR="006B3DE6" w:rsidRPr="00413F49">
        <w:rPr>
          <w:rFonts w:asciiTheme="majorHAnsi" w:hAnsiTheme="majorHAnsi"/>
        </w:rPr>
        <w:t>early relapses</w:t>
      </w:r>
      <w:r w:rsidR="004D3872" w:rsidRPr="00413F49">
        <w:rPr>
          <w:rFonts w:asciiTheme="majorHAnsi" w:hAnsiTheme="majorHAnsi"/>
        </w:rPr>
        <w:t>.</w:t>
      </w:r>
      <w:r w:rsidR="003A09A3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4</w:t>
      </w:r>
      <w:r w:rsidR="007F5586" w:rsidRPr="00413F49">
        <w:rPr>
          <w:rFonts w:asciiTheme="majorHAnsi" w:hAnsiTheme="majorHAnsi"/>
        </w:rPr>
        <w:t xml:space="preserve"> </w:t>
      </w:r>
    </w:p>
    <w:p w:rsidR="00294663" w:rsidRPr="00413F49" w:rsidRDefault="00294663" w:rsidP="006061FF">
      <w:pPr>
        <w:rPr>
          <w:rFonts w:asciiTheme="majorHAnsi" w:hAnsiTheme="majorHAnsi"/>
          <w:i/>
        </w:rPr>
      </w:pPr>
    </w:p>
    <w:p w:rsidR="0036369A" w:rsidRPr="00413F49" w:rsidRDefault="001E3ACE" w:rsidP="006061FF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 xml:space="preserve">Incomplete B-cell </w:t>
      </w:r>
      <w:r w:rsidR="00F826F8" w:rsidRPr="00413F49">
        <w:rPr>
          <w:rFonts w:asciiTheme="majorHAnsi" w:hAnsiTheme="majorHAnsi"/>
          <w:i/>
        </w:rPr>
        <w:t xml:space="preserve">depletion </w:t>
      </w:r>
      <w:r w:rsidRPr="00413F49">
        <w:rPr>
          <w:rFonts w:asciiTheme="majorHAnsi" w:hAnsiTheme="majorHAnsi"/>
          <w:i/>
        </w:rPr>
        <w:t>/ e</w:t>
      </w:r>
      <w:r w:rsidR="0036369A" w:rsidRPr="00413F49">
        <w:rPr>
          <w:rFonts w:asciiTheme="majorHAnsi" w:hAnsiTheme="majorHAnsi"/>
          <w:i/>
        </w:rPr>
        <w:t>arly repopulators</w:t>
      </w:r>
    </w:p>
    <w:p w:rsidR="00294663" w:rsidRPr="00413F49" w:rsidRDefault="00906EEA" w:rsidP="00DE6DC5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Genetic factors may explain why some </w:t>
      </w:r>
      <w:r w:rsidR="0036369A" w:rsidRPr="00413F49">
        <w:rPr>
          <w:rFonts w:asciiTheme="majorHAnsi" w:hAnsiTheme="majorHAnsi"/>
        </w:rPr>
        <w:t xml:space="preserve">patients </w:t>
      </w:r>
      <w:r w:rsidRPr="00413F49">
        <w:rPr>
          <w:rFonts w:asciiTheme="majorHAnsi" w:hAnsiTheme="majorHAnsi"/>
        </w:rPr>
        <w:t>do n</w:t>
      </w:r>
      <w:r w:rsidR="0036369A" w:rsidRPr="00413F49">
        <w:rPr>
          <w:rFonts w:asciiTheme="majorHAnsi" w:hAnsiTheme="majorHAnsi"/>
        </w:rPr>
        <w:t>ot maintain adequate B-cell depletion</w:t>
      </w:r>
      <w:r w:rsidRPr="00413F49">
        <w:rPr>
          <w:rFonts w:asciiTheme="majorHAnsi" w:hAnsiTheme="majorHAnsi"/>
        </w:rPr>
        <w:t xml:space="preserve">. </w:t>
      </w:r>
      <w:r w:rsidR="0036369A" w:rsidRPr="00413F49">
        <w:rPr>
          <w:rFonts w:asciiTheme="majorHAnsi" w:hAnsiTheme="majorHAnsi"/>
        </w:rPr>
        <w:t xml:space="preserve"> </w:t>
      </w:r>
      <w:r w:rsidR="0049112E" w:rsidRPr="00413F49">
        <w:rPr>
          <w:rFonts w:asciiTheme="majorHAnsi" w:hAnsiTheme="majorHAnsi"/>
        </w:rPr>
        <w:t>These include polymorphisms in the</w:t>
      </w:r>
      <w:r w:rsidR="00140F56" w:rsidRPr="00413F49">
        <w:rPr>
          <w:rFonts w:asciiTheme="majorHAnsi" w:hAnsiTheme="majorHAnsi"/>
        </w:rPr>
        <w:t xml:space="preserve"> BAFF gene or</w:t>
      </w:r>
      <w:r w:rsidR="0049112E" w:rsidRPr="00413F49">
        <w:rPr>
          <w:rFonts w:asciiTheme="majorHAnsi" w:hAnsiTheme="majorHAnsi"/>
        </w:rPr>
        <w:t xml:space="preserve"> in the </w:t>
      </w:r>
      <w:r w:rsidR="00F733DE" w:rsidRPr="00413F49">
        <w:rPr>
          <w:rFonts w:asciiTheme="majorHAnsi" w:hAnsiTheme="majorHAnsi"/>
        </w:rPr>
        <w:t>F</w:t>
      </w:r>
      <w:r w:rsidR="0049112E" w:rsidRPr="00413F49">
        <w:rPr>
          <w:rFonts w:asciiTheme="majorHAnsi" w:hAnsiTheme="majorHAnsi"/>
        </w:rPr>
        <w:t xml:space="preserve">c gamma receptor 3A </w:t>
      </w:r>
      <w:r w:rsidR="00F31134" w:rsidRPr="00413F49">
        <w:rPr>
          <w:rFonts w:asciiTheme="majorHAnsi" w:hAnsiTheme="majorHAnsi"/>
        </w:rPr>
        <w:t xml:space="preserve">gene </w:t>
      </w:r>
      <w:r w:rsidR="00140F56" w:rsidRPr="00413F49">
        <w:rPr>
          <w:rFonts w:asciiTheme="majorHAnsi" w:hAnsiTheme="majorHAnsi"/>
        </w:rPr>
        <w:t xml:space="preserve">expressed by </w:t>
      </w:r>
      <w:r w:rsidR="00F31134" w:rsidRPr="00413F49">
        <w:rPr>
          <w:rFonts w:asciiTheme="majorHAnsi" w:hAnsiTheme="majorHAnsi"/>
        </w:rPr>
        <w:t xml:space="preserve">the </w:t>
      </w:r>
      <w:r w:rsidR="00140F56" w:rsidRPr="00413F49">
        <w:rPr>
          <w:rFonts w:asciiTheme="majorHAnsi" w:hAnsiTheme="majorHAnsi"/>
        </w:rPr>
        <w:t>effector ce</w:t>
      </w:r>
      <w:r w:rsidR="00124257" w:rsidRPr="00413F49">
        <w:rPr>
          <w:rFonts w:asciiTheme="majorHAnsi" w:hAnsiTheme="majorHAnsi"/>
        </w:rPr>
        <w:t>lls that mediate B-cell killing</w:t>
      </w:r>
      <w:r w:rsidR="00140F56"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1 75</w:t>
      </w:r>
      <w:r w:rsidR="00DE6DC5" w:rsidRPr="00413F49">
        <w:rPr>
          <w:rFonts w:asciiTheme="majorHAnsi" w:hAnsiTheme="majorHAnsi"/>
        </w:rPr>
        <w:t xml:space="preserve"> </w:t>
      </w:r>
      <w:r w:rsidR="001E3ACE" w:rsidRPr="00413F49">
        <w:rPr>
          <w:rFonts w:asciiTheme="majorHAnsi" w:hAnsiTheme="majorHAnsi"/>
        </w:rPr>
        <w:t xml:space="preserve">Another </w:t>
      </w:r>
      <w:r w:rsidR="00544D7B" w:rsidRPr="00413F49">
        <w:rPr>
          <w:rFonts w:asciiTheme="majorHAnsi" w:hAnsiTheme="majorHAnsi"/>
        </w:rPr>
        <w:t xml:space="preserve">hypothetical </w:t>
      </w:r>
      <w:r w:rsidR="001E3ACE" w:rsidRPr="00413F49">
        <w:rPr>
          <w:rFonts w:asciiTheme="majorHAnsi" w:hAnsiTheme="majorHAnsi"/>
        </w:rPr>
        <w:t xml:space="preserve">reason might be the development of anti-drug antibodies. </w:t>
      </w:r>
    </w:p>
    <w:p w:rsidR="00F733DE" w:rsidRPr="00413F49" w:rsidRDefault="00F733DE" w:rsidP="00DE6DC5">
      <w:pPr>
        <w:jc w:val="both"/>
        <w:rPr>
          <w:rFonts w:asciiTheme="majorHAnsi" w:hAnsiTheme="majorHAnsi"/>
          <w:i/>
        </w:rPr>
      </w:pPr>
    </w:p>
    <w:p w:rsidR="001E3ACE" w:rsidRPr="00413F49" w:rsidRDefault="001E3ACE" w:rsidP="00DE6DC5">
      <w:pPr>
        <w:jc w:val="both"/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Anti-drug antibodies</w:t>
      </w:r>
      <w:r w:rsidR="0050706F" w:rsidRPr="00413F49">
        <w:rPr>
          <w:rFonts w:asciiTheme="majorHAnsi" w:hAnsiTheme="majorHAnsi"/>
          <w:i/>
        </w:rPr>
        <w:t xml:space="preserve"> (ADA)</w:t>
      </w:r>
    </w:p>
    <w:p w:rsidR="0058059D" w:rsidRPr="00413F49" w:rsidRDefault="0014454E" w:rsidP="0058059D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T</w:t>
      </w:r>
      <w:r w:rsidR="00F45DFD" w:rsidRPr="00413F49">
        <w:rPr>
          <w:rFonts w:asciiTheme="majorHAnsi" w:hAnsiTheme="majorHAnsi"/>
        </w:rPr>
        <w:t xml:space="preserve">he </w:t>
      </w:r>
      <w:r w:rsidR="00A93413" w:rsidRPr="00413F49">
        <w:rPr>
          <w:rFonts w:asciiTheme="majorHAnsi" w:hAnsiTheme="majorHAnsi"/>
        </w:rPr>
        <w:t>efficacy of some mAbs</w:t>
      </w:r>
      <w:r w:rsidR="00F733DE" w:rsidRPr="00413F49">
        <w:rPr>
          <w:rFonts w:asciiTheme="majorHAnsi" w:hAnsiTheme="majorHAnsi"/>
        </w:rPr>
        <w:t xml:space="preserve"> </w:t>
      </w:r>
      <w:r w:rsidR="00A93413" w:rsidRPr="00413F49">
        <w:rPr>
          <w:rFonts w:asciiTheme="majorHAnsi" w:hAnsiTheme="majorHAnsi"/>
        </w:rPr>
        <w:t>is</w:t>
      </w:r>
      <w:r w:rsidR="00E81935" w:rsidRPr="00413F49">
        <w:rPr>
          <w:rFonts w:asciiTheme="majorHAnsi" w:hAnsiTheme="majorHAnsi"/>
        </w:rPr>
        <w:t xml:space="preserve"> reduced by ADAs, </w:t>
      </w:r>
      <w:r w:rsidR="00F733DE" w:rsidRPr="00413F49">
        <w:rPr>
          <w:rFonts w:asciiTheme="majorHAnsi" w:hAnsiTheme="majorHAnsi"/>
        </w:rPr>
        <w:t>(e</w:t>
      </w:r>
      <w:r w:rsidR="0003447D" w:rsidRPr="00413F49">
        <w:rPr>
          <w:rFonts w:asciiTheme="majorHAnsi" w:hAnsiTheme="majorHAnsi"/>
        </w:rPr>
        <w:t>.</w:t>
      </w:r>
      <w:r w:rsidR="00F733DE" w:rsidRPr="00413F49">
        <w:rPr>
          <w:rFonts w:asciiTheme="majorHAnsi" w:hAnsiTheme="majorHAnsi"/>
        </w:rPr>
        <w:t xml:space="preserve">g. </w:t>
      </w:r>
      <w:r w:rsidR="0003447D" w:rsidRPr="00413F49">
        <w:rPr>
          <w:rFonts w:asciiTheme="majorHAnsi" w:hAnsiTheme="majorHAnsi"/>
        </w:rPr>
        <w:t>a</w:t>
      </w:r>
      <w:r w:rsidR="00906EEA" w:rsidRPr="00413F49">
        <w:rPr>
          <w:rFonts w:asciiTheme="majorHAnsi" w:hAnsiTheme="majorHAnsi"/>
        </w:rPr>
        <w:t xml:space="preserve">nti-tumour necrosis factor </w:t>
      </w:r>
      <w:r w:rsidRPr="00413F49">
        <w:rPr>
          <w:rFonts w:asciiTheme="majorHAnsi" w:hAnsiTheme="majorHAnsi"/>
        </w:rPr>
        <w:t>agents</w:t>
      </w:r>
      <w:r w:rsidR="00F733DE" w:rsidRPr="00413F49">
        <w:rPr>
          <w:rFonts w:asciiTheme="majorHAnsi" w:hAnsiTheme="majorHAnsi"/>
        </w:rPr>
        <w:t>)</w:t>
      </w:r>
      <w:r w:rsidR="0050706F" w:rsidRPr="00413F49">
        <w:rPr>
          <w:rFonts w:asciiTheme="majorHAnsi" w:hAnsiTheme="majorHAnsi"/>
        </w:rPr>
        <w:t xml:space="preserve">.  </w:t>
      </w:r>
      <w:r w:rsidRPr="00413F49">
        <w:rPr>
          <w:rFonts w:asciiTheme="majorHAnsi" w:hAnsiTheme="majorHAnsi"/>
        </w:rPr>
        <w:t xml:space="preserve"> </w:t>
      </w:r>
      <w:r w:rsidR="0050706F" w:rsidRPr="00413F49">
        <w:rPr>
          <w:rFonts w:asciiTheme="majorHAnsi" w:hAnsiTheme="majorHAnsi"/>
        </w:rPr>
        <w:t xml:space="preserve">Fab fragment binding could have a neutralising effect and Fc fragment binding may increase drug clearance. However, </w:t>
      </w:r>
      <w:r w:rsidR="0003447D" w:rsidRPr="00413F49">
        <w:rPr>
          <w:rFonts w:asciiTheme="majorHAnsi" w:hAnsiTheme="majorHAnsi"/>
        </w:rPr>
        <w:t xml:space="preserve">the </w:t>
      </w:r>
      <w:r w:rsidR="00F733DE" w:rsidRPr="00413F49">
        <w:rPr>
          <w:rFonts w:asciiTheme="majorHAnsi" w:hAnsiTheme="majorHAnsi"/>
        </w:rPr>
        <w:t>role of ADA in rituximab</w:t>
      </w:r>
      <w:r w:rsidR="009F6633" w:rsidRPr="00413F49">
        <w:rPr>
          <w:rFonts w:asciiTheme="majorHAnsi" w:hAnsiTheme="majorHAnsi"/>
        </w:rPr>
        <w:t xml:space="preserve"> </w:t>
      </w:r>
      <w:r w:rsidR="0058059D" w:rsidRPr="00413F49">
        <w:rPr>
          <w:rFonts w:asciiTheme="majorHAnsi" w:hAnsiTheme="majorHAnsi"/>
        </w:rPr>
        <w:t>treatment failure</w:t>
      </w:r>
      <w:r w:rsidR="00F733DE" w:rsidRPr="00413F49">
        <w:rPr>
          <w:rFonts w:asciiTheme="majorHAnsi" w:hAnsiTheme="majorHAnsi"/>
        </w:rPr>
        <w:t xml:space="preserve"> is uncertain</w:t>
      </w:r>
      <w:r w:rsidR="0058059D" w:rsidRPr="00413F49">
        <w:rPr>
          <w:rFonts w:asciiTheme="majorHAnsi" w:hAnsiTheme="majorHAnsi"/>
        </w:rPr>
        <w:t xml:space="preserve">. </w:t>
      </w:r>
      <w:r w:rsidR="00F87EF2" w:rsidRPr="00413F49">
        <w:rPr>
          <w:rFonts w:asciiTheme="majorHAnsi" w:hAnsiTheme="majorHAnsi"/>
        </w:rPr>
        <w:t xml:space="preserve">ADA </w:t>
      </w:r>
      <w:r w:rsidR="0050706F" w:rsidRPr="00413F49">
        <w:rPr>
          <w:rFonts w:asciiTheme="majorHAnsi" w:hAnsiTheme="majorHAnsi"/>
        </w:rPr>
        <w:t xml:space="preserve">were </w:t>
      </w:r>
      <w:r w:rsidR="009C7D1A" w:rsidRPr="00413F49">
        <w:rPr>
          <w:rFonts w:asciiTheme="majorHAnsi" w:hAnsiTheme="majorHAnsi"/>
        </w:rPr>
        <w:t>identified in a third of MS patients</w:t>
      </w:r>
      <w:r w:rsidR="00F87EF2" w:rsidRPr="00413F49">
        <w:rPr>
          <w:rFonts w:asciiTheme="majorHAnsi" w:hAnsiTheme="majorHAnsi"/>
        </w:rPr>
        <w:t xml:space="preserve"> treated with rituximab.</w:t>
      </w:r>
      <w:r w:rsidR="0003447D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6</w:t>
      </w:r>
      <w:r w:rsidR="0050706F" w:rsidRPr="00413F49">
        <w:rPr>
          <w:rFonts w:asciiTheme="majorHAnsi" w:hAnsiTheme="majorHAnsi"/>
        </w:rPr>
        <w:t xml:space="preserve"> They </w:t>
      </w:r>
      <w:r w:rsidR="00F733DE" w:rsidRPr="00413F49">
        <w:rPr>
          <w:rFonts w:asciiTheme="majorHAnsi" w:hAnsiTheme="majorHAnsi"/>
        </w:rPr>
        <w:t>may have</w:t>
      </w:r>
      <w:r w:rsidR="0003447D" w:rsidRPr="00413F49">
        <w:rPr>
          <w:rFonts w:asciiTheme="majorHAnsi" w:hAnsiTheme="majorHAnsi"/>
        </w:rPr>
        <w:t xml:space="preserve"> a</w:t>
      </w:r>
      <w:r w:rsidR="00F733DE" w:rsidRPr="00413F49">
        <w:rPr>
          <w:rFonts w:asciiTheme="majorHAnsi" w:hAnsiTheme="majorHAnsi"/>
        </w:rPr>
        <w:t xml:space="preserve"> greater effect in patients on l</w:t>
      </w:r>
      <w:r w:rsidR="0020271B" w:rsidRPr="00413F49">
        <w:rPr>
          <w:rFonts w:asciiTheme="majorHAnsi" w:hAnsiTheme="majorHAnsi"/>
        </w:rPr>
        <w:t>ow dose</w:t>
      </w:r>
      <w:r w:rsidR="00F87EF2" w:rsidRPr="00413F49">
        <w:rPr>
          <w:rFonts w:asciiTheme="majorHAnsi" w:hAnsiTheme="majorHAnsi"/>
        </w:rPr>
        <w:t xml:space="preserve"> rituximab</w:t>
      </w:r>
      <w:r w:rsidR="009C7D1A" w:rsidRPr="00413F49">
        <w:rPr>
          <w:rFonts w:asciiTheme="majorHAnsi" w:hAnsiTheme="majorHAnsi"/>
        </w:rPr>
        <w:t xml:space="preserve"> (100mg infusions)</w:t>
      </w:r>
      <w:r w:rsidR="0050706F" w:rsidRPr="00413F49">
        <w:rPr>
          <w:rFonts w:asciiTheme="majorHAnsi" w:hAnsiTheme="majorHAnsi"/>
        </w:rPr>
        <w:t xml:space="preserve"> but h</w:t>
      </w:r>
      <w:r w:rsidR="009C7D1A" w:rsidRPr="00413F49">
        <w:rPr>
          <w:rFonts w:asciiTheme="majorHAnsi" w:hAnsiTheme="majorHAnsi"/>
        </w:rPr>
        <w:t>igher</w:t>
      </w:r>
      <w:r w:rsidR="0050706F" w:rsidRPr="00413F49">
        <w:rPr>
          <w:rFonts w:asciiTheme="majorHAnsi" w:hAnsiTheme="majorHAnsi"/>
        </w:rPr>
        <w:t>, standard</w:t>
      </w:r>
      <w:r w:rsidR="00906EEA" w:rsidRPr="00413F49">
        <w:rPr>
          <w:rFonts w:asciiTheme="majorHAnsi" w:hAnsiTheme="majorHAnsi"/>
        </w:rPr>
        <w:t xml:space="preserve"> doses probably</w:t>
      </w:r>
      <w:r w:rsidR="009C7D1A" w:rsidRPr="00413F49">
        <w:rPr>
          <w:rFonts w:asciiTheme="majorHAnsi" w:hAnsiTheme="majorHAnsi"/>
        </w:rPr>
        <w:t xml:space="preserve"> over</w:t>
      </w:r>
      <w:r w:rsidR="00581C76" w:rsidRPr="00413F49">
        <w:rPr>
          <w:rFonts w:asciiTheme="majorHAnsi" w:hAnsiTheme="majorHAnsi"/>
        </w:rPr>
        <w:t>come</w:t>
      </w:r>
      <w:r w:rsidR="009C7D1A" w:rsidRPr="00413F49">
        <w:rPr>
          <w:rFonts w:asciiTheme="majorHAnsi" w:hAnsiTheme="majorHAnsi"/>
        </w:rPr>
        <w:t xml:space="preserve"> the effects </w:t>
      </w:r>
      <w:r w:rsidR="0050706F" w:rsidRPr="00413F49">
        <w:rPr>
          <w:rFonts w:asciiTheme="majorHAnsi" w:hAnsiTheme="majorHAnsi"/>
        </w:rPr>
        <w:t xml:space="preserve">of </w:t>
      </w:r>
      <w:r w:rsidR="009C7D1A" w:rsidRPr="00413F49">
        <w:rPr>
          <w:rFonts w:asciiTheme="majorHAnsi" w:hAnsiTheme="majorHAnsi"/>
        </w:rPr>
        <w:t>ADAs</w:t>
      </w:r>
      <w:r w:rsidR="00FF75A3" w:rsidRPr="00413F49">
        <w:rPr>
          <w:rFonts w:asciiTheme="majorHAnsi" w:hAnsiTheme="majorHAnsi"/>
        </w:rPr>
        <w:t>.</w:t>
      </w:r>
      <w:r w:rsidR="00165F52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6</w:t>
      </w:r>
      <w:r w:rsidR="00A92FE4" w:rsidRPr="00413F49">
        <w:rPr>
          <w:rFonts w:asciiTheme="majorHAnsi" w:hAnsiTheme="majorHAnsi"/>
        </w:rPr>
        <w:t xml:space="preserve"> </w:t>
      </w:r>
      <w:r w:rsidR="00906EEA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7</w:t>
      </w:r>
      <w:r w:rsidR="0050706F" w:rsidRPr="00413F49">
        <w:rPr>
          <w:rFonts w:asciiTheme="majorHAnsi" w:hAnsiTheme="majorHAnsi"/>
          <w:vertAlign w:val="superscript"/>
        </w:rPr>
        <w:t xml:space="preserve"> </w:t>
      </w:r>
      <w:r w:rsidR="00F733DE" w:rsidRPr="00413F49">
        <w:rPr>
          <w:rFonts w:asciiTheme="majorHAnsi" w:hAnsiTheme="majorHAnsi"/>
        </w:rPr>
        <w:t xml:space="preserve">Outside of trials, </w:t>
      </w:r>
      <w:r w:rsidR="0050706F" w:rsidRPr="00413F49">
        <w:rPr>
          <w:rFonts w:asciiTheme="majorHAnsi" w:hAnsiTheme="majorHAnsi"/>
        </w:rPr>
        <w:t xml:space="preserve">ADA </w:t>
      </w:r>
      <w:r w:rsidR="00F733DE" w:rsidRPr="00413F49">
        <w:rPr>
          <w:rFonts w:asciiTheme="majorHAnsi" w:hAnsiTheme="majorHAnsi"/>
        </w:rPr>
        <w:t>d</w:t>
      </w:r>
      <w:r w:rsidR="0020271B" w:rsidRPr="00413F49">
        <w:rPr>
          <w:rFonts w:asciiTheme="majorHAnsi" w:hAnsiTheme="majorHAnsi"/>
        </w:rPr>
        <w:t>etection can be technically difficult</w:t>
      </w:r>
      <w:r w:rsidR="00F733DE" w:rsidRPr="00413F49">
        <w:rPr>
          <w:rFonts w:asciiTheme="majorHAnsi" w:hAnsiTheme="majorHAnsi"/>
        </w:rPr>
        <w:t xml:space="preserve">, </w:t>
      </w:r>
      <w:r w:rsidR="0020271B" w:rsidRPr="00413F49">
        <w:rPr>
          <w:rFonts w:asciiTheme="majorHAnsi" w:hAnsiTheme="majorHAnsi"/>
        </w:rPr>
        <w:t>poorly standardised</w:t>
      </w:r>
      <w:r w:rsidR="00F733DE" w:rsidRPr="00413F49">
        <w:rPr>
          <w:rFonts w:asciiTheme="majorHAnsi" w:hAnsiTheme="majorHAnsi"/>
        </w:rPr>
        <w:t xml:space="preserve"> and is </w:t>
      </w:r>
      <w:r w:rsidR="00165F52" w:rsidRPr="00413F49">
        <w:rPr>
          <w:rFonts w:asciiTheme="majorHAnsi" w:hAnsiTheme="majorHAnsi"/>
        </w:rPr>
        <w:t>hard</w:t>
      </w:r>
      <w:r w:rsidR="0020271B" w:rsidRPr="00413F49">
        <w:rPr>
          <w:rFonts w:asciiTheme="majorHAnsi" w:hAnsiTheme="majorHAnsi"/>
        </w:rPr>
        <w:t xml:space="preserve"> to obtain</w:t>
      </w:r>
      <w:r w:rsidR="00F733DE" w:rsidRPr="00413F49">
        <w:rPr>
          <w:rFonts w:asciiTheme="majorHAnsi" w:hAnsiTheme="majorHAnsi"/>
        </w:rPr>
        <w:t xml:space="preserve"> for routine use</w:t>
      </w:r>
      <w:r w:rsidR="0020271B" w:rsidRPr="00413F49">
        <w:rPr>
          <w:rFonts w:asciiTheme="majorHAnsi" w:hAnsiTheme="majorHAnsi"/>
        </w:rPr>
        <w:t>.</w:t>
      </w:r>
    </w:p>
    <w:p w:rsidR="00664887" w:rsidRPr="00413F49" w:rsidRDefault="00664887">
      <w:pPr>
        <w:rPr>
          <w:rFonts w:asciiTheme="majorHAnsi" w:hAnsiTheme="majorHAnsi"/>
          <w:b/>
        </w:rPr>
      </w:pPr>
    </w:p>
    <w:p w:rsidR="00EC17BB" w:rsidRPr="00413F49" w:rsidRDefault="00EC17BB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Combination with other immunosuppressive medications</w:t>
      </w:r>
    </w:p>
    <w:p w:rsidR="00582EEE" w:rsidRPr="00413F49" w:rsidRDefault="00582EEE" w:rsidP="00C13C32">
      <w:pPr>
        <w:jc w:val="both"/>
        <w:rPr>
          <w:rFonts w:asciiTheme="majorHAnsi" w:hAnsiTheme="majorHAnsi"/>
        </w:rPr>
      </w:pPr>
    </w:p>
    <w:p w:rsidR="0037082F" w:rsidRPr="00413F49" w:rsidRDefault="0037082F" w:rsidP="00C13C32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Due to the risk of </w:t>
      </w:r>
      <w:r w:rsidR="00E82AD8" w:rsidRPr="00413F49">
        <w:rPr>
          <w:rFonts w:asciiTheme="majorHAnsi" w:hAnsiTheme="majorHAnsi"/>
        </w:rPr>
        <w:t xml:space="preserve">early </w:t>
      </w:r>
      <w:r w:rsidR="00F87EF2" w:rsidRPr="00413F49">
        <w:rPr>
          <w:rFonts w:asciiTheme="majorHAnsi" w:hAnsiTheme="majorHAnsi"/>
        </w:rPr>
        <w:t xml:space="preserve">relapse </w:t>
      </w:r>
      <w:r w:rsidR="0050706F" w:rsidRPr="00413F49">
        <w:rPr>
          <w:rFonts w:asciiTheme="majorHAnsi" w:hAnsiTheme="majorHAnsi"/>
        </w:rPr>
        <w:t xml:space="preserve">after </w:t>
      </w:r>
      <w:r w:rsidR="00F87EF2" w:rsidRPr="00413F49">
        <w:rPr>
          <w:rFonts w:asciiTheme="majorHAnsi" w:hAnsiTheme="majorHAnsi"/>
        </w:rPr>
        <w:t>r</w:t>
      </w:r>
      <w:r w:rsidRPr="00413F49">
        <w:rPr>
          <w:rFonts w:asciiTheme="majorHAnsi" w:hAnsiTheme="majorHAnsi"/>
        </w:rPr>
        <w:t>ituximab</w:t>
      </w:r>
      <w:r w:rsidR="00F87EF2" w:rsidRPr="00413F49">
        <w:rPr>
          <w:rFonts w:asciiTheme="majorHAnsi" w:hAnsiTheme="majorHAnsi"/>
        </w:rPr>
        <w:t xml:space="preserve"> initiation</w:t>
      </w:r>
      <w:r w:rsidRPr="00413F49">
        <w:rPr>
          <w:rFonts w:asciiTheme="majorHAnsi" w:hAnsiTheme="majorHAnsi"/>
        </w:rPr>
        <w:t xml:space="preserve">, </w:t>
      </w:r>
      <w:r w:rsidR="00E82AD8" w:rsidRPr="00413F49">
        <w:rPr>
          <w:rFonts w:asciiTheme="majorHAnsi" w:hAnsiTheme="majorHAnsi"/>
        </w:rPr>
        <w:t xml:space="preserve">we </w:t>
      </w:r>
      <w:r w:rsidRPr="00413F49">
        <w:rPr>
          <w:rFonts w:asciiTheme="majorHAnsi" w:hAnsiTheme="majorHAnsi"/>
        </w:rPr>
        <w:t xml:space="preserve">continue </w:t>
      </w:r>
      <w:r w:rsidR="0050706F" w:rsidRPr="00413F49">
        <w:rPr>
          <w:rFonts w:asciiTheme="majorHAnsi" w:hAnsiTheme="majorHAnsi"/>
        </w:rPr>
        <w:t>moderate-</w:t>
      </w:r>
      <w:r w:rsidR="00FF75A3" w:rsidRPr="00413F49">
        <w:rPr>
          <w:rFonts w:asciiTheme="majorHAnsi" w:hAnsiTheme="majorHAnsi"/>
        </w:rPr>
        <w:t>d</w:t>
      </w:r>
      <w:r w:rsidR="0050706F" w:rsidRPr="00413F49">
        <w:rPr>
          <w:rFonts w:asciiTheme="majorHAnsi" w:hAnsiTheme="majorHAnsi"/>
        </w:rPr>
        <w:t>ose</w:t>
      </w:r>
      <w:r w:rsidR="00525767" w:rsidRPr="00413F49">
        <w:rPr>
          <w:rFonts w:asciiTheme="majorHAnsi" w:hAnsiTheme="majorHAnsi"/>
        </w:rPr>
        <w:t xml:space="preserve"> </w:t>
      </w:r>
      <w:r w:rsidR="0050706F" w:rsidRPr="00413F49">
        <w:rPr>
          <w:rFonts w:asciiTheme="majorHAnsi" w:hAnsiTheme="majorHAnsi"/>
        </w:rPr>
        <w:t xml:space="preserve">Prednisolone </w:t>
      </w:r>
      <w:r w:rsidR="00FF75A3" w:rsidRPr="00413F49">
        <w:rPr>
          <w:rFonts w:asciiTheme="majorHAnsi" w:hAnsiTheme="majorHAnsi"/>
        </w:rPr>
        <w:t xml:space="preserve">(usually </w:t>
      </w:r>
      <w:r w:rsidR="0050706F" w:rsidRPr="00413F49">
        <w:rPr>
          <w:rFonts w:asciiTheme="majorHAnsi" w:hAnsiTheme="majorHAnsi"/>
        </w:rPr>
        <w:t>1</w:t>
      </w:r>
      <w:r w:rsidR="00FF75A3" w:rsidRPr="00413F49">
        <w:rPr>
          <w:rFonts w:asciiTheme="majorHAnsi" w:hAnsiTheme="majorHAnsi"/>
        </w:rPr>
        <w:t>0-20mg daily)</w:t>
      </w:r>
      <w:r w:rsidRPr="00413F49">
        <w:rPr>
          <w:rFonts w:asciiTheme="majorHAnsi" w:hAnsiTheme="majorHAnsi"/>
        </w:rPr>
        <w:t xml:space="preserve"> for </w:t>
      </w:r>
      <w:r w:rsidR="00544D7B" w:rsidRPr="00413F49">
        <w:rPr>
          <w:rFonts w:asciiTheme="majorHAnsi" w:hAnsiTheme="majorHAnsi"/>
        </w:rPr>
        <w:t>4-</w:t>
      </w:r>
      <w:r w:rsidR="003E2308" w:rsidRPr="00413F49">
        <w:rPr>
          <w:rFonts w:asciiTheme="majorHAnsi" w:hAnsiTheme="majorHAnsi"/>
        </w:rPr>
        <w:t>12 weeks.</w:t>
      </w:r>
      <w:r w:rsidRPr="00413F49">
        <w:rPr>
          <w:rFonts w:asciiTheme="majorHAnsi" w:hAnsiTheme="majorHAnsi"/>
        </w:rPr>
        <w:t xml:space="preserve"> Thereafter, the decision to continue corticosteroids depends on the condition being treated and individual patient factors.  </w:t>
      </w:r>
    </w:p>
    <w:p w:rsidR="0037082F" w:rsidRPr="00413F49" w:rsidRDefault="0037082F" w:rsidP="00C13C32">
      <w:pPr>
        <w:jc w:val="both"/>
        <w:rPr>
          <w:rFonts w:asciiTheme="majorHAnsi" w:hAnsiTheme="majorHAnsi"/>
        </w:rPr>
      </w:pPr>
    </w:p>
    <w:p w:rsidR="00582EEE" w:rsidRPr="00413F49" w:rsidRDefault="0037082F" w:rsidP="00C13C32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Combination with othe</w:t>
      </w:r>
      <w:r w:rsidR="00D506A6" w:rsidRPr="00413F49">
        <w:rPr>
          <w:rFonts w:asciiTheme="majorHAnsi" w:hAnsiTheme="majorHAnsi"/>
        </w:rPr>
        <w:t>r immunosuppressive medicati</w:t>
      </w:r>
      <w:r w:rsidR="00906EEA" w:rsidRPr="00413F49">
        <w:rPr>
          <w:rFonts w:asciiTheme="majorHAnsi" w:hAnsiTheme="majorHAnsi"/>
        </w:rPr>
        <w:t xml:space="preserve">ons can be considered in some circumstances </w:t>
      </w:r>
      <w:r w:rsidR="00D506A6" w:rsidRPr="00413F49">
        <w:rPr>
          <w:rFonts w:asciiTheme="majorHAnsi" w:hAnsiTheme="majorHAnsi"/>
        </w:rPr>
        <w:t>but must be balanced against the risk of immunocompromise</w:t>
      </w:r>
      <w:r w:rsidR="00C13C32" w:rsidRPr="00413F49">
        <w:rPr>
          <w:rFonts w:asciiTheme="majorHAnsi" w:hAnsiTheme="majorHAnsi"/>
        </w:rPr>
        <w:t>.</w:t>
      </w:r>
      <w:r w:rsidR="00B56A51" w:rsidRPr="00413F49">
        <w:rPr>
          <w:rFonts w:asciiTheme="majorHAnsi" w:hAnsiTheme="majorHAnsi"/>
        </w:rPr>
        <w:t xml:space="preserve"> We generally reserve combination </w:t>
      </w:r>
      <w:r w:rsidR="003E2308" w:rsidRPr="00413F49">
        <w:rPr>
          <w:rFonts w:asciiTheme="majorHAnsi" w:hAnsiTheme="majorHAnsi"/>
        </w:rPr>
        <w:t>therapy for refractory disease.</w:t>
      </w:r>
      <w:r w:rsidR="00B56A51" w:rsidRPr="00413F49">
        <w:rPr>
          <w:rFonts w:asciiTheme="majorHAnsi" w:hAnsiTheme="majorHAnsi"/>
        </w:rPr>
        <w:t xml:space="preserve"> </w:t>
      </w:r>
      <w:r w:rsidR="00525767" w:rsidRPr="00413F49">
        <w:rPr>
          <w:rFonts w:asciiTheme="majorHAnsi" w:hAnsiTheme="majorHAnsi"/>
        </w:rPr>
        <w:t>In the treatment of RA, rituximab is</w:t>
      </w:r>
      <w:r w:rsidR="00F85C9E" w:rsidRPr="00413F49">
        <w:rPr>
          <w:rFonts w:asciiTheme="majorHAnsi" w:hAnsiTheme="majorHAnsi"/>
        </w:rPr>
        <w:t xml:space="preserve"> often</w:t>
      </w:r>
      <w:r w:rsidR="00525767" w:rsidRPr="00413F49">
        <w:rPr>
          <w:rFonts w:asciiTheme="majorHAnsi" w:hAnsiTheme="majorHAnsi"/>
        </w:rPr>
        <w:t xml:space="preserve"> combined with methotrexate or </w:t>
      </w:r>
      <w:proofErr w:type="spellStart"/>
      <w:r w:rsidR="00525767" w:rsidRPr="00413F49">
        <w:rPr>
          <w:rFonts w:asciiTheme="majorHAnsi" w:hAnsiTheme="majorHAnsi"/>
        </w:rPr>
        <w:t>leflonumide</w:t>
      </w:r>
      <w:proofErr w:type="spellEnd"/>
      <w:r w:rsidR="00525767" w:rsidRPr="00413F49">
        <w:rPr>
          <w:rFonts w:asciiTheme="majorHAnsi" w:hAnsiTheme="majorHAnsi"/>
        </w:rPr>
        <w:t xml:space="preserve"> but t</w:t>
      </w:r>
      <w:r w:rsidR="00C13C32" w:rsidRPr="00413F49">
        <w:rPr>
          <w:rFonts w:asciiTheme="majorHAnsi" w:hAnsiTheme="majorHAnsi"/>
        </w:rPr>
        <w:t>here is a paucity of evidence to guide practic</w:t>
      </w:r>
      <w:r w:rsidR="003E2308" w:rsidRPr="00413F49">
        <w:rPr>
          <w:rFonts w:asciiTheme="majorHAnsi" w:hAnsiTheme="majorHAnsi"/>
        </w:rPr>
        <w:t>e in neuroinflammatory disease.</w:t>
      </w:r>
      <w:r w:rsidR="001C0FD7" w:rsidRPr="00413F49">
        <w:rPr>
          <w:rFonts w:asciiTheme="majorHAnsi" w:hAnsiTheme="majorHAnsi"/>
        </w:rPr>
        <w:t xml:space="preserve"> </w:t>
      </w:r>
    </w:p>
    <w:p w:rsidR="00906EEA" w:rsidRPr="00413F49" w:rsidRDefault="00906EEA" w:rsidP="00047FDF">
      <w:pPr>
        <w:rPr>
          <w:rFonts w:asciiTheme="majorHAnsi" w:hAnsiTheme="majorHAnsi"/>
          <w:b/>
        </w:rPr>
      </w:pPr>
    </w:p>
    <w:p w:rsidR="006F60C0" w:rsidRPr="00413F49" w:rsidRDefault="006F60C0" w:rsidP="00047FDF">
      <w:pPr>
        <w:rPr>
          <w:rFonts w:asciiTheme="majorHAnsi" w:hAnsiTheme="majorHAnsi"/>
          <w:b/>
        </w:rPr>
      </w:pPr>
    </w:p>
    <w:p w:rsidR="006F60C0" w:rsidRPr="00413F49" w:rsidRDefault="006F60C0" w:rsidP="00047FDF">
      <w:pPr>
        <w:rPr>
          <w:rFonts w:asciiTheme="majorHAnsi" w:hAnsiTheme="majorHAnsi"/>
          <w:b/>
        </w:rPr>
      </w:pPr>
    </w:p>
    <w:p w:rsidR="006F60C0" w:rsidRPr="00413F49" w:rsidRDefault="006F60C0" w:rsidP="00047FDF">
      <w:pPr>
        <w:rPr>
          <w:rFonts w:asciiTheme="majorHAnsi" w:hAnsiTheme="majorHAnsi"/>
          <w:b/>
        </w:rPr>
      </w:pPr>
    </w:p>
    <w:p w:rsidR="002F32C9" w:rsidRPr="00413F49" w:rsidRDefault="00C54E93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Risk</w:t>
      </w:r>
      <w:r w:rsidR="006514F3" w:rsidRPr="00413F49">
        <w:rPr>
          <w:rFonts w:asciiTheme="majorHAnsi" w:hAnsiTheme="majorHAnsi"/>
          <w:b/>
        </w:rPr>
        <w:t>s</w:t>
      </w:r>
      <w:r w:rsidRPr="00413F49">
        <w:rPr>
          <w:rFonts w:asciiTheme="majorHAnsi" w:hAnsiTheme="majorHAnsi"/>
          <w:b/>
        </w:rPr>
        <w:t xml:space="preserve"> and a</w:t>
      </w:r>
      <w:r w:rsidR="002F32C9" w:rsidRPr="00413F49">
        <w:rPr>
          <w:rFonts w:asciiTheme="majorHAnsi" w:hAnsiTheme="majorHAnsi"/>
          <w:b/>
        </w:rPr>
        <w:t xml:space="preserve">dverse events </w:t>
      </w:r>
    </w:p>
    <w:p w:rsidR="002F32C9" w:rsidRPr="00413F49" w:rsidRDefault="002F32C9" w:rsidP="00047FDF">
      <w:pPr>
        <w:rPr>
          <w:rFonts w:asciiTheme="majorHAnsi" w:hAnsiTheme="majorHAnsi"/>
          <w:b/>
        </w:rPr>
      </w:pPr>
    </w:p>
    <w:p w:rsidR="000B2066" w:rsidRPr="00413F49" w:rsidRDefault="00E24E9A" w:rsidP="000B2066">
      <w:pPr>
        <w:jc w:val="both"/>
        <w:rPr>
          <w:rFonts w:asciiTheme="majorHAnsi" w:hAnsiTheme="majorHAnsi"/>
          <w:color w:val="FF0000"/>
        </w:rPr>
      </w:pPr>
      <w:r w:rsidRPr="00413F49">
        <w:rPr>
          <w:rFonts w:asciiTheme="majorHAnsi" w:hAnsiTheme="majorHAnsi"/>
        </w:rPr>
        <w:t>T</w:t>
      </w:r>
      <w:r w:rsidR="002A1AAB" w:rsidRPr="00413F49">
        <w:rPr>
          <w:rFonts w:asciiTheme="majorHAnsi" w:hAnsiTheme="majorHAnsi"/>
        </w:rPr>
        <w:t>h</w:t>
      </w:r>
      <w:r w:rsidR="00906EEA" w:rsidRPr="00413F49">
        <w:rPr>
          <w:rFonts w:asciiTheme="majorHAnsi" w:hAnsiTheme="majorHAnsi"/>
        </w:rPr>
        <w:t xml:space="preserve">e efficacy of rituximab and </w:t>
      </w:r>
      <w:r w:rsidR="002A1AAB" w:rsidRPr="00413F49">
        <w:rPr>
          <w:rFonts w:asciiTheme="majorHAnsi" w:hAnsiTheme="majorHAnsi"/>
        </w:rPr>
        <w:t>current</w:t>
      </w:r>
      <w:r w:rsidR="00906EEA" w:rsidRPr="00413F49">
        <w:rPr>
          <w:rFonts w:asciiTheme="majorHAnsi" w:hAnsiTheme="majorHAnsi"/>
        </w:rPr>
        <w:t xml:space="preserve"> safety data appear</w:t>
      </w:r>
      <w:r w:rsidR="002A1AAB" w:rsidRPr="00413F49">
        <w:rPr>
          <w:rFonts w:asciiTheme="majorHAnsi" w:hAnsiTheme="majorHAnsi"/>
        </w:rPr>
        <w:t xml:space="preserve"> to support its use</w:t>
      </w:r>
      <w:r w:rsidR="00906EEA" w:rsidRPr="00413F49">
        <w:rPr>
          <w:rFonts w:asciiTheme="majorHAnsi" w:hAnsiTheme="majorHAnsi"/>
        </w:rPr>
        <w:t>,</w:t>
      </w:r>
      <w:r w:rsidR="002A1AAB" w:rsidRPr="00413F49">
        <w:rPr>
          <w:rFonts w:asciiTheme="majorHAnsi" w:hAnsiTheme="majorHAnsi"/>
        </w:rPr>
        <w:t xml:space="preserve"> and the longer term safety profile will become clearer with increasing use of</w:t>
      </w:r>
      <w:r w:rsidR="00906EEA" w:rsidRPr="00413F49">
        <w:rPr>
          <w:rFonts w:asciiTheme="majorHAnsi" w:hAnsiTheme="majorHAnsi"/>
        </w:rPr>
        <w:t xml:space="preserve"> B-cell depleting therapies</w:t>
      </w:r>
      <w:r w:rsidR="00243FB0" w:rsidRPr="00413F49">
        <w:rPr>
          <w:rFonts w:asciiTheme="majorHAnsi" w:hAnsiTheme="majorHAnsi"/>
        </w:rPr>
        <w:t xml:space="preserve"> like</w:t>
      </w:r>
      <w:r w:rsidR="009A0C23" w:rsidRPr="00413F49">
        <w:rPr>
          <w:rFonts w:asciiTheme="majorHAnsi" w:hAnsiTheme="majorHAnsi"/>
        </w:rPr>
        <w:t xml:space="preserve"> ocrelizumab</w:t>
      </w:r>
      <w:r w:rsidRPr="00413F49">
        <w:rPr>
          <w:rFonts w:asciiTheme="majorHAnsi" w:hAnsiTheme="majorHAnsi"/>
        </w:rPr>
        <w:t xml:space="preserve">. </w:t>
      </w:r>
      <w:r w:rsidR="00906EEA" w:rsidRPr="00413F49">
        <w:rPr>
          <w:rFonts w:asciiTheme="majorHAnsi" w:hAnsiTheme="majorHAnsi"/>
        </w:rPr>
        <w:t xml:space="preserve">Tables </w:t>
      </w:r>
      <w:r w:rsidR="00512CF2">
        <w:rPr>
          <w:rFonts w:asciiTheme="majorHAnsi" w:hAnsiTheme="majorHAnsi"/>
        </w:rPr>
        <w:t>2 and 3</w:t>
      </w:r>
      <w:r w:rsidR="00906EEA" w:rsidRPr="00413F49">
        <w:rPr>
          <w:rFonts w:asciiTheme="majorHAnsi" w:hAnsiTheme="majorHAnsi"/>
        </w:rPr>
        <w:t xml:space="preserve"> summarise </w:t>
      </w:r>
      <w:r w:rsidR="0050706F" w:rsidRPr="00413F49">
        <w:rPr>
          <w:rFonts w:asciiTheme="majorHAnsi" w:hAnsiTheme="majorHAnsi"/>
        </w:rPr>
        <w:t>t</w:t>
      </w:r>
      <w:r w:rsidR="00906EEA" w:rsidRPr="00413F49">
        <w:rPr>
          <w:rFonts w:asciiTheme="majorHAnsi" w:hAnsiTheme="majorHAnsi"/>
        </w:rPr>
        <w:t>he approach to</w:t>
      </w:r>
      <w:r w:rsidR="0050706F" w:rsidRPr="00413F49">
        <w:rPr>
          <w:rFonts w:asciiTheme="majorHAnsi" w:hAnsiTheme="majorHAnsi"/>
        </w:rPr>
        <w:t xml:space="preserve"> adverse events and special prescribing circumstances. </w:t>
      </w:r>
      <w:r w:rsidR="00C9626C" w:rsidRPr="00413F49">
        <w:rPr>
          <w:rFonts w:asciiTheme="majorHAnsi" w:hAnsiTheme="majorHAnsi"/>
          <w:i/>
        </w:rPr>
        <w:t>I</w:t>
      </w:r>
      <w:r w:rsidR="009240E1" w:rsidRPr="00413F49">
        <w:rPr>
          <w:rFonts w:asciiTheme="majorHAnsi" w:hAnsiTheme="majorHAnsi"/>
          <w:i/>
        </w:rPr>
        <w:t>talicised</w:t>
      </w:r>
      <w:r w:rsidR="000B2066" w:rsidRPr="00413F49">
        <w:rPr>
          <w:rFonts w:asciiTheme="majorHAnsi" w:hAnsiTheme="majorHAnsi"/>
        </w:rPr>
        <w:t xml:space="preserve"> points denote personal practice, rather than established recommendations.</w:t>
      </w:r>
      <w:r w:rsidR="0050706F" w:rsidRPr="00413F49">
        <w:rPr>
          <w:rFonts w:asciiTheme="majorHAnsi" w:hAnsiTheme="majorHAnsi"/>
        </w:rPr>
        <w:t xml:space="preserve">  </w:t>
      </w:r>
    </w:p>
    <w:p w:rsidR="000B2066" w:rsidRPr="00413F49" w:rsidRDefault="000B2066" w:rsidP="000B2066">
      <w:pPr>
        <w:jc w:val="both"/>
        <w:rPr>
          <w:rFonts w:asciiTheme="majorHAnsi" w:hAnsiTheme="majorHAnsi"/>
          <w:color w:val="FF0000"/>
        </w:rPr>
      </w:pPr>
    </w:p>
    <w:p w:rsidR="00C54E93" w:rsidRPr="00413F49" w:rsidRDefault="00C54E93" w:rsidP="000B2066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Rituximab’s relatively favourable safety profile is likely due to preservation of antibody production by </w:t>
      </w:r>
      <w:r w:rsidR="0050706F" w:rsidRPr="00413F49">
        <w:rPr>
          <w:rFonts w:asciiTheme="majorHAnsi" w:hAnsiTheme="majorHAnsi"/>
        </w:rPr>
        <w:t>CD20</w:t>
      </w:r>
      <w:r w:rsidR="00331D24" w:rsidRPr="00413F49">
        <w:rPr>
          <w:rFonts w:asciiTheme="majorHAnsi" w:hAnsiTheme="majorHAnsi"/>
          <w:vertAlign w:val="superscript"/>
        </w:rPr>
        <w:t>negative</w:t>
      </w:r>
      <w:r w:rsidR="0050706F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long-lived plasma </w:t>
      </w:r>
      <w:r w:rsidR="003E2308" w:rsidRPr="00413F49">
        <w:rPr>
          <w:rFonts w:asciiTheme="majorHAnsi" w:hAnsiTheme="majorHAnsi"/>
        </w:rPr>
        <w:t>cells.</w:t>
      </w:r>
      <w:r w:rsidRPr="00413F49">
        <w:rPr>
          <w:rFonts w:asciiTheme="majorHAnsi" w:hAnsiTheme="majorHAnsi"/>
        </w:rPr>
        <w:t xml:space="preserve"> </w:t>
      </w:r>
      <w:r w:rsidR="006514F3" w:rsidRPr="00413F49">
        <w:rPr>
          <w:rFonts w:asciiTheme="majorHAnsi" w:hAnsiTheme="majorHAnsi"/>
        </w:rPr>
        <w:t xml:space="preserve">However, it remains uncertain </w:t>
      </w:r>
      <w:r w:rsidR="00525767" w:rsidRPr="00413F49">
        <w:rPr>
          <w:rFonts w:asciiTheme="majorHAnsi" w:hAnsiTheme="majorHAnsi"/>
        </w:rPr>
        <w:t>whether</w:t>
      </w:r>
      <w:r w:rsidR="006514F3" w:rsidRPr="00413F49">
        <w:rPr>
          <w:rFonts w:asciiTheme="majorHAnsi" w:hAnsiTheme="majorHAnsi"/>
        </w:rPr>
        <w:t xml:space="preserve"> long-term humoral immunity results entirely from </w:t>
      </w:r>
      <w:r w:rsidR="00331D24" w:rsidRPr="00413F49">
        <w:rPr>
          <w:rFonts w:asciiTheme="majorHAnsi" w:hAnsiTheme="majorHAnsi"/>
        </w:rPr>
        <w:t xml:space="preserve">these </w:t>
      </w:r>
      <w:r w:rsidR="00243FB0" w:rsidRPr="00413F49">
        <w:rPr>
          <w:rFonts w:asciiTheme="majorHAnsi" w:hAnsiTheme="majorHAnsi"/>
        </w:rPr>
        <w:t xml:space="preserve">self-sustaining </w:t>
      </w:r>
      <w:r w:rsidR="00331D24" w:rsidRPr="00413F49">
        <w:rPr>
          <w:rFonts w:asciiTheme="majorHAnsi" w:hAnsiTheme="majorHAnsi"/>
        </w:rPr>
        <w:t xml:space="preserve">cells or </w:t>
      </w:r>
      <w:r w:rsidR="006514F3" w:rsidRPr="00413F49">
        <w:rPr>
          <w:rFonts w:asciiTheme="majorHAnsi" w:hAnsiTheme="majorHAnsi"/>
        </w:rPr>
        <w:t>whether replenishment of plasma cell</w:t>
      </w:r>
      <w:r w:rsidR="00151686" w:rsidRPr="00413F49">
        <w:rPr>
          <w:rFonts w:asciiTheme="majorHAnsi" w:hAnsiTheme="majorHAnsi"/>
        </w:rPr>
        <w:t>s by memory B-cells is required</w:t>
      </w:r>
      <w:r w:rsidR="006514F3" w:rsidRPr="00413F49">
        <w:rPr>
          <w:rFonts w:asciiTheme="majorHAnsi" w:hAnsiTheme="majorHAnsi"/>
        </w:rPr>
        <w:t xml:space="preserve">. </w:t>
      </w:r>
      <w:r w:rsidR="00B2793A" w:rsidRPr="00413F49">
        <w:rPr>
          <w:rFonts w:asciiTheme="majorHAnsi" w:hAnsiTheme="majorHAnsi"/>
        </w:rPr>
        <w:t>S</w:t>
      </w:r>
      <w:r w:rsidR="006514F3" w:rsidRPr="00413F49">
        <w:rPr>
          <w:rFonts w:asciiTheme="majorHAnsi" w:hAnsiTheme="majorHAnsi"/>
        </w:rPr>
        <w:t>everal studies have reported secondary antibody deficiency</w:t>
      </w:r>
      <w:r w:rsidR="004F6720" w:rsidRPr="00413F49">
        <w:rPr>
          <w:rFonts w:asciiTheme="majorHAnsi" w:hAnsiTheme="majorHAnsi"/>
        </w:rPr>
        <w:t xml:space="preserve"> </w:t>
      </w:r>
      <w:r w:rsidR="006514F3" w:rsidRPr="00413F49">
        <w:rPr>
          <w:rFonts w:asciiTheme="majorHAnsi" w:hAnsiTheme="majorHAnsi"/>
        </w:rPr>
        <w:t xml:space="preserve">complicating </w:t>
      </w:r>
      <w:r w:rsidR="00525767" w:rsidRPr="00413F49">
        <w:rPr>
          <w:rFonts w:asciiTheme="majorHAnsi" w:hAnsiTheme="majorHAnsi"/>
        </w:rPr>
        <w:t>r</w:t>
      </w:r>
      <w:r w:rsidR="006514F3" w:rsidRPr="00413F49">
        <w:rPr>
          <w:rFonts w:asciiTheme="majorHAnsi" w:hAnsiTheme="majorHAnsi"/>
        </w:rPr>
        <w:t>ituximab therapy – a risk that appears to increase wit</w:t>
      </w:r>
      <w:r w:rsidR="00151686" w:rsidRPr="00413F49">
        <w:rPr>
          <w:rFonts w:asciiTheme="majorHAnsi" w:hAnsiTheme="majorHAnsi"/>
        </w:rPr>
        <w:t>h repeated courses</w:t>
      </w:r>
      <w:r w:rsidR="006A71BF" w:rsidRPr="00413F49">
        <w:rPr>
          <w:rFonts w:asciiTheme="majorHAnsi" w:hAnsiTheme="majorHAnsi"/>
        </w:rPr>
        <w:t xml:space="preserve"> and </w:t>
      </w:r>
      <w:r w:rsidR="003E0D80" w:rsidRPr="00413F49">
        <w:rPr>
          <w:rFonts w:asciiTheme="majorHAnsi" w:hAnsiTheme="majorHAnsi"/>
        </w:rPr>
        <w:t>lower pre</w:t>
      </w:r>
      <w:r w:rsidR="00581C76" w:rsidRPr="00413F49">
        <w:rPr>
          <w:rFonts w:asciiTheme="majorHAnsi" w:hAnsiTheme="majorHAnsi"/>
        </w:rPr>
        <w:t>-</w:t>
      </w:r>
      <w:r w:rsidR="003E0D80" w:rsidRPr="00413F49">
        <w:rPr>
          <w:rFonts w:asciiTheme="majorHAnsi" w:hAnsiTheme="majorHAnsi"/>
        </w:rPr>
        <w:t>treatment levels of immunoglobulins</w:t>
      </w:r>
      <w:r w:rsidR="003E2308" w:rsidRPr="00413F49">
        <w:rPr>
          <w:rFonts w:asciiTheme="majorHAnsi" w:hAnsiTheme="majorHAnsi"/>
        </w:rPr>
        <w:t>.</w:t>
      </w:r>
      <w:r w:rsidR="002E4ACC" w:rsidRPr="00413F49">
        <w:rPr>
          <w:rFonts w:asciiTheme="majorHAnsi" w:hAnsiTheme="majorHAnsi"/>
          <w:vertAlign w:val="superscript"/>
        </w:rPr>
        <w:t>6</w:t>
      </w:r>
      <w:r w:rsidR="004F6720" w:rsidRPr="00413F49">
        <w:rPr>
          <w:rFonts w:asciiTheme="majorHAnsi" w:hAnsiTheme="majorHAnsi"/>
          <w:vertAlign w:val="superscript"/>
        </w:rPr>
        <w:t>7</w:t>
      </w:r>
      <w:r w:rsidR="00151686" w:rsidRPr="00413F49">
        <w:rPr>
          <w:rFonts w:asciiTheme="majorHAnsi" w:hAnsiTheme="majorHAnsi"/>
          <w:vertAlign w:val="superscript"/>
        </w:rPr>
        <w:t xml:space="preserve"> </w:t>
      </w:r>
      <w:r w:rsidR="002E4ACC" w:rsidRPr="00413F49">
        <w:rPr>
          <w:rFonts w:asciiTheme="majorHAnsi" w:hAnsiTheme="majorHAnsi"/>
          <w:vertAlign w:val="superscript"/>
        </w:rPr>
        <w:t>7</w:t>
      </w:r>
      <w:r w:rsidR="00243FB0" w:rsidRPr="00413F49">
        <w:rPr>
          <w:rFonts w:asciiTheme="majorHAnsi" w:hAnsiTheme="majorHAnsi"/>
          <w:vertAlign w:val="superscript"/>
        </w:rPr>
        <w:t>8-80</w:t>
      </w:r>
      <w:r w:rsidR="004F6720" w:rsidRPr="00413F49">
        <w:rPr>
          <w:rFonts w:asciiTheme="majorHAnsi" w:hAnsiTheme="majorHAnsi"/>
        </w:rPr>
        <w:t xml:space="preserve"> Not all patients with </w:t>
      </w:r>
      <w:proofErr w:type="spellStart"/>
      <w:r w:rsidR="004F6720" w:rsidRPr="00413F49">
        <w:rPr>
          <w:rFonts w:asciiTheme="majorHAnsi" w:hAnsiTheme="majorHAnsi"/>
        </w:rPr>
        <w:t>hypogammaglobulinaemia</w:t>
      </w:r>
      <w:proofErr w:type="spellEnd"/>
      <w:r w:rsidR="004F6720" w:rsidRPr="00413F49">
        <w:rPr>
          <w:rFonts w:asciiTheme="majorHAnsi" w:hAnsiTheme="majorHAnsi"/>
        </w:rPr>
        <w:t xml:space="preserve"> develop infections</w:t>
      </w:r>
      <w:r w:rsidR="00243FB0" w:rsidRPr="00413F49">
        <w:rPr>
          <w:rFonts w:asciiTheme="majorHAnsi" w:hAnsiTheme="majorHAnsi"/>
        </w:rPr>
        <w:t>,</w:t>
      </w:r>
      <w:r w:rsidR="004F6720" w:rsidRPr="00413F49">
        <w:rPr>
          <w:rFonts w:asciiTheme="majorHAnsi" w:hAnsiTheme="majorHAnsi"/>
        </w:rPr>
        <w:t xml:space="preserve"> but we</w:t>
      </w:r>
      <w:r w:rsidR="006514F3" w:rsidRPr="00413F49">
        <w:rPr>
          <w:rFonts w:asciiTheme="majorHAnsi" w:hAnsiTheme="majorHAnsi"/>
        </w:rPr>
        <w:t xml:space="preserve"> recently reported a series of serious </w:t>
      </w:r>
      <w:proofErr w:type="spellStart"/>
      <w:r w:rsidR="006514F3" w:rsidRPr="00413F49">
        <w:rPr>
          <w:rFonts w:asciiTheme="majorHAnsi" w:hAnsiTheme="majorHAnsi"/>
        </w:rPr>
        <w:t>sino</w:t>
      </w:r>
      <w:proofErr w:type="spellEnd"/>
      <w:r w:rsidR="006514F3" w:rsidRPr="00413F49">
        <w:rPr>
          <w:rFonts w:asciiTheme="majorHAnsi" w:hAnsiTheme="majorHAnsi"/>
        </w:rPr>
        <w:t xml:space="preserve">-pulmonary infections associated with </w:t>
      </w:r>
      <w:proofErr w:type="spellStart"/>
      <w:r w:rsidR="006514F3" w:rsidRPr="00413F49">
        <w:rPr>
          <w:rFonts w:asciiTheme="majorHAnsi" w:hAnsiTheme="majorHAnsi"/>
        </w:rPr>
        <w:t>hypogammaglobulinaemia</w:t>
      </w:r>
      <w:proofErr w:type="spellEnd"/>
      <w:r w:rsidR="006514F3" w:rsidRPr="00413F49">
        <w:rPr>
          <w:rFonts w:asciiTheme="majorHAnsi" w:hAnsiTheme="majorHAnsi"/>
        </w:rPr>
        <w:t xml:space="preserve"> occurring in </w:t>
      </w:r>
      <w:r w:rsidR="00643168" w:rsidRPr="00413F49">
        <w:rPr>
          <w:rFonts w:asciiTheme="majorHAnsi" w:hAnsiTheme="majorHAnsi"/>
        </w:rPr>
        <w:t>NMOSD patients on long term</w:t>
      </w:r>
      <w:r w:rsidR="00151686" w:rsidRPr="00413F49">
        <w:rPr>
          <w:rFonts w:asciiTheme="majorHAnsi" w:hAnsiTheme="majorHAnsi"/>
        </w:rPr>
        <w:t xml:space="preserve"> rituximab</w:t>
      </w:r>
      <w:r w:rsidR="003E2308" w:rsidRPr="00413F49">
        <w:rPr>
          <w:rFonts w:asciiTheme="majorHAnsi" w:hAnsiTheme="majorHAnsi"/>
        </w:rPr>
        <w:t>.</w:t>
      </w:r>
      <w:r w:rsidR="004F6720" w:rsidRPr="00413F49">
        <w:rPr>
          <w:rFonts w:asciiTheme="majorHAnsi" w:hAnsiTheme="majorHAnsi"/>
          <w:vertAlign w:val="superscript"/>
        </w:rPr>
        <w:t>8</w:t>
      </w:r>
      <w:r w:rsidR="00243FB0" w:rsidRPr="00413F49">
        <w:rPr>
          <w:rFonts w:asciiTheme="majorHAnsi" w:hAnsiTheme="majorHAnsi"/>
          <w:vertAlign w:val="superscript"/>
        </w:rPr>
        <w:t>1</w:t>
      </w:r>
      <w:r w:rsidR="006514F3" w:rsidRPr="00413F49">
        <w:rPr>
          <w:rFonts w:asciiTheme="majorHAnsi" w:hAnsiTheme="majorHAnsi"/>
        </w:rPr>
        <w:t xml:space="preserve"> </w:t>
      </w:r>
      <w:r w:rsidR="0050706F" w:rsidRPr="00413F49">
        <w:rPr>
          <w:rFonts w:asciiTheme="majorHAnsi" w:hAnsiTheme="majorHAnsi"/>
        </w:rPr>
        <w:t xml:space="preserve">All patients had prior exposure to immunosuppressant medications. This has led to </w:t>
      </w:r>
      <w:r w:rsidR="00EF0A8A" w:rsidRPr="00413F49">
        <w:rPr>
          <w:rFonts w:asciiTheme="majorHAnsi" w:hAnsiTheme="majorHAnsi"/>
        </w:rPr>
        <w:t>ch</w:t>
      </w:r>
      <w:r w:rsidR="00CC3443" w:rsidRPr="00413F49">
        <w:rPr>
          <w:rFonts w:asciiTheme="majorHAnsi" w:hAnsiTheme="majorHAnsi"/>
        </w:rPr>
        <w:t>anges in our practice</w:t>
      </w:r>
      <w:r w:rsidR="00EF0A8A" w:rsidRPr="00413F49">
        <w:rPr>
          <w:rFonts w:asciiTheme="majorHAnsi" w:hAnsiTheme="majorHAnsi"/>
        </w:rPr>
        <w:t xml:space="preserve">, </w:t>
      </w:r>
      <w:r w:rsidR="00CC3443" w:rsidRPr="00413F49">
        <w:rPr>
          <w:rFonts w:asciiTheme="majorHAnsi" w:hAnsiTheme="majorHAnsi"/>
        </w:rPr>
        <w:t>with greater focus on pre-treatment vaccinations</w:t>
      </w:r>
      <w:r w:rsidR="004D49DC" w:rsidRPr="00413F49">
        <w:rPr>
          <w:rFonts w:asciiTheme="majorHAnsi" w:hAnsiTheme="majorHAnsi"/>
        </w:rPr>
        <w:t>, B-cell monitoring to limit cumulative rituximab dose</w:t>
      </w:r>
      <w:r w:rsidR="00CC3443" w:rsidRPr="00413F49">
        <w:rPr>
          <w:rFonts w:asciiTheme="majorHAnsi" w:hAnsiTheme="majorHAnsi"/>
        </w:rPr>
        <w:t xml:space="preserve"> </w:t>
      </w:r>
      <w:r w:rsidR="00EF0A8A" w:rsidRPr="00413F49">
        <w:rPr>
          <w:rFonts w:asciiTheme="majorHAnsi" w:hAnsiTheme="majorHAnsi"/>
        </w:rPr>
        <w:t xml:space="preserve">and </w:t>
      </w:r>
      <w:r w:rsidR="00581C76" w:rsidRPr="00413F49">
        <w:rPr>
          <w:rFonts w:asciiTheme="majorHAnsi" w:hAnsiTheme="majorHAnsi"/>
        </w:rPr>
        <w:t>targeted</w:t>
      </w:r>
      <w:r w:rsidR="00EF0A8A" w:rsidRPr="00413F49">
        <w:rPr>
          <w:rFonts w:asciiTheme="majorHAnsi" w:hAnsiTheme="majorHAnsi"/>
        </w:rPr>
        <w:t xml:space="preserve"> use of immunoglobulin replacement therapy</w:t>
      </w:r>
      <w:r w:rsidR="004D49DC" w:rsidRPr="00413F49">
        <w:rPr>
          <w:rFonts w:asciiTheme="majorHAnsi" w:hAnsiTheme="majorHAnsi"/>
        </w:rPr>
        <w:t xml:space="preserve"> (IVIg)</w:t>
      </w:r>
      <w:r w:rsidR="00EF0A8A" w:rsidRPr="00413F49">
        <w:rPr>
          <w:rFonts w:asciiTheme="majorHAnsi" w:hAnsiTheme="majorHAnsi"/>
        </w:rPr>
        <w:t xml:space="preserve"> to mitigate infection risk in selected patients</w:t>
      </w:r>
      <w:r w:rsidR="008F74A1" w:rsidRPr="00413F49">
        <w:rPr>
          <w:rFonts w:asciiTheme="majorHAnsi" w:hAnsiTheme="majorHAnsi"/>
        </w:rPr>
        <w:t xml:space="preserve"> (see</w:t>
      </w:r>
      <w:r w:rsidR="00512CF2">
        <w:rPr>
          <w:rFonts w:asciiTheme="majorHAnsi" w:hAnsiTheme="majorHAnsi"/>
        </w:rPr>
        <w:t xml:space="preserve"> box 1, table 2</w:t>
      </w:r>
      <w:r w:rsidR="008F74A1" w:rsidRPr="00413F49">
        <w:rPr>
          <w:rFonts w:asciiTheme="majorHAnsi" w:hAnsiTheme="majorHAnsi"/>
        </w:rPr>
        <w:t xml:space="preserve"> </w:t>
      </w:r>
      <w:r w:rsidR="00CC3443" w:rsidRPr="00413F49">
        <w:rPr>
          <w:rFonts w:asciiTheme="majorHAnsi" w:hAnsiTheme="majorHAnsi"/>
        </w:rPr>
        <w:t xml:space="preserve">and </w:t>
      </w:r>
      <w:r w:rsidR="008F74A1" w:rsidRPr="00413F49">
        <w:rPr>
          <w:rFonts w:asciiTheme="majorHAnsi" w:hAnsiTheme="majorHAnsi"/>
        </w:rPr>
        <w:t>box 2)</w:t>
      </w:r>
      <w:r w:rsidR="00EF0A8A" w:rsidRPr="00413F49">
        <w:rPr>
          <w:rFonts w:asciiTheme="majorHAnsi" w:hAnsiTheme="majorHAnsi"/>
        </w:rPr>
        <w:t xml:space="preserve">. </w:t>
      </w:r>
      <w:r w:rsidR="004D49DC" w:rsidRPr="00413F49">
        <w:rPr>
          <w:rFonts w:asciiTheme="majorHAnsi" w:hAnsiTheme="majorHAnsi"/>
        </w:rPr>
        <w:t xml:space="preserve"> Monthly IVIg appears effective in preventing </w:t>
      </w:r>
      <w:proofErr w:type="spellStart"/>
      <w:r w:rsidR="004D49DC" w:rsidRPr="00413F49">
        <w:rPr>
          <w:rFonts w:asciiTheme="majorHAnsi" w:hAnsiTheme="majorHAnsi"/>
        </w:rPr>
        <w:t>sino</w:t>
      </w:r>
      <w:proofErr w:type="spellEnd"/>
      <w:r w:rsidR="004D49DC" w:rsidRPr="00413F49">
        <w:rPr>
          <w:rFonts w:asciiTheme="majorHAnsi" w:hAnsiTheme="majorHAnsi"/>
        </w:rPr>
        <w:t>-pulmonary infections but carries a burden in terms of cost and patient experience.</w:t>
      </w:r>
    </w:p>
    <w:p w:rsidR="009C4814" w:rsidRPr="00413F49" w:rsidRDefault="009C4814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CC3443" w:rsidRPr="00413F49" w:rsidRDefault="00CC3443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C44BE4">
      <w:pPr>
        <w:jc w:val="both"/>
        <w:rPr>
          <w:rFonts w:asciiTheme="majorHAnsi" w:hAnsiTheme="majorHAnsi"/>
          <w:i/>
        </w:rPr>
      </w:pPr>
    </w:p>
    <w:p w:rsidR="00240D00" w:rsidRPr="00413F49" w:rsidRDefault="00240D00" w:rsidP="00240D00">
      <w:pPr>
        <w:rPr>
          <w:rFonts w:asciiTheme="majorHAnsi" w:hAnsiTheme="majorHAnsi"/>
          <w:b/>
        </w:rPr>
      </w:pPr>
    </w:p>
    <w:p w:rsidR="00240D00" w:rsidRPr="00413F49" w:rsidRDefault="00240D00" w:rsidP="00240D00">
      <w:pPr>
        <w:rPr>
          <w:rFonts w:asciiTheme="majorHAnsi" w:hAnsiTheme="majorHAnsi"/>
          <w:b/>
        </w:rPr>
      </w:pPr>
    </w:p>
    <w:p w:rsidR="00240D00" w:rsidRPr="00413F49" w:rsidRDefault="00240D00" w:rsidP="00240D00">
      <w:pPr>
        <w:rPr>
          <w:rFonts w:asciiTheme="majorHAnsi" w:hAnsiTheme="majorHAnsi"/>
          <w:b/>
        </w:rPr>
      </w:pPr>
    </w:p>
    <w:p w:rsidR="004D49DC" w:rsidRPr="00413F49" w:rsidRDefault="004D49DC" w:rsidP="00240D00">
      <w:pPr>
        <w:rPr>
          <w:rFonts w:asciiTheme="majorHAnsi" w:hAnsiTheme="majorHAnsi"/>
          <w:b/>
        </w:rPr>
      </w:pPr>
    </w:p>
    <w:p w:rsidR="00240D00" w:rsidRPr="00413F49" w:rsidRDefault="00512CF2" w:rsidP="00240D0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Table 2</w:t>
      </w:r>
      <w:r w:rsidR="00240D00" w:rsidRPr="00413F49">
        <w:rPr>
          <w:rFonts w:asciiTheme="majorHAnsi" w:hAnsiTheme="majorHAnsi"/>
          <w:b/>
        </w:rPr>
        <w:t>: Ritux</w:t>
      </w:r>
      <w:bookmarkStart w:id="0" w:name="_GoBack"/>
      <w:bookmarkEnd w:id="0"/>
      <w:r w:rsidR="00240D00" w:rsidRPr="00413F49">
        <w:rPr>
          <w:rFonts w:asciiTheme="majorHAnsi" w:hAnsiTheme="majorHAnsi"/>
          <w:b/>
        </w:rPr>
        <w:t xml:space="preserve">imab treatment risks and management </w:t>
      </w:r>
    </w:p>
    <w:p w:rsidR="00240D00" w:rsidRPr="00413F49" w:rsidRDefault="00240D00" w:rsidP="00240D00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</w:rPr>
        <w:t xml:space="preserve">Unless a separate reference is given, information is adapted from </w:t>
      </w:r>
      <w:proofErr w:type="spellStart"/>
      <w:r w:rsidRPr="00413F49">
        <w:rPr>
          <w:rFonts w:asciiTheme="majorHAnsi" w:hAnsiTheme="majorHAnsi"/>
        </w:rPr>
        <w:t>Mabthera</w:t>
      </w:r>
      <w:proofErr w:type="spellEnd"/>
      <w:r w:rsidRPr="00413F49">
        <w:rPr>
          <w:rFonts w:asciiTheme="majorHAnsi" w:hAnsiTheme="majorHAnsi"/>
        </w:rPr>
        <w:t xml:space="preserve"> </w:t>
      </w:r>
      <w:proofErr w:type="spellStart"/>
      <w:r w:rsidRPr="00413F49">
        <w:rPr>
          <w:rFonts w:asciiTheme="majorHAnsi" w:hAnsiTheme="majorHAnsi"/>
        </w:rPr>
        <w:t>SmPC</w:t>
      </w:r>
      <w:proofErr w:type="spellEnd"/>
      <w:r w:rsidR="00CC3443" w:rsidRPr="00413F49">
        <w:rPr>
          <w:rFonts w:asciiTheme="majorHAnsi" w:hAnsiTheme="majorHAnsi"/>
        </w:rPr>
        <w:t>, experience from RA</w:t>
      </w:r>
      <w:r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  <w:vertAlign w:val="superscript"/>
        </w:rPr>
        <w:t>5</w:t>
      </w:r>
      <w:r w:rsidR="00CC3443" w:rsidRPr="00413F49">
        <w:rPr>
          <w:rFonts w:asciiTheme="majorHAnsi" w:hAnsiTheme="majorHAnsi"/>
          <w:vertAlign w:val="superscript"/>
        </w:rPr>
        <w:t>6</w:t>
      </w:r>
      <w:r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  <w:i/>
        </w:rPr>
        <w:t>Italicised points reflect personal practice rather than established recommendations.</w:t>
      </w:r>
    </w:p>
    <w:p w:rsidR="00240D00" w:rsidRPr="00413F49" w:rsidRDefault="00240D00" w:rsidP="00CC3443">
      <w:pPr>
        <w:tabs>
          <w:tab w:val="left" w:pos="2127"/>
        </w:tabs>
        <w:rPr>
          <w:rFonts w:asciiTheme="majorHAnsi" w:hAnsiTheme="majorHAnsi"/>
          <w:sz w:val="14"/>
        </w:rPr>
      </w:pPr>
    </w:p>
    <w:tbl>
      <w:tblPr>
        <w:tblStyle w:val="TableGrid"/>
        <w:tblW w:w="9322" w:type="dxa"/>
        <w:tblLayout w:type="fixed"/>
        <w:tblLook w:val="00A0" w:firstRow="1" w:lastRow="0" w:firstColumn="1" w:lastColumn="0" w:noHBand="0" w:noVBand="0"/>
      </w:tblPr>
      <w:tblGrid>
        <w:gridCol w:w="1384"/>
        <w:gridCol w:w="3827"/>
        <w:gridCol w:w="4111"/>
      </w:tblGrid>
      <w:tr w:rsidR="00240D00" w:rsidRPr="00413F49">
        <w:trPr>
          <w:trHeight w:val="347"/>
        </w:trPr>
        <w:tc>
          <w:tcPr>
            <w:tcW w:w="1384" w:type="dxa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Risk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Description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Recommended management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Infusion reactions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The highest risk is with the first infusion (~30%). 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Most reactions are mild (headache,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pruritis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, throat irritation, flushing, rash,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urticaria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>, pyrexia, hypo-/hypertension).</w:t>
            </w:r>
          </w:p>
          <w:p w:rsidR="00240D00" w:rsidRPr="00413F49" w:rsidRDefault="00240D00" w:rsidP="00CC3443">
            <w:pPr>
              <w:spacing w:before="240"/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Severe or life-threatening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anaphylactoid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 infusion reactions leading </w:t>
            </w:r>
            <w:r w:rsidR="00CC3443" w:rsidRPr="00413F49">
              <w:rPr>
                <w:rFonts w:asciiTheme="majorHAnsi" w:hAnsiTheme="majorHAnsi"/>
                <w:sz w:val="16"/>
              </w:rPr>
              <w:t>to drug discontinuation are uncommon (&lt;1/100 cases)</w:t>
            </w:r>
            <w:r w:rsidRPr="00413F49">
              <w:rPr>
                <w:rFonts w:asciiTheme="majorHAnsi" w:hAnsiTheme="majorHAnsi"/>
                <w:sz w:val="16"/>
              </w:rPr>
              <w:t xml:space="preserve">.  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Pre-treatment with corticosteroids reduces the frequency and severity of reactions. 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If possible, withhold antihypertensive medications on the morning of the infusion.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Adhere to manufacturers’ advice regarding infusion rates. 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CC3443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Unless contra-indicated, </w:t>
            </w:r>
            <w:r w:rsidR="00240D00" w:rsidRPr="00413F49">
              <w:rPr>
                <w:rFonts w:asciiTheme="majorHAnsi" w:hAnsiTheme="majorHAnsi"/>
                <w:sz w:val="16"/>
              </w:rPr>
              <w:t>administer IV methylprednisolone 100mg prior to the infusion.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CC3443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Manage mild reactions with interruption or slowing of infusion, paracetamol and antihistamine. Restart infusion at a reduced rate once symptoms resolve.  Manage severe reactions as per the Advanced Life Support algorithm.  Have necessary equipment and medications available. 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proofErr w:type="spellStart"/>
            <w:r w:rsidRPr="00413F49">
              <w:rPr>
                <w:rFonts w:asciiTheme="majorHAnsi" w:hAnsiTheme="majorHAnsi"/>
                <w:b/>
                <w:sz w:val="16"/>
              </w:rPr>
              <w:t>Mucocutaneous</w:t>
            </w:r>
            <w:proofErr w:type="spellEnd"/>
            <w:r w:rsidRPr="00413F49">
              <w:rPr>
                <w:rFonts w:asciiTheme="majorHAnsi" w:hAnsiTheme="majorHAnsi"/>
                <w:b/>
                <w:sz w:val="16"/>
              </w:rPr>
              <w:t xml:space="preserve"> reactions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Severe skin reactions including Stevens-Johnson syndrome and toxic epidermal necrolysis have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 very</w:t>
            </w:r>
            <w:r w:rsidRPr="00413F49">
              <w:rPr>
                <w:rFonts w:asciiTheme="majorHAnsi" w:hAnsiTheme="majorHAnsi"/>
                <w:sz w:val="16"/>
              </w:rPr>
              <w:t xml:space="preserve"> rarely been reported following rituximab infusion, some with fatal outcome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 (&lt;1/10,000 cases)</w:t>
            </w:r>
            <w:r w:rsidRPr="00413F49">
              <w:rPr>
                <w:rFonts w:asciiTheme="majorHAnsi" w:hAnsiTheme="majorHAnsi"/>
                <w:sz w:val="16"/>
              </w:rPr>
              <w:t xml:space="preserve">.  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Do not re-treat with rituximab if patients develop a severe skin reaction.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Adverse cardiac events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Rituximab is not directly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cardiotoxic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 but angina pectoris, arrhythmias and heart failure have been rarely reported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 </w:t>
            </w:r>
            <w:r w:rsidR="002A1AAB" w:rsidRPr="00413F49">
              <w:rPr>
                <w:rFonts w:asciiTheme="majorHAnsi" w:hAnsiTheme="majorHAnsi"/>
                <w:sz w:val="16"/>
              </w:rPr>
              <w:t>(</w:t>
            </w:r>
            <w:r w:rsidR="00CC3443" w:rsidRPr="00413F49">
              <w:rPr>
                <w:rFonts w:asciiTheme="majorHAnsi" w:hAnsiTheme="majorHAnsi"/>
                <w:sz w:val="16"/>
              </w:rPr>
              <w:t>&lt;1/1,000 cases</w:t>
            </w:r>
            <w:r w:rsidR="002A1AAB" w:rsidRPr="00413F49">
              <w:rPr>
                <w:rFonts w:asciiTheme="majorHAnsi" w:hAnsiTheme="majorHAnsi"/>
                <w:sz w:val="16"/>
              </w:rPr>
              <w:t>)</w:t>
            </w:r>
            <w:r w:rsidR="00CC3443" w:rsidRPr="00413F49">
              <w:rPr>
                <w:rFonts w:asciiTheme="majorHAnsi" w:hAnsiTheme="majorHAnsi"/>
                <w:sz w:val="16"/>
              </w:rPr>
              <w:t>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Consider alternative treatment options in patients with severe uncontrolled cardiac disease.  Manufacturers recommend ‘close monitoring’ of those with known cardiac disease. 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Infections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Most infections are mild to moderate, consisting of upper respiratory tract and urinary tract infections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 (very common, &gt;1/10 cases)</w:t>
            </w:r>
            <w:r w:rsidRPr="00413F49">
              <w:rPr>
                <w:rFonts w:asciiTheme="majorHAnsi" w:hAnsiTheme="majorHAnsi"/>
                <w:sz w:val="16"/>
              </w:rPr>
              <w:t xml:space="preserve">. 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Bronchitis, sinusitis and gastroenteritis occur in 1/100-1/10 cases. </w:t>
            </w:r>
            <w:r w:rsidRPr="00413F49">
              <w:rPr>
                <w:rFonts w:asciiTheme="majorHAnsi" w:hAnsiTheme="majorHAnsi"/>
                <w:sz w:val="16"/>
              </w:rPr>
              <w:t>Serious op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portunistic infections are rare, including reactivation of hepatitis B.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Hypogammaglobulinaemia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 and neutro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penia may contribute to </w:t>
            </w:r>
            <w:r w:rsidRPr="00413F49">
              <w:rPr>
                <w:rFonts w:asciiTheme="majorHAnsi" w:hAnsiTheme="majorHAnsi"/>
                <w:sz w:val="16"/>
              </w:rPr>
              <w:t>infection</w:t>
            </w:r>
            <w:r w:rsidR="00CC3443" w:rsidRPr="00413F49">
              <w:rPr>
                <w:rFonts w:asciiTheme="majorHAnsi" w:hAnsiTheme="majorHAnsi"/>
                <w:sz w:val="16"/>
              </w:rPr>
              <w:t xml:space="preserve"> risk</w:t>
            </w:r>
            <w:r w:rsidRPr="00413F49">
              <w:rPr>
                <w:rFonts w:asciiTheme="majorHAnsi" w:hAnsiTheme="majorHAnsi"/>
                <w:sz w:val="16"/>
              </w:rPr>
              <w:t xml:space="preserve"> in some cases (see below).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Do not give rituximab to patients with active infection.</w:t>
            </w:r>
            <w:r w:rsidR="004B6429" w:rsidRPr="00413F49">
              <w:rPr>
                <w:rFonts w:asciiTheme="majorHAnsi" w:hAnsiTheme="majorHAnsi"/>
                <w:sz w:val="16"/>
              </w:rPr>
              <w:t xml:space="preserve"> </w:t>
            </w:r>
            <w:r w:rsidRPr="00413F49">
              <w:rPr>
                <w:rFonts w:asciiTheme="majorHAnsi" w:hAnsiTheme="majorHAnsi"/>
                <w:sz w:val="16"/>
              </w:rPr>
              <w:t>Ask and counsel patients regarding infection or risk of infection.</w:t>
            </w:r>
          </w:p>
          <w:p w:rsidR="004B6429" w:rsidRPr="00413F49" w:rsidRDefault="004B6429" w:rsidP="005E5B4D">
            <w:pPr>
              <w:rPr>
                <w:rFonts w:asciiTheme="majorHAnsi" w:hAnsiTheme="majorHAnsi"/>
                <w:sz w:val="16"/>
              </w:rPr>
            </w:pPr>
          </w:p>
          <w:p w:rsidR="004B6429" w:rsidRPr="00413F49" w:rsidRDefault="006F60C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We recommend a</w:t>
            </w:r>
            <w:r w:rsidR="004B6429" w:rsidRPr="00413F49">
              <w:rPr>
                <w:rFonts w:asciiTheme="majorHAnsi" w:hAnsiTheme="majorHAnsi"/>
                <w:i/>
                <w:sz w:val="16"/>
              </w:rPr>
              <w:t>nnual influenza vaccine and 5-yearly pneumococcal vaccine throughout treatment</w:t>
            </w:r>
            <w:r w:rsidRPr="00413F49">
              <w:rPr>
                <w:rFonts w:asciiTheme="majorHAnsi" w:hAnsiTheme="majorHAnsi"/>
                <w:i/>
                <w:sz w:val="16"/>
              </w:rPr>
              <w:t>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512CF2" w:rsidP="005E5B4D">
            <w:pPr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See notes in table 3</w:t>
            </w:r>
            <w:r w:rsidR="00240D00" w:rsidRPr="00413F49">
              <w:rPr>
                <w:rFonts w:asciiTheme="majorHAnsi" w:hAnsiTheme="majorHAnsi"/>
                <w:sz w:val="16"/>
              </w:rPr>
              <w:t xml:space="preserve"> regarding specific infectious risks: Hepatitis B, C and tuberculosis.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Secondary antibody deficiency</w:t>
            </w:r>
          </w:p>
        </w:tc>
        <w:tc>
          <w:tcPr>
            <w:tcW w:w="3827" w:type="dxa"/>
          </w:tcPr>
          <w:p w:rsidR="00D43D24" w:rsidRPr="00413F49" w:rsidRDefault="00CC3443" w:rsidP="00D43D24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Decreased IgM levels are very common; decreased IgG levels are common. </w:t>
            </w:r>
          </w:p>
          <w:p w:rsidR="00D43D24" w:rsidRPr="00413F49" w:rsidRDefault="00D43D24" w:rsidP="00D43D24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CC3443" w:rsidP="00243FB0">
            <w:pPr>
              <w:rPr>
                <w:rFonts w:asciiTheme="majorHAnsi" w:hAnsiTheme="majorHAnsi"/>
                <w:sz w:val="16"/>
              </w:rPr>
            </w:pPr>
            <w:proofErr w:type="spellStart"/>
            <w:r w:rsidRPr="00413F49">
              <w:rPr>
                <w:rFonts w:asciiTheme="majorHAnsi" w:hAnsiTheme="majorHAnsi"/>
                <w:sz w:val="16"/>
              </w:rPr>
              <w:t>Hypogammaglobulinaemia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 seems to be </w:t>
            </w:r>
            <w:r w:rsidR="00240D00" w:rsidRPr="00413F49">
              <w:rPr>
                <w:rFonts w:asciiTheme="majorHAnsi" w:hAnsiTheme="majorHAnsi"/>
                <w:sz w:val="16"/>
              </w:rPr>
              <w:t>time and dose-dependent.</w:t>
            </w:r>
            <w:r w:rsidR="00D43D24" w:rsidRPr="00413F49">
              <w:rPr>
                <w:rFonts w:asciiTheme="majorHAnsi" w:hAnsiTheme="majorHAnsi"/>
                <w:sz w:val="16"/>
                <w:vertAlign w:val="superscript"/>
              </w:rPr>
              <w:t>7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D43D24" w:rsidRPr="00413F49">
              <w:rPr>
                <w:rFonts w:asciiTheme="majorHAnsi" w:hAnsiTheme="majorHAnsi"/>
                <w:sz w:val="16"/>
                <w:vertAlign w:val="superscript"/>
              </w:rPr>
              <w:t xml:space="preserve"> 7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1E280F" w:rsidRPr="00413F49">
              <w:rPr>
                <w:rFonts w:asciiTheme="majorHAnsi" w:hAnsiTheme="majorHAnsi"/>
                <w:sz w:val="16"/>
              </w:rPr>
              <w:t xml:space="preserve"> </w:t>
            </w:r>
            <w:r w:rsidRPr="00413F49">
              <w:rPr>
                <w:rFonts w:asciiTheme="majorHAnsi" w:hAnsiTheme="majorHAnsi"/>
                <w:sz w:val="16"/>
              </w:rPr>
              <w:t xml:space="preserve">Prior exposure to immunosuppressant drugs may be an additional risk factor. </w:t>
            </w:r>
            <w:r w:rsidR="00D43D24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  <w:r w:rsidR="00D43D24" w:rsidRPr="00413F49">
              <w:rPr>
                <w:rFonts w:asciiTheme="majorHAnsi" w:hAnsiTheme="majorHAnsi"/>
                <w:sz w:val="16"/>
                <w:vertAlign w:val="superscript"/>
              </w:rPr>
              <w:t xml:space="preserve"> 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2</w:t>
            </w:r>
            <w:r w:rsidR="00240D00" w:rsidRPr="00413F49">
              <w:rPr>
                <w:rFonts w:asciiTheme="majorHAnsi" w:hAnsiTheme="majorHAnsi"/>
                <w:sz w:val="16"/>
              </w:rPr>
              <w:t xml:space="preserve"> Patients with low IgG are at risk of infection, particularly recurrent bacterial </w:t>
            </w:r>
            <w:proofErr w:type="spellStart"/>
            <w:r w:rsidR="00240D00" w:rsidRPr="00413F49">
              <w:rPr>
                <w:rFonts w:asciiTheme="majorHAnsi" w:hAnsiTheme="majorHAnsi"/>
                <w:sz w:val="16"/>
              </w:rPr>
              <w:t>s</w:t>
            </w:r>
            <w:r w:rsidRPr="00413F49">
              <w:rPr>
                <w:rFonts w:asciiTheme="majorHAnsi" w:hAnsiTheme="majorHAnsi"/>
                <w:sz w:val="16"/>
              </w:rPr>
              <w:t>ino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>-pulmonary infections, but</w:t>
            </w:r>
            <w:r w:rsidR="00240D00" w:rsidRPr="00413F49">
              <w:rPr>
                <w:rFonts w:asciiTheme="majorHAnsi" w:hAnsiTheme="majorHAnsi"/>
                <w:sz w:val="16"/>
              </w:rPr>
              <w:t xml:space="preserve"> risk does not correlate directly with IgG level.</w:t>
            </w:r>
            <w:r w:rsidR="00240D00" w:rsidRPr="00413F49">
              <w:rPr>
                <w:rFonts w:asciiTheme="majorHAnsi" w:hAnsiTheme="majorHAnsi"/>
                <w:sz w:val="16"/>
                <w:vertAlign w:val="superscript"/>
              </w:rPr>
              <w:t>7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D43D24" w:rsidRPr="00413F49">
              <w:rPr>
                <w:rFonts w:asciiTheme="majorHAnsi" w:hAnsiTheme="majorHAnsi"/>
                <w:sz w:val="16"/>
                <w:vertAlign w:val="superscript"/>
              </w:rPr>
              <w:t xml:space="preserve"> 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  <w:r w:rsidR="00D43D24" w:rsidRPr="00413F49">
              <w:rPr>
                <w:rFonts w:asciiTheme="majorHAnsi" w:hAnsiTheme="majorHAnsi"/>
                <w:sz w:val="16"/>
              </w:rPr>
              <w:t xml:space="preserve"> </w:t>
            </w:r>
            <w:r w:rsidR="00240D00" w:rsidRPr="00413F49">
              <w:rPr>
                <w:rFonts w:asciiTheme="majorHAnsi" w:hAnsiTheme="majorHAnsi"/>
                <w:sz w:val="16"/>
              </w:rPr>
              <w:t>Patients with low baseline IgG levels are at particular risk of  infection.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80</w:t>
            </w:r>
            <w:r w:rsidR="00240D00" w:rsidRPr="00413F49">
              <w:rPr>
                <w:rFonts w:asciiTheme="majorHAnsi" w:hAnsiTheme="majorHAnsi"/>
                <w:i/>
                <w:sz w:val="16"/>
              </w:rPr>
              <w:t xml:space="preserve"> 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Check baseline total serum immunoglobulin levels prior to starting rituximab. Be aware of higher infection risk in patients with low IgG and consider alternative options.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Recheck serum Ig in the context of severe or recurrent infections. See box 2 for approach to symptomatic secondary antibody deficiency.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Consider checking IgG levels in patients with a prior history of immunosuppressive medication use prior to re-treatment with rituximab.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Neutropenia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May occur after first or subsequent infusions.  The highest risk is 3-6 months post-infusion.  Prevalence of 1.3-2.3% when rituximab is given for autoimmune indications;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3</w:t>
            </w:r>
            <w:r w:rsidRPr="00413F49">
              <w:rPr>
                <w:rFonts w:asciiTheme="majorHAnsi" w:hAnsiTheme="majorHAnsi"/>
                <w:sz w:val="16"/>
              </w:rPr>
              <w:t xml:space="preserve"> reported in MS and NMOSD.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4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-8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6</w:t>
            </w:r>
            <w:r w:rsidRPr="00413F49">
              <w:rPr>
                <w:rFonts w:asciiTheme="majorHAnsi" w:hAnsiTheme="majorHAnsi"/>
                <w:sz w:val="16"/>
              </w:rPr>
              <w:t xml:space="preserve"> 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The severity and duration of neutropenia is unpredictable. Many cases are asymptomatic and self-limiting but grade IV neutropenia (&lt;0.5/10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Pr="00413F49">
              <w:rPr>
                <w:rFonts w:asciiTheme="majorHAnsi" w:hAnsiTheme="majorHAnsi"/>
                <w:sz w:val="16"/>
              </w:rPr>
              <w:t xml:space="preserve">/L) with severe infection is rarely reported. 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Check full blood count prior to administering rituximab and upon symptoms or signs of infection. 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Observe cases of asymptomatic mild neutropenia. G-CSF has been used to hasten recovery in grade IV neutropenia or sepsis.</w:t>
            </w:r>
            <w:r w:rsidR="00C46508" w:rsidRPr="00413F49">
              <w:rPr>
                <w:rFonts w:asciiTheme="majorHAnsi" w:hAnsiTheme="majorHAnsi"/>
                <w:i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i/>
                <w:sz w:val="16"/>
                <w:vertAlign w:val="superscript"/>
              </w:rPr>
              <w:t>6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243FB0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Though it may recur, neutropenia is not a contraindication to ongoing rituximab therapy - several case series support ongoing use in autoimmune disease.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3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 xml:space="preserve"> 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5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-8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7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 xml:space="preserve"> PML</w:t>
            </w:r>
          </w:p>
        </w:tc>
        <w:tc>
          <w:tcPr>
            <w:tcW w:w="3827" w:type="dxa"/>
          </w:tcPr>
          <w:p w:rsidR="00240D00" w:rsidRPr="00413F49" w:rsidRDefault="00240D00" w:rsidP="00243FB0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Rituximab may increase risk of PML in individuals already at risk due to pre-existing conditions or immunosuppression.</w:t>
            </w:r>
            <w:r w:rsidR="00D3626E" w:rsidRPr="00413F49">
              <w:rPr>
                <w:rFonts w:asciiTheme="majorHAnsi" w:hAnsiTheme="majorHAnsi"/>
                <w:sz w:val="16"/>
                <w:vertAlign w:val="superscript"/>
              </w:rPr>
              <w:t xml:space="preserve"> </w:t>
            </w:r>
            <w:r w:rsidRPr="00413F49">
              <w:rPr>
                <w:rFonts w:asciiTheme="majorHAnsi" w:hAnsiTheme="majorHAnsi"/>
                <w:sz w:val="16"/>
              </w:rPr>
              <w:t>Risk is estimated at 1 in 30,000 cases exposed to rituximab.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243FB0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Pr="00413F49">
              <w:rPr>
                <w:rFonts w:asciiTheme="majorHAnsi" w:hAnsiTheme="majorHAnsi"/>
                <w:sz w:val="16"/>
              </w:rPr>
              <w:t xml:space="preserve"> No cases have yet been described when rituximab is used alone to treat neuroinflammatory disease.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Discuss PML risk during consent process.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JCV antibody titres do not have an established role in </w:t>
            </w:r>
            <w:r w:rsidR="00A10998" w:rsidRPr="00413F49">
              <w:rPr>
                <w:rFonts w:asciiTheme="majorHAnsi" w:hAnsiTheme="majorHAnsi"/>
                <w:sz w:val="16"/>
              </w:rPr>
              <w:t xml:space="preserve"> rituximab</w:t>
            </w:r>
            <w:r w:rsidR="006547A8" w:rsidRPr="00413F49">
              <w:rPr>
                <w:rFonts w:asciiTheme="majorHAnsi" w:hAnsiTheme="majorHAnsi"/>
                <w:sz w:val="16"/>
              </w:rPr>
              <w:t xml:space="preserve"> use</w:t>
            </w:r>
            <w:r w:rsidRPr="00413F49">
              <w:rPr>
                <w:rFonts w:asciiTheme="majorHAnsi" w:hAnsiTheme="majorHAnsi"/>
                <w:sz w:val="16"/>
              </w:rPr>
              <w:t>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MRI if suggestive clinical features develop.</w:t>
            </w: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 xml:space="preserve"> PRES</w:t>
            </w:r>
          </w:p>
        </w:tc>
        <w:tc>
          <w:tcPr>
            <w:tcW w:w="3827" w:type="dxa"/>
          </w:tcPr>
          <w:p w:rsidR="00240D00" w:rsidRPr="00413F49" w:rsidRDefault="00240D00" w:rsidP="00C46508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Described following rituximab administration in NMOSD and non-neurological indications.  Prevalence of 0.5% in a large cohort of NMOSD patients.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  <w:r w:rsidR="00C46508" w:rsidRPr="00413F49">
              <w:rPr>
                <w:rFonts w:asciiTheme="majorHAnsi" w:hAnsiTheme="majorHAnsi"/>
                <w:sz w:val="16"/>
                <w:vertAlign w:val="superscript"/>
              </w:rPr>
              <w:t>3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MRI if suggestive clinical features develop.</w:t>
            </w:r>
          </w:p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</w:tc>
      </w:tr>
      <w:tr w:rsidR="00240D00" w:rsidRPr="00413F49">
        <w:trPr>
          <w:trHeight w:val="333"/>
        </w:trPr>
        <w:tc>
          <w:tcPr>
            <w:tcW w:w="1384" w:type="dxa"/>
            <w:vAlign w:val="center"/>
          </w:tcPr>
          <w:p w:rsidR="00240D00" w:rsidRPr="00413F49" w:rsidRDefault="00240D00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Malignancy</w:t>
            </w:r>
          </w:p>
        </w:tc>
        <w:tc>
          <w:tcPr>
            <w:tcW w:w="3827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No increased risk identified</w:t>
            </w:r>
            <w:r w:rsidR="00C46508" w:rsidRPr="00413F49">
              <w:rPr>
                <w:rFonts w:asciiTheme="majorHAnsi" w:hAnsiTheme="majorHAnsi"/>
                <w:sz w:val="16"/>
              </w:rPr>
              <w:t>.</w:t>
            </w:r>
          </w:p>
        </w:tc>
        <w:tc>
          <w:tcPr>
            <w:tcW w:w="4111" w:type="dxa"/>
          </w:tcPr>
          <w:p w:rsidR="00240D00" w:rsidRPr="00413F49" w:rsidRDefault="00240D00" w:rsidP="005E5B4D">
            <w:pPr>
              <w:rPr>
                <w:rFonts w:asciiTheme="majorHAnsi" w:hAnsiTheme="majorHAnsi"/>
                <w:sz w:val="16"/>
              </w:rPr>
            </w:pPr>
          </w:p>
        </w:tc>
      </w:tr>
    </w:tbl>
    <w:p w:rsidR="00512CF2" w:rsidRDefault="00512CF2" w:rsidP="008F4A41">
      <w:pPr>
        <w:rPr>
          <w:rFonts w:asciiTheme="majorHAnsi" w:hAnsiTheme="majorHAnsi"/>
          <w:b/>
          <w:sz w:val="20"/>
          <w:szCs w:val="20"/>
        </w:rPr>
      </w:pPr>
    </w:p>
    <w:p w:rsidR="008F4A41" w:rsidRPr="00413F49" w:rsidRDefault="008F4A41" w:rsidP="008F4A41">
      <w:pPr>
        <w:rPr>
          <w:rFonts w:asciiTheme="majorHAnsi" w:hAnsiTheme="majorHAnsi"/>
          <w:sz w:val="20"/>
          <w:szCs w:val="20"/>
        </w:rPr>
      </w:pPr>
      <w:r w:rsidRPr="00413F49">
        <w:rPr>
          <w:rFonts w:asciiTheme="majorHAnsi" w:hAnsiTheme="majorHAnsi"/>
          <w:b/>
          <w:sz w:val="20"/>
          <w:szCs w:val="20"/>
        </w:rPr>
        <w:lastRenderedPageBreak/>
        <w:t>Abbreviations:</w:t>
      </w:r>
      <w:r w:rsidRPr="00413F49">
        <w:rPr>
          <w:rFonts w:asciiTheme="majorHAnsi" w:hAnsiTheme="majorHAnsi"/>
          <w:sz w:val="20"/>
          <w:szCs w:val="20"/>
        </w:rPr>
        <w:t xml:space="preserve"> G-CSF = granulocyte colony stimulating factor, PML = progressive multifocal leukoencephalopathy, JCV = John Cunningham virus, PRES = posterior reversible encephalopathy syndrome.</w:t>
      </w:r>
    </w:p>
    <w:p w:rsidR="008F4A41" w:rsidRPr="00413F49" w:rsidRDefault="008F4A41" w:rsidP="008F4A41">
      <w:pPr>
        <w:rPr>
          <w:rFonts w:asciiTheme="majorHAnsi" w:hAnsiTheme="majorHAnsi"/>
          <w:b/>
        </w:rPr>
      </w:pPr>
    </w:p>
    <w:p w:rsidR="008F4A41" w:rsidRPr="00413F49" w:rsidRDefault="008F4A41" w:rsidP="008F4A41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Table </w:t>
      </w:r>
      <w:r w:rsidR="00512CF2">
        <w:rPr>
          <w:rFonts w:asciiTheme="majorHAnsi" w:hAnsiTheme="majorHAnsi"/>
          <w:b/>
        </w:rPr>
        <w:t>3</w:t>
      </w:r>
      <w:r w:rsidRPr="00413F49">
        <w:rPr>
          <w:rFonts w:asciiTheme="majorHAnsi" w:hAnsiTheme="majorHAnsi"/>
          <w:b/>
        </w:rPr>
        <w:t xml:space="preserve">: Other considerations and special circumstances when prescribing rituximab </w:t>
      </w:r>
    </w:p>
    <w:p w:rsidR="008F4A41" w:rsidRPr="00413F49" w:rsidRDefault="008F4A41" w:rsidP="008F4A41">
      <w:pPr>
        <w:rPr>
          <w:rFonts w:asciiTheme="majorHAnsi" w:hAnsiTheme="majorHAnsi"/>
          <w:i/>
        </w:rPr>
      </w:pPr>
      <w:r w:rsidRPr="00413F49">
        <w:rPr>
          <w:rFonts w:asciiTheme="majorHAnsi" w:hAnsiTheme="majorHAnsi"/>
          <w:i/>
        </w:rPr>
        <w:t>Italicised points reflect personal practice rather than established recommendations.</w:t>
      </w:r>
    </w:p>
    <w:p w:rsidR="008F4A41" w:rsidRPr="00413F49" w:rsidRDefault="008F4A41" w:rsidP="008F4A41"/>
    <w:tbl>
      <w:tblPr>
        <w:tblStyle w:val="TableGrid"/>
        <w:tblW w:w="9180" w:type="dxa"/>
        <w:tblLook w:val="00A0" w:firstRow="1" w:lastRow="0" w:firstColumn="1" w:lastColumn="0" w:noHBand="0" w:noVBand="0"/>
      </w:tblPr>
      <w:tblGrid>
        <w:gridCol w:w="1384"/>
        <w:gridCol w:w="3827"/>
        <w:gridCol w:w="3969"/>
      </w:tblGrid>
      <w:tr w:rsidR="008F4A41" w:rsidRPr="00413F49">
        <w:trPr>
          <w:trHeight w:val="347"/>
        </w:trPr>
        <w:tc>
          <w:tcPr>
            <w:tcW w:w="1384" w:type="dxa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Circumstance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Known risks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Recommended management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Pregnancy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The safety of B-cell depleting biologic therapies is not fully known.  In 153 exposed pregnancies, rates of miscarriage and congenital malformation were similar to expected rates in the general population.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CE2779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Placental transfer of immunoglobulins (including rituximab) occurs from the second trimester onwards.  Exposure during organogenesis is therefore likely to be very limited.  Exposure in later pregnancy has resulted in neonatal B-cell depletion, which recovered in 3-6months.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Effective contraception (in both sexes) is advised by manufacturers during and for 12 months after treatment.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6 56</w:t>
            </w:r>
            <w:r w:rsidRPr="00413F49">
              <w:rPr>
                <w:rFonts w:asciiTheme="majorHAnsi" w:hAnsiTheme="majorHAnsi"/>
                <w:sz w:val="16"/>
              </w:rPr>
              <w:t xml:space="preserve"> Avoid in pregnancy unless potential benefit to </w:t>
            </w:r>
            <w:r w:rsidR="00550DC7" w:rsidRPr="00413F49">
              <w:rPr>
                <w:rFonts w:asciiTheme="majorHAnsi" w:hAnsiTheme="majorHAnsi"/>
                <w:sz w:val="16"/>
              </w:rPr>
              <w:t xml:space="preserve">the </w:t>
            </w:r>
            <w:r w:rsidRPr="00413F49">
              <w:rPr>
                <w:rFonts w:asciiTheme="majorHAnsi" w:hAnsiTheme="majorHAnsi"/>
                <w:sz w:val="16"/>
              </w:rPr>
              <w:t>mother outweighs risk of B-cell depletion in</w:t>
            </w:r>
            <w:r w:rsidR="00550DC7" w:rsidRPr="00413F49">
              <w:rPr>
                <w:rFonts w:asciiTheme="majorHAnsi" w:hAnsiTheme="majorHAnsi"/>
                <w:sz w:val="16"/>
              </w:rPr>
              <w:t xml:space="preserve"> the</w:t>
            </w:r>
            <w:r w:rsidRPr="00413F49">
              <w:rPr>
                <w:rFonts w:asciiTheme="majorHAnsi" w:hAnsiTheme="majorHAnsi"/>
                <w:sz w:val="16"/>
              </w:rPr>
              <w:t xml:space="preserve"> foetus 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6 56</w:t>
            </w:r>
            <w:r w:rsidRPr="00413F49">
              <w:rPr>
                <w:rFonts w:asciiTheme="majorHAnsi" w:hAnsiTheme="majorHAnsi"/>
                <w:sz w:val="16"/>
              </w:rPr>
              <w:t xml:space="preserve"> (see text section ‘risks and adverse effects’ for further discussion).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Live vaccines should not be given to exposed babies for the first six months of life.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 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We counsel women prior to initiation on rituximab and perform a pregnancy test before each infusion.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Breastfeeding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There are no studies formally assessing safety of rituximab during lactation. 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F929CE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As a large molecule, it is unlikely to transfer to breastmilk in any significant amounts.  The exception to this is the first 3 days post-partum when gaps between breast alveolar cells are larger and transfer of immunoglobulins is possible. Rituximab exhibits poor gastrointestinal absorption and is likely be destroyed in the baby’s gut.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0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  <w:vertAlign w:val="superscript"/>
              </w:rPr>
            </w:pPr>
            <w:r w:rsidRPr="00413F49">
              <w:rPr>
                <w:rFonts w:asciiTheme="majorHAnsi" w:hAnsiTheme="majorHAnsi"/>
                <w:sz w:val="16"/>
              </w:rPr>
              <w:t>Despite apparent low risks there is still insufficient evidence to guarantee safety. Manufacturer advise that women avoid breastfeeding during and for 12 months after treatment.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6 56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 xml:space="preserve">  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  <w:vertAlign w:val="superscript"/>
              </w:rPr>
            </w:pPr>
          </w:p>
          <w:p w:rsidR="008F4A41" w:rsidRPr="00413F49" w:rsidRDefault="008F4A41" w:rsidP="00F929CE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We counsel mothers and support their decision if they choose to breast feed.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Existing cardiac disease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Severe cardiac disease is a contraindication to rituximab when used for RA or A</w:t>
            </w:r>
            <w:r w:rsidR="00BF6FE4" w:rsidRPr="00413F49">
              <w:rPr>
                <w:rFonts w:asciiTheme="majorHAnsi" w:hAnsiTheme="majorHAnsi"/>
                <w:sz w:val="16"/>
              </w:rPr>
              <w:t>A</w:t>
            </w:r>
            <w:r w:rsidRPr="00413F49">
              <w:rPr>
                <w:rFonts w:asciiTheme="majorHAnsi" w:hAnsiTheme="majorHAnsi"/>
                <w:sz w:val="16"/>
              </w:rPr>
              <w:t xml:space="preserve">V (but not lymphoma) due to a higher risk of myocardial infarction, arrhythmia or decompensating severe heart failure.  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Consider alternative treatment options in patients with severe uncontrolled cardiac disease.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Previous hepatitis B virus (HBV) infection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Risk of HBV reactivation post-rituximab is well described and includes fatal cases of fulminant hepatitis</w:t>
            </w:r>
            <w:r w:rsidRPr="00413F49">
              <w:rPr>
                <w:rFonts w:asciiTheme="majorHAnsi" w:hAnsiTheme="majorHAnsi"/>
                <w:sz w:val="16"/>
              </w:rPr>
              <w:t>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  <w:r w:rsidRPr="00413F49">
              <w:rPr>
                <w:rFonts w:asciiTheme="majorHAnsi" w:hAnsiTheme="majorHAnsi"/>
                <w:sz w:val="16"/>
              </w:rPr>
              <w:t xml:space="preserve"> 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</w:p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Reactivation can occur in both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HBVsAg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-positive and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HBVsAg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-negative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HBVcAb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>-positive individuals (“reverse seroconversion”).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 xml:space="preserve">Do not give rituximab to patients with active HBV hepatitis. Test </w:t>
            </w:r>
            <w:proofErr w:type="spellStart"/>
            <w:r w:rsidRPr="00413F49">
              <w:rPr>
                <w:rFonts w:asciiTheme="majorHAnsi" w:hAnsiTheme="majorHAnsi"/>
                <w:b/>
                <w:sz w:val="16"/>
              </w:rPr>
              <w:t>HBVsAg</w:t>
            </w:r>
            <w:proofErr w:type="spellEnd"/>
            <w:r w:rsidRPr="00413F49">
              <w:rPr>
                <w:rFonts w:asciiTheme="majorHAnsi" w:hAnsiTheme="majorHAnsi"/>
                <w:b/>
                <w:sz w:val="16"/>
              </w:rPr>
              <w:t xml:space="preserve">, </w:t>
            </w:r>
            <w:proofErr w:type="spellStart"/>
            <w:r w:rsidRPr="00413F49">
              <w:rPr>
                <w:rFonts w:asciiTheme="majorHAnsi" w:hAnsiTheme="majorHAnsi"/>
                <w:b/>
                <w:sz w:val="16"/>
              </w:rPr>
              <w:t>HBVcAb</w:t>
            </w:r>
            <w:proofErr w:type="spellEnd"/>
            <w:r w:rsidRPr="00413F49">
              <w:rPr>
                <w:rFonts w:asciiTheme="majorHAnsi" w:hAnsiTheme="majorHAnsi"/>
                <w:b/>
                <w:sz w:val="16"/>
              </w:rPr>
              <w:t xml:space="preserve"> and liver function tests in all patients prior to starting rituximab</w:t>
            </w:r>
            <w:r w:rsidRPr="00413F49">
              <w:rPr>
                <w:rFonts w:asciiTheme="majorHAnsi" w:hAnsiTheme="majorHAnsi"/>
                <w:sz w:val="16"/>
              </w:rPr>
              <w:t>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1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CE2779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Refer those with positive serology to a specialist for prophylactic antiviral therapy, which must be continued for the duration of therapy.  Monitor these patients with serial HBV DNA titres, liver function tests and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HBVsAg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 xml:space="preserve"> (if </w:t>
            </w:r>
            <w:proofErr w:type="spellStart"/>
            <w:r w:rsidRPr="00413F49">
              <w:rPr>
                <w:rFonts w:asciiTheme="majorHAnsi" w:hAnsiTheme="majorHAnsi"/>
                <w:sz w:val="16"/>
              </w:rPr>
              <w:t>HBVsAg</w:t>
            </w:r>
            <w:proofErr w:type="spellEnd"/>
            <w:r w:rsidRPr="00413F49">
              <w:rPr>
                <w:rFonts w:asciiTheme="majorHAnsi" w:hAnsiTheme="majorHAnsi"/>
                <w:sz w:val="16"/>
              </w:rPr>
              <w:t>-negative at baseline).</w:t>
            </w:r>
            <w:r w:rsidR="00F929CE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2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Previous hepatitis C virus (HCV) infection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 xml:space="preserve">Information is conflicting but reactivation of HCV seems to be much less common than HBV.  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CE2779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Increases in HCV RNA load and hepatic flares are reported, but many cases are confounded by additional immunosuppressive / hepatotoxic medications.</w:t>
            </w:r>
            <w:r w:rsidR="0085268A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3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 xml:space="preserve"> </w:t>
            </w:r>
            <w:r w:rsidR="0085268A"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4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We recommend screening for HCV antibody prior to starting treatment.  Positivity is not a contra-indication to Rituximab but we suggest such patients should be jointly managed with hepatology and monitored for HCV activity (HCV RNA titres and liver function tests).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Previous / latent tuberculosis (TB)</w:t>
            </w:r>
          </w:p>
        </w:tc>
        <w:tc>
          <w:tcPr>
            <w:tcW w:w="3827" w:type="dxa"/>
          </w:tcPr>
          <w:p w:rsidR="008F4A41" w:rsidRPr="00413F49" w:rsidRDefault="008F4A41" w:rsidP="00CE2779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Risk of TB reactivation after rituximab appears negligible,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5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 xml:space="preserve"> </w:t>
            </w:r>
            <w:r w:rsidRPr="00413F49">
              <w:rPr>
                <w:rFonts w:asciiTheme="majorHAnsi" w:hAnsiTheme="majorHAnsi"/>
                <w:sz w:val="16"/>
              </w:rPr>
              <w:t>though co-administration with glucocorticoids may contribute additional risk.</w:t>
            </w:r>
          </w:p>
        </w:tc>
        <w:tc>
          <w:tcPr>
            <w:tcW w:w="3969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Do not give rituximab in cases of active TB.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CE2779">
            <w:pPr>
              <w:rPr>
                <w:rFonts w:asciiTheme="majorHAnsi" w:hAnsiTheme="majorHAnsi"/>
                <w:i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Although routine TB screening may be unnecessary,</w:t>
            </w:r>
            <w:r w:rsidRPr="00413F49">
              <w:rPr>
                <w:rFonts w:asciiTheme="majorHAnsi" w:hAnsiTheme="majorHAnsi"/>
                <w:i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i/>
                <w:sz w:val="16"/>
                <w:vertAlign w:val="superscript"/>
              </w:rPr>
              <w:t>6</w:t>
            </w:r>
            <w:r w:rsidRPr="00413F49">
              <w:rPr>
                <w:rFonts w:asciiTheme="majorHAnsi" w:hAnsiTheme="majorHAnsi"/>
                <w:i/>
                <w:sz w:val="16"/>
              </w:rPr>
              <w:t xml:space="preserve"> we screen for latent TB with </w:t>
            </w:r>
            <w:proofErr w:type="spellStart"/>
            <w:r w:rsidRPr="00413F49">
              <w:rPr>
                <w:rFonts w:asciiTheme="majorHAnsi" w:hAnsiTheme="majorHAnsi"/>
                <w:i/>
                <w:sz w:val="16"/>
              </w:rPr>
              <w:t>QuantiFERON</w:t>
            </w:r>
            <w:proofErr w:type="spellEnd"/>
            <w:r w:rsidRPr="00413F49">
              <w:rPr>
                <w:rFonts w:asciiTheme="majorHAnsi" w:hAnsiTheme="majorHAnsi"/>
                <w:i/>
                <w:sz w:val="16"/>
              </w:rPr>
              <w:t xml:space="preserve">-TB Gold or tuberculin skin testing in high risk patients (e.g. from endemic regions).  </w:t>
            </w:r>
          </w:p>
        </w:tc>
      </w:tr>
      <w:tr w:rsidR="008F4A41" w:rsidRPr="00413F49">
        <w:trPr>
          <w:trHeight w:val="333"/>
        </w:trPr>
        <w:tc>
          <w:tcPr>
            <w:tcW w:w="1384" w:type="dxa"/>
            <w:vAlign w:val="center"/>
          </w:tcPr>
          <w:p w:rsidR="008F4A41" w:rsidRPr="00413F49" w:rsidRDefault="008F4A41" w:rsidP="005E5B4D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b/>
                <w:sz w:val="16"/>
              </w:rPr>
              <w:t>Vaccinations</w:t>
            </w:r>
          </w:p>
        </w:tc>
        <w:tc>
          <w:tcPr>
            <w:tcW w:w="3827" w:type="dxa"/>
          </w:tcPr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There is a theoretical risk that live vaccines (e.g. yellow fever, varicella zoster) may cause infection.</w:t>
            </w:r>
          </w:p>
          <w:p w:rsidR="008F4A41" w:rsidRPr="00413F49" w:rsidRDefault="008F4A41" w:rsidP="005E5B4D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8F4A41" w:rsidP="00CE2779">
            <w:pPr>
              <w:rPr>
                <w:rFonts w:asciiTheme="majorHAnsi" w:hAnsiTheme="majorHAnsi"/>
                <w:b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Other standard inactivated vaccines are safe but they may be less effective after receiving rituximab.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7</w:t>
            </w:r>
            <w:r w:rsidR="0085268A" w:rsidRPr="00413F49">
              <w:rPr>
                <w:rFonts w:asciiTheme="majorHAnsi" w:hAnsiTheme="majorHAnsi"/>
                <w:sz w:val="16"/>
                <w:vertAlign w:val="superscript"/>
              </w:rPr>
              <w:t xml:space="preserve"> 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8</w:t>
            </w:r>
          </w:p>
        </w:tc>
        <w:tc>
          <w:tcPr>
            <w:tcW w:w="3969" w:type="dxa"/>
          </w:tcPr>
          <w:p w:rsidR="002C462C" w:rsidRPr="00413F49" w:rsidRDefault="00A520BB" w:rsidP="002C462C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sz w:val="16"/>
              </w:rPr>
              <w:t>Where possible give all routine vaccinations at least 4 weeks prior to initiating rituximab (and at least 8 weeks prior for live vaccines).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>5</w:t>
            </w:r>
            <w:r w:rsidR="0085268A" w:rsidRPr="00413F49">
              <w:rPr>
                <w:rFonts w:asciiTheme="majorHAnsi" w:hAnsiTheme="majorHAnsi"/>
                <w:sz w:val="16"/>
                <w:vertAlign w:val="superscript"/>
              </w:rPr>
              <w:t>6</w:t>
            </w:r>
            <w:r w:rsidRPr="00413F49">
              <w:rPr>
                <w:rFonts w:asciiTheme="majorHAnsi" w:hAnsiTheme="majorHAnsi"/>
                <w:sz w:val="16"/>
                <w:vertAlign w:val="superscript"/>
              </w:rPr>
              <w:t xml:space="preserve"> 9</w:t>
            </w:r>
            <w:r w:rsidR="00CE2779" w:rsidRPr="00413F49">
              <w:rPr>
                <w:rFonts w:asciiTheme="majorHAnsi" w:hAnsiTheme="majorHAnsi"/>
                <w:sz w:val="16"/>
                <w:vertAlign w:val="superscript"/>
              </w:rPr>
              <w:t>6</w:t>
            </w:r>
            <w:r w:rsidR="002C462C" w:rsidRPr="00413F49">
              <w:rPr>
                <w:rFonts w:asciiTheme="majorHAnsi" w:hAnsiTheme="majorHAnsi"/>
                <w:sz w:val="16"/>
              </w:rPr>
              <w:t xml:space="preserve"> </w:t>
            </w:r>
            <w:r w:rsidR="008F4A41" w:rsidRPr="00413F49">
              <w:rPr>
                <w:rFonts w:asciiTheme="majorHAnsi" w:hAnsiTheme="majorHAnsi"/>
                <w:sz w:val="16"/>
              </w:rPr>
              <w:t>Do not give live vaccines to patients treated with rituximab.</w:t>
            </w:r>
            <w:r w:rsidRPr="00413F49">
              <w:rPr>
                <w:rFonts w:asciiTheme="majorHAnsi" w:hAnsiTheme="majorHAnsi"/>
                <w:sz w:val="16"/>
              </w:rPr>
              <w:t xml:space="preserve">  </w:t>
            </w:r>
          </w:p>
          <w:p w:rsidR="002C462C" w:rsidRPr="00413F49" w:rsidRDefault="002C462C" w:rsidP="002C462C">
            <w:pPr>
              <w:rPr>
                <w:rFonts w:asciiTheme="majorHAnsi" w:hAnsiTheme="majorHAnsi"/>
                <w:sz w:val="16"/>
              </w:rPr>
            </w:pPr>
          </w:p>
          <w:p w:rsidR="008F4A41" w:rsidRPr="00413F49" w:rsidRDefault="002C462C" w:rsidP="002C462C">
            <w:pPr>
              <w:rPr>
                <w:rFonts w:asciiTheme="majorHAnsi" w:hAnsiTheme="majorHAnsi"/>
                <w:sz w:val="16"/>
              </w:rPr>
            </w:pPr>
            <w:r w:rsidRPr="00413F49">
              <w:rPr>
                <w:rFonts w:asciiTheme="majorHAnsi" w:hAnsiTheme="majorHAnsi"/>
                <w:i/>
                <w:sz w:val="16"/>
              </w:rPr>
              <w:t>We recommend a</w:t>
            </w:r>
            <w:r w:rsidR="00A520BB" w:rsidRPr="00413F49">
              <w:rPr>
                <w:rFonts w:asciiTheme="majorHAnsi" w:hAnsiTheme="majorHAnsi"/>
                <w:i/>
                <w:sz w:val="16"/>
              </w:rPr>
              <w:t>nnual influenza vaccine and 5-yearly pneumococcal vaccine throughout treatment.</w:t>
            </w:r>
          </w:p>
        </w:tc>
      </w:tr>
    </w:tbl>
    <w:p w:rsidR="008F4A41" w:rsidRPr="00413F49" w:rsidRDefault="008F4A41" w:rsidP="008F4A41">
      <w:pPr>
        <w:rPr>
          <w:rFonts w:asciiTheme="majorHAnsi" w:hAnsiTheme="majorHAnsi"/>
          <w:sz w:val="16"/>
          <w:szCs w:val="16"/>
        </w:rPr>
      </w:pPr>
    </w:p>
    <w:p w:rsidR="008F4A41" w:rsidRPr="00413F49" w:rsidRDefault="008F4A41" w:rsidP="008F4A41">
      <w:pPr>
        <w:rPr>
          <w:rFonts w:asciiTheme="majorHAnsi" w:hAnsiTheme="majorHAnsi"/>
          <w:sz w:val="20"/>
          <w:szCs w:val="20"/>
        </w:rPr>
      </w:pPr>
      <w:r w:rsidRPr="00413F49">
        <w:rPr>
          <w:rFonts w:asciiTheme="majorHAnsi" w:hAnsiTheme="majorHAnsi"/>
          <w:b/>
          <w:sz w:val="20"/>
          <w:szCs w:val="20"/>
        </w:rPr>
        <w:t>Abbreviations:</w:t>
      </w:r>
      <w:r w:rsidRPr="00413F49">
        <w:rPr>
          <w:rFonts w:asciiTheme="majorHAnsi" w:hAnsiTheme="majorHAnsi"/>
          <w:sz w:val="20"/>
          <w:szCs w:val="20"/>
        </w:rPr>
        <w:t xml:space="preserve"> RA = rheumatoid arthritis, AAV = ANCA-associated vasculitis, </w:t>
      </w:r>
      <w:proofErr w:type="spellStart"/>
      <w:r w:rsidRPr="00413F49">
        <w:rPr>
          <w:rFonts w:asciiTheme="majorHAnsi" w:hAnsiTheme="majorHAnsi"/>
          <w:sz w:val="20"/>
          <w:szCs w:val="20"/>
        </w:rPr>
        <w:t>HBVsAg</w:t>
      </w:r>
      <w:proofErr w:type="spellEnd"/>
      <w:r w:rsidRPr="00413F49">
        <w:rPr>
          <w:rFonts w:asciiTheme="majorHAnsi" w:hAnsiTheme="majorHAnsi"/>
          <w:sz w:val="20"/>
          <w:szCs w:val="20"/>
        </w:rPr>
        <w:t xml:space="preserve"> = hepatitis B virus surface antigen, </w:t>
      </w:r>
      <w:proofErr w:type="spellStart"/>
      <w:r w:rsidRPr="00413F49">
        <w:rPr>
          <w:rFonts w:asciiTheme="majorHAnsi" w:hAnsiTheme="majorHAnsi"/>
          <w:sz w:val="20"/>
          <w:szCs w:val="20"/>
        </w:rPr>
        <w:t>HBVcAb</w:t>
      </w:r>
      <w:proofErr w:type="spellEnd"/>
      <w:r w:rsidRPr="00413F49">
        <w:rPr>
          <w:rFonts w:asciiTheme="majorHAnsi" w:hAnsiTheme="majorHAnsi"/>
          <w:sz w:val="20"/>
          <w:szCs w:val="20"/>
        </w:rPr>
        <w:t xml:space="preserve"> = hepatitis B virus core antibody</w:t>
      </w:r>
    </w:p>
    <w:p w:rsidR="001E280F" w:rsidRPr="00413F49" w:rsidRDefault="001E280F" w:rsidP="00E37D31">
      <w:pPr>
        <w:rPr>
          <w:rFonts w:asciiTheme="majorHAnsi" w:hAnsiTheme="majorHAnsi"/>
          <w:b/>
        </w:rPr>
      </w:pPr>
    </w:p>
    <w:p w:rsidR="006F60C0" w:rsidRPr="00413F49" w:rsidRDefault="006F60C0" w:rsidP="00E37D31">
      <w:pPr>
        <w:rPr>
          <w:rFonts w:asciiTheme="majorHAnsi" w:hAnsiTheme="majorHAnsi"/>
          <w:b/>
        </w:rPr>
      </w:pPr>
    </w:p>
    <w:p w:rsidR="00E37D31" w:rsidRPr="00413F49" w:rsidRDefault="00E37D31" w:rsidP="00E37D31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Box 2: Approach to managing symptomatic secondary antibody deficiency</w:t>
      </w: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D535C4" w:rsidP="00C44BE4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1F482" wp14:editId="096DFBFE">
                <wp:simplePos x="0" y="0"/>
                <wp:positionH relativeFrom="column">
                  <wp:posOffset>61595</wp:posOffset>
                </wp:positionH>
                <wp:positionV relativeFrom="paragraph">
                  <wp:posOffset>3175</wp:posOffset>
                </wp:positionV>
                <wp:extent cx="5417820" cy="3667125"/>
                <wp:effectExtent l="0" t="0" r="1143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B8" w:rsidRDefault="003D35B8" w:rsidP="005E5B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This advice is appropriate for patients satisfying all three of the following criteria:</w:t>
                            </w:r>
                          </w:p>
                          <w:p w:rsidR="003D35B8" w:rsidRPr="00E37D31" w:rsidRDefault="003D35B8" w:rsidP="005E5B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Maintenance rituximab therapy</w:t>
                            </w: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Serious or recurrent (particularly respiratory) infections </w:t>
                            </w: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Total serum IgG &lt; 6.0g/L</w:t>
                            </w:r>
                          </w:p>
                          <w:p w:rsidR="003D35B8" w:rsidRDefault="003D35B8" w:rsidP="005E5B4D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Suggested management to mitigate infection risk </w:t>
                            </w:r>
                            <w:r w:rsidRPr="00E37D31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(we advise liaising with local immunology service)</w:t>
                            </w:r>
                            <w:r w:rsidRPr="00E37D3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D35B8" w:rsidRPr="00E37D31" w:rsidRDefault="003D35B8" w:rsidP="005E5B4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Check disease-specific circulating antibody titres against </w:t>
                            </w: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Haemophilus </w:t>
                            </w:r>
                            <w:proofErr w:type="spellStart"/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influenzae</w:t>
                            </w:r>
                            <w:proofErr w:type="spellEnd"/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(Hib), </w:t>
                            </w: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Clostridium </w:t>
                            </w:r>
                            <w:proofErr w:type="spellStart"/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tetani</w:t>
                            </w:r>
                            <w:proofErr w:type="spellEnd"/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and Pneumococcal capsular polysaccharide. </w:t>
                            </w:r>
                          </w:p>
                          <w:p w:rsidR="003D35B8" w:rsidRPr="00E37D31" w:rsidRDefault="003D35B8" w:rsidP="005E5B4D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If titres are below protective cut-off levels (Hib &gt; 1mcg/ml, tetanus &gt;0.1IU/ml, pneumococcus &gt;50mg/L)</w:t>
                            </w:r>
                            <w:proofErr w:type="gramStart"/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9</w:t>
                            </w:r>
                            <w:r w:rsidR="00CE2779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9</w:t>
                            </w:r>
                            <w:proofErr w:type="gramEnd"/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vaccinate patient and retest titres after 6 weeks.</w:t>
                            </w:r>
                          </w:p>
                          <w:p w:rsidR="003D35B8" w:rsidRPr="00E37D31" w:rsidRDefault="003D35B8" w:rsidP="005E5B4D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If titres remain below protective cut-off levels, then a therapeutic trial of replacement IV immunoglobulin (IVIg) 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is warranted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CE2779"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  <w:t>100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- Dosage should be initiated at 0.4-0.6g/kg/month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 xml:space="preserve">- Aim to replenish within normal range (6-16g/L) </w:t>
                            </w:r>
                          </w:p>
                          <w:p w:rsidR="003D35B8" w:rsidRPr="00E37D31" w:rsidRDefault="003D35B8" w:rsidP="005E5B4D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E37D3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Assess clinical response to replacement IVIg after 6 months (burden of infections**) and consider the need for </w:t>
                            </w:r>
                            <w:r w:rsidRPr="00E37D3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  <w:t>long-term treatment.</w:t>
                            </w:r>
                          </w:p>
                          <w:p w:rsidR="003D35B8" w:rsidRDefault="003D35B8" w:rsidP="005E5B4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*Demonstration of functional immune deficiency – i.e. failure to mount an adequate response to test vaccination – is a requirement for initiating IVIg replacement therapy.</w:t>
                            </w:r>
                            <w:r w:rsidR="00CE277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100</w:t>
                            </w: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35B8" w:rsidRPr="00E37D31" w:rsidRDefault="003D35B8" w:rsidP="005E5B4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D35B8" w:rsidRPr="00E37D31" w:rsidRDefault="003D35B8" w:rsidP="005E5B4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**Please note 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hat replacement IVIg therapy is unlikely to</w:t>
                            </w:r>
                            <w:r w:rsidRPr="00E37D31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reduce the frequency of urinary tract infections.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.85pt;margin-top:.25pt;width:426.6pt;height:28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">
                <v:textbox>
                  <w:txbxContent>
                    <w:p w:rsidR="003D35B8" w:rsidRDefault="003D35B8" w:rsidP="005E5B4D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This advice is appropriate for patients satisfying all three of the following criteria:</w:t>
                      </w:r>
                    </w:p>
                    <w:p w:rsidR="003D35B8" w:rsidRPr="00E37D31" w:rsidRDefault="003D35B8" w:rsidP="005E5B4D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Maintenance rituximab therapy</w:t>
                      </w: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Serious or recurrent (particularly respiratory) infections </w:t>
                      </w: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Total serum IgG &lt; 6.0g/L</w:t>
                      </w:r>
                    </w:p>
                    <w:p w:rsidR="003D35B8" w:rsidRDefault="003D35B8" w:rsidP="005E5B4D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Suggested management to mitigate infection risk </w:t>
                      </w:r>
                      <w:r w:rsidRPr="00E37D31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(we advise liaising with local immunology service)</w:t>
                      </w:r>
                      <w:r w:rsidRPr="00E37D3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3D35B8" w:rsidRPr="00E37D31" w:rsidRDefault="003D35B8" w:rsidP="005E5B4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Check disease-specific circulating antibody titres against </w:t>
                      </w: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Haemophilus </w:t>
                      </w:r>
                      <w:proofErr w:type="spellStart"/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influenzae</w:t>
                      </w:r>
                      <w:proofErr w:type="spellEnd"/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(Hib), </w:t>
                      </w: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Clostridium </w:t>
                      </w:r>
                      <w:proofErr w:type="spellStart"/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tetani</w:t>
                      </w:r>
                      <w:proofErr w:type="spellEnd"/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and Pneumococcal capsular polysaccharide. </w:t>
                      </w:r>
                    </w:p>
                    <w:p w:rsidR="003D35B8" w:rsidRPr="00E37D31" w:rsidRDefault="003D35B8" w:rsidP="005E5B4D">
                      <w:pPr>
                        <w:pStyle w:val="ListParagrap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If titres are below protective cut-off levels (Hib &gt; 1mcg/ml, tetanus &gt;0.1IU/ml, pneumococcus &gt;50mg/L)</w:t>
                      </w:r>
                      <w:proofErr w:type="gramStart"/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9</w:t>
                      </w:r>
                      <w:r w:rsidR="00CE2779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9</w:t>
                      </w:r>
                      <w:proofErr w:type="gramEnd"/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vaccinate patient and retest titres after 6 weeks.</w:t>
                      </w:r>
                    </w:p>
                    <w:p w:rsidR="003D35B8" w:rsidRPr="00E37D31" w:rsidRDefault="003D35B8" w:rsidP="005E5B4D">
                      <w:pPr>
                        <w:pStyle w:val="ListParagrap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If titres remain below protective cut-off levels, then a therapeutic trial of replacement IV immunoglobulin (IVIg) 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is warranted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.</w:t>
                      </w:r>
                      <w:r w:rsidR="00CE2779"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  <w:t>100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* 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- Dosage should be initiated at 0.4-0.6g/kg/month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 xml:space="preserve">- Aim to replenish within normal range (6-16g/L) </w:t>
                      </w:r>
                    </w:p>
                    <w:p w:rsidR="003D35B8" w:rsidRPr="00E37D31" w:rsidRDefault="003D35B8" w:rsidP="005E5B4D">
                      <w:pPr>
                        <w:pStyle w:val="ListParagrap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E37D3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Assess clinical response to replacement IVIg after 6 months (burden of infections**) and consider the need for </w:t>
                      </w:r>
                      <w:r w:rsidRPr="00E37D31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  <w:t>long-term treatment.</w:t>
                      </w:r>
                    </w:p>
                    <w:p w:rsidR="003D35B8" w:rsidRDefault="003D35B8" w:rsidP="005E5B4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*Demonstration of functional immune deficiency – i.e. failure to mount an adequate response to test vaccination – is a requirement for initiating IVIg replacement therapy.</w:t>
                      </w:r>
                      <w:r w:rsidR="00CE2779">
                        <w:rPr>
                          <w:rFonts w:asciiTheme="majorHAnsi" w:hAnsiTheme="majorHAnsi"/>
                          <w:i/>
                          <w:sz w:val="16"/>
                          <w:szCs w:val="16"/>
                          <w:vertAlign w:val="superscript"/>
                        </w:rPr>
                        <w:t>100</w:t>
                      </w: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3D35B8" w:rsidRPr="00E37D31" w:rsidRDefault="003D35B8" w:rsidP="005E5B4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:rsidR="003D35B8" w:rsidRPr="00E37D31" w:rsidRDefault="003D35B8" w:rsidP="005E5B4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**Please note t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hat replacement IVIg therapy is unlikely to</w:t>
                      </w:r>
                      <w:r w:rsidRPr="00E37D31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reduce the frequency of urinary tract infections.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E37D31" w:rsidRPr="00413F49" w:rsidRDefault="00E37D31" w:rsidP="00C44BE4">
      <w:pPr>
        <w:jc w:val="both"/>
        <w:rPr>
          <w:rFonts w:asciiTheme="majorHAnsi" w:hAnsiTheme="majorHAnsi"/>
          <w:b/>
        </w:rPr>
      </w:pPr>
    </w:p>
    <w:p w:rsidR="009C4814" w:rsidRPr="00413F49" w:rsidRDefault="00186404" w:rsidP="00C44BE4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Pregnancy</w:t>
      </w:r>
      <w:r w:rsidR="00047FDF" w:rsidRPr="00413F49">
        <w:rPr>
          <w:rFonts w:asciiTheme="majorHAnsi" w:hAnsiTheme="majorHAnsi"/>
          <w:b/>
        </w:rPr>
        <w:t xml:space="preserve"> and breastfeeding</w:t>
      </w:r>
    </w:p>
    <w:p w:rsidR="00CB2C68" w:rsidRPr="00413F49" w:rsidRDefault="00CB2C68" w:rsidP="00C44BE4">
      <w:pPr>
        <w:jc w:val="both"/>
        <w:rPr>
          <w:rFonts w:asciiTheme="majorHAnsi" w:hAnsiTheme="majorHAnsi"/>
          <w:i/>
        </w:rPr>
      </w:pPr>
    </w:p>
    <w:p w:rsidR="008A7BFE" w:rsidRPr="00413F49" w:rsidRDefault="009F6F0E" w:rsidP="008A7BFE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Rituximab cross</w:t>
      </w:r>
      <w:r w:rsidR="00C42A8F" w:rsidRPr="00413F49">
        <w:rPr>
          <w:rFonts w:asciiTheme="majorHAnsi" w:hAnsiTheme="majorHAnsi"/>
        </w:rPr>
        <w:t>es</w:t>
      </w:r>
      <w:r w:rsidRPr="00413F49">
        <w:rPr>
          <w:rFonts w:asciiTheme="majorHAnsi" w:hAnsiTheme="majorHAnsi"/>
        </w:rPr>
        <w:t xml:space="preserve"> </w:t>
      </w:r>
      <w:r w:rsidR="00AD0E97" w:rsidRPr="00413F49">
        <w:rPr>
          <w:rFonts w:asciiTheme="majorHAnsi" w:hAnsiTheme="majorHAnsi"/>
        </w:rPr>
        <w:t xml:space="preserve">the </w:t>
      </w:r>
      <w:r w:rsidRPr="00413F49">
        <w:rPr>
          <w:rFonts w:asciiTheme="majorHAnsi" w:hAnsiTheme="majorHAnsi"/>
        </w:rPr>
        <w:t>placenta</w:t>
      </w:r>
      <w:r w:rsidR="00AD0E97" w:rsidRPr="00413F49">
        <w:rPr>
          <w:rFonts w:asciiTheme="majorHAnsi" w:hAnsiTheme="majorHAnsi"/>
        </w:rPr>
        <w:t xml:space="preserve"> after 20 weeks gestation</w:t>
      </w:r>
      <w:r w:rsidRPr="00413F49">
        <w:rPr>
          <w:rFonts w:asciiTheme="majorHAnsi" w:hAnsiTheme="majorHAnsi"/>
        </w:rPr>
        <w:t xml:space="preserve">. </w:t>
      </w:r>
      <w:r w:rsidR="009C4814" w:rsidRPr="00413F49">
        <w:rPr>
          <w:rFonts w:asciiTheme="majorHAnsi" w:hAnsiTheme="majorHAnsi"/>
        </w:rPr>
        <w:t xml:space="preserve">Although not known for certain, </w:t>
      </w:r>
      <w:r w:rsidR="00A56E08" w:rsidRPr="00413F49">
        <w:rPr>
          <w:rFonts w:asciiTheme="majorHAnsi" w:hAnsiTheme="majorHAnsi"/>
        </w:rPr>
        <w:t xml:space="preserve">the </w:t>
      </w:r>
      <w:r w:rsidR="00DD1F78" w:rsidRPr="00413F49">
        <w:rPr>
          <w:rFonts w:asciiTheme="majorHAnsi" w:hAnsiTheme="majorHAnsi"/>
        </w:rPr>
        <w:t xml:space="preserve">existing </w:t>
      </w:r>
      <w:r w:rsidR="00A56E08" w:rsidRPr="00413F49">
        <w:rPr>
          <w:rFonts w:asciiTheme="majorHAnsi" w:hAnsiTheme="majorHAnsi"/>
        </w:rPr>
        <w:t xml:space="preserve">evidence suggests that </w:t>
      </w:r>
      <w:r w:rsidR="00525767" w:rsidRPr="00413F49">
        <w:rPr>
          <w:rFonts w:asciiTheme="majorHAnsi" w:hAnsiTheme="majorHAnsi"/>
        </w:rPr>
        <w:t>r</w:t>
      </w:r>
      <w:r w:rsidR="00A56E08" w:rsidRPr="00413F49">
        <w:rPr>
          <w:rFonts w:asciiTheme="majorHAnsi" w:hAnsiTheme="majorHAnsi"/>
        </w:rPr>
        <w:t xml:space="preserve">ituximab is </w:t>
      </w:r>
      <w:r w:rsidR="00544D7B" w:rsidRPr="00413F49">
        <w:rPr>
          <w:rFonts w:asciiTheme="majorHAnsi" w:hAnsiTheme="majorHAnsi"/>
        </w:rPr>
        <w:t xml:space="preserve">possibly </w:t>
      </w:r>
      <w:r w:rsidR="00A56E08" w:rsidRPr="00413F49">
        <w:rPr>
          <w:rFonts w:asciiTheme="majorHAnsi" w:hAnsiTheme="majorHAnsi"/>
        </w:rPr>
        <w:t>safe</w:t>
      </w:r>
      <w:r w:rsidR="00525767" w:rsidRPr="00413F49">
        <w:rPr>
          <w:rFonts w:asciiTheme="majorHAnsi" w:hAnsiTheme="majorHAnsi"/>
        </w:rPr>
        <w:t xml:space="preserve"> for use during</w:t>
      </w:r>
      <w:r w:rsidR="00DD0195" w:rsidRPr="00413F49">
        <w:rPr>
          <w:rFonts w:asciiTheme="majorHAnsi" w:hAnsiTheme="majorHAnsi"/>
        </w:rPr>
        <w:t xml:space="preserve"> early </w:t>
      </w:r>
      <w:r w:rsidR="00525767" w:rsidRPr="00413F49">
        <w:rPr>
          <w:rFonts w:asciiTheme="majorHAnsi" w:hAnsiTheme="majorHAnsi"/>
        </w:rPr>
        <w:t>pregnancy</w:t>
      </w:r>
      <w:r w:rsidR="00AD0E97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(</w:t>
      </w:r>
      <w:r w:rsidR="00AD0E97" w:rsidRPr="00413F49">
        <w:rPr>
          <w:rFonts w:asciiTheme="majorHAnsi" w:hAnsiTheme="majorHAnsi"/>
        </w:rPr>
        <w:t>s</w:t>
      </w:r>
      <w:r w:rsidR="00512CF2">
        <w:rPr>
          <w:rFonts w:asciiTheme="majorHAnsi" w:hAnsiTheme="majorHAnsi"/>
        </w:rPr>
        <w:t>ee table 3</w:t>
      </w:r>
      <w:r w:rsidRPr="00413F49">
        <w:rPr>
          <w:rFonts w:asciiTheme="majorHAnsi" w:hAnsiTheme="majorHAnsi"/>
        </w:rPr>
        <w:t>).</w:t>
      </w:r>
      <w:r w:rsidR="00EB3698" w:rsidRPr="00413F49">
        <w:rPr>
          <w:rFonts w:asciiTheme="majorHAnsi" w:hAnsiTheme="majorHAnsi"/>
          <w:vertAlign w:val="superscript"/>
        </w:rPr>
        <w:t>8</w:t>
      </w:r>
      <w:r w:rsidR="00CE2779" w:rsidRPr="00413F49">
        <w:rPr>
          <w:rFonts w:asciiTheme="majorHAnsi" w:hAnsiTheme="majorHAnsi"/>
          <w:vertAlign w:val="superscript"/>
        </w:rPr>
        <w:t>9</w:t>
      </w:r>
      <w:r w:rsidRPr="00413F49">
        <w:rPr>
          <w:rFonts w:asciiTheme="majorHAnsi" w:hAnsiTheme="majorHAnsi"/>
        </w:rPr>
        <w:t xml:space="preserve"> </w:t>
      </w:r>
      <w:proofErr w:type="gramStart"/>
      <w:r w:rsidRPr="00413F49">
        <w:rPr>
          <w:rFonts w:asciiTheme="majorHAnsi" w:hAnsiTheme="majorHAnsi"/>
        </w:rPr>
        <w:t>The</w:t>
      </w:r>
      <w:proofErr w:type="gramEnd"/>
      <w:r w:rsidRPr="00413F49">
        <w:rPr>
          <w:rFonts w:asciiTheme="majorHAnsi" w:hAnsiTheme="majorHAnsi"/>
        </w:rPr>
        <w:t xml:space="preserve"> prolonged </w:t>
      </w:r>
      <w:r w:rsidR="00C9626C" w:rsidRPr="00413F49">
        <w:rPr>
          <w:rFonts w:asciiTheme="majorHAnsi" w:hAnsiTheme="majorHAnsi"/>
        </w:rPr>
        <w:t>B</w:t>
      </w:r>
      <w:r w:rsidR="00E16D75" w:rsidRPr="00413F49">
        <w:rPr>
          <w:rFonts w:asciiTheme="majorHAnsi" w:hAnsiTheme="majorHAnsi"/>
        </w:rPr>
        <w:t>-</w:t>
      </w:r>
      <w:r w:rsidR="00C9626C" w:rsidRPr="00413F49">
        <w:rPr>
          <w:rFonts w:asciiTheme="majorHAnsi" w:hAnsiTheme="majorHAnsi"/>
        </w:rPr>
        <w:t xml:space="preserve">cell depleting effect </w:t>
      </w:r>
      <w:r w:rsidRPr="00413F49">
        <w:rPr>
          <w:rFonts w:asciiTheme="majorHAnsi" w:hAnsiTheme="majorHAnsi"/>
        </w:rPr>
        <w:t>(</w:t>
      </w:r>
      <w:r w:rsidR="00E16D75" w:rsidRPr="00413F49">
        <w:rPr>
          <w:rFonts w:asciiTheme="majorHAnsi" w:hAnsiTheme="majorHAnsi"/>
        </w:rPr>
        <w:t>often greater</w:t>
      </w:r>
      <w:r w:rsidRPr="00413F49">
        <w:rPr>
          <w:rFonts w:asciiTheme="majorHAnsi" w:hAnsiTheme="majorHAnsi"/>
        </w:rPr>
        <w:t xml:space="preserve"> than the 40 weeks of gestation)</w:t>
      </w:r>
      <w:r w:rsidR="00C9626C" w:rsidRPr="00413F49">
        <w:rPr>
          <w:rFonts w:asciiTheme="majorHAnsi" w:hAnsiTheme="majorHAnsi"/>
        </w:rPr>
        <w:t xml:space="preserve"> can </w:t>
      </w:r>
      <w:r w:rsidRPr="00413F49">
        <w:rPr>
          <w:rFonts w:asciiTheme="majorHAnsi" w:hAnsiTheme="majorHAnsi"/>
        </w:rPr>
        <w:t>be used advantageously</w:t>
      </w:r>
      <w:r w:rsidR="00C9626C" w:rsidRPr="00413F49">
        <w:rPr>
          <w:rFonts w:asciiTheme="majorHAnsi" w:hAnsiTheme="majorHAnsi"/>
        </w:rPr>
        <w:t>.</w:t>
      </w:r>
      <w:r w:rsidRPr="00413F49">
        <w:rPr>
          <w:rFonts w:asciiTheme="majorHAnsi" w:hAnsiTheme="majorHAnsi"/>
        </w:rPr>
        <w:t xml:space="preserve"> For example </w:t>
      </w:r>
      <w:r w:rsidR="00E16D75" w:rsidRPr="00413F49">
        <w:rPr>
          <w:rFonts w:asciiTheme="majorHAnsi" w:hAnsiTheme="majorHAnsi"/>
        </w:rPr>
        <w:t>in planned</w:t>
      </w:r>
      <w:r w:rsidR="00544D7B" w:rsidRPr="00413F49">
        <w:rPr>
          <w:rFonts w:asciiTheme="majorHAnsi" w:hAnsiTheme="majorHAnsi"/>
        </w:rPr>
        <w:t xml:space="preserve"> pregnancies, rituximab </w:t>
      </w:r>
      <w:r w:rsidR="00C9626C" w:rsidRPr="00413F49">
        <w:rPr>
          <w:rFonts w:asciiTheme="majorHAnsi" w:hAnsiTheme="majorHAnsi"/>
        </w:rPr>
        <w:t>c</w:t>
      </w:r>
      <w:r w:rsidR="00E16D75" w:rsidRPr="00413F49">
        <w:rPr>
          <w:rFonts w:asciiTheme="majorHAnsi" w:hAnsiTheme="majorHAnsi"/>
        </w:rPr>
        <w:t>ould</w:t>
      </w:r>
      <w:r w:rsidR="00C9626C" w:rsidRPr="00413F49">
        <w:rPr>
          <w:rFonts w:asciiTheme="majorHAnsi" w:hAnsiTheme="majorHAnsi"/>
        </w:rPr>
        <w:t xml:space="preserve"> </w:t>
      </w:r>
      <w:r w:rsidR="00544D7B" w:rsidRPr="00413F49">
        <w:rPr>
          <w:rFonts w:asciiTheme="majorHAnsi" w:hAnsiTheme="majorHAnsi"/>
        </w:rPr>
        <w:t>be administered prior to conception and after delivery</w:t>
      </w:r>
      <w:r w:rsidR="00A61252" w:rsidRPr="00413F49">
        <w:rPr>
          <w:rFonts w:asciiTheme="majorHAnsi" w:hAnsiTheme="majorHAnsi"/>
        </w:rPr>
        <w:t>,</w:t>
      </w:r>
      <w:r w:rsidR="00C9626C" w:rsidRPr="00413F49">
        <w:rPr>
          <w:rFonts w:asciiTheme="majorHAnsi" w:hAnsiTheme="majorHAnsi"/>
        </w:rPr>
        <w:t xml:space="preserve"> </w:t>
      </w:r>
      <w:r w:rsidR="00544D7B" w:rsidRPr="00413F49">
        <w:rPr>
          <w:rFonts w:asciiTheme="majorHAnsi" w:hAnsiTheme="majorHAnsi"/>
        </w:rPr>
        <w:t xml:space="preserve">sparing the </w:t>
      </w:r>
      <w:r w:rsidR="00E716EA" w:rsidRPr="00413F49">
        <w:rPr>
          <w:rFonts w:asciiTheme="majorHAnsi" w:hAnsiTheme="majorHAnsi"/>
        </w:rPr>
        <w:t xml:space="preserve">gestating </w:t>
      </w:r>
      <w:r w:rsidR="00544D7B" w:rsidRPr="00413F49">
        <w:rPr>
          <w:rFonts w:asciiTheme="majorHAnsi" w:hAnsiTheme="majorHAnsi"/>
        </w:rPr>
        <w:t>f</w:t>
      </w:r>
      <w:r w:rsidR="00A61252" w:rsidRPr="00413F49">
        <w:rPr>
          <w:rFonts w:asciiTheme="majorHAnsi" w:hAnsiTheme="majorHAnsi"/>
        </w:rPr>
        <w:t>o</w:t>
      </w:r>
      <w:r w:rsidR="00544D7B" w:rsidRPr="00413F49">
        <w:rPr>
          <w:rFonts w:asciiTheme="majorHAnsi" w:hAnsiTheme="majorHAnsi"/>
        </w:rPr>
        <w:t>etus from B</w:t>
      </w:r>
      <w:r w:rsidR="00A61252" w:rsidRPr="00413F49">
        <w:rPr>
          <w:rFonts w:asciiTheme="majorHAnsi" w:hAnsiTheme="majorHAnsi"/>
        </w:rPr>
        <w:t>-</w:t>
      </w:r>
      <w:r w:rsidR="00544D7B" w:rsidRPr="00413F49">
        <w:rPr>
          <w:rFonts w:asciiTheme="majorHAnsi" w:hAnsiTheme="majorHAnsi"/>
        </w:rPr>
        <w:t xml:space="preserve">cell depletion. </w:t>
      </w:r>
    </w:p>
    <w:p w:rsidR="009F6F0E" w:rsidRPr="00413F49" w:rsidRDefault="009F6F0E" w:rsidP="008A7BFE">
      <w:pPr>
        <w:jc w:val="both"/>
        <w:rPr>
          <w:rFonts w:asciiTheme="majorHAnsi" w:hAnsiTheme="majorHAnsi"/>
        </w:rPr>
      </w:pPr>
    </w:p>
    <w:p w:rsidR="0091306E" w:rsidRPr="00413F49" w:rsidRDefault="009412D6" w:rsidP="00C44BE4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In relapsing conditions wit</w:t>
      </w:r>
      <w:r w:rsidR="00A73D77" w:rsidRPr="00413F49">
        <w:rPr>
          <w:rFonts w:asciiTheme="majorHAnsi" w:hAnsiTheme="majorHAnsi"/>
        </w:rPr>
        <w:t>h high morbidity, such as NMOSD</w:t>
      </w:r>
      <w:r w:rsidR="00DD0195" w:rsidRPr="00413F49">
        <w:rPr>
          <w:rFonts w:asciiTheme="majorHAnsi" w:hAnsiTheme="majorHAnsi"/>
        </w:rPr>
        <w:t xml:space="preserve">, </w:t>
      </w:r>
      <w:r w:rsidR="000D71BC" w:rsidRPr="00413F49">
        <w:rPr>
          <w:rFonts w:asciiTheme="majorHAnsi" w:hAnsiTheme="majorHAnsi"/>
        </w:rPr>
        <w:t xml:space="preserve">the risk of </w:t>
      </w:r>
      <w:r w:rsidR="00B92CF1" w:rsidRPr="00413F49">
        <w:rPr>
          <w:rFonts w:asciiTheme="majorHAnsi" w:hAnsiTheme="majorHAnsi"/>
        </w:rPr>
        <w:t xml:space="preserve">relapse during </w:t>
      </w:r>
      <w:r w:rsidR="00DD1F78" w:rsidRPr="00413F49">
        <w:rPr>
          <w:rFonts w:asciiTheme="majorHAnsi" w:hAnsiTheme="majorHAnsi"/>
        </w:rPr>
        <w:t>protracted interruption of</w:t>
      </w:r>
      <w:r w:rsidR="009C4814" w:rsidRPr="00413F49">
        <w:rPr>
          <w:rFonts w:asciiTheme="majorHAnsi" w:hAnsiTheme="majorHAnsi"/>
        </w:rPr>
        <w:t xml:space="preserve"> </w:t>
      </w:r>
      <w:r w:rsidR="00DD1F78" w:rsidRPr="00413F49">
        <w:rPr>
          <w:rFonts w:asciiTheme="majorHAnsi" w:hAnsiTheme="majorHAnsi"/>
        </w:rPr>
        <w:t>r</w:t>
      </w:r>
      <w:r w:rsidR="009C4814" w:rsidRPr="00413F49">
        <w:rPr>
          <w:rFonts w:asciiTheme="majorHAnsi" w:hAnsiTheme="majorHAnsi"/>
        </w:rPr>
        <w:t>ituximab therapy</w:t>
      </w:r>
      <w:r w:rsidR="00DD0195" w:rsidRPr="00413F49">
        <w:rPr>
          <w:rFonts w:asciiTheme="majorHAnsi" w:hAnsiTheme="majorHAnsi"/>
        </w:rPr>
        <w:t xml:space="preserve"> </w:t>
      </w:r>
      <w:r w:rsidR="00B92CF1" w:rsidRPr="00413F49">
        <w:rPr>
          <w:rFonts w:asciiTheme="majorHAnsi" w:hAnsiTheme="majorHAnsi"/>
        </w:rPr>
        <w:t>for conception and pr</w:t>
      </w:r>
      <w:r w:rsidR="00AA2DA5" w:rsidRPr="00413F49">
        <w:rPr>
          <w:rFonts w:asciiTheme="majorHAnsi" w:hAnsiTheme="majorHAnsi"/>
        </w:rPr>
        <w:t>eg</w:t>
      </w:r>
      <w:r w:rsidR="00B92CF1" w:rsidRPr="00413F49">
        <w:rPr>
          <w:rFonts w:asciiTheme="majorHAnsi" w:hAnsiTheme="majorHAnsi"/>
        </w:rPr>
        <w:t>na</w:t>
      </w:r>
      <w:r w:rsidR="00AA2DA5" w:rsidRPr="00413F49">
        <w:rPr>
          <w:rFonts w:asciiTheme="majorHAnsi" w:hAnsiTheme="majorHAnsi"/>
        </w:rPr>
        <w:t>n</w:t>
      </w:r>
      <w:r w:rsidR="00B92CF1" w:rsidRPr="00413F49">
        <w:rPr>
          <w:rFonts w:asciiTheme="majorHAnsi" w:hAnsiTheme="majorHAnsi"/>
        </w:rPr>
        <w:t>cy</w:t>
      </w:r>
      <w:r w:rsidR="00B94A56" w:rsidRPr="00413F49">
        <w:rPr>
          <w:rFonts w:asciiTheme="majorHAnsi" w:hAnsiTheme="majorHAnsi"/>
        </w:rPr>
        <w:t xml:space="preserve"> </w:t>
      </w:r>
      <w:r w:rsidR="00AA2DA5" w:rsidRPr="00413F49">
        <w:rPr>
          <w:rFonts w:asciiTheme="majorHAnsi" w:hAnsiTheme="majorHAnsi"/>
        </w:rPr>
        <w:t xml:space="preserve">is </w:t>
      </w:r>
      <w:r w:rsidR="0089359D" w:rsidRPr="00413F49">
        <w:rPr>
          <w:rFonts w:asciiTheme="majorHAnsi" w:hAnsiTheme="majorHAnsi"/>
        </w:rPr>
        <w:t xml:space="preserve">a </w:t>
      </w:r>
      <w:r w:rsidR="00CE2779" w:rsidRPr="00413F49">
        <w:rPr>
          <w:rFonts w:asciiTheme="majorHAnsi" w:hAnsiTheme="majorHAnsi"/>
        </w:rPr>
        <w:t>dilemma for many women.</w:t>
      </w:r>
      <w:r w:rsidR="00A00F45" w:rsidRPr="00413F49">
        <w:rPr>
          <w:rFonts w:asciiTheme="majorHAnsi" w:hAnsiTheme="majorHAnsi"/>
        </w:rPr>
        <w:t xml:space="preserve"> A</w:t>
      </w:r>
      <w:r w:rsidR="00C176B7" w:rsidRPr="00413F49">
        <w:rPr>
          <w:rFonts w:asciiTheme="majorHAnsi" w:hAnsiTheme="majorHAnsi"/>
        </w:rPr>
        <w:t xml:space="preserve"> recent expert </w:t>
      </w:r>
      <w:r w:rsidR="00A61252" w:rsidRPr="00413F49">
        <w:rPr>
          <w:rFonts w:asciiTheme="majorHAnsi" w:hAnsiTheme="majorHAnsi"/>
        </w:rPr>
        <w:t xml:space="preserve">review </w:t>
      </w:r>
      <w:r w:rsidR="00004C2E" w:rsidRPr="00413F49">
        <w:rPr>
          <w:rFonts w:asciiTheme="majorHAnsi" w:hAnsiTheme="majorHAnsi"/>
        </w:rPr>
        <w:t>suggest</w:t>
      </w:r>
      <w:r w:rsidR="0048284D" w:rsidRPr="00413F49">
        <w:rPr>
          <w:rFonts w:asciiTheme="majorHAnsi" w:hAnsiTheme="majorHAnsi"/>
        </w:rPr>
        <w:t>s</w:t>
      </w:r>
      <w:r w:rsidR="00004C2E" w:rsidRPr="00413F49">
        <w:rPr>
          <w:rFonts w:asciiTheme="majorHAnsi" w:hAnsiTheme="majorHAnsi"/>
        </w:rPr>
        <w:t xml:space="preserve"> that two doses of 1000mg could be administered as close as one month prior to planned conception in the hope that B-cell depletion will persist for the duration of pregnancy.</w:t>
      </w:r>
      <w:r w:rsidR="00EB3698" w:rsidRPr="00413F49">
        <w:rPr>
          <w:rFonts w:asciiTheme="majorHAnsi" w:hAnsiTheme="majorHAnsi"/>
        </w:rPr>
        <w:t xml:space="preserve"> </w:t>
      </w:r>
      <w:r w:rsidR="00DD0195" w:rsidRPr="00413F49">
        <w:rPr>
          <w:rFonts w:asciiTheme="majorHAnsi" w:hAnsiTheme="majorHAnsi"/>
        </w:rPr>
        <w:t xml:space="preserve">They </w:t>
      </w:r>
      <w:r w:rsidR="00A00F45" w:rsidRPr="00413F49">
        <w:rPr>
          <w:rFonts w:asciiTheme="majorHAnsi" w:hAnsiTheme="majorHAnsi"/>
        </w:rPr>
        <w:t xml:space="preserve">advise that </w:t>
      </w:r>
      <w:r w:rsidR="00DD1F78" w:rsidRPr="00413F49">
        <w:rPr>
          <w:rFonts w:asciiTheme="majorHAnsi" w:hAnsiTheme="majorHAnsi"/>
        </w:rPr>
        <w:t>r</w:t>
      </w:r>
      <w:r w:rsidR="00A00F45" w:rsidRPr="00413F49">
        <w:rPr>
          <w:rFonts w:asciiTheme="majorHAnsi" w:hAnsiTheme="majorHAnsi"/>
        </w:rPr>
        <w:t>ituximab could be resumed in the first week</w:t>
      </w:r>
      <w:r w:rsidR="00DD0195" w:rsidRPr="00413F49">
        <w:rPr>
          <w:rFonts w:asciiTheme="majorHAnsi" w:hAnsiTheme="majorHAnsi"/>
        </w:rPr>
        <w:t xml:space="preserve"> after delivery</w:t>
      </w:r>
      <w:r w:rsidR="00A00F45" w:rsidRPr="00413F49">
        <w:rPr>
          <w:rFonts w:asciiTheme="majorHAnsi" w:hAnsiTheme="majorHAnsi"/>
        </w:rPr>
        <w:t xml:space="preserve"> given the very high </w:t>
      </w:r>
      <w:r w:rsidR="00DD0195" w:rsidRPr="00413F49">
        <w:rPr>
          <w:rFonts w:asciiTheme="majorHAnsi" w:hAnsiTheme="majorHAnsi"/>
        </w:rPr>
        <w:t xml:space="preserve">post-partum </w:t>
      </w:r>
      <w:r w:rsidR="00A00F45" w:rsidRPr="00413F49">
        <w:rPr>
          <w:rFonts w:asciiTheme="majorHAnsi" w:hAnsiTheme="majorHAnsi"/>
        </w:rPr>
        <w:t xml:space="preserve">risk of </w:t>
      </w:r>
      <w:r w:rsidR="00361702" w:rsidRPr="00413F49">
        <w:rPr>
          <w:rFonts w:asciiTheme="majorHAnsi" w:hAnsiTheme="majorHAnsi"/>
        </w:rPr>
        <w:t xml:space="preserve">NMOSD </w:t>
      </w:r>
      <w:r w:rsidR="00A00F45" w:rsidRPr="00413F49">
        <w:rPr>
          <w:rFonts w:asciiTheme="majorHAnsi" w:hAnsiTheme="majorHAnsi"/>
        </w:rPr>
        <w:t>relapse</w:t>
      </w:r>
      <w:r w:rsidR="009C4814" w:rsidRPr="00413F49">
        <w:rPr>
          <w:rFonts w:asciiTheme="majorHAnsi" w:hAnsiTheme="majorHAnsi"/>
        </w:rPr>
        <w:t>.</w:t>
      </w:r>
      <w:r w:rsidR="00CE2779" w:rsidRPr="00413F49">
        <w:rPr>
          <w:rFonts w:asciiTheme="majorHAnsi" w:hAnsiTheme="majorHAnsi"/>
          <w:vertAlign w:val="superscript"/>
        </w:rPr>
        <w:t>101</w:t>
      </w:r>
      <w:r w:rsidR="00E716EA" w:rsidRPr="00413F49">
        <w:rPr>
          <w:rFonts w:asciiTheme="majorHAnsi" w:hAnsiTheme="majorHAnsi"/>
        </w:rPr>
        <w:t xml:space="preserve"> However, </w:t>
      </w:r>
      <w:r w:rsidR="0089359D" w:rsidRPr="00413F49">
        <w:rPr>
          <w:rFonts w:asciiTheme="majorHAnsi" w:hAnsiTheme="majorHAnsi"/>
        </w:rPr>
        <w:t xml:space="preserve">women should be counselled regards </w:t>
      </w:r>
      <w:r w:rsidR="00E716EA" w:rsidRPr="00413F49">
        <w:rPr>
          <w:rFonts w:asciiTheme="majorHAnsi" w:hAnsiTheme="majorHAnsi"/>
        </w:rPr>
        <w:t>the limited data on r</w:t>
      </w:r>
      <w:r w:rsidR="00DD0195" w:rsidRPr="00413F49">
        <w:rPr>
          <w:rFonts w:asciiTheme="majorHAnsi" w:hAnsiTheme="majorHAnsi"/>
        </w:rPr>
        <w:t>ituximab</w:t>
      </w:r>
      <w:r w:rsidR="00CE2779" w:rsidRPr="00413F49">
        <w:rPr>
          <w:rFonts w:asciiTheme="majorHAnsi" w:hAnsiTheme="majorHAnsi"/>
        </w:rPr>
        <w:t xml:space="preserve">-exposed </w:t>
      </w:r>
      <w:r w:rsidR="00DD0195" w:rsidRPr="00413F49">
        <w:rPr>
          <w:rFonts w:asciiTheme="majorHAnsi" w:hAnsiTheme="majorHAnsi"/>
        </w:rPr>
        <w:t>pregnanc</w:t>
      </w:r>
      <w:r w:rsidR="00192679" w:rsidRPr="00413F49">
        <w:rPr>
          <w:rFonts w:asciiTheme="majorHAnsi" w:hAnsiTheme="majorHAnsi"/>
        </w:rPr>
        <w:t>ies</w:t>
      </w:r>
      <w:r w:rsidR="00E716EA" w:rsidRPr="00413F49">
        <w:rPr>
          <w:rFonts w:asciiTheme="majorHAnsi" w:hAnsiTheme="majorHAnsi"/>
        </w:rPr>
        <w:t>.</w:t>
      </w:r>
      <w:r w:rsidR="00CE2779" w:rsidRPr="00413F49">
        <w:rPr>
          <w:rFonts w:asciiTheme="majorHAnsi" w:hAnsiTheme="majorHAnsi"/>
          <w:vertAlign w:val="superscript"/>
        </w:rPr>
        <w:t>102</w:t>
      </w:r>
    </w:p>
    <w:p w:rsidR="00186404" w:rsidRPr="00413F49" w:rsidRDefault="00186404">
      <w:pPr>
        <w:rPr>
          <w:rFonts w:asciiTheme="majorHAnsi" w:hAnsiTheme="majorHAnsi"/>
        </w:rPr>
      </w:pPr>
    </w:p>
    <w:p w:rsidR="0052678D" w:rsidRPr="00BB42FE" w:rsidRDefault="0052678D" w:rsidP="00CB2C68">
      <w:pPr>
        <w:rPr>
          <w:rFonts w:asciiTheme="majorHAnsi" w:hAnsiTheme="majorHAnsi"/>
          <w:b/>
        </w:rPr>
      </w:pPr>
      <w:r w:rsidRPr="00BB42FE">
        <w:rPr>
          <w:rFonts w:asciiTheme="majorHAnsi" w:hAnsiTheme="majorHAnsi"/>
          <w:b/>
        </w:rPr>
        <w:t>Ocrelizumab</w:t>
      </w:r>
    </w:p>
    <w:p w:rsidR="0052678D" w:rsidRPr="00BB42FE" w:rsidRDefault="0052678D" w:rsidP="0052678D">
      <w:pPr>
        <w:rPr>
          <w:rFonts w:asciiTheme="majorHAnsi" w:hAnsiTheme="majorHAnsi"/>
        </w:rPr>
      </w:pPr>
    </w:p>
    <w:p w:rsidR="00CC103B" w:rsidRPr="00413F49" w:rsidRDefault="007524F8" w:rsidP="00CC103B">
      <w:pPr>
        <w:jc w:val="both"/>
        <w:rPr>
          <w:rFonts w:asciiTheme="majorHAnsi" w:hAnsiTheme="majorHAnsi"/>
        </w:rPr>
      </w:pPr>
      <w:r w:rsidRPr="00BB42FE">
        <w:rPr>
          <w:rFonts w:asciiTheme="majorHAnsi" w:hAnsiTheme="majorHAnsi"/>
        </w:rPr>
        <w:t>While this is review is primarily intended to cover rituximab</w:t>
      </w:r>
      <w:r w:rsidR="00F9703F" w:rsidRPr="00BB42FE">
        <w:rPr>
          <w:rFonts w:asciiTheme="majorHAnsi" w:hAnsiTheme="majorHAnsi"/>
        </w:rPr>
        <w:t>,</w:t>
      </w:r>
      <w:r w:rsidRPr="00BB42FE">
        <w:rPr>
          <w:rFonts w:asciiTheme="majorHAnsi" w:hAnsiTheme="majorHAnsi"/>
        </w:rPr>
        <w:t xml:space="preserve"> it may be remiss not to discuss </w:t>
      </w:r>
      <w:r w:rsidR="00F9703F" w:rsidRPr="00BB42FE">
        <w:rPr>
          <w:rFonts w:asciiTheme="majorHAnsi" w:hAnsiTheme="majorHAnsi"/>
        </w:rPr>
        <w:t>o</w:t>
      </w:r>
      <w:r w:rsidR="00361846" w:rsidRPr="00BB42FE">
        <w:rPr>
          <w:rFonts w:asciiTheme="majorHAnsi" w:hAnsiTheme="majorHAnsi"/>
        </w:rPr>
        <w:t>crelizumab</w:t>
      </w:r>
      <w:r w:rsidR="00F9703F" w:rsidRPr="00BB42FE">
        <w:rPr>
          <w:rFonts w:asciiTheme="majorHAnsi" w:hAnsiTheme="majorHAnsi"/>
        </w:rPr>
        <w:t>, as this</w:t>
      </w:r>
      <w:r w:rsidRPr="00BB42FE">
        <w:rPr>
          <w:rFonts w:asciiTheme="majorHAnsi" w:hAnsiTheme="majorHAnsi"/>
        </w:rPr>
        <w:t xml:space="preserve"> is</w:t>
      </w:r>
      <w:r w:rsidR="00CC103B" w:rsidRPr="00BB42FE">
        <w:rPr>
          <w:rFonts w:asciiTheme="majorHAnsi" w:hAnsiTheme="majorHAnsi"/>
        </w:rPr>
        <w:t xml:space="preserve"> the first anti-CD20 therapy to gain </w:t>
      </w:r>
      <w:r w:rsidRPr="00BB42FE">
        <w:rPr>
          <w:rFonts w:asciiTheme="majorHAnsi" w:hAnsiTheme="majorHAnsi"/>
        </w:rPr>
        <w:t xml:space="preserve">a licence (FDA, EMA) </w:t>
      </w:r>
      <w:r w:rsidR="00361846" w:rsidRPr="00BB42FE">
        <w:rPr>
          <w:rFonts w:asciiTheme="majorHAnsi" w:hAnsiTheme="majorHAnsi"/>
        </w:rPr>
        <w:t>for</w:t>
      </w:r>
      <w:r w:rsidR="00361726" w:rsidRPr="00BB42FE">
        <w:rPr>
          <w:rFonts w:asciiTheme="majorHAnsi" w:hAnsiTheme="majorHAnsi"/>
        </w:rPr>
        <w:t xml:space="preserve"> a neurological indication</w:t>
      </w:r>
      <w:r w:rsidR="00F9703F" w:rsidRPr="00BB42FE">
        <w:rPr>
          <w:rFonts w:asciiTheme="majorHAnsi" w:hAnsiTheme="majorHAnsi"/>
        </w:rPr>
        <w:t xml:space="preserve"> (MS</w:t>
      </w:r>
      <w:r w:rsidRPr="00BB42FE">
        <w:rPr>
          <w:rFonts w:asciiTheme="majorHAnsi" w:hAnsiTheme="majorHAnsi"/>
        </w:rPr>
        <w:t>)</w:t>
      </w:r>
      <w:r w:rsidR="00361726" w:rsidRPr="00BB42FE">
        <w:rPr>
          <w:rFonts w:asciiTheme="majorHAnsi" w:hAnsiTheme="majorHAnsi"/>
        </w:rPr>
        <w:t xml:space="preserve">. </w:t>
      </w:r>
      <w:r w:rsidRPr="00BB42FE">
        <w:rPr>
          <w:rFonts w:asciiTheme="majorHAnsi" w:hAnsiTheme="majorHAnsi"/>
        </w:rPr>
        <w:t xml:space="preserve"> </w:t>
      </w:r>
      <w:r w:rsidR="00F9703F" w:rsidRPr="00BB42FE">
        <w:rPr>
          <w:rFonts w:asciiTheme="majorHAnsi" w:hAnsiTheme="majorHAnsi"/>
        </w:rPr>
        <w:t xml:space="preserve">Ocrelizumab </w:t>
      </w:r>
      <w:r w:rsidRPr="00BB42FE">
        <w:rPr>
          <w:rFonts w:asciiTheme="majorHAnsi" w:hAnsiTheme="majorHAnsi"/>
        </w:rPr>
        <w:t>has been in development for more than a decade but i</w:t>
      </w:r>
      <w:r w:rsidR="00AE56C1" w:rsidRPr="00BB42FE">
        <w:rPr>
          <w:rFonts w:asciiTheme="majorHAnsi" w:hAnsiTheme="majorHAnsi"/>
        </w:rPr>
        <w:t xml:space="preserve">ts </w:t>
      </w:r>
      <w:r w:rsidRPr="00BB42FE">
        <w:rPr>
          <w:rFonts w:asciiTheme="majorHAnsi" w:hAnsiTheme="majorHAnsi"/>
        </w:rPr>
        <w:t xml:space="preserve">progress in </w:t>
      </w:r>
      <w:r w:rsidR="00F9703F" w:rsidRPr="00BB42FE">
        <w:rPr>
          <w:rFonts w:asciiTheme="majorHAnsi" w:hAnsiTheme="majorHAnsi"/>
        </w:rPr>
        <w:t>rheumatoid arthritis</w:t>
      </w:r>
      <w:r w:rsidR="00AE56C1" w:rsidRPr="00BB42FE">
        <w:rPr>
          <w:rFonts w:asciiTheme="majorHAnsi" w:hAnsiTheme="majorHAnsi"/>
        </w:rPr>
        <w:t xml:space="preserve"> was halted in 2010 after data from multiple </w:t>
      </w:r>
      <w:proofErr w:type="gramStart"/>
      <w:r w:rsidR="00AE56C1" w:rsidRPr="00BB42FE">
        <w:rPr>
          <w:rFonts w:asciiTheme="majorHAnsi" w:hAnsiTheme="majorHAnsi"/>
        </w:rPr>
        <w:t>phase</w:t>
      </w:r>
      <w:proofErr w:type="gramEnd"/>
      <w:r w:rsidR="00AE56C1" w:rsidRPr="00BB42FE">
        <w:rPr>
          <w:rFonts w:asciiTheme="majorHAnsi" w:hAnsiTheme="majorHAnsi"/>
        </w:rPr>
        <w:t xml:space="preserve"> III trials suggested an excess of serious</w:t>
      </w:r>
      <w:r w:rsidR="00AE56C1" w:rsidRPr="00413F49">
        <w:rPr>
          <w:rFonts w:asciiTheme="majorHAnsi" w:hAnsiTheme="majorHAnsi"/>
        </w:rPr>
        <w:t xml:space="preserve"> infections and a poor benefit-risk profile w</w:t>
      </w:r>
      <w:r w:rsidR="00361726" w:rsidRPr="00413F49">
        <w:rPr>
          <w:rFonts w:asciiTheme="majorHAnsi" w:hAnsiTheme="majorHAnsi"/>
        </w:rPr>
        <w:t>hen combined with methotrexate.</w:t>
      </w:r>
      <w:r w:rsidR="00AE56C1" w:rsidRPr="00413F49">
        <w:rPr>
          <w:rFonts w:asciiTheme="majorHAnsi" w:hAnsiTheme="majorHAnsi"/>
        </w:rPr>
        <w:t xml:space="preserve"> However, </w:t>
      </w:r>
      <w:r w:rsidR="00EB3698" w:rsidRPr="00413F49">
        <w:rPr>
          <w:rFonts w:asciiTheme="majorHAnsi" w:hAnsiTheme="majorHAnsi"/>
        </w:rPr>
        <w:t xml:space="preserve">trials </w:t>
      </w:r>
      <w:r w:rsidR="00AE56C1" w:rsidRPr="00413F49">
        <w:rPr>
          <w:rFonts w:asciiTheme="majorHAnsi" w:hAnsiTheme="majorHAnsi"/>
        </w:rPr>
        <w:t>in MS continued and i</w:t>
      </w:r>
      <w:r w:rsidR="00CC103B" w:rsidRPr="00413F49">
        <w:rPr>
          <w:rFonts w:asciiTheme="majorHAnsi" w:hAnsiTheme="majorHAnsi"/>
        </w:rPr>
        <w:t xml:space="preserve">t was licensed in </w:t>
      </w:r>
      <w:r w:rsidR="0048284D" w:rsidRPr="00413F49">
        <w:rPr>
          <w:rFonts w:asciiTheme="majorHAnsi" w:hAnsiTheme="majorHAnsi"/>
        </w:rPr>
        <w:t>T</w:t>
      </w:r>
      <w:r w:rsidR="005E02A8" w:rsidRPr="00413F49">
        <w:rPr>
          <w:rFonts w:asciiTheme="majorHAnsi" w:hAnsiTheme="majorHAnsi"/>
        </w:rPr>
        <w:t xml:space="preserve">he </w:t>
      </w:r>
      <w:r w:rsidR="005E02A8" w:rsidRPr="00413F49">
        <w:rPr>
          <w:rFonts w:asciiTheme="majorHAnsi" w:hAnsiTheme="majorHAnsi"/>
        </w:rPr>
        <w:lastRenderedPageBreak/>
        <w:t xml:space="preserve">United States in March 2017 and in </w:t>
      </w:r>
      <w:r w:rsidR="00CC103B" w:rsidRPr="00413F49">
        <w:rPr>
          <w:rFonts w:asciiTheme="majorHAnsi" w:hAnsiTheme="majorHAnsi"/>
        </w:rPr>
        <w:t>Europe in January 2018</w:t>
      </w:r>
      <w:r w:rsidR="005E02A8" w:rsidRPr="00413F49">
        <w:rPr>
          <w:rFonts w:asciiTheme="majorHAnsi" w:hAnsiTheme="majorHAnsi"/>
        </w:rPr>
        <w:t>. The European license is</w:t>
      </w:r>
      <w:r w:rsidR="00CC103B" w:rsidRPr="00413F49">
        <w:rPr>
          <w:rFonts w:asciiTheme="majorHAnsi" w:hAnsiTheme="majorHAnsi"/>
        </w:rPr>
        <w:t xml:space="preserve"> for</w:t>
      </w:r>
      <w:r w:rsidR="00361846" w:rsidRPr="00413F49">
        <w:rPr>
          <w:rFonts w:asciiTheme="majorHAnsi" w:hAnsiTheme="majorHAnsi"/>
        </w:rPr>
        <w:t xml:space="preserve"> treatment of </w:t>
      </w:r>
      <w:r w:rsidR="00CC103B" w:rsidRPr="00413F49">
        <w:rPr>
          <w:rFonts w:asciiTheme="majorHAnsi" w:hAnsiTheme="majorHAnsi"/>
        </w:rPr>
        <w:t>active relapsing MS and early primary progressive MS with imaging feat</w:t>
      </w:r>
      <w:r w:rsidR="00361726" w:rsidRPr="00413F49">
        <w:rPr>
          <w:rFonts w:asciiTheme="majorHAnsi" w:hAnsiTheme="majorHAnsi"/>
        </w:rPr>
        <w:t xml:space="preserve">ures of inflammatory activity. </w:t>
      </w:r>
      <w:r w:rsidR="003F6125" w:rsidRPr="00413F49">
        <w:rPr>
          <w:rFonts w:asciiTheme="majorHAnsi" w:hAnsiTheme="majorHAnsi"/>
        </w:rPr>
        <w:t>R</w:t>
      </w:r>
      <w:r w:rsidR="00CC103B" w:rsidRPr="00413F49">
        <w:rPr>
          <w:rFonts w:asciiTheme="majorHAnsi" w:hAnsiTheme="majorHAnsi"/>
        </w:rPr>
        <w:t>ecent phase III RCTs</w:t>
      </w:r>
      <w:r w:rsidR="003F6125" w:rsidRPr="00413F49">
        <w:rPr>
          <w:rFonts w:asciiTheme="majorHAnsi" w:hAnsiTheme="majorHAnsi"/>
        </w:rPr>
        <w:t xml:space="preserve"> demonstrated</w:t>
      </w:r>
      <w:r w:rsidR="00D87E54" w:rsidRPr="00413F49">
        <w:rPr>
          <w:rFonts w:asciiTheme="majorHAnsi" w:hAnsiTheme="majorHAnsi"/>
        </w:rPr>
        <w:t xml:space="preserve"> </w:t>
      </w:r>
      <w:r w:rsidR="005E33C2" w:rsidRPr="00413F49">
        <w:rPr>
          <w:rFonts w:asciiTheme="majorHAnsi" w:hAnsiTheme="majorHAnsi"/>
        </w:rPr>
        <w:t xml:space="preserve">that ocrelizumab </w:t>
      </w:r>
      <w:r w:rsidR="00D87E54" w:rsidRPr="00413F49">
        <w:rPr>
          <w:rFonts w:asciiTheme="majorHAnsi" w:hAnsiTheme="majorHAnsi"/>
        </w:rPr>
        <w:t xml:space="preserve">reduced annualised relapse rates versus </w:t>
      </w:r>
      <w:r w:rsidR="00CC103B" w:rsidRPr="00413F49">
        <w:rPr>
          <w:rFonts w:asciiTheme="majorHAnsi" w:hAnsiTheme="majorHAnsi"/>
        </w:rPr>
        <w:t>interferon beta-1a in rel</w:t>
      </w:r>
      <w:r w:rsidR="00361726" w:rsidRPr="00413F49">
        <w:rPr>
          <w:rFonts w:asciiTheme="majorHAnsi" w:hAnsiTheme="majorHAnsi"/>
        </w:rPr>
        <w:t>apsing MS (OPERA I and II</w:t>
      </w:r>
      <w:r w:rsidR="00CC103B" w:rsidRPr="00413F49">
        <w:rPr>
          <w:rFonts w:asciiTheme="majorHAnsi" w:hAnsiTheme="majorHAnsi"/>
        </w:rPr>
        <w:t>)</w:t>
      </w:r>
      <w:r w:rsidR="00361726" w:rsidRPr="00413F49">
        <w:rPr>
          <w:rFonts w:asciiTheme="majorHAnsi" w:hAnsiTheme="majorHAnsi"/>
        </w:rPr>
        <w:t>,</w:t>
      </w:r>
      <w:r w:rsidR="00CC103B" w:rsidRPr="00413F49">
        <w:rPr>
          <w:rFonts w:asciiTheme="majorHAnsi" w:hAnsiTheme="majorHAnsi"/>
        </w:rPr>
        <w:t xml:space="preserve"> and reduced </w:t>
      </w:r>
      <w:r w:rsidR="00D87E54" w:rsidRPr="00413F49">
        <w:rPr>
          <w:rFonts w:asciiTheme="majorHAnsi" w:hAnsiTheme="majorHAnsi"/>
        </w:rPr>
        <w:t>12-week confirmed disability</w:t>
      </w:r>
      <w:r w:rsidR="00CC103B" w:rsidRPr="00413F49">
        <w:rPr>
          <w:rFonts w:asciiTheme="majorHAnsi" w:hAnsiTheme="majorHAnsi"/>
        </w:rPr>
        <w:t xml:space="preserve"> progression versus placebo in primary progressive MS (ORATORIO)</w:t>
      </w:r>
      <w:r w:rsidR="00361726" w:rsidRPr="00413F49">
        <w:rPr>
          <w:rFonts w:asciiTheme="majorHAnsi" w:hAnsiTheme="majorHAnsi"/>
        </w:rPr>
        <w:t>.</w:t>
      </w:r>
      <w:r w:rsidR="00361726" w:rsidRPr="00413F49">
        <w:rPr>
          <w:rFonts w:asciiTheme="majorHAnsi" w:hAnsiTheme="majorHAnsi"/>
          <w:vertAlign w:val="superscript"/>
        </w:rPr>
        <w:t xml:space="preserve"> </w:t>
      </w:r>
      <w:r w:rsidR="00EB3698" w:rsidRPr="00413F49">
        <w:rPr>
          <w:rFonts w:asciiTheme="majorHAnsi" w:hAnsiTheme="majorHAnsi"/>
          <w:vertAlign w:val="superscript"/>
        </w:rPr>
        <w:t>10</w:t>
      </w:r>
      <w:r w:rsidR="00CE2779" w:rsidRPr="00413F49">
        <w:rPr>
          <w:rFonts w:asciiTheme="majorHAnsi" w:hAnsiTheme="majorHAnsi"/>
          <w:vertAlign w:val="superscript"/>
        </w:rPr>
        <w:t>3</w:t>
      </w:r>
      <w:r w:rsidR="00EB3698" w:rsidRPr="00413F49">
        <w:rPr>
          <w:rFonts w:asciiTheme="majorHAnsi" w:hAnsiTheme="majorHAnsi"/>
          <w:vertAlign w:val="superscript"/>
        </w:rPr>
        <w:t xml:space="preserve"> 10</w:t>
      </w:r>
      <w:r w:rsidR="00CE2779" w:rsidRPr="00413F49">
        <w:rPr>
          <w:rFonts w:asciiTheme="majorHAnsi" w:hAnsiTheme="majorHAnsi"/>
          <w:vertAlign w:val="superscript"/>
        </w:rPr>
        <w:t>4</w:t>
      </w:r>
      <w:r w:rsidR="00CC103B" w:rsidRPr="00413F49">
        <w:rPr>
          <w:rFonts w:asciiTheme="majorHAnsi" w:hAnsiTheme="majorHAnsi"/>
        </w:rPr>
        <w:t xml:space="preserve"> The trials </w:t>
      </w:r>
      <w:r w:rsidR="003F6125" w:rsidRPr="00413F49">
        <w:rPr>
          <w:rFonts w:asciiTheme="majorHAnsi" w:hAnsiTheme="majorHAnsi"/>
        </w:rPr>
        <w:t xml:space="preserve">used a fixed dosing schedule over </w:t>
      </w:r>
      <w:r w:rsidR="00630E76" w:rsidRPr="00413F49">
        <w:rPr>
          <w:rFonts w:asciiTheme="majorHAnsi" w:hAnsiTheme="majorHAnsi"/>
        </w:rPr>
        <w:t>two</w:t>
      </w:r>
      <w:r w:rsidR="00CC103B" w:rsidRPr="00413F49">
        <w:rPr>
          <w:rFonts w:asciiTheme="majorHAnsi" w:hAnsiTheme="majorHAnsi"/>
        </w:rPr>
        <w:t xml:space="preserve"> years </w:t>
      </w:r>
      <w:r w:rsidR="003F6125" w:rsidRPr="00413F49">
        <w:rPr>
          <w:rFonts w:asciiTheme="majorHAnsi" w:hAnsiTheme="majorHAnsi"/>
        </w:rPr>
        <w:t>of follow-up</w:t>
      </w:r>
      <w:r w:rsidR="00EB3698" w:rsidRPr="00413F49">
        <w:rPr>
          <w:rFonts w:asciiTheme="majorHAnsi" w:hAnsiTheme="majorHAnsi"/>
        </w:rPr>
        <w:t>. T</w:t>
      </w:r>
      <w:r w:rsidR="00DD1F78" w:rsidRPr="00413F49">
        <w:rPr>
          <w:rFonts w:asciiTheme="majorHAnsi" w:hAnsiTheme="majorHAnsi"/>
        </w:rPr>
        <w:t xml:space="preserve">he </w:t>
      </w:r>
      <w:r w:rsidR="00CC103B" w:rsidRPr="00413F49">
        <w:rPr>
          <w:rFonts w:asciiTheme="majorHAnsi" w:hAnsiTheme="majorHAnsi"/>
        </w:rPr>
        <w:t>safety profile</w:t>
      </w:r>
      <w:r w:rsidR="00EB3698" w:rsidRPr="00413F49">
        <w:rPr>
          <w:rFonts w:asciiTheme="majorHAnsi" w:hAnsiTheme="majorHAnsi"/>
        </w:rPr>
        <w:t xml:space="preserve"> appeared favourable. I</w:t>
      </w:r>
      <w:r w:rsidR="00CC103B" w:rsidRPr="00413F49">
        <w:rPr>
          <w:rFonts w:asciiTheme="majorHAnsi" w:hAnsiTheme="majorHAnsi"/>
        </w:rPr>
        <w:t xml:space="preserve">nfusion reactions </w:t>
      </w:r>
      <w:r w:rsidR="003F6125" w:rsidRPr="00413F49">
        <w:rPr>
          <w:rFonts w:asciiTheme="majorHAnsi" w:hAnsiTheme="majorHAnsi"/>
        </w:rPr>
        <w:t xml:space="preserve">were </w:t>
      </w:r>
      <w:r w:rsidR="00CC103B" w:rsidRPr="00413F49">
        <w:rPr>
          <w:rFonts w:asciiTheme="majorHAnsi" w:hAnsiTheme="majorHAnsi"/>
        </w:rPr>
        <w:t>frequent</w:t>
      </w:r>
      <w:r w:rsidR="00361726" w:rsidRPr="00413F49">
        <w:rPr>
          <w:rFonts w:asciiTheme="majorHAnsi" w:hAnsiTheme="majorHAnsi"/>
        </w:rPr>
        <w:t xml:space="preserve"> but rarely problematic. </w:t>
      </w:r>
      <w:r w:rsidR="00CC103B" w:rsidRPr="00413F49">
        <w:rPr>
          <w:rFonts w:asciiTheme="majorHAnsi" w:hAnsiTheme="majorHAnsi"/>
        </w:rPr>
        <w:t xml:space="preserve">Upper respiratory tract infections were more common </w:t>
      </w:r>
      <w:r w:rsidR="00361702" w:rsidRPr="00413F49">
        <w:rPr>
          <w:rFonts w:asciiTheme="majorHAnsi" w:hAnsiTheme="majorHAnsi"/>
        </w:rPr>
        <w:t xml:space="preserve">after </w:t>
      </w:r>
      <w:r w:rsidR="00DD1F78" w:rsidRPr="00413F49">
        <w:rPr>
          <w:rFonts w:asciiTheme="majorHAnsi" w:hAnsiTheme="majorHAnsi"/>
        </w:rPr>
        <w:t>o</w:t>
      </w:r>
      <w:r w:rsidR="00CC103B" w:rsidRPr="00413F49">
        <w:rPr>
          <w:rFonts w:asciiTheme="majorHAnsi" w:hAnsiTheme="majorHAnsi"/>
        </w:rPr>
        <w:t>crelizumab</w:t>
      </w:r>
      <w:r w:rsidR="00361702" w:rsidRPr="00413F49">
        <w:rPr>
          <w:rFonts w:asciiTheme="majorHAnsi" w:hAnsiTheme="majorHAnsi"/>
        </w:rPr>
        <w:t xml:space="preserve"> </w:t>
      </w:r>
      <w:r w:rsidR="00CC103B" w:rsidRPr="00413F49">
        <w:rPr>
          <w:rFonts w:asciiTheme="majorHAnsi" w:hAnsiTheme="majorHAnsi"/>
        </w:rPr>
        <w:t>but there was no excess of serio</w:t>
      </w:r>
      <w:r w:rsidR="00361726" w:rsidRPr="00413F49">
        <w:rPr>
          <w:rFonts w:asciiTheme="majorHAnsi" w:hAnsiTheme="majorHAnsi"/>
        </w:rPr>
        <w:t>us or opportunistic infections.</w:t>
      </w:r>
      <w:r w:rsidR="00CC103B" w:rsidRPr="00413F49">
        <w:rPr>
          <w:rFonts w:asciiTheme="majorHAnsi" w:hAnsiTheme="majorHAnsi"/>
        </w:rPr>
        <w:t xml:space="preserve"> Ocrelizumab was associated</w:t>
      </w:r>
      <w:r w:rsidR="003F6125" w:rsidRPr="00413F49">
        <w:rPr>
          <w:rFonts w:asciiTheme="majorHAnsi" w:hAnsiTheme="majorHAnsi"/>
        </w:rPr>
        <w:t xml:space="preserve"> with low total serum IgM in 16</w:t>
      </w:r>
      <w:r w:rsidR="00CC103B" w:rsidRPr="00413F49">
        <w:rPr>
          <w:rFonts w:asciiTheme="majorHAnsi" w:hAnsiTheme="majorHAnsi"/>
        </w:rPr>
        <w:t>% of patients</w:t>
      </w:r>
      <w:r w:rsidR="00DD1F78" w:rsidRPr="00413F49">
        <w:rPr>
          <w:rFonts w:asciiTheme="majorHAnsi" w:hAnsiTheme="majorHAnsi"/>
        </w:rPr>
        <w:t>, but no</w:t>
      </w:r>
      <w:r w:rsidR="00CC103B" w:rsidRPr="00413F49">
        <w:rPr>
          <w:rFonts w:asciiTheme="majorHAnsi" w:hAnsiTheme="majorHAnsi"/>
        </w:rPr>
        <w:t xml:space="preserve"> increased infection risk </w:t>
      </w:r>
      <w:r w:rsidR="00DD1F78" w:rsidRPr="00413F49">
        <w:rPr>
          <w:rFonts w:asciiTheme="majorHAnsi" w:hAnsiTheme="majorHAnsi"/>
        </w:rPr>
        <w:t xml:space="preserve">was observed </w:t>
      </w:r>
      <w:r w:rsidR="00CC103B" w:rsidRPr="00413F49">
        <w:rPr>
          <w:rFonts w:asciiTheme="majorHAnsi" w:hAnsiTheme="majorHAnsi"/>
        </w:rPr>
        <w:t>in these patients</w:t>
      </w:r>
      <w:r w:rsidR="00AE56C1" w:rsidRPr="00413F49">
        <w:rPr>
          <w:rFonts w:asciiTheme="majorHAnsi" w:hAnsiTheme="majorHAnsi"/>
        </w:rPr>
        <w:t>. T</w:t>
      </w:r>
      <w:r w:rsidR="00361702" w:rsidRPr="00413F49">
        <w:rPr>
          <w:rFonts w:asciiTheme="majorHAnsi" w:hAnsiTheme="majorHAnsi"/>
        </w:rPr>
        <w:t xml:space="preserve">here was no </w:t>
      </w:r>
      <w:r w:rsidR="002D48C1" w:rsidRPr="00413F49">
        <w:rPr>
          <w:rFonts w:asciiTheme="majorHAnsi" w:hAnsiTheme="majorHAnsi"/>
        </w:rPr>
        <w:t xml:space="preserve">reduction in total serum IgG or </w:t>
      </w:r>
      <w:r w:rsidR="00CC103B" w:rsidRPr="00413F49">
        <w:rPr>
          <w:rFonts w:asciiTheme="majorHAnsi" w:hAnsiTheme="majorHAnsi"/>
        </w:rPr>
        <w:t>disease-specific antibody titres</w:t>
      </w:r>
      <w:r w:rsidR="00AE56C1" w:rsidRPr="00413F49">
        <w:rPr>
          <w:rFonts w:asciiTheme="majorHAnsi" w:hAnsiTheme="majorHAnsi"/>
        </w:rPr>
        <w:t xml:space="preserve"> over the 2-year follow-up period</w:t>
      </w:r>
      <w:r w:rsidR="00F3359D" w:rsidRPr="00413F49">
        <w:rPr>
          <w:rFonts w:asciiTheme="majorHAnsi" w:hAnsiTheme="majorHAnsi"/>
        </w:rPr>
        <w:t>.</w:t>
      </w:r>
      <w:r w:rsidR="002D48C1" w:rsidRPr="00413F49">
        <w:rPr>
          <w:rFonts w:asciiTheme="majorHAnsi" w:hAnsiTheme="majorHAnsi"/>
        </w:rPr>
        <w:t xml:space="preserve"> </w:t>
      </w:r>
      <w:r w:rsidR="005E33C2" w:rsidRPr="00413F49">
        <w:rPr>
          <w:rFonts w:asciiTheme="majorHAnsi" w:hAnsiTheme="majorHAnsi"/>
        </w:rPr>
        <w:t>A</w:t>
      </w:r>
      <w:r w:rsidR="00F3359D" w:rsidRPr="00413F49">
        <w:rPr>
          <w:rFonts w:asciiTheme="majorHAnsi" w:hAnsiTheme="majorHAnsi"/>
        </w:rPr>
        <w:t xml:space="preserve">n increased risk of malignancies (including breast cancer) was observed in the </w:t>
      </w:r>
      <w:r w:rsidR="002D48C1" w:rsidRPr="00413F49">
        <w:rPr>
          <w:rFonts w:asciiTheme="majorHAnsi" w:hAnsiTheme="majorHAnsi"/>
        </w:rPr>
        <w:t>o</w:t>
      </w:r>
      <w:r w:rsidR="003F6125" w:rsidRPr="00413F49">
        <w:rPr>
          <w:rFonts w:asciiTheme="majorHAnsi" w:hAnsiTheme="majorHAnsi"/>
        </w:rPr>
        <w:t>crelizumab</w:t>
      </w:r>
      <w:r w:rsidR="00F3359D" w:rsidRPr="00413F49">
        <w:rPr>
          <w:rFonts w:asciiTheme="majorHAnsi" w:hAnsiTheme="majorHAnsi"/>
        </w:rPr>
        <w:t xml:space="preserve"> trial arms but the incidence was within the background rate expected for an MS population</w:t>
      </w:r>
      <w:r w:rsidR="00CC103B" w:rsidRPr="00413F49">
        <w:rPr>
          <w:rFonts w:asciiTheme="majorHAnsi" w:hAnsiTheme="majorHAnsi"/>
        </w:rPr>
        <w:t>.</w:t>
      </w:r>
      <w:r w:rsidR="00CE2779" w:rsidRPr="00413F49">
        <w:rPr>
          <w:rFonts w:asciiTheme="majorHAnsi" w:hAnsiTheme="majorHAnsi"/>
          <w:vertAlign w:val="superscript"/>
        </w:rPr>
        <w:t xml:space="preserve"> 103 104</w:t>
      </w:r>
      <w:r w:rsidR="00361726" w:rsidRPr="00413F49">
        <w:rPr>
          <w:rFonts w:asciiTheme="majorHAnsi" w:hAnsiTheme="majorHAnsi"/>
        </w:rPr>
        <w:t xml:space="preserve"> </w:t>
      </w:r>
      <w:r w:rsidR="00CC103B" w:rsidRPr="00413F49">
        <w:rPr>
          <w:rFonts w:asciiTheme="majorHAnsi" w:hAnsiTheme="majorHAnsi"/>
        </w:rPr>
        <w:t xml:space="preserve"> </w:t>
      </w:r>
      <w:r w:rsidR="00F3359D" w:rsidRPr="00413F49">
        <w:rPr>
          <w:rFonts w:asciiTheme="majorHAnsi" w:hAnsiTheme="majorHAnsi"/>
        </w:rPr>
        <w:t xml:space="preserve"> </w:t>
      </w:r>
    </w:p>
    <w:p w:rsidR="00CC103B" w:rsidRPr="00413F49" w:rsidRDefault="00CC103B" w:rsidP="00CC103B">
      <w:pPr>
        <w:jc w:val="both"/>
        <w:rPr>
          <w:rFonts w:asciiTheme="majorHAnsi" w:hAnsiTheme="majorHAnsi"/>
        </w:rPr>
      </w:pPr>
    </w:p>
    <w:p w:rsidR="0052678D" w:rsidRPr="00413F49" w:rsidRDefault="00CC103B" w:rsidP="00643168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Ocrelizumab has been licensed as a fixed </w:t>
      </w:r>
      <w:r w:rsidR="00005819" w:rsidRPr="00413F49">
        <w:rPr>
          <w:rFonts w:asciiTheme="majorHAnsi" w:hAnsiTheme="majorHAnsi"/>
        </w:rPr>
        <w:t xml:space="preserve">6-monthly </w:t>
      </w:r>
      <w:r w:rsidRPr="00413F49">
        <w:rPr>
          <w:rFonts w:asciiTheme="majorHAnsi" w:hAnsiTheme="majorHAnsi"/>
        </w:rPr>
        <w:t xml:space="preserve">dosing </w:t>
      </w:r>
      <w:r w:rsidR="00005819" w:rsidRPr="00413F49">
        <w:rPr>
          <w:rFonts w:asciiTheme="majorHAnsi" w:hAnsiTheme="majorHAnsi"/>
        </w:rPr>
        <w:t>regimen</w:t>
      </w:r>
      <w:r w:rsidRPr="00413F49">
        <w:rPr>
          <w:rFonts w:asciiTheme="majorHAnsi" w:hAnsiTheme="majorHAnsi"/>
        </w:rPr>
        <w:t xml:space="preserve"> with no specific immune function monitoring</w:t>
      </w:r>
      <w:r w:rsidR="00D202AE" w:rsidRPr="00413F49">
        <w:rPr>
          <w:rFonts w:asciiTheme="majorHAnsi" w:hAnsiTheme="majorHAnsi"/>
        </w:rPr>
        <w:t>, despite the fact that c</w:t>
      </w:r>
      <w:r w:rsidR="00AD6914" w:rsidRPr="00413F49">
        <w:rPr>
          <w:rFonts w:asciiTheme="majorHAnsi" w:hAnsiTheme="majorHAnsi"/>
        </w:rPr>
        <w:t>onsiderable inter-individual variation is observed in time-to-repopulation of B-cells following ocrelizumab.</w:t>
      </w:r>
      <w:r w:rsidR="00CE2779" w:rsidRPr="00413F49">
        <w:rPr>
          <w:rFonts w:asciiTheme="majorHAnsi" w:hAnsiTheme="majorHAnsi"/>
          <w:vertAlign w:val="superscript"/>
        </w:rPr>
        <w:t>105</w:t>
      </w:r>
      <w:r w:rsidR="00AD6914" w:rsidRPr="00413F49">
        <w:rPr>
          <w:rFonts w:asciiTheme="majorHAnsi" w:hAnsiTheme="majorHAnsi"/>
        </w:rPr>
        <w:t xml:space="preserve"> </w:t>
      </w:r>
      <w:r w:rsidR="00643168" w:rsidRPr="00413F49">
        <w:rPr>
          <w:rFonts w:asciiTheme="majorHAnsi" w:hAnsiTheme="majorHAnsi"/>
        </w:rPr>
        <w:t>Th</w:t>
      </w:r>
      <w:r w:rsidR="00EA490A" w:rsidRPr="00413F49">
        <w:rPr>
          <w:rFonts w:asciiTheme="majorHAnsi" w:hAnsiTheme="majorHAnsi"/>
        </w:rPr>
        <w:t xml:space="preserve">e experience of ocrelizumab in clinical trials may seem inconsistent with </w:t>
      </w:r>
      <w:r w:rsidR="00643168" w:rsidRPr="00413F49">
        <w:rPr>
          <w:rFonts w:asciiTheme="majorHAnsi" w:hAnsiTheme="majorHAnsi"/>
        </w:rPr>
        <w:t xml:space="preserve">our </w:t>
      </w:r>
      <w:r w:rsidR="00CC3443" w:rsidRPr="00413F49">
        <w:rPr>
          <w:rFonts w:asciiTheme="majorHAnsi" w:hAnsiTheme="majorHAnsi"/>
        </w:rPr>
        <w:t>and others</w:t>
      </w:r>
      <w:r w:rsidR="00EC46A3" w:rsidRPr="00413F49">
        <w:rPr>
          <w:rFonts w:asciiTheme="majorHAnsi" w:hAnsiTheme="majorHAnsi"/>
        </w:rPr>
        <w:t xml:space="preserve"> </w:t>
      </w:r>
      <w:r w:rsidR="00EA490A" w:rsidRPr="00413F49">
        <w:rPr>
          <w:rFonts w:asciiTheme="majorHAnsi" w:hAnsiTheme="majorHAnsi"/>
        </w:rPr>
        <w:t xml:space="preserve">real-world </w:t>
      </w:r>
      <w:r w:rsidR="00643168" w:rsidRPr="00413F49">
        <w:rPr>
          <w:rFonts w:asciiTheme="majorHAnsi" w:hAnsiTheme="majorHAnsi"/>
        </w:rPr>
        <w:t xml:space="preserve">experience </w:t>
      </w:r>
      <w:r w:rsidR="00EA490A" w:rsidRPr="00413F49">
        <w:rPr>
          <w:rFonts w:asciiTheme="majorHAnsi" w:hAnsiTheme="majorHAnsi"/>
        </w:rPr>
        <w:t xml:space="preserve">of rituximab, in which we have observed </w:t>
      </w:r>
      <w:r w:rsidRPr="00413F49">
        <w:rPr>
          <w:rFonts w:asciiTheme="majorHAnsi" w:hAnsiTheme="majorHAnsi"/>
        </w:rPr>
        <w:t xml:space="preserve">the </w:t>
      </w:r>
      <w:r w:rsidR="00D202AE" w:rsidRPr="00413F49">
        <w:rPr>
          <w:rFonts w:asciiTheme="majorHAnsi" w:hAnsiTheme="majorHAnsi"/>
        </w:rPr>
        <w:t xml:space="preserve">coexistence </w:t>
      </w:r>
      <w:r w:rsidRPr="00413F49">
        <w:rPr>
          <w:rFonts w:asciiTheme="majorHAnsi" w:hAnsiTheme="majorHAnsi"/>
        </w:rPr>
        <w:t>of seconda</w:t>
      </w:r>
      <w:r w:rsidR="00257C83" w:rsidRPr="00413F49">
        <w:rPr>
          <w:rFonts w:asciiTheme="majorHAnsi" w:hAnsiTheme="majorHAnsi"/>
        </w:rPr>
        <w:t>r</w:t>
      </w:r>
      <w:r w:rsidRPr="00413F49">
        <w:rPr>
          <w:rFonts w:asciiTheme="majorHAnsi" w:hAnsiTheme="majorHAnsi"/>
        </w:rPr>
        <w:t xml:space="preserve">y antibody deficiency and </w:t>
      </w:r>
      <w:r w:rsidR="00643168" w:rsidRPr="00413F49">
        <w:rPr>
          <w:rFonts w:asciiTheme="majorHAnsi" w:hAnsiTheme="majorHAnsi"/>
        </w:rPr>
        <w:t>increased rate of</w:t>
      </w:r>
      <w:r w:rsidR="00D202AE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infection</w:t>
      </w:r>
      <w:r w:rsidR="00643168" w:rsidRPr="00413F49">
        <w:rPr>
          <w:rFonts w:asciiTheme="majorHAnsi" w:hAnsiTheme="majorHAnsi"/>
        </w:rPr>
        <w:t>s</w:t>
      </w:r>
      <w:r w:rsidRPr="00413F49">
        <w:rPr>
          <w:rFonts w:asciiTheme="majorHAnsi" w:hAnsiTheme="majorHAnsi"/>
        </w:rPr>
        <w:t xml:space="preserve"> </w:t>
      </w:r>
      <w:r w:rsidR="00643168" w:rsidRPr="00413F49">
        <w:rPr>
          <w:rFonts w:asciiTheme="majorHAnsi" w:hAnsiTheme="majorHAnsi"/>
        </w:rPr>
        <w:t xml:space="preserve">in </w:t>
      </w:r>
      <w:r w:rsidR="00005819" w:rsidRPr="00413F49">
        <w:rPr>
          <w:rFonts w:asciiTheme="majorHAnsi" w:hAnsiTheme="majorHAnsi"/>
        </w:rPr>
        <w:t xml:space="preserve">NMOSD patients on maintenance </w:t>
      </w:r>
      <w:r w:rsidR="00EA490A" w:rsidRPr="00413F49">
        <w:rPr>
          <w:rFonts w:asciiTheme="majorHAnsi" w:hAnsiTheme="majorHAnsi"/>
        </w:rPr>
        <w:t>therapy.</w:t>
      </w:r>
      <w:r w:rsidR="00CC3443" w:rsidRPr="00413F49">
        <w:rPr>
          <w:rFonts w:asciiTheme="majorHAnsi" w:hAnsiTheme="majorHAnsi"/>
          <w:vertAlign w:val="superscript"/>
        </w:rPr>
        <w:t>7</w:t>
      </w:r>
      <w:r w:rsidR="00CE2779" w:rsidRPr="00413F49">
        <w:rPr>
          <w:rFonts w:asciiTheme="majorHAnsi" w:hAnsiTheme="majorHAnsi"/>
          <w:vertAlign w:val="superscript"/>
        </w:rPr>
        <w:t>8-81</w:t>
      </w:r>
      <w:r w:rsidR="00EA490A" w:rsidRPr="00413F49">
        <w:rPr>
          <w:rFonts w:asciiTheme="majorHAnsi" w:hAnsiTheme="majorHAnsi"/>
        </w:rPr>
        <w:t xml:space="preserve">  We postulate that this</w:t>
      </w:r>
      <w:r w:rsidR="00005819" w:rsidRPr="00413F49">
        <w:rPr>
          <w:rFonts w:asciiTheme="majorHAnsi" w:hAnsiTheme="majorHAnsi"/>
        </w:rPr>
        <w:t xml:space="preserve"> </w:t>
      </w:r>
      <w:r w:rsidR="00D87E54" w:rsidRPr="00413F49">
        <w:rPr>
          <w:rFonts w:asciiTheme="majorHAnsi" w:hAnsiTheme="majorHAnsi"/>
        </w:rPr>
        <w:t xml:space="preserve">may </w:t>
      </w:r>
      <w:r w:rsidRPr="00413F49">
        <w:rPr>
          <w:rFonts w:asciiTheme="majorHAnsi" w:hAnsiTheme="majorHAnsi"/>
        </w:rPr>
        <w:t xml:space="preserve">relate to </w:t>
      </w:r>
      <w:r w:rsidR="006A1629" w:rsidRPr="00413F49">
        <w:rPr>
          <w:rFonts w:asciiTheme="majorHAnsi" w:hAnsiTheme="majorHAnsi"/>
        </w:rPr>
        <w:t>a degree</w:t>
      </w:r>
      <w:r w:rsidRPr="00413F49">
        <w:rPr>
          <w:rFonts w:asciiTheme="majorHAnsi" w:hAnsiTheme="majorHAnsi"/>
        </w:rPr>
        <w:t xml:space="preserve"> of baseline immune dysfunction</w:t>
      </w:r>
      <w:r w:rsidR="006A1629" w:rsidRPr="00413F49">
        <w:rPr>
          <w:rFonts w:asciiTheme="majorHAnsi" w:hAnsiTheme="majorHAnsi"/>
        </w:rPr>
        <w:t xml:space="preserve"> </w:t>
      </w:r>
      <w:r w:rsidR="00EA490A" w:rsidRPr="00413F49">
        <w:rPr>
          <w:rFonts w:asciiTheme="majorHAnsi" w:hAnsiTheme="majorHAnsi"/>
        </w:rPr>
        <w:t>caused by</w:t>
      </w:r>
      <w:r w:rsidR="006A1629" w:rsidRPr="00413F49">
        <w:rPr>
          <w:rFonts w:asciiTheme="majorHAnsi" w:hAnsiTheme="majorHAnsi"/>
        </w:rPr>
        <w:t xml:space="preserve"> prior immunosuppressive medication</w:t>
      </w:r>
      <w:r w:rsidR="003E0D80" w:rsidRPr="00413F49">
        <w:rPr>
          <w:rFonts w:asciiTheme="majorHAnsi" w:hAnsiTheme="majorHAnsi"/>
        </w:rPr>
        <w:t xml:space="preserve"> and a longer treatment duration than is recorded in the pivotal ocrelizumab studies</w:t>
      </w:r>
      <w:r w:rsidR="00005819" w:rsidRPr="00413F49">
        <w:rPr>
          <w:rFonts w:asciiTheme="majorHAnsi" w:hAnsiTheme="majorHAnsi"/>
        </w:rPr>
        <w:t xml:space="preserve">. </w:t>
      </w:r>
      <w:r w:rsidR="004F6720" w:rsidRPr="00413F49">
        <w:rPr>
          <w:rFonts w:asciiTheme="majorHAnsi" w:hAnsiTheme="majorHAnsi"/>
        </w:rPr>
        <w:t xml:space="preserve">This echoes </w:t>
      </w:r>
      <w:r w:rsidR="00F9703F">
        <w:rPr>
          <w:rFonts w:asciiTheme="majorHAnsi" w:hAnsiTheme="majorHAnsi"/>
        </w:rPr>
        <w:t xml:space="preserve">experience </w:t>
      </w:r>
      <w:r w:rsidR="004F6720" w:rsidRPr="00413F49">
        <w:rPr>
          <w:rFonts w:asciiTheme="majorHAnsi" w:hAnsiTheme="majorHAnsi"/>
        </w:rPr>
        <w:t>in</w:t>
      </w:r>
      <w:r w:rsidR="00F9703F">
        <w:rPr>
          <w:rFonts w:asciiTheme="majorHAnsi" w:hAnsiTheme="majorHAnsi"/>
        </w:rPr>
        <w:t xml:space="preserve"> vasculitis</w:t>
      </w:r>
      <w:r w:rsidR="004F6720" w:rsidRPr="00413F49">
        <w:rPr>
          <w:rFonts w:asciiTheme="majorHAnsi" w:hAnsiTheme="majorHAnsi"/>
        </w:rPr>
        <w:t>, where previous immunosuppressive therapy (particularly cyclophosphamide) has been identified as a risk factor for greater decline in immunoglobulin levels and more prolonged B-cell depletion</w:t>
      </w:r>
      <w:r w:rsidR="00EB3698" w:rsidRPr="00413F49">
        <w:rPr>
          <w:rFonts w:asciiTheme="majorHAnsi" w:hAnsiTheme="majorHAnsi"/>
        </w:rPr>
        <w:t xml:space="preserve"> post-rituximab</w:t>
      </w:r>
      <w:r w:rsidR="004F6720" w:rsidRPr="00413F49">
        <w:rPr>
          <w:rFonts w:asciiTheme="majorHAnsi" w:hAnsiTheme="majorHAnsi"/>
        </w:rPr>
        <w:t>.</w:t>
      </w:r>
      <w:r w:rsidR="004F6720" w:rsidRPr="00413F49">
        <w:rPr>
          <w:rFonts w:asciiTheme="majorHAnsi" w:hAnsiTheme="majorHAnsi"/>
          <w:vertAlign w:val="superscript"/>
        </w:rPr>
        <w:t>25</w:t>
      </w:r>
      <w:r w:rsidR="00CC3443" w:rsidRPr="00413F49">
        <w:rPr>
          <w:rFonts w:asciiTheme="majorHAnsi" w:hAnsiTheme="majorHAnsi"/>
          <w:vertAlign w:val="superscript"/>
        </w:rPr>
        <w:t xml:space="preserve"> 8</w:t>
      </w:r>
      <w:r w:rsidR="00CE2779" w:rsidRPr="00413F49">
        <w:rPr>
          <w:rFonts w:asciiTheme="majorHAnsi" w:hAnsiTheme="majorHAnsi"/>
          <w:vertAlign w:val="superscript"/>
        </w:rPr>
        <w:t>2</w:t>
      </w:r>
      <w:r w:rsidR="004F6720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>In co</w:t>
      </w:r>
      <w:r w:rsidR="00EB3698" w:rsidRPr="00413F49">
        <w:rPr>
          <w:rFonts w:asciiTheme="majorHAnsi" w:hAnsiTheme="majorHAnsi"/>
        </w:rPr>
        <w:t>ntrast</w:t>
      </w:r>
      <w:r w:rsidR="006A1629" w:rsidRPr="00413F49">
        <w:rPr>
          <w:rFonts w:asciiTheme="majorHAnsi" w:hAnsiTheme="majorHAnsi"/>
        </w:rPr>
        <w:t>, the vast majority of patients recruited to OPERA I and II were</w:t>
      </w:r>
      <w:r w:rsidRPr="00413F49">
        <w:rPr>
          <w:rFonts w:asciiTheme="majorHAnsi" w:hAnsiTheme="majorHAnsi"/>
        </w:rPr>
        <w:t xml:space="preserve"> treatment-naïve</w:t>
      </w:r>
      <w:r w:rsidR="00643168" w:rsidRPr="00413F49">
        <w:rPr>
          <w:rFonts w:asciiTheme="majorHAnsi" w:hAnsiTheme="majorHAnsi"/>
        </w:rPr>
        <w:t xml:space="preserve"> or </w:t>
      </w:r>
      <w:r w:rsidR="00EB3698" w:rsidRPr="00413F49">
        <w:rPr>
          <w:rFonts w:asciiTheme="majorHAnsi" w:hAnsiTheme="majorHAnsi"/>
        </w:rPr>
        <w:t xml:space="preserve">had </w:t>
      </w:r>
      <w:r w:rsidR="00643168" w:rsidRPr="00413F49">
        <w:rPr>
          <w:rFonts w:asciiTheme="majorHAnsi" w:hAnsiTheme="majorHAnsi"/>
        </w:rPr>
        <w:t>used non</w:t>
      </w:r>
      <w:r w:rsidR="00A56E4A" w:rsidRPr="00413F49">
        <w:rPr>
          <w:rFonts w:asciiTheme="majorHAnsi" w:hAnsiTheme="majorHAnsi"/>
        </w:rPr>
        <w:t>-</w:t>
      </w:r>
      <w:r w:rsidR="00643168" w:rsidRPr="00413F49">
        <w:rPr>
          <w:rFonts w:asciiTheme="majorHAnsi" w:hAnsiTheme="majorHAnsi"/>
        </w:rPr>
        <w:t>immunosuppressive</w:t>
      </w:r>
      <w:r w:rsidR="00EA490A" w:rsidRPr="00413F49">
        <w:rPr>
          <w:rFonts w:asciiTheme="majorHAnsi" w:hAnsiTheme="majorHAnsi"/>
        </w:rPr>
        <w:t xml:space="preserve"> DMTs</w:t>
      </w:r>
      <w:r w:rsidR="006A1629" w:rsidRPr="00413F49">
        <w:rPr>
          <w:rFonts w:asciiTheme="majorHAnsi" w:hAnsiTheme="majorHAnsi"/>
        </w:rPr>
        <w:t xml:space="preserve">. </w:t>
      </w:r>
      <w:r w:rsidR="00EA490A" w:rsidRPr="00413F49">
        <w:rPr>
          <w:rFonts w:asciiTheme="majorHAnsi" w:hAnsiTheme="majorHAnsi"/>
        </w:rPr>
        <w:t>S</w:t>
      </w:r>
      <w:r w:rsidRPr="00413F49">
        <w:rPr>
          <w:rFonts w:asciiTheme="majorHAnsi" w:hAnsiTheme="majorHAnsi"/>
        </w:rPr>
        <w:t xml:space="preserve">afety information on </w:t>
      </w:r>
      <w:r w:rsidR="00D202AE" w:rsidRPr="00413F49">
        <w:rPr>
          <w:rFonts w:asciiTheme="majorHAnsi" w:hAnsiTheme="majorHAnsi"/>
        </w:rPr>
        <w:t>o</w:t>
      </w:r>
      <w:r w:rsidRPr="00413F49">
        <w:rPr>
          <w:rFonts w:asciiTheme="majorHAnsi" w:hAnsiTheme="majorHAnsi"/>
        </w:rPr>
        <w:t xml:space="preserve">crelizumab </w:t>
      </w:r>
      <w:r w:rsidR="006A1629" w:rsidRPr="00413F49">
        <w:rPr>
          <w:rFonts w:asciiTheme="majorHAnsi" w:hAnsiTheme="majorHAnsi"/>
        </w:rPr>
        <w:t xml:space="preserve">from </w:t>
      </w:r>
      <w:r w:rsidRPr="00413F49">
        <w:rPr>
          <w:rFonts w:asciiTheme="majorHAnsi" w:hAnsiTheme="majorHAnsi"/>
        </w:rPr>
        <w:t xml:space="preserve">post-marketing surveillance </w:t>
      </w:r>
      <w:r w:rsidR="006A1629" w:rsidRPr="00413F49">
        <w:rPr>
          <w:rFonts w:asciiTheme="majorHAnsi" w:hAnsiTheme="majorHAnsi"/>
        </w:rPr>
        <w:t xml:space="preserve">will be useful to further inform risk and </w:t>
      </w:r>
      <w:r w:rsidR="00361702" w:rsidRPr="00413F49">
        <w:rPr>
          <w:rFonts w:asciiTheme="majorHAnsi" w:hAnsiTheme="majorHAnsi"/>
        </w:rPr>
        <w:t xml:space="preserve">to </w:t>
      </w:r>
      <w:r w:rsidR="006A1629" w:rsidRPr="00413F49">
        <w:rPr>
          <w:rFonts w:asciiTheme="majorHAnsi" w:hAnsiTheme="majorHAnsi"/>
        </w:rPr>
        <w:t xml:space="preserve">guide whether </w:t>
      </w:r>
      <w:r w:rsidRPr="00413F49">
        <w:rPr>
          <w:rFonts w:asciiTheme="majorHAnsi" w:hAnsiTheme="majorHAnsi"/>
        </w:rPr>
        <w:t xml:space="preserve">flexible dosing </w:t>
      </w:r>
      <w:r w:rsidR="006A1629" w:rsidRPr="00413F49">
        <w:rPr>
          <w:rFonts w:asciiTheme="majorHAnsi" w:hAnsiTheme="majorHAnsi"/>
        </w:rPr>
        <w:t>may become preferable in certain situations</w:t>
      </w:r>
      <w:r w:rsidRPr="00413F49">
        <w:rPr>
          <w:rFonts w:asciiTheme="majorHAnsi" w:hAnsiTheme="majorHAnsi"/>
        </w:rPr>
        <w:t>.</w:t>
      </w:r>
      <w:r w:rsidR="00A56E4A" w:rsidRPr="00413F49">
        <w:rPr>
          <w:rFonts w:asciiTheme="majorHAnsi" w:hAnsiTheme="majorHAnsi"/>
        </w:rPr>
        <w:t xml:space="preserve">  Sequential treatment effects following high efficacy </w:t>
      </w:r>
      <w:r w:rsidR="00EA490A" w:rsidRPr="00413F49">
        <w:rPr>
          <w:rFonts w:asciiTheme="majorHAnsi" w:hAnsiTheme="majorHAnsi"/>
        </w:rPr>
        <w:t>DMTs</w:t>
      </w:r>
      <w:r w:rsidR="00A56E4A" w:rsidRPr="00413F49">
        <w:rPr>
          <w:rFonts w:asciiTheme="majorHAnsi" w:hAnsiTheme="majorHAnsi"/>
        </w:rPr>
        <w:t xml:space="preserve"> are also yet to be explored.</w:t>
      </w:r>
    </w:p>
    <w:p w:rsidR="0052678D" w:rsidRPr="00413F49" w:rsidRDefault="0052678D" w:rsidP="0052678D">
      <w:pPr>
        <w:rPr>
          <w:rFonts w:asciiTheme="majorHAnsi" w:hAnsiTheme="majorHAnsi"/>
        </w:rPr>
      </w:pPr>
    </w:p>
    <w:p w:rsidR="00633183" w:rsidRPr="00413F49" w:rsidRDefault="00633183" w:rsidP="00CE2779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Conclusion</w:t>
      </w:r>
    </w:p>
    <w:p w:rsidR="00047FDF" w:rsidRPr="00413F49" w:rsidRDefault="00047FDF">
      <w:pPr>
        <w:rPr>
          <w:rFonts w:asciiTheme="majorHAnsi" w:hAnsiTheme="majorHAnsi"/>
        </w:rPr>
      </w:pPr>
    </w:p>
    <w:p w:rsidR="00586F70" w:rsidRPr="00413F49" w:rsidRDefault="00586F70" w:rsidP="00586F70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Rituximab is a valuable treatment option for a variety of neuroinflammatory conditions.  While RCTs are lacking and questions remain about optimal dosing strategies, there is a growing body of evidence to support its use</w:t>
      </w:r>
      <w:r w:rsidR="00DF4A94" w:rsidRPr="00413F49">
        <w:rPr>
          <w:rFonts w:asciiTheme="majorHAnsi" w:hAnsiTheme="majorHAnsi"/>
        </w:rPr>
        <w:t xml:space="preserve"> in specific situations</w:t>
      </w:r>
      <w:r w:rsidRPr="00413F49">
        <w:rPr>
          <w:rFonts w:asciiTheme="majorHAnsi" w:hAnsiTheme="majorHAnsi"/>
        </w:rPr>
        <w:t xml:space="preserve">.  </w:t>
      </w:r>
      <w:r w:rsidR="004503E9" w:rsidRPr="00413F49">
        <w:rPr>
          <w:rFonts w:asciiTheme="majorHAnsi" w:hAnsiTheme="majorHAnsi"/>
        </w:rPr>
        <w:t>O</w:t>
      </w:r>
      <w:r w:rsidRPr="00413F49">
        <w:rPr>
          <w:rFonts w:asciiTheme="majorHAnsi" w:hAnsiTheme="majorHAnsi"/>
        </w:rPr>
        <w:t xml:space="preserve">verall, </w:t>
      </w:r>
      <w:r w:rsidR="004503E9" w:rsidRPr="00413F49">
        <w:rPr>
          <w:rFonts w:asciiTheme="majorHAnsi" w:hAnsiTheme="majorHAnsi"/>
        </w:rPr>
        <w:t>r</w:t>
      </w:r>
      <w:r w:rsidRPr="00413F49">
        <w:rPr>
          <w:rFonts w:asciiTheme="majorHAnsi" w:hAnsiTheme="majorHAnsi"/>
        </w:rPr>
        <w:t>ituximab has an excellent safety profile, and relative to other immunomodulatory treatments, it may be a</w:t>
      </w:r>
      <w:r w:rsidR="00AE56C1" w:rsidRPr="00413F49">
        <w:rPr>
          <w:rFonts w:asciiTheme="majorHAnsi" w:hAnsiTheme="majorHAnsi"/>
        </w:rPr>
        <w:t xml:space="preserve">n </w:t>
      </w:r>
      <w:r w:rsidRPr="00413F49">
        <w:rPr>
          <w:rFonts w:asciiTheme="majorHAnsi" w:hAnsiTheme="majorHAnsi"/>
        </w:rPr>
        <w:t>option for the management of severe</w:t>
      </w:r>
      <w:r w:rsidR="00AE56C1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active diseases in pregnancy. </w:t>
      </w:r>
      <w:r w:rsidR="004503E9" w:rsidRPr="00413F49">
        <w:rPr>
          <w:rFonts w:asciiTheme="majorHAnsi" w:hAnsiTheme="majorHAnsi"/>
        </w:rPr>
        <w:t>However, neurologists need to be aware of specific management issues, including secondary antibody deficiency</w:t>
      </w:r>
      <w:r w:rsidR="00AE56C1" w:rsidRPr="00413F49">
        <w:rPr>
          <w:rFonts w:asciiTheme="majorHAnsi" w:hAnsiTheme="majorHAnsi"/>
        </w:rPr>
        <w:t xml:space="preserve"> in patients requiring maintenance B-cell depletion</w:t>
      </w:r>
      <w:r w:rsidR="004503E9" w:rsidRPr="00413F49">
        <w:rPr>
          <w:rFonts w:asciiTheme="majorHAnsi" w:hAnsiTheme="majorHAnsi"/>
        </w:rPr>
        <w:t xml:space="preserve">. </w:t>
      </w:r>
      <w:r w:rsidR="0081543D" w:rsidRPr="00413F49">
        <w:rPr>
          <w:rFonts w:asciiTheme="majorHAnsi" w:hAnsiTheme="majorHAnsi"/>
        </w:rPr>
        <w:t xml:space="preserve">Specific risk factors </w:t>
      </w:r>
      <w:r w:rsidR="00014658" w:rsidRPr="00413F49">
        <w:rPr>
          <w:rFonts w:asciiTheme="majorHAnsi" w:hAnsiTheme="majorHAnsi"/>
        </w:rPr>
        <w:t xml:space="preserve">to consider </w:t>
      </w:r>
      <w:r w:rsidR="0081543D" w:rsidRPr="00413F49">
        <w:rPr>
          <w:rFonts w:asciiTheme="majorHAnsi" w:hAnsiTheme="majorHAnsi"/>
        </w:rPr>
        <w:t>include lo</w:t>
      </w:r>
      <w:r w:rsidR="00014658" w:rsidRPr="00413F49">
        <w:rPr>
          <w:rFonts w:asciiTheme="majorHAnsi" w:hAnsiTheme="majorHAnsi"/>
        </w:rPr>
        <w:t xml:space="preserve">w </w:t>
      </w:r>
      <w:r w:rsidR="00DF4A94" w:rsidRPr="00413F49">
        <w:rPr>
          <w:rFonts w:asciiTheme="majorHAnsi" w:hAnsiTheme="majorHAnsi"/>
        </w:rPr>
        <w:t>pre-treatment immunoglobulin levels</w:t>
      </w:r>
      <w:r w:rsidR="00B2793A" w:rsidRPr="00413F49">
        <w:rPr>
          <w:rFonts w:asciiTheme="majorHAnsi" w:hAnsiTheme="majorHAnsi"/>
        </w:rPr>
        <w:t xml:space="preserve">, prior use of </w:t>
      </w:r>
      <w:r w:rsidR="00B90AA4" w:rsidRPr="00413F49">
        <w:rPr>
          <w:rFonts w:asciiTheme="majorHAnsi" w:hAnsiTheme="majorHAnsi"/>
        </w:rPr>
        <w:t>immunosuppressive drugs</w:t>
      </w:r>
      <w:r w:rsidR="00014658" w:rsidRPr="00413F49">
        <w:rPr>
          <w:rFonts w:asciiTheme="majorHAnsi" w:hAnsiTheme="majorHAnsi"/>
        </w:rPr>
        <w:t xml:space="preserve"> or a requirement for ongoing combination therapy.</w:t>
      </w:r>
    </w:p>
    <w:p w:rsidR="00361846" w:rsidRPr="00413F49" w:rsidRDefault="00361846" w:rsidP="00586F70">
      <w:pPr>
        <w:jc w:val="both"/>
        <w:rPr>
          <w:rFonts w:asciiTheme="majorHAnsi" w:hAnsiTheme="majorHAnsi"/>
        </w:rPr>
      </w:pPr>
    </w:p>
    <w:p w:rsidR="00586F70" w:rsidRPr="00413F49" w:rsidRDefault="00586F70" w:rsidP="00586F70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 xml:space="preserve">Newer and more </w:t>
      </w:r>
      <w:r w:rsidR="00AE56C1" w:rsidRPr="00413F49">
        <w:rPr>
          <w:rFonts w:asciiTheme="majorHAnsi" w:hAnsiTheme="majorHAnsi"/>
        </w:rPr>
        <w:t>costly</w:t>
      </w:r>
      <w:r w:rsidRPr="00413F49">
        <w:rPr>
          <w:rFonts w:asciiTheme="majorHAnsi" w:hAnsiTheme="majorHAnsi"/>
        </w:rPr>
        <w:t xml:space="preserve"> B-cell depleting therapies show additional promise </w:t>
      </w:r>
      <w:r w:rsidR="00961ED5" w:rsidRPr="00413F49">
        <w:rPr>
          <w:rFonts w:asciiTheme="majorHAnsi" w:hAnsiTheme="majorHAnsi"/>
        </w:rPr>
        <w:t xml:space="preserve">in recent and ongoing </w:t>
      </w:r>
      <w:r w:rsidR="00F31990" w:rsidRPr="00413F49">
        <w:rPr>
          <w:rFonts w:asciiTheme="majorHAnsi" w:hAnsiTheme="majorHAnsi"/>
        </w:rPr>
        <w:t xml:space="preserve">trials </w:t>
      </w:r>
      <w:r w:rsidRPr="00413F49">
        <w:rPr>
          <w:rFonts w:asciiTheme="majorHAnsi" w:hAnsiTheme="majorHAnsi"/>
        </w:rPr>
        <w:t>but</w:t>
      </w:r>
      <w:r w:rsidR="00961ED5" w:rsidRPr="00413F49">
        <w:rPr>
          <w:rFonts w:asciiTheme="majorHAnsi" w:hAnsiTheme="majorHAnsi"/>
        </w:rPr>
        <w:t xml:space="preserve"> it remains to be seen if more</w:t>
      </w:r>
      <w:r w:rsidR="00AE56C1" w:rsidRPr="00413F49">
        <w:rPr>
          <w:rFonts w:asciiTheme="majorHAnsi" w:hAnsiTheme="majorHAnsi"/>
        </w:rPr>
        <w:t xml:space="preserve"> effective and prolonged </w:t>
      </w:r>
      <w:r w:rsidR="00961ED5" w:rsidRPr="00413F49">
        <w:rPr>
          <w:rFonts w:asciiTheme="majorHAnsi" w:hAnsiTheme="majorHAnsi"/>
        </w:rPr>
        <w:t xml:space="preserve">B-cell depletion will </w:t>
      </w:r>
      <w:r w:rsidR="00AE56C1" w:rsidRPr="00413F49">
        <w:rPr>
          <w:rFonts w:asciiTheme="majorHAnsi" w:hAnsiTheme="majorHAnsi"/>
        </w:rPr>
        <w:t>pose additional risk</w:t>
      </w:r>
      <w:r w:rsidR="00D71BF3" w:rsidRPr="00413F49">
        <w:rPr>
          <w:rFonts w:asciiTheme="majorHAnsi" w:hAnsiTheme="majorHAnsi"/>
        </w:rPr>
        <w:t>s</w:t>
      </w:r>
      <w:r w:rsidR="00961ED5" w:rsidRPr="00413F49">
        <w:rPr>
          <w:rFonts w:asciiTheme="majorHAnsi" w:hAnsiTheme="majorHAnsi"/>
        </w:rPr>
        <w:t>.</w:t>
      </w:r>
      <w:r w:rsidR="00AE56C1" w:rsidRPr="00413F49">
        <w:rPr>
          <w:rFonts w:asciiTheme="majorHAnsi" w:hAnsiTheme="majorHAnsi"/>
        </w:rPr>
        <w:t xml:space="preserve"> Prospective registries with </w:t>
      </w:r>
      <w:r w:rsidR="00CE2779" w:rsidRPr="00413F49">
        <w:rPr>
          <w:rFonts w:asciiTheme="majorHAnsi" w:hAnsiTheme="majorHAnsi"/>
        </w:rPr>
        <w:t>extended</w:t>
      </w:r>
      <w:r w:rsidR="00EB3698" w:rsidRPr="00413F49">
        <w:rPr>
          <w:rFonts w:asciiTheme="majorHAnsi" w:hAnsiTheme="majorHAnsi"/>
        </w:rPr>
        <w:t xml:space="preserve"> </w:t>
      </w:r>
      <w:r w:rsidR="00AE56C1" w:rsidRPr="00413F49">
        <w:rPr>
          <w:rFonts w:asciiTheme="majorHAnsi" w:hAnsiTheme="majorHAnsi"/>
        </w:rPr>
        <w:t>follow up will be important in better defining the real-life risk</w:t>
      </w:r>
      <w:r w:rsidR="00EB3698" w:rsidRPr="00413F49">
        <w:rPr>
          <w:rFonts w:asciiTheme="majorHAnsi" w:hAnsiTheme="majorHAnsi"/>
        </w:rPr>
        <w:t>s</w:t>
      </w:r>
      <w:r w:rsidR="00AE56C1" w:rsidRPr="00413F49">
        <w:rPr>
          <w:rFonts w:asciiTheme="majorHAnsi" w:hAnsiTheme="majorHAnsi"/>
        </w:rPr>
        <w:t xml:space="preserve"> and benefits for patients</w:t>
      </w:r>
      <w:r w:rsidR="00661A96" w:rsidRPr="00413F49">
        <w:rPr>
          <w:rFonts w:asciiTheme="majorHAnsi" w:hAnsiTheme="majorHAnsi"/>
        </w:rPr>
        <w:t>.</w:t>
      </w:r>
    </w:p>
    <w:p w:rsidR="00586F70" w:rsidRPr="00413F49" w:rsidRDefault="00586F70">
      <w:pPr>
        <w:rPr>
          <w:rFonts w:asciiTheme="majorHAnsi" w:hAnsiTheme="majorHAnsi"/>
        </w:rPr>
      </w:pPr>
    </w:p>
    <w:p w:rsidR="00AC144B" w:rsidRPr="00413F49" w:rsidRDefault="00AC144B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lastRenderedPageBreak/>
        <w:t>Legends</w:t>
      </w:r>
    </w:p>
    <w:p w:rsidR="00AC144B" w:rsidRPr="00413F49" w:rsidRDefault="00AC144B">
      <w:pPr>
        <w:rPr>
          <w:rFonts w:asciiTheme="majorHAnsi" w:hAnsiTheme="majorHAnsi"/>
        </w:rPr>
      </w:pPr>
    </w:p>
    <w:p w:rsidR="00A73895" w:rsidRPr="00413F49" w:rsidRDefault="00AC144B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Figure 1</w:t>
      </w:r>
      <w:r w:rsidR="00E058F5" w:rsidRPr="00413F49">
        <w:rPr>
          <w:rFonts w:asciiTheme="majorHAnsi" w:hAnsiTheme="majorHAnsi"/>
          <w:b/>
        </w:rPr>
        <w:t>:  S</w:t>
      </w:r>
      <w:r w:rsidRPr="00413F49">
        <w:rPr>
          <w:rFonts w:asciiTheme="majorHAnsi" w:hAnsiTheme="majorHAnsi"/>
          <w:b/>
        </w:rPr>
        <w:t>tages of B-cell development</w:t>
      </w:r>
      <w:r w:rsidR="00E058F5" w:rsidRPr="00413F49">
        <w:rPr>
          <w:rFonts w:asciiTheme="majorHAnsi" w:hAnsiTheme="majorHAnsi"/>
          <w:b/>
        </w:rPr>
        <w:t xml:space="preserve"> and expression of B-cell surface markers</w:t>
      </w:r>
    </w:p>
    <w:p w:rsidR="00E058F5" w:rsidRPr="00413F49" w:rsidRDefault="00A73895" w:rsidP="006109F6">
      <w:pPr>
        <w:jc w:val="both"/>
        <w:rPr>
          <w:rFonts w:asciiTheme="majorHAnsi" w:hAnsiTheme="majorHAnsi"/>
        </w:rPr>
      </w:pPr>
      <w:r w:rsidRPr="00413F49">
        <w:rPr>
          <w:rFonts w:asciiTheme="majorHAnsi" w:hAnsiTheme="majorHAnsi"/>
        </w:rPr>
        <w:t>Pluripotent haematopoietic stem cells develop into naïve matu</w:t>
      </w:r>
      <w:r w:rsidR="006F11E6" w:rsidRPr="00413F49">
        <w:rPr>
          <w:rFonts w:asciiTheme="majorHAnsi" w:hAnsiTheme="majorHAnsi"/>
        </w:rPr>
        <w:t xml:space="preserve">re B-cells in the bone marrow. </w:t>
      </w:r>
      <w:r w:rsidRPr="00413F49">
        <w:rPr>
          <w:rFonts w:asciiTheme="majorHAnsi" w:hAnsiTheme="majorHAnsi"/>
        </w:rPr>
        <w:t xml:space="preserve">They then migrate to secondary lymphoid organs (spleen and lymph nodes), where they are activated by antigens in circulating lymph and mature into memory B-cells or </w:t>
      </w:r>
      <w:proofErr w:type="spellStart"/>
      <w:r w:rsidRPr="00413F49">
        <w:rPr>
          <w:rFonts w:asciiTheme="majorHAnsi" w:hAnsiTheme="majorHAnsi"/>
        </w:rPr>
        <w:t>plasmablasts</w:t>
      </w:r>
      <w:proofErr w:type="spellEnd"/>
      <w:r w:rsidRPr="00413F49">
        <w:rPr>
          <w:rFonts w:asciiTheme="majorHAnsi" w:hAnsiTheme="majorHAnsi"/>
        </w:rPr>
        <w:t>. Memory B-cells either circulate in the bloodstr</w:t>
      </w:r>
      <w:r w:rsidR="006109F6" w:rsidRPr="00413F49">
        <w:rPr>
          <w:rFonts w:asciiTheme="majorHAnsi" w:hAnsiTheme="majorHAnsi"/>
        </w:rPr>
        <w:t xml:space="preserve">eam or remain in germinal centres, while </w:t>
      </w:r>
      <w:proofErr w:type="spellStart"/>
      <w:r w:rsidR="006109F6" w:rsidRPr="00413F49">
        <w:rPr>
          <w:rFonts w:asciiTheme="majorHAnsi" w:hAnsiTheme="majorHAnsi"/>
        </w:rPr>
        <w:t>plasmablasts</w:t>
      </w:r>
      <w:proofErr w:type="spellEnd"/>
      <w:r w:rsidR="006109F6" w:rsidRPr="00413F49">
        <w:rPr>
          <w:rFonts w:asciiTheme="majorHAnsi" w:hAnsiTheme="majorHAnsi"/>
        </w:rPr>
        <w:t xml:space="preserve"> mature to antibody-secreting plasma cells that reside in the b</w:t>
      </w:r>
      <w:r w:rsidR="006F11E6" w:rsidRPr="00413F49">
        <w:rPr>
          <w:rFonts w:asciiTheme="majorHAnsi" w:hAnsiTheme="majorHAnsi"/>
        </w:rPr>
        <w:t xml:space="preserve">one marrow or lymphoid tissue. </w:t>
      </w:r>
      <w:r w:rsidR="00E058F5" w:rsidRPr="00413F49">
        <w:rPr>
          <w:rFonts w:asciiTheme="majorHAnsi" w:hAnsiTheme="majorHAnsi"/>
        </w:rPr>
        <w:t xml:space="preserve">CD20 </w:t>
      </w:r>
      <w:r w:rsidR="00CE2779" w:rsidRPr="00413F49">
        <w:rPr>
          <w:rFonts w:asciiTheme="majorHAnsi" w:hAnsiTheme="majorHAnsi"/>
        </w:rPr>
        <w:t xml:space="preserve">(yellow triangles) </w:t>
      </w:r>
      <w:r w:rsidR="00E058F5" w:rsidRPr="00413F49">
        <w:rPr>
          <w:rFonts w:asciiTheme="majorHAnsi" w:hAnsiTheme="majorHAnsi"/>
        </w:rPr>
        <w:t>appears at the immature B-cell stage and is lost at th</w:t>
      </w:r>
      <w:r w:rsidR="006F11E6" w:rsidRPr="00413F49">
        <w:rPr>
          <w:rFonts w:asciiTheme="majorHAnsi" w:hAnsiTheme="majorHAnsi"/>
        </w:rPr>
        <w:t xml:space="preserve">e plasmablast stage. </w:t>
      </w:r>
      <w:r w:rsidR="00E058F5" w:rsidRPr="00413F49">
        <w:rPr>
          <w:rFonts w:asciiTheme="majorHAnsi" w:hAnsiTheme="majorHAnsi"/>
        </w:rPr>
        <w:t xml:space="preserve">Most </w:t>
      </w:r>
      <w:proofErr w:type="spellStart"/>
      <w:r w:rsidR="00E058F5" w:rsidRPr="00413F49">
        <w:rPr>
          <w:rFonts w:asciiTheme="majorHAnsi" w:hAnsiTheme="majorHAnsi"/>
        </w:rPr>
        <w:t>plasmablasts</w:t>
      </w:r>
      <w:proofErr w:type="spellEnd"/>
      <w:r w:rsidR="00E058F5" w:rsidRPr="00413F49">
        <w:rPr>
          <w:rFonts w:asciiTheme="majorHAnsi" w:hAnsiTheme="majorHAnsi"/>
        </w:rPr>
        <w:t xml:space="preserve"> and nearly all plasma cells (which produce the vast majority of an</w:t>
      </w:r>
      <w:r w:rsidR="006F11E6" w:rsidRPr="00413F49">
        <w:rPr>
          <w:rFonts w:asciiTheme="majorHAnsi" w:hAnsiTheme="majorHAnsi"/>
        </w:rPr>
        <w:t xml:space="preserve">tibodies) do not express CD20. </w:t>
      </w:r>
      <w:r w:rsidR="00E058F5" w:rsidRPr="00413F49">
        <w:rPr>
          <w:rFonts w:asciiTheme="majorHAnsi" w:hAnsiTheme="majorHAnsi"/>
        </w:rPr>
        <w:t>CD19</w:t>
      </w:r>
      <w:r w:rsidR="00CE2779" w:rsidRPr="00413F49">
        <w:rPr>
          <w:rFonts w:asciiTheme="majorHAnsi" w:hAnsiTheme="majorHAnsi"/>
        </w:rPr>
        <w:t xml:space="preserve"> (red triangles)</w:t>
      </w:r>
      <w:r w:rsidR="00E058F5" w:rsidRPr="00413F49">
        <w:rPr>
          <w:rFonts w:asciiTheme="majorHAnsi" w:hAnsiTheme="majorHAnsi"/>
        </w:rPr>
        <w:t xml:space="preserve"> has wider expression from the pro-B-cell stage through to </w:t>
      </w:r>
      <w:proofErr w:type="spellStart"/>
      <w:r w:rsidR="00E058F5" w:rsidRPr="00413F49">
        <w:rPr>
          <w:rFonts w:asciiTheme="majorHAnsi" w:hAnsiTheme="majorHAnsi"/>
        </w:rPr>
        <w:t>plasmablasts</w:t>
      </w:r>
      <w:proofErr w:type="spellEnd"/>
      <w:r w:rsidR="00E058F5" w:rsidRPr="00413F49">
        <w:rPr>
          <w:rFonts w:asciiTheme="majorHAnsi" w:hAnsiTheme="majorHAnsi"/>
        </w:rPr>
        <w:t xml:space="preserve"> and a proportion of plasma cells, but not terminally differentiated plasma cells</w:t>
      </w:r>
      <w:r w:rsidR="006109F6" w:rsidRPr="00413F49">
        <w:rPr>
          <w:rFonts w:asciiTheme="majorHAnsi" w:hAnsiTheme="majorHAnsi"/>
        </w:rPr>
        <w:t>.</w:t>
      </w:r>
    </w:p>
    <w:p w:rsidR="00E058F5" w:rsidRPr="00413F49" w:rsidRDefault="00E058F5" w:rsidP="006109F6">
      <w:pPr>
        <w:jc w:val="both"/>
        <w:rPr>
          <w:rFonts w:asciiTheme="majorHAnsi" w:hAnsiTheme="majorHAnsi"/>
          <w:b/>
        </w:rPr>
      </w:pPr>
    </w:p>
    <w:p w:rsidR="003369A0" w:rsidRPr="00413F49" w:rsidRDefault="001A2658" w:rsidP="006109F6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Figure 2: </w:t>
      </w:r>
      <w:r w:rsidR="003369A0" w:rsidRPr="00413F49">
        <w:rPr>
          <w:rFonts w:asciiTheme="majorHAnsi" w:hAnsiTheme="majorHAnsi"/>
          <w:b/>
        </w:rPr>
        <w:t>Rituximab depletes CD20</w:t>
      </w:r>
      <w:r w:rsidR="003369A0" w:rsidRPr="00413F49">
        <w:rPr>
          <w:rFonts w:asciiTheme="majorHAnsi" w:hAnsiTheme="majorHAnsi"/>
          <w:b/>
          <w:vertAlign w:val="superscript"/>
        </w:rPr>
        <w:t>+</w:t>
      </w:r>
      <w:r w:rsidR="003369A0" w:rsidRPr="00413F49">
        <w:rPr>
          <w:rFonts w:asciiTheme="majorHAnsi" w:hAnsiTheme="majorHAnsi"/>
          <w:b/>
        </w:rPr>
        <w:t xml:space="preserve"> B-cells</w:t>
      </w:r>
      <w:r w:rsidR="00661A96" w:rsidRPr="00413F49">
        <w:rPr>
          <w:rFonts w:asciiTheme="majorHAnsi" w:hAnsiTheme="majorHAnsi"/>
          <w:b/>
        </w:rPr>
        <w:t xml:space="preserve"> via three different mechanisms</w:t>
      </w:r>
    </w:p>
    <w:p w:rsidR="004971EC" w:rsidRPr="00413F49" w:rsidRDefault="003369A0" w:rsidP="00CB2C68">
      <w:pPr>
        <w:jc w:val="both"/>
        <w:rPr>
          <w:rFonts w:asciiTheme="majorHAnsi" w:hAnsiTheme="majorHAnsi"/>
          <w:b/>
        </w:rPr>
      </w:pPr>
      <w:r w:rsidRPr="00413F49">
        <w:rPr>
          <w:rFonts w:asciiTheme="majorHAnsi" w:hAnsiTheme="majorHAnsi"/>
        </w:rPr>
        <w:t xml:space="preserve">(1) </w:t>
      </w:r>
      <w:r w:rsidR="001A2658" w:rsidRPr="00413F49">
        <w:rPr>
          <w:rFonts w:asciiTheme="majorHAnsi" w:hAnsiTheme="majorHAnsi"/>
        </w:rPr>
        <w:t>Antibody-depend</w:t>
      </w:r>
      <w:r w:rsidRPr="00413F49">
        <w:rPr>
          <w:rFonts w:asciiTheme="majorHAnsi" w:hAnsiTheme="majorHAnsi"/>
        </w:rPr>
        <w:t xml:space="preserve">ent cellular cytotoxicity mediated by </w:t>
      </w:r>
      <w:r w:rsidR="001A2658" w:rsidRPr="00413F49">
        <w:rPr>
          <w:rFonts w:asciiTheme="majorHAnsi" w:hAnsiTheme="majorHAnsi"/>
        </w:rPr>
        <w:t>Fc</w:t>
      </w:r>
      <w:r w:rsidR="001A2658" w:rsidRPr="00413F49">
        <w:rPr>
          <w:rFonts w:asciiTheme="majorHAnsi" w:hAnsiTheme="majorHAnsi"/>
        </w:rPr>
        <w:sym w:font="Symbol" w:char="F067"/>
      </w:r>
      <w:r w:rsidR="001A2658" w:rsidRPr="00413F49">
        <w:rPr>
          <w:rFonts w:asciiTheme="majorHAnsi" w:hAnsiTheme="majorHAnsi"/>
        </w:rPr>
        <w:t xml:space="preserve"> receptors on the surface of natural killer cell</w:t>
      </w:r>
      <w:r w:rsidRPr="00413F49">
        <w:rPr>
          <w:rFonts w:asciiTheme="majorHAnsi" w:hAnsiTheme="majorHAnsi"/>
        </w:rPr>
        <w:t>s, granulocytes and macrophages;</w:t>
      </w:r>
      <w:r w:rsidR="001A2658" w:rsidRPr="00413F49">
        <w:rPr>
          <w:rFonts w:asciiTheme="majorHAnsi" w:hAnsiTheme="majorHAnsi"/>
        </w:rPr>
        <w:t xml:space="preserve"> </w:t>
      </w:r>
      <w:r w:rsidRPr="00413F49">
        <w:rPr>
          <w:rFonts w:asciiTheme="majorHAnsi" w:hAnsiTheme="majorHAnsi"/>
        </w:rPr>
        <w:t xml:space="preserve">(2) </w:t>
      </w:r>
      <w:r w:rsidR="001A2658" w:rsidRPr="00413F49">
        <w:rPr>
          <w:rFonts w:asciiTheme="majorHAnsi" w:hAnsiTheme="majorHAnsi"/>
        </w:rPr>
        <w:t>compleme</w:t>
      </w:r>
      <w:r w:rsidR="00010248" w:rsidRPr="00413F49">
        <w:rPr>
          <w:rFonts w:asciiTheme="majorHAnsi" w:hAnsiTheme="majorHAnsi"/>
        </w:rPr>
        <w:t xml:space="preserve">nt-dependent cytotoxicity </w:t>
      </w:r>
      <w:r w:rsidR="001A2658" w:rsidRPr="00413F49">
        <w:rPr>
          <w:rFonts w:asciiTheme="majorHAnsi" w:hAnsiTheme="majorHAnsi"/>
        </w:rPr>
        <w:t xml:space="preserve">due </w:t>
      </w:r>
      <w:r w:rsidRPr="00413F49">
        <w:rPr>
          <w:rFonts w:asciiTheme="majorHAnsi" w:hAnsiTheme="majorHAnsi"/>
        </w:rPr>
        <w:t xml:space="preserve">to C1q binding; (3) </w:t>
      </w:r>
      <w:r w:rsidR="001A2658" w:rsidRPr="00413F49">
        <w:rPr>
          <w:rFonts w:asciiTheme="majorHAnsi" w:hAnsiTheme="majorHAnsi"/>
        </w:rPr>
        <w:t>i</w:t>
      </w:r>
      <w:r w:rsidR="00791811" w:rsidRPr="00413F49">
        <w:rPr>
          <w:rFonts w:asciiTheme="majorHAnsi" w:hAnsiTheme="majorHAnsi"/>
        </w:rPr>
        <w:t>nduction of apoptosis</w:t>
      </w:r>
      <w:r w:rsidR="001A2658" w:rsidRPr="00413F49">
        <w:rPr>
          <w:rFonts w:asciiTheme="majorHAnsi" w:hAnsiTheme="majorHAnsi"/>
        </w:rPr>
        <w:t>.</w:t>
      </w:r>
    </w:p>
    <w:p w:rsidR="00CB2C68" w:rsidRDefault="00CB2C68" w:rsidP="00CB2C68">
      <w:pPr>
        <w:rPr>
          <w:rFonts w:asciiTheme="majorHAnsi" w:hAnsiTheme="majorHAnsi"/>
          <w:b/>
        </w:rPr>
      </w:pPr>
    </w:p>
    <w:p w:rsidR="00512CF2" w:rsidRPr="00413F49" w:rsidRDefault="00512CF2" w:rsidP="00512CF2">
      <w:pPr>
        <w:rPr>
          <w:b/>
        </w:rPr>
      </w:pPr>
      <w:r>
        <w:rPr>
          <w:rFonts w:asciiTheme="majorHAnsi" w:hAnsiTheme="majorHAnsi"/>
          <w:b/>
        </w:rPr>
        <w:t>Figure 3</w:t>
      </w:r>
      <w:r w:rsidRPr="00413F49">
        <w:rPr>
          <w:rFonts w:asciiTheme="majorHAnsi" w:hAnsiTheme="majorHAnsi"/>
          <w:b/>
        </w:rPr>
        <w:t xml:space="preserve">: B-cell depleting monoclonal antibodies in neurology </w:t>
      </w:r>
    </w:p>
    <w:p w:rsidR="00512CF2" w:rsidRPr="00413F49" w:rsidRDefault="00512CF2" w:rsidP="00CB2C68">
      <w:pPr>
        <w:rPr>
          <w:rFonts w:asciiTheme="majorHAnsi" w:hAnsiTheme="majorHAnsi"/>
          <w:b/>
        </w:rPr>
      </w:pPr>
    </w:p>
    <w:p w:rsidR="00CB2C68" w:rsidRPr="00413F49" w:rsidRDefault="00CB2C68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>Disclosures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>DHW has no disclosures.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>ECT has received</w:t>
      </w:r>
      <w:r w:rsidRPr="00413F49">
        <w:rPr>
          <w:rFonts w:ascii="Calibri" w:hAnsi="Calibri" w:cs="Helvetica Neue"/>
          <w:color w:val="000000"/>
        </w:rPr>
        <w:t xml:space="preserve"> honoraria and support to attend educational meetings from Merck, support to attend educational meetings from Biogen and salary as a UK MS Registry fellow from Biogen.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 xml:space="preserve">SJ has received advisory board, consulting, meeting attendance, speaker, study, author and project support from CSL Behring, Shire, LFB, </w:t>
      </w:r>
      <w:proofErr w:type="spellStart"/>
      <w:r w:rsidRPr="00413F49">
        <w:rPr>
          <w:rFonts w:ascii="Calibri" w:hAnsi="Calibri"/>
        </w:rPr>
        <w:t>Biotest</w:t>
      </w:r>
      <w:proofErr w:type="spellEnd"/>
      <w:r w:rsidRPr="00413F49">
        <w:rPr>
          <w:rFonts w:ascii="Calibri" w:hAnsi="Calibri"/>
        </w:rPr>
        <w:t xml:space="preserve">, Binding Site, UCB Pharma, </w:t>
      </w:r>
      <w:proofErr w:type="spellStart"/>
      <w:r w:rsidRPr="00413F49">
        <w:rPr>
          <w:rFonts w:ascii="Calibri" w:hAnsi="Calibri"/>
        </w:rPr>
        <w:t>Grifols</w:t>
      </w:r>
      <w:proofErr w:type="spellEnd"/>
      <w:r w:rsidRPr="00413F49">
        <w:rPr>
          <w:rFonts w:ascii="Calibri" w:hAnsi="Calibri"/>
        </w:rPr>
        <w:t xml:space="preserve">, </w:t>
      </w:r>
      <w:proofErr w:type="spellStart"/>
      <w:r w:rsidRPr="00413F49">
        <w:rPr>
          <w:rFonts w:ascii="Calibri" w:hAnsi="Calibri"/>
        </w:rPr>
        <w:t>Octapharma</w:t>
      </w:r>
      <w:proofErr w:type="spellEnd"/>
      <w:r w:rsidRPr="00413F49">
        <w:rPr>
          <w:rFonts w:ascii="Calibri" w:hAnsi="Calibri"/>
        </w:rPr>
        <w:t xml:space="preserve">, SOBI, GSK, Sanofi, BPL, </w:t>
      </w:r>
      <w:proofErr w:type="spellStart"/>
      <w:r w:rsidRPr="00413F49">
        <w:rPr>
          <w:rFonts w:ascii="Calibri" w:hAnsi="Calibri"/>
        </w:rPr>
        <w:t>Zarodex</w:t>
      </w:r>
      <w:proofErr w:type="spellEnd"/>
      <w:r w:rsidRPr="00413F49">
        <w:rPr>
          <w:rFonts w:ascii="Calibri" w:hAnsi="Calibri"/>
        </w:rPr>
        <w:t xml:space="preserve">, </w:t>
      </w:r>
      <w:proofErr w:type="spellStart"/>
      <w:r w:rsidRPr="00413F49">
        <w:rPr>
          <w:rFonts w:ascii="Calibri" w:hAnsi="Calibri"/>
        </w:rPr>
        <w:t>Weatherden</w:t>
      </w:r>
      <w:proofErr w:type="spellEnd"/>
      <w:r w:rsidRPr="00413F49">
        <w:rPr>
          <w:rFonts w:ascii="Calibri" w:hAnsi="Calibri"/>
        </w:rPr>
        <w:t xml:space="preserve"> and </w:t>
      </w:r>
      <w:proofErr w:type="spellStart"/>
      <w:r w:rsidRPr="00413F49">
        <w:rPr>
          <w:rFonts w:ascii="Calibri" w:hAnsi="Calibri"/>
        </w:rPr>
        <w:t>Uptodate</w:t>
      </w:r>
      <w:proofErr w:type="spellEnd"/>
      <w:r w:rsidRPr="00413F49">
        <w:rPr>
          <w:rFonts w:ascii="Calibri" w:hAnsi="Calibri"/>
        </w:rPr>
        <w:t>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413F49">
        <w:rPr>
          <w:rFonts w:asciiTheme="majorHAnsi" w:hAnsiTheme="majorHAnsi"/>
        </w:rPr>
        <w:t xml:space="preserve">SH has previously received funding from the </w:t>
      </w:r>
      <w:r w:rsidRPr="00413F49">
        <w:rPr>
          <w:rFonts w:asciiTheme="majorHAnsi" w:hAnsiTheme="majorHAnsi" w:cs="Times New Roman"/>
          <w:lang w:val="en-US"/>
        </w:rPr>
        <w:t xml:space="preserve">NIHR Oxford Biomedical Research Centre, the </w:t>
      </w:r>
      <w:proofErr w:type="spellStart"/>
      <w:r w:rsidRPr="00413F49">
        <w:rPr>
          <w:rFonts w:asciiTheme="majorHAnsi" w:hAnsiTheme="majorHAnsi" w:cs="Times New Roman"/>
          <w:lang w:val="en-US"/>
        </w:rPr>
        <w:t>Watney</w:t>
      </w:r>
      <w:proofErr w:type="spellEnd"/>
      <w:r w:rsidRPr="00413F49">
        <w:rPr>
          <w:rFonts w:asciiTheme="majorHAnsi" w:hAnsiTheme="majorHAnsi" w:cs="Times New Roman"/>
          <w:lang w:val="en-US"/>
        </w:rPr>
        <w:t xml:space="preserve"> Trust and </w:t>
      </w:r>
      <w:proofErr w:type="spellStart"/>
      <w:r w:rsidRPr="00413F49">
        <w:rPr>
          <w:rFonts w:asciiTheme="majorHAnsi" w:hAnsiTheme="majorHAnsi" w:cs="Times New Roman"/>
          <w:lang w:val="en-US"/>
        </w:rPr>
        <w:t>Myaware</w:t>
      </w:r>
      <w:proofErr w:type="spellEnd"/>
      <w:r w:rsidRPr="00413F49">
        <w:rPr>
          <w:rFonts w:asciiTheme="majorHAnsi" w:hAnsiTheme="majorHAnsi" w:cs="Times New Roman"/>
          <w:lang w:val="en-US"/>
        </w:rPr>
        <w:t>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 xml:space="preserve">RJM has acted as consultant to, or received support for speaking at or chairing meetings, or received grant funding for research from: AKL Pharma, BMS, </w:t>
      </w:r>
      <w:proofErr w:type="spellStart"/>
      <w:r w:rsidRPr="00413F49">
        <w:rPr>
          <w:rFonts w:ascii="Calibri" w:hAnsi="Calibri"/>
        </w:rPr>
        <w:t>Cellgene</w:t>
      </w:r>
      <w:proofErr w:type="spellEnd"/>
      <w:r w:rsidRPr="00413F49">
        <w:rPr>
          <w:rFonts w:ascii="Calibri" w:hAnsi="Calibri"/>
        </w:rPr>
        <w:t>, Chugai, Eli Lilly, Novartis, Pfizer, Roche, Sandoz, Sanofi and UCB Pharma.</w:t>
      </w:r>
    </w:p>
    <w:p w:rsidR="00CB2C68" w:rsidRPr="00413F49" w:rsidRDefault="00CB2C68" w:rsidP="00CB2C68">
      <w:pPr>
        <w:rPr>
          <w:rFonts w:asciiTheme="majorHAnsi" w:hAnsiTheme="majorHAnsi"/>
        </w:rPr>
      </w:pPr>
    </w:p>
    <w:p w:rsidR="00440360" w:rsidRPr="00413F49" w:rsidRDefault="00440360" w:rsidP="00440360">
      <w:pPr>
        <w:wordWrap w:val="0"/>
        <w:rPr>
          <w:rFonts w:asciiTheme="majorHAnsi" w:eastAsia="Malgun Gothic" w:hAnsiTheme="majorHAnsi"/>
          <w:lang w:val="en-US"/>
        </w:rPr>
      </w:pPr>
      <w:r w:rsidRPr="00413F49">
        <w:rPr>
          <w:rFonts w:asciiTheme="majorHAnsi" w:hAnsiTheme="majorHAnsi"/>
        </w:rPr>
        <w:t>HJK has received s</w:t>
      </w:r>
      <w:r w:rsidRPr="00413F49">
        <w:rPr>
          <w:rFonts w:asciiTheme="majorHAnsi" w:eastAsia="Malgun Gothic" w:hAnsiTheme="majorHAnsi"/>
          <w:lang w:val="en-US"/>
        </w:rPr>
        <w:t xml:space="preserve">peaking and/or consulting support from Bayer Schering Pharma, Biogen, </w:t>
      </w:r>
      <w:r w:rsidRPr="00413F49">
        <w:rPr>
          <w:rFonts w:asciiTheme="majorHAnsi" w:eastAsia="Malgun Gothic" w:hAnsiTheme="majorHAnsi"/>
          <w:lang w:val="en-US"/>
        </w:rPr>
        <w:br/>
      </w:r>
      <w:proofErr w:type="spellStart"/>
      <w:r w:rsidRPr="00413F49">
        <w:rPr>
          <w:rFonts w:asciiTheme="majorHAnsi" w:eastAsia="Malgun Gothic" w:hAnsiTheme="majorHAnsi"/>
          <w:lang w:val="en-US"/>
        </w:rPr>
        <w:t>Celltrion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, Eisai, </w:t>
      </w:r>
      <w:proofErr w:type="spellStart"/>
      <w:r w:rsidRPr="00413F49">
        <w:rPr>
          <w:rFonts w:asciiTheme="majorHAnsi" w:eastAsia="Malgun Gothic" w:hAnsiTheme="majorHAnsi"/>
          <w:lang w:val="en-US"/>
        </w:rPr>
        <w:t>HanAll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 </w:t>
      </w:r>
      <w:proofErr w:type="spellStart"/>
      <w:r w:rsidRPr="00413F49">
        <w:rPr>
          <w:rFonts w:asciiTheme="majorHAnsi" w:eastAsia="Malgun Gothic" w:hAnsiTheme="majorHAnsi"/>
          <w:lang w:val="en-US"/>
        </w:rPr>
        <w:t>BioPharma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, </w:t>
      </w:r>
      <w:proofErr w:type="spellStart"/>
      <w:r w:rsidRPr="00413F49">
        <w:rPr>
          <w:rFonts w:asciiTheme="majorHAnsi" w:eastAsia="Malgun Gothic" w:hAnsiTheme="majorHAnsi"/>
          <w:lang w:val="en-US"/>
        </w:rPr>
        <w:t>MedImmune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, Merck </w:t>
      </w:r>
      <w:proofErr w:type="spellStart"/>
      <w:r w:rsidRPr="00413F49">
        <w:rPr>
          <w:rFonts w:asciiTheme="majorHAnsi" w:eastAsia="Malgun Gothic" w:hAnsiTheme="majorHAnsi"/>
          <w:lang w:val="en-US"/>
        </w:rPr>
        <w:t>Serono</w:t>
      </w:r>
      <w:proofErr w:type="spellEnd"/>
      <w:r w:rsidRPr="00413F49">
        <w:rPr>
          <w:rFonts w:asciiTheme="majorHAnsi" w:eastAsia="Malgun Gothic" w:hAnsiTheme="majorHAnsi"/>
          <w:lang w:val="en-US"/>
        </w:rPr>
        <w:t>, Novartis, Sanofi</w:t>
      </w:r>
      <w:r w:rsidRPr="00413F49">
        <w:rPr>
          <w:rFonts w:asciiTheme="majorHAnsi" w:eastAsia="Malgun Gothic" w:hAnsiTheme="majorHAnsi"/>
          <w:lang w:val="en-US" w:eastAsia="ko-KR"/>
        </w:rPr>
        <w:t xml:space="preserve"> Genzyme</w:t>
      </w:r>
      <w:r w:rsidRPr="00413F49">
        <w:rPr>
          <w:rFonts w:asciiTheme="majorHAnsi" w:eastAsia="Malgun Gothic" w:hAnsiTheme="majorHAnsi"/>
          <w:lang w:val="en-US"/>
        </w:rPr>
        <w:t xml:space="preserve">, </w:t>
      </w:r>
      <w:r w:rsidRPr="00413F49">
        <w:rPr>
          <w:rFonts w:asciiTheme="majorHAnsi" w:eastAsia="Malgun Gothic" w:hAnsiTheme="majorHAnsi"/>
          <w:lang w:val="en-US"/>
        </w:rPr>
        <w:br/>
      </w:r>
      <w:proofErr w:type="spellStart"/>
      <w:r w:rsidRPr="00413F49">
        <w:rPr>
          <w:rFonts w:asciiTheme="majorHAnsi" w:eastAsia="Malgun Gothic" w:hAnsiTheme="majorHAnsi"/>
          <w:lang w:val="en-US"/>
        </w:rPr>
        <w:t>Teva-Handok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 and UCB; research support from Ministry of Science &amp; ICT, Sanofi</w:t>
      </w:r>
      <w:r w:rsidRPr="00413F49">
        <w:rPr>
          <w:rFonts w:asciiTheme="majorHAnsi" w:eastAsia="Malgun Gothic" w:hAnsiTheme="majorHAnsi"/>
          <w:lang w:val="en-US" w:eastAsia="ko-KR"/>
        </w:rPr>
        <w:t xml:space="preserve"> Genzyme, </w:t>
      </w:r>
      <w:r w:rsidRPr="00413F49">
        <w:rPr>
          <w:rFonts w:asciiTheme="majorHAnsi" w:eastAsia="Malgun Gothic" w:hAnsiTheme="majorHAnsi"/>
          <w:lang w:val="en-US" w:eastAsia="ko-KR"/>
        </w:rPr>
        <w:br/>
      </w:r>
      <w:proofErr w:type="spellStart"/>
      <w:r w:rsidRPr="00413F49">
        <w:rPr>
          <w:rFonts w:asciiTheme="majorHAnsi" w:eastAsia="Malgun Gothic" w:hAnsiTheme="majorHAnsi"/>
          <w:lang w:val="en-US"/>
        </w:rPr>
        <w:t>Teva-Handok</w:t>
      </w:r>
      <w:proofErr w:type="spellEnd"/>
      <w:r w:rsidRPr="00413F49">
        <w:rPr>
          <w:rFonts w:asciiTheme="majorHAnsi" w:eastAsia="Malgun Gothic" w:hAnsiTheme="majorHAnsi"/>
          <w:lang w:val="en-US"/>
        </w:rPr>
        <w:t xml:space="preserve"> and UCB. He is steering committee member for </w:t>
      </w:r>
      <w:proofErr w:type="spellStart"/>
      <w:r w:rsidRPr="00413F49">
        <w:rPr>
          <w:rFonts w:asciiTheme="majorHAnsi" w:eastAsia="Malgun Gothic" w:hAnsiTheme="majorHAnsi"/>
          <w:lang w:val="en-US"/>
        </w:rPr>
        <w:t>MedImmune</w:t>
      </w:r>
      <w:proofErr w:type="spellEnd"/>
      <w:r w:rsidRPr="00413F49">
        <w:rPr>
          <w:rFonts w:asciiTheme="majorHAnsi" w:eastAsia="Malgun Gothic" w:hAnsiTheme="majorHAnsi"/>
          <w:lang w:val="en-US"/>
        </w:rPr>
        <w:t>; and co-editor/</w:t>
      </w:r>
      <w:r w:rsidRPr="00413F49">
        <w:rPr>
          <w:rFonts w:asciiTheme="majorHAnsi" w:eastAsia="Malgun Gothic" w:hAnsiTheme="majorHAnsi"/>
          <w:lang w:val="en-US"/>
        </w:rPr>
        <w:br/>
        <w:t xml:space="preserve">associated editor of MS Journal-Experimental, Translational and Clinical, and Journal of </w:t>
      </w:r>
      <w:r w:rsidRPr="00413F49">
        <w:rPr>
          <w:rFonts w:asciiTheme="majorHAnsi" w:eastAsia="Malgun Gothic" w:hAnsiTheme="majorHAnsi"/>
          <w:lang w:val="en-US"/>
        </w:rPr>
        <w:br/>
        <w:t>Clinical Neurology.</w:t>
      </w:r>
    </w:p>
    <w:p w:rsidR="00440360" w:rsidRPr="00413F49" w:rsidRDefault="00440360" w:rsidP="00440360">
      <w:pPr>
        <w:wordWrap w:val="0"/>
        <w:rPr>
          <w:rFonts w:asciiTheme="majorHAnsi" w:eastAsia="Malgun Gothic" w:hAnsiTheme="majorHAnsi"/>
          <w:color w:val="1F497D"/>
          <w:lang w:val="en-US" w:eastAsia="ko-KR"/>
        </w:rPr>
      </w:pPr>
    </w:p>
    <w:p w:rsidR="00CB2C68" w:rsidRPr="00413F49" w:rsidRDefault="00CB2C68" w:rsidP="00CB2C68">
      <w:pPr>
        <w:rPr>
          <w:rFonts w:ascii="Calibri" w:hAnsi="Calibri" w:cs="Helvetica Neue"/>
          <w:color w:val="000000"/>
        </w:rPr>
      </w:pPr>
      <w:r w:rsidRPr="00413F49">
        <w:rPr>
          <w:rFonts w:ascii="Calibri" w:hAnsi="Calibri"/>
        </w:rPr>
        <w:t xml:space="preserve">NPR </w:t>
      </w:r>
      <w:r w:rsidRPr="00413F49">
        <w:rPr>
          <w:rFonts w:ascii="Calibri" w:hAnsi="Calibri" w:cs="Helvetica Neue"/>
          <w:color w:val="000000"/>
        </w:rPr>
        <w:t xml:space="preserve">has received personal fees and other from Biogen, grants from Novartis, grants and other from Genzyme, from Roche, from </w:t>
      </w:r>
      <w:proofErr w:type="spellStart"/>
      <w:r w:rsidRPr="00413F49">
        <w:rPr>
          <w:rFonts w:ascii="Calibri" w:hAnsi="Calibri" w:cs="Helvetica Neue"/>
          <w:color w:val="000000"/>
        </w:rPr>
        <w:t>Teva</w:t>
      </w:r>
      <w:proofErr w:type="spellEnd"/>
      <w:r w:rsidRPr="00413F49">
        <w:rPr>
          <w:rFonts w:ascii="Calibri" w:hAnsi="Calibri" w:cs="Helvetica Neue"/>
          <w:color w:val="000000"/>
        </w:rPr>
        <w:t xml:space="preserve"> and personal fees from Merck.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 xml:space="preserve">BACC has received personal compensation for consulting for </w:t>
      </w:r>
      <w:proofErr w:type="spellStart"/>
      <w:r w:rsidRPr="00413F49">
        <w:rPr>
          <w:rFonts w:ascii="Calibri" w:hAnsi="Calibri"/>
        </w:rPr>
        <w:t>Abbvie</w:t>
      </w:r>
      <w:proofErr w:type="spellEnd"/>
      <w:r w:rsidRPr="00413F49">
        <w:rPr>
          <w:rFonts w:ascii="Calibri" w:hAnsi="Calibri"/>
        </w:rPr>
        <w:t xml:space="preserve">, Biogen, EMD </w:t>
      </w:r>
      <w:proofErr w:type="spellStart"/>
      <w:r w:rsidRPr="00413F49">
        <w:rPr>
          <w:rFonts w:ascii="Calibri" w:hAnsi="Calibri"/>
        </w:rPr>
        <w:t>Serono</w:t>
      </w:r>
      <w:proofErr w:type="spellEnd"/>
      <w:r w:rsidRPr="00413F49">
        <w:rPr>
          <w:rFonts w:ascii="Calibri" w:hAnsi="Calibri"/>
        </w:rPr>
        <w:t xml:space="preserve">, </w:t>
      </w:r>
      <w:proofErr w:type="spellStart"/>
      <w:r w:rsidRPr="00413F49">
        <w:rPr>
          <w:rFonts w:ascii="Calibri" w:hAnsi="Calibri"/>
        </w:rPr>
        <w:t>GeNeuro</w:t>
      </w:r>
      <w:proofErr w:type="spellEnd"/>
      <w:r w:rsidRPr="00413F49">
        <w:rPr>
          <w:rFonts w:ascii="Calibri" w:hAnsi="Calibri"/>
        </w:rPr>
        <w:t xml:space="preserve">, Novartis, and </w:t>
      </w:r>
      <w:proofErr w:type="spellStart"/>
      <w:r w:rsidRPr="00413F49">
        <w:rPr>
          <w:rFonts w:ascii="Calibri" w:hAnsi="Calibri"/>
        </w:rPr>
        <w:t>sanofi</w:t>
      </w:r>
      <w:proofErr w:type="spellEnd"/>
      <w:r w:rsidRPr="00413F49">
        <w:rPr>
          <w:rFonts w:ascii="Calibri" w:hAnsi="Calibri"/>
        </w:rPr>
        <w:t xml:space="preserve"> </w:t>
      </w:r>
      <w:proofErr w:type="spellStart"/>
      <w:r w:rsidRPr="00413F49">
        <w:rPr>
          <w:rFonts w:ascii="Calibri" w:hAnsi="Calibri"/>
        </w:rPr>
        <w:t>genzyme</w:t>
      </w:r>
      <w:proofErr w:type="spellEnd"/>
      <w:r w:rsidRPr="00413F49">
        <w:rPr>
          <w:rFonts w:ascii="Calibri" w:hAnsi="Calibri"/>
        </w:rPr>
        <w:t>.</w:t>
      </w:r>
    </w:p>
    <w:p w:rsidR="00CB2C68" w:rsidRPr="00413F49" w:rsidRDefault="00CB2C68" w:rsidP="00CB2C68">
      <w:pPr>
        <w:rPr>
          <w:rFonts w:ascii="Calibri" w:hAnsi="Calibri"/>
        </w:rPr>
      </w:pPr>
    </w:p>
    <w:p w:rsidR="00CB2C68" w:rsidRPr="00413F49" w:rsidRDefault="00CB2C68" w:rsidP="00CB2C68">
      <w:pPr>
        <w:rPr>
          <w:rFonts w:ascii="Calibri" w:hAnsi="Calibri"/>
        </w:rPr>
      </w:pPr>
      <w:r w:rsidRPr="00413F49">
        <w:rPr>
          <w:rFonts w:ascii="Calibri" w:hAnsi="Calibri"/>
        </w:rPr>
        <w:t xml:space="preserve">AJ has received compensation for advisory board, consulting, meeting attendance, and speaking </w:t>
      </w:r>
      <w:r w:rsidRPr="00413F49">
        <w:rPr>
          <w:rFonts w:ascii="Calibri" w:hAnsi="Calibri" w:cs="Helvetica Neue"/>
          <w:color w:val="000000"/>
        </w:rPr>
        <w:t>from Biogen, Terumo-BCT, Genentech, Shire and Chugai Pharmaceuticals.</w:t>
      </w:r>
    </w:p>
    <w:p w:rsidR="00CB2C68" w:rsidRPr="00413F49" w:rsidRDefault="00CB2C68" w:rsidP="00CB2C68">
      <w:pPr>
        <w:rPr>
          <w:rFonts w:asciiTheme="majorHAnsi" w:hAnsiTheme="majorHAnsi"/>
        </w:rPr>
      </w:pPr>
    </w:p>
    <w:p w:rsidR="0053240A" w:rsidRPr="00413F49" w:rsidRDefault="0053240A" w:rsidP="00CB2C68">
      <w:pPr>
        <w:rPr>
          <w:rFonts w:asciiTheme="majorHAnsi" w:hAnsiTheme="majorHAnsi"/>
          <w:b/>
        </w:rPr>
      </w:pPr>
      <w:r w:rsidRPr="00413F49">
        <w:rPr>
          <w:rFonts w:asciiTheme="majorHAnsi" w:hAnsiTheme="majorHAnsi"/>
          <w:b/>
        </w:rPr>
        <w:t xml:space="preserve">References </w:t>
      </w:r>
    </w:p>
    <w:p w:rsidR="0053240A" w:rsidRPr="00413F49" w:rsidRDefault="0053240A" w:rsidP="0053240A">
      <w:pPr>
        <w:rPr>
          <w:rFonts w:asciiTheme="majorHAnsi" w:hAnsiTheme="majorHAnsi"/>
        </w:rPr>
      </w:pPr>
    </w:p>
    <w:p w:rsidR="00D74085" w:rsidRPr="00413F49" w:rsidRDefault="00D74085" w:rsidP="00D74085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Perez-Andres M,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Paiva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B, Nieto WG, et al. Human peripheral blood B-cell compartments: A crossroad in B-cell traffic.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Cytometry Part B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2010; 78B (Suppl. 1): S47–S60.</w:t>
      </w:r>
      <w:r w:rsidRPr="00413F49">
        <w:rPr>
          <w:rFonts w:asciiTheme="majorHAnsi" w:hAnsiTheme="majorHAnsi"/>
          <w:sz w:val="20"/>
        </w:rPr>
        <w:t xml:space="preserve"> </w:t>
      </w:r>
    </w:p>
    <w:p w:rsidR="00D74085" w:rsidRPr="00413F49" w:rsidRDefault="00D74085" w:rsidP="00D74085">
      <w:pPr>
        <w:rPr>
          <w:rFonts w:asciiTheme="majorHAnsi" w:hAnsiTheme="majorHAnsi"/>
          <w:sz w:val="20"/>
        </w:rPr>
      </w:pPr>
    </w:p>
    <w:p w:rsidR="00D74085" w:rsidRPr="00413F49" w:rsidRDefault="00D74085" w:rsidP="00D74085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413F49">
        <w:rPr>
          <w:rFonts w:asciiTheme="majorHAnsi" w:hAnsiTheme="majorHAnsi"/>
          <w:sz w:val="20"/>
        </w:rPr>
        <w:t xml:space="preserve">Magliozzi R, Howell O, </w:t>
      </w:r>
      <w:proofErr w:type="spellStart"/>
      <w:r w:rsidRPr="00413F49">
        <w:rPr>
          <w:rFonts w:asciiTheme="majorHAnsi" w:hAnsiTheme="majorHAnsi"/>
          <w:sz w:val="20"/>
        </w:rPr>
        <w:t>Vora</w:t>
      </w:r>
      <w:proofErr w:type="spellEnd"/>
      <w:r w:rsidRPr="00413F49">
        <w:rPr>
          <w:rFonts w:asciiTheme="majorHAnsi" w:hAnsiTheme="majorHAnsi"/>
          <w:sz w:val="20"/>
        </w:rPr>
        <w:t xml:space="preserve"> A, et al. Meningeal B-cell follicles in secondary progressive multiple sclerosis associate with early onset of disease and severe cortical pathology. </w:t>
      </w:r>
      <w:r w:rsidRPr="00413F49">
        <w:rPr>
          <w:rFonts w:asciiTheme="majorHAnsi" w:hAnsiTheme="majorHAnsi"/>
          <w:i/>
          <w:sz w:val="20"/>
        </w:rPr>
        <w:t>Brain</w:t>
      </w:r>
      <w:r w:rsidRPr="00413F49">
        <w:rPr>
          <w:rFonts w:asciiTheme="majorHAnsi" w:hAnsiTheme="majorHAnsi"/>
          <w:sz w:val="20"/>
        </w:rPr>
        <w:t xml:space="preserve"> 2007;130(Pt 4):1089-1104.</w:t>
      </w:r>
    </w:p>
    <w:p w:rsidR="00D74085" w:rsidRPr="00413F49" w:rsidRDefault="00D74085" w:rsidP="00D74085">
      <w:pPr>
        <w:rPr>
          <w:rFonts w:asciiTheme="majorHAnsi" w:hAnsiTheme="majorHAnsi"/>
          <w:sz w:val="20"/>
        </w:rPr>
      </w:pPr>
    </w:p>
    <w:p w:rsidR="00D74085" w:rsidRPr="00413F49" w:rsidRDefault="00D74085" w:rsidP="00D74085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413F49">
        <w:rPr>
          <w:rFonts w:asciiTheme="majorHAnsi" w:hAnsiTheme="majorHAnsi"/>
          <w:sz w:val="20"/>
        </w:rPr>
        <w:t xml:space="preserve">Baker D, Marta M, Pryce G, </w:t>
      </w:r>
      <w:proofErr w:type="spellStart"/>
      <w:r w:rsidRPr="00413F49">
        <w:rPr>
          <w:rFonts w:asciiTheme="majorHAnsi" w:hAnsiTheme="majorHAnsi"/>
          <w:sz w:val="20"/>
        </w:rPr>
        <w:t>Giovannoni</w:t>
      </w:r>
      <w:proofErr w:type="spellEnd"/>
      <w:r w:rsidRPr="00413F49">
        <w:rPr>
          <w:rFonts w:asciiTheme="majorHAnsi" w:hAnsiTheme="majorHAnsi"/>
          <w:sz w:val="20"/>
        </w:rPr>
        <w:t xml:space="preserve"> G, </w:t>
      </w:r>
      <w:proofErr w:type="spellStart"/>
      <w:r w:rsidRPr="00413F49">
        <w:rPr>
          <w:rFonts w:asciiTheme="majorHAnsi" w:hAnsiTheme="majorHAnsi"/>
          <w:sz w:val="20"/>
        </w:rPr>
        <w:t>Schmierer</w:t>
      </w:r>
      <w:proofErr w:type="spellEnd"/>
      <w:r w:rsidRPr="00413F49">
        <w:rPr>
          <w:rFonts w:asciiTheme="majorHAnsi" w:hAnsiTheme="majorHAnsi"/>
          <w:sz w:val="20"/>
        </w:rPr>
        <w:t xml:space="preserve"> K. Memory B cells are major targets for effective immunotherapy in relapsing multiple sclerosis. </w:t>
      </w:r>
      <w:proofErr w:type="spellStart"/>
      <w:r w:rsidRPr="00413F49">
        <w:rPr>
          <w:rFonts w:asciiTheme="majorHAnsi" w:hAnsiTheme="majorHAnsi"/>
          <w:i/>
          <w:sz w:val="20"/>
        </w:rPr>
        <w:t>EBioMedicine</w:t>
      </w:r>
      <w:proofErr w:type="spellEnd"/>
      <w:r w:rsidRPr="00413F49">
        <w:rPr>
          <w:rFonts w:asciiTheme="majorHAnsi" w:hAnsiTheme="majorHAnsi"/>
          <w:sz w:val="20"/>
        </w:rPr>
        <w:t xml:space="preserve"> 2017;16:41-50.</w:t>
      </w:r>
    </w:p>
    <w:p w:rsidR="00D74085" w:rsidRPr="00413F49" w:rsidRDefault="00D74085" w:rsidP="00D74085">
      <w:pPr>
        <w:rPr>
          <w:rFonts w:asciiTheme="majorHAnsi" w:hAnsiTheme="majorHAnsi"/>
          <w:sz w:val="20"/>
        </w:rPr>
      </w:pPr>
    </w:p>
    <w:p w:rsidR="00D74085" w:rsidRPr="00413F49" w:rsidRDefault="00D74085" w:rsidP="00D74085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413F49">
        <w:rPr>
          <w:rFonts w:asciiTheme="majorHAnsi" w:hAnsiTheme="majorHAnsi"/>
          <w:sz w:val="20"/>
        </w:rPr>
        <w:t xml:space="preserve">Kim SH, Kim W, Li XF, Jung IJ, Kim HJ. Repeated treatment </w:t>
      </w:r>
      <w:r w:rsidRPr="00413F49">
        <w:rPr>
          <w:rFonts w:asciiTheme="majorHAnsi" w:hAnsiTheme="majorHAnsi"/>
          <w:bCs/>
          <w:sz w:val="20"/>
        </w:rPr>
        <w:t xml:space="preserve">with rituximab based on the assessment of peripheral circulating memory B cells in patients with relapsing neuromyelitis optica over 2 years. </w:t>
      </w:r>
      <w:r w:rsidRPr="00413F49">
        <w:rPr>
          <w:rFonts w:asciiTheme="majorHAnsi" w:hAnsiTheme="majorHAnsi"/>
          <w:bCs/>
          <w:i/>
          <w:sz w:val="20"/>
        </w:rPr>
        <w:t xml:space="preserve">Arch </w:t>
      </w:r>
      <w:proofErr w:type="spellStart"/>
      <w:r w:rsidRPr="00413F49">
        <w:rPr>
          <w:rFonts w:asciiTheme="majorHAnsi" w:hAnsiTheme="majorHAnsi"/>
          <w:bCs/>
          <w:i/>
          <w:sz w:val="20"/>
        </w:rPr>
        <w:t>Neurol</w:t>
      </w:r>
      <w:proofErr w:type="spellEnd"/>
      <w:r w:rsidRPr="00413F49">
        <w:rPr>
          <w:rFonts w:asciiTheme="majorHAnsi" w:hAnsiTheme="majorHAnsi"/>
          <w:bCs/>
          <w:sz w:val="20"/>
        </w:rPr>
        <w:t xml:space="preserve"> 2011;68(11):1412-1419.</w:t>
      </w:r>
    </w:p>
    <w:p w:rsidR="00D74085" w:rsidRPr="00413F49" w:rsidRDefault="00D74085" w:rsidP="00D74085">
      <w:pPr>
        <w:pStyle w:val="ListParagraph"/>
        <w:rPr>
          <w:rFonts w:asciiTheme="majorHAnsi" w:hAnsiTheme="majorHAnsi"/>
          <w:sz w:val="20"/>
        </w:rPr>
      </w:pPr>
    </w:p>
    <w:p w:rsidR="00D74085" w:rsidRPr="00413F49" w:rsidRDefault="00D74085" w:rsidP="00D74085">
      <w:pPr>
        <w:pStyle w:val="Title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</w:rPr>
      </w:pPr>
      <w:r w:rsidRPr="00413F49">
        <w:rPr>
          <w:rFonts w:asciiTheme="majorHAnsi" w:hAnsiTheme="majorHAnsi" w:cs="Arial"/>
        </w:rPr>
        <w:t xml:space="preserve">Cree BA, Bennett JL, Sheehan M, et al. Placebo-controlled study in neuromyelitis optica-Ethical and design considerations. </w:t>
      </w:r>
      <w:proofErr w:type="spellStart"/>
      <w:r w:rsidRPr="00413F49">
        <w:rPr>
          <w:rStyle w:val="jrnl"/>
          <w:rFonts w:asciiTheme="majorHAnsi" w:hAnsiTheme="majorHAnsi" w:cs="Arial"/>
          <w:i/>
        </w:rPr>
        <w:t>Mult</w:t>
      </w:r>
      <w:proofErr w:type="spellEnd"/>
      <w:r w:rsidRPr="00413F49">
        <w:rPr>
          <w:rStyle w:val="jrnl"/>
          <w:rFonts w:asciiTheme="majorHAnsi" w:hAnsiTheme="majorHAnsi" w:cs="Arial"/>
          <w:i/>
        </w:rPr>
        <w:t xml:space="preserve"> </w:t>
      </w:r>
      <w:proofErr w:type="spellStart"/>
      <w:r w:rsidRPr="00413F49">
        <w:rPr>
          <w:rStyle w:val="jrnl"/>
          <w:rFonts w:asciiTheme="majorHAnsi" w:hAnsiTheme="majorHAnsi" w:cs="Arial"/>
          <w:i/>
        </w:rPr>
        <w:t>Scler</w:t>
      </w:r>
      <w:proofErr w:type="spellEnd"/>
      <w:r w:rsidRPr="00413F49">
        <w:rPr>
          <w:rFonts w:asciiTheme="majorHAnsi" w:hAnsiTheme="majorHAnsi" w:cs="Arial"/>
        </w:rPr>
        <w:t xml:space="preserve"> 2016;22(7):862-72.</w:t>
      </w:r>
    </w:p>
    <w:p w:rsidR="00114EF0" w:rsidRPr="00413F49" w:rsidRDefault="00114EF0" w:rsidP="00114EF0">
      <w:pPr>
        <w:pStyle w:val="Title"/>
        <w:spacing w:before="0" w:beforeAutospacing="0" w:after="0" w:afterAutospacing="0"/>
        <w:rPr>
          <w:rFonts w:asciiTheme="majorHAnsi" w:hAnsiTheme="majorHAnsi" w:cs="Arial"/>
        </w:rPr>
      </w:pPr>
    </w:p>
    <w:p w:rsidR="00114EF0" w:rsidRPr="00413F49" w:rsidRDefault="00114EF0" w:rsidP="00D74085">
      <w:pPr>
        <w:pStyle w:val="Title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</w:rPr>
      </w:pPr>
      <w:r w:rsidRPr="00413F49">
        <w:rPr>
          <w:rFonts w:asciiTheme="majorHAnsi" w:hAnsiTheme="majorHAnsi"/>
          <w:szCs w:val="16"/>
        </w:rPr>
        <w:t>British National Formulary: Rituximab.  Accessed 7</w:t>
      </w:r>
      <w:r w:rsidRPr="00413F49">
        <w:rPr>
          <w:rFonts w:asciiTheme="majorHAnsi" w:hAnsiTheme="majorHAnsi"/>
          <w:szCs w:val="16"/>
          <w:vertAlign w:val="superscript"/>
        </w:rPr>
        <w:t>th</w:t>
      </w:r>
      <w:r w:rsidRPr="00413F49">
        <w:rPr>
          <w:rFonts w:asciiTheme="majorHAnsi" w:hAnsiTheme="majorHAnsi"/>
          <w:szCs w:val="16"/>
        </w:rPr>
        <w:t xml:space="preserve"> March 2018 at </w:t>
      </w:r>
      <w:hyperlink r:id="rId10" w:history="1">
        <w:r w:rsidRPr="00413F49">
          <w:rPr>
            <w:rStyle w:val="Hyperlink"/>
            <w:rFonts w:asciiTheme="majorHAnsi" w:hAnsiTheme="majorHAnsi"/>
            <w:szCs w:val="16"/>
          </w:rPr>
          <w:t>https://bnf.nice.org.uk/drug/rituximab.html</w:t>
        </w:r>
      </w:hyperlink>
    </w:p>
    <w:p w:rsidR="00D74085" w:rsidRPr="00413F49" w:rsidRDefault="00D74085" w:rsidP="00D74085">
      <w:pPr>
        <w:rPr>
          <w:rFonts w:asciiTheme="majorHAnsi" w:hAnsiTheme="majorHAnsi"/>
          <w:sz w:val="20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Bar-Or A,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Calabresi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PAJ, Arnold D, et al. Rituximab in relapsing-remitting multiple sclerosis: A 72-week, open-label, phase I trial.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Ann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2008;63(3):395-400.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Hauser SL,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Waubant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E, Arnold DL, et al. B-cell depletion with rituximab in relapsing-remitting multiple sclerosis.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N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Eng</w:t>
      </w:r>
      <w:proofErr w:type="spellEnd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J Med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2008;358:676-688.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Naismith RT,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Piccio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L, Lyons JA, et al. Rituximab add-on therapy for breakthrough relapsing multiple sclerosis: A 52-week phase II trial. </w:t>
      </w:r>
      <w:r w:rsidRPr="00413F49"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Neurology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2010;74(23):1860-1867. 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Hawker K, O’Connor P, Freedman MS, et al. Rituximab in patients with primary progressive multiple sclerosis: results of a randomized double-blind placebo-controlled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multicenter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trial.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Ann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2009;66(4):460-71. </w:t>
      </w:r>
    </w:p>
    <w:p w:rsidR="0053240A" w:rsidRPr="00413F49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Salzer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J,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Svenningsson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Alping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P, et al. Rituximab in multiple sclerosis: A retrospective observational study on safety and efficacy. </w:t>
      </w:r>
      <w:r w:rsidRPr="00413F49">
        <w:rPr>
          <w:rFonts w:asciiTheme="majorHAnsi" w:hAnsiTheme="majorHAnsi" w:cs="Arial"/>
          <w:i/>
          <w:iCs/>
          <w:sz w:val="20"/>
          <w:szCs w:val="20"/>
          <w:shd w:val="clear" w:color="auto" w:fill="FFFFFF"/>
        </w:rPr>
        <w:t>Neurology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2016;87(20):2074-2081. 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Granqvist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Boremalm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Poorghobad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A, et al. Comparative Effectiveness of Rituximab and Other Initial Treatment Choices for Multiple Sclerosis.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JAMA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2018;75(3):320-327.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Damato V,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Evoli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Iorio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R. Efficacy and safety of Rituximab therapy in Neuromyelitis Optica Spectrum Disorders: A Systematic Review and Meta-analysis.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JAMA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2016; 73(11):1342-1348.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Palace J, Leite I, Jacob A. A practical guide to the treatment of neuromyelitis optica.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Pract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2012;12(4):209-214.</w:t>
      </w:r>
    </w:p>
    <w:p w:rsidR="0053240A" w:rsidRPr="00413F49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Lee WJ, Lee ST, Byun JI, et al. Rituximab treatment for autoimmune limbic encephalitis in an institutional cohort.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Neurology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2016; 86: 1683–1691.</w:t>
      </w:r>
    </w:p>
    <w:p w:rsidR="0053240A" w:rsidRPr="00413F49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lastRenderedPageBreak/>
        <w:t>Titulaer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MJ, McCracken L,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Gabilondo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I, et al. Treatment and prognostic factors for long-term outcome in patients with anti-NMDA receptor encephalitis: an observational cohort study.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Lancet </w:t>
      </w:r>
      <w:proofErr w:type="spellStart"/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 2013</w:t>
      </w:r>
      <w:proofErr w:type="gram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;12</w:t>
      </w:r>
      <w:proofErr w:type="gram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(2):157-165. </w:t>
      </w:r>
    </w:p>
    <w:p w:rsidR="0053240A" w:rsidRPr="00413F49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Dale RC,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Brilot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F, Duffy LV, et al. Utility and safety of rituximab in </w:t>
      </w:r>
      <w:proofErr w:type="spellStart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>pediatric</w:t>
      </w:r>
      <w:proofErr w:type="spellEnd"/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autoimmune and inflammatory CNS disease. </w:t>
      </w:r>
      <w:r w:rsidRPr="00413F4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Neurology</w:t>
      </w:r>
      <w:r w:rsidRPr="00413F4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2014; 83: 142–150.</w:t>
      </w:r>
    </w:p>
    <w:p w:rsidR="0053240A" w:rsidRPr="00413F49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413F49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413F49">
        <w:rPr>
          <w:rFonts w:asciiTheme="majorHAnsi" w:hAnsiTheme="majorHAnsi"/>
          <w:sz w:val="20"/>
          <w:shd w:val="clear" w:color="auto" w:fill="FFFFFF"/>
        </w:rPr>
        <w:t>Clinical commissioning policy: Rituximab for second line treatment for anti-NMDAR autoimmune encephalitis (all ages). NHS England.  Published 8</w:t>
      </w:r>
      <w:r w:rsidRPr="00413F49">
        <w:rPr>
          <w:rFonts w:asciiTheme="majorHAnsi" w:hAnsiTheme="majorHAnsi"/>
          <w:sz w:val="20"/>
          <w:shd w:val="clear" w:color="auto" w:fill="FFFFFF"/>
          <w:vertAlign w:val="superscript"/>
        </w:rPr>
        <w:t>th</w:t>
      </w:r>
      <w:r w:rsidRPr="00413F49">
        <w:rPr>
          <w:rFonts w:asciiTheme="majorHAnsi" w:hAnsiTheme="majorHAnsi"/>
          <w:sz w:val="20"/>
          <w:shd w:val="clear" w:color="auto" w:fill="FFFFFF"/>
        </w:rPr>
        <w:t xml:space="preserve"> March 2018.  Available at</w:t>
      </w:r>
      <w:r w:rsidRPr="00413F49">
        <w:t xml:space="preserve"> </w:t>
      </w:r>
      <w:hyperlink r:id="rId11" w:history="1">
        <w:r w:rsidRPr="00413F49">
          <w:rPr>
            <w:rStyle w:val="Hyperlink"/>
            <w:rFonts w:asciiTheme="majorHAnsi" w:hAnsiTheme="majorHAnsi"/>
            <w:sz w:val="20"/>
            <w:shd w:val="clear" w:color="auto" w:fill="FFFFFF"/>
          </w:rPr>
          <w:t>https://www.england.nhs.uk/wp-content/uploads/2018/03/ccp-rituximab-for-second-line-treatment-for-anti-nmdar-autoimmune-encephalitis.pdf</w:t>
        </w:r>
      </w:hyperlink>
    </w:p>
    <w:p w:rsidR="0053240A" w:rsidRPr="00DD7363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ED1044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Brown JW, Martin PJ, Thorpe JW, et al. Long-term remission with rituximab in refractory leucine-rich glioma inactivated 1 antibody encephalitis.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Neuroimmunol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2014</w:t>
      </w:r>
      <w:proofErr w:type="gram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;271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(1-2):66-68.</w:t>
      </w:r>
    </w:p>
    <w:p w:rsidR="0053240A" w:rsidRPr="00ED1044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D7363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Irani SR,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Gelfand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JM,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Bettcher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BM,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Singhal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NS,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Geschwind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MD. Effect of rituximab in patients with leucine-rich, glioma-inactivated 1 antibody-associated encephalopathy.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JAMA </w:t>
      </w:r>
      <w:proofErr w:type="spellStart"/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2014</w:t>
      </w:r>
      <w:proofErr w:type="gram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;71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(7):896-900.</w:t>
      </w:r>
    </w:p>
    <w:p w:rsidR="0053240A" w:rsidRPr="00DD7363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ED1044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Salvarani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Brown RD Jr, Christianson TJ, et al. Adult primary central nervous system vasculitis treatment and course: analysis of one hundred sixty-three patients.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Arthritis </w:t>
      </w:r>
      <w:proofErr w:type="spellStart"/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Rheumatol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2015</w:t>
      </w:r>
      <w:proofErr w:type="gram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;67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(6):1637-1645.</w:t>
      </w:r>
    </w:p>
    <w:p w:rsidR="0053240A" w:rsidRPr="00ED1044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E720C7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Berlit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P, Becker J, Kraemer M. Rituximab in primary angiitis of the CNS (P3.076).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Neurology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2017; 88(16 Supplement).</w:t>
      </w:r>
    </w:p>
    <w:p w:rsidR="0053240A" w:rsidRPr="00E720C7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E720C7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De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Boysson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H,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Arquizan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Guillevin L,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Pagnoux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C. Rituximab for Primary Angiitis of the Centr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al Nervous System: Report of 2 p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atients fr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>om the French COVAC Cohort and review of the l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iterature. </w:t>
      </w: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>Rheumatol</w:t>
      </w:r>
      <w:proofErr w:type="spellEnd"/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2013</w:t>
      </w:r>
      <w:proofErr w:type="gramStart"/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>;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40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(12):2102-2103.</w:t>
      </w:r>
    </w:p>
    <w:p w:rsidR="0053240A" w:rsidRPr="00E720C7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F22093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Salvarani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Brown RD, Huston J, et al. Treatment of primary CNS vasculitis with rituximab: case report.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Neurology </w:t>
      </w:r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>2014</w:t>
      </w:r>
      <w:proofErr w:type="gramStart"/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>;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82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(14):1287-1288.</w:t>
      </w:r>
    </w:p>
    <w:p w:rsidR="00184E24" w:rsidRPr="00184E24" w:rsidRDefault="00184E24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184E24" w:rsidRDefault="00184E24" w:rsidP="00184E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Yates </w:t>
      </w:r>
      <w:r w:rsidRPr="00F22093">
        <w:rPr>
          <w:rFonts w:asciiTheme="majorHAnsi" w:hAnsiTheme="majorHAnsi"/>
          <w:sz w:val="20"/>
          <w:shd w:val="clear" w:color="auto" w:fill="FFFFFF"/>
        </w:rPr>
        <w:t xml:space="preserve">M, Watts RA, </w:t>
      </w:r>
      <w:proofErr w:type="spellStart"/>
      <w:r w:rsidR="00DE0BB6">
        <w:rPr>
          <w:rFonts w:asciiTheme="majorHAnsi" w:hAnsiTheme="majorHAnsi"/>
          <w:sz w:val="20"/>
          <w:shd w:val="clear" w:color="auto" w:fill="FFFFFF"/>
        </w:rPr>
        <w:t>Bajema</w:t>
      </w:r>
      <w:proofErr w:type="spellEnd"/>
      <w:r w:rsidR="00DE0BB6">
        <w:rPr>
          <w:rFonts w:asciiTheme="majorHAnsi" w:hAnsiTheme="majorHAnsi"/>
          <w:sz w:val="20"/>
          <w:shd w:val="clear" w:color="auto" w:fill="FFFFFF"/>
        </w:rPr>
        <w:t xml:space="preserve"> IM, et al. EULAR/ERA-EDTA recommendations for the management of ANCA-associated vasculitis. Ann Rheum Dis 2016</w:t>
      </w:r>
      <w:proofErr w:type="gramStart"/>
      <w:r w:rsidR="00DE0BB6">
        <w:rPr>
          <w:rFonts w:asciiTheme="majorHAnsi" w:hAnsiTheme="majorHAnsi"/>
          <w:sz w:val="20"/>
          <w:shd w:val="clear" w:color="auto" w:fill="FFFFFF"/>
        </w:rPr>
        <w:t>;75</w:t>
      </w:r>
      <w:proofErr w:type="gramEnd"/>
      <w:r w:rsidR="00DE0BB6">
        <w:rPr>
          <w:rFonts w:asciiTheme="majorHAnsi" w:hAnsiTheme="majorHAnsi"/>
          <w:sz w:val="20"/>
          <w:shd w:val="clear" w:color="auto" w:fill="FFFFFF"/>
        </w:rPr>
        <w:t>(</w:t>
      </w:r>
      <w:r w:rsidR="00622CFA">
        <w:rPr>
          <w:rFonts w:asciiTheme="majorHAnsi" w:hAnsiTheme="majorHAnsi"/>
          <w:sz w:val="20"/>
          <w:shd w:val="clear" w:color="auto" w:fill="FFFFFF"/>
        </w:rPr>
        <w:t>9</w:t>
      </w:r>
      <w:r w:rsidR="00DE0BB6">
        <w:rPr>
          <w:rFonts w:asciiTheme="majorHAnsi" w:hAnsiTheme="majorHAnsi"/>
          <w:sz w:val="20"/>
          <w:shd w:val="clear" w:color="auto" w:fill="FFFFFF"/>
        </w:rPr>
        <w:t>):1583-1594.</w:t>
      </w:r>
    </w:p>
    <w:p w:rsidR="00184E24" w:rsidRPr="00184E24" w:rsidRDefault="00184E24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184E24" w:rsidRDefault="00184E24" w:rsidP="00184E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Jones RB, </w:t>
      </w:r>
      <w:proofErr w:type="spellStart"/>
      <w:r w:rsidR="001B18F1">
        <w:rPr>
          <w:rFonts w:asciiTheme="majorHAnsi" w:hAnsiTheme="majorHAnsi"/>
          <w:sz w:val="20"/>
          <w:shd w:val="clear" w:color="auto" w:fill="FFFFFF"/>
        </w:rPr>
        <w:t>Furuta</w:t>
      </w:r>
      <w:proofErr w:type="spellEnd"/>
      <w:r w:rsidR="001B18F1">
        <w:rPr>
          <w:rFonts w:asciiTheme="majorHAnsi" w:hAnsiTheme="majorHAnsi"/>
          <w:sz w:val="20"/>
          <w:shd w:val="clear" w:color="auto" w:fill="FFFFFF"/>
        </w:rPr>
        <w:t xml:space="preserve"> S, 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Tervaert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JW, et al. </w:t>
      </w:r>
      <w:r w:rsidR="00622CFA">
        <w:rPr>
          <w:rFonts w:asciiTheme="majorHAnsi" w:hAnsiTheme="majorHAnsi"/>
          <w:sz w:val="20"/>
          <w:shd w:val="clear" w:color="auto" w:fill="FFFFFF"/>
        </w:rPr>
        <w:t>Ritux</w:t>
      </w:r>
      <w:r w:rsidR="00835397">
        <w:rPr>
          <w:rFonts w:asciiTheme="majorHAnsi" w:hAnsiTheme="majorHAnsi"/>
          <w:sz w:val="20"/>
          <w:shd w:val="clear" w:color="auto" w:fill="FFFFFF"/>
        </w:rPr>
        <w:t>imab versus cyclophosphamide in</w:t>
      </w:r>
      <w:r w:rsidR="00622CFA">
        <w:rPr>
          <w:rFonts w:asciiTheme="majorHAnsi" w:hAnsiTheme="majorHAnsi"/>
          <w:sz w:val="20"/>
          <w:shd w:val="clear" w:color="auto" w:fill="FFFFFF"/>
        </w:rPr>
        <w:t xml:space="preserve"> ANCA-associated </w:t>
      </w:r>
      <w:r w:rsidR="00835397">
        <w:rPr>
          <w:rFonts w:asciiTheme="majorHAnsi" w:hAnsiTheme="majorHAnsi"/>
          <w:sz w:val="20"/>
          <w:shd w:val="clear" w:color="auto" w:fill="FFFFFF"/>
        </w:rPr>
        <w:t xml:space="preserve">renal </w:t>
      </w:r>
      <w:r w:rsidR="00622CFA">
        <w:rPr>
          <w:rFonts w:asciiTheme="majorHAnsi" w:hAnsiTheme="majorHAnsi"/>
          <w:sz w:val="20"/>
          <w:shd w:val="clear" w:color="auto" w:fill="FFFFFF"/>
        </w:rPr>
        <w:t xml:space="preserve">vasculitis. </w:t>
      </w:r>
      <w:r w:rsidR="001B18F1">
        <w:rPr>
          <w:rFonts w:asciiTheme="majorHAnsi" w:hAnsiTheme="majorHAnsi"/>
          <w:i/>
          <w:sz w:val="20"/>
          <w:shd w:val="clear" w:color="auto" w:fill="FFFFFF"/>
        </w:rPr>
        <w:t xml:space="preserve">Ann Rheum Dis </w:t>
      </w:r>
      <w:r w:rsidR="001B18F1" w:rsidRPr="001B18F1">
        <w:rPr>
          <w:rFonts w:asciiTheme="majorHAnsi" w:hAnsiTheme="majorHAnsi"/>
          <w:i/>
          <w:sz w:val="20"/>
          <w:shd w:val="clear" w:color="auto" w:fill="FFFFFF"/>
        </w:rPr>
        <w:t>2015</w:t>
      </w:r>
      <w:proofErr w:type="gramStart"/>
      <w:r w:rsidR="001B18F1">
        <w:rPr>
          <w:rFonts w:asciiTheme="majorHAnsi" w:hAnsiTheme="majorHAnsi"/>
          <w:sz w:val="20"/>
          <w:shd w:val="clear" w:color="auto" w:fill="FFFFFF"/>
        </w:rPr>
        <w:t>;</w:t>
      </w:r>
      <w:r w:rsidR="001B18F1" w:rsidRPr="001B18F1">
        <w:rPr>
          <w:rFonts w:asciiTheme="majorHAnsi" w:hAnsiTheme="majorHAnsi"/>
          <w:sz w:val="20"/>
          <w:shd w:val="clear" w:color="auto" w:fill="FFFFFF"/>
        </w:rPr>
        <w:t>74</w:t>
      </w:r>
      <w:proofErr w:type="gramEnd"/>
      <w:r w:rsidR="001B18F1" w:rsidRPr="001B18F1">
        <w:rPr>
          <w:rFonts w:asciiTheme="majorHAnsi" w:hAnsiTheme="majorHAnsi"/>
          <w:sz w:val="20"/>
          <w:shd w:val="clear" w:color="auto" w:fill="FFFFFF"/>
        </w:rPr>
        <w:t>(6):1178-1182.</w:t>
      </w:r>
    </w:p>
    <w:p w:rsidR="00184E24" w:rsidRPr="001B18F1" w:rsidRDefault="00184E24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184E24" w:rsidRPr="00F22093" w:rsidRDefault="00184E24" w:rsidP="00184E24">
      <w:pPr>
        <w:pStyle w:val="ListParagraph"/>
        <w:numPr>
          <w:ilvl w:val="0"/>
          <w:numId w:val="17"/>
        </w:numPr>
        <w:rPr>
          <w:rFonts w:asciiTheme="majorHAnsi" w:hAnsiTheme="majorHAnsi"/>
          <w:color w:val="FF0000"/>
          <w:sz w:val="20"/>
          <w:shd w:val="clear" w:color="auto" w:fill="FFFFFF"/>
        </w:rPr>
      </w:pPr>
      <w:r w:rsidRPr="001B18F1">
        <w:rPr>
          <w:rFonts w:asciiTheme="majorHAnsi" w:hAnsiTheme="majorHAnsi"/>
          <w:sz w:val="20"/>
          <w:shd w:val="clear" w:color="auto" w:fill="FFFFFF"/>
        </w:rPr>
        <w:t xml:space="preserve">Stone JH, Merkel PA, </w:t>
      </w:r>
      <w:proofErr w:type="spellStart"/>
      <w:r w:rsidRPr="001B18F1">
        <w:rPr>
          <w:rFonts w:asciiTheme="majorHAnsi" w:hAnsiTheme="majorHAnsi"/>
          <w:sz w:val="20"/>
          <w:shd w:val="clear" w:color="auto" w:fill="FFFFFF"/>
        </w:rPr>
        <w:t>Spiera</w:t>
      </w:r>
      <w:proofErr w:type="spellEnd"/>
      <w:r w:rsidRPr="001B18F1">
        <w:rPr>
          <w:rFonts w:asciiTheme="majorHAnsi" w:hAnsiTheme="majorHAnsi"/>
          <w:sz w:val="20"/>
          <w:shd w:val="clear" w:color="auto" w:fill="FFFFFF"/>
        </w:rPr>
        <w:t xml:space="preserve"> R, et al. Rituximab versus cyclophosphamide for ANCA-associated vasculitis</w:t>
      </w:r>
      <w:r>
        <w:rPr>
          <w:rFonts w:asciiTheme="majorHAnsi" w:hAnsiTheme="majorHAnsi"/>
          <w:sz w:val="20"/>
          <w:shd w:val="clear" w:color="auto" w:fill="FFFFFF"/>
        </w:rPr>
        <w:t xml:space="preserve">. </w:t>
      </w:r>
      <w:r w:rsidRPr="00F22093">
        <w:rPr>
          <w:rFonts w:asciiTheme="majorHAnsi" w:hAnsiTheme="majorHAnsi"/>
          <w:i/>
          <w:sz w:val="20"/>
          <w:shd w:val="clear" w:color="auto" w:fill="FFFFFF"/>
        </w:rPr>
        <w:t xml:space="preserve">N </w:t>
      </w:r>
      <w:proofErr w:type="spellStart"/>
      <w:r w:rsidRPr="00F22093">
        <w:rPr>
          <w:rFonts w:asciiTheme="majorHAnsi" w:hAnsiTheme="majorHAnsi"/>
          <w:i/>
          <w:sz w:val="20"/>
          <w:shd w:val="clear" w:color="auto" w:fill="FFFFFF"/>
        </w:rPr>
        <w:t>Eng</w:t>
      </w:r>
      <w:proofErr w:type="spellEnd"/>
      <w:r w:rsidRPr="00F22093">
        <w:rPr>
          <w:rFonts w:asciiTheme="majorHAnsi" w:hAnsiTheme="majorHAnsi"/>
          <w:i/>
          <w:sz w:val="20"/>
          <w:shd w:val="clear" w:color="auto" w:fill="FFFFFF"/>
        </w:rPr>
        <w:t xml:space="preserve"> J Med</w:t>
      </w:r>
      <w:r>
        <w:rPr>
          <w:rFonts w:asciiTheme="majorHAnsi" w:hAnsiTheme="majorHAnsi"/>
          <w:sz w:val="20"/>
          <w:shd w:val="clear" w:color="auto" w:fill="FFFFFF"/>
        </w:rPr>
        <w:t xml:space="preserve"> </w:t>
      </w:r>
      <w:r w:rsidR="008F6236" w:rsidRPr="001B18F1">
        <w:rPr>
          <w:rFonts w:asciiTheme="majorHAnsi" w:hAnsiTheme="majorHAnsi"/>
          <w:sz w:val="20"/>
          <w:shd w:val="clear" w:color="auto" w:fill="FFFFFF"/>
        </w:rPr>
        <w:t>2010; 363(</w:t>
      </w:r>
      <w:r w:rsidR="001B18F1" w:rsidRPr="001B18F1">
        <w:rPr>
          <w:rFonts w:asciiTheme="majorHAnsi" w:hAnsiTheme="majorHAnsi"/>
          <w:sz w:val="20"/>
          <w:shd w:val="clear" w:color="auto" w:fill="FFFFFF"/>
        </w:rPr>
        <w:t>3</w:t>
      </w:r>
      <w:r w:rsidR="008F6236" w:rsidRPr="001B18F1">
        <w:rPr>
          <w:rFonts w:asciiTheme="majorHAnsi" w:hAnsiTheme="majorHAnsi"/>
          <w:sz w:val="20"/>
          <w:shd w:val="clear" w:color="auto" w:fill="FFFFFF"/>
        </w:rPr>
        <w:t>):221-232.</w:t>
      </w:r>
      <w:r w:rsidRPr="001B18F1">
        <w:rPr>
          <w:rFonts w:asciiTheme="majorHAnsi" w:hAnsiTheme="majorHAnsi"/>
          <w:sz w:val="20"/>
          <w:shd w:val="clear" w:color="auto" w:fill="FFFFFF"/>
        </w:rPr>
        <w:t xml:space="preserve"> </w:t>
      </w:r>
    </w:p>
    <w:p w:rsidR="00184E24" w:rsidRPr="00184E24" w:rsidRDefault="00184E24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960D8E" w:rsidRPr="00960D8E" w:rsidRDefault="00960D8E" w:rsidP="00960D8E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National Institute for Health and Care Excellence technology appraisal guidance [TA308]. Rituximab in combination with glucocorticoids for treating anti-neutrophil cytoplasmic antibody-associated vasculitis. </w:t>
      </w:r>
      <w:r w:rsidRPr="00960D8E">
        <w:rPr>
          <w:rFonts w:asciiTheme="majorHAnsi" w:hAnsiTheme="majorHAnsi"/>
          <w:sz w:val="20"/>
          <w:shd w:val="clear" w:color="auto" w:fill="FFFFFF"/>
        </w:rPr>
        <w:t>Published 26</w:t>
      </w:r>
      <w:r w:rsidRPr="00F22093">
        <w:rPr>
          <w:rFonts w:asciiTheme="majorHAnsi" w:hAnsiTheme="majorHAnsi"/>
          <w:sz w:val="20"/>
          <w:shd w:val="clear" w:color="auto" w:fill="FFFFFF"/>
          <w:vertAlign w:val="superscript"/>
        </w:rPr>
        <w:t>th</w:t>
      </w:r>
      <w:r w:rsidRPr="00960D8E">
        <w:rPr>
          <w:rFonts w:asciiTheme="majorHAnsi" w:hAnsiTheme="majorHAnsi"/>
          <w:sz w:val="20"/>
          <w:shd w:val="clear" w:color="auto" w:fill="FFFFFF"/>
        </w:rPr>
        <w:t xml:space="preserve"> Match 2014. </w:t>
      </w:r>
      <w:r w:rsidRPr="00960D8E">
        <w:rPr>
          <w:rFonts w:asciiTheme="majorHAnsi" w:hAnsiTheme="majorHAnsi"/>
          <w:sz w:val="20"/>
          <w:szCs w:val="16"/>
        </w:rPr>
        <w:t>Accessed 16</w:t>
      </w:r>
      <w:r w:rsidRPr="00960D8E">
        <w:rPr>
          <w:rFonts w:asciiTheme="majorHAnsi" w:hAnsiTheme="majorHAnsi"/>
          <w:sz w:val="20"/>
          <w:szCs w:val="16"/>
          <w:vertAlign w:val="superscript"/>
        </w:rPr>
        <w:t>th</w:t>
      </w:r>
      <w:r w:rsidRPr="00960D8E">
        <w:rPr>
          <w:rFonts w:asciiTheme="majorHAnsi" w:hAnsiTheme="majorHAnsi"/>
          <w:sz w:val="20"/>
          <w:szCs w:val="16"/>
        </w:rPr>
        <w:t xml:space="preserve"> June 2018 </w:t>
      </w:r>
      <w:r w:rsidRPr="00960D8E">
        <w:rPr>
          <w:rFonts w:asciiTheme="majorHAnsi" w:hAnsiTheme="majorHAnsi"/>
          <w:sz w:val="20"/>
          <w:shd w:val="clear" w:color="auto" w:fill="FFFFFF"/>
        </w:rPr>
        <w:t xml:space="preserve">at </w:t>
      </w:r>
      <w:hyperlink r:id="rId12" w:history="1">
        <w:r w:rsidRPr="00960D8E">
          <w:rPr>
            <w:rStyle w:val="Hyperlink"/>
            <w:rFonts w:asciiTheme="majorHAnsi" w:hAnsiTheme="majorHAnsi"/>
            <w:sz w:val="20"/>
            <w:shd w:val="clear" w:color="auto" w:fill="FFFFFF"/>
          </w:rPr>
          <w:t>https://www.nice.org.uk/guidance/ta308/chapter/1-Guidance</w:t>
        </w:r>
      </w:hyperlink>
    </w:p>
    <w:p w:rsidR="00960D8E" w:rsidRPr="00960D8E" w:rsidRDefault="00960D8E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F22093" w:rsidRDefault="0053240A" w:rsidP="00F22093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F22093">
        <w:rPr>
          <w:rFonts w:asciiTheme="majorHAnsi" w:hAnsiTheme="majorHAnsi"/>
          <w:sz w:val="20"/>
          <w:shd w:val="clear" w:color="auto" w:fill="FFFFFF"/>
        </w:rPr>
        <w:t xml:space="preserve">Baker MR, Das M, Isaacs J, Fawcett PR, Bases D. Treatment of stiff person syndrome with rituximab. J </w:t>
      </w:r>
      <w:proofErr w:type="spellStart"/>
      <w:r w:rsidRPr="00F22093">
        <w:rPr>
          <w:rFonts w:asciiTheme="majorHAnsi" w:hAnsiTheme="majorHAnsi"/>
          <w:sz w:val="20"/>
          <w:shd w:val="clear" w:color="auto" w:fill="FFFFFF"/>
        </w:rPr>
        <w:t>Neurol</w:t>
      </w:r>
      <w:proofErr w:type="spellEnd"/>
      <w:r w:rsidRPr="00F22093">
        <w:rPr>
          <w:rFonts w:asciiTheme="majorHAnsi" w:hAnsiTheme="majorHAnsi"/>
          <w:sz w:val="20"/>
          <w:shd w:val="clear" w:color="auto" w:fill="FFFFFF"/>
        </w:rPr>
        <w:t xml:space="preserve"> </w:t>
      </w:r>
      <w:proofErr w:type="spellStart"/>
      <w:r w:rsidRPr="00F22093">
        <w:rPr>
          <w:rFonts w:asciiTheme="majorHAnsi" w:hAnsiTheme="majorHAnsi"/>
          <w:sz w:val="20"/>
          <w:shd w:val="clear" w:color="auto" w:fill="FFFFFF"/>
        </w:rPr>
        <w:t>Neurosurg</w:t>
      </w:r>
      <w:proofErr w:type="spellEnd"/>
      <w:r w:rsidRPr="00F22093">
        <w:rPr>
          <w:rFonts w:asciiTheme="majorHAnsi" w:hAnsiTheme="majorHAnsi"/>
          <w:sz w:val="20"/>
          <w:shd w:val="clear" w:color="auto" w:fill="FFFFFF"/>
        </w:rPr>
        <w:t xml:space="preserve"> Psychiatry 2005</w:t>
      </w:r>
      <w:proofErr w:type="gramStart"/>
      <w:r w:rsidRPr="00F22093">
        <w:rPr>
          <w:rFonts w:asciiTheme="majorHAnsi" w:hAnsiTheme="majorHAnsi"/>
          <w:sz w:val="20"/>
          <w:shd w:val="clear" w:color="auto" w:fill="FFFFFF"/>
        </w:rPr>
        <w:t>;76</w:t>
      </w:r>
      <w:proofErr w:type="gramEnd"/>
      <w:r w:rsidRPr="00F22093">
        <w:rPr>
          <w:rFonts w:asciiTheme="majorHAnsi" w:hAnsiTheme="majorHAnsi"/>
          <w:sz w:val="20"/>
          <w:shd w:val="clear" w:color="auto" w:fill="FFFFFF"/>
        </w:rPr>
        <w:t>(7):999-1001.</w:t>
      </w:r>
    </w:p>
    <w:p w:rsidR="0053240A" w:rsidRPr="00960D8E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960D8E">
        <w:rPr>
          <w:rFonts w:asciiTheme="majorHAnsi" w:hAnsiTheme="majorHAnsi"/>
          <w:sz w:val="20"/>
          <w:shd w:val="clear" w:color="auto" w:fill="FFFFFF"/>
        </w:rPr>
        <w:t>Dupond</w:t>
      </w:r>
      <w:proofErr w:type="spellEnd"/>
      <w:r w:rsidRPr="00960D8E">
        <w:rPr>
          <w:rFonts w:asciiTheme="majorHAnsi" w:hAnsiTheme="majorHAnsi"/>
          <w:sz w:val="20"/>
          <w:shd w:val="clear" w:color="auto" w:fill="FFFFFF"/>
        </w:rPr>
        <w:t xml:space="preserve"> JL, </w:t>
      </w:r>
      <w:proofErr w:type="spellStart"/>
      <w:r w:rsidRPr="00960D8E">
        <w:rPr>
          <w:rFonts w:asciiTheme="majorHAnsi" w:hAnsiTheme="majorHAnsi"/>
          <w:sz w:val="20"/>
          <w:shd w:val="clear" w:color="auto" w:fill="FFFFFF"/>
        </w:rPr>
        <w:t>Essalmi</w:t>
      </w:r>
      <w:proofErr w:type="spellEnd"/>
      <w:r w:rsidRPr="00960D8E">
        <w:rPr>
          <w:rFonts w:asciiTheme="majorHAnsi" w:hAnsiTheme="majorHAnsi"/>
          <w:sz w:val="20"/>
          <w:shd w:val="clear" w:color="auto" w:fill="FFFFFF"/>
        </w:rPr>
        <w:t xml:space="preserve"> L, Gil H, </w:t>
      </w:r>
      <w:proofErr w:type="spellStart"/>
      <w:r w:rsidRPr="00960D8E">
        <w:rPr>
          <w:rFonts w:asciiTheme="majorHAnsi" w:hAnsiTheme="majorHAnsi"/>
          <w:sz w:val="20"/>
          <w:shd w:val="clear" w:color="auto" w:fill="FFFFFF"/>
        </w:rPr>
        <w:t>Meaux-Ruault</w:t>
      </w:r>
      <w:proofErr w:type="spellEnd"/>
      <w:r w:rsidRPr="00960D8E">
        <w:rPr>
          <w:rFonts w:asciiTheme="majorHAnsi" w:hAnsiTheme="majorHAnsi"/>
          <w:sz w:val="20"/>
          <w:shd w:val="clear" w:color="auto" w:fill="FFFFFF"/>
        </w:rPr>
        <w:t xml:space="preserve"> N, </w:t>
      </w:r>
      <w:proofErr w:type="spellStart"/>
      <w:r w:rsidRPr="00960D8E">
        <w:rPr>
          <w:rFonts w:asciiTheme="majorHAnsi" w:hAnsiTheme="majorHAnsi"/>
          <w:sz w:val="20"/>
          <w:shd w:val="clear" w:color="auto" w:fill="FFFFFF"/>
        </w:rPr>
        <w:t>Hafsaoui</w:t>
      </w:r>
      <w:proofErr w:type="spellEnd"/>
      <w:r w:rsidRPr="00960D8E">
        <w:rPr>
          <w:rFonts w:asciiTheme="majorHAnsi" w:hAnsiTheme="majorHAnsi"/>
          <w:sz w:val="20"/>
          <w:shd w:val="clear" w:color="auto" w:fill="FFFFFF"/>
        </w:rPr>
        <w:t xml:space="preserve"> C. Rituximab treatment of stiff-person syndrome in a patient with</w:t>
      </w:r>
      <w:r w:rsidRPr="00AC0B8A">
        <w:rPr>
          <w:rFonts w:asciiTheme="majorHAnsi" w:hAnsiTheme="majorHAnsi"/>
          <w:sz w:val="20"/>
          <w:shd w:val="clear" w:color="auto" w:fill="FFFFFF"/>
        </w:rPr>
        <w:t xml:space="preserve"> </w:t>
      </w:r>
      <w:proofErr w:type="spellStart"/>
      <w:r w:rsidRPr="00AC0B8A">
        <w:rPr>
          <w:rFonts w:asciiTheme="majorHAnsi" w:hAnsiTheme="majorHAnsi"/>
          <w:sz w:val="20"/>
          <w:shd w:val="clear" w:color="auto" w:fill="FFFFFF"/>
        </w:rPr>
        <w:t>thymoma</w:t>
      </w:r>
      <w:proofErr w:type="spellEnd"/>
      <w:r w:rsidRPr="00AC0B8A">
        <w:rPr>
          <w:rFonts w:asciiTheme="majorHAnsi" w:hAnsiTheme="majorHAnsi"/>
          <w:sz w:val="20"/>
          <w:shd w:val="clear" w:color="auto" w:fill="FFFFFF"/>
        </w:rPr>
        <w:t>, diabetes mellitus and autoimmune thyroiditis.</w:t>
      </w:r>
      <w:r>
        <w:rPr>
          <w:rFonts w:asciiTheme="majorHAnsi" w:hAnsiTheme="majorHAnsi"/>
          <w:sz w:val="20"/>
          <w:shd w:val="clear" w:color="auto" w:fill="FFFFFF"/>
        </w:rPr>
        <w:t xml:space="preserve"> J 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Clin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Neurosci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2010</w:t>
      </w:r>
      <w:proofErr w:type="gramStart"/>
      <w:r>
        <w:rPr>
          <w:rFonts w:asciiTheme="majorHAnsi" w:hAnsiTheme="majorHAnsi"/>
          <w:sz w:val="20"/>
          <w:shd w:val="clear" w:color="auto" w:fill="FFFFFF"/>
        </w:rPr>
        <w:t>;17</w:t>
      </w:r>
      <w:proofErr w:type="gramEnd"/>
      <w:r>
        <w:rPr>
          <w:rFonts w:asciiTheme="majorHAnsi" w:hAnsiTheme="majorHAnsi"/>
          <w:sz w:val="20"/>
          <w:shd w:val="clear" w:color="auto" w:fill="FFFFFF"/>
        </w:rPr>
        <w:t>(3):389-391.</w:t>
      </w:r>
    </w:p>
    <w:p w:rsidR="0053240A" w:rsidRPr="00AC0B8A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E720C7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>
        <w:rPr>
          <w:rFonts w:asciiTheme="majorHAnsi" w:hAnsiTheme="majorHAnsi"/>
          <w:sz w:val="20"/>
          <w:shd w:val="clear" w:color="auto" w:fill="FFFFFF"/>
        </w:rPr>
        <w:t>Katoh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N, Matsuda M, Ishii W, Morita H, Ikeda S. </w:t>
      </w:r>
      <w:r w:rsidRPr="00AC0B8A">
        <w:rPr>
          <w:rFonts w:asciiTheme="majorHAnsi" w:hAnsiTheme="majorHAnsi"/>
          <w:sz w:val="20"/>
          <w:shd w:val="clear" w:color="auto" w:fill="FFFFFF"/>
        </w:rPr>
        <w:t xml:space="preserve">Successful treatment with rituximab in a patient with stiff-person syndrome complicated by </w:t>
      </w:r>
      <w:proofErr w:type="spellStart"/>
      <w:r w:rsidRPr="00AC0B8A">
        <w:rPr>
          <w:rFonts w:asciiTheme="majorHAnsi" w:hAnsiTheme="majorHAnsi"/>
          <w:sz w:val="20"/>
          <w:shd w:val="clear" w:color="auto" w:fill="FFFFFF"/>
        </w:rPr>
        <w:t>dysthyroid</w:t>
      </w:r>
      <w:proofErr w:type="spellEnd"/>
      <w:r w:rsidRPr="00AC0B8A">
        <w:rPr>
          <w:rFonts w:asciiTheme="majorHAnsi" w:hAnsiTheme="majorHAnsi"/>
          <w:sz w:val="20"/>
          <w:shd w:val="clear" w:color="auto" w:fill="FFFFFF"/>
        </w:rPr>
        <w:t xml:space="preserve"> </w:t>
      </w:r>
      <w:proofErr w:type="spellStart"/>
      <w:r w:rsidRPr="00AC0B8A">
        <w:rPr>
          <w:rFonts w:asciiTheme="majorHAnsi" w:hAnsiTheme="majorHAnsi"/>
          <w:sz w:val="20"/>
          <w:shd w:val="clear" w:color="auto" w:fill="FFFFFF"/>
        </w:rPr>
        <w:t>ophthalmopathy</w:t>
      </w:r>
      <w:proofErr w:type="spellEnd"/>
      <w:r w:rsidRPr="00AC0B8A">
        <w:rPr>
          <w:rFonts w:asciiTheme="majorHAnsi" w:hAnsiTheme="majorHAnsi"/>
          <w:sz w:val="20"/>
          <w:shd w:val="clear" w:color="auto" w:fill="FFFFFF"/>
        </w:rPr>
        <w:t>.</w:t>
      </w:r>
      <w:r>
        <w:rPr>
          <w:rFonts w:asciiTheme="majorHAnsi" w:hAnsiTheme="majorHAnsi"/>
          <w:sz w:val="20"/>
          <w:shd w:val="clear" w:color="auto" w:fill="FFFFFF"/>
        </w:rPr>
        <w:t xml:space="preserve"> Intern Med 2010</w:t>
      </w:r>
      <w:proofErr w:type="gramStart"/>
      <w:r>
        <w:rPr>
          <w:rFonts w:asciiTheme="majorHAnsi" w:hAnsiTheme="majorHAnsi"/>
          <w:sz w:val="20"/>
          <w:shd w:val="clear" w:color="auto" w:fill="FFFFFF"/>
        </w:rPr>
        <w:t>;49</w:t>
      </w:r>
      <w:proofErr w:type="gramEnd"/>
      <w:r>
        <w:rPr>
          <w:rFonts w:asciiTheme="majorHAnsi" w:hAnsiTheme="majorHAnsi"/>
          <w:sz w:val="20"/>
          <w:shd w:val="clear" w:color="auto" w:fill="FFFFFF"/>
        </w:rPr>
        <w:t>(3):237-241.</w:t>
      </w:r>
    </w:p>
    <w:p w:rsidR="0053240A" w:rsidRPr="00E720C7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Pr="00AC0B8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Dalakas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MC, Rakocevic G,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Dambrosia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JM, et al. A double-blind, placebo-controlled study of rituximab in patients with stiff person syndrome.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Ann </w:t>
      </w:r>
      <w:proofErr w:type="spellStart"/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2017</w:t>
      </w:r>
      <w:proofErr w:type="gram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;82</w:t>
      </w:r>
      <w:proofErr w:type="gram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(2):271-277.</w:t>
      </w:r>
    </w:p>
    <w:p w:rsidR="0053240A" w:rsidRPr="00BE3613" w:rsidRDefault="0053240A" w:rsidP="0053240A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Clinical commissioning policy: Rituximab for chronic inflammatory demyelinating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polyradiculoneuropathy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(CIDP), multifocal motor neuropathy (MMN), vasculitis of the peripheral nervous system &amp; IgM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paraprotein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- associated demyelinating neuropathy (adults). NHS England. Published 15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  <w:vertAlign w:val="superscript"/>
        </w:rPr>
        <w:t>th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December 2017.  Available at </w:t>
      </w:r>
      <w:hyperlink r:id="rId13" w:history="1">
        <w:r w:rsidRPr="00D14DB1">
          <w:rPr>
            <w:rStyle w:val="Hyperlink"/>
            <w:rFonts w:asciiTheme="majorHAnsi" w:hAnsiTheme="majorHAnsi" w:cs="Arial"/>
            <w:sz w:val="20"/>
            <w:szCs w:val="20"/>
            <w:shd w:val="clear" w:color="auto" w:fill="FFFFFF"/>
          </w:rPr>
          <w:t>https://www.england.nhs.uk/publication/commissioning-policy-rituximab-for-chronic-inflammatory-demyelinating-polyradiculoneuropathy-cidp-multifocal-motor-neuropathy-mmn-vasculitis-of-the-peripheral-nervous-system-igm-paraprotein-a/</w:t>
        </w:r>
      </w:hyperlink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D14DB1">
        <w:rPr>
          <w:rFonts w:asciiTheme="majorHAnsi" w:hAnsiTheme="majorHAnsi"/>
          <w:sz w:val="20"/>
          <w:szCs w:val="20"/>
        </w:rPr>
        <w:t xml:space="preserve">Mahdi-Rogers M, van </w:t>
      </w:r>
      <w:proofErr w:type="spellStart"/>
      <w:r w:rsidRPr="00D14DB1">
        <w:rPr>
          <w:rFonts w:asciiTheme="majorHAnsi" w:hAnsiTheme="majorHAnsi"/>
          <w:sz w:val="20"/>
          <w:szCs w:val="20"/>
        </w:rPr>
        <w:t>Doorn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PA, Hughes RA. Immunomodulatory treatment other than corticosteroids, immunoglobulin and plasma exchange for chronic inflammatory demyelinating </w:t>
      </w:r>
      <w:proofErr w:type="spellStart"/>
      <w:r w:rsidRPr="00D14DB1">
        <w:rPr>
          <w:rFonts w:asciiTheme="majorHAnsi" w:hAnsiTheme="majorHAnsi"/>
          <w:sz w:val="20"/>
          <w:szCs w:val="20"/>
        </w:rPr>
        <w:t>polyradiculoneuropathy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. Cochrane Database </w:t>
      </w:r>
      <w:proofErr w:type="spellStart"/>
      <w:r w:rsidRPr="00D14DB1">
        <w:rPr>
          <w:rFonts w:asciiTheme="majorHAnsi" w:hAnsiTheme="majorHAnsi"/>
          <w:sz w:val="20"/>
          <w:szCs w:val="20"/>
        </w:rPr>
        <w:t>Syst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Rev 2013;(6):</w:t>
      </w:r>
      <w:r w:rsidRPr="00D14DB1">
        <w:rPr>
          <w:sz w:val="20"/>
          <w:szCs w:val="20"/>
        </w:rPr>
        <w:t xml:space="preserve"> </w:t>
      </w:r>
      <w:r w:rsidRPr="00D14DB1">
        <w:rPr>
          <w:rFonts w:asciiTheme="majorHAnsi" w:hAnsiTheme="majorHAnsi"/>
          <w:sz w:val="20"/>
          <w:szCs w:val="20"/>
        </w:rPr>
        <w:t xml:space="preserve">CD003280. </w:t>
      </w:r>
    </w:p>
    <w:p w:rsidR="0053240A" w:rsidRPr="00D14DB1" w:rsidRDefault="0053240A" w:rsidP="0053240A">
      <w:pPr>
        <w:rPr>
          <w:rFonts w:asciiTheme="majorHAnsi" w:hAnsiTheme="majorHAnsi"/>
          <w:sz w:val="20"/>
          <w:szCs w:val="20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Benedetti L,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Briani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Franciotta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D, et al. Rituximab in patients with chronic inflammatory demyelinating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polyradiculoneuropathy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a report of 13 cases and review of the literature.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Neurosurg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Psychiatry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2011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;82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(3):306/308.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1A23AE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Cocito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Grimaldi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S,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Paolosso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I, et al. Immunosuppressive treatment in refractory chronic inflammatory demyelinating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polyradiculoneuropathy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A nationwide retrospective analysis.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Eur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J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2011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;18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(12):1417-1421. </w:t>
      </w:r>
    </w:p>
    <w:p w:rsidR="0053240A" w:rsidRPr="001A23AE" w:rsidRDefault="0053240A" w:rsidP="0053240A">
      <w:pPr>
        <w:pStyle w:val="ListParagrap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53240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Querol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L, Rojas-Garcia R, Diaz-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Manera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, et al. </w:t>
      </w:r>
      <w:r w:rsidRPr="001A23AE">
        <w:rPr>
          <w:rFonts w:asciiTheme="majorHAnsi" w:hAnsiTheme="majorHAnsi"/>
          <w:sz w:val="20"/>
          <w:szCs w:val="20"/>
          <w:shd w:val="clear" w:color="auto" w:fill="FFFFFF"/>
        </w:rPr>
        <w:t xml:space="preserve">Rituximab in treatment-resistant CIDP with antibodies against </w:t>
      </w:r>
      <w:proofErr w:type="spellStart"/>
      <w:r w:rsidRPr="001A23AE">
        <w:rPr>
          <w:rFonts w:asciiTheme="majorHAnsi" w:hAnsiTheme="majorHAnsi"/>
          <w:sz w:val="20"/>
          <w:szCs w:val="20"/>
          <w:shd w:val="clear" w:color="auto" w:fill="FFFFFF"/>
        </w:rPr>
        <w:t>paranodal</w:t>
      </w:r>
      <w:proofErr w:type="spellEnd"/>
      <w:r w:rsidRPr="001A23AE">
        <w:rPr>
          <w:rFonts w:asciiTheme="majorHAnsi" w:hAnsiTheme="majorHAnsi"/>
          <w:sz w:val="20"/>
          <w:szCs w:val="20"/>
          <w:shd w:val="clear" w:color="auto" w:fill="FFFFFF"/>
        </w:rPr>
        <w:t xml:space="preserve"> proteins</w:t>
      </w: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Neurol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Neuroimmunol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Neuroinflamm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2015</w:t>
      </w:r>
      <w:proofErr w:type="gramStart"/>
      <w:r>
        <w:rPr>
          <w:rFonts w:asciiTheme="majorHAnsi" w:hAnsiTheme="majorHAnsi"/>
          <w:sz w:val="20"/>
          <w:szCs w:val="20"/>
          <w:shd w:val="clear" w:color="auto" w:fill="FFFFFF"/>
        </w:rPr>
        <w:t>;2</w:t>
      </w:r>
      <w:proofErr w:type="gramEnd"/>
      <w:r>
        <w:rPr>
          <w:rFonts w:asciiTheme="majorHAnsi" w:hAnsiTheme="majorHAnsi"/>
          <w:sz w:val="20"/>
          <w:szCs w:val="20"/>
          <w:shd w:val="clear" w:color="auto" w:fill="FFFFFF"/>
        </w:rPr>
        <w:t>(5):e149.</w:t>
      </w:r>
    </w:p>
    <w:p w:rsidR="0053240A" w:rsidRPr="001A23AE" w:rsidRDefault="0053240A" w:rsidP="0053240A">
      <w:pPr>
        <w:pStyle w:val="ListParagraph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Delmont E,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Manso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C, </w:t>
      </w:r>
      <w:proofErr w:type="spellStart"/>
      <w:r>
        <w:rPr>
          <w:rFonts w:asciiTheme="majorHAnsi" w:hAnsiTheme="majorHAnsi"/>
          <w:sz w:val="20"/>
          <w:szCs w:val="20"/>
          <w:shd w:val="clear" w:color="auto" w:fill="FFFFFF"/>
        </w:rPr>
        <w:t>Querol</w:t>
      </w:r>
      <w:proofErr w:type="spellEnd"/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L, et al. </w:t>
      </w:r>
      <w:r w:rsidRPr="001A23AE">
        <w:rPr>
          <w:rFonts w:asciiTheme="majorHAnsi" w:hAnsiTheme="majorHAnsi"/>
          <w:sz w:val="20"/>
          <w:szCs w:val="20"/>
          <w:shd w:val="clear" w:color="auto" w:fill="FFFFFF"/>
        </w:rPr>
        <w:t xml:space="preserve">Autoantibodies to nodal isoforms of </w:t>
      </w:r>
      <w:proofErr w:type="spellStart"/>
      <w:r w:rsidRPr="001A23AE">
        <w:rPr>
          <w:rFonts w:asciiTheme="majorHAnsi" w:hAnsiTheme="majorHAnsi"/>
          <w:sz w:val="20"/>
          <w:szCs w:val="20"/>
          <w:shd w:val="clear" w:color="auto" w:fill="FFFFFF"/>
        </w:rPr>
        <w:t>neurofascin</w:t>
      </w:r>
      <w:proofErr w:type="spellEnd"/>
      <w:r w:rsidRPr="001A23AE">
        <w:rPr>
          <w:rFonts w:asciiTheme="majorHAnsi" w:hAnsiTheme="majorHAnsi"/>
          <w:sz w:val="20"/>
          <w:szCs w:val="20"/>
          <w:shd w:val="clear" w:color="auto" w:fill="FFFFFF"/>
        </w:rPr>
        <w:t xml:space="preserve"> in chronic inflammatory demyelinating polyneuropathy.</w:t>
      </w:r>
      <w:r>
        <w:rPr>
          <w:rFonts w:asciiTheme="majorHAnsi" w:hAnsiTheme="majorHAnsi"/>
          <w:sz w:val="20"/>
          <w:szCs w:val="20"/>
          <w:shd w:val="clear" w:color="auto" w:fill="FFFFFF"/>
        </w:rPr>
        <w:t xml:space="preserve"> Brain 2017</w:t>
      </w:r>
      <w:proofErr w:type="gramStart"/>
      <w:r>
        <w:rPr>
          <w:rFonts w:asciiTheme="majorHAnsi" w:hAnsiTheme="majorHAnsi"/>
          <w:sz w:val="20"/>
          <w:szCs w:val="20"/>
          <w:shd w:val="clear" w:color="auto" w:fill="FFFFFF"/>
        </w:rPr>
        <w:t>;140</w:t>
      </w:r>
      <w:proofErr w:type="gramEnd"/>
      <w:r>
        <w:rPr>
          <w:rFonts w:asciiTheme="majorHAnsi" w:hAnsiTheme="majorHAnsi"/>
          <w:sz w:val="20"/>
          <w:szCs w:val="20"/>
          <w:shd w:val="clear" w:color="auto" w:fill="FFFFFF"/>
        </w:rPr>
        <w:t>(7):1851-1858.</w:t>
      </w:r>
    </w:p>
    <w:p w:rsidR="0053240A" w:rsidRPr="00D14DB1" w:rsidRDefault="0053240A" w:rsidP="0053240A">
      <w:pPr>
        <w:rPr>
          <w:rFonts w:asciiTheme="majorHAnsi" w:hAnsiTheme="majorHAnsi"/>
          <w:sz w:val="20"/>
          <w:szCs w:val="20"/>
        </w:rPr>
      </w:pPr>
    </w:p>
    <w:p w:rsidR="0053240A" w:rsidRPr="00355EDA" w:rsidRDefault="0053240A" w:rsidP="00355ED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Levine TD,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Pestronk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A. IgM antibody-related polyneuropathies: B-cell depletion chemotherapy using Rituximab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. Neurology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1999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;52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(8):1701-1704.</w:t>
      </w:r>
    </w:p>
    <w:p w:rsidR="0053240A" w:rsidRPr="00D14DB1" w:rsidRDefault="0053240A" w:rsidP="0053240A">
      <w:pPr>
        <w:pStyle w:val="ListParagraph"/>
        <w:rPr>
          <w:rFonts w:asciiTheme="majorHAnsi" w:hAnsiTheme="majorHAnsi"/>
          <w:sz w:val="20"/>
          <w:szCs w:val="20"/>
        </w:rPr>
      </w:pPr>
    </w:p>
    <w:p w:rsidR="0053240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spellStart"/>
      <w:r w:rsidRPr="00D14DB1">
        <w:rPr>
          <w:rFonts w:asciiTheme="majorHAnsi" w:hAnsiTheme="majorHAnsi"/>
          <w:sz w:val="20"/>
          <w:szCs w:val="20"/>
        </w:rPr>
        <w:t>Stieglbauer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K, </w:t>
      </w:r>
      <w:proofErr w:type="spellStart"/>
      <w:r w:rsidRPr="00D14DB1">
        <w:rPr>
          <w:rFonts w:asciiTheme="majorHAnsi" w:hAnsiTheme="majorHAnsi"/>
          <w:sz w:val="20"/>
          <w:szCs w:val="20"/>
        </w:rPr>
        <w:t>Topakian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R, </w:t>
      </w:r>
      <w:proofErr w:type="spellStart"/>
      <w:r w:rsidRPr="00D14DB1">
        <w:rPr>
          <w:rFonts w:asciiTheme="majorHAnsi" w:hAnsiTheme="majorHAnsi"/>
          <w:sz w:val="20"/>
          <w:szCs w:val="20"/>
        </w:rPr>
        <w:t>Hinterberger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G, </w:t>
      </w:r>
      <w:proofErr w:type="spellStart"/>
      <w:r w:rsidRPr="00D14DB1">
        <w:rPr>
          <w:rFonts w:asciiTheme="majorHAnsi" w:hAnsiTheme="majorHAnsi"/>
          <w:sz w:val="20"/>
          <w:szCs w:val="20"/>
        </w:rPr>
        <w:t>Aichner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FT. Beneficial effect of rituximab monotherapy in multifocal motor neuropathy. </w:t>
      </w:r>
      <w:proofErr w:type="spellStart"/>
      <w:r w:rsidRPr="00D14DB1">
        <w:rPr>
          <w:rFonts w:asciiTheme="majorHAnsi" w:hAnsiTheme="majorHAnsi"/>
          <w:sz w:val="20"/>
          <w:szCs w:val="20"/>
        </w:rPr>
        <w:t>Neuromuscul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14DB1">
        <w:rPr>
          <w:rFonts w:asciiTheme="majorHAnsi" w:hAnsiTheme="majorHAnsi"/>
          <w:sz w:val="20"/>
          <w:szCs w:val="20"/>
        </w:rPr>
        <w:t>Disord</w:t>
      </w:r>
      <w:proofErr w:type="spellEnd"/>
      <w:r w:rsidRPr="00D14DB1">
        <w:rPr>
          <w:rFonts w:asciiTheme="majorHAnsi" w:hAnsiTheme="majorHAnsi"/>
          <w:sz w:val="20"/>
          <w:szCs w:val="20"/>
        </w:rPr>
        <w:t xml:space="preserve"> 2009</w:t>
      </w:r>
      <w:proofErr w:type="gramStart"/>
      <w:r w:rsidRPr="00D14DB1">
        <w:rPr>
          <w:rFonts w:asciiTheme="majorHAnsi" w:hAnsiTheme="majorHAnsi"/>
          <w:sz w:val="20"/>
          <w:szCs w:val="20"/>
        </w:rPr>
        <w:t>;19</w:t>
      </w:r>
      <w:proofErr w:type="gramEnd"/>
      <w:r w:rsidRPr="00D14DB1">
        <w:rPr>
          <w:rFonts w:asciiTheme="majorHAnsi" w:hAnsiTheme="majorHAnsi"/>
          <w:sz w:val="20"/>
          <w:szCs w:val="20"/>
        </w:rPr>
        <w:t>(7):473-475.</w:t>
      </w:r>
    </w:p>
    <w:p w:rsidR="00355EDA" w:rsidRPr="00355EDA" w:rsidRDefault="00355EDA" w:rsidP="00355EDA">
      <w:pPr>
        <w:rPr>
          <w:rFonts w:asciiTheme="majorHAnsi" w:hAnsiTheme="majorHAnsi"/>
          <w:sz w:val="20"/>
          <w:szCs w:val="20"/>
        </w:rPr>
      </w:pPr>
    </w:p>
    <w:p w:rsidR="00355EDA" w:rsidRPr="00D14DB1" w:rsidRDefault="00355EDA" w:rsidP="00355ED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Chaudhry V,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Cornblath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DR. An open-label trial of rituximab (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Rituxan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®) in multifocal motor neuropathy.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Periph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Nerv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Syst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2010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;15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(3):196-201.</w:t>
      </w:r>
    </w:p>
    <w:p w:rsidR="0053240A" w:rsidRPr="00D14DB1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Gorson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KC, Natarajan N,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Ropper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AH, et al. Rituximab treatment in patients with IVIg-dependent immune polyneuropathy: A prospective pilot trial.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Muscle Nerve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2007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;35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(1):66–69.</w:t>
      </w:r>
    </w:p>
    <w:p w:rsidR="0053240A" w:rsidRPr="00D14DB1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Collins MP,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Dyck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PJB,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Gronseth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GS, et al. Peripheral Nerve Society Guideline on the classification</w:t>
      </w:r>
      <w:r w:rsidRPr="00D14DB1">
        <w:rPr>
          <w:sz w:val="20"/>
          <w:szCs w:val="20"/>
        </w:rPr>
        <w:t xml:space="preserve"> 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diagnosis, investigation, and immunosuppressive therapy of non‐systemic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vasculitic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neuropathy: executive summary. </w:t>
      </w:r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>Peripher</w:t>
      </w:r>
      <w:proofErr w:type="spellEnd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>Nerv</w:t>
      </w:r>
      <w:proofErr w:type="spellEnd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>Syst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2010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;15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(3):176-184.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Blaes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F. Diagnosis and therapeutic options for peripheral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vasculitic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neuropathy. </w:t>
      </w:r>
      <w:proofErr w:type="spellStart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>Ther</w:t>
      </w:r>
      <w:proofErr w:type="spellEnd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>Adv</w:t>
      </w:r>
      <w:proofErr w:type="spellEnd"/>
      <w:r w:rsidRPr="00F22093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Musculoskeletal Dis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ED1CB2">
        <w:rPr>
          <w:rFonts w:asciiTheme="majorHAnsi" w:hAnsiTheme="majorHAnsi" w:cs="Arial"/>
          <w:sz w:val="20"/>
          <w:szCs w:val="20"/>
          <w:shd w:val="clear" w:color="auto" w:fill="FFFFFF"/>
        </w:rPr>
        <w:t>2</w:t>
      </w:r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>015</w:t>
      </w:r>
      <w:proofErr w:type="gramStart"/>
      <w:r w:rsidR="001B18F1">
        <w:rPr>
          <w:rFonts w:asciiTheme="majorHAnsi" w:hAnsiTheme="majorHAnsi" w:cs="Arial"/>
          <w:sz w:val="20"/>
          <w:szCs w:val="20"/>
          <w:shd w:val="clear" w:color="auto" w:fill="FFFFFF"/>
        </w:rPr>
        <w:t>;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7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(2):45-55.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Dalakas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MC, Rakocevic G,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Salajegheh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M, et al. Placebo-controlled trial of rituximab in IgM anti-myelin-associated glycoprotein antibody demyelinating neuropathy.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Ann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2009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;65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(3):286-293.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Leger JM,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Viala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K, Nicolas G, et al. Placebo-controlled trial of rituximab in IgM anti-myelin–associated glycoprotein neuropathy. Neurology 2013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;80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(24):2217-2225.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Renaud S, Gregor M,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Fuhr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P, et al. Rituximab in the treatment of polyneuropathy associated with anti-MAG antibodies.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Muscle Nerve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2003;27(5):611–615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Benedetti L,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Briani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Grandis M, et al. Predictors of response to rituximab in patients with neuropathy and anti-myelin associated glycoprotein immunoglobulin M.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Peripher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Nerv</w:t>
      </w:r>
      <w:proofErr w:type="spellEnd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Syst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2007;12(2):102–107.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D14DB1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  <w:shd w:val="clear" w:color="auto" w:fill="FFFFFF"/>
        </w:rPr>
      </w:pP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Benedetti L,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Briani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Franciota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D, et al. Long term effect of rituximab in anti-MAG polyneuropathy. </w:t>
      </w:r>
      <w:r w:rsidRPr="00D14DB1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Neurology</w:t>
      </w:r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2008</w:t>
      </w:r>
      <w:proofErr w:type="gram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;71</w:t>
      </w:r>
      <w:proofErr w:type="gram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(21):1742–1744.</w:t>
      </w:r>
    </w:p>
    <w:p w:rsidR="0053240A" w:rsidRPr="00D14DB1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0"/>
          <w:szCs w:val="20"/>
          <w:shd w:val="clear" w:color="auto" w:fill="FFFFFF"/>
        </w:rPr>
      </w:pP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Niermeijer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JMF,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Eurelings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M, </w:t>
      </w:r>
      <w:proofErr w:type="spellStart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>Lokhorst</w:t>
      </w:r>
      <w:proofErr w:type="spellEnd"/>
      <w:r w:rsidRPr="00D14DB1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HL, et al. Rituximab for polyneuropathy</w:t>
      </w:r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with IgM monoclonal </w:t>
      </w:r>
      <w:proofErr w:type="spellStart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>gammopathy</w:t>
      </w:r>
      <w:proofErr w:type="spellEnd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J </w:t>
      </w:r>
      <w:proofErr w:type="spellStart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>Neurol</w:t>
      </w:r>
      <w:proofErr w:type="spellEnd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>Neurosurg</w:t>
      </w:r>
      <w:proofErr w:type="spellEnd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Psychiatry 2009</w:t>
      </w:r>
      <w:proofErr w:type="gramStart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>;80</w:t>
      </w:r>
      <w:proofErr w:type="gramEnd"/>
      <w:r w:rsidRPr="00883A18">
        <w:rPr>
          <w:rFonts w:asciiTheme="majorHAnsi" w:hAnsiTheme="majorHAnsi" w:cs="Arial"/>
          <w:sz w:val="20"/>
          <w:szCs w:val="20"/>
          <w:shd w:val="clear" w:color="auto" w:fill="FFFFFF"/>
        </w:rPr>
        <w:t>(9):1036-1039.</w:t>
      </w:r>
    </w:p>
    <w:p w:rsidR="0053240A" w:rsidRPr="0034475B" w:rsidRDefault="0053240A" w:rsidP="0053240A">
      <w:pPr>
        <w:pStyle w:val="ListParagraph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891BBD" w:rsidRDefault="00891BBD" w:rsidP="00891BBD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 xml:space="preserve">Sanders DB, Wolfe GI, 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Benatar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M, et al. International consensus guidance for management of myasthenia gravis. Neurology 2016</w:t>
      </w:r>
      <w:proofErr w:type="gramStart"/>
      <w:r>
        <w:rPr>
          <w:rFonts w:asciiTheme="majorHAnsi" w:hAnsiTheme="majorHAnsi"/>
          <w:sz w:val="20"/>
          <w:shd w:val="clear" w:color="auto" w:fill="FFFFFF"/>
        </w:rPr>
        <w:t>;87</w:t>
      </w:r>
      <w:proofErr w:type="gramEnd"/>
      <w:r>
        <w:rPr>
          <w:rFonts w:asciiTheme="majorHAnsi" w:hAnsiTheme="majorHAnsi"/>
          <w:sz w:val="20"/>
          <w:shd w:val="clear" w:color="auto" w:fill="FFFFFF"/>
        </w:rPr>
        <w:t>(4):419-425.</w:t>
      </w:r>
    </w:p>
    <w:p w:rsidR="00891BBD" w:rsidRPr="00F22093" w:rsidRDefault="00891BBD" w:rsidP="00F22093">
      <w:pPr>
        <w:rPr>
          <w:rFonts w:asciiTheme="majorHAnsi" w:hAnsiTheme="majorHAnsi"/>
          <w:sz w:val="20"/>
          <w:shd w:val="clear" w:color="auto" w:fill="FFFFFF"/>
        </w:rPr>
      </w:pPr>
    </w:p>
    <w:p w:rsidR="0053240A" w:rsidRPr="00ED1044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Iorio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R, Damato V,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Alboini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PE,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Evoli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A. Efficacy and safety of rituximab for myasthenia gravis: a systematic review and meta-analysis.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 xml:space="preserve">J </w:t>
      </w:r>
      <w:proofErr w:type="spellStart"/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2015; 262:1115-1119.</w:t>
      </w:r>
    </w:p>
    <w:p w:rsidR="0053240A" w:rsidRPr="00ED1044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ED1044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Tandan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R, Hehir MK 2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  <w:vertAlign w:val="superscript"/>
        </w:rPr>
        <w:t>nd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Waheed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 Howard BD. Rituximab treatment of myasthenia gravis: A systematic review.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Muscle Nerve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2017; 56(2):185-196.</w:t>
      </w:r>
    </w:p>
    <w:p w:rsidR="0053240A" w:rsidRPr="00ED1044" w:rsidRDefault="0053240A" w:rsidP="0053240A">
      <w:pPr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53240A" w:rsidRPr="0034475B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Hehir MK, Hobson-Webb LD,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Benatar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M, et al. Rituximab as treatment for anti-MuSK myasthenia gravis: </w:t>
      </w:r>
      <w:proofErr w:type="spellStart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>Multicenter</w:t>
      </w:r>
      <w:proofErr w:type="spellEnd"/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blinded prospective review. </w:t>
      </w:r>
      <w:r w:rsidRPr="008E4579">
        <w:rPr>
          <w:rFonts w:asciiTheme="majorHAnsi" w:hAnsiTheme="majorHAnsi" w:cs="Arial"/>
          <w:i/>
          <w:sz w:val="20"/>
          <w:szCs w:val="20"/>
          <w:shd w:val="clear" w:color="auto" w:fill="FFFFFF"/>
        </w:rPr>
        <w:t>Neurology </w:t>
      </w:r>
      <w:r w:rsidRPr="00ED104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2017; 89(10):1069-1077. </w:t>
      </w:r>
    </w:p>
    <w:p w:rsidR="0053240A" w:rsidRPr="0034475B" w:rsidRDefault="0053240A" w:rsidP="0053240A">
      <w:pPr>
        <w:pStyle w:val="ListParagraph"/>
        <w:rPr>
          <w:rFonts w:asciiTheme="majorHAnsi" w:hAnsiTheme="majorHAnsi"/>
          <w:sz w:val="20"/>
          <w:shd w:val="clear" w:color="auto" w:fill="FFFFFF"/>
        </w:rPr>
      </w:pPr>
    </w:p>
    <w:p w:rsidR="0053240A" w:rsidRDefault="0053240A" w:rsidP="0053240A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Diaz-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Manera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J, Martinez-Hernandez E, </w:t>
      </w:r>
      <w:proofErr w:type="spellStart"/>
      <w:r>
        <w:rPr>
          <w:rFonts w:asciiTheme="majorHAnsi" w:hAnsiTheme="majorHAnsi"/>
          <w:sz w:val="20"/>
          <w:shd w:val="clear" w:color="auto" w:fill="FFFFFF"/>
        </w:rPr>
        <w:t>Querol</w:t>
      </w:r>
      <w:proofErr w:type="spellEnd"/>
      <w:r>
        <w:rPr>
          <w:rFonts w:asciiTheme="majorHAnsi" w:hAnsiTheme="majorHAnsi"/>
          <w:sz w:val="20"/>
          <w:shd w:val="clear" w:color="auto" w:fill="FFFFFF"/>
        </w:rPr>
        <w:t xml:space="preserve"> L, et al. Long-lasting treatment effect of rituximab in MuSK myasthenia. Neurology 2012</w:t>
      </w:r>
      <w:proofErr w:type="gramStart"/>
      <w:r>
        <w:rPr>
          <w:rFonts w:asciiTheme="majorHAnsi" w:hAnsiTheme="majorHAnsi"/>
          <w:sz w:val="20"/>
          <w:shd w:val="clear" w:color="auto" w:fill="FFFFFF"/>
        </w:rPr>
        <w:t>;78</w:t>
      </w:r>
      <w:proofErr w:type="gramEnd"/>
      <w:r>
        <w:rPr>
          <w:rFonts w:asciiTheme="majorHAnsi" w:hAnsiTheme="majorHAnsi"/>
          <w:sz w:val="20"/>
          <w:shd w:val="clear" w:color="auto" w:fill="FFFFFF"/>
        </w:rPr>
        <w:t>(3):189-193.</w:t>
      </w:r>
    </w:p>
    <w:p w:rsidR="00EF5C24" w:rsidRPr="00EF5C24" w:rsidRDefault="00EF5C24" w:rsidP="00F22093">
      <w:pPr>
        <w:rPr>
          <w:szCs w:val="16"/>
        </w:rPr>
      </w:pPr>
    </w:p>
    <w:p w:rsidR="00EF5C24" w:rsidRPr="00EF5C2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hd w:val="clear" w:color="auto" w:fill="FFFFFF"/>
        </w:rPr>
      </w:pPr>
      <w:proofErr w:type="spellStart"/>
      <w:r w:rsidRPr="00EF5C24">
        <w:rPr>
          <w:rFonts w:asciiTheme="majorHAnsi" w:hAnsiTheme="majorHAnsi"/>
          <w:sz w:val="20"/>
          <w:szCs w:val="16"/>
        </w:rPr>
        <w:t>Mabthera</w:t>
      </w:r>
      <w:proofErr w:type="spellEnd"/>
      <w:r w:rsidRPr="00EF5C24">
        <w:rPr>
          <w:rFonts w:asciiTheme="majorHAnsi" w:hAnsiTheme="majorHAnsi"/>
          <w:sz w:val="20"/>
          <w:szCs w:val="16"/>
        </w:rPr>
        <w:t xml:space="preserve"> </w:t>
      </w:r>
      <w:proofErr w:type="spellStart"/>
      <w:r w:rsidRPr="00EF5C24">
        <w:rPr>
          <w:rFonts w:asciiTheme="majorHAnsi" w:hAnsiTheme="majorHAnsi"/>
          <w:sz w:val="20"/>
          <w:szCs w:val="16"/>
        </w:rPr>
        <w:t>SmPC</w:t>
      </w:r>
      <w:proofErr w:type="spellEnd"/>
      <w:r w:rsidRPr="00EF5C24">
        <w:rPr>
          <w:rFonts w:asciiTheme="majorHAnsi" w:hAnsiTheme="majorHAnsi"/>
          <w:sz w:val="20"/>
          <w:szCs w:val="16"/>
        </w:rPr>
        <w:t>. Accessed 7</w:t>
      </w:r>
      <w:r w:rsidRPr="00EF5C24">
        <w:rPr>
          <w:rFonts w:asciiTheme="majorHAnsi" w:hAnsiTheme="majorHAnsi"/>
          <w:sz w:val="20"/>
          <w:szCs w:val="16"/>
          <w:vertAlign w:val="superscript"/>
        </w:rPr>
        <w:t>th</w:t>
      </w:r>
      <w:r w:rsidRPr="00EF5C24">
        <w:rPr>
          <w:rFonts w:asciiTheme="majorHAnsi" w:hAnsiTheme="majorHAnsi"/>
          <w:sz w:val="20"/>
          <w:szCs w:val="16"/>
        </w:rPr>
        <w:t xml:space="preserve"> March 2018 at </w:t>
      </w:r>
      <w:hyperlink r:id="rId14" w:history="1">
        <w:r w:rsidRPr="00EF5C24">
          <w:rPr>
            <w:rStyle w:val="Hyperlink"/>
            <w:rFonts w:asciiTheme="majorHAnsi" w:hAnsiTheme="majorHAnsi"/>
            <w:sz w:val="20"/>
            <w:szCs w:val="16"/>
          </w:rPr>
          <w:t>https://www.medicines.org.uk/emc/product/3801/smpc</w:t>
        </w:r>
      </w:hyperlink>
      <w:r w:rsidRPr="00EF5C24">
        <w:rPr>
          <w:rFonts w:asciiTheme="majorHAnsi" w:hAnsiTheme="majorHAnsi"/>
          <w:sz w:val="20"/>
          <w:szCs w:val="16"/>
        </w:rPr>
        <w:t xml:space="preserve">   </w:t>
      </w:r>
    </w:p>
    <w:p w:rsidR="00EF5C24" w:rsidRPr="007E2D96" w:rsidRDefault="00EF5C24" w:rsidP="00EF5C24">
      <w:pPr>
        <w:rPr>
          <w:rFonts w:asciiTheme="majorHAnsi" w:hAnsiTheme="majorHAnsi"/>
          <w:bCs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proofErr w:type="spellStart"/>
      <w:r w:rsidRPr="007E2D96">
        <w:rPr>
          <w:rFonts w:asciiTheme="majorHAnsi" w:hAnsiTheme="majorHAnsi"/>
          <w:sz w:val="20"/>
        </w:rPr>
        <w:t>Bredemeier</w:t>
      </w:r>
      <w:proofErr w:type="spellEnd"/>
      <w:r w:rsidRPr="007E2D96">
        <w:rPr>
          <w:rFonts w:asciiTheme="majorHAnsi" w:hAnsiTheme="majorHAnsi"/>
          <w:sz w:val="20"/>
        </w:rPr>
        <w:t xml:space="preserve"> M, de Oliveira FK, Rocha CM. Low- versus high-dose rituximab for rheumatoid arthritis: A systematic</w:t>
      </w:r>
      <w:r w:rsidRPr="00ED1044">
        <w:rPr>
          <w:rFonts w:asciiTheme="majorHAnsi" w:hAnsiTheme="majorHAnsi"/>
          <w:sz w:val="20"/>
        </w:rPr>
        <w:t xml:space="preserve"> review and meta-analysis. </w:t>
      </w:r>
      <w:r w:rsidRPr="008E4579">
        <w:rPr>
          <w:rFonts w:asciiTheme="majorHAnsi" w:hAnsiTheme="majorHAnsi"/>
          <w:i/>
          <w:sz w:val="20"/>
        </w:rPr>
        <w:t>Arthritis Care Res</w:t>
      </w:r>
      <w:r w:rsidRPr="00ED1044">
        <w:rPr>
          <w:rFonts w:asciiTheme="majorHAnsi" w:hAnsiTheme="majorHAnsi"/>
          <w:sz w:val="20"/>
        </w:rPr>
        <w:t xml:space="preserve"> </w:t>
      </w:r>
      <w:r w:rsidRPr="008E4579">
        <w:rPr>
          <w:rFonts w:asciiTheme="majorHAnsi" w:hAnsiTheme="majorHAnsi"/>
          <w:i/>
          <w:sz w:val="20"/>
        </w:rPr>
        <w:t>(Hoboken)</w:t>
      </w:r>
      <w:r w:rsidRPr="00ED1044">
        <w:rPr>
          <w:rFonts w:asciiTheme="majorHAnsi" w:hAnsiTheme="majorHAnsi"/>
          <w:sz w:val="20"/>
        </w:rPr>
        <w:t> 2014</w:t>
      </w:r>
      <w:proofErr w:type="gramStart"/>
      <w:r w:rsidRPr="00ED1044">
        <w:rPr>
          <w:rFonts w:asciiTheme="majorHAnsi" w:hAnsiTheme="majorHAnsi"/>
          <w:sz w:val="20"/>
        </w:rPr>
        <w:t>;66</w:t>
      </w:r>
      <w:proofErr w:type="gramEnd"/>
      <w:r w:rsidRPr="00ED1044">
        <w:rPr>
          <w:rFonts w:asciiTheme="majorHAnsi" w:hAnsiTheme="majorHAnsi"/>
          <w:sz w:val="20"/>
        </w:rPr>
        <w:t>(2):228-235.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8F1D45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</w:rPr>
      </w:pPr>
      <w:r w:rsidRPr="00ED1044">
        <w:rPr>
          <w:rFonts w:asciiTheme="majorHAnsi" w:hAnsiTheme="majorHAnsi"/>
          <w:sz w:val="20"/>
        </w:rPr>
        <w:t xml:space="preserve">Vital EM, </w:t>
      </w:r>
      <w:proofErr w:type="spellStart"/>
      <w:r w:rsidRPr="00ED1044">
        <w:rPr>
          <w:rFonts w:asciiTheme="majorHAnsi" w:hAnsiTheme="majorHAnsi"/>
          <w:sz w:val="20"/>
        </w:rPr>
        <w:t>Rawstron</w:t>
      </w:r>
      <w:proofErr w:type="spellEnd"/>
      <w:r w:rsidRPr="00ED1044">
        <w:rPr>
          <w:rFonts w:asciiTheme="majorHAnsi" w:hAnsiTheme="majorHAnsi"/>
          <w:sz w:val="20"/>
        </w:rPr>
        <w:t xml:space="preserve"> AC, </w:t>
      </w:r>
      <w:proofErr w:type="spellStart"/>
      <w:r w:rsidRPr="00ED1044">
        <w:rPr>
          <w:rFonts w:asciiTheme="majorHAnsi" w:hAnsiTheme="majorHAnsi"/>
          <w:sz w:val="20"/>
        </w:rPr>
        <w:t>Dass</w:t>
      </w:r>
      <w:proofErr w:type="spellEnd"/>
      <w:r w:rsidRPr="00ED1044">
        <w:rPr>
          <w:rFonts w:asciiTheme="majorHAnsi" w:hAnsiTheme="majorHAnsi"/>
          <w:sz w:val="20"/>
        </w:rPr>
        <w:t xml:space="preserve"> S,</w:t>
      </w:r>
      <w:r>
        <w:rPr>
          <w:rFonts w:asciiTheme="majorHAnsi" w:hAnsiTheme="majorHAnsi"/>
          <w:sz w:val="20"/>
        </w:rPr>
        <w:t xml:space="preserve"> et al.</w:t>
      </w:r>
      <w:r w:rsidRPr="00ED1044">
        <w:rPr>
          <w:rFonts w:asciiTheme="majorHAnsi" w:hAnsiTheme="majorHAnsi"/>
          <w:sz w:val="20"/>
        </w:rPr>
        <w:t xml:space="preserve"> Reduced-dose </w:t>
      </w:r>
      <w:r w:rsidRPr="008F1D45">
        <w:rPr>
          <w:rFonts w:asciiTheme="majorHAnsi" w:hAnsiTheme="majorHAnsi"/>
          <w:sz w:val="20"/>
        </w:rPr>
        <w:t xml:space="preserve">rituximab in rheumatoid arthritis: efficacy depends on degree of B cell depletion. </w:t>
      </w:r>
      <w:r w:rsidRPr="008E4579">
        <w:rPr>
          <w:rFonts w:asciiTheme="majorHAnsi" w:hAnsiTheme="majorHAnsi"/>
          <w:i/>
          <w:sz w:val="20"/>
        </w:rPr>
        <w:t>Arthritis Rheum</w:t>
      </w:r>
      <w:r w:rsidRPr="008F1D45">
        <w:rPr>
          <w:rFonts w:asciiTheme="majorHAnsi" w:hAnsiTheme="majorHAnsi"/>
          <w:sz w:val="20"/>
        </w:rPr>
        <w:t xml:space="preserve"> 2011</w:t>
      </w:r>
      <w:proofErr w:type="gramStart"/>
      <w:r w:rsidRPr="008F1D45">
        <w:rPr>
          <w:rFonts w:asciiTheme="majorHAnsi" w:hAnsiTheme="majorHAnsi"/>
          <w:sz w:val="20"/>
        </w:rPr>
        <w:t>;63</w:t>
      </w:r>
      <w:proofErr w:type="gramEnd"/>
      <w:r w:rsidRPr="008F1D45">
        <w:rPr>
          <w:rFonts w:asciiTheme="majorHAnsi" w:hAnsiTheme="majorHAnsi"/>
          <w:sz w:val="20"/>
        </w:rPr>
        <w:t>(3):603-608.</w:t>
      </w:r>
    </w:p>
    <w:p w:rsidR="00EF5C24" w:rsidRPr="008F1D45" w:rsidRDefault="00EF5C24" w:rsidP="00EF5C24">
      <w:pPr>
        <w:rPr>
          <w:rFonts w:asciiTheme="majorHAnsi" w:hAnsiTheme="majorHAnsi"/>
          <w:bCs/>
          <w:sz w:val="20"/>
        </w:rPr>
      </w:pPr>
    </w:p>
    <w:p w:rsidR="00EF5C24" w:rsidRPr="008F1D45" w:rsidRDefault="00EF5C24" w:rsidP="00EF5C24">
      <w:pPr>
        <w:pStyle w:val="Title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F1D45">
        <w:rPr>
          <w:rFonts w:asciiTheme="majorHAnsi" w:hAnsiTheme="majorHAnsi" w:cs="Arial"/>
          <w:color w:val="000000"/>
        </w:rPr>
        <w:t xml:space="preserve">Nielsen AS, </w:t>
      </w:r>
      <w:proofErr w:type="spellStart"/>
      <w:r w:rsidRPr="008F1D45">
        <w:rPr>
          <w:rFonts w:asciiTheme="majorHAnsi" w:hAnsiTheme="majorHAnsi" w:cs="Arial"/>
          <w:color w:val="000000"/>
        </w:rPr>
        <w:t>Miravalle</w:t>
      </w:r>
      <w:proofErr w:type="spellEnd"/>
      <w:r w:rsidRPr="008F1D45">
        <w:rPr>
          <w:rFonts w:asciiTheme="majorHAnsi" w:hAnsiTheme="majorHAnsi" w:cs="Arial"/>
          <w:color w:val="000000"/>
        </w:rPr>
        <w:t xml:space="preserve"> A, Langer-Gould A,</w:t>
      </w:r>
      <w:r w:rsidRPr="008F1D45">
        <w:rPr>
          <w:rStyle w:val="apple-converted-space"/>
          <w:rFonts w:asciiTheme="majorHAnsi" w:hAnsiTheme="majorHAnsi" w:cs="Arial"/>
          <w:color w:val="000000"/>
        </w:rPr>
        <w:t> </w:t>
      </w:r>
      <w:r w:rsidRPr="008F1D45">
        <w:rPr>
          <w:rFonts w:asciiTheme="majorHAnsi" w:hAnsiTheme="majorHAnsi" w:cs="Arial"/>
          <w:bCs/>
          <w:color w:val="000000"/>
        </w:rPr>
        <w:t>et al</w:t>
      </w:r>
      <w:r w:rsidRPr="008F1D45">
        <w:rPr>
          <w:rFonts w:asciiTheme="majorHAnsi" w:hAnsiTheme="majorHAnsi" w:cs="Arial"/>
          <w:color w:val="000000"/>
        </w:rPr>
        <w:t xml:space="preserve">. </w:t>
      </w:r>
      <w:proofErr w:type="gramStart"/>
      <w:r w:rsidRPr="008F1D45">
        <w:rPr>
          <w:rFonts w:asciiTheme="majorHAnsi" w:hAnsiTheme="majorHAnsi" w:cs="Arial"/>
          <w:color w:val="000000"/>
        </w:rPr>
        <w:t>Maximally</w:t>
      </w:r>
      <w:proofErr w:type="gramEnd"/>
      <w:r w:rsidRPr="008F1D45">
        <w:rPr>
          <w:rFonts w:asciiTheme="majorHAnsi" w:hAnsiTheme="majorHAnsi" w:cs="Arial"/>
          <w:color w:val="000000"/>
        </w:rPr>
        <w:t xml:space="preserve"> tolerated versus minimally effective dose: the case </w:t>
      </w:r>
      <w:r w:rsidRPr="00D3626E">
        <w:rPr>
          <w:rFonts w:asciiTheme="majorHAnsi" w:hAnsiTheme="majorHAnsi" w:cs="Arial"/>
          <w:color w:val="000000"/>
        </w:rPr>
        <w:t>of</w:t>
      </w:r>
      <w:r w:rsidRPr="00D3626E">
        <w:rPr>
          <w:rStyle w:val="apple-converted-space"/>
          <w:rFonts w:asciiTheme="majorHAnsi" w:hAnsiTheme="majorHAnsi" w:cs="Arial"/>
          <w:color w:val="642A8F"/>
        </w:rPr>
        <w:t> </w:t>
      </w:r>
      <w:r w:rsidRPr="00D3626E">
        <w:rPr>
          <w:rFonts w:asciiTheme="majorHAnsi" w:hAnsiTheme="majorHAnsi" w:cs="Arial"/>
          <w:bCs/>
          <w:color w:val="000000"/>
        </w:rPr>
        <w:t>rituximab</w:t>
      </w:r>
      <w:r w:rsidR="00D3626E" w:rsidRPr="00D3626E">
        <w:rPr>
          <w:rStyle w:val="apple-converted-space"/>
          <w:rFonts w:asciiTheme="majorHAnsi" w:hAnsiTheme="majorHAnsi" w:cs="Arial"/>
          <w:color w:val="642A8F"/>
        </w:rPr>
        <w:t xml:space="preserve"> </w:t>
      </w:r>
      <w:r w:rsidRPr="00D3626E">
        <w:rPr>
          <w:rFonts w:asciiTheme="majorHAnsi" w:hAnsiTheme="majorHAnsi" w:cs="Arial"/>
          <w:color w:val="000000"/>
        </w:rPr>
        <w:t>in multiple</w:t>
      </w:r>
      <w:r w:rsidRPr="008F1D45">
        <w:rPr>
          <w:rFonts w:asciiTheme="majorHAnsi" w:hAnsiTheme="majorHAnsi" w:cs="Arial"/>
          <w:color w:val="000000"/>
        </w:rPr>
        <w:t xml:space="preserve"> sclerosis. </w:t>
      </w:r>
      <w:proofErr w:type="spellStart"/>
      <w:r w:rsidRPr="008E4579">
        <w:rPr>
          <w:rStyle w:val="jrnl"/>
          <w:rFonts w:asciiTheme="majorHAnsi" w:hAnsiTheme="majorHAnsi" w:cs="Arial"/>
          <w:i/>
          <w:color w:val="000000"/>
        </w:rPr>
        <w:t>Mult</w:t>
      </w:r>
      <w:proofErr w:type="spellEnd"/>
      <w:r w:rsidRPr="008E4579">
        <w:rPr>
          <w:rStyle w:val="jrnl"/>
          <w:rFonts w:asciiTheme="majorHAnsi" w:hAnsiTheme="majorHAnsi" w:cs="Arial"/>
          <w:i/>
          <w:color w:val="000000"/>
        </w:rPr>
        <w:t xml:space="preserve"> </w:t>
      </w:r>
      <w:proofErr w:type="spellStart"/>
      <w:r w:rsidRPr="008E4579">
        <w:rPr>
          <w:rStyle w:val="jrnl"/>
          <w:rFonts w:asciiTheme="majorHAnsi" w:hAnsiTheme="majorHAnsi" w:cs="Arial"/>
          <w:i/>
          <w:color w:val="000000"/>
        </w:rPr>
        <w:t>Scler</w:t>
      </w:r>
      <w:proofErr w:type="spellEnd"/>
      <w:r w:rsidRPr="008F1D45">
        <w:rPr>
          <w:rFonts w:asciiTheme="majorHAnsi" w:hAnsiTheme="majorHAnsi" w:cs="Arial"/>
          <w:color w:val="000000"/>
        </w:rPr>
        <w:t xml:space="preserve"> 2012</w:t>
      </w:r>
      <w:proofErr w:type="gramStart"/>
      <w:r w:rsidRPr="008F1D45">
        <w:rPr>
          <w:rFonts w:asciiTheme="majorHAnsi" w:hAnsiTheme="majorHAnsi" w:cs="Arial"/>
          <w:color w:val="000000"/>
        </w:rPr>
        <w:t>;18</w:t>
      </w:r>
      <w:proofErr w:type="gramEnd"/>
      <w:r w:rsidRPr="008F1D45">
        <w:rPr>
          <w:rFonts w:asciiTheme="majorHAnsi" w:hAnsiTheme="majorHAnsi" w:cs="Arial"/>
          <w:color w:val="000000"/>
        </w:rPr>
        <w:t>(3):377-</w:t>
      </w:r>
      <w:r>
        <w:rPr>
          <w:rFonts w:asciiTheme="majorHAnsi" w:hAnsiTheme="majorHAnsi" w:cs="Arial"/>
          <w:color w:val="000000"/>
        </w:rPr>
        <w:t>37</w:t>
      </w:r>
      <w:r w:rsidRPr="008F1D45">
        <w:rPr>
          <w:rFonts w:asciiTheme="majorHAnsi" w:hAnsiTheme="majorHAnsi" w:cs="Arial"/>
          <w:color w:val="000000"/>
        </w:rPr>
        <w:t>8.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Yang CS, Yang L, Li T, </w:t>
      </w:r>
      <w:r>
        <w:rPr>
          <w:rFonts w:asciiTheme="majorHAnsi" w:hAnsiTheme="majorHAnsi"/>
          <w:sz w:val="20"/>
        </w:rPr>
        <w:t>et al.</w:t>
      </w:r>
      <w:r w:rsidRPr="00ED1044">
        <w:rPr>
          <w:rFonts w:asciiTheme="majorHAnsi" w:hAnsiTheme="majorHAnsi"/>
          <w:sz w:val="20"/>
        </w:rPr>
        <w:t xml:space="preserve"> Responsiveness to reduced dosage of rituximab in Chinese patients with neuromyelitis optica.</w:t>
      </w:r>
      <w:r w:rsidRPr="00ED1044">
        <w:rPr>
          <w:rFonts w:asciiTheme="majorHAnsi" w:hAnsiTheme="majorHAnsi"/>
          <w:bCs/>
          <w:sz w:val="20"/>
        </w:rPr>
        <w:t xml:space="preserve"> </w:t>
      </w:r>
      <w:r w:rsidRPr="008E4579">
        <w:rPr>
          <w:rFonts w:asciiTheme="majorHAnsi" w:hAnsiTheme="majorHAnsi"/>
          <w:bCs/>
          <w:i/>
          <w:sz w:val="20"/>
        </w:rPr>
        <w:t>Neurology</w:t>
      </w:r>
      <w:r w:rsidRPr="00ED1044">
        <w:rPr>
          <w:rFonts w:asciiTheme="majorHAnsi" w:hAnsiTheme="majorHAnsi"/>
          <w:sz w:val="20"/>
        </w:rPr>
        <w:t xml:space="preserve"> 2013</w:t>
      </w:r>
      <w:proofErr w:type="gramStart"/>
      <w:r w:rsidRPr="00ED1044">
        <w:rPr>
          <w:rFonts w:asciiTheme="majorHAnsi" w:hAnsiTheme="majorHAnsi"/>
          <w:sz w:val="20"/>
        </w:rPr>
        <w:t>;81</w:t>
      </w:r>
      <w:proofErr w:type="gramEnd"/>
      <w:r w:rsidRPr="00ED1044">
        <w:rPr>
          <w:rFonts w:asciiTheme="majorHAnsi" w:hAnsiTheme="majorHAnsi"/>
          <w:sz w:val="20"/>
        </w:rPr>
        <w:t xml:space="preserve">(8):710-713. 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</w:rPr>
      </w:pPr>
      <w:r w:rsidRPr="00ED1044">
        <w:rPr>
          <w:rFonts w:asciiTheme="majorHAnsi" w:hAnsiTheme="majorHAnsi"/>
          <w:sz w:val="20"/>
        </w:rPr>
        <w:t xml:space="preserve">Zhang M, Zhang C, Bai P, </w:t>
      </w:r>
      <w:proofErr w:type="spellStart"/>
      <w:r w:rsidRPr="00ED1044">
        <w:rPr>
          <w:rFonts w:asciiTheme="majorHAnsi" w:hAnsiTheme="majorHAnsi"/>
          <w:sz w:val="20"/>
        </w:rPr>
        <w:t>Xue</w:t>
      </w:r>
      <w:proofErr w:type="spellEnd"/>
      <w:r w:rsidRPr="00ED1044">
        <w:rPr>
          <w:rFonts w:asciiTheme="majorHAnsi" w:hAnsiTheme="majorHAnsi"/>
          <w:sz w:val="20"/>
        </w:rPr>
        <w:t xml:space="preserve"> H, Wang G. Effectiveness of low dose of rituximab compared with azathioprine in Chinese patients with neuromyelitis optica: an over 2-year follow-up study. </w:t>
      </w:r>
      <w:proofErr w:type="spellStart"/>
      <w:r w:rsidRPr="008E4579">
        <w:rPr>
          <w:rFonts w:asciiTheme="majorHAnsi" w:hAnsiTheme="majorHAnsi"/>
          <w:bCs/>
          <w:i/>
          <w:sz w:val="20"/>
        </w:rPr>
        <w:t>Acta</w:t>
      </w:r>
      <w:proofErr w:type="spellEnd"/>
      <w:r w:rsidRPr="008E4579">
        <w:rPr>
          <w:rFonts w:asciiTheme="majorHAnsi" w:hAnsiTheme="majorHAnsi"/>
          <w:bCs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bCs/>
          <w:i/>
          <w:sz w:val="20"/>
        </w:rPr>
        <w:t>Neurol</w:t>
      </w:r>
      <w:proofErr w:type="spellEnd"/>
      <w:r w:rsidRPr="008E4579">
        <w:rPr>
          <w:rFonts w:asciiTheme="majorHAnsi" w:hAnsiTheme="majorHAnsi"/>
          <w:bCs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bCs/>
          <w:i/>
          <w:sz w:val="20"/>
        </w:rPr>
        <w:t>Belg</w:t>
      </w:r>
      <w:proofErr w:type="spellEnd"/>
      <w:r w:rsidRPr="00ED1044">
        <w:rPr>
          <w:rFonts w:asciiTheme="majorHAnsi" w:hAnsiTheme="majorHAnsi"/>
          <w:bCs/>
          <w:sz w:val="20"/>
        </w:rPr>
        <w:t xml:space="preserve"> 2017</w:t>
      </w:r>
      <w:proofErr w:type="gramStart"/>
      <w:r w:rsidRPr="00ED1044">
        <w:rPr>
          <w:rFonts w:asciiTheme="majorHAnsi" w:hAnsiTheme="majorHAnsi"/>
          <w:bCs/>
          <w:sz w:val="20"/>
        </w:rPr>
        <w:t>;117</w:t>
      </w:r>
      <w:proofErr w:type="gramEnd"/>
      <w:r w:rsidRPr="00ED1044">
        <w:rPr>
          <w:rFonts w:asciiTheme="majorHAnsi" w:hAnsiTheme="majorHAnsi"/>
          <w:bCs/>
          <w:sz w:val="20"/>
        </w:rPr>
        <w:t>(3):695-702.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bCs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bCs/>
          <w:sz w:val="20"/>
        </w:rPr>
        <w:t xml:space="preserve">Wang BJ, Wang CJ, Zeng ZL, Yang Y, </w:t>
      </w:r>
      <w:proofErr w:type="spellStart"/>
      <w:r w:rsidRPr="00ED1044">
        <w:rPr>
          <w:rFonts w:asciiTheme="majorHAnsi" w:hAnsiTheme="majorHAnsi"/>
          <w:bCs/>
          <w:sz w:val="20"/>
        </w:rPr>
        <w:t>Guo</w:t>
      </w:r>
      <w:proofErr w:type="spellEnd"/>
      <w:r w:rsidRPr="00ED1044">
        <w:rPr>
          <w:rFonts w:asciiTheme="majorHAnsi" w:hAnsiTheme="majorHAnsi"/>
          <w:bCs/>
          <w:sz w:val="20"/>
        </w:rPr>
        <w:t xml:space="preserve"> SG. </w:t>
      </w:r>
      <w:r w:rsidRPr="00ED1044">
        <w:rPr>
          <w:rFonts w:asciiTheme="majorHAnsi" w:hAnsiTheme="majorHAnsi"/>
          <w:sz w:val="20"/>
        </w:rPr>
        <w:t xml:space="preserve">Lower dosages of rituximab used successfully in the treatment of anti-NMDA receptor encephalitis without tumour. </w:t>
      </w:r>
      <w:r w:rsidRPr="008E4579">
        <w:rPr>
          <w:rFonts w:asciiTheme="majorHAnsi" w:hAnsiTheme="majorHAnsi"/>
          <w:i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Sci</w:t>
      </w:r>
      <w:proofErr w:type="spellEnd"/>
      <w:r w:rsidRPr="00ED1044">
        <w:rPr>
          <w:rFonts w:asciiTheme="majorHAnsi" w:hAnsiTheme="majorHAnsi"/>
          <w:sz w:val="20"/>
        </w:rPr>
        <w:t xml:space="preserve"> 2017</w:t>
      </w:r>
      <w:proofErr w:type="gramStart"/>
      <w:r w:rsidRPr="00ED1044">
        <w:rPr>
          <w:rFonts w:asciiTheme="majorHAnsi" w:hAnsiTheme="majorHAnsi"/>
          <w:sz w:val="20"/>
        </w:rPr>
        <w:t>;377:127</w:t>
      </w:r>
      <w:proofErr w:type="gramEnd"/>
      <w:r w:rsidRPr="00ED1044">
        <w:rPr>
          <w:rFonts w:asciiTheme="majorHAnsi" w:hAnsiTheme="majorHAnsi"/>
          <w:sz w:val="20"/>
        </w:rPr>
        <w:t>-132.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Greenberg BM, Graves D, Remington G, </w:t>
      </w:r>
      <w:r>
        <w:rPr>
          <w:rFonts w:asciiTheme="majorHAnsi" w:hAnsiTheme="majorHAnsi"/>
          <w:sz w:val="20"/>
        </w:rPr>
        <w:t>et al</w:t>
      </w:r>
      <w:r w:rsidRPr="00ED1044">
        <w:rPr>
          <w:rFonts w:asciiTheme="majorHAnsi" w:hAnsiTheme="majorHAnsi"/>
          <w:sz w:val="20"/>
        </w:rPr>
        <w:t xml:space="preserve">. Rituximab dosing and monitoring strategies in neuromyelitis optica patients: creating strategies for therapeutic success. </w:t>
      </w:r>
      <w:proofErr w:type="spellStart"/>
      <w:r w:rsidRPr="008E4579">
        <w:rPr>
          <w:rFonts w:asciiTheme="majorHAnsi" w:hAnsiTheme="majorHAnsi"/>
          <w:i/>
          <w:sz w:val="20"/>
        </w:rPr>
        <w:t>Mult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Scler</w:t>
      </w:r>
      <w:proofErr w:type="spellEnd"/>
      <w:r w:rsidRPr="008E4579">
        <w:rPr>
          <w:rFonts w:asciiTheme="majorHAnsi" w:hAnsiTheme="majorHAnsi"/>
          <w:i/>
          <w:sz w:val="20"/>
        </w:rPr>
        <w:t xml:space="preserve"> J</w:t>
      </w:r>
      <w:r w:rsidRPr="00ED1044">
        <w:rPr>
          <w:rFonts w:asciiTheme="majorHAnsi" w:hAnsiTheme="majorHAnsi"/>
          <w:sz w:val="20"/>
        </w:rPr>
        <w:t xml:space="preserve"> 2012</w:t>
      </w:r>
      <w:proofErr w:type="gramStart"/>
      <w:r w:rsidRPr="00ED1044">
        <w:rPr>
          <w:rFonts w:asciiTheme="majorHAnsi" w:hAnsiTheme="majorHAnsi"/>
          <w:sz w:val="20"/>
        </w:rPr>
        <w:t>;18</w:t>
      </w:r>
      <w:proofErr w:type="gramEnd"/>
      <w:r w:rsidRPr="00ED1044">
        <w:rPr>
          <w:rFonts w:asciiTheme="majorHAnsi" w:hAnsiTheme="majorHAnsi"/>
          <w:sz w:val="20"/>
        </w:rPr>
        <w:t>(7):1022-1026.</w:t>
      </w:r>
      <w:r w:rsidRPr="00ED1044">
        <w:rPr>
          <w:rFonts w:asciiTheme="majorHAnsi" w:hAnsiTheme="majorHAnsi"/>
          <w:sz w:val="20"/>
        </w:rPr>
        <w:cr/>
      </w: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Yi JS, </w:t>
      </w:r>
      <w:proofErr w:type="spellStart"/>
      <w:r w:rsidRPr="00ED1044">
        <w:rPr>
          <w:rFonts w:asciiTheme="majorHAnsi" w:hAnsiTheme="majorHAnsi"/>
          <w:sz w:val="20"/>
        </w:rPr>
        <w:t>DeCroos</w:t>
      </w:r>
      <w:proofErr w:type="spellEnd"/>
      <w:r w:rsidRPr="00ED1044">
        <w:rPr>
          <w:rFonts w:asciiTheme="majorHAnsi" w:hAnsiTheme="majorHAnsi"/>
          <w:sz w:val="20"/>
        </w:rPr>
        <w:t xml:space="preserve"> EC, Sanders DB, </w:t>
      </w:r>
      <w:proofErr w:type="spellStart"/>
      <w:r w:rsidRPr="00ED1044">
        <w:rPr>
          <w:rFonts w:asciiTheme="majorHAnsi" w:hAnsiTheme="majorHAnsi"/>
          <w:sz w:val="20"/>
        </w:rPr>
        <w:t>Weinhold</w:t>
      </w:r>
      <w:proofErr w:type="spellEnd"/>
      <w:r w:rsidRPr="00ED1044">
        <w:rPr>
          <w:rFonts w:asciiTheme="majorHAnsi" w:hAnsiTheme="majorHAnsi"/>
          <w:sz w:val="20"/>
        </w:rPr>
        <w:t xml:space="preserve"> KJ, </w:t>
      </w:r>
      <w:proofErr w:type="spellStart"/>
      <w:r w:rsidRPr="00ED1044">
        <w:rPr>
          <w:rFonts w:asciiTheme="majorHAnsi" w:hAnsiTheme="majorHAnsi"/>
          <w:sz w:val="20"/>
        </w:rPr>
        <w:t>Guptill</w:t>
      </w:r>
      <w:proofErr w:type="spellEnd"/>
      <w:r w:rsidRPr="00ED1044">
        <w:rPr>
          <w:rFonts w:asciiTheme="majorHAnsi" w:hAnsiTheme="majorHAnsi"/>
          <w:sz w:val="20"/>
        </w:rPr>
        <w:t xml:space="preserve"> JT.  Prolonged B cell depletion in MuSK myasthenia gravis following rituximab treatment. </w:t>
      </w:r>
      <w:r w:rsidRPr="008E4579">
        <w:rPr>
          <w:rFonts w:asciiTheme="majorHAnsi" w:hAnsiTheme="majorHAnsi"/>
          <w:i/>
          <w:sz w:val="20"/>
        </w:rPr>
        <w:t>Muscle Nerve</w:t>
      </w:r>
      <w:r w:rsidRPr="00ED1044">
        <w:rPr>
          <w:rFonts w:asciiTheme="majorHAnsi" w:hAnsiTheme="majorHAnsi"/>
          <w:sz w:val="20"/>
        </w:rPr>
        <w:t xml:space="preserve"> 2013</w:t>
      </w:r>
      <w:proofErr w:type="gramStart"/>
      <w:r w:rsidRPr="00ED1044">
        <w:rPr>
          <w:rFonts w:asciiTheme="majorHAnsi" w:hAnsiTheme="majorHAnsi"/>
          <w:sz w:val="20"/>
        </w:rPr>
        <w:t>;48</w:t>
      </w:r>
      <w:proofErr w:type="gramEnd"/>
      <w:r w:rsidRPr="00ED1044">
        <w:rPr>
          <w:rFonts w:asciiTheme="majorHAnsi" w:hAnsiTheme="majorHAnsi"/>
          <w:sz w:val="20"/>
        </w:rPr>
        <w:t>(6):992-993.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proofErr w:type="spellStart"/>
      <w:r w:rsidRPr="00ED1044">
        <w:rPr>
          <w:rFonts w:asciiTheme="majorHAnsi" w:hAnsiTheme="majorHAnsi"/>
          <w:sz w:val="20"/>
        </w:rPr>
        <w:t>Pellkofer</w:t>
      </w:r>
      <w:proofErr w:type="spellEnd"/>
      <w:r w:rsidRPr="00ED1044">
        <w:rPr>
          <w:rFonts w:asciiTheme="majorHAnsi" w:hAnsiTheme="majorHAnsi"/>
          <w:sz w:val="20"/>
        </w:rPr>
        <w:t xml:space="preserve"> HL, </w:t>
      </w:r>
      <w:proofErr w:type="spellStart"/>
      <w:r w:rsidRPr="00ED1044">
        <w:rPr>
          <w:rFonts w:asciiTheme="majorHAnsi" w:hAnsiTheme="majorHAnsi"/>
          <w:sz w:val="20"/>
        </w:rPr>
        <w:t>Krumbholz</w:t>
      </w:r>
      <w:proofErr w:type="spellEnd"/>
      <w:r w:rsidRPr="00ED1044">
        <w:rPr>
          <w:rFonts w:asciiTheme="majorHAnsi" w:hAnsiTheme="majorHAnsi"/>
          <w:sz w:val="20"/>
        </w:rPr>
        <w:t xml:space="preserve"> M, </w:t>
      </w:r>
      <w:proofErr w:type="spellStart"/>
      <w:r w:rsidRPr="00ED1044">
        <w:rPr>
          <w:rFonts w:asciiTheme="majorHAnsi" w:hAnsiTheme="majorHAnsi"/>
          <w:sz w:val="20"/>
        </w:rPr>
        <w:t>Berthele</w:t>
      </w:r>
      <w:proofErr w:type="spellEnd"/>
      <w:r w:rsidRPr="00ED1044">
        <w:rPr>
          <w:rFonts w:asciiTheme="majorHAnsi" w:hAnsiTheme="majorHAnsi"/>
          <w:sz w:val="20"/>
        </w:rPr>
        <w:t xml:space="preserve"> A, </w:t>
      </w:r>
      <w:r>
        <w:rPr>
          <w:rFonts w:asciiTheme="majorHAnsi" w:hAnsiTheme="majorHAnsi"/>
          <w:sz w:val="20"/>
        </w:rPr>
        <w:t>et al</w:t>
      </w:r>
      <w:r w:rsidRPr="00ED1044">
        <w:rPr>
          <w:rFonts w:asciiTheme="majorHAnsi" w:hAnsiTheme="majorHAnsi"/>
          <w:sz w:val="20"/>
        </w:rPr>
        <w:t xml:space="preserve">. Long-term follow-up of patients with neuromyelitis optica after repeated therapy with rituximab. </w:t>
      </w:r>
      <w:r w:rsidRPr="008E4579">
        <w:rPr>
          <w:rFonts w:asciiTheme="majorHAnsi" w:hAnsiTheme="majorHAnsi"/>
          <w:i/>
          <w:sz w:val="20"/>
        </w:rPr>
        <w:t>Neurology</w:t>
      </w:r>
      <w:r w:rsidRPr="00ED1044">
        <w:rPr>
          <w:rFonts w:asciiTheme="majorHAnsi" w:hAnsiTheme="majorHAnsi"/>
          <w:sz w:val="20"/>
        </w:rPr>
        <w:t xml:space="preserve"> 2011</w:t>
      </w:r>
      <w:proofErr w:type="gramStart"/>
      <w:r w:rsidRPr="00ED1044">
        <w:rPr>
          <w:rFonts w:asciiTheme="majorHAnsi" w:hAnsiTheme="majorHAnsi"/>
          <w:sz w:val="20"/>
        </w:rPr>
        <w:t>;76</w:t>
      </w:r>
      <w:proofErr w:type="gramEnd"/>
      <w:r w:rsidRPr="00ED1044">
        <w:rPr>
          <w:rFonts w:asciiTheme="majorHAnsi" w:hAnsiTheme="majorHAnsi"/>
          <w:sz w:val="20"/>
        </w:rPr>
        <w:t>: 1310–1315.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Mealy MA, Wingerchuk DM, Palace J, Greenberg BM, Levy M. Comparison of relapse and treatment failure rates among patients with neuromyelitis optica: </w:t>
      </w:r>
      <w:proofErr w:type="spellStart"/>
      <w:r w:rsidRPr="00ED1044">
        <w:rPr>
          <w:rFonts w:asciiTheme="majorHAnsi" w:hAnsiTheme="majorHAnsi"/>
          <w:sz w:val="20"/>
        </w:rPr>
        <w:t>multicenter</w:t>
      </w:r>
      <w:proofErr w:type="spellEnd"/>
      <w:r w:rsidRPr="00ED1044">
        <w:rPr>
          <w:rFonts w:asciiTheme="majorHAnsi" w:hAnsiTheme="majorHAnsi"/>
          <w:sz w:val="20"/>
        </w:rPr>
        <w:t xml:space="preserve"> study of treatment efficacy. </w:t>
      </w:r>
      <w:r w:rsidRPr="008E4579">
        <w:rPr>
          <w:rFonts w:asciiTheme="majorHAnsi" w:hAnsiTheme="majorHAnsi"/>
          <w:i/>
          <w:sz w:val="20"/>
        </w:rPr>
        <w:t xml:space="preserve">JAMA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ED1044">
        <w:rPr>
          <w:rFonts w:asciiTheme="majorHAnsi" w:hAnsiTheme="majorHAnsi"/>
          <w:sz w:val="20"/>
        </w:rPr>
        <w:t xml:space="preserve"> 2014</w:t>
      </w:r>
      <w:proofErr w:type="gramStart"/>
      <w:r w:rsidRPr="00ED1044">
        <w:rPr>
          <w:rFonts w:asciiTheme="majorHAnsi" w:hAnsiTheme="majorHAnsi"/>
          <w:sz w:val="20"/>
        </w:rPr>
        <w:t>;71</w:t>
      </w:r>
      <w:proofErr w:type="gramEnd"/>
      <w:r w:rsidRPr="00ED1044">
        <w:rPr>
          <w:rFonts w:asciiTheme="majorHAnsi" w:hAnsiTheme="majorHAnsi"/>
          <w:sz w:val="20"/>
        </w:rPr>
        <w:t>(3): 324–330.</w:t>
      </w:r>
    </w:p>
    <w:p w:rsidR="00EF5C24" w:rsidRPr="002B2AF1" w:rsidRDefault="00EF5C24" w:rsidP="00EF5C24">
      <w:pPr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Kim SH, Huh SY, Lee SJ, </w:t>
      </w:r>
      <w:proofErr w:type="spellStart"/>
      <w:r w:rsidRPr="00ED1044">
        <w:rPr>
          <w:rFonts w:asciiTheme="majorHAnsi" w:hAnsiTheme="majorHAnsi"/>
          <w:sz w:val="20"/>
        </w:rPr>
        <w:t>Joung</w:t>
      </w:r>
      <w:proofErr w:type="spellEnd"/>
      <w:r w:rsidRPr="00ED1044">
        <w:rPr>
          <w:rFonts w:asciiTheme="majorHAnsi" w:hAnsiTheme="majorHAnsi"/>
          <w:sz w:val="20"/>
        </w:rPr>
        <w:t xml:space="preserve"> A, Kim HJ. A 5-year follow-up of rituximab treatment in patients with neuromyelitis optica spectrum disorder. </w:t>
      </w:r>
      <w:r w:rsidRPr="008E4579">
        <w:rPr>
          <w:rFonts w:asciiTheme="majorHAnsi" w:hAnsiTheme="majorHAnsi"/>
          <w:i/>
          <w:sz w:val="20"/>
        </w:rPr>
        <w:t xml:space="preserve">JAMA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ED1044">
        <w:rPr>
          <w:rFonts w:asciiTheme="majorHAnsi" w:hAnsiTheme="majorHAnsi"/>
          <w:sz w:val="20"/>
        </w:rPr>
        <w:t xml:space="preserve"> 2013</w:t>
      </w:r>
      <w:proofErr w:type="gramStart"/>
      <w:r w:rsidRPr="00ED1044">
        <w:rPr>
          <w:rFonts w:asciiTheme="majorHAnsi" w:hAnsiTheme="majorHAnsi"/>
          <w:sz w:val="20"/>
        </w:rPr>
        <w:t>;70</w:t>
      </w:r>
      <w:proofErr w:type="gramEnd"/>
      <w:r w:rsidRPr="00ED1044">
        <w:rPr>
          <w:rFonts w:asciiTheme="majorHAnsi" w:hAnsiTheme="majorHAnsi"/>
          <w:sz w:val="20"/>
        </w:rPr>
        <w:t>: 1110–1117.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lastRenderedPageBreak/>
        <w:t xml:space="preserve">Cohen M, Romero G, Bas J, </w:t>
      </w:r>
      <w:r>
        <w:rPr>
          <w:rFonts w:asciiTheme="majorHAnsi" w:hAnsiTheme="majorHAnsi"/>
          <w:sz w:val="20"/>
        </w:rPr>
        <w:t>et al</w:t>
      </w:r>
      <w:r w:rsidRPr="00ED1044">
        <w:rPr>
          <w:rFonts w:asciiTheme="majorHAnsi" w:hAnsiTheme="majorHAnsi"/>
          <w:sz w:val="20"/>
        </w:rPr>
        <w:t>. Monitoring CD27</w:t>
      </w:r>
      <w:r w:rsidRPr="00FD798E">
        <w:rPr>
          <w:rFonts w:asciiTheme="majorHAnsi" w:hAnsiTheme="majorHAnsi"/>
          <w:sz w:val="20"/>
          <w:vertAlign w:val="superscript"/>
        </w:rPr>
        <w:t>+</w:t>
      </w:r>
      <w:r w:rsidRPr="00ED1044">
        <w:rPr>
          <w:rFonts w:asciiTheme="majorHAnsi" w:hAnsiTheme="majorHAnsi"/>
          <w:sz w:val="20"/>
        </w:rPr>
        <w:t xml:space="preserve"> memory B-cells in neuromyelitis optica spectrum disorders patients treated with rituximab: Results from a </w:t>
      </w:r>
      <w:proofErr w:type="spellStart"/>
      <w:r w:rsidRPr="00ED1044">
        <w:rPr>
          <w:rFonts w:asciiTheme="majorHAnsi" w:hAnsiTheme="majorHAnsi"/>
          <w:sz w:val="20"/>
        </w:rPr>
        <w:t>bicentric</w:t>
      </w:r>
      <w:proofErr w:type="spellEnd"/>
      <w:r w:rsidRPr="00ED1044">
        <w:rPr>
          <w:rFonts w:asciiTheme="majorHAnsi" w:hAnsiTheme="majorHAnsi"/>
          <w:sz w:val="20"/>
        </w:rPr>
        <w:t xml:space="preserve"> study. </w:t>
      </w:r>
      <w:r w:rsidRPr="008E4579">
        <w:rPr>
          <w:rFonts w:asciiTheme="majorHAnsi" w:hAnsiTheme="majorHAnsi"/>
          <w:i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Sci</w:t>
      </w:r>
      <w:proofErr w:type="spellEnd"/>
      <w:r w:rsidRPr="00ED1044">
        <w:rPr>
          <w:rFonts w:asciiTheme="majorHAnsi" w:hAnsiTheme="majorHAnsi"/>
          <w:sz w:val="20"/>
        </w:rPr>
        <w:t xml:space="preserve"> 2017</w:t>
      </w:r>
      <w:proofErr w:type="gramStart"/>
      <w:r w:rsidRPr="00ED1044">
        <w:rPr>
          <w:rFonts w:asciiTheme="majorHAnsi" w:hAnsiTheme="majorHAnsi"/>
          <w:sz w:val="20"/>
        </w:rPr>
        <w:t>;373:335</w:t>
      </w:r>
      <w:proofErr w:type="gramEnd"/>
      <w:r w:rsidRPr="00ED1044">
        <w:rPr>
          <w:rFonts w:asciiTheme="majorHAnsi" w:hAnsiTheme="majorHAnsi"/>
          <w:sz w:val="20"/>
        </w:rPr>
        <w:t>-338.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proofErr w:type="spellStart"/>
      <w:r w:rsidRPr="00ED1044">
        <w:rPr>
          <w:rFonts w:asciiTheme="majorHAnsi" w:hAnsiTheme="majorHAnsi"/>
          <w:sz w:val="20"/>
        </w:rPr>
        <w:t>Collongues</w:t>
      </w:r>
      <w:proofErr w:type="spellEnd"/>
      <w:r w:rsidRPr="00ED1044">
        <w:rPr>
          <w:rFonts w:asciiTheme="majorHAnsi" w:hAnsiTheme="majorHAnsi"/>
          <w:sz w:val="20"/>
        </w:rPr>
        <w:t xml:space="preserve"> N, de </w:t>
      </w:r>
      <w:proofErr w:type="spellStart"/>
      <w:r w:rsidRPr="00ED1044">
        <w:rPr>
          <w:rFonts w:asciiTheme="majorHAnsi" w:hAnsiTheme="majorHAnsi"/>
          <w:sz w:val="20"/>
        </w:rPr>
        <w:t>Seze</w:t>
      </w:r>
      <w:proofErr w:type="spellEnd"/>
      <w:r w:rsidRPr="00ED1044">
        <w:rPr>
          <w:rFonts w:asciiTheme="majorHAnsi" w:hAnsiTheme="majorHAnsi"/>
          <w:sz w:val="20"/>
        </w:rPr>
        <w:t xml:space="preserve"> J. An update on the evidence for the efficacy and safety of rituximab in the management of neuromyelitis optica. </w:t>
      </w:r>
      <w:proofErr w:type="spellStart"/>
      <w:r w:rsidRPr="008E4579">
        <w:rPr>
          <w:rFonts w:asciiTheme="majorHAnsi" w:hAnsiTheme="majorHAnsi"/>
          <w:i/>
          <w:sz w:val="20"/>
        </w:rPr>
        <w:t>Ther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Adv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Disord</w:t>
      </w:r>
      <w:proofErr w:type="spellEnd"/>
      <w:r w:rsidRPr="00ED1044">
        <w:rPr>
          <w:rFonts w:asciiTheme="majorHAnsi" w:hAnsiTheme="majorHAnsi"/>
          <w:sz w:val="20"/>
        </w:rPr>
        <w:t xml:space="preserve"> 2016</w:t>
      </w:r>
      <w:proofErr w:type="gramStart"/>
      <w:r w:rsidRPr="00ED1044">
        <w:rPr>
          <w:rFonts w:asciiTheme="majorHAnsi" w:hAnsiTheme="majorHAnsi"/>
          <w:sz w:val="20"/>
        </w:rPr>
        <w:t>;9</w:t>
      </w:r>
      <w:proofErr w:type="gramEnd"/>
      <w:r w:rsidRPr="00ED1044">
        <w:rPr>
          <w:rFonts w:asciiTheme="majorHAnsi" w:hAnsiTheme="majorHAnsi"/>
          <w:sz w:val="20"/>
        </w:rPr>
        <w:t>(3):180-188.</w:t>
      </w:r>
    </w:p>
    <w:p w:rsidR="00EF5C24" w:rsidRPr="000156CE" w:rsidRDefault="00EF5C24" w:rsidP="00EF5C24">
      <w:pPr>
        <w:rPr>
          <w:rFonts w:asciiTheme="majorHAnsi" w:hAnsiTheme="majorHAnsi"/>
          <w:sz w:val="20"/>
        </w:rPr>
      </w:pPr>
    </w:p>
    <w:p w:rsidR="009F5FAE" w:rsidRDefault="009F5FAE" w:rsidP="009F5FAE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Pittock SJ, </w:t>
      </w:r>
      <w:proofErr w:type="spellStart"/>
      <w:r>
        <w:rPr>
          <w:rFonts w:asciiTheme="majorHAnsi" w:hAnsiTheme="majorHAnsi"/>
          <w:sz w:val="20"/>
        </w:rPr>
        <w:t>Lucchinetti</w:t>
      </w:r>
      <w:proofErr w:type="spellEnd"/>
      <w:r>
        <w:rPr>
          <w:rFonts w:asciiTheme="majorHAnsi" w:hAnsiTheme="majorHAnsi"/>
          <w:sz w:val="20"/>
        </w:rPr>
        <w:t xml:space="preserve"> CF. </w:t>
      </w:r>
      <w:r w:rsidRPr="009F5FAE">
        <w:rPr>
          <w:rFonts w:asciiTheme="majorHAnsi" w:hAnsiTheme="majorHAnsi"/>
          <w:sz w:val="20"/>
        </w:rPr>
        <w:t xml:space="preserve">Neuromyelitis optica and the evolving spectrum of autoimmune aquaporin-4 </w:t>
      </w:r>
      <w:proofErr w:type="spellStart"/>
      <w:r w:rsidRPr="009F5FAE">
        <w:rPr>
          <w:rFonts w:asciiTheme="majorHAnsi" w:hAnsiTheme="majorHAnsi"/>
          <w:sz w:val="20"/>
        </w:rPr>
        <w:t>channelopathies</w:t>
      </w:r>
      <w:proofErr w:type="spellEnd"/>
      <w:r w:rsidRPr="009F5FAE">
        <w:rPr>
          <w:rFonts w:asciiTheme="majorHAnsi" w:hAnsiTheme="majorHAnsi"/>
          <w:sz w:val="20"/>
        </w:rPr>
        <w:t>: a decade later.</w:t>
      </w:r>
      <w:r>
        <w:rPr>
          <w:rFonts w:asciiTheme="majorHAnsi" w:hAnsiTheme="majorHAnsi"/>
          <w:sz w:val="20"/>
        </w:rPr>
        <w:t xml:space="preserve"> </w:t>
      </w:r>
      <w:r w:rsidRPr="009F5FAE">
        <w:rPr>
          <w:rFonts w:asciiTheme="majorHAnsi" w:hAnsiTheme="majorHAnsi"/>
          <w:i/>
          <w:sz w:val="20"/>
        </w:rPr>
        <w:t xml:space="preserve">Ann N Y </w:t>
      </w:r>
      <w:proofErr w:type="spellStart"/>
      <w:r w:rsidRPr="009F5FAE">
        <w:rPr>
          <w:rFonts w:asciiTheme="majorHAnsi" w:hAnsiTheme="majorHAnsi"/>
          <w:i/>
          <w:sz w:val="20"/>
        </w:rPr>
        <w:t>Acad</w:t>
      </w:r>
      <w:proofErr w:type="spellEnd"/>
      <w:r w:rsidRPr="009F5FAE">
        <w:rPr>
          <w:rFonts w:asciiTheme="majorHAnsi" w:hAnsiTheme="majorHAnsi"/>
          <w:i/>
          <w:sz w:val="20"/>
        </w:rPr>
        <w:t xml:space="preserve"> </w:t>
      </w:r>
      <w:proofErr w:type="spellStart"/>
      <w:r w:rsidRPr="009F5FAE">
        <w:rPr>
          <w:rFonts w:asciiTheme="majorHAnsi" w:hAnsiTheme="majorHAnsi"/>
          <w:i/>
          <w:sz w:val="20"/>
        </w:rPr>
        <w:t>Sci</w:t>
      </w:r>
      <w:proofErr w:type="spellEnd"/>
      <w:r>
        <w:rPr>
          <w:rFonts w:asciiTheme="majorHAnsi" w:hAnsiTheme="majorHAnsi"/>
          <w:sz w:val="20"/>
        </w:rPr>
        <w:t xml:space="preserve"> 2016</w:t>
      </w:r>
      <w:proofErr w:type="gramStart"/>
      <w:r>
        <w:rPr>
          <w:rFonts w:asciiTheme="majorHAnsi" w:hAnsiTheme="majorHAnsi"/>
          <w:sz w:val="20"/>
        </w:rPr>
        <w:t>;1366</w:t>
      </w:r>
      <w:proofErr w:type="gramEnd"/>
      <w:r>
        <w:rPr>
          <w:rFonts w:asciiTheme="majorHAnsi" w:hAnsiTheme="majorHAnsi"/>
          <w:sz w:val="20"/>
        </w:rPr>
        <w:t>(1):20-39.</w:t>
      </w:r>
    </w:p>
    <w:p w:rsidR="009F5FAE" w:rsidRPr="009F5FAE" w:rsidRDefault="009F5FAE" w:rsidP="009F5FAE">
      <w:pPr>
        <w:pStyle w:val="ListParagraph"/>
        <w:rPr>
          <w:rFonts w:asciiTheme="majorHAnsi" w:hAnsiTheme="majorHAnsi"/>
          <w:sz w:val="20"/>
        </w:rPr>
      </w:pPr>
    </w:p>
    <w:p w:rsidR="00900CEB" w:rsidRDefault="00900CEB" w:rsidP="00900CEB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Kim SH, </w:t>
      </w:r>
      <w:proofErr w:type="spellStart"/>
      <w:r w:rsidRPr="00ED1044">
        <w:rPr>
          <w:rFonts w:asciiTheme="majorHAnsi" w:hAnsiTheme="majorHAnsi"/>
          <w:sz w:val="20"/>
        </w:rPr>
        <w:t>Jeong</w:t>
      </w:r>
      <w:proofErr w:type="spellEnd"/>
      <w:r w:rsidRPr="00ED1044">
        <w:rPr>
          <w:rFonts w:asciiTheme="majorHAnsi" w:hAnsiTheme="majorHAnsi"/>
          <w:sz w:val="20"/>
        </w:rPr>
        <w:t xml:space="preserve"> IH, Hyun JW,</w:t>
      </w:r>
      <w:r w:rsidR="009F5FA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et al</w:t>
      </w:r>
      <w:r w:rsidRPr="00ED1044">
        <w:rPr>
          <w:rFonts w:asciiTheme="majorHAnsi" w:hAnsiTheme="majorHAnsi"/>
          <w:sz w:val="20"/>
        </w:rPr>
        <w:t xml:space="preserve">. Treatment </w:t>
      </w:r>
      <w:r w:rsidR="009F5FAE">
        <w:rPr>
          <w:rFonts w:asciiTheme="majorHAnsi" w:hAnsiTheme="majorHAnsi"/>
          <w:sz w:val="20"/>
        </w:rPr>
        <w:t>o</w:t>
      </w:r>
      <w:r w:rsidRPr="00ED1044">
        <w:rPr>
          <w:rFonts w:asciiTheme="majorHAnsi" w:hAnsiTheme="majorHAnsi"/>
          <w:sz w:val="20"/>
        </w:rPr>
        <w:t xml:space="preserve">utcomes </w:t>
      </w:r>
      <w:r w:rsidR="009F5FAE">
        <w:rPr>
          <w:rFonts w:asciiTheme="majorHAnsi" w:hAnsiTheme="majorHAnsi"/>
          <w:sz w:val="20"/>
        </w:rPr>
        <w:t>w</w:t>
      </w:r>
      <w:r w:rsidRPr="00ED1044">
        <w:rPr>
          <w:rFonts w:asciiTheme="majorHAnsi" w:hAnsiTheme="majorHAnsi"/>
          <w:sz w:val="20"/>
        </w:rPr>
        <w:t>ith </w:t>
      </w:r>
      <w:r w:rsidR="009F5FAE">
        <w:rPr>
          <w:rFonts w:asciiTheme="majorHAnsi" w:hAnsiTheme="majorHAnsi"/>
          <w:sz w:val="20"/>
        </w:rPr>
        <w:t>r</w:t>
      </w:r>
      <w:r w:rsidRPr="00ED1044">
        <w:rPr>
          <w:rFonts w:asciiTheme="majorHAnsi" w:hAnsiTheme="majorHAnsi"/>
          <w:sz w:val="20"/>
        </w:rPr>
        <w:t xml:space="preserve">ituximab in 100 </w:t>
      </w:r>
      <w:r w:rsidR="009F5FAE">
        <w:rPr>
          <w:rFonts w:asciiTheme="majorHAnsi" w:hAnsiTheme="majorHAnsi"/>
          <w:sz w:val="20"/>
        </w:rPr>
        <w:t>p</w:t>
      </w:r>
      <w:r w:rsidRPr="00ED1044">
        <w:rPr>
          <w:rFonts w:asciiTheme="majorHAnsi" w:hAnsiTheme="majorHAnsi"/>
          <w:sz w:val="20"/>
        </w:rPr>
        <w:t xml:space="preserve">atients </w:t>
      </w:r>
      <w:r w:rsidR="009F5FAE">
        <w:rPr>
          <w:rFonts w:asciiTheme="majorHAnsi" w:hAnsiTheme="majorHAnsi"/>
          <w:sz w:val="20"/>
        </w:rPr>
        <w:t>w</w:t>
      </w:r>
      <w:r w:rsidRPr="00ED1044">
        <w:rPr>
          <w:rFonts w:asciiTheme="majorHAnsi" w:hAnsiTheme="majorHAnsi"/>
          <w:sz w:val="20"/>
        </w:rPr>
        <w:t>ith </w:t>
      </w:r>
      <w:r w:rsidR="009F5FAE">
        <w:rPr>
          <w:rFonts w:asciiTheme="majorHAnsi" w:hAnsiTheme="majorHAnsi"/>
          <w:sz w:val="20"/>
        </w:rPr>
        <w:t>n</w:t>
      </w:r>
      <w:r w:rsidRPr="00ED1044">
        <w:rPr>
          <w:rFonts w:asciiTheme="majorHAnsi" w:hAnsiTheme="majorHAnsi"/>
          <w:sz w:val="20"/>
        </w:rPr>
        <w:t xml:space="preserve">euromyelitis </w:t>
      </w:r>
      <w:r w:rsidR="009F5FAE">
        <w:rPr>
          <w:rFonts w:asciiTheme="majorHAnsi" w:hAnsiTheme="majorHAnsi"/>
          <w:sz w:val="20"/>
        </w:rPr>
        <w:t>o</w:t>
      </w:r>
      <w:r w:rsidRPr="00ED1044">
        <w:rPr>
          <w:rFonts w:asciiTheme="majorHAnsi" w:hAnsiTheme="majorHAnsi"/>
          <w:sz w:val="20"/>
        </w:rPr>
        <w:t xml:space="preserve">ptica: Influence of FCGR3A </w:t>
      </w:r>
      <w:r w:rsidR="009F5FAE">
        <w:rPr>
          <w:rFonts w:asciiTheme="majorHAnsi" w:hAnsiTheme="majorHAnsi"/>
          <w:sz w:val="20"/>
        </w:rPr>
        <w:t>p</w:t>
      </w:r>
      <w:r w:rsidRPr="00ED1044">
        <w:rPr>
          <w:rFonts w:asciiTheme="majorHAnsi" w:hAnsiTheme="majorHAnsi"/>
          <w:sz w:val="20"/>
        </w:rPr>
        <w:t xml:space="preserve">olymorphisms on </w:t>
      </w:r>
      <w:r w:rsidR="009F5FAE" w:rsidRPr="00ED1044">
        <w:rPr>
          <w:rFonts w:asciiTheme="majorHAnsi" w:hAnsiTheme="majorHAnsi"/>
          <w:sz w:val="20"/>
        </w:rPr>
        <w:t>the</w:t>
      </w:r>
      <w:r w:rsidR="009F5FAE">
        <w:rPr>
          <w:rFonts w:asciiTheme="majorHAnsi" w:hAnsiTheme="majorHAnsi"/>
          <w:sz w:val="20"/>
        </w:rPr>
        <w:t xml:space="preserve"> </w:t>
      </w:r>
      <w:r w:rsidR="009F5FAE" w:rsidRPr="00ED1044">
        <w:rPr>
          <w:rFonts w:asciiTheme="majorHAnsi" w:hAnsiTheme="majorHAnsi"/>
          <w:sz w:val="20"/>
        </w:rPr>
        <w:t>therapeutic</w:t>
      </w:r>
      <w:r w:rsidRPr="00ED1044">
        <w:rPr>
          <w:rFonts w:asciiTheme="majorHAnsi" w:hAnsiTheme="majorHAnsi"/>
          <w:sz w:val="20"/>
        </w:rPr>
        <w:t> </w:t>
      </w:r>
      <w:r w:rsidR="009F5FAE">
        <w:rPr>
          <w:rFonts w:asciiTheme="majorHAnsi" w:hAnsiTheme="majorHAnsi"/>
          <w:sz w:val="20"/>
        </w:rPr>
        <w:t>r</w:t>
      </w:r>
      <w:r w:rsidRPr="00ED1044">
        <w:rPr>
          <w:rFonts w:asciiTheme="majorHAnsi" w:hAnsiTheme="majorHAnsi"/>
          <w:sz w:val="20"/>
        </w:rPr>
        <w:t>esponse to </w:t>
      </w:r>
      <w:r w:rsidR="009F5FAE">
        <w:rPr>
          <w:rFonts w:asciiTheme="majorHAnsi" w:hAnsiTheme="majorHAnsi"/>
          <w:sz w:val="20"/>
        </w:rPr>
        <w:t>r</w:t>
      </w:r>
      <w:r w:rsidRPr="00ED1044">
        <w:rPr>
          <w:rFonts w:asciiTheme="majorHAnsi" w:hAnsiTheme="majorHAnsi"/>
          <w:sz w:val="20"/>
        </w:rPr>
        <w:t xml:space="preserve">ituximab. </w:t>
      </w:r>
      <w:r w:rsidRPr="008E4579">
        <w:rPr>
          <w:rFonts w:asciiTheme="majorHAnsi" w:hAnsiTheme="majorHAnsi"/>
          <w:i/>
          <w:sz w:val="20"/>
        </w:rPr>
        <w:t xml:space="preserve">JAMA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ED1044">
        <w:rPr>
          <w:rFonts w:asciiTheme="majorHAnsi" w:hAnsiTheme="majorHAnsi"/>
          <w:sz w:val="20"/>
        </w:rPr>
        <w:t xml:space="preserve"> 2015</w:t>
      </w:r>
      <w:proofErr w:type="gramStart"/>
      <w:r w:rsidRPr="00ED1044">
        <w:rPr>
          <w:rFonts w:asciiTheme="majorHAnsi" w:hAnsiTheme="majorHAnsi"/>
          <w:sz w:val="20"/>
        </w:rPr>
        <w:t>;72</w:t>
      </w:r>
      <w:proofErr w:type="gramEnd"/>
      <w:r w:rsidRPr="00ED1044">
        <w:rPr>
          <w:rFonts w:asciiTheme="majorHAnsi" w:hAnsiTheme="majorHAnsi"/>
          <w:sz w:val="20"/>
        </w:rPr>
        <w:t>(9):989-995.</w:t>
      </w:r>
    </w:p>
    <w:p w:rsidR="00900CEB" w:rsidRPr="00900CEB" w:rsidRDefault="00900CEB" w:rsidP="00900CEB">
      <w:pPr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 xml:space="preserve">Lindsey JW, </w:t>
      </w:r>
      <w:proofErr w:type="spellStart"/>
      <w:r w:rsidRPr="00ED1044">
        <w:rPr>
          <w:rFonts w:asciiTheme="majorHAnsi" w:hAnsiTheme="majorHAnsi"/>
          <w:sz w:val="20"/>
        </w:rPr>
        <w:t>Meulmester</w:t>
      </w:r>
      <w:proofErr w:type="spellEnd"/>
      <w:r w:rsidRPr="00ED1044">
        <w:rPr>
          <w:rFonts w:asciiTheme="majorHAnsi" w:hAnsiTheme="majorHAnsi"/>
          <w:sz w:val="20"/>
        </w:rPr>
        <w:t xml:space="preserve"> KM, </w:t>
      </w:r>
      <w:proofErr w:type="spellStart"/>
      <w:r w:rsidRPr="00ED1044">
        <w:rPr>
          <w:rFonts w:asciiTheme="majorHAnsi" w:hAnsiTheme="majorHAnsi"/>
          <w:sz w:val="20"/>
        </w:rPr>
        <w:t>Brod</w:t>
      </w:r>
      <w:proofErr w:type="spellEnd"/>
      <w:r w:rsidRPr="00ED1044">
        <w:rPr>
          <w:rFonts w:asciiTheme="majorHAnsi" w:hAnsiTheme="majorHAnsi"/>
          <w:sz w:val="20"/>
        </w:rPr>
        <w:t xml:space="preserve"> SA, Nelson F, </w:t>
      </w:r>
      <w:proofErr w:type="spellStart"/>
      <w:r w:rsidRPr="00ED1044">
        <w:rPr>
          <w:rFonts w:asciiTheme="majorHAnsi" w:hAnsiTheme="majorHAnsi"/>
          <w:sz w:val="20"/>
        </w:rPr>
        <w:t>Wolinsky</w:t>
      </w:r>
      <w:proofErr w:type="spellEnd"/>
      <w:r w:rsidRPr="00ED1044">
        <w:rPr>
          <w:rFonts w:asciiTheme="majorHAnsi" w:hAnsiTheme="majorHAnsi"/>
          <w:sz w:val="20"/>
        </w:rPr>
        <w:t xml:space="preserve"> JS. Variable results after rituximab in neuromyelitis optica. </w:t>
      </w:r>
      <w:r w:rsidRPr="008E4579">
        <w:rPr>
          <w:rFonts w:asciiTheme="majorHAnsi" w:hAnsiTheme="majorHAnsi"/>
          <w:i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Sci</w:t>
      </w:r>
      <w:proofErr w:type="spellEnd"/>
      <w:r w:rsidRPr="00ED1044">
        <w:rPr>
          <w:rFonts w:asciiTheme="majorHAnsi" w:hAnsiTheme="majorHAnsi"/>
          <w:sz w:val="20"/>
        </w:rPr>
        <w:t xml:space="preserve"> 2012</w:t>
      </w:r>
      <w:proofErr w:type="gramStart"/>
      <w:r w:rsidRPr="00ED1044">
        <w:rPr>
          <w:rFonts w:asciiTheme="majorHAnsi" w:hAnsiTheme="majorHAnsi"/>
          <w:sz w:val="20"/>
        </w:rPr>
        <w:t>;317</w:t>
      </w:r>
      <w:proofErr w:type="gramEnd"/>
      <w:r w:rsidRPr="00ED1044">
        <w:rPr>
          <w:rFonts w:asciiTheme="majorHAnsi" w:hAnsiTheme="majorHAnsi"/>
          <w:sz w:val="20"/>
        </w:rPr>
        <w:t>(1-2):103-105.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proofErr w:type="spellStart"/>
      <w:r w:rsidRPr="00ED1044">
        <w:rPr>
          <w:rFonts w:asciiTheme="majorHAnsi" w:hAnsiTheme="majorHAnsi"/>
          <w:sz w:val="20"/>
        </w:rPr>
        <w:t>Perumal</w:t>
      </w:r>
      <w:proofErr w:type="spellEnd"/>
      <w:r w:rsidRPr="00ED1044">
        <w:rPr>
          <w:rFonts w:asciiTheme="majorHAnsi" w:hAnsiTheme="majorHAnsi"/>
          <w:sz w:val="20"/>
        </w:rPr>
        <w:t xml:space="preserve"> JS, </w:t>
      </w:r>
      <w:proofErr w:type="spellStart"/>
      <w:r w:rsidRPr="00ED1044">
        <w:rPr>
          <w:rFonts w:asciiTheme="majorHAnsi" w:hAnsiTheme="majorHAnsi"/>
          <w:sz w:val="20"/>
        </w:rPr>
        <w:t>Kister</w:t>
      </w:r>
      <w:proofErr w:type="spellEnd"/>
      <w:r w:rsidRPr="00ED1044">
        <w:rPr>
          <w:rFonts w:asciiTheme="majorHAnsi" w:hAnsiTheme="majorHAnsi"/>
          <w:sz w:val="20"/>
        </w:rPr>
        <w:t xml:space="preserve"> I, Howard J, Herbert J. Disease exacerbation after rituximab </w:t>
      </w:r>
      <w:proofErr w:type="spellStart"/>
      <w:r w:rsidRPr="00ED1044">
        <w:rPr>
          <w:rFonts w:asciiTheme="majorHAnsi" w:hAnsiTheme="majorHAnsi"/>
          <w:sz w:val="20"/>
        </w:rPr>
        <w:t>inducation</w:t>
      </w:r>
      <w:proofErr w:type="spellEnd"/>
      <w:r w:rsidRPr="00ED1044">
        <w:rPr>
          <w:rFonts w:asciiTheme="majorHAnsi" w:hAnsiTheme="majorHAnsi"/>
          <w:sz w:val="20"/>
        </w:rPr>
        <w:t xml:space="preserve"> in neuromyelitis optica. </w:t>
      </w:r>
      <w:r>
        <w:rPr>
          <w:rFonts w:asciiTheme="majorHAnsi" w:hAnsiTheme="majorHAnsi"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Neurol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Neuroimmunol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Neuroinflamm</w:t>
      </w:r>
      <w:proofErr w:type="spellEnd"/>
      <w:r w:rsidRPr="00ED1044">
        <w:rPr>
          <w:rFonts w:asciiTheme="majorHAnsi" w:hAnsiTheme="majorHAnsi"/>
          <w:sz w:val="20"/>
        </w:rPr>
        <w:t xml:space="preserve"> 2015</w:t>
      </w:r>
      <w:proofErr w:type="gramStart"/>
      <w:r w:rsidRPr="00ED1044">
        <w:rPr>
          <w:rFonts w:asciiTheme="majorHAnsi" w:hAnsiTheme="majorHAnsi"/>
          <w:sz w:val="20"/>
        </w:rPr>
        <w:t>;2</w:t>
      </w:r>
      <w:proofErr w:type="gramEnd"/>
      <w:r w:rsidRPr="00ED1044">
        <w:rPr>
          <w:rFonts w:asciiTheme="majorHAnsi" w:hAnsiTheme="majorHAnsi"/>
          <w:sz w:val="20"/>
        </w:rPr>
        <w:t>(1):e61.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</w:rPr>
      </w:pPr>
      <w:r w:rsidRPr="00ED1044">
        <w:rPr>
          <w:rFonts w:asciiTheme="majorHAnsi" w:hAnsiTheme="majorHAnsi"/>
          <w:sz w:val="20"/>
        </w:rPr>
        <w:t xml:space="preserve">Nakashima I, Takahashi T, Cree BA, </w:t>
      </w:r>
      <w:r>
        <w:rPr>
          <w:rFonts w:asciiTheme="majorHAnsi" w:hAnsiTheme="majorHAnsi"/>
          <w:sz w:val="20"/>
        </w:rPr>
        <w:t xml:space="preserve">et al. </w:t>
      </w:r>
      <w:r w:rsidRPr="00ED1044">
        <w:rPr>
          <w:rFonts w:asciiTheme="majorHAnsi" w:hAnsiTheme="majorHAnsi"/>
          <w:sz w:val="20"/>
        </w:rPr>
        <w:t xml:space="preserve">Transient increases in anti-aquaporin-4 antibody </w:t>
      </w:r>
      <w:proofErr w:type="spellStart"/>
      <w:r w:rsidRPr="00ED1044">
        <w:rPr>
          <w:rFonts w:asciiTheme="majorHAnsi" w:hAnsiTheme="majorHAnsi"/>
          <w:sz w:val="20"/>
        </w:rPr>
        <w:t>titers</w:t>
      </w:r>
      <w:proofErr w:type="spellEnd"/>
      <w:r w:rsidRPr="00ED1044">
        <w:rPr>
          <w:rFonts w:asciiTheme="majorHAnsi" w:hAnsiTheme="majorHAnsi"/>
          <w:sz w:val="20"/>
        </w:rPr>
        <w:t xml:space="preserve"> following rituximab treatment in neuromyelitis optica, in association with elevated serum BAFF levels. </w:t>
      </w:r>
      <w:r w:rsidRPr="008E4579">
        <w:rPr>
          <w:rFonts w:asciiTheme="majorHAnsi" w:hAnsiTheme="majorHAnsi"/>
          <w:i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Clin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Neurosci</w:t>
      </w:r>
      <w:proofErr w:type="spellEnd"/>
      <w:r w:rsidRPr="00ED1044">
        <w:rPr>
          <w:rFonts w:asciiTheme="majorHAnsi" w:hAnsiTheme="majorHAnsi"/>
          <w:sz w:val="20"/>
        </w:rPr>
        <w:t xml:space="preserve"> 2011</w:t>
      </w:r>
      <w:proofErr w:type="gramStart"/>
      <w:r w:rsidRPr="00ED1044">
        <w:rPr>
          <w:rFonts w:asciiTheme="majorHAnsi" w:hAnsiTheme="majorHAnsi"/>
          <w:sz w:val="20"/>
        </w:rPr>
        <w:t>;18</w:t>
      </w:r>
      <w:proofErr w:type="gramEnd"/>
      <w:r w:rsidRPr="00ED1044">
        <w:rPr>
          <w:rFonts w:asciiTheme="majorHAnsi" w:hAnsiTheme="majorHAnsi"/>
          <w:sz w:val="20"/>
        </w:rPr>
        <w:t>(7):997-998.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</w:rPr>
      </w:pPr>
      <w:proofErr w:type="spellStart"/>
      <w:r w:rsidRPr="00ED1044">
        <w:rPr>
          <w:rFonts w:asciiTheme="majorHAnsi" w:hAnsiTheme="majorHAnsi"/>
          <w:sz w:val="20"/>
        </w:rPr>
        <w:t>Ruyssen-Witrand</w:t>
      </w:r>
      <w:proofErr w:type="spellEnd"/>
      <w:r w:rsidRPr="00ED1044">
        <w:rPr>
          <w:rFonts w:asciiTheme="majorHAnsi" w:hAnsiTheme="majorHAnsi"/>
          <w:sz w:val="20"/>
        </w:rPr>
        <w:t xml:space="preserve"> A, </w:t>
      </w:r>
      <w:proofErr w:type="spellStart"/>
      <w:r w:rsidRPr="00ED1044">
        <w:rPr>
          <w:rFonts w:asciiTheme="majorHAnsi" w:hAnsiTheme="majorHAnsi"/>
          <w:sz w:val="20"/>
        </w:rPr>
        <w:t>Rouanet</w:t>
      </w:r>
      <w:proofErr w:type="spellEnd"/>
      <w:r w:rsidRPr="00ED1044">
        <w:rPr>
          <w:rFonts w:asciiTheme="majorHAnsi" w:hAnsiTheme="majorHAnsi"/>
          <w:sz w:val="20"/>
        </w:rPr>
        <w:t xml:space="preserve"> S, Combe B, </w:t>
      </w:r>
      <w:r>
        <w:rPr>
          <w:rFonts w:asciiTheme="majorHAnsi" w:hAnsiTheme="majorHAnsi"/>
          <w:sz w:val="20"/>
        </w:rPr>
        <w:t xml:space="preserve">et al. </w:t>
      </w:r>
      <w:r w:rsidRPr="00ED1044">
        <w:rPr>
          <w:rFonts w:asciiTheme="majorHAnsi" w:hAnsiTheme="majorHAnsi"/>
          <w:sz w:val="20"/>
        </w:rPr>
        <w:t xml:space="preserve">Association between -871C&gt;T promoter polymorphism in the B-cell activating factor gene and the response to rituximab in rheumatoid arthritis patients. </w:t>
      </w:r>
      <w:r w:rsidRPr="008E4579">
        <w:rPr>
          <w:rFonts w:asciiTheme="majorHAnsi" w:hAnsiTheme="majorHAnsi"/>
          <w:i/>
          <w:sz w:val="20"/>
        </w:rPr>
        <w:t>Rheumatology</w:t>
      </w:r>
      <w:r w:rsidRPr="00ED1044">
        <w:rPr>
          <w:rFonts w:asciiTheme="majorHAnsi" w:hAnsiTheme="majorHAnsi"/>
          <w:sz w:val="20"/>
        </w:rPr>
        <w:t xml:space="preserve"> 2013</w:t>
      </w:r>
      <w:proofErr w:type="gramStart"/>
      <w:r w:rsidRPr="00ED1044">
        <w:rPr>
          <w:rFonts w:asciiTheme="majorHAnsi" w:hAnsiTheme="majorHAnsi"/>
          <w:sz w:val="20"/>
        </w:rPr>
        <w:t>;52</w:t>
      </w:r>
      <w:proofErr w:type="gramEnd"/>
      <w:r w:rsidRPr="00ED1044">
        <w:rPr>
          <w:rFonts w:asciiTheme="majorHAnsi" w:hAnsiTheme="majorHAnsi"/>
          <w:sz w:val="20"/>
        </w:rPr>
        <w:t>(4):636-641.</w:t>
      </w:r>
    </w:p>
    <w:p w:rsidR="00EF5C24" w:rsidRPr="00ED1044" w:rsidRDefault="00EF5C24" w:rsidP="00EF5C24">
      <w:pPr>
        <w:rPr>
          <w:rFonts w:asciiTheme="majorHAnsi" w:hAnsiTheme="majorHAnsi"/>
          <w:sz w:val="20"/>
        </w:rPr>
      </w:pPr>
    </w:p>
    <w:p w:rsidR="00EF5C24" w:rsidRPr="001B18F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t>Dunn</w:t>
      </w:r>
      <w:r>
        <w:rPr>
          <w:rFonts w:asciiTheme="majorHAnsi" w:hAnsiTheme="majorHAnsi"/>
          <w:sz w:val="20"/>
        </w:rPr>
        <w:t xml:space="preserve"> </w:t>
      </w:r>
      <w:r w:rsidRPr="00ED1044">
        <w:rPr>
          <w:rFonts w:asciiTheme="majorHAnsi" w:hAnsiTheme="majorHAnsi"/>
          <w:sz w:val="20"/>
        </w:rPr>
        <w:t xml:space="preserve">N, </w:t>
      </w:r>
      <w:proofErr w:type="spellStart"/>
      <w:r w:rsidRPr="00ED1044">
        <w:rPr>
          <w:rFonts w:asciiTheme="majorHAnsi" w:hAnsiTheme="majorHAnsi"/>
          <w:sz w:val="20"/>
        </w:rPr>
        <w:t>Juto</w:t>
      </w:r>
      <w:proofErr w:type="spellEnd"/>
      <w:r w:rsidRPr="00ED1044">
        <w:rPr>
          <w:rFonts w:asciiTheme="majorHAnsi" w:hAnsiTheme="majorHAnsi"/>
          <w:sz w:val="20"/>
        </w:rPr>
        <w:t xml:space="preserve"> A, </w:t>
      </w:r>
      <w:proofErr w:type="spellStart"/>
      <w:r w:rsidRPr="00ED1044">
        <w:rPr>
          <w:rFonts w:asciiTheme="majorHAnsi" w:hAnsiTheme="majorHAnsi"/>
          <w:sz w:val="20"/>
        </w:rPr>
        <w:t>Ryner</w:t>
      </w:r>
      <w:proofErr w:type="spellEnd"/>
      <w:r w:rsidRPr="00ED1044">
        <w:rPr>
          <w:rFonts w:asciiTheme="majorHAnsi" w:hAnsiTheme="majorHAnsi"/>
          <w:sz w:val="20"/>
        </w:rPr>
        <w:t xml:space="preserve"> M, </w:t>
      </w:r>
      <w:r>
        <w:rPr>
          <w:rFonts w:asciiTheme="majorHAnsi" w:hAnsiTheme="majorHAnsi"/>
          <w:sz w:val="20"/>
        </w:rPr>
        <w:t xml:space="preserve">et </w:t>
      </w:r>
      <w:r w:rsidRPr="001B18F1">
        <w:rPr>
          <w:rFonts w:asciiTheme="majorHAnsi" w:hAnsiTheme="majorHAnsi"/>
          <w:sz w:val="20"/>
        </w:rPr>
        <w:t xml:space="preserve">al. Rituximab in multiple sclerosis: Frequency and clinical relevance of anti-drug antibodies. </w:t>
      </w:r>
      <w:proofErr w:type="spellStart"/>
      <w:r w:rsidRPr="001B18F1">
        <w:rPr>
          <w:rFonts w:asciiTheme="majorHAnsi" w:hAnsiTheme="majorHAnsi"/>
          <w:i/>
          <w:sz w:val="20"/>
        </w:rPr>
        <w:t>Mult</w:t>
      </w:r>
      <w:proofErr w:type="spellEnd"/>
      <w:r w:rsidRPr="001B18F1">
        <w:rPr>
          <w:rFonts w:asciiTheme="majorHAnsi" w:hAnsiTheme="majorHAnsi"/>
          <w:i/>
          <w:sz w:val="20"/>
        </w:rPr>
        <w:t xml:space="preserve"> </w:t>
      </w:r>
      <w:proofErr w:type="spellStart"/>
      <w:r w:rsidRPr="001B18F1">
        <w:rPr>
          <w:rFonts w:asciiTheme="majorHAnsi" w:hAnsiTheme="majorHAnsi"/>
          <w:i/>
          <w:sz w:val="20"/>
        </w:rPr>
        <w:t>Scler</w:t>
      </w:r>
      <w:proofErr w:type="spellEnd"/>
      <w:r w:rsidRPr="001B18F1">
        <w:rPr>
          <w:rFonts w:asciiTheme="majorHAnsi" w:hAnsiTheme="majorHAnsi"/>
          <w:sz w:val="20"/>
        </w:rPr>
        <w:t xml:space="preserve"> 2017 [</w:t>
      </w:r>
      <w:proofErr w:type="spellStart"/>
      <w:r w:rsidRPr="001B18F1">
        <w:rPr>
          <w:rFonts w:asciiTheme="majorHAnsi" w:hAnsiTheme="majorHAnsi"/>
          <w:sz w:val="20"/>
        </w:rPr>
        <w:t>Epub</w:t>
      </w:r>
      <w:proofErr w:type="spellEnd"/>
      <w:r w:rsidRPr="001B18F1">
        <w:rPr>
          <w:rFonts w:asciiTheme="majorHAnsi" w:hAnsiTheme="majorHAnsi"/>
          <w:sz w:val="20"/>
        </w:rPr>
        <w:t xml:space="preserve"> ahead of print]. </w:t>
      </w:r>
    </w:p>
    <w:p w:rsidR="00EF5C24" w:rsidRPr="00E51D91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005819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51D91">
        <w:rPr>
          <w:rFonts w:asciiTheme="majorHAnsi" w:hAnsiTheme="majorHAnsi"/>
          <w:sz w:val="20"/>
        </w:rPr>
        <w:t xml:space="preserve">Li T, Zhang LJ, Zhang QX, et al. Anti-Rituximab antibody in patients with NMOSDs treated with low dose Rituximab. </w:t>
      </w:r>
      <w:r w:rsidRPr="008E4579">
        <w:rPr>
          <w:rFonts w:asciiTheme="majorHAnsi" w:hAnsiTheme="majorHAnsi"/>
          <w:i/>
          <w:sz w:val="20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</w:rPr>
        <w:t>Neuroimmunol</w:t>
      </w:r>
      <w:proofErr w:type="spellEnd"/>
      <w:r w:rsidRPr="00005819">
        <w:rPr>
          <w:rFonts w:asciiTheme="majorHAnsi" w:hAnsiTheme="majorHAnsi"/>
          <w:sz w:val="20"/>
        </w:rPr>
        <w:t xml:space="preserve"> 2018</w:t>
      </w:r>
      <w:proofErr w:type="gramStart"/>
      <w:r w:rsidRPr="00005819">
        <w:rPr>
          <w:rFonts w:asciiTheme="majorHAnsi" w:hAnsiTheme="majorHAnsi"/>
          <w:sz w:val="20"/>
        </w:rPr>
        <w:t>;316:107</w:t>
      </w:r>
      <w:proofErr w:type="gramEnd"/>
      <w:r w:rsidRPr="00005819">
        <w:rPr>
          <w:rFonts w:asciiTheme="majorHAnsi" w:hAnsiTheme="majorHAnsi"/>
          <w:sz w:val="20"/>
        </w:rPr>
        <w:t xml:space="preserve">-111. </w:t>
      </w:r>
    </w:p>
    <w:p w:rsidR="00EF5C24" w:rsidRPr="00E63CC7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E63CC7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E63CC7">
        <w:rPr>
          <w:rFonts w:asciiTheme="majorHAnsi" w:hAnsiTheme="majorHAnsi"/>
          <w:sz w:val="20"/>
          <w:szCs w:val="16"/>
        </w:rPr>
        <w:t xml:space="preserve">Van Vollenhoven RF, Emery P, Bingham CO, </w:t>
      </w:r>
      <w:r>
        <w:rPr>
          <w:rFonts w:asciiTheme="majorHAnsi" w:hAnsiTheme="majorHAnsi"/>
          <w:sz w:val="20"/>
          <w:szCs w:val="16"/>
        </w:rPr>
        <w:t>et al</w:t>
      </w:r>
      <w:r w:rsidRPr="00E63CC7">
        <w:rPr>
          <w:rFonts w:asciiTheme="majorHAnsi" w:hAnsiTheme="majorHAnsi"/>
          <w:sz w:val="20"/>
          <w:szCs w:val="16"/>
        </w:rPr>
        <w:t xml:space="preserve">. Long-term safety of rituximab in rheumatoid arthritis: 9.5year follow-up of the global clinical trial programme with a focus on adverse events of interest in RA patients. </w:t>
      </w:r>
      <w:r w:rsidRPr="008E4579">
        <w:rPr>
          <w:rFonts w:asciiTheme="majorHAnsi" w:hAnsiTheme="majorHAnsi"/>
          <w:i/>
          <w:sz w:val="20"/>
          <w:szCs w:val="16"/>
        </w:rPr>
        <w:t xml:space="preserve">Ann Rheum Dis </w:t>
      </w:r>
      <w:r w:rsidRPr="00E63CC7">
        <w:rPr>
          <w:rFonts w:asciiTheme="majorHAnsi" w:hAnsiTheme="majorHAnsi"/>
          <w:sz w:val="20"/>
          <w:szCs w:val="16"/>
        </w:rPr>
        <w:t>2013</w:t>
      </w:r>
      <w:proofErr w:type="gramStart"/>
      <w:r w:rsidRPr="00E63CC7">
        <w:rPr>
          <w:rFonts w:asciiTheme="majorHAnsi" w:hAnsiTheme="majorHAnsi"/>
          <w:sz w:val="20"/>
          <w:szCs w:val="16"/>
        </w:rPr>
        <w:t>;72</w:t>
      </w:r>
      <w:proofErr w:type="gramEnd"/>
      <w:r w:rsidRPr="00E63CC7">
        <w:rPr>
          <w:rFonts w:asciiTheme="majorHAnsi" w:hAnsiTheme="majorHAnsi"/>
          <w:sz w:val="20"/>
          <w:szCs w:val="16"/>
        </w:rPr>
        <w:t>(9):1496-1502.</w:t>
      </w:r>
    </w:p>
    <w:p w:rsidR="00EF5C24" w:rsidRPr="00E63CC7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E63CC7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  <w:szCs w:val="16"/>
        </w:rPr>
      </w:pPr>
      <w:r w:rsidRPr="00E63CC7">
        <w:rPr>
          <w:rFonts w:asciiTheme="majorHAnsi" w:hAnsiTheme="majorHAnsi"/>
          <w:sz w:val="20"/>
          <w:szCs w:val="16"/>
        </w:rPr>
        <w:t xml:space="preserve">De La Torre I, Leandro MJ, </w:t>
      </w:r>
      <w:proofErr w:type="spellStart"/>
      <w:r w:rsidRPr="00E63CC7">
        <w:rPr>
          <w:rFonts w:asciiTheme="majorHAnsi" w:hAnsiTheme="majorHAnsi"/>
          <w:sz w:val="20"/>
          <w:szCs w:val="16"/>
        </w:rPr>
        <w:t>Valor</w:t>
      </w:r>
      <w:proofErr w:type="spellEnd"/>
      <w:r w:rsidRPr="00E63CC7">
        <w:rPr>
          <w:rFonts w:asciiTheme="majorHAnsi" w:hAnsiTheme="majorHAnsi"/>
          <w:sz w:val="20"/>
          <w:szCs w:val="16"/>
        </w:rPr>
        <w:t xml:space="preserve"> L, Becerra E, Edwards JC, Cambridge G. Total serum immunoglobulin levels in patients with RA after multiple B-cell depletion cycles based on rituximab: relationship with B-cell kinetics. </w:t>
      </w:r>
      <w:r w:rsidRPr="008E4579">
        <w:rPr>
          <w:rFonts w:asciiTheme="majorHAnsi" w:hAnsiTheme="majorHAnsi"/>
          <w:i/>
          <w:sz w:val="20"/>
          <w:szCs w:val="16"/>
        </w:rPr>
        <w:t xml:space="preserve">Rheumatology (Oxford) </w:t>
      </w:r>
      <w:r w:rsidRPr="00E63CC7">
        <w:rPr>
          <w:rFonts w:asciiTheme="majorHAnsi" w:hAnsiTheme="majorHAnsi"/>
          <w:sz w:val="20"/>
          <w:szCs w:val="16"/>
        </w:rPr>
        <w:t>2012</w:t>
      </w:r>
      <w:proofErr w:type="gramStart"/>
      <w:r w:rsidRPr="00E63CC7">
        <w:rPr>
          <w:rFonts w:asciiTheme="majorHAnsi" w:hAnsiTheme="majorHAnsi"/>
          <w:sz w:val="20"/>
          <w:szCs w:val="16"/>
        </w:rPr>
        <w:t>;51</w:t>
      </w:r>
      <w:proofErr w:type="gramEnd"/>
      <w:r w:rsidRPr="00E63CC7">
        <w:rPr>
          <w:rFonts w:asciiTheme="majorHAnsi" w:hAnsiTheme="majorHAnsi"/>
          <w:sz w:val="20"/>
          <w:szCs w:val="16"/>
        </w:rPr>
        <w:t>(5):833-840.</w:t>
      </w:r>
    </w:p>
    <w:p w:rsidR="00EF5C24" w:rsidRPr="00E63CC7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proofErr w:type="spellStart"/>
      <w:r w:rsidRPr="00E63CC7">
        <w:rPr>
          <w:rFonts w:asciiTheme="majorHAnsi" w:hAnsiTheme="majorHAnsi"/>
          <w:sz w:val="20"/>
          <w:szCs w:val="16"/>
        </w:rPr>
        <w:t>Gottenberg</w:t>
      </w:r>
      <w:proofErr w:type="spellEnd"/>
      <w:r w:rsidRPr="00E63CC7">
        <w:rPr>
          <w:rFonts w:asciiTheme="majorHAnsi" w:hAnsiTheme="majorHAnsi"/>
          <w:sz w:val="20"/>
          <w:szCs w:val="16"/>
        </w:rPr>
        <w:t xml:space="preserve"> JE, </w:t>
      </w:r>
      <w:proofErr w:type="spellStart"/>
      <w:r w:rsidRPr="00E63CC7">
        <w:rPr>
          <w:rFonts w:asciiTheme="majorHAnsi" w:hAnsiTheme="majorHAnsi"/>
          <w:sz w:val="20"/>
          <w:szCs w:val="16"/>
        </w:rPr>
        <w:t>Ravaud</w:t>
      </w:r>
      <w:proofErr w:type="spellEnd"/>
      <w:r w:rsidRPr="00E63CC7">
        <w:rPr>
          <w:rFonts w:asciiTheme="majorHAnsi" w:hAnsiTheme="majorHAnsi"/>
          <w:sz w:val="20"/>
          <w:szCs w:val="16"/>
        </w:rPr>
        <w:t xml:space="preserve"> P, Bardin T, </w:t>
      </w:r>
      <w:r>
        <w:rPr>
          <w:rFonts w:asciiTheme="majorHAnsi" w:hAnsiTheme="majorHAnsi"/>
          <w:sz w:val="20"/>
          <w:szCs w:val="16"/>
        </w:rPr>
        <w:t xml:space="preserve">et al. </w:t>
      </w:r>
      <w:r w:rsidRPr="00E63CC7">
        <w:rPr>
          <w:rFonts w:asciiTheme="majorHAnsi" w:hAnsiTheme="majorHAnsi"/>
          <w:sz w:val="20"/>
          <w:szCs w:val="16"/>
        </w:rPr>
        <w:t xml:space="preserve">Risk factors for severe infections in patients with </w:t>
      </w:r>
      <w:r w:rsidRPr="003F563D">
        <w:rPr>
          <w:rFonts w:asciiTheme="majorHAnsi" w:hAnsiTheme="majorHAnsi"/>
          <w:sz w:val="20"/>
          <w:szCs w:val="16"/>
        </w:rPr>
        <w:t>rheumatoid arthritis treated with rituximab in the autoimmunity and rituximab registry. </w:t>
      </w:r>
      <w:r w:rsidRPr="008E4579">
        <w:rPr>
          <w:rFonts w:asciiTheme="majorHAnsi" w:hAnsiTheme="majorHAnsi"/>
          <w:i/>
          <w:sz w:val="20"/>
          <w:szCs w:val="16"/>
        </w:rPr>
        <w:t>Arthritis Rheum</w:t>
      </w:r>
      <w:r w:rsidRPr="003F563D">
        <w:rPr>
          <w:rFonts w:asciiTheme="majorHAnsi" w:hAnsiTheme="majorHAnsi"/>
          <w:sz w:val="20"/>
          <w:szCs w:val="16"/>
        </w:rPr>
        <w:t xml:space="preserve"> 2010</w:t>
      </w:r>
      <w:proofErr w:type="gramStart"/>
      <w:r w:rsidRPr="003F563D">
        <w:rPr>
          <w:rFonts w:asciiTheme="majorHAnsi" w:hAnsiTheme="majorHAnsi"/>
          <w:sz w:val="20"/>
          <w:szCs w:val="16"/>
        </w:rPr>
        <w:t>;62:2625</w:t>
      </w:r>
      <w:proofErr w:type="gramEnd"/>
      <w:r w:rsidRPr="003F563D">
        <w:rPr>
          <w:rFonts w:asciiTheme="majorHAnsi" w:hAnsiTheme="majorHAnsi"/>
          <w:sz w:val="20"/>
          <w:szCs w:val="16"/>
        </w:rPr>
        <w:t>–32.</w:t>
      </w:r>
    </w:p>
    <w:p w:rsidR="004F6720" w:rsidRPr="004F6720" w:rsidRDefault="004F6720" w:rsidP="004F6720">
      <w:pPr>
        <w:rPr>
          <w:rFonts w:asciiTheme="majorHAnsi" w:hAnsiTheme="majorHAnsi"/>
          <w:sz w:val="20"/>
          <w:szCs w:val="16"/>
        </w:rPr>
      </w:pPr>
    </w:p>
    <w:p w:rsidR="00CC3443" w:rsidRDefault="004F6720" w:rsidP="00CC3443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1B18F1">
        <w:rPr>
          <w:rFonts w:asciiTheme="majorHAnsi" w:hAnsiTheme="majorHAnsi"/>
          <w:sz w:val="20"/>
          <w:szCs w:val="16"/>
        </w:rPr>
        <w:t xml:space="preserve">Tallantyre EC, Whittam DH, Paling D, Constantinescu C, Robertson NP, Jacob A. Secondary antibody deficiency and infection following B-cell depletion for CNS </w:t>
      </w:r>
      <w:proofErr w:type="spellStart"/>
      <w:r w:rsidRPr="001B18F1">
        <w:rPr>
          <w:rFonts w:asciiTheme="majorHAnsi" w:hAnsiTheme="majorHAnsi"/>
          <w:sz w:val="20"/>
          <w:szCs w:val="16"/>
        </w:rPr>
        <w:t>neuroinflammation</w:t>
      </w:r>
      <w:proofErr w:type="spellEnd"/>
      <w:r w:rsidRPr="001B18F1">
        <w:rPr>
          <w:rFonts w:asciiTheme="majorHAnsi" w:hAnsiTheme="majorHAnsi"/>
          <w:sz w:val="20"/>
          <w:szCs w:val="16"/>
        </w:rPr>
        <w:t xml:space="preserve">. </w:t>
      </w:r>
      <w:r w:rsidRPr="001B18F1">
        <w:rPr>
          <w:rFonts w:asciiTheme="majorHAnsi" w:hAnsiTheme="majorHAnsi"/>
          <w:i/>
          <w:sz w:val="20"/>
          <w:szCs w:val="16"/>
        </w:rPr>
        <w:t xml:space="preserve">J </w:t>
      </w:r>
      <w:proofErr w:type="spellStart"/>
      <w:r w:rsidRPr="001B18F1">
        <w:rPr>
          <w:rFonts w:asciiTheme="majorHAnsi" w:hAnsiTheme="majorHAnsi"/>
          <w:i/>
          <w:sz w:val="20"/>
          <w:szCs w:val="16"/>
        </w:rPr>
        <w:t>Neurol</w:t>
      </w:r>
      <w:proofErr w:type="spellEnd"/>
      <w:r w:rsidRPr="001B18F1">
        <w:rPr>
          <w:rFonts w:asciiTheme="majorHAnsi" w:hAnsiTheme="majorHAnsi"/>
          <w:i/>
          <w:sz w:val="20"/>
          <w:szCs w:val="16"/>
        </w:rPr>
        <w:t xml:space="preserve"> </w:t>
      </w:r>
      <w:r w:rsidR="001B18F1" w:rsidRPr="001B18F1">
        <w:rPr>
          <w:rFonts w:asciiTheme="majorHAnsi" w:hAnsiTheme="majorHAnsi"/>
          <w:sz w:val="20"/>
          <w:szCs w:val="16"/>
        </w:rPr>
        <w:t>2018</w:t>
      </w:r>
      <w:proofErr w:type="gramStart"/>
      <w:r w:rsidR="001B18F1" w:rsidRPr="001B18F1">
        <w:rPr>
          <w:rFonts w:asciiTheme="majorHAnsi" w:hAnsiTheme="majorHAnsi"/>
          <w:sz w:val="20"/>
          <w:szCs w:val="16"/>
        </w:rPr>
        <w:t>;265</w:t>
      </w:r>
      <w:proofErr w:type="gramEnd"/>
      <w:r w:rsidR="001B18F1" w:rsidRPr="001B18F1">
        <w:rPr>
          <w:rFonts w:asciiTheme="majorHAnsi" w:hAnsiTheme="majorHAnsi"/>
          <w:sz w:val="20"/>
          <w:szCs w:val="16"/>
        </w:rPr>
        <w:t>(5):1115-1122.</w:t>
      </w:r>
    </w:p>
    <w:p w:rsidR="001B18F1" w:rsidRPr="001B18F1" w:rsidRDefault="001B18F1" w:rsidP="001B18F1">
      <w:pPr>
        <w:rPr>
          <w:rFonts w:asciiTheme="majorHAnsi" w:hAnsiTheme="majorHAnsi"/>
          <w:sz w:val="20"/>
          <w:szCs w:val="16"/>
        </w:rPr>
      </w:pPr>
    </w:p>
    <w:p w:rsidR="00CC3443" w:rsidRPr="00E63CC7" w:rsidRDefault="00CC3443" w:rsidP="004F6720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proofErr w:type="spellStart"/>
      <w:r>
        <w:rPr>
          <w:rFonts w:asciiTheme="majorHAnsi" w:hAnsiTheme="majorHAnsi"/>
          <w:sz w:val="20"/>
          <w:szCs w:val="16"/>
        </w:rPr>
        <w:t>Venhoff</w:t>
      </w:r>
      <w:proofErr w:type="spellEnd"/>
      <w:r>
        <w:rPr>
          <w:rFonts w:asciiTheme="majorHAnsi" w:hAnsiTheme="majorHAnsi"/>
          <w:sz w:val="20"/>
          <w:szCs w:val="16"/>
        </w:rPr>
        <w:t xml:space="preserve"> N, </w:t>
      </w:r>
      <w:proofErr w:type="spellStart"/>
      <w:r>
        <w:rPr>
          <w:rFonts w:asciiTheme="majorHAnsi" w:hAnsiTheme="majorHAnsi"/>
          <w:sz w:val="20"/>
          <w:szCs w:val="16"/>
        </w:rPr>
        <w:t>Effelsberg</w:t>
      </w:r>
      <w:proofErr w:type="spellEnd"/>
      <w:r>
        <w:rPr>
          <w:rFonts w:asciiTheme="majorHAnsi" w:hAnsiTheme="majorHAnsi"/>
          <w:sz w:val="20"/>
          <w:szCs w:val="16"/>
        </w:rPr>
        <w:t xml:space="preserve"> NM, </w:t>
      </w:r>
      <w:proofErr w:type="spellStart"/>
      <w:r>
        <w:rPr>
          <w:rFonts w:asciiTheme="majorHAnsi" w:hAnsiTheme="majorHAnsi"/>
          <w:sz w:val="20"/>
          <w:szCs w:val="16"/>
        </w:rPr>
        <w:t>Salzer</w:t>
      </w:r>
      <w:proofErr w:type="spellEnd"/>
      <w:r>
        <w:rPr>
          <w:rFonts w:asciiTheme="majorHAnsi" w:hAnsiTheme="majorHAnsi"/>
          <w:sz w:val="20"/>
          <w:szCs w:val="16"/>
        </w:rPr>
        <w:t xml:space="preserve"> U, et al. Impact of rituximab on immunoglobulin concentrations and B cell numbers after cyclophosphamide treatment in patients with ANCA-associated </w:t>
      </w:r>
      <w:proofErr w:type="spellStart"/>
      <w:r>
        <w:rPr>
          <w:rFonts w:asciiTheme="majorHAnsi" w:hAnsiTheme="majorHAnsi"/>
          <w:sz w:val="20"/>
          <w:szCs w:val="16"/>
        </w:rPr>
        <w:t>vasculitides</w:t>
      </w:r>
      <w:proofErr w:type="spellEnd"/>
      <w:r>
        <w:rPr>
          <w:rFonts w:asciiTheme="majorHAnsi" w:hAnsiTheme="majorHAnsi"/>
          <w:sz w:val="20"/>
          <w:szCs w:val="16"/>
        </w:rPr>
        <w:t xml:space="preserve">. </w:t>
      </w:r>
      <w:proofErr w:type="spellStart"/>
      <w:r>
        <w:rPr>
          <w:rFonts w:asciiTheme="majorHAnsi" w:hAnsiTheme="majorHAnsi"/>
          <w:sz w:val="20"/>
          <w:szCs w:val="16"/>
        </w:rPr>
        <w:t>PLoS</w:t>
      </w:r>
      <w:proofErr w:type="spellEnd"/>
      <w:r>
        <w:rPr>
          <w:rFonts w:asciiTheme="majorHAnsi" w:hAnsiTheme="majorHAnsi"/>
          <w:sz w:val="20"/>
          <w:szCs w:val="16"/>
        </w:rPr>
        <w:t xml:space="preserve"> One 2012; 7(5): e37626.</w:t>
      </w:r>
    </w:p>
    <w:p w:rsidR="00EF5C24" w:rsidRPr="003F563D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3F563D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3F563D">
        <w:rPr>
          <w:rFonts w:asciiTheme="majorHAnsi" w:hAnsiTheme="majorHAnsi"/>
          <w:sz w:val="20"/>
          <w:szCs w:val="16"/>
        </w:rPr>
        <w:t xml:space="preserve">Salmon JH, </w:t>
      </w:r>
      <w:proofErr w:type="spellStart"/>
      <w:r w:rsidRPr="003F563D">
        <w:rPr>
          <w:rFonts w:asciiTheme="majorHAnsi" w:hAnsiTheme="majorHAnsi"/>
          <w:sz w:val="20"/>
          <w:szCs w:val="16"/>
        </w:rPr>
        <w:t>Cacoub</w:t>
      </w:r>
      <w:proofErr w:type="spellEnd"/>
      <w:r w:rsidRPr="003F563D">
        <w:rPr>
          <w:rFonts w:asciiTheme="majorHAnsi" w:hAnsiTheme="majorHAnsi"/>
          <w:sz w:val="20"/>
          <w:szCs w:val="16"/>
        </w:rPr>
        <w:t xml:space="preserve"> P, Combe B, </w:t>
      </w:r>
      <w:r>
        <w:rPr>
          <w:rFonts w:asciiTheme="majorHAnsi" w:hAnsiTheme="majorHAnsi"/>
          <w:sz w:val="20"/>
          <w:szCs w:val="16"/>
        </w:rPr>
        <w:t xml:space="preserve">et al. </w:t>
      </w:r>
      <w:r w:rsidRPr="003F563D">
        <w:rPr>
          <w:rFonts w:asciiTheme="majorHAnsi" w:hAnsiTheme="majorHAnsi"/>
          <w:sz w:val="20"/>
          <w:szCs w:val="16"/>
        </w:rPr>
        <w:t xml:space="preserve">Late-onset neutropenia after treatment with rituximab for rheumatoid arthritis and other autoimmune diseases: data from the </w:t>
      </w:r>
      <w:proofErr w:type="spellStart"/>
      <w:r w:rsidRPr="003F563D">
        <w:rPr>
          <w:rFonts w:asciiTheme="majorHAnsi" w:hAnsiTheme="majorHAnsi"/>
          <w:sz w:val="20"/>
          <w:szCs w:val="16"/>
        </w:rPr>
        <w:t>AutoImmunity</w:t>
      </w:r>
      <w:proofErr w:type="spellEnd"/>
      <w:r w:rsidRPr="003F563D">
        <w:rPr>
          <w:rFonts w:asciiTheme="majorHAnsi" w:hAnsiTheme="majorHAnsi"/>
          <w:sz w:val="20"/>
          <w:szCs w:val="16"/>
        </w:rPr>
        <w:t xml:space="preserve"> and Rituximab registry. </w:t>
      </w:r>
      <w:r w:rsidRPr="008E4579">
        <w:rPr>
          <w:rFonts w:asciiTheme="majorHAnsi" w:hAnsiTheme="majorHAnsi"/>
          <w:i/>
          <w:sz w:val="20"/>
          <w:szCs w:val="16"/>
        </w:rPr>
        <w:t>RMD Open</w:t>
      </w:r>
      <w:r w:rsidRPr="003F563D">
        <w:rPr>
          <w:rFonts w:asciiTheme="majorHAnsi" w:hAnsiTheme="majorHAnsi"/>
          <w:sz w:val="20"/>
          <w:szCs w:val="16"/>
        </w:rPr>
        <w:t xml:space="preserve"> 2015</w:t>
      </w:r>
      <w:proofErr w:type="gramStart"/>
      <w:r w:rsidRPr="003F563D">
        <w:rPr>
          <w:rFonts w:asciiTheme="majorHAnsi" w:hAnsiTheme="majorHAnsi"/>
          <w:sz w:val="20"/>
          <w:szCs w:val="16"/>
        </w:rPr>
        <w:t>;1:e000034</w:t>
      </w:r>
      <w:proofErr w:type="gramEnd"/>
      <w:r w:rsidRPr="003F563D">
        <w:rPr>
          <w:rFonts w:asciiTheme="majorHAnsi" w:hAnsiTheme="majorHAnsi"/>
          <w:sz w:val="20"/>
          <w:szCs w:val="16"/>
        </w:rPr>
        <w:t>.</w:t>
      </w:r>
    </w:p>
    <w:p w:rsidR="00EF5C24" w:rsidRPr="00720C50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720C50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720C50">
        <w:rPr>
          <w:rFonts w:asciiTheme="majorHAnsi" w:hAnsiTheme="majorHAnsi"/>
          <w:sz w:val="20"/>
          <w:szCs w:val="16"/>
        </w:rPr>
        <w:lastRenderedPageBreak/>
        <w:t>Sei</w:t>
      </w:r>
      <w:r>
        <w:rPr>
          <w:rFonts w:asciiTheme="majorHAnsi" w:hAnsiTheme="majorHAnsi"/>
          <w:sz w:val="20"/>
          <w:szCs w:val="16"/>
        </w:rPr>
        <w:t>bert J, Blackburn J, Vollmer B, et al</w:t>
      </w:r>
      <w:r w:rsidRPr="00720C50">
        <w:rPr>
          <w:rFonts w:asciiTheme="majorHAnsi" w:hAnsiTheme="majorHAnsi"/>
          <w:sz w:val="20"/>
          <w:szCs w:val="16"/>
        </w:rPr>
        <w:t xml:space="preserve">. Safety, tolerability, and efficacy of </w:t>
      </w:r>
      <w:r>
        <w:rPr>
          <w:rFonts w:asciiTheme="majorHAnsi" w:hAnsiTheme="majorHAnsi"/>
          <w:sz w:val="20"/>
          <w:szCs w:val="16"/>
        </w:rPr>
        <w:t>r</w:t>
      </w:r>
      <w:r w:rsidRPr="00720C50">
        <w:rPr>
          <w:rFonts w:asciiTheme="majorHAnsi" w:hAnsiTheme="majorHAnsi"/>
          <w:sz w:val="20"/>
          <w:szCs w:val="16"/>
        </w:rPr>
        <w:t xml:space="preserve">ituximab in the treatment of multiple sclerosis: 285 patients treated in a single </w:t>
      </w:r>
      <w:proofErr w:type="spellStart"/>
      <w:r w:rsidRPr="00720C50">
        <w:rPr>
          <w:rFonts w:asciiTheme="majorHAnsi" w:hAnsiTheme="majorHAnsi"/>
          <w:sz w:val="20"/>
          <w:szCs w:val="16"/>
        </w:rPr>
        <w:t>center</w:t>
      </w:r>
      <w:proofErr w:type="spellEnd"/>
      <w:r w:rsidRPr="00720C50">
        <w:rPr>
          <w:rFonts w:asciiTheme="majorHAnsi" w:hAnsiTheme="majorHAnsi"/>
          <w:sz w:val="20"/>
          <w:szCs w:val="16"/>
        </w:rPr>
        <w:t xml:space="preserve">. (P3.262). </w:t>
      </w:r>
      <w:r w:rsidRPr="008E4579">
        <w:rPr>
          <w:rFonts w:asciiTheme="majorHAnsi" w:hAnsiTheme="majorHAnsi"/>
          <w:i/>
          <w:sz w:val="20"/>
          <w:szCs w:val="16"/>
        </w:rPr>
        <w:t>Neurology</w:t>
      </w:r>
      <w:r w:rsidRPr="00720C50">
        <w:rPr>
          <w:rFonts w:asciiTheme="majorHAnsi" w:hAnsiTheme="majorHAnsi"/>
          <w:sz w:val="20"/>
          <w:szCs w:val="16"/>
        </w:rPr>
        <w:t xml:space="preserve"> 2015</w:t>
      </w:r>
      <w:proofErr w:type="gramStart"/>
      <w:r w:rsidRPr="00720C50">
        <w:rPr>
          <w:rFonts w:asciiTheme="majorHAnsi" w:hAnsiTheme="majorHAnsi"/>
          <w:sz w:val="20"/>
          <w:szCs w:val="16"/>
        </w:rPr>
        <w:t>;84</w:t>
      </w:r>
      <w:proofErr w:type="gramEnd"/>
      <w:r w:rsidRPr="00720C50">
        <w:rPr>
          <w:rFonts w:asciiTheme="majorHAnsi" w:hAnsiTheme="majorHAnsi"/>
          <w:sz w:val="20"/>
          <w:szCs w:val="16"/>
        </w:rPr>
        <w:t>(14 Supplement).</w:t>
      </w:r>
    </w:p>
    <w:p w:rsidR="00EF5C24" w:rsidRPr="00720C50" w:rsidRDefault="00EF5C24" w:rsidP="00EF5C24">
      <w:pPr>
        <w:pStyle w:val="ListParagraph"/>
        <w:rPr>
          <w:rFonts w:asciiTheme="majorHAnsi" w:hAnsiTheme="majorHAnsi"/>
          <w:sz w:val="20"/>
          <w:szCs w:val="16"/>
        </w:rPr>
      </w:pPr>
    </w:p>
    <w:p w:rsidR="00EF5C24" w:rsidRPr="00720C50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720C50">
        <w:rPr>
          <w:rFonts w:asciiTheme="majorHAnsi" w:hAnsiTheme="majorHAnsi"/>
          <w:sz w:val="20"/>
          <w:szCs w:val="16"/>
        </w:rPr>
        <w:t xml:space="preserve">Plate A, </w:t>
      </w:r>
      <w:proofErr w:type="spellStart"/>
      <w:r w:rsidRPr="00720C50">
        <w:rPr>
          <w:rFonts w:asciiTheme="majorHAnsi" w:hAnsiTheme="majorHAnsi"/>
          <w:sz w:val="20"/>
          <w:szCs w:val="16"/>
        </w:rPr>
        <w:t>Havla</w:t>
      </w:r>
      <w:proofErr w:type="spellEnd"/>
      <w:r w:rsidRPr="00720C50">
        <w:rPr>
          <w:rFonts w:asciiTheme="majorHAnsi" w:hAnsiTheme="majorHAnsi"/>
          <w:sz w:val="20"/>
          <w:szCs w:val="16"/>
        </w:rPr>
        <w:t xml:space="preserve"> J, </w:t>
      </w:r>
      <w:proofErr w:type="spellStart"/>
      <w:r w:rsidRPr="00720C50">
        <w:rPr>
          <w:rFonts w:asciiTheme="majorHAnsi" w:hAnsiTheme="majorHAnsi"/>
          <w:sz w:val="20"/>
          <w:szCs w:val="16"/>
        </w:rPr>
        <w:t>Kumpfel</w:t>
      </w:r>
      <w:proofErr w:type="spellEnd"/>
      <w:r w:rsidRPr="00720C50">
        <w:rPr>
          <w:rFonts w:asciiTheme="majorHAnsi" w:hAnsiTheme="majorHAnsi"/>
          <w:sz w:val="20"/>
          <w:szCs w:val="16"/>
        </w:rPr>
        <w:t xml:space="preserve"> T. Late-onset neutropenia during long-term rituximab therapy in neuromyelitis optica.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Mult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Scler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Relat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Disord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</w:t>
      </w:r>
      <w:r w:rsidRPr="00720C50">
        <w:rPr>
          <w:rFonts w:asciiTheme="majorHAnsi" w:hAnsiTheme="majorHAnsi"/>
          <w:sz w:val="20"/>
          <w:szCs w:val="16"/>
        </w:rPr>
        <w:t>2014</w:t>
      </w:r>
      <w:proofErr w:type="gramStart"/>
      <w:r w:rsidRPr="00720C50">
        <w:rPr>
          <w:rFonts w:asciiTheme="majorHAnsi" w:hAnsiTheme="majorHAnsi"/>
          <w:sz w:val="20"/>
          <w:szCs w:val="16"/>
        </w:rPr>
        <w:t>;3</w:t>
      </w:r>
      <w:proofErr w:type="gramEnd"/>
      <w:r w:rsidRPr="00720C50">
        <w:rPr>
          <w:rFonts w:asciiTheme="majorHAnsi" w:hAnsiTheme="majorHAnsi"/>
          <w:sz w:val="20"/>
          <w:szCs w:val="16"/>
        </w:rPr>
        <w:t>(2):269-272.</w:t>
      </w:r>
    </w:p>
    <w:p w:rsidR="00EF5C24" w:rsidRPr="00720C50" w:rsidRDefault="00EF5C24" w:rsidP="00EF5C24">
      <w:pPr>
        <w:pStyle w:val="ListParagraph"/>
        <w:rPr>
          <w:rFonts w:asciiTheme="majorHAnsi" w:hAnsiTheme="majorHAnsi"/>
          <w:sz w:val="20"/>
          <w:szCs w:val="16"/>
        </w:rPr>
      </w:pPr>
    </w:p>
    <w:p w:rsidR="00EF5C24" w:rsidRPr="00720C50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720C50">
        <w:rPr>
          <w:rFonts w:asciiTheme="majorHAnsi" w:hAnsiTheme="majorHAnsi"/>
          <w:sz w:val="20"/>
          <w:szCs w:val="16"/>
        </w:rPr>
        <w:t xml:space="preserve">Mealy MA, Levy M. </w:t>
      </w:r>
      <w:proofErr w:type="spellStart"/>
      <w:r w:rsidRPr="00720C50">
        <w:rPr>
          <w:rFonts w:asciiTheme="majorHAnsi" w:hAnsiTheme="majorHAnsi"/>
          <w:sz w:val="20"/>
          <w:szCs w:val="16"/>
        </w:rPr>
        <w:t>Favorable</w:t>
      </w:r>
      <w:proofErr w:type="spellEnd"/>
      <w:r w:rsidRPr="00720C50">
        <w:rPr>
          <w:rFonts w:asciiTheme="majorHAnsi" w:hAnsiTheme="majorHAnsi"/>
          <w:sz w:val="20"/>
          <w:szCs w:val="16"/>
        </w:rPr>
        <w:t xml:space="preserve"> outcome of granulocyte colony-stimulating factor use in neuromyelitis optica patients presenting with agranulocytosis in the setting of rituximab. </w:t>
      </w:r>
      <w:r w:rsidRPr="008E4579">
        <w:rPr>
          <w:rFonts w:asciiTheme="majorHAnsi" w:hAnsiTheme="majorHAnsi"/>
          <w:i/>
          <w:sz w:val="20"/>
          <w:szCs w:val="16"/>
        </w:rPr>
        <w:t xml:space="preserve">J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Neuroimmunol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</w:t>
      </w:r>
      <w:r w:rsidRPr="00720C50">
        <w:rPr>
          <w:rFonts w:asciiTheme="majorHAnsi" w:hAnsiTheme="majorHAnsi"/>
          <w:sz w:val="20"/>
          <w:szCs w:val="16"/>
        </w:rPr>
        <w:t>2015</w:t>
      </w:r>
      <w:proofErr w:type="gramStart"/>
      <w:r w:rsidRPr="00720C50">
        <w:rPr>
          <w:rFonts w:asciiTheme="majorHAnsi" w:hAnsiTheme="majorHAnsi"/>
          <w:sz w:val="20"/>
          <w:szCs w:val="16"/>
        </w:rPr>
        <w:t>;287:29</w:t>
      </w:r>
      <w:proofErr w:type="gramEnd"/>
      <w:r w:rsidRPr="00720C50">
        <w:rPr>
          <w:rFonts w:asciiTheme="majorHAnsi" w:hAnsiTheme="majorHAnsi"/>
          <w:sz w:val="20"/>
          <w:szCs w:val="16"/>
        </w:rPr>
        <w:t>-30.</w:t>
      </w:r>
    </w:p>
    <w:p w:rsidR="00EF5C24" w:rsidRPr="00720C50" w:rsidRDefault="00EF5C24" w:rsidP="00EF5C24">
      <w:pPr>
        <w:pStyle w:val="ListParagraph"/>
        <w:rPr>
          <w:rFonts w:asciiTheme="majorHAnsi" w:hAnsiTheme="majorHAnsi"/>
          <w:sz w:val="20"/>
          <w:szCs w:val="16"/>
        </w:rPr>
      </w:pPr>
    </w:p>
    <w:p w:rsidR="00EF5C24" w:rsidRPr="00720C50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proofErr w:type="spellStart"/>
      <w:r w:rsidRPr="00720C50">
        <w:rPr>
          <w:rFonts w:asciiTheme="majorHAnsi" w:hAnsiTheme="majorHAnsi"/>
          <w:sz w:val="20"/>
          <w:szCs w:val="16"/>
        </w:rPr>
        <w:t>Reitblat</w:t>
      </w:r>
      <w:proofErr w:type="spellEnd"/>
      <w:r w:rsidRPr="00720C50">
        <w:rPr>
          <w:rFonts w:asciiTheme="majorHAnsi" w:hAnsiTheme="majorHAnsi"/>
          <w:sz w:val="20"/>
          <w:szCs w:val="16"/>
        </w:rPr>
        <w:t xml:space="preserve"> T, Wec</w:t>
      </w:r>
      <w:r>
        <w:rPr>
          <w:rFonts w:asciiTheme="majorHAnsi" w:hAnsiTheme="majorHAnsi"/>
          <w:sz w:val="20"/>
          <w:szCs w:val="16"/>
        </w:rPr>
        <w:t xml:space="preserve">hsler A, </w:t>
      </w:r>
      <w:proofErr w:type="spellStart"/>
      <w:r>
        <w:rPr>
          <w:rFonts w:asciiTheme="majorHAnsi" w:hAnsiTheme="majorHAnsi"/>
          <w:sz w:val="20"/>
          <w:szCs w:val="16"/>
        </w:rPr>
        <w:t>Reitblat</w:t>
      </w:r>
      <w:proofErr w:type="spellEnd"/>
      <w:r>
        <w:rPr>
          <w:rFonts w:asciiTheme="majorHAnsi" w:hAnsiTheme="majorHAnsi"/>
          <w:sz w:val="20"/>
          <w:szCs w:val="16"/>
        </w:rPr>
        <w:t xml:space="preserve"> O. Rituximab-related late-onset neutropenia in p</w:t>
      </w:r>
      <w:r w:rsidRPr="00720C50">
        <w:rPr>
          <w:rFonts w:asciiTheme="majorHAnsi" w:hAnsiTheme="majorHAnsi"/>
          <w:sz w:val="20"/>
          <w:szCs w:val="16"/>
        </w:rPr>
        <w:t>atien</w:t>
      </w:r>
      <w:r>
        <w:rPr>
          <w:rFonts w:asciiTheme="majorHAnsi" w:hAnsiTheme="majorHAnsi"/>
          <w:sz w:val="20"/>
          <w:szCs w:val="16"/>
        </w:rPr>
        <w:t>ts with rheumatic d</w:t>
      </w:r>
      <w:r w:rsidRPr="00720C50">
        <w:rPr>
          <w:rFonts w:asciiTheme="majorHAnsi" w:hAnsiTheme="majorHAnsi"/>
          <w:sz w:val="20"/>
          <w:szCs w:val="16"/>
        </w:rPr>
        <w:t xml:space="preserve">iseases: Successful </w:t>
      </w:r>
      <w:r>
        <w:rPr>
          <w:rFonts w:asciiTheme="majorHAnsi" w:hAnsiTheme="majorHAnsi"/>
          <w:sz w:val="20"/>
          <w:szCs w:val="16"/>
        </w:rPr>
        <w:t>re-challenge of the t</w:t>
      </w:r>
      <w:r w:rsidRPr="00720C50">
        <w:rPr>
          <w:rFonts w:asciiTheme="majorHAnsi" w:hAnsiTheme="majorHAnsi"/>
          <w:sz w:val="20"/>
          <w:szCs w:val="16"/>
        </w:rPr>
        <w:t xml:space="preserve">reatment. </w:t>
      </w:r>
      <w:r w:rsidRPr="008E4579">
        <w:rPr>
          <w:rFonts w:asciiTheme="majorHAnsi" w:hAnsiTheme="majorHAnsi"/>
          <w:i/>
          <w:sz w:val="20"/>
          <w:szCs w:val="16"/>
        </w:rPr>
        <w:t xml:space="preserve">Am J Case Rep </w:t>
      </w:r>
      <w:r w:rsidRPr="00720C50">
        <w:rPr>
          <w:rFonts w:asciiTheme="majorHAnsi" w:hAnsiTheme="majorHAnsi"/>
          <w:sz w:val="20"/>
          <w:szCs w:val="16"/>
        </w:rPr>
        <w:t>2015</w:t>
      </w:r>
      <w:proofErr w:type="gramStart"/>
      <w:r w:rsidRPr="00720C50">
        <w:rPr>
          <w:rFonts w:asciiTheme="majorHAnsi" w:hAnsiTheme="majorHAnsi"/>
          <w:sz w:val="20"/>
          <w:szCs w:val="16"/>
        </w:rPr>
        <w:t>;16:211</w:t>
      </w:r>
      <w:proofErr w:type="gramEnd"/>
      <w:r w:rsidRPr="00720C50">
        <w:rPr>
          <w:rFonts w:asciiTheme="majorHAnsi" w:hAnsiTheme="majorHAnsi"/>
          <w:sz w:val="20"/>
          <w:szCs w:val="16"/>
        </w:rPr>
        <w:t>-214.</w:t>
      </w:r>
    </w:p>
    <w:p w:rsidR="00EF5C24" w:rsidRPr="00720C50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9861F1" w:rsidRDefault="00EF5C24" w:rsidP="00EF5C24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</w:pPr>
      <w:proofErr w:type="spellStart"/>
      <w:r w:rsidRPr="009861F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Zaheer</w:t>
      </w:r>
      <w:proofErr w:type="spellEnd"/>
      <w:r w:rsidRPr="009861F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F, Berger JR. Treatment-related progressive multifocal leukoencephalopathy: current understanding and future steps.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Ther</w:t>
      </w:r>
      <w:proofErr w:type="spellEnd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Adv</w:t>
      </w:r>
      <w:proofErr w:type="spellEnd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 Drug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Saf</w:t>
      </w:r>
      <w:proofErr w:type="spellEnd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 </w:t>
      </w:r>
      <w:r w:rsidRPr="009861F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2012</w:t>
      </w:r>
      <w:proofErr w:type="gramStart"/>
      <w:r w:rsidRPr="009861F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;3</w:t>
      </w:r>
      <w:proofErr w:type="gramEnd"/>
      <w:r w:rsidRPr="009861F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(5):227-239.</w:t>
      </w:r>
    </w:p>
    <w:p w:rsidR="00EF5C24" w:rsidRPr="009861F1" w:rsidRDefault="00EF5C24" w:rsidP="00EF5C24">
      <w:pP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2C3711">
        <w:rPr>
          <w:rFonts w:asciiTheme="majorHAnsi" w:hAnsiTheme="majorHAnsi"/>
          <w:sz w:val="20"/>
          <w:szCs w:val="16"/>
        </w:rPr>
        <w:t xml:space="preserve">Chakravarty EF, Murray ER, </w:t>
      </w:r>
      <w:proofErr w:type="spellStart"/>
      <w:r w:rsidRPr="002C3711">
        <w:rPr>
          <w:rFonts w:asciiTheme="majorHAnsi" w:hAnsiTheme="majorHAnsi"/>
          <w:sz w:val="20"/>
          <w:szCs w:val="16"/>
        </w:rPr>
        <w:t>Kelman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A, Farmer P. Pregnancy outcomes after maternal exposure to rituximab. </w:t>
      </w:r>
      <w:r w:rsidRPr="008E4579">
        <w:rPr>
          <w:rFonts w:asciiTheme="majorHAnsi" w:hAnsiTheme="majorHAnsi"/>
          <w:i/>
          <w:sz w:val="20"/>
          <w:szCs w:val="16"/>
        </w:rPr>
        <w:t xml:space="preserve">Blood </w:t>
      </w:r>
      <w:r w:rsidRPr="002C3711">
        <w:rPr>
          <w:rFonts w:asciiTheme="majorHAnsi" w:hAnsiTheme="majorHAnsi"/>
          <w:sz w:val="20"/>
          <w:szCs w:val="16"/>
        </w:rPr>
        <w:t>2011</w:t>
      </w:r>
      <w:proofErr w:type="gramStart"/>
      <w:r w:rsidRPr="002C3711">
        <w:rPr>
          <w:rFonts w:asciiTheme="majorHAnsi" w:hAnsiTheme="majorHAnsi"/>
          <w:sz w:val="20"/>
          <w:szCs w:val="16"/>
        </w:rPr>
        <w:t>;117</w:t>
      </w:r>
      <w:proofErr w:type="gramEnd"/>
      <w:r w:rsidRPr="002C3711">
        <w:rPr>
          <w:rFonts w:asciiTheme="majorHAnsi" w:hAnsiTheme="majorHAnsi"/>
          <w:sz w:val="20"/>
          <w:szCs w:val="16"/>
        </w:rPr>
        <w:t>(5):1499-1506.</w:t>
      </w:r>
    </w:p>
    <w:p w:rsidR="00EF5C24" w:rsidRPr="002C3711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proofErr w:type="spellStart"/>
      <w:r w:rsidRPr="002C3711">
        <w:rPr>
          <w:rFonts w:asciiTheme="majorHAnsi" w:hAnsiTheme="majorHAnsi"/>
          <w:sz w:val="20"/>
          <w:szCs w:val="16"/>
        </w:rPr>
        <w:t>Witzel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SJ. Lactation and the use of biologic immunosuppressive medications. </w:t>
      </w:r>
      <w:r w:rsidRPr="008E4579">
        <w:rPr>
          <w:rFonts w:asciiTheme="majorHAnsi" w:hAnsiTheme="majorHAnsi"/>
          <w:i/>
          <w:sz w:val="20"/>
          <w:szCs w:val="16"/>
        </w:rPr>
        <w:t>Breastfeed Med</w:t>
      </w:r>
      <w:r w:rsidRPr="002C3711">
        <w:rPr>
          <w:rFonts w:asciiTheme="majorHAnsi" w:hAnsiTheme="majorHAnsi"/>
          <w:sz w:val="20"/>
          <w:szCs w:val="16"/>
        </w:rPr>
        <w:t xml:space="preserve"> 2014</w:t>
      </w:r>
      <w:proofErr w:type="gramStart"/>
      <w:r w:rsidRPr="002C3711">
        <w:rPr>
          <w:rFonts w:asciiTheme="majorHAnsi" w:hAnsiTheme="majorHAnsi"/>
          <w:sz w:val="20"/>
          <w:szCs w:val="16"/>
        </w:rPr>
        <w:t>;9</w:t>
      </w:r>
      <w:proofErr w:type="gramEnd"/>
      <w:r w:rsidRPr="002C3711">
        <w:rPr>
          <w:rFonts w:asciiTheme="majorHAnsi" w:hAnsiTheme="majorHAnsi"/>
          <w:sz w:val="20"/>
          <w:szCs w:val="16"/>
        </w:rPr>
        <w:t>(10):543-546.</w:t>
      </w:r>
    </w:p>
    <w:p w:rsidR="00EF5C24" w:rsidRPr="002C3711" w:rsidRDefault="00EF5C24" w:rsidP="00EF5C24">
      <w:pPr>
        <w:rPr>
          <w:rFonts w:asciiTheme="majorHAnsi" w:hAnsiTheme="majorHAnsi"/>
          <w:sz w:val="20"/>
          <w:szCs w:val="16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  <w:szCs w:val="16"/>
        </w:rPr>
      </w:pPr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>Medicines and Healthcare products Regulatory Agency. Rituximab: screen for hepatitis B virus before treatment. MRHA Alert 2013.</w:t>
      </w:r>
    </w:p>
    <w:p w:rsidR="00EF5C24" w:rsidRPr="002C3711" w:rsidRDefault="00512CF2" w:rsidP="00EF5C24">
      <w:pPr>
        <w:pStyle w:val="ListParagraph"/>
        <w:rPr>
          <w:rFonts w:asciiTheme="majorHAnsi" w:hAnsiTheme="majorHAnsi"/>
          <w:sz w:val="20"/>
          <w:szCs w:val="16"/>
        </w:rPr>
      </w:pPr>
      <w:hyperlink r:id="rId15" w:history="1">
        <w:r w:rsidR="00EF5C24" w:rsidRPr="002C3711">
          <w:rPr>
            <w:rStyle w:val="Hyperlink"/>
            <w:rFonts w:asciiTheme="majorHAnsi" w:hAnsiTheme="majorHAnsi"/>
            <w:sz w:val="20"/>
            <w:szCs w:val="16"/>
            <w:shd w:val="clear" w:color="auto" w:fill="FFFFFF"/>
          </w:rPr>
          <w:t>https://www.gov.uk/drug-safety-update/rituximab-screen-for-hepatitis-b-virus-before-treatment</w:t>
        </w:r>
      </w:hyperlink>
    </w:p>
    <w:p w:rsidR="00EF5C24" w:rsidRPr="002C3711" w:rsidRDefault="00EF5C24" w:rsidP="00EF5C24">
      <w:pPr>
        <w:pStyle w:val="ListParagraph"/>
        <w:rPr>
          <w:rFonts w:asciiTheme="majorHAnsi" w:hAnsiTheme="majorHAnsi"/>
          <w:sz w:val="20"/>
          <w:szCs w:val="16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/>
          <w:sz w:val="20"/>
          <w:szCs w:val="16"/>
          <w:shd w:val="clear" w:color="auto" w:fill="FFFFFF"/>
        </w:rPr>
      </w:pPr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 xml:space="preserve">Hwang JP, </w:t>
      </w:r>
      <w:proofErr w:type="spellStart"/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>Lok</w:t>
      </w:r>
      <w:proofErr w:type="spellEnd"/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 xml:space="preserve"> ASF. Management of patients with hepatitis B who require immunosuppressive therapy. </w:t>
      </w:r>
      <w:r w:rsidRPr="008E4579">
        <w:rPr>
          <w:rFonts w:asciiTheme="majorHAnsi" w:hAnsiTheme="majorHAnsi"/>
          <w:i/>
          <w:color w:val="000000"/>
          <w:sz w:val="20"/>
          <w:szCs w:val="16"/>
          <w:shd w:val="clear" w:color="auto" w:fill="FFFFFF"/>
        </w:rPr>
        <w:t xml:space="preserve">Nat Rev </w:t>
      </w:r>
      <w:proofErr w:type="spellStart"/>
      <w:r w:rsidRPr="008E4579">
        <w:rPr>
          <w:rFonts w:asciiTheme="majorHAnsi" w:hAnsiTheme="majorHAnsi"/>
          <w:i/>
          <w:color w:val="000000"/>
          <w:sz w:val="20"/>
          <w:szCs w:val="16"/>
          <w:shd w:val="clear" w:color="auto" w:fill="FFFFFF"/>
        </w:rPr>
        <w:t>Gastroenterol</w:t>
      </w:r>
      <w:proofErr w:type="spellEnd"/>
      <w:r w:rsidRPr="008E4579">
        <w:rPr>
          <w:rFonts w:asciiTheme="majorHAnsi" w:hAnsiTheme="majorHAnsi"/>
          <w:i/>
          <w:color w:val="000000"/>
          <w:sz w:val="20"/>
          <w:szCs w:val="16"/>
          <w:shd w:val="clear" w:color="auto" w:fill="FFFFFF"/>
        </w:rPr>
        <w:t xml:space="preserve"> </w:t>
      </w:r>
      <w:proofErr w:type="spellStart"/>
      <w:r w:rsidRPr="008E4579">
        <w:rPr>
          <w:rFonts w:asciiTheme="majorHAnsi" w:hAnsiTheme="majorHAnsi"/>
          <w:i/>
          <w:color w:val="000000"/>
          <w:sz w:val="20"/>
          <w:szCs w:val="16"/>
          <w:shd w:val="clear" w:color="auto" w:fill="FFFFFF"/>
        </w:rPr>
        <w:t>Hepatol</w:t>
      </w:r>
      <w:proofErr w:type="spellEnd"/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 xml:space="preserve"> 2014</w:t>
      </w:r>
      <w:proofErr w:type="gramStart"/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>;11</w:t>
      </w:r>
      <w:proofErr w:type="gramEnd"/>
      <w:r w:rsidRPr="002C3711">
        <w:rPr>
          <w:rFonts w:asciiTheme="majorHAnsi" w:hAnsiTheme="majorHAnsi"/>
          <w:color w:val="000000"/>
          <w:sz w:val="20"/>
          <w:szCs w:val="16"/>
          <w:shd w:val="clear" w:color="auto" w:fill="FFFFFF"/>
        </w:rPr>
        <w:t>(4):209-219.</w:t>
      </w:r>
    </w:p>
    <w:p w:rsidR="00EF5C24" w:rsidRPr="002C3711" w:rsidRDefault="00EF5C24" w:rsidP="00EF5C24">
      <w:pPr>
        <w:pStyle w:val="ListParagraph"/>
        <w:rPr>
          <w:rFonts w:asciiTheme="majorHAnsi" w:hAnsiTheme="majorHAnsi"/>
          <w:color w:val="000000"/>
          <w:sz w:val="20"/>
          <w:szCs w:val="16"/>
          <w:shd w:val="clear" w:color="auto" w:fill="FFFFFF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/>
          <w:sz w:val="20"/>
          <w:szCs w:val="16"/>
          <w:shd w:val="clear" w:color="auto" w:fill="FFFFFF"/>
        </w:rPr>
      </w:pPr>
      <w:proofErr w:type="spellStart"/>
      <w:r w:rsidRPr="002C3711">
        <w:rPr>
          <w:rFonts w:asciiTheme="majorHAnsi" w:hAnsiTheme="majorHAnsi"/>
          <w:sz w:val="20"/>
          <w:szCs w:val="16"/>
        </w:rPr>
        <w:t>Sagnelli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E, </w:t>
      </w:r>
      <w:proofErr w:type="spellStart"/>
      <w:r w:rsidRPr="002C3711">
        <w:rPr>
          <w:rFonts w:asciiTheme="majorHAnsi" w:hAnsiTheme="majorHAnsi"/>
          <w:sz w:val="20"/>
          <w:szCs w:val="16"/>
        </w:rPr>
        <w:t>Pisaturo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M, </w:t>
      </w:r>
      <w:proofErr w:type="spellStart"/>
      <w:r w:rsidRPr="002C3711">
        <w:rPr>
          <w:rFonts w:asciiTheme="majorHAnsi" w:hAnsiTheme="majorHAnsi"/>
          <w:sz w:val="20"/>
          <w:szCs w:val="16"/>
        </w:rPr>
        <w:t>Sagnelli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C, Coppola N. Rituximab-based treatment, HCV replication and hepatic flares. </w:t>
      </w:r>
      <w:proofErr w:type="spellStart"/>
      <w:r>
        <w:rPr>
          <w:rFonts w:asciiTheme="majorHAnsi" w:hAnsiTheme="majorHAnsi"/>
          <w:i/>
          <w:sz w:val="20"/>
          <w:szCs w:val="16"/>
        </w:rPr>
        <w:t>Clin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Dev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Immuno</w:t>
      </w:r>
      <w:r>
        <w:rPr>
          <w:rFonts w:asciiTheme="majorHAnsi" w:hAnsiTheme="majorHAnsi"/>
          <w:i/>
          <w:sz w:val="20"/>
          <w:szCs w:val="16"/>
        </w:rPr>
        <w:t>l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2012; 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Article ID 945950.</w:t>
      </w:r>
    </w:p>
    <w:p w:rsidR="00EF5C24" w:rsidRPr="002A4CA6" w:rsidRDefault="00EF5C24" w:rsidP="00EF5C24">
      <w:pP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color w:val="000000"/>
          <w:sz w:val="20"/>
          <w:szCs w:val="16"/>
          <w:shd w:val="clear" w:color="auto" w:fill="FFFFFF"/>
        </w:rPr>
      </w:pP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Lin KM, Lin JC, Tseng WY, Cheng TT. Rituximab-induced hepatitis C virus reactivation in rheumatoid arthritis. </w:t>
      </w:r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J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Microbiol</w:t>
      </w:r>
      <w:proofErr w:type="spellEnd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Immunol</w:t>
      </w:r>
      <w:proofErr w:type="spellEnd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 Infect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2013; 46(1):65-67.</w:t>
      </w:r>
    </w:p>
    <w:p w:rsidR="00EF5C24" w:rsidRPr="002C3711" w:rsidRDefault="00EF5C24" w:rsidP="00EF5C24">
      <w:pPr>
        <w:pStyle w:val="ListParagraph"/>
        <w:rPr>
          <w:rFonts w:asciiTheme="majorHAnsi" w:hAnsiTheme="majorHAnsi"/>
          <w:color w:val="000000"/>
          <w:sz w:val="20"/>
          <w:szCs w:val="16"/>
          <w:shd w:val="clear" w:color="auto" w:fill="FFFFFF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</w:pP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Cantini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F, </w:t>
      </w: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Nannini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C, </w:t>
      </w: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Niccoli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L, </w:t>
      </w: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Petrone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L, </w:t>
      </w: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Ippolito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G, </w:t>
      </w:r>
      <w:proofErr w:type="spellStart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Goletti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D. Risk of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t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uberculosis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r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eactivation in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p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atients with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r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heumatoid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a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rthritis,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a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nkylosing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s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pondylitis, and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p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soriatic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a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rthritis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r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eceiving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n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on-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a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nti-TNF-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t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argeted </w:t>
      </w:r>
      <w: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>b</w:t>
      </w:r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iologics. </w:t>
      </w:r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 xml:space="preserve">Mediators </w:t>
      </w:r>
      <w:proofErr w:type="spellStart"/>
      <w:r w:rsidRPr="008E4579">
        <w:rPr>
          <w:rFonts w:asciiTheme="majorHAnsi" w:eastAsia="Times New Roman" w:hAnsiTheme="majorHAnsi" w:cs="Times"/>
          <w:i/>
          <w:color w:val="000000"/>
          <w:sz w:val="20"/>
          <w:szCs w:val="16"/>
          <w:lang w:eastAsia="en-GB"/>
        </w:rPr>
        <w:t>Inflamm</w:t>
      </w:r>
      <w:proofErr w:type="spellEnd"/>
      <w:r w:rsidRPr="002C3711"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  <w:t xml:space="preserve"> 2017; Article ID 8909834.</w:t>
      </w:r>
    </w:p>
    <w:p w:rsidR="00EF5C24" w:rsidRPr="002C3711" w:rsidRDefault="00EF5C24" w:rsidP="00EF5C24">
      <w:pPr>
        <w:rPr>
          <w:rFonts w:asciiTheme="majorHAnsi" w:eastAsia="Times New Roman" w:hAnsiTheme="majorHAnsi" w:cs="Times"/>
          <w:color w:val="000000"/>
          <w:sz w:val="20"/>
          <w:szCs w:val="16"/>
          <w:lang w:eastAsia="en-GB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bCs/>
          <w:sz w:val="20"/>
          <w:szCs w:val="16"/>
        </w:rPr>
      </w:pPr>
      <w:proofErr w:type="spellStart"/>
      <w:r w:rsidRPr="002C3711">
        <w:rPr>
          <w:rFonts w:asciiTheme="majorHAnsi" w:hAnsiTheme="majorHAnsi"/>
          <w:bCs/>
          <w:sz w:val="20"/>
          <w:szCs w:val="16"/>
        </w:rPr>
        <w:t>Buch</w:t>
      </w:r>
      <w:proofErr w:type="spellEnd"/>
      <w:r w:rsidRPr="002C3711">
        <w:rPr>
          <w:rFonts w:asciiTheme="majorHAnsi" w:hAnsiTheme="majorHAnsi"/>
          <w:bCs/>
          <w:sz w:val="20"/>
          <w:szCs w:val="16"/>
        </w:rPr>
        <w:t xml:space="preserve"> MH, </w:t>
      </w:r>
      <w:proofErr w:type="spellStart"/>
      <w:r w:rsidRPr="002C3711">
        <w:rPr>
          <w:rFonts w:asciiTheme="majorHAnsi" w:hAnsiTheme="majorHAnsi"/>
          <w:bCs/>
          <w:sz w:val="20"/>
          <w:szCs w:val="16"/>
        </w:rPr>
        <w:t>Smolen</w:t>
      </w:r>
      <w:proofErr w:type="spellEnd"/>
      <w:r w:rsidRPr="002C3711">
        <w:rPr>
          <w:rFonts w:asciiTheme="majorHAnsi" w:hAnsiTheme="majorHAnsi"/>
          <w:bCs/>
          <w:sz w:val="20"/>
          <w:szCs w:val="16"/>
        </w:rPr>
        <w:t xml:space="preserve"> JS, Betteridge N, </w:t>
      </w:r>
      <w:r>
        <w:rPr>
          <w:rFonts w:asciiTheme="majorHAnsi" w:hAnsiTheme="majorHAnsi"/>
          <w:bCs/>
          <w:sz w:val="20"/>
          <w:szCs w:val="16"/>
        </w:rPr>
        <w:t>et al</w:t>
      </w:r>
      <w:r w:rsidRPr="002C3711">
        <w:rPr>
          <w:rFonts w:asciiTheme="majorHAnsi" w:hAnsiTheme="majorHAnsi"/>
          <w:bCs/>
          <w:sz w:val="20"/>
          <w:szCs w:val="16"/>
        </w:rPr>
        <w:t xml:space="preserve">. Updated consensus statement on the use of rituximab in patients with rheumatoid arthritis. </w:t>
      </w:r>
      <w:r w:rsidRPr="008E4579">
        <w:rPr>
          <w:rFonts w:asciiTheme="majorHAnsi" w:hAnsiTheme="majorHAnsi"/>
          <w:bCs/>
          <w:i/>
          <w:sz w:val="20"/>
          <w:szCs w:val="16"/>
        </w:rPr>
        <w:t>Ann Rheum Dis</w:t>
      </w:r>
      <w:r w:rsidRPr="002C3711">
        <w:rPr>
          <w:rFonts w:asciiTheme="majorHAnsi" w:hAnsiTheme="majorHAnsi"/>
          <w:bCs/>
          <w:sz w:val="20"/>
          <w:szCs w:val="16"/>
        </w:rPr>
        <w:t xml:space="preserve"> 2011</w:t>
      </w:r>
      <w:proofErr w:type="gramStart"/>
      <w:r w:rsidRPr="002C3711">
        <w:rPr>
          <w:rFonts w:asciiTheme="majorHAnsi" w:hAnsiTheme="majorHAnsi"/>
          <w:bCs/>
          <w:sz w:val="20"/>
          <w:szCs w:val="16"/>
        </w:rPr>
        <w:t>;70</w:t>
      </w:r>
      <w:proofErr w:type="gramEnd"/>
      <w:r w:rsidRPr="002C3711">
        <w:rPr>
          <w:rFonts w:asciiTheme="majorHAnsi" w:hAnsiTheme="majorHAnsi"/>
          <w:bCs/>
          <w:sz w:val="20"/>
          <w:szCs w:val="16"/>
        </w:rPr>
        <w:t xml:space="preserve">(6):909-920. </w:t>
      </w:r>
      <w:r w:rsidRPr="002C3711">
        <w:rPr>
          <w:rFonts w:asciiTheme="majorHAnsi" w:hAnsiTheme="majorHAnsi"/>
          <w:bCs/>
          <w:sz w:val="20"/>
          <w:szCs w:val="16"/>
        </w:rPr>
        <w:br/>
      </w: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2C3711">
        <w:rPr>
          <w:rFonts w:asciiTheme="majorHAnsi" w:hAnsiTheme="majorHAnsi"/>
          <w:sz w:val="20"/>
          <w:szCs w:val="16"/>
        </w:rPr>
        <w:t xml:space="preserve">Bingham CO, Looney RJ, </w:t>
      </w:r>
      <w:proofErr w:type="spellStart"/>
      <w:r w:rsidRPr="002C3711">
        <w:rPr>
          <w:rFonts w:asciiTheme="majorHAnsi" w:hAnsiTheme="majorHAnsi"/>
          <w:sz w:val="20"/>
          <w:szCs w:val="16"/>
        </w:rPr>
        <w:t>Deodhar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A, </w:t>
      </w:r>
      <w:r>
        <w:rPr>
          <w:rFonts w:asciiTheme="majorHAnsi" w:hAnsiTheme="majorHAnsi"/>
          <w:sz w:val="20"/>
          <w:szCs w:val="16"/>
        </w:rPr>
        <w:t>et al.</w:t>
      </w:r>
      <w:r w:rsidRPr="002C3711">
        <w:rPr>
          <w:rFonts w:asciiTheme="majorHAnsi" w:hAnsiTheme="majorHAnsi"/>
          <w:sz w:val="20"/>
          <w:szCs w:val="16"/>
        </w:rPr>
        <w:t xml:space="preserve"> Immunization responses in rheumatoid arthritis patients treated with rituximab: results from a controlled clinical trial. </w:t>
      </w:r>
      <w:r w:rsidRPr="008E4579">
        <w:rPr>
          <w:rFonts w:asciiTheme="majorHAnsi" w:hAnsiTheme="majorHAnsi"/>
          <w:i/>
          <w:sz w:val="20"/>
          <w:szCs w:val="16"/>
        </w:rPr>
        <w:t>Arthritis Rheum</w:t>
      </w:r>
      <w:r w:rsidRPr="002C3711">
        <w:rPr>
          <w:rFonts w:asciiTheme="majorHAnsi" w:hAnsiTheme="majorHAnsi"/>
          <w:sz w:val="20"/>
          <w:szCs w:val="16"/>
        </w:rPr>
        <w:t xml:space="preserve"> 2010</w:t>
      </w:r>
      <w:proofErr w:type="gramStart"/>
      <w:r w:rsidRPr="002C3711">
        <w:rPr>
          <w:rFonts w:asciiTheme="majorHAnsi" w:hAnsiTheme="majorHAnsi"/>
          <w:sz w:val="20"/>
          <w:szCs w:val="16"/>
        </w:rPr>
        <w:t>;62</w:t>
      </w:r>
      <w:proofErr w:type="gramEnd"/>
      <w:r w:rsidRPr="002C3711">
        <w:rPr>
          <w:rFonts w:asciiTheme="majorHAnsi" w:hAnsiTheme="majorHAnsi"/>
          <w:sz w:val="20"/>
          <w:szCs w:val="16"/>
        </w:rPr>
        <w:t>(1):64-74.</w:t>
      </w:r>
    </w:p>
    <w:p w:rsidR="00EF5C24" w:rsidRPr="002C3711" w:rsidRDefault="00EF5C24" w:rsidP="00EF5C24">
      <w:pPr>
        <w:pStyle w:val="ListParagraph"/>
        <w:rPr>
          <w:rFonts w:asciiTheme="majorHAnsi" w:hAnsiTheme="majorHAnsi"/>
          <w:sz w:val="20"/>
          <w:szCs w:val="16"/>
        </w:rPr>
      </w:pPr>
    </w:p>
    <w:p w:rsidR="00EF5C24" w:rsidRPr="002C3711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16"/>
        </w:rPr>
      </w:pPr>
      <w:r w:rsidRPr="002C3711">
        <w:rPr>
          <w:rFonts w:asciiTheme="majorHAnsi" w:hAnsiTheme="majorHAnsi"/>
          <w:sz w:val="20"/>
          <w:szCs w:val="16"/>
        </w:rPr>
        <w:t xml:space="preserve">Kim W, Kim SH, Huh SY, </w:t>
      </w:r>
      <w:r>
        <w:rPr>
          <w:rFonts w:asciiTheme="majorHAnsi" w:hAnsiTheme="majorHAnsi"/>
          <w:sz w:val="20"/>
          <w:szCs w:val="16"/>
        </w:rPr>
        <w:t xml:space="preserve">et al. </w:t>
      </w:r>
      <w:r w:rsidRPr="002C3711">
        <w:rPr>
          <w:rFonts w:asciiTheme="majorHAnsi" w:hAnsiTheme="majorHAnsi"/>
          <w:sz w:val="20"/>
          <w:szCs w:val="16"/>
        </w:rPr>
        <w:t>Reduced antibody formation after influenza vaccination in patients with neuromyelitis optica</w:t>
      </w:r>
      <w:r>
        <w:rPr>
          <w:rFonts w:asciiTheme="majorHAnsi" w:hAnsiTheme="majorHAnsi"/>
          <w:sz w:val="20"/>
          <w:szCs w:val="16"/>
        </w:rPr>
        <w:t xml:space="preserve"> </w:t>
      </w:r>
      <w:r w:rsidRPr="002C3711">
        <w:rPr>
          <w:rFonts w:asciiTheme="majorHAnsi" w:hAnsiTheme="majorHAnsi"/>
          <w:sz w:val="20"/>
          <w:szCs w:val="16"/>
        </w:rPr>
        <w:t xml:space="preserve">spectrum disorder treated with rituximab.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Eur</w:t>
      </w:r>
      <w:proofErr w:type="spellEnd"/>
      <w:r w:rsidRPr="008E4579">
        <w:rPr>
          <w:rFonts w:asciiTheme="majorHAnsi" w:hAnsiTheme="majorHAnsi"/>
          <w:i/>
          <w:sz w:val="20"/>
          <w:szCs w:val="16"/>
        </w:rPr>
        <w:t xml:space="preserve"> J </w:t>
      </w:r>
      <w:proofErr w:type="spellStart"/>
      <w:r w:rsidRPr="008E4579">
        <w:rPr>
          <w:rFonts w:asciiTheme="majorHAnsi" w:hAnsiTheme="majorHAnsi"/>
          <w:i/>
          <w:sz w:val="20"/>
          <w:szCs w:val="16"/>
        </w:rPr>
        <w:t>Neurol</w:t>
      </w:r>
      <w:proofErr w:type="spellEnd"/>
      <w:r w:rsidRPr="002C3711">
        <w:rPr>
          <w:rFonts w:asciiTheme="majorHAnsi" w:hAnsiTheme="majorHAnsi"/>
          <w:sz w:val="20"/>
          <w:szCs w:val="16"/>
        </w:rPr>
        <w:t xml:space="preserve"> 2013</w:t>
      </w:r>
      <w:proofErr w:type="gramStart"/>
      <w:r w:rsidRPr="002C3711">
        <w:rPr>
          <w:rFonts w:asciiTheme="majorHAnsi" w:hAnsiTheme="majorHAnsi"/>
          <w:sz w:val="20"/>
          <w:szCs w:val="16"/>
        </w:rPr>
        <w:t>;20</w:t>
      </w:r>
      <w:proofErr w:type="gramEnd"/>
      <w:r w:rsidRPr="002C3711">
        <w:rPr>
          <w:rFonts w:asciiTheme="majorHAnsi" w:hAnsiTheme="majorHAnsi"/>
          <w:sz w:val="20"/>
          <w:szCs w:val="16"/>
        </w:rPr>
        <w:t>(6):975-980.</w:t>
      </w:r>
    </w:p>
    <w:p w:rsidR="00EF5C24" w:rsidRPr="00151686" w:rsidRDefault="00EF5C24" w:rsidP="00EF5C24">
      <w:pPr>
        <w:pStyle w:val="ListParagraph"/>
        <w:rPr>
          <w:rFonts w:ascii="Calibri" w:hAnsi="Calibri"/>
          <w:sz w:val="20"/>
          <w:szCs w:val="20"/>
          <w:lang w:val="en-US"/>
        </w:rPr>
      </w:pPr>
    </w:p>
    <w:p w:rsidR="00EF5C24" w:rsidRPr="00151686" w:rsidRDefault="00EF5C24" w:rsidP="00EF5C24">
      <w:pPr>
        <w:pStyle w:val="ListParagraph"/>
        <w:numPr>
          <w:ilvl w:val="0"/>
          <w:numId w:val="17"/>
        </w:numPr>
        <w:rPr>
          <w:rFonts w:ascii="Calibri" w:hAnsi="Calibri"/>
          <w:sz w:val="20"/>
          <w:szCs w:val="20"/>
          <w:lang w:val="en-US"/>
        </w:rPr>
      </w:pPr>
      <w:r w:rsidRPr="00151686">
        <w:rPr>
          <w:rFonts w:ascii="Calibri" w:hAnsi="Calibri"/>
          <w:sz w:val="20"/>
          <w:szCs w:val="20"/>
          <w:lang w:val="en-US"/>
        </w:rPr>
        <w:t xml:space="preserve">Chua I, Lagos M, </w:t>
      </w:r>
      <w:proofErr w:type="spellStart"/>
      <w:r w:rsidRPr="00151686">
        <w:rPr>
          <w:rFonts w:ascii="Calibri" w:hAnsi="Calibri"/>
          <w:sz w:val="20"/>
          <w:szCs w:val="20"/>
          <w:lang w:val="en-US"/>
        </w:rPr>
        <w:t>Charalambous</w:t>
      </w:r>
      <w:proofErr w:type="spellEnd"/>
      <w:r w:rsidRPr="00151686">
        <w:rPr>
          <w:rFonts w:ascii="Calibri" w:hAnsi="Calibri"/>
          <w:sz w:val="20"/>
          <w:szCs w:val="20"/>
          <w:lang w:val="en-US"/>
        </w:rPr>
        <w:t xml:space="preserve"> BM et al. Pathogen-specific IgG antibody levels in </w:t>
      </w:r>
      <w:proofErr w:type="spellStart"/>
      <w:r w:rsidRPr="00151686">
        <w:rPr>
          <w:rFonts w:ascii="Calibri" w:hAnsi="Calibri"/>
          <w:sz w:val="20"/>
          <w:szCs w:val="20"/>
          <w:lang w:val="en-US"/>
        </w:rPr>
        <w:t>immunodeficient</w:t>
      </w:r>
      <w:proofErr w:type="spellEnd"/>
      <w:r w:rsidRPr="00151686">
        <w:rPr>
          <w:rFonts w:ascii="Calibri" w:hAnsi="Calibri"/>
          <w:sz w:val="20"/>
          <w:szCs w:val="20"/>
          <w:lang w:val="en-US"/>
        </w:rPr>
        <w:t xml:space="preserve"> patients receiving immunoglobulin replacement do not provide additional benefit to therapeutic management over total serum IgG. </w:t>
      </w:r>
      <w:r w:rsidRPr="008E4579">
        <w:rPr>
          <w:rFonts w:ascii="Calibri" w:hAnsi="Calibri"/>
          <w:i/>
          <w:sz w:val="20"/>
          <w:szCs w:val="20"/>
          <w:lang w:val="en-US"/>
        </w:rPr>
        <w:t xml:space="preserve">J Allergy </w:t>
      </w:r>
      <w:proofErr w:type="spellStart"/>
      <w:r w:rsidRPr="008E4579">
        <w:rPr>
          <w:rFonts w:ascii="Calibri" w:hAnsi="Calibri"/>
          <w:i/>
          <w:sz w:val="20"/>
          <w:szCs w:val="20"/>
          <w:lang w:val="en-US"/>
        </w:rPr>
        <w:t>Clin</w:t>
      </w:r>
      <w:proofErr w:type="spellEnd"/>
      <w:r w:rsidRPr="008E4579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8E4579">
        <w:rPr>
          <w:rFonts w:ascii="Calibri" w:hAnsi="Calibri"/>
          <w:i/>
          <w:sz w:val="20"/>
          <w:szCs w:val="20"/>
          <w:lang w:val="en-US"/>
        </w:rPr>
        <w:t>Immunol</w:t>
      </w:r>
      <w:proofErr w:type="spellEnd"/>
      <w:r w:rsidRPr="00151686"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2017</w:t>
      </w:r>
      <w:proofErr w:type="gramStart"/>
      <w:r>
        <w:rPr>
          <w:rFonts w:ascii="Calibri" w:hAnsi="Calibri"/>
          <w:sz w:val="20"/>
          <w:szCs w:val="20"/>
          <w:lang w:val="en-US"/>
        </w:rPr>
        <w:t>;</w:t>
      </w:r>
      <w:r w:rsidRPr="00151686">
        <w:rPr>
          <w:rFonts w:ascii="Calibri" w:hAnsi="Calibri"/>
          <w:sz w:val="20"/>
          <w:szCs w:val="20"/>
          <w:lang w:val="en-US"/>
        </w:rPr>
        <w:t>127:1410</w:t>
      </w:r>
      <w:proofErr w:type="gramEnd"/>
      <w:r w:rsidRPr="00151686">
        <w:rPr>
          <w:rFonts w:ascii="Calibri" w:hAnsi="Calibri"/>
          <w:sz w:val="20"/>
          <w:szCs w:val="20"/>
          <w:lang w:val="en-US"/>
        </w:rPr>
        <w:t>–1411.</w:t>
      </w:r>
    </w:p>
    <w:p w:rsidR="00EF5C24" w:rsidRPr="00151686" w:rsidRDefault="00EF5C24" w:rsidP="00EF5C24">
      <w:pPr>
        <w:pStyle w:val="ListParagraph"/>
        <w:rPr>
          <w:rFonts w:ascii="Calibri" w:hAnsi="Calibri"/>
          <w:sz w:val="20"/>
          <w:szCs w:val="20"/>
          <w:lang w:val="en-US"/>
        </w:rPr>
      </w:pPr>
    </w:p>
    <w:p w:rsidR="00EF5C24" w:rsidRPr="00151686" w:rsidRDefault="00EF5C24" w:rsidP="00EF5C24">
      <w:pPr>
        <w:pStyle w:val="ListParagraph"/>
        <w:numPr>
          <w:ilvl w:val="0"/>
          <w:numId w:val="17"/>
        </w:numPr>
        <w:rPr>
          <w:rFonts w:ascii="Calibri" w:hAnsi="Calibri"/>
          <w:sz w:val="20"/>
          <w:szCs w:val="20"/>
        </w:rPr>
      </w:pPr>
      <w:proofErr w:type="spellStart"/>
      <w:r w:rsidRPr="00151686">
        <w:rPr>
          <w:rFonts w:ascii="Calibri" w:hAnsi="Calibri"/>
          <w:sz w:val="20"/>
          <w:szCs w:val="20"/>
        </w:rPr>
        <w:t>Wimperis</w:t>
      </w:r>
      <w:proofErr w:type="spellEnd"/>
      <w:r w:rsidRPr="00151686">
        <w:rPr>
          <w:rFonts w:ascii="Calibri" w:hAnsi="Calibri"/>
          <w:sz w:val="20"/>
          <w:szCs w:val="20"/>
        </w:rPr>
        <w:t xml:space="preserve"> J, Lunn M, Jones A, Herriot R, Wood P, O’Shaughnessy D, </w:t>
      </w:r>
      <w:proofErr w:type="spellStart"/>
      <w:r w:rsidRPr="00151686">
        <w:rPr>
          <w:rFonts w:ascii="Calibri" w:hAnsi="Calibri"/>
          <w:sz w:val="20"/>
          <w:szCs w:val="20"/>
        </w:rPr>
        <w:t>Qualie</w:t>
      </w:r>
      <w:proofErr w:type="spellEnd"/>
      <w:r w:rsidRPr="00151686">
        <w:rPr>
          <w:rFonts w:ascii="Calibri" w:hAnsi="Calibri"/>
          <w:sz w:val="20"/>
          <w:szCs w:val="20"/>
        </w:rPr>
        <w:t xml:space="preserve"> M. Department of Health clinical guidelines for immunoglobulin use: Second edition update. July 2011. </w:t>
      </w:r>
      <w:hyperlink r:id="rId16" w:history="1">
        <w:r w:rsidRPr="00151686">
          <w:rPr>
            <w:rStyle w:val="Hyperlink"/>
            <w:rFonts w:ascii="Calibri" w:hAnsi="Calibri"/>
            <w:sz w:val="20"/>
            <w:szCs w:val="20"/>
          </w:rPr>
          <w:t>https://www.gov.uk/government/uploads/system/uploads/attachment_data/file/216671/dh_131107.pdf</w:t>
        </w:r>
      </w:hyperlink>
    </w:p>
    <w:p w:rsidR="00EF5C24" w:rsidRPr="00151686" w:rsidRDefault="00EF5C24" w:rsidP="00EF5C24">
      <w:pPr>
        <w:rPr>
          <w:rFonts w:asciiTheme="majorHAnsi" w:hAnsiTheme="majorHAnsi"/>
          <w:sz w:val="20"/>
        </w:rPr>
      </w:pPr>
    </w:p>
    <w:p w:rsidR="00EF5C24" w:rsidRPr="00151686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ED1044">
        <w:rPr>
          <w:rFonts w:asciiTheme="majorHAnsi" w:hAnsiTheme="majorHAnsi"/>
          <w:sz w:val="20"/>
        </w:rPr>
        <w:lastRenderedPageBreak/>
        <w:t xml:space="preserve">Shosha E, Pittock SJ, Flanagan E, Weinshenker BG. Neuromyelitis optica spectrum disorders and </w:t>
      </w:r>
      <w:r w:rsidRPr="00151686">
        <w:rPr>
          <w:rFonts w:asciiTheme="majorHAnsi" w:hAnsiTheme="majorHAnsi"/>
          <w:sz w:val="20"/>
        </w:rPr>
        <w:t xml:space="preserve">pregnancy: interactions and management. </w:t>
      </w:r>
      <w:proofErr w:type="spellStart"/>
      <w:r w:rsidRPr="008E4579">
        <w:rPr>
          <w:rFonts w:asciiTheme="majorHAnsi" w:hAnsiTheme="majorHAnsi"/>
          <w:i/>
          <w:sz w:val="20"/>
        </w:rPr>
        <w:t>Mult</w:t>
      </w:r>
      <w:proofErr w:type="spellEnd"/>
      <w:r w:rsidRPr="008E4579">
        <w:rPr>
          <w:rFonts w:asciiTheme="majorHAnsi" w:hAnsiTheme="majorHAnsi"/>
          <w:i/>
          <w:sz w:val="20"/>
        </w:rPr>
        <w:t xml:space="preserve"> </w:t>
      </w:r>
      <w:proofErr w:type="spellStart"/>
      <w:r w:rsidRPr="008E4579">
        <w:rPr>
          <w:rFonts w:asciiTheme="majorHAnsi" w:hAnsiTheme="majorHAnsi"/>
          <w:i/>
          <w:sz w:val="20"/>
        </w:rPr>
        <w:t>Scler</w:t>
      </w:r>
      <w:proofErr w:type="spellEnd"/>
      <w:r w:rsidRPr="008E4579">
        <w:rPr>
          <w:rFonts w:asciiTheme="majorHAnsi" w:hAnsiTheme="majorHAnsi"/>
          <w:i/>
          <w:sz w:val="20"/>
        </w:rPr>
        <w:t xml:space="preserve"> J</w:t>
      </w:r>
      <w:r w:rsidRPr="00151686">
        <w:rPr>
          <w:rFonts w:asciiTheme="majorHAnsi" w:hAnsiTheme="majorHAnsi"/>
          <w:sz w:val="20"/>
        </w:rPr>
        <w:t xml:space="preserve"> 23(14):1808-1817.</w:t>
      </w:r>
    </w:p>
    <w:p w:rsidR="00EF5C24" w:rsidRPr="00151686" w:rsidRDefault="00EF5C24" w:rsidP="00EF5C24">
      <w:pPr>
        <w:pStyle w:val="ListParagraph"/>
        <w:rPr>
          <w:rFonts w:asciiTheme="majorHAnsi" w:hAnsiTheme="majorHAnsi"/>
          <w:sz w:val="20"/>
        </w:rPr>
      </w:pPr>
    </w:p>
    <w:p w:rsidR="00EF5C24" w:rsidRPr="00151686" w:rsidRDefault="00EF5C24" w:rsidP="00EF5C24">
      <w:pPr>
        <w:pStyle w:val="desc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/>
          <w:sz w:val="20"/>
        </w:rPr>
      </w:pPr>
      <w:r w:rsidRPr="00151686">
        <w:rPr>
          <w:rFonts w:asciiTheme="majorHAnsi" w:hAnsiTheme="majorHAnsi" w:cs="Arial"/>
          <w:color w:val="000000"/>
          <w:sz w:val="20"/>
          <w:szCs w:val="20"/>
        </w:rPr>
        <w:t xml:space="preserve">Das G, </w:t>
      </w:r>
      <w:proofErr w:type="spellStart"/>
      <w:r w:rsidRPr="00151686">
        <w:rPr>
          <w:rFonts w:asciiTheme="majorHAnsi" w:hAnsiTheme="majorHAnsi" w:cs="Arial"/>
          <w:color w:val="000000"/>
          <w:sz w:val="20"/>
          <w:szCs w:val="20"/>
        </w:rPr>
        <w:t>Damotte</w:t>
      </w:r>
      <w:proofErr w:type="spellEnd"/>
      <w:r w:rsidRPr="00151686">
        <w:rPr>
          <w:rFonts w:asciiTheme="majorHAnsi" w:hAnsiTheme="majorHAnsi" w:cs="Arial"/>
          <w:color w:val="000000"/>
          <w:sz w:val="20"/>
          <w:szCs w:val="20"/>
        </w:rPr>
        <w:t xml:space="preserve"> V, </w:t>
      </w:r>
      <w:proofErr w:type="spellStart"/>
      <w:r w:rsidRPr="00151686">
        <w:rPr>
          <w:rFonts w:asciiTheme="majorHAnsi" w:hAnsiTheme="majorHAnsi" w:cs="Arial"/>
          <w:color w:val="000000"/>
          <w:sz w:val="20"/>
          <w:szCs w:val="20"/>
        </w:rPr>
        <w:t>Gelfand</w:t>
      </w:r>
      <w:proofErr w:type="spellEnd"/>
      <w:r w:rsidRPr="00151686">
        <w:rPr>
          <w:rFonts w:asciiTheme="majorHAnsi" w:hAnsiTheme="majorHAnsi" w:cs="Arial"/>
          <w:color w:val="000000"/>
          <w:sz w:val="20"/>
          <w:szCs w:val="20"/>
        </w:rPr>
        <w:t xml:space="preserve"> JM, et al. Rituximab before and during pregnancy: A systematic review, and a case series in MS and NMOSD. </w:t>
      </w:r>
      <w:proofErr w:type="spellStart"/>
      <w:r w:rsidRPr="008E4579">
        <w:rPr>
          <w:rStyle w:val="jrnl"/>
          <w:rFonts w:asciiTheme="majorHAnsi" w:hAnsiTheme="majorHAnsi" w:cs="Arial"/>
          <w:i/>
          <w:color w:val="000000"/>
          <w:sz w:val="20"/>
          <w:szCs w:val="20"/>
        </w:rPr>
        <w:t>Neurol</w:t>
      </w:r>
      <w:proofErr w:type="spellEnd"/>
      <w:r w:rsidRPr="008E4579">
        <w:rPr>
          <w:rStyle w:val="jrnl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Pr="008E4579">
        <w:rPr>
          <w:rStyle w:val="jrnl"/>
          <w:rFonts w:asciiTheme="majorHAnsi" w:hAnsiTheme="majorHAnsi" w:cs="Arial"/>
          <w:i/>
          <w:color w:val="000000"/>
          <w:sz w:val="20"/>
          <w:szCs w:val="20"/>
        </w:rPr>
        <w:t>Neuroimmunol</w:t>
      </w:r>
      <w:proofErr w:type="spellEnd"/>
      <w:r w:rsidRPr="008E4579">
        <w:rPr>
          <w:rStyle w:val="jrnl"/>
          <w:rFonts w:asciiTheme="majorHAnsi" w:hAnsiTheme="majorHAnsi" w:cs="Arial"/>
          <w:i/>
          <w:color w:val="000000"/>
          <w:sz w:val="20"/>
          <w:szCs w:val="20"/>
        </w:rPr>
        <w:t xml:space="preserve"> </w:t>
      </w:r>
      <w:proofErr w:type="spellStart"/>
      <w:r w:rsidRPr="008E4579">
        <w:rPr>
          <w:rStyle w:val="jrnl"/>
          <w:rFonts w:asciiTheme="majorHAnsi" w:hAnsiTheme="majorHAnsi" w:cs="Arial"/>
          <w:i/>
          <w:color w:val="000000"/>
          <w:sz w:val="20"/>
          <w:szCs w:val="20"/>
        </w:rPr>
        <w:t>Neuroinflamm</w:t>
      </w:r>
      <w:proofErr w:type="spellEnd"/>
      <w:r w:rsidRPr="00151686">
        <w:rPr>
          <w:rFonts w:asciiTheme="majorHAnsi" w:hAnsiTheme="majorHAnsi" w:cs="Arial"/>
          <w:color w:val="000000"/>
          <w:sz w:val="20"/>
          <w:szCs w:val="20"/>
        </w:rPr>
        <w:t xml:space="preserve"> 2018</w:t>
      </w:r>
      <w:proofErr w:type="gramStart"/>
      <w:r w:rsidRPr="00151686">
        <w:rPr>
          <w:rFonts w:asciiTheme="majorHAnsi" w:hAnsiTheme="majorHAnsi" w:cs="Arial"/>
          <w:color w:val="000000"/>
          <w:sz w:val="20"/>
          <w:szCs w:val="20"/>
        </w:rPr>
        <w:t>;5</w:t>
      </w:r>
      <w:proofErr w:type="gramEnd"/>
      <w:r w:rsidRPr="00151686">
        <w:rPr>
          <w:rFonts w:asciiTheme="majorHAnsi" w:hAnsiTheme="majorHAnsi" w:cs="Arial"/>
          <w:color w:val="000000"/>
          <w:sz w:val="20"/>
          <w:szCs w:val="20"/>
        </w:rPr>
        <w:t>(3):e453.</w:t>
      </w:r>
    </w:p>
    <w:p w:rsidR="00EF5C24" w:rsidRPr="00151686" w:rsidRDefault="00EF5C24" w:rsidP="00EF5C24">
      <w:pPr>
        <w:pStyle w:val="desc"/>
        <w:spacing w:before="0" w:beforeAutospacing="0" w:after="0" w:afterAutospacing="0"/>
        <w:rPr>
          <w:rFonts w:asciiTheme="majorHAnsi" w:hAnsiTheme="majorHAnsi"/>
          <w:sz w:val="20"/>
        </w:rPr>
      </w:pPr>
    </w:p>
    <w:p w:rsidR="00EF5C24" w:rsidRPr="00ED1044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ED1044">
        <w:rPr>
          <w:rFonts w:asciiTheme="majorHAnsi" w:hAnsiTheme="majorHAnsi"/>
          <w:sz w:val="20"/>
          <w:szCs w:val="20"/>
        </w:rPr>
        <w:t xml:space="preserve">Hauser SL, Bar-Or A, </w:t>
      </w:r>
      <w:proofErr w:type="spellStart"/>
      <w:r w:rsidRPr="00ED1044">
        <w:rPr>
          <w:rFonts w:asciiTheme="majorHAnsi" w:hAnsiTheme="majorHAnsi"/>
          <w:sz w:val="20"/>
          <w:szCs w:val="20"/>
        </w:rPr>
        <w:t>Comi</w:t>
      </w:r>
      <w:proofErr w:type="spellEnd"/>
      <w:r w:rsidRPr="00ED1044">
        <w:rPr>
          <w:rFonts w:asciiTheme="majorHAnsi" w:hAnsiTheme="majorHAnsi"/>
          <w:sz w:val="20"/>
          <w:szCs w:val="20"/>
        </w:rPr>
        <w:t xml:space="preserve"> G,</w:t>
      </w:r>
      <w:r>
        <w:rPr>
          <w:rFonts w:asciiTheme="majorHAnsi" w:hAnsiTheme="majorHAnsi"/>
          <w:sz w:val="20"/>
          <w:szCs w:val="20"/>
        </w:rPr>
        <w:t xml:space="preserve"> et al</w:t>
      </w:r>
      <w:r w:rsidRPr="00ED1044">
        <w:rPr>
          <w:rFonts w:asciiTheme="majorHAnsi" w:hAnsiTheme="majorHAnsi"/>
          <w:sz w:val="20"/>
          <w:szCs w:val="20"/>
        </w:rPr>
        <w:t xml:space="preserve">. Ocrelizumab versus interferon beta-1a in relapsing multiple sclerosis. </w:t>
      </w:r>
      <w:r w:rsidRPr="008E4579">
        <w:rPr>
          <w:rFonts w:asciiTheme="majorHAnsi" w:hAnsiTheme="majorHAnsi"/>
          <w:i/>
          <w:sz w:val="20"/>
          <w:szCs w:val="20"/>
        </w:rPr>
        <w:t xml:space="preserve">N </w:t>
      </w:r>
      <w:proofErr w:type="spellStart"/>
      <w:r w:rsidRPr="008E4579">
        <w:rPr>
          <w:rFonts w:asciiTheme="majorHAnsi" w:hAnsiTheme="majorHAnsi"/>
          <w:i/>
          <w:sz w:val="20"/>
          <w:szCs w:val="20"/>
        </w:rPr>
        <w:t>Eng</w:t>
      </w:r>
      <w:proofErr w:type="spellEnd"/>
      <w:r w:rsidRPr="008E4579">
        <w:rPr>
          <w:rFonts w:asciiTheme="majorHAnsi" w:hAnsiTheme="majorHAnsi"/>
          <w:i/>
          <w:sz w:val="20"/>
          <w:szCs w:val="20"/>
        </w:rPr>
        <w:t xml:space="preserve"> J Med</w:t>
      </w:r>
      <w:r w:rsidRPr="00ED1044">
        <w:rPr>
          <w:rFonts w:asciiTheme="majorHAnsi" w:hAnsiTheme="majorHAnsi"/>
          <w:sz w:val="20"/>
          <w:szCs w:val="20"/>
        </w:rPr>
        <w:t xml:space="preserve"> 2017</w:t>
      </w:r>
      <w:proofErr w:type="gramStart"/>
      <w:r w:rsidRPr="00ED1044">
        <w:rPr>
          <w:rFonts w:asciiTheme="majorHAnsi" w:hAnsiTheme="majorHAnsi"/>
          <w:sz w:val="20"/>
          <w:szCs w:val="20"/>
        </w:rPr>
        <w:t>;376</w:t>
      </w:r>
      <w:proofErr w:type="gramEnd"/>
      <w:r w:rsidRPr="00ED1044">
        <w:rPr>
          <w:rFonts w:asciiTheme="majorHAnsi" w:hAnsiTheme="majorHAnsi"/>
          <w:sz w:val="20"/>
          <w:szCs w:val="20"/>
        </w:rPr>
        <w:t>(3):221-234.</w:t>
      </w:r>
    </w:p>
    <w:p w:rsidR="00EF5C24" w:rsidRPr="00ED1044" w:rsidRDefault="00EF5C24" w:rsidP="00EF5C24">
      <w:pPr>
        <w:pStyle w:val="ListParagraph"/>
        <w:rPr>
          <w:rFonts w:asciiTheme="majorHAnsi" w:hAnsiTheme="majorHAnsi"/>
          <w:sz w:val="20"/>
          <w:szCs w:val="20"/>
        </w:rPr>
      </w:pPr>
    </w:p>
    <w:p w:rsidR="00EF5C24" w:rsidRPr="00815EA3" w:rsidRDefault="00EF5C24" w:rsidP="00EF5C24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proofErr w:type="spellStart"/>
      <w:r w:rsidRPr="00ED1044">
        <w:rPr>
          <w:rFonts w:asciiTheme="majorHAnsi" w:hAnsiTheme="majorHAnsi"/>
          <w:sz w:val="20"/>
          <w:szCs w:val="20"/>
        </w:rPr>
        <w:t>Montalban</w:t>
      </w:r>
      <w:proofErr w:type="spellEnd"/>
      <w:r w:rsidRPr="00ED1044">
        <w:rPr>
          <w:rFonts w:asciiTheme="majorHAnsi" w:hAnsiTheme="majorHAnsi"/>
          <w:sz w:val="20"/>
          <w:szCs w:val="20"/>
        </w:rPr>
        <w:t xml:space="preserve"> X, Hauser SL, </w:t>
      </w:r>
      <w:proofErr w:type="spellStart"/>
      <w:r w:rsidRPr="00ED1044">
        <w:rPr>
          <w:rFonts w:asciiTheme="majorHAnsi" w:hAnsiTheme="majorHAnsi"/>
          <w:sz w:val="20"/>
          <w:szCs w:val="20"/>
        </w:rPr>
        <w:t>Kappos</w:t>
      </w:r>
      <w:proofErr w:type="spellEnd"/>
      <w:r w:rsidRPr="00ED1044">
        <w:rPr>
          <w:rFonts w:asciiTheme="majorHAnsi" w:hAnsiTheme="majorHAnsi"/>
          <w:sz w:val="20"/>
          <w:szCs w:val="20"/>
        </w:rPr>
        <w:t xml:space="preserve"> L, </w:t>
      </w:r>
      <w:r>
        <w:rPr>
          <w:rFonts w:asciiTheme="majorHAnsi" w:hAnsiTheme="majorHAnsi"/>
          <w:sz w:val="20"/>
          <w:szCs w:val="20"/>
        </w:rPr>
        <w:t xml:space="preserve">et al. </w:t>
      </w:r>
      <w:r w:rsidRPr="00ED1044">
        <w:rPr>
          <w:rFonts w:asciiTheme="majorHAnsi" w:hAnsiTheme="majorHAnsi"/>
          <w:sz w:val="20"/>
          <w:szCs w:val="20"/>
        </w:rPr>
        <w:t>Ocrelizumab versus placeb</w:t>
      </w:r>
      <w:r>
        <w:rPr>
          <w:rFonts w:asciiTheme="majorHAnsi" w:hAnsiTheme="majorHAnsi"/>
          <w:sz w:val="20"/>
          <w:szCs w:val="20"/>
        </w:rPr>
        <w:t>o</w:t>
      </w:r>
      <w:r w:rsidRPr="00ED1044">
        <w:rPr>
          <w:rFonts w:asciiTheme="majorHAnsi" w:hAnsiTheme="majorHAnsi"/>
          <w:sz w:val="20"/>
          <w:szCs w:val="20"/>
        </w:rPr>
        <w:t xml:space="preserve"> in primary progressive multiple sclerosis</w:t>
      </w:r>
      <w:r w:rsidRPr="008E4579">
        <w:rPr>
          <w:rFonts w:asciiTheme="majorHAnsi" w:hAnsiTheme="majorHAnsi"/>
          <w:i/>
          <w:sz w:val="20"/>
          <w:szCs w:val="20"/>
        </w:rPr>
        <w:t xml:space="preserve">. N </w:t>
      </w:r>
      <w:proofErr w:type="spellStart"/>
      <w:r w:rsidRPr="008E4579">
        <w:rPr>
          <w:rFonts w:asciiTheme="majorHAnsi" w:hAnsiTheme="majorHAnsi"/>
          <w:i/>
          <w:sz w:val="20"/>
          <w:szCs w:val="20"/>
        </w:rPr>
        <w:t>Eng</w:t>
      </w:r>
      <w:proofErr w:type="spellEnd"/>
      <w:r w:rsidRPr="008E4579">
        <w:rPr>
          <w:rFonts w:asciiTheme="majorHAnsi" w:hAnsiTheme="majorHAnsi"/>
          <w:i/>
          <w:sz w:val="20"/>
          <w:szCs w:val="20"/>
        </w:rPr>
        <w:t xml:space="preserve"> J Med</w:t>
      </w:r>
      <w:r w:rsidRPr="00ED1044">
        <w:rPr>
          <w:rFonts w:asciiTheme="majorHAnsi" w:hAnsiTheme="majorHAnsi"/>
          <w:sz w:val="20"/>
          <w:szCs w:val="20"/>
        </w:rPr>
        <w:t xml:space="preserve"> 2017</w:t>
      </w:r>
      <w:proofErr w:type="gramStart"/>
      <w:r w:rsidRPr="00ED1044">
        <w:rPr>
          <w:rFonts w:asciiTheme="majorHAnsi" w:hAnsiTheme="majorHAnsi"/>
          <w:sz w:val="20"/>
          <w:szCs w:val="20"/>
        </w:rPr>
        <w:t>;376:209</w:t>
      </w:r>
      <w:proofErr w:type="gramEnd"/>
      <w:r w:rsidRPr="00ED1044">
        <w:rPr>
          <w:rFonts w:asciiTheme="majorHAnsi" w:hAnsiTheme="majorHAnsi"/>
          <w:sz w:val="20"/>
          <w:szCs w:val="20"/>
        </w:rPr>
        <w:t>-220. </w:t>
      </w:r>
    </w:p>
    <w:p w:rsidR="00EF5C24" w:rsidRPr="00815EA3" w:rsidRDefault="00EF5C24" w:rsidP="00EF5C24">
      <w:pPr>
        <w:rPr>
          <w:rFonts w:asciiTheme="majorHAnsi" w:hAnsiTheme="majorHAnsi"/>
          <w:sz w:val="20"/>
        </w:rPr>
      </w:pPr>
    </w:p>
    <w:p w:rsidR="0053240A" w:rsidRPr="00EF5C24" w:rsidRDefault="00EF5C24" w:rsidP="00B36C30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</w:rPr>
      </w:pPr>
      <w:r w:rsidRPr="00B36C30">
        <w:rPr>
          <w:rFonts w:asciiTheme="majorHAnsi" w:hAnsiTheme="majorHAnsi"/>
          <w:sz w:val="20"/>
        </w:rPr>
        <w:t xml:space="preserve">Emery P, Rigby W, </w:t>
      </w:r>
      <w:proofErr w:type="spellStart"/>
      <w:r w:rsidRPr="00B36C30">
        <w:rPr>
          <w:rFonts w:asciiTheme="majorHAnsi" w:hAnsiTheme="majorHAnsi"/>
          <w:sz w:val="20"/>
        </w:rPr>
        <w:t>Tak</w:t>
      </w:r>
      <w:proofErr w:type="spellEnd"/>
      <w:r w:rsidRPr="00B36C30">
        <w:rPr>
          <w:rFonts w:asciiTheme="majorHAnsi" w:hAnsiTheme="majorHAnsi"/>
          <w:sz w:val="20"/>
        </w:rPr>
        <w:t xml:space="preserve"> PP, et al (2014) Safety with Ocrelizumab in Rheumatoid Arthritis: Results from the Ocrelizumab Phase III Program. </w:t>
      </w:r>
      <w:proofErr w:type="spellStart"/>
      <w:r w:rsidRPr="00B36C30">
        <w:rPr>
          <w:rFonts w:asciiTheme="majorHAnsi" w:hAnsiTheme="majorHAnsi"/>
          <w:i/>
          <w:sz w:val="20"/>
        </w:rPr>
        <w:t>PLoS</w:t>
      </w:r>
      <w:proofErr w:type="spellEnd"/>
      <w:r w:rsidRPr="00B36C30">
        <w:rPr>
          <w:rFonts w:asciiTheme="majorHAnsi" w:hAnsiTheme="majorHAnsi"/>
          <w:i/>
          <w:sz w:val="20"/>
        </w:rPr>
        <w:t xml:space="preserve"> One</w:t>
      </w:r>
      <w:r w:rsidRPr="00B36C30">
        <w:rPr>
          <w:rFonts w:asciiTheme="majorHAnsi" w:hAnsiTheme="majorHAnsi"/>
          <w:sz w:val="20"/>
        </w:rPr>
        <w:t xml:space="preserve">. </w:t>
      </w:r>
      <w:proofErr w:type="spellStart"/>
      <w:r w:rsidRPr="00B36C30">
        <w:rPr>
          <w:rFonts w:asciiTheme="majorHAnsi" w:hAnsiTheme="majorHAnsi"/>
          <w:sz w:val="20"/>
        </w:rPr>
        <w:t>doi</w:t>
      </w:r>
      <w:proofErr w:type="spellEnd"/>
      <w:r w:rsidRPr="00B36C30">
        <w:rPr>
          <w:rFonts w:asciiTheme="majorHAnsi" w:hAnsiTheme="majorHAnsi"/>
          <w:sz w:val="20"/>
        </w:rPr>
        <w:t>: 10.1371/journal.pone.0087379</w:t>
      </w:r>
    </w:p>
    <w:sectPr w:rsidR="0053240A" w:rsidRPr="00EF5C24" w:rsidSect="00240D00">
      <w:pgSz w:w="11900" w:h="16840"/>
      <w:pgMar w:top="1134" w:right="1410" w:bottom="1134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34BE15" w15:done="0"/>
  <w15:commentEx w15:paraId="0FDE0866" w15:done="0"/>
  <w15:commentEx w15:paraId="325E009A" w15:done="0"/>
  <w15:commentEx w15:paraId="14A9F7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34BE15" w16cid:durableId="1E75DDD0"/>
  <w16cid:commentId w16cid:paraId="0FDE0866" w16cid:durableId="1E75E23E"/>
  <w16cid:commentId w16cid:paraId="325E009A" w16cid:durableId="1E75E441"/>
  <w16cid:commentId w16cid:paraId="14A9F702" w16cid:durableId="1E75E7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93" w:rsidRDefault="00860493" w:rsidP="00603FFF">
      <w:r>
        <w:separator/>
      </w:r>
    </w:p>
  </w:endnote>
  <w:endnote w:type="continuationSeparator" w:id="0">
    <w:p w:rsidR="00860493" w:rsidRDefault="00860493" w:rsidP="0060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93" w:rsidRDefault="00860493" w:rsidP="00603FFF">
      <w:r>
        <w:separator/>
      </w:r>
    </w:p>
  </w:footnote>
  <w:footnote w:type="continuationSeparator" w:id="0">
    <w:p w:rsidR="00860493" w:rsidRDefault="00860493" w:rsidP="0060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9A9"/>
    <w:multiLevelType w:val="hybridMultilevel"/>
    <w:tmpl w:val="57920AD6"/>
    <w:lvl w:ilvl="0" w:tplc="B20609C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7410"/>
    <w:multiLevelType w:val="hybridMultilevel"/>
    <w:tmpl w:val="2C8C43B4"/>
    <w:lvl w:ilvl="0" w:tplc="B33ED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0013"/>
    <w:multiLevelType w:val="hybridMultilevel"/>
    <w:tmpl w:val="A1E2C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288E"/>
    <w:multiLevelType w:val="multilevel"/>
    <w:tmpl w:val="09B4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D769A"/>
    <w:multiLevelType w:val="hybridMultilevel"/>
    <w:tmpl w:val="756E874E"/>
    <w:lvl w:ilvl="0" w:tplc="1ED8A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D11FF"/>
    <w:multiLevelType w:val="hybridMultilevel"/>
    <w:tmpl w:val="0F325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6C54"/>
    <w:multiLevelType w:val="multilevel"/>
    <w:tmpl w:val="590A6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9384D"/>
    <w:multiLevelType w:val="multilevel"/>
    <w:tmpl w:val="49FA54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51243"/>
    <w:multiLevelType w:val="hybridMultilevel"/>
    <w:tmpl w:val="AC98C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305FE"/>
    <w:multiLevelType w:val="hybridMultilevel"/>
    <w:tmpl w:val="663A436E"/>
    <w:lvl w:ilvl="0" w:tplc="31E21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B52"/>
    <w:multiLevelType w:val="hybridMultilevel"/>
    <w:tmpl w:val="28C22014"/>
    <w:lvl w:ilvl="0" w:tplc="3B8023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3439"/>
    <w:multiLevelType w:val="hybridMultilevel"/>
    <w:tmpl w:val="3F529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A70C9"/>
    <w:multiLevelType w:val="hybridMultilevel"/>
    <w:tmpl w:val="A29A9B18"/>
    <w:lvl w:ilvl="0" w:tplc="97041234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356B6F"/>
    <w:multiLevelType w:val="hybridMultilevel"/>
    <w:tmpl w:val="6CA2F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F8A"/>
    <w:multiLevelType w:val="hybridMultilevel"/>
    <w:tmpl w:val="0ECC2414"/>
    <w:lvl w:ilvl="0" w:tplc="080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B8B4E37"/>
    <w:multiLevelType w:val="hybridMultilevel"/>
    <w:tmpl w:val="854C5DDE"/>
    <w:lvl w:ilvl="0" w:tplc="9698D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E1C31"/>
    <w:multiLevelType w:val="hybridMultilevel"/>
    <w:tmpl w:val="79FAF7B0"/>
    <w:lvl w:ilvl="0" w:tplc="578878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4"/>
    <w:multiLevelType w:val="hybridMultilevel"/>
    <w:tmpl w:val="C66831AC"/>
    <w:lvl w:ilvl="0" w:tplc="33F212A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46B90"/>
    <w:multiLevelType w:val="multilevel"/>
    <w:tmpl w:val="74267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AB39A7"/>
    <w:multiLevelType w:val="hybridMultilevel"/>
    <w:tmpl w:val="0F48A108"/>
    <w:lvl w:ilvl="0" w:tplc="863E82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en Jolles">
    <w15:presenceInfo w15:providerId="Windows Live" w15:userId="93844ba67cbce2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E1"/>
    <w:rsid w:val="0000121B"/>
    <w:rsid w:val="00004C2E"/>
    <w:rsid w:val="00005819"/>
    <w:rsid w:val="00005F53"/>
    <w:rsid w:val="00010248"/>
    <w:rsid w:val="0001073C"/>
    <w:rsid w:val="00013875"/>
    <w:rsid w:val="00014658"/>
    <w:rsid w:val="00014FF3"/>
    <w:rsid w:val="000156CE"/>
    <w:rsid w:val="000165E8"/>
    <w:rsid w:val="000174E6"/>
    <w:rsid w:val="0002310A"/>
    <w:rsid w:val="00023E95"/>
    <w:rsid w:val="00024291"/>
    <w:rsid w:val="00032B86"/>
    <w:rsid w:val="00033874"/>
    <w:rsid w:val="00033AB2"/>
    <w:rsid w:val="0003447D"/>
    <w:rsid w:val="00041EF9"/>
    <w:rsid w:val="00042C2D"/>
    <w:rsid w:val="0004728C"/>
    <w:rsid w:val="00047FDF"/>
    <w:rsid w:val="00053DF7"/>
    <w:rsid w:val="00061CC2"/>
    <w:rsid w:val="000632E8"/>
    <w:rsid w:val="00066D7D"/>
    <w:rsid w:val="00075B86"/>
    <w:rsid w:val="0008276C"/>
    <w:rsid w:val="00084B38"/>
    <w:rsid w:val="00085124"/>
    <w:rsid w:val="000902F9"/>
    <w:rsid w:val="0009287B"/>
    <w:rsid w:val="00094AE2"/>
    <w:rsid w:val="000975C2"/>
    <w:rsid w:val="000A5A44"/>
    <w:rsid w:val="000B2066"/>
    <w:rsid w:val="000B56A4"/>
    <w:rsid w:val="000C38CA"/>
    <w:rsid w:val="000C4705"/>
    <w:rsid w:val="000C4B49"/>
    <w:rsid w:val="000C6FDD"/>
    <w:rsid w:val="000C77EB"/>
    <w:rsid w:val="000C7D0B"/>
    <w:rsid w:val="000D0BBE"/>
    <w:rsid w:val="000D486E"/>
    <w:rsid w:val="000D4D81"/>
    <w:rsid w:val="000D674E"/>
    <w:rsid w:val="000D6FB4"/>
    <w:rsid w:val="000D71BC"/>
    <w:rsid w:val="000D73C6"/>
    <w:rsid w:val="000E3065"/>
    <w:rsid w:val="000F07E8"/>
    <w:rsid w:val="000F50C4"/>
    <w:rsid w:val="000F731A"/>
    <w:rsid w:val="00107008"/>
    <w:rsid w:val="00111760"/>
    <w:rsid w:val="00114EF0"/>
    <w:rsid w:val="00121301"/>
    <w:rsid w:val="00121CF4"/>
    <w:rsid w:val="00124257"/>
    <w:rsid w:val="00130304"/>
    <w:rsid w:val="0014009D"/>
    <w:rsid w:val="00140F02"/>
    <w:rsid w:val="00140F56"/>
    <w:rsid w:val="001418E2"/>
    <w:rsid w:val="0014454E"/>
    <w:rsid w:val="00150515"/>
    <w:rsid w:val="00151686"/>
    <w:rsid w:val="00160A32"/>
    <w:rsid w:val="00163AC5"/>
    <w:rsid w:val="00165F52"/>
    <w:rsid w:val="00174526"/>
    <w:rsid w:val="00174DF3"/>
    <w:rsid w:val="001815C0"/>
    <w:rsid w:val="00181B66"/>
    <w:rsid w:val="0018426F"/>
    <w:rsid w:val="00184E24"/>
    <w:rsid w:val="00186404"/>
    <w:rsid w:val="00190039"/>
    <w:rsid w:val="00191AEE"/>
    <w:rsid w:val="00192679"/>
    <w:rsid w:val="00192D73"/>
    <w:rsid w:val="001948A1"/>
    <w:rsid w:val="001A23AE"/>
    <w:rsid w:val="001A2658"/>
    <w:rsid w:val="001A2DF0"/>
    <w:rsid w:val="001A6355"/>
    <w:rsid w:val="001A68E4"/>
    <w:rsid w:val="001B18F1"/>
    <w:rsid w:val="001B3998"/>
    <w:rsid w:val="001B79A9"/>
    <w:rsid w:val="001C075A"/>
    <w:rsid w:val="001C0FD7"/>
    <w:rsid w:val="001C2DCD"/>
    <w:rsid w:val="001C7CA5"/>
    <w:rsid w:val="001D026B"/>
    <w:rsid w:val="001D3941"/>
    <w:rsid w:val="001D45A7"/>
    <w:rsid w:val="001D670A"/>
    <w:rsid w:val="001D69B7"/>
    <w:rsid w:val="001D7179"/>
    <w:rsid w:val="001E280F"/>
    <w:rsid w:val="001E2A32"/>
    <w:rsid w:val="001E3ACE"/>
    <w:rsid w:val="001E6F63"/>
    <w:rsid w:val="001E744B"/>
    <w:rsid w:val="001F0BE8"/>
    <w:rsid w:val="001F14FC"/>
    <w:rsid w:val="001F5C7E"/>
    <w:rsid w:val="001F71C4"/>
    <w:rsid w:val="00200B88"/>
    <w:rsid w:val="00201B95"/>
    <w:rsid w:val="0020271B"/>
    <w:rsid w:val="0020396B"/>
    <w:rsid w:val="00207243"/>
    <w:rsid w:val="00207404"/>
    <w:rsid w:val="002079A1"/>
    <w:rsid w:val="0021175E"/>
    <w:rsid w:val="00211EC6"/>
    <w:rsid w:val="0021544A"/>
    <w:rsid w:val="002155A5"/>
    <w:rsid w:val="00215D0F"/>
    <w:rsid w:val="002212E4"/>
    <w:rsid w:val="002221F2"/>
    <w:rsid w:val="002262B9"/>
    <w:rsid w:val="00226D53"/>
    <w:rsid w:val="00232784"/>
    <w:rsid w:val="00232F70"/>
    <w:rsid w:val="002345DD"/>
    <w:rsid w:val="00234BBD"/>
    <w:rsid w:val="00236430"/>
    <w:rsid w:val="00236EB8"/>
    <w:rsid w:val="002376CA"/>
    <w:rsid w:val="00240D00"/>
    <w:rsid w:val="0024116C"/>
    <w:rsid w:val="00243388"/>
    <w:rsid w:val="00243FB0"/>
    <w:rsid w:val="00246E7E"/>
    <w:rsid w:val="0025029B"/>
    <w:rsid w:val="002504A8"/>
    <w:rsid w:val="002526B3"/>
    <w:rsid w:val="00253C0B"/>
    <w:rsid w:val="00257C83"/>
    <w:rsid w:val="0026111D"/>
    <w:rsid w:val="0026143A"/>
    <w:rsid w:val="00261522"/>
    <w:rsid w:val="00267CDD"/>
    <w:rsid w:val="002709A5"/>
    <w:rsid w:val="00271C20"/>
    <w:rsid w:val="002733E3"/>
    <w:rsid w:val="00273989"/>
    <w:rsid w:val="00273F91"/>
    <w:rsid w:val="00274134"/>
    <w:rsid w:val="0028012E"/>
    <w:rsid w:val="00283DC3"/>
    <w:rsid w:val="00284199"/>
    <w:rsid w:val="0028516B"/>
    <w:rsid w:val="00286A80"/>
    <w:rsid w:val="00294663"/>
    <w:rsid w:val="002A10ED"/>
    <w:rsid w:val="002A1AAB"/>
    <w:rsid w:val="002A21C6"/>
    <w:rsid w:val="002A2D23"/>
    <w:rsid w:val="002A40E4"/>
    <w:rsid w:val="002A4CA6"/>
    <w:rsid w:val="002B2AF1"/>
    <w:rsid w:val="002B3CF8"/>
    <w:rsid w:val="002B4137"/>
    <w:rsid w:val="002C3711"/>
    <w:rsid w:val="002C462C"/>
    <w:rsid w:val="002C52C1"/>
    <w:rsid w:val="002D48C1"/>
    <w:rsid w:val="002E1CB7"/>
    <w:rsid w:val="002E1F5C"/>
    <w:rsid w:val="002E4ACC"/>
    <w:rsid w:val="002E7B21"/>
    <w:rsid w:val="002F112F"/>
    <w:rsid w:val="002F28AD"/>
    <w:rsid w:val="002F32C9"/>
    <w:rsid w:val="0032077C"/>
    <w:rsid w:val="0032505B"/>
    <w:rsid w:val="00325D90"/>
    <w:rsid w:val="00327392"/>
    <w:rsid w:val="00327A3F"/>
    <w:rsid w:val="00330CF6"/>
    <w:rsid w:val="00331D24"/>
    <w:rsid w:val="003325EA"/>
    <w:rsid w:val="003328C3"/>
    <w:rsid w:val="003348BA"/>
    <w:rsid w:val="00334AF4"/>
    <w:rsid w:val="0033560E"/>
    <w:rsid w:val="003369A0"/>
    <w:rsid w:val="00336D73"/>
    <w:rsid w:val="0034053A"/>
    <w:rsid w:val="003409E5"/>
    <w:rsid w:val="00341211"/>
    <w:rsid w:val="00342292"/>
    <w:rsid w:val="0034475B"/>
    <w:rsid w:val="00345079"/>
    <w:rsid w:val="00346FD6"/>
    <w:rsid w:val="00353E63"/>
    <w:rsid w:val="00355EDA"/>
    <w:rsid w:val="00361702"/>
    <w:rsid w:val="00361726"/>
    <w:rsid w:val="00361846"/>
    <w:rsid w:val="00362337"/>
    <w:rsid w:val="0036369A"/>
    <w:rsid w:val="00364F19"/>
    <w:rsid w:val="00364F46"/>
    <w:rsid w:val="00370088"/>
    <w:rsid w:val="0037082F"/>
    <w:rsid w:val="00373BAD"/>
    <w:rsid w:val="00376073"/>
    <w:rsid w:val="0037609E"/>
    <w:rsid w:val="003764D3"/>
    <w:rsid w:val="00377CD7"/>
    <w:rsid w:val="00382878"/>
    <w:rsid w:val="00383584"/>
    <w:rsid w:val="003871CF"/>
    <w:rsid w:val="00387F97"/>
    <w:rsid w:val="00391764"/>
    <w:rsid w:val="00393CCE"/>
    <w:rsid w:val="0039533F"/>
    <w:rsid w:val="0039715D"/>
    <w:rsid w:val="003A09A3"/>
    <w:rsid w:val="003A32E4"/>
    <w:rsid w:val="003A485E"/>
    <w:rsid w:val="003B2A62"/>
    <w:rsid w:val="003B3629"/>
    <w:rsid w:val="003B5DAB"/>
    <w:rsid w:val="003B7835"/>
    <w:rsid w:val="003C1C6D"/>
    <w:rsid w:val="003C3FC8"/>
    <w:rsid w:val="003D291A"/>
    <w:rsid w:val="003D35B8"/>
    <w:rsid w:val="003D4A7B"/>
    <w:rsid w:val="003E0D80"/>
    <w:rsid w:val="003E2308"/>
    <w:rsid w:val="003E4651"/>
    <w:rsid w:val="003E46DD"/>
    <w:rsid w:val="003E638B"/>
    <w:rsid w:val="003F1C5F"/>
    <w:rsid w:val="003F32BE"/>
    <w:rsid w:val="003F563D"/>
    <w:rsid w:val="003F6125"/>
    <w:rsid w:val="00400186"/>
    <w:rsid w:val="00400641"/>
    <w:rsid w:val="0040226B"/>
    <w:rsid w:val="0040362A"/>
    <w:rsid w:val="00405726"/>
    <w:rsid w:val="00413A0D"/>
    <w:rsid w:val="00413F49"/>
    <w:rsid w:val="00414853"/>
    <w:rsid w:val="00425DC0"/>
    <w:rsid w:val="00436460"/>
    <w:rsid w:val="00436FCF"/>
    <w:rsid w:val="00440360"/>
    <w:rsid w:val="00442D4E"/>
    <w:rsid w:val="00445FCF"/>
    <w:rsid w:val="00450090"/>
    <w:rsid w:val="004501C5"/>
    <w:rsid w:val="004503E9"/>
    <w:rsid w:val="00450B97"/>
    <w:rsid w:val="00466292"/>
    <w:rsid w:val="00467FAF"/>
    <w:rsid w:val="0047202E"/>
    <w:rsid w:val="00473CAD"/>
    <w:rsid w:val="0048284D"/>
    <w:rsid w:val="004834D4"/>
    <w:rsid w:val="0048576C"/>
    <w:rsid w:val="0048576D"/>
    <w:rsid w:val="0048599A"/>
    <w:rsid w:val="0049112E"/>
    <w:rsid w:val="004936A7"/>
    <w:rsid w:val="004971EC"/>
    <w:rsid w:val="004A554B"/>
    <w:rsid w:val="004A5A29"/>
    <w:rsid w:val="004A7AFE"/>
    <w:rsid w:val="004B1C4E"/>
    <w:rsid w:val="004B22C4"/>
    <w:rsid w:val="004B2894"/>
    <w:rsid w:val="004B6429"/>
    <w:rsid w:val="004B67F1"/>
    <w:rsid w:val="004C2074"/>
    <w:rsid w:val="004C27E9"/>
    <w:rsid w:val="004C3E73"/>
    <w:rsid w:val="004D007D"/>
    <w:rsid w:val="004D1A3A"/>
    <w:rsid w:val="004D3872"/>
    <w:rsid w:val="004D4825"/>
    <w:rsid w:val="004D49DC"/>
    <w:rsid w:val="004D4A00"/>
    <w:rsid w:val="004D52EB"/>
    <w:rsid w:val="004D6AE5"/>
    <w:rsid w:val="004D7351"/>
    <w:rsid w:val="004E13CB"/>
    <w:rsid w:val="004E6897"/>
    <w:rsid w:val="004F0C78"/>
    <w:rsid w:val="004F3D4C"/>
    <w:rsid w:val="004F404C"/>
    <w:rsid w:val="004F631A"/>
    <w:rsid w:val="004F6720"/>
    <w:rsid w:val="004F6D9F"/>
    <w:rsid w:val="0050130B"/>
    <w:rsid w:val="00504882"/>
    <w:rsid w:val="0050706F"/>
    <w:rsid w:val="0051155C"/>
    <w:rsid w:val="00511841"/>
    <w:rsid w:val="005125BC"/>
    <w:rsid w:val="00512CF2"/>
    <w:rsid w:val="0051562C"/>
    <w:rsid w:val="005162F8"/>
    <w:rsid w:val="00516D9A"/>
    <w:rsid w:val="00520BBB"/>
    <w:rsid w:val="00521969"/>
    <w:rsid w:val="005246E1"/>
    <w:rsid w:val="00525767"/>
    <w:rsid w:val="0052678D"/>
    <w:rsid w:val="0052741A"/>
    <w:rsid w:val="00530A9E"/>
    <w:rsid w:val="0053240A"/>
    <w:rsid w:val="005331A1"/>
    <w:rsid w:val="00536D4D"/>
    <w:rsid w:val="00537AD8"/>
    <w:rsid w:val="00544D7B"/>
    <w:rsid w:val="00545407"/>
    <w:rsid w:val="005465E7"/>
    <w:rsid w:val="00547877"/>
    <w:rsid w:val="00550DC7"/>
    <w:rsid w:val="00552A4A"/>
    <w:rsid w:val="00554D8A"/>
    <w:rsid w:val="0055712C"/>
    <w:rsid w:val="00560308"/>
    <w:rsid w:val="005662F1"/>
    <w:rsid w:val="00567C93"/>
    <w:rsid w:val="00570C8F"/>
    <w:rsid w:val="00572F19"/>
    <w:rsid w:val="00575020"/>
    <w:rsid w:val="0058059D"/>
    <w:rsid w:val="00581C76"/>
    <w:rsid w:val="00582EEE"/>
    <w:rsid w:val="005831C7"/>
    <w:rsid w:val="00586F06"/>
    <w:rsid w:val="00586F70"/>
    <w:rsid w:val="005A31BB"/>
    <w:rsid w:val="005A3ACF"/>
    <w:rsid w:val="005B0CE6"/>
    <w:rsid w:val="005B1B0D"/>
    <w:rsid w:val="005B29A8"/>
    <w:rsid w:val="005C1B7E"/>
    <w:rsid w:val="005C2E6A"/>
    <w:rsid w:val="005C39ED"/>
    <w:rsid w:val="005C5CEF"/>
    <w:rsid w:val="005D1869"/>
    <w:rsid w:val="005E02A8"/>
    <w:rsid w:val="005E29D9"/>
    <w:rsid w:val="005E33C2"/>
    <w:rsid w:val="005E4594"/>
    <w:rsid w:val="005E5B4D"/>
    <w:rsid w:val="005E6013"/>
    <w:rsid w:val="005F327A"/>
    <w:rsid w:val="00601210"/>
    <w:rsid w:val="00602D1F"/>
    <w:rsid w:val="00603580"/>
    <w:rsid w:val="00603FFF"/>
    <w:rsid w:val="006061FF"/>
    <w:rsid w:val="0061030B"/>
    <w:rsid w:val="006109F6"/>
    <w:rsid w:val="006141A1"/>
    <w:rsid w:val="00622A71"/>
    <w:rsid w:val="00622CFA"/>
    <w:rsid w:val="00627A1C"/>
    <w:rsid w:val="00630E76"/>
    <w:rsid w:val="00632B4A"/>
    <w:rsid w:val="00633183"/>
    <w:rsid w:val="006364AC"/>
    <w:rsid w:val="00636982"/>
    <w:rsid w:val="006406C8"/>
    <w:rsid w:val="006406F8"/>
    <w:rsid w:val="00643168"/>
    <w:rsid w:val="006448F6"/>
    <w:rsid w:val="006514F3"/>
    <w:rsid w:val="00653C1C"/>
    <w:rsid w:val="006547A8"/>
    <w:rsid w:val="006547CC"/>
    <w:rsid w:val="00657669"/>
    <w:rsid w:val="00661A96"/>
    <w:rsid w:val="00663444"/>
    <w:rsid w:val="00663608"/>
    <w:rsid w:val="00664887"/>
    <w:rsid w:val="006650B3"/>
    <w:rsid w:val="00666AEA"/>
    <w:rsid w:val="00666C3F"/>
    <w:rsid w:val="0067181B"/>
    <w:rsid w:val="00677C2D"/>
    <w:rsid w:val="00677FAF"/>
    <w:rsid w:val="0068126E"/>
    <w:rsid w:val="006848B7"/>
    <w:rsid w:val="00686984"/>
    <w:rsid w:val="00690A31"/>
    <w:rsid w:val="00694D54"/>
    <w:rsid w:val="00696694"/>
    <w:rsid w:val="006A1629"/>
    <w:rsid w:val="006A3FC6"/>
    <w:rsid w:val="006A4A96"/>
    <w:rsid w:val="006A6C31"/>
    <w:rsid w:val="006A71BF"/>
    <w:rsid w:val="006B3DE6"/>
    <w:rsid w:val="006B52D8"/>
    <w:rsid w:val="006B57D4"/>
    <w:rsid w:val="006B5D11"/>
    <w:rsid w:val="006B6AB6"/>
    <w:rsid w:val="006C1520"/>
    <w:rsid w:val="006C23E9"/>
    <w:rsid w:val="006C7E39"/>
    <w:rsid w:val="006D041E"/>
    <w:rsid w:val="006D0AD9"/>
    <w:rsid w:val="006D0DC1"/>
    <w:rsid w:val="006D1B39"/>
    <w:rsid w:val="006D1B86"/>
    <w:rsid w:val="006D242E"/>
    <w:rsid w:val="006D39CB"/>
    <w:rsid w:val="006D6494"/>
    <w:rsid w:val="006E0D7F"/>
    <w:rsid w:val="006E11C6"/>
    <w:rsid w:val="006E46C2"/>
    <w:rsid w:val="006E59B8"/>
    <w:rsid w:val="006E5E32"/>
    <w:rsid w:val="006F11E6"/>
    <w:rsid w:val="006F2424"/>
    <w:rsid w:val="006F60C0"/>
    <w:rsid w:val="006F7DAB"/>
    <w:rsid w:val="007018D8"/>
    <w:rsid w:val="00702920"/>
    <w:rsid w:val="00702BCF"/>
    <w:rsid w:val="007045A8"/>
    <w:rsid w:val="0070726B"/>
    <w:rsid w:val="00707F04"/>
    <w:rsid w:val="00710C67"/>
    <w:rsid w:val="00710CA2"/>
    <w:rsid w:val="00712609"/>
    <w:rsid w:val="007126F9"/>
    <w:rsid w:val="007134B4"/>
    <w:rsid w:val="00714285"/>
    <w:rsid w:val="00716C94"/>
    <w:rsid w:val="00717BE4"/>
    <w:rsid w:val="00720C50"/>
    <w:rsid w:val="0072109A"/>
    <w:rsid w:val="00723A25"/>
    <w:rsid w:val="00725147"/>
    <w:rsid w:val="0072674B"/>
    <w:rsid w:val="0073041A"/>
    <w:rsid w:val="00730B9C"/>
    <w:rsid w:val="00731450"/>
    <w:rsid w:val="00731761"/>
    <w:rsid w:val="007335B4"/>
    <w:rsid w:val="00736F5C"/>
    <w:rsid w:val="00744D63"/>
    <w:rsid w:val="007453DB"/>
    <w:rsid w:val="00751AA5"/>
    <w:rsid w:val="00751ED7"/>
    <w:rsid w:val="007524F8"/>
    <w:rsid w:val="007560B3"/>
    <w:rsid w:val="00756441"/>
    <w:rsid w:val="007625E7"/>
    <w:rsid w:val="007632AD"/>
    <w:rsid w:val="00765450"/>
    <w:rsid w:val="00766124"/>
    <w:rsid w:val="00766333"/>
    <w:rsid w:val="007674DC"/>
    <w:rsid w:val="0076768B"/>
    <w:rsid w:val="007708E0"/>
    <w:rsid w:val="00770ACF"/>
    <w:rsid w:val="007758BB"/>
    <w:rsid w:val="00780660"/>
    <w:rsid w:val="00780BA6"/>
    <w:rsid w:val="00786089"/>
    <w:rsid w:val="00791811"/>
    <w:rsid w:val="00794954"/>
    <w:rsid w:val="007A1636"/>
    <w:rsid w:val="007A33FC"/>
    <w:rsid w:val="007A3D0B"/>
    <w:rsid w:val="007A6F56"/>
    <w:rsid w:val="007A70BC"/>
    <w:rsid w:val="007A7FB0"/>
    <w:rsid w:val="007C6195"/>
    <w:rsid w:val="007C67AB"/>
    <w:rsid w:val="007D1F00"/>
    <w:rsid w:val="007D2DA5"/>
    <w:rsid w:val="007D2F12"/>
    <w:rsid w:val="007D5B45"/>
    <w:rsid w:val="007D7B19"/>
    <w:rsid w:val="007E2D96"/>
    <w:rsid w:val="007E3184"/>
    <w:rsid w:val="007E49C3"/>
    <w:rsid w:val="007F4FF2"/>
    <w:rsid w:val="007F5586"/>
    <w:rsid w:val="007F79C8"/>
    <w:rsid w:val="00802CF0"/>
    <w:rsid w:val="008112CA"/>
    <w:rsid w:val="008115A5"/>
    <w:rsid w:val="00811A9A"/>
    <w:rsid w:val="0081255E"/>
    <w:rsid w:val="0081543D"/>
    <w:rsid w:val="00815EA3"/>
    <w:rsid w:val="00816674"/>
    <w:rsid w:val="0082186F"/>
    <w:rsid w:val="00825196"/>
    <w:rsid w:val="00827880"/>
    <w:rsid w:val="00835397"/>
    <w:rsid w:val="00836DF1"/>
    <w:rsid w:val="00837C7D"/>
    <w:rsid w:val="00841DAB"/>
    <w:rsid w:val="008428BC"/>
    <w:rsid w:val="0085197A"/>
    <w:rsid w:val="0085268A"/>
    <w:rsid w:val="00854487"/>
    <w:rsid w:val="008550A3"/>
    <w:rsid w:val="00856427"/>
    <w:rsid w:val="00860493"/>
    <w:rsid w:val="0086480B"/>
    <w:rsid w:val="00872A58"/>
    <w:rsid w:val="008737E3"/>
    <w:rsid w:val="00876C5C"/>
    <w:rsid w:val="008832C3"/>
    <w:rsid w:val="00883A18"/>
    <w:rsid w:val="00883B93"/>
    <w:rsid w:val="008845B5"/>
    <w:rsid w:val="0088524A"/>
    <w:rsid w:val="008856F3"/>
    <w:rsid w:val="008865F1"/>
    <w:rsid w:val="00891BBD"/>
    <w:rsid w:val="00892D01"/>
    <w:rsid w:val="0089359D"/>
    <w:rsid w:val="008937D5"/>
    <w:rsid w:val="00895B1E"/>
    <w:rsid w:val="008967AA"/>
    <w:rsid w:val="008A0A7D"/>
    <w:rsid w:val="008A3079"/>
    <w:rsid w:val="008A3DC5"/>
    <w:rsid w:val="008A7BFE"/>
    <w:rsid w:val="008B2443"/>
    <w:rsid w:val="008B56FB"/>
    <w:rsid w:val="008C0C15"/>
    <w:rsid w:val="008C0EE3"/>
    <w:rsid w:val="008C11ED"/>
    <w:rsid w:val="008C17D1"/>
    <w:rsid w:val="008C1D24"/>
    <w:rsid w:val="008C262A"/>
    <w:rsid w:val="008D4B40"/>
    <w:rsid w:val="008D52DB"/>
    <w:rsid w:val="008D5761"/>
    <w:rsid w:val="008D6889"/>
    <w:rsid w:val="008E2951"/>
    <w:rsid w:val="008E4579"/>
    <w:rsid w:val="008E5A60"/>
    <w:rsid w:val="008E748B"/>
    <w:rsid w:val="008F0401"/>
    <w:rsid w:val="008F184F"/>
    <w:rsid w:val="008F1D45"/>
    <w:rsid w:val="008F3734"/>
    <w:rsid w:val="008F4A41"/>
    <w:rsid w:val="008F6236"/>
    <w:rsid w:val="008F727F"/>
    <w:rsid w:val="008F74A1"/>
    <w:rsid w:val="009002BF"/>
    <w:rsid w:val="00900CEB"/>
    <w:rsid w:val="00906EEA"/>
    <w:rsid w:val="0091306E"/>
    <w:rsid w:val="00915DA2"/>
    <w:rsid w:val="009179C7"/>
    <w:rsid w:val="0092360E"/>
    <w:rsid w:val="009240E1"/>
    <w:rsid w:val="0092470C"/>
    <w:rsid w:val="00925F44"/>
    <w:rsid w:val="009412D6"/>
    <w:rsid w:val="00943A31"/>
    <w:rsid w:val="00944491"/>
    <w:rsid w:val="00960D8E"/>
    <w:rsid w:val="00961D33"/>
    <w:rsid w:val="00961ED5"/>
    <w:rsid w:val="009642C3"/>
    <w:rsid w:val="0096461B"/>
    <w:rsid w:val="00964883"/>
    <w:rsid w:val="00965062"/>
    <w:rsid w:val="009672E9"/>
    <w:rsid w:val="00970EF4"/>
    <w:rsid w:val="009818F1"/>
    <w:rsid w:val="00982EA2"/>
    <w:rsid w:val="00984634"/>
    <w:rsid w:val="00984852"/>
    <w:rsid w:val="009861F1"/>
    <w:rsid w:val="00990283"/>
    <w:rsid w:val="009971CE"/>
    <w:rsid w:val="009A0C23"/>
    <w:rsid w:val="009A2250"/>
    <w:rsid w:val="009A448A"/>
    <w:rsid w:val="009A5FA1"/>
    <w:rsid w:val="009B402F"/>
    <w:rsid w:val="009B6368"/>
    <w:rsid w:val="009C0A6E"/>
    <w:rsid w:val="009C232D"/>
    <w:rsid w:val="009C3429"/>
    <w:rsid w:val="009C4814"/>
    <w:rsid w:val="009C7D1A"/>
    <w:rsid w:val="009D26EE"/>
    <w:rsid w:val="009D5903"/>
    <w:rsid w:val="009D7A2D"/>
    <w:rsid w:val="009E13C6"/>
    <w:rsid w:val="009E3443"/>
    <w:rsid w:val="009E4230"/>
    <w:rsid w:val="009E516D"/>
    <w:rsid w:val="009E7995"/>
    <w:rsid w:val="009F01C6"/>
    <w:rsid w:val="009F17B4"/>
    <w:rsid w:val="009F37E6"/>
    <w:rsid w:val="009F5EAE"/>
    <w:rsid w:val="009F5FAE"/>
    <w:rsid w:val="009F6633"/>
    <w:rsid w:val="009F6F0E"/>
    <w:rsid w:val="009F7D8A"/>
    <w:rsid w:val="009F7FFA"/>
    <w:rsid w:val="00A00F45"/>
    <w:rsid w:val="00A016DE"/>
    <w:rsid w:val="00A025DB"/>
    <w:rsid w:val="00A10998"/>
    <w:rsid w:val="00A126E7"/>
    <w:rsid w:val="00A15DB1"/>
    <w:rsid w:val="00A204A7"/>
    <w:rsid w:val="00A22970"/>
    <w:rsid w:val="00A3048C"/>
    <w:rsid w:val="00A32D45"/>
    <w:rsid w:val="00A3392B"/>
    <w:rsid w:val="00A33C22"/>
    <w:rsid w:val="00A34566"/>
    <w:rsid w:val="00A34D40"/>
    <w:rsid w:val="00A42CAD"/>
    <w:rsid w:val="00A43EE4"/>
    <w:rsid w:val="00A45BD8"/>
    <w:rsid w:val="00A467CD"/>
    <w:rsid w:val="00A4740F"/>
    <w:rsid w:val="00A51495"/>
    <w:rsid w:val="00A520BB"/>
    <w:rsid w:val="00A531E4"/>
    <w:rsid w:val="00A56E08"/>
    <w:rsid w:val="00A56E4A"/>
    <w:rsid w:val="00A61252"/>
    <w:rsid w:val="00A61C48"/>
    <w:rsid w:val="00A63220"/>
    <w:rsid w:val="00A649C3"/>
    <w:rsid w:val="00A66D56"/>
    <w:rsid w:val="00A73895"/>
    <w:rsid w:val="00A73D77"/>
    <w:rsid w:val="00A77021"/>
    <w:rsid w:val="00A830FE"/>
    <w:rsid w:val="00A87BD9"/>
    <w:rsid w:val="00A90878"/>
    <w:rsid w:val="00A92FE4"/>
    <w:rsid w:val="00A93413"/>
    <w:rsid w:val="00AA0098"/>
    <w:rsid w:val="00AA120D"/>
    <w:rsid w:val="00AA2DA5"/>
    <w:rsid w:val="00AA5AFE"/>
    <w:rsid w:val="00AA6B37"/>
    <w:rsid w:val="00AB2202"/>
    <w:rsid w:val="00AB36AC"/>
    <w:rsid w:val="00AC0B8A"/>
    <w:rsid w:val="00AC144B"/>
    <w:rsid w:val="00AC4897"/>
    <w:rsid w:val="00AD0E97"/>
    <w:rsid w:val="00AD6914"/>
    <w:rsid w:val="00AE0398"/>
    <w:rsid w:val="00AE2BF9"/>
    <w:rsid w:val="00AE56C1"/>
    <w:rsid w:val="00AE5E08"/>
    <w:rsid w:val="00AF087E"/>
    <w:rsid w:val="00AF09E5"/>
    <w:rsid w:val="00AF23A7"/>
    <w:rsid w:val="00B01073"/>
    <w:rsid w:val="00B01CC2"/>
    <w:rsid w:val="00B03664"/>
    <w:rsid w:val="00B04B0C"/>
    <w:rsid w:val="00B07C1C"/>
    <w:rsid w:val="00B175C3"/>
    <w:rsid w:val="00B24544"/>
    <w:rsid w:val="00B26A9A"/>
    <w:rsid w:val="00B2793A"/>
    <w:rsid w:val="00B34D7B"/>
    <w:rsid w:val="00B36C30"/>
    <w:rsid w:val="00B36F60"/>
    <w:rsid w:val="00B3773E"/>
    <w:rsid w:val="00B42F0E"/>
    <w:rsid w:val="00B432DC"/>
    <w:rsid w:val="00B43D48"/>
    <w:rsid w:val="00B52A3F"/>
    <w:rsid w:val="00B56A51"/>
    <w:rsid w:val="00B62666"/>
    <w:rsid w:val="00B7360D"/>
    <w:rsid w:val="00B77054"/>
    <w:rsid w:val="00B84307"/>
    <w:rsid w:val="00B8434E"/>
    <w:rsid w:val="00B86DCD"/>
    <w:rsid w:val="00B87583"/>
    <w:rsid w:val="00B90AA4"/>
    <w:rsid w:val="00B92CF1"/>
    <w:rsid w:val="00B94A56"/>
    <w:rsid w:val="00BA74C0"/>
    <w:rsid w:val="00BB16EB"/>
    <w:rsid w:val="00BB42FE"/>
    <w:rsid w:val="00BB46F9"/>
    <w:rsid w:val="00BB6142"/>
    <w:rsid w:val="00BB63D9"/>
    <w:rsid w:val="00BC3904"/>
    <w:rsid w:val="00BD2E4C"/>
    <w:rsid w:val="00BD4B9E"/>
    <w:rsid w:val="00BD4D7C"/>
    <w:rsid w:val="00BD5875"/>
    <w:rsid w:val="00BE3613"/>
    <w:rsid w:val="00BE3C05"/>
    <w:rsid w:val="00BF291A"/>
    <w:rsid w:val="00BF375A"/>
    <w:rsid w:val="00BF444A"/>
    <w:rsid w:val="00BF4F98"/>
    <w:rsid w:val="00BF6274"/>
    <w:rsid w:val="00BF6FE4"/>
    <w:rsid w:val="00C02D03"/>
    <w:rsid w:val="00C03CC9"/>
    <w:rsid w:val="00C04E40"/>
    <w:rsid w:val="00C06805"/>
    <w:rsid w:val="00C11B52"/>
    <w:rsid w:val="00C1254A"/>
    <w:rsid w:val="00C13C32"/>
    <w:rsid w:val="00C16F3B"/>
    <w:rsid w:val="00C176B7"/>
    <w:rsid w:val="00C22B85"/>
    <w:rsid w:val="00C22EF3"/>
    <w:rsid w:val="00C24548"/>
    <w:rsid w:val="00C2537C"/>
    <w:rsid w:val="00C30E8A"/>
    <w:rsid w:val="00C34E41"/>
    <w:rsid w:val="00C37A21"/>
    <w:rsid w:val="00C37F17"/>
    <w:rsid w:val="00C4167B"/>
    <w:rsid w:val="00C42A8F"/>
    <w:rsid w:val="00C44BE4"/>
    <w:rsid w:val="00C44DF4"/>
    <w:rsid w:val="00C45D1D"/>
    <w:rsid w:val="00C46508"/>
    <w:rsid w:val="00C47205"/>
    <w:rsid w:val="00C52608"/>
    <w:rsid w:val="00C52B6D"/>
    <w:rsid w:val="00C53667"/>
    <w:rsid w:val="00C54E93"/>
    <w:rsid w:val="00C55A63"/>
    <w:rsid w:val="00C60A1B"/>
    <w:rsid w:val="00C66810"/>
    <w:rsid w:val="00C72BDC"/>
    <w:rsid w:val="00C744D4"/>
    <w:rsid w:val="00C74E1F"/>
    <w:rsid w:val="00C76574"/>
    <w:rsid w:val="00C80AE3"/>
    <w:rsid w:val="00C84938"/>
    <w:rsid w:val="00C84C4E"/>
    <w:rsid w:val="00C908B4"/>
    <w:rsid w:val="00C924CA"/>
    <w:rsid w:val="00C93CD7"/>
    <w:rsid w:val="00C9462C"/>
    <w:rsid w:val="00C9626C"/>
    <w:rsid w:val="00CA3D96"/>
    <w:rsid w:val="00CB0C80"/>
    <w:rsid w:val="00CB10C5"/>
    <w:rsid w:val="00CB2C68"/>
    <w:rsid w:val="00CB3319"/>
    <w:rsid w:val="00CB5128"/>
    <w:rsid w:val="00CC103B"/>
    <w:rsid w:val="00CC1BDD"/>
    <w:rsid w:val="00CC3443"/>
    <w:rsid w:val="00CC5BF7"/>
    <w:rsid w:val="00CC64E0"/>
    <w:rsid w:val="00CD3D32"/>
    <w:rsid w:val="00CD6D55"/>
    <w:rsid w:val="00CE1392"/>
    <w:rsid w:val="00CE2779"/>
    <w:rsid w:val="00CE2D8A"/>
    <w:rsid w:val="00CE3F35"/>
    <w:rsid w:val="00CE7A6E"/>
    <w:rsid w:val="00CF02DF"/>
    <w:rsid w:val="00CF217B"/>
    <w:rsid w:val="00CF533E"/>
    <w:rsid w:val="00CF69A9"/>
    <w:rsid w:val="00D003B1"/>
    <w:rsid w:val="00D01AC3"/>
    <w:rsid w:val="00D03B20"/>
    <w:rsid w:val="00D06BAB"/>
    <w:rsid w:val="00D10A21"/>
    <w:rsid w:val="00D14DB1"/>
    <w:rsid w:val="00D14F32"/>
    <w:rsid w:val="00D154A3"/>
    <w:rsid w:val="00D1567C"/>
    <w:rsid w:val="00D1589B"/>
    <w:rsid w:val="00D1666B"/>
    <w:rsid w:val="00D1697B"/>
    <w:rsid w:val="00D1702A"/>
    <w:rsid w:val="00D17146"/>
    <w:rsid w:val="00D202AE"/>
    <w:rsid w:val="00D21DF8"/>
    <w:rsid w:val="00D23367"/>
    <w:rsid w:val="00D26F9A"/>
    <w:rsid w:val="00D3073D"/>
    <w:rsid w:val="00D3626E"/>
    <w:rsid w:val="00D36BD1"/>
    <w:rsid w:val="00D37FB6"/>
    <w:rsid w:val="00D43D24"/>
    <w:rsid w:val="00D44DCE"/>
    <w:rsid w:val="00D478B8"/>
    <w:rsid w:val="00D506A6"/>
    <w:rsid w:val="00D51899"/>
    <w:rsid w:val="00D52B6A"/>
    <w:rsid w:val="00D535C4"/>
    <w:rsid w:val="00D54519"/>
    <w:rsid w:val="00D60650"/>
    <w:rsid w:val="00D6269C"/>
    <w:rsid w:val="00D62EFD"/>
    <w:rsid w:val="00D639D2"/>
    <w:rsid w:val="00D647DC"/>
    <w:rsid w:val="00D70585"/>
    <w:rsid w:val="00D71BF3"/>
    <w:rsid w:val="00D7376F"/>
    <w:rsid w:val="00D74085"/>
    <w:rsid w:val="00D74D96"/>
    <w:rsid w:val="00D8034A"/>
    <w:rsid w:val="00D80AC7"/>
    <w:rsid w:val="00D80F2B"/>
    <w:rsid w:val="00D8368A"/>
    <w:rsid w:val="00D841F1"/>
    <w:rsid w:val="00D86FC8"/>
    <w:rsid w:val="00D87E54"/>
    <w:rsid w:val="00D910CA"/>
    <w:rsid w:val="00D93269"/>
    <w:rsid w:val="00D943E9"/>
    <w:rsid w:val="00DA08BC"/>
    <w:rsid w:val="00DA1D70"/>
    <w:rsid w:val="00DA329B"/>
    <w:rsid w:val="00DA5FAF"/>
    <w:rsid w:val="00DA6656"/>
    <w:rsid w:val="00DA6CAA"/>
    <w:rsid w:val="00DB2DCD"/>
    <w:rsid w:val="00DB2FEC"/>
    <w:rsid w:val="00DB5D9A"/>
    <w:rsid w:val="00DB7371"/>
    <w:rsid w:val="00DB7918"/>
    <w:rsid w:val="00DC0A89"/>
    <w:rsid w:val="00DC2F6A"/>
    <w:rsid w:val="00DC7DAF"/>
    <w:rsid w:val="00DD0195"/>
    <w:rsid w:val="00DD0CA4"/>
    <w:rsid w:val="00DD0E3D"/>
    <w:rsid w:val="00DD1B44"/>
    <w:rsid w:val="00DD1F78"/>
    <w:rsid w:val="00DD4BB6"/>
    <w:rsid w:val="00DD5839"/>
    <w:rsid w:val="00DD7363"/>
    <w:rsid w:val="00DD7453"/>
    <w:rsid w:val="00DE0BB6"/>
    <w:rsid w:val="00DE1616"/>
    <w:rsid w:val="00DE6224"/>
    <w:rsid w:val="00DE6DC5"/>
    <w:rsid w:val="00DF0BDF"/>
    <w:rsid w:val="00DF0C13"/>
    <w:rsid w:val="00DF354A"/>
    <w:rsid w:val="00DF4A94"/>
    <w:rsid w:val="00DF6B30"/>
    <w:rsid w:val="00E00D95"/>
    <w:rsid w:val="00E031B0"/>
    <w:rsid w:val="00E04571"/>
    <w:rsid w:val="00E058F5"/>
    <w:rsid w:val="00E116EE"/>
    <w:rsid w:val="00E16870"/>
    <w:rsid w:val="00E16905"/>
    <w:rsid w:val="00E16D75"/>
    <w:rsid w:val="00E20AB5"/>
    <w:rsid w:val="00E2396C"/>
    <w:rsid w:val="00E24E9A"/>
    <w:rsid w:val="00E27328"/>
    <w:rsid w:val="00E3158B"/>
    <w:rsid w:val="00E33FE5"/>
    <w:rsid w:val="00E3628E"/>
    <w:rsid w:val="00E37D31"/>
    <w:rsid w:val="00E40612"/>
    <w:rsid w:val="00E41847"/>
    <w:rsid w:val="00E42726"/>
    <w:rsid w:val="00E44C9F"/>
    <w:rsid w:val="00E4661C"/>
    <w:rsid w:val="00E51D91"/>
    <w:rsid w:val="00E558B0"/>
    <w:rsid w:val="00E56267"/>
    <w:rsid w:val="00E56A3F"/>
    <w:rsid w:val="00E620AD"/>
    <w:rsid w:val="00E63114"/>
    <w:rsid w:val="00E635C9"/>
    <w:rsid w:val="00E637EB"/>
    <w:rsid w:val="00E63CC7"/>
    <w:rsid w:val="00E65C4E"/>
    <w:rsid w:val="00E667A3"/>
    <w:rsid w:val="00E716EA"/>
    <w:rsid w:val="00E720C7"/>
    <w:rsid w:val="00E73E27"/>
    <w:rsid w:val="00E74B4E"/>
    <w:rsid w:val="00E75BBE"/>
    <w:rsid w:val="00E767BE"/>
    <w:rsid w:val="00E80848"/>
    <w:rsid w:val="00E81935"/>
    <w:rsid w:val="00E822CE"/>
    <w:rsid w:val="00E823C1"/>
    <w:rsid w:val="00E82AD8"/>
    <w:rsid w:val="00E87200"/>
    <w:rsid w:val="00E900CA"/>
    <w:rsid w:val="00EA436F"/>
    <w:rsid w:val="00EA490A"/>
    <w:rsid w:val="00EA6700"/>
    <w:rsid w:val="00EB0AFA"/>
    <w:rsid w:val="00EB104C"/>
    <w:rsid w:val="00EB12A8"/>
    <w:rsid w:val="00EB1B39"/>
    <w:rsid w:val="00EB2BA2"/>
    <w:rsid w:val="00EB3698"/>
    <w:rsid w:val="00EB3C81"/>
    <w:rsid w:val="00EB4D74"/>
    <w:rsid w:val="00EB5AFC"/>
    <w:rsid w:val="00EB66A2"/>
    <w:rsid w:val="00EC17BB"/>
    <w:rsid w:val="00EC276C"/>
    <w:rsid w:val="00EC46A3"/>
    <w:rsid w:val="00ED1044"/>
    <w:rsid w:val="00ED1CB2"/>
    <w:rsid w:val="00EE120A"/>
    <w:rsid w:val="00EE16BC"/>
    <w:rsid w:val="00EE7736"/>
    <w:rsid w:val="00EF0A8A"/>
    <w:rsid w:val="00EF1FFA"/>
    <w:rsid w:val="00EF5095"/>
    <w:rsid w:val="00EF5C24"/>
    <w:rsid w:val="00EF7F19"/>
    <w:rsid w:val="00F016C1"/>
    <w:rsid w:val="00F0472C"/>
    <w:rsid w:val="00F06E94"/>
    <w:rsid w:val="00F07183"/>
    <w:rsid w:val="00F14AF3"/>
    <w:rsid w:val="00F172F7"/>
    <w:rsid w:val="00F20325"/>
    <w:rsid w:val="00F2094D"/>
    <w:rsid w:val="00F20D74"/>
    <w:rsid w:val="00F21F7A"/>
    <w:rsid w:val="00F22093"/>
    <w:rsid w:val="00F23368"/>
    <w:rsid w:val="00F31134"/>
    <w:rsid w:val="00F31990"/>
    <w:rsid w:val="00F31E52"/>
    <w:rsid w:val="00F3260F"/>
    <w:rsid w:val="00F32A91"/>
    <w:rsid w:val="00F3359D"/>
    <w:rsid w:val="00F33813"/>
    <w:rsid w:val="00F34142"/>
    <w:rsid w:val="00F34E29"/>
    <w:rsid w:val="00F37648"/>
    <w:rsid w:val="00F37F75"/>
    <w:rsid w:val="00F4321D"/>
    <w:rsid w:val="00F43796"/>
    <w:rsid w:val="00F44F88"/>
    <w:rsid w:val="00F45DFD"/>
    <w:rsid w:val="00F4609C"/>
    <w:rsid w:val="00F50986"/>
    <w:rsid w:val="00F56DA6"/>
    <w:rsid w:val="00F56E0E"/>
    <w:rsid w:val="00F61227"/>
    <w:rsid w:val="00F62337"/>
    <w:rsid w:val="00F62D7B"/>
    <w:rsid w:val="00F64125"/>
    <w:rsid w:val="00F66FE6"/>
    <w:rsid w:val="00F67664"/>
    <w:rsid w:val="00F7276E"/>
    <w:rsid w:val="00F733DE"/>
    <w:rsid w:val="00F74289"/>
    <w:rsid w:val="00F77CD5"/>
    <w:rsid w:val="00F8234B"/>
    <w:rsid w:val="00F826F8"/>
    <w:rsid w:val="00F85C9E"/>
    <w:rsid w:val="00F86837"/>
    <w:rsid w:val="00F868E2"/>
    <w:rsid w:val="00F87591"/>
    <w:rsid w:val="00F87EF2"/>
    <w:rsid w:val="00F90D1B"/>
    <w:rsid w:val="00F90F20"/>
    <w:rsid w:val="00F929CE"/>
    <w:rsid w:val="00F94D9F"/>
    <w:rsid w:val="00F9703F"/>
    <w:rsid w:val="00F97D33"/>
    <w:rsid w:val="00FA2B4E"/>
    <w:rsid w:val="00FB268A"/>
    <w:rsid w:val="00FB454D"/>
    <w:rsid w:val="00FB5394"/>
    <w:rsid w:val="00FC1E69"/>
    <w:rsid w:val="00FC3476"/>
    <w:rsid w:val="00FC380D"/>
    <w:rsid w:val="00FC5159"/>
    <w:rsid w:val="00FC77E0"/>
    <w:rsid w:val="00FD798E"/>
    <w:rsid w:val="00FE1B57"/>
    <w:rsid w:val="00FE2EAD"/>
    <w:rsid w:val="00FE3718"/>
    <w:rsid w:val="00FE37B7"/>
    <w:rsid w:val="00FE7D46"/>
    <w:rsid w:val="00FF4FFC"/>
    <w:rsid w:val="00FF5F41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2"/>
    <w:rPr>
      <w:lang w:val="en-GB"/>
    </w:rPr>
  </w:style>
  <w:style w:type="paragraph" w:styleId="Heading1">
    <w:name w:val="heading 1"/>
    <w:basedOn w:val="Normal"/>
    <w:next w:val="Normal"/>
    <w:link w:val="Heading1Char"/>
    <w:rsid w:val="00F01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58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rsid w:val="00F01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D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47FD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FDF"/>
    <w:rPr>
      <w:rFonts w:ascii="Calibr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6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F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F6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58B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8B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758BB"/>
    <w:rPr>
      <w:color w:val="0000FF"/>
      <w:u w:val="single"/>
    </w:rPr>
  </w:style>
  <w:style w:type="paragraph" w:customStyle="1" w:styleId="Default">
    <w:name w:val="Default"/>
    <w:rsid w:val="00EA436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F016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F016C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rsid w:val="00D52B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C5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2C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925F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5F44"/>
  </w:style>
  <w:style w:type="character" w:customStyle="1" w:styleId="CommentTextChar">
    <w:name w:val="Comment Text Char"/>
    <w:basedOn w:val="DefaultParagraphFont"/>
    <w:link w:val="CommentText"/>
    <w:rsid w:val="00925F4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5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5F44"/>
    <w:rPr>
      <w:b/>
      <w:bCs/>
      <w:sz w:val="20"/>
      <w:szCs w:val="20"/>
      <w:lang w:val="en-GB"/>
    </w:rPr>
  </w:style>
  <w:style w:type="paragraph" w:styleId="Revision">
    <w:name w:val="Revision"/>
    <w:hidden/>
    <w:rsid w:val="00F37648"/>
    <w:rPr>
      <w:lang w:val="en-GB"/>
    </w:rPr>
  </w:style>
  <w:style w:type="paragraph" w:customStyle="1" w:styleId="Title1">
    <w:name w:val="Title1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sc">
    <w:name w:val="desc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tails">
    <w:name w:val="details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174DF3"/>
  </w:style>
  <w:style w:type="paragraph" w:styleId="Title">
    <w:name w:val="Title"/>
    <w:aliases w:val="title"/>
    <w:basedOn w:val="Normal"/>
    <w:link w:val="TitleChar"/>
    <w:uiPriority w:val="10"/>
    <w:qFormat/>
    <w:rsid w:val="000D73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D73C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D73C6"/>
  </w:style>
  <w:style w:type="character" w:styleId="FollowedHyperlink">
    <w:name w:val="FollowedHyperlink"/>
    <w:basedOn w:val="DefaultParagraphFont"/>
    <w:rsid w:val="0036172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F22093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82"/>
    <w:rPr>
      <w:lang w:val="en-GB"/>
    </w:rPr>
  </w:style>
  <w:style w:type="paragraph" w:styleId="Heading1">
    <w:name w:val="heading 1"/>
    <w:basedOn w:val="Normal"/>
    <w:next w:val="Normal"/>
    <w:link w:val="Heading1Char"/>
    <w:rsid w:val="00F01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58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rsid w:val="00F016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A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D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47FD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FDF"/>
    <w:rPr>
      <w:rFonts w:ascii="Calibri" w:hAnsi="Calibri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6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F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F60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758B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8B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758BB"/>
    <w:rPr>
      <w:color w:val="0000FF"/>
      <w:u w:val="single"/>
    </w:rPr>
  </w:style>
  <w:style w:type="paragraph" w:customStyle="1" w:styleId="Default">
    <w:name w:val="Default"/>
    <w:rsid w:val="00EA436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F016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F016C1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rmalWeb">
    <w:name w:val="Normal (Web)"/>
    <w:basedOn w:val="Normal"/>
    <w:rsid w:val="00D52B6A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2C5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52C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925F4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5F44"/>
  </w:style>
  <w:style w:type="character" w:customStyle="1" w:styleId="CommentTextChar">
    <w:name w:val="Comment Text Char"/>
    <w:basedOn w:val="DefaultParagraphFont"/>
    <w:link w:val="CommentText"/>
    <w:rsid w:val="00925F4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5F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5F44"/>
    <w:rPr>
      <w:b/>
      <w:bCs/>
      <w:sz w:val="20"/>
      <w:szCs w:val="20"/>
      <w:lang w:val="en-GB"/>
    </w:rPr>
  </w:style>
  <w:style w:type="paragraph" w:styleId="Revision">
    <w:name w:val="Revision"/>
    <w:hidden/>
    <w:rsid w:val="00F37648"/>
    <w:rPr>
      <w:lang w:val="en-GB"/>
    </w:rPr>
  </w:style>
  <w:style w:type="paragraph" w:customStyle="1" w:styleId="Title1">
    <w:name w:val="Title1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sc">
    <w:name w:val="desc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tails">
    <w:name w:val="details"/>
    <w:basedOn w:val="Normal"/>
    <w:rsid w:val="00174D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jrnl">
    <w:name w:val="jrnl"/>
    <w:basedOn w:val="DefaultParagraphFont"/>
    <w:rsid w:val="00174DF3"/>
  </w:style>
  <w:style w:type="paragraph" w:styleId="Title">
    <w:name w:val="Title"/>
    <w:aliases w:val="title"/>
    <w:basedOn w:val="Normal"/>
    <w:link w:val="TitleChar"/>
    <w:uiPriority w:val="10"/>
    <w:qFormat/>
    <w:rsid w:val="000D73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0D73C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D73C6"/>
  </w:style>
  <w:style w:type="character" w:styleId="FollowedHyperlink">
    <w:name w:val="FollowedHyperlink"/>
    <w:basedOn w:val="DefaultParagraphFont"/>
    <w:rsid w:val="00361726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F22093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77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9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70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23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4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ouk.nhs.uk" TargetMode="External"/><Relationship Id="rId13" Type="http://schemas.openxmlformats.org/officeDocument/2006/relationships/hyperlink" Target="https://www.england.nhs.uk/publication/commissioning-policy-rituximab-for-chronic-inflammatory-demyelinating-polyradiculoneuropathy-cidp-multifocal-motor-neuropathy-mmn-vasculitis-of-the-peripheral-nervous-system-igm-paraprotein-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308/chapter/1-Guid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uploads/system/uploads/attachment_data/file/216671/dh_131107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wp-content/uploads/2018/03/ccp-rituximab-for-second-line-treatment-for-anti-nmdar-autoimmune-encephalit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drug-safety-update/rituximab-screen-for-hepatitis-b-virus-before-treatment" TargetMode="External"/><Relationship Id="rId23" Type="http://schemas.microsoft.com/office/2016/09/relationships/commentsIds" Target="commentsIds.xml"/><Relationship Id="rId10" Type="http://schemas.openxmlformats.org/officeDocument/2006/relationships/hyperlink" Target="https://bnf.nice.org.uk/drug/rituxima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ouk.nhs.uk" TargetMode="External"/><Relationship Id="rId14" Type="http://schemas.openxmlformats.org/officeDocument/2006/relationships/hyperlink" Target="https://www.medicines.org.uk/emc/product/3801/smpc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F4372045</Template>
  <TotalTime>644</TotalTime>
  <Pages>24</Pages>
  <Words>10695</Words>
  <Characters>60965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71517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Whittam</dc:creator>
  <cp:lastModifiedBy>Whittam, Daniel</cp:lastModifiedBy>
  <cp:revision>57</cp:revision>
  <cp:lastPrinted>2018-06-15T09:51:00Z</cp:lastPrinted>
  <dcterms:created xsi:type="dcterms:W3CDTF">2018-07-03T16:03:00Z</dcterms:created>
  <dcterms:modified xsi:type="dcterms:W3CDTF">2018-08-21T14:18:00Z</dcterms:modified>
</cp:coreProperties>
</file>