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2093D" w14:textId="42F9257A" w:rsidR="004C1088" w:rsidRDefault="004C1088" w:rsidP="00A41E43">
      <w:pPr>
        <w:pStyle w:val="Heading1"/>
        <w:rPr>
          <w:b w:val="0"/>
          <w:lang w:val="en-CA"/>
        </w:rPr>
      </w:pPr>
    </w:p>
    <w:p w14:paraId="0477CFA8" w14:textId="77777777" w:rsidR="004C1088" w:rsidRPr="004C1088" w:rsidRDefault="004C1088" w:rsidP="004C1088">
      <w:pPr>
        <w:rPr>
          <w:b/>
          <w:bCs/>
        </w:rPr>
      </w:pPr>
      <w:r w:rsidRPr="004C1088">
        <w:rPr>
          <w:b/>
          <w:bCs/>
        </w:rPr>
        <w:t>Do Developing Countries Really Benefit from Investment Treaties? The impact of international investment law on national governance</w:t>
      </w:r>
    </w:p>
    <w:p w14:paraId="6B1F9BA0" w14:textId="77777777" w:rsidR="004C1088" w:rsidRPr="004C1088" w:rsidRDefault="004C1088" w:rsidP="004C1088">
      <w:pPr>
        <w:rPr>
          <w:lang w:val="en-CA"/>
        </w:rPr>
      </w:pPr>
    </w:p>
    <w:p w14:paraId="26384EEF" w14:textId="400B03DC" w:rsidR="000C2CEF" w:rsidRPr="00BB6B2E" w:rsidRDefault="00A41E43" w:rsidP="00A41E43">
      <w:pPr>
        <w:spacing w:after="220"/>
        <w:rPr>
          <w:lang w:val="en-CA"/>
        </w:rPr>
      </w:pPr>
      <w:r w:rsidRPr="00BB6B2E">
        <w:rPr>
          <w:lang w:val="en-CA"/>
        </w:rPr>
        <w:t>Mavluda Sattorova</w:t>
      </w:r>
    </w:p>
    <w:p w14:paraId="76326119" w14:textId="00AB1A34" w:rsidR="00BC6849" w:rsidRPr="00BB6B2E" w:rsidRDefault="00BC6849" w:rsidP="00A41E43">
      <w:pPr>
        <w:spacing w:after="220"/>
        <w:rPr>
          <w:lang w:val="en-CA"/>
        </w:rPr>
      </w:pPr>
      <w:r w:rsidRPr="00BB6B2E">
        <w:rPr>
          <w:lang w:val="en-CA"/>
        </w:rPr>
        <w:t xml:space="preserve">Who benefits from international investment law? </w:t>
      </w:r>
      <w:r w:rsidR="00B43A2B" w:rsidRPr="00BB6B2E">
        <w:rPr>
          <w:lang w:val="en-CA"/>
        </w:rPr>
        <w:t>Contemporary international</w:t>
      </w:r>
      <w:r w:rsidRPr="00BB6B2E">
        <w:rPr>
          <w:lang w:val="en-CA"/>
        </w:rPr>
        <w:t xml:space="preserve"> rules on</w:t>
      </w:r>
      <w:r w:rsidR="00B43A2B" w:rsidRPr="00BB6B2E">
        <w:rPr>
          <w:lang w:val="en-CA"/>
        </w:rPr>
        <w:t xml:space="preserve"> investment </w:t>
      </w:r>
      <w:r w:rsidRPr="00BB6B2E">
        <w:rPr>
          <w:lang w:val="en-CA"/>
        </w:rPr>
        <w:t xml:space="preserve">protection have their </w:t>
      </w:r>
      <w:r w:rsidR="00B43A2B" w:rsidRPr="00BB6B2E">
        <w:rPr>
          <w:lang w:val="en-CA"/>
        </w:rPr>
        <w:t xml:space="preserve">historical roots in a system that was designed to protect interests of foreigners abroad—to ensure that foreign </w:t>
      </w:r>
      <w:r w:rsidR="009E41DD" w:rsidRPr="00BB6B2E">
        <w:rPr>
          <w:lang w:val="en-CA"/>
        </w:rPr>
        <w:t>business actors</w:t>
      </w:r>
      <w:r w:rsidR="00B43A2B" w:rsidRPr="00BB6B2E">
        <w:rPr>
          <w:lang w:val="en-CA"/>
        </w:rPr>
        <w:t xml:space="preserve"> in host states benefited from governance as good as that they enjoyed in their home states, even if a host state’ legal system fell below the acceptable standard.</w:t>
      </w:r>
      <w:r w:rsidR="00A106B6" w:rsidRPr="00BB6B2E">
        <w:rPr>
          <w:rStyle w:val="FootnoteReference"/>
          <w:lang w:val="en-CA"/>
        </w:rPr>
        <w:footnoteReference w:id="2"/>
      </w:r>
      <w:r w:rsidR="00B43A2B" w:rsidRPr="00BB6B2E">
        <w:rPr>
          <w:lang w:val="en-CA"/>
        </w:rPr>
        <w:t xml:space="preserve"> </w:t>
      </w:r>
      <w:r w:rsidR="001D5D98" w:rsidRPr="00BB6B2E">
        <w:rPr>
          <w:lang w:val="en-CA"/>
        </w:rPr>
        <w:t>Although met with</w:t>
      </w:r>
      <w:r w:rsidR="009E41DD" w:rsidRPr="00BB6B2E">
        <w:rPr>
          <w:lang w:val="en-CA"/>
        </w:rPr>
        <w:t xml:space="preserve"> strong opposition </w:t>
      </w:r>
      <w:r w:rsidR="00B43A2B" w:rsidRPr="00BB6B2E">
        <w:rPr>
          <w:lang w:val="en-CA"/>
        </w:rPr>
        <w:t>from a wider international community</w:t>
      </w:r>
      <w:r w:rsidR="00A41E43" w:rsidRPr="00BB6B2E">
        <w:rPr>
          <w:lang w:val="en-CA"/>
        </w:rPr>
        <w:t>,</w:t>
      </w:r>
      <w:r w:rsidRPr="00BB6B2E">
        <w:rPr>
          <w:rStyle w:val="FootnoteReference"/>
          <w:lang w:val="en-CA"/>
        </w:rPr>
        <w:footnoteReference w:id="3"/>
      </w:r>
      <w:r w:rsidR="00B43A2B" w:rsidRPr="00BB6B2E">
        <w:rPr>
          <w:lang w:val="en-CA"/>
        </w:rPr>
        <w:t xml:space="preserve"> the idea of special treatment—or </w:t>
      </w:r>
      <w:r w:rsidRPr="00BB6B2E">
        <w:rPr>
          <w:lang w:val="en-CA"/>
        </w:rPr>
        <w:t xml:space="preserve">good </w:t>
      </w:r>
      <w:r w:rsidR="00B43A2B" w:rsidRPr="00BB6B2E">
        <w:rPr>
          <w:lang w:val="en-CA"/>
        </w:rPr>
        <w:t>governance—for foreign</w:t>
      </w:r>
      <w:r w:rsidR="001D5D98" w:rsidRPr="00BB6B2E">
        <w:rPr>
          <w:lang w:val="en-CA"/>
        </w:rPr>
        <w:t xml:space="preserve"> investors</w:t>
      </w:r>
      <w:r w:rsidR="00B43A2B" w:rsidRPr="00BB6B2E">
        <w:rPr>
          <w:lang w:val="en-CA"/>
        </w:rPr>
        <w:t xml:space="preserve"> ha</w:t>
      </w:r>
      <w:r w:rsidR="00A106B6" w:rsidRPr="00BB6B2E">
        <w:rPr>
          <w:lang w:val="en-CA"/>
        </w:rPr>
        <w:t>s</w:t>
      </w:r>
      <w:r w:rsidR="00B43A2B" w:rsidRPr="00BB6B2E">
        <w:rPr>
          <w:lang w:val="en-CA"/>
        </w:rPr>
        <w:t xml:space="preserve"> entered the corpus of international law through IIAs. Supported by its own bespoke dispute settlement mechanism</w:t>
      </w:r>
      <w:r w:rsidR="00BB6B2E" w:rsidRPr="00BB6B2E">
        <w:rPr>
          <w:lang w:val="en-CA"/>
        </w:rPr>
        <w:t xml:space="preserve"> (</w:t>
      </w:r>
      <w:r w:rsidR="00B43A2B" w:rsidRPr="00BB6B2E">
        <w:rPr>
          <w:lang w:val="en-CA"/>
        </w:rPr>
        <w:t>ISDS</w:t>
      </w:r>
      <w:r w:rsidR="00BB6B2E" w:rsidRPr="00BB6B2E">
        <w:rPr>
          <w:lang w:val="en-CA"/>
        </w:rPr>
        <w:t xml:space="preserve">), </w:t>
      </w:r>
      <w:r w:rsidR="00B43A2B" w:rsidRPr="00BB6B2E">
        <w:rPr>
          <w:lang w:val="en-CA"/>
        </w:rPr>
        <w:t xml:space="preserve">the modern IIA regime effectively reaffirms the historically contested rules on special treatment of foreign investors. </w:t>
      </w:r>
    </w:p>
    <w:p w14:paraId="4F85D432" w14:textId="43183133" w:rsidR="00A41E43" w:rsidRPr="00BB6B2E" w:rsidRDefault="00C256E7" w:rsidP="00A41E43">
      <w:pPr>
        <w:spacing w:after="220"/>
        <w:rPr>
          <w:lang w:val="en-CA"/>
        </w:rPr>
      </w:pPr>
      <w:r w:rsidRPr="00BB6B2E">
        <w:rPr>
          <w:lang w:val="en-CA"/>
        </w:rPr>
        <w:t>In its recent strides,</w:t>
      </w:r>
      <w:r w:rsidR="00A106B6" w:rsidRPr="00BB6B2E">
        <w:rPr>
          <w:lang w:val="en-CA"/>
        </w:rPr>
        <w:t xml:space="preserve"> however,</w:t>
      </w:r>
      <w:r w:rsidR="00B43A2B" w:rsidRPr="00BB6B2E">
        <w:rPr>
          <w:lang w:val="en-CA"/>
        </w:rPr>
        <w:t xml:space="preserve"> the investment treaty regime</w:t>
      </w:r>
      <w:r w:rsidRPr="00BB6B2E">
        <w:rPr>
          <w:lang w:val="en-CA"/>
        </w:rPr>
        <w:t xml:space="preserve"> </w:t>
      </w:r>
      <w:r w:rsidR="00B43A2B" w:rsidRPr="00BB6B2E">
        <w:rPr>
          <w:lang w:val="en-CA"/>
        </w:rPr>
        <w:t>has moved</w:t>
      </w:r>
      <w:r w:rsidR="009E41DD" w:rsidRPr="00BB6B2E">
        <w:rPr>
          <w:lang w:val="en-CA"/>
        </w:rPr>
        <w:t xml:space="preserve"> </w:t>
      </w:r>
      <w:r w:rsidR="00B43A2B" w:rsidRPr="00BB6B2E">
        <w:rPr>
          <w:lang w:val="en-CA"/>
        </w:rPr>
        <w:t xml:space="preserve">far beyond </w:t>
      </w:r>
      <w:r w:rsidRPr="00BB6B2E">
        <w:rPr>
          <w:lang w:val="en-CA"/>
        </w:rPr>
        <w:t>its</w:t>
      </w:r>
      <w:r w:rsidR="00B43A2B" w:rsidRPr="00BB6B2E">
        <w:rPr>
          <w:lang w:val="en-CA"/>
        </w:rPr>
        <w:t xml:space="preserve"> original </w:t>
      </w:r>
      <w:r w:rsidR="009E41DD" w:rsidRPr="00BB6B2E">
        <w:rPr>
          <w:lang w:val="en-CA"/>
        </w:rPr>
        <w:t>mission</w:t>
      </w:r>
      <w:r w:rsidR="00B43A2B" w:rsidRPr="00BB6B2E">
        <w:rPr>
          <w:lang w:val="en-CA"/>
        </w:rPr>
        <w:t xml:space="preserve"> of safeguarding foreign investors against</w:t>
      </w:r>
      <w:r w:rsidR="009E41DD" w:rsidRPr="00BB6B2E">
        <w:rPr>
          <w:lang w:val="en-CA"/>
        </w:rPr>
        <w:t xml:space="preserve"> </w:t>
      </w:r>
      <w:r w:rsidR="001D5D98" w:rsidRPr="00BB6B2E">
        <w:rPr>
          <w:lang w:val="en-CA"/>
        </w:rPr>
        <w:t xml:space="preserve">serious breaches of international law, such as </w:t>
      </w:r>
      <w:r w:rsidR="00B43A2B" w:rsidRPr="00BB6B2E">
        <w:rPr>
          <w:lang w:val="en-CA"/>
        </w:rPr>
        <w:t>outright takings of property and denial of justice</w:t>
      </w:r>
      <w:r w:rsidRPr="00BB6B2E">
        <w:rPr>
          <w:lang w:val="en-CA"/>
        </w:rPr>
        <w:t>. Special treatment of foreign investors now means that international business actors</w:t>
      </w:r>
      <w:r w:rsidR="00B43A2B" w:rsidRPr="00BB6B2E">
        <w:rPr>
          <w:lang w:val="en-CA"/>
        </w:rPr>
        <w:t xml:space="preserve"> </w:t>
      </w:r>
      <w:r w:rsidRPr="00BB6B2E">
        <w:rPr>
          <w:lang w:val="en-CA"/>
        </w:rPr>
        <w:t>may</w:t>
      </w:r>
      <w:r w:rsidR="00B43A2B" w:rsidRPr="00BB6B2E">
        <w:rPr>
          <w:lang w:val="en-CA"/>
        </w:rPr>
        <w:t xml:space="preserve"> claim redress even for governmental actions displaying </w:t>
      </w:r>
      <w:r w:rsidR="00A41E43" w:rsidRPr="00BB6B2E">
        <w:rPr>
          <w:lang w:val="en-CA"/>
        </w:rPr>
        <w:t>“</w:t>
      </w:r>
      <w:r w:rsidR="00B43A2B" w:rsidRPr="00BB6B2E">
        <w:rPr>
          <w:lang w:val="en-CA"/>
        </w:rPr>
        <w:t>a relatively</w:t>
      </w:r>
      <w:r w:rsidR="009E41DD" w:rsidRPr="00BB6B2E">
        <w:rPr>
          <w:lang w:val="en-CA"/>
        </w:rPr>
        <w:t xml:space="preserve"> </w:t>
      </w:r>
      <w:r w:rsidR="00B43A2B" w:rsidRPr="00BB6B2E">
        <w:rPr>
          <w:lang w:val="en-CA"/>
        </w:rPr>
        <w:t>lower degree of</w:t>
      </w:r>
      <w:r w:rsidR="009E41DD" w:rsidRPr="00BB6B2E">
        <w:rPr>
          <w:lang w:val="en-CA"/>
        </w:rPr>
        <w:t xml:space="preserve"> inappropriateness</w:t>
      </w:r>
      <w:r w:rsidR="00B43A2B" w:rsidRPr="00BB6B2E">
        <w:rPr>
          <w:lang w:val="en-CA"/>
        </w:rPr>
        <w:t>.</w:t>
      </w:r>
      <w:r w:rsidR="00A41E43" w:rsidRPr="00BB6B2E">
        <w:rPr>
          <w:lang w:val="en-CA"/>
        </w:rPr>
        <w:t>”</w:t>
      </w:r>
      <w:r w:rsidR="009E41DD" w:rsidRPr="00BB6B2E">
        <w:rPr>
          <w:rStyle w:val="FootnoteReference"/>
          <w:lang w:val="en-CA"/>
        </w:rPr>
        <w:footnoteReference w:id="4"/>
      </w:r>
      <w:r w:rsidR="009E41DD" w:rsidRPr="00BB6B2E">
        <w:rPr>
          <w:lang w:val="en-CA"/>
        </w:rPr>
        <w:t xml:space="preserve"> Lack of transparency, stability</w:t>
      </w:r>
      <w:r w:rsidR="00A41E43" w:rsidRPr="00BB6B2E">
        <w:rPr>
          <w:lang w:val="en-CA"/>
        </w:rPr>
        <w:t xml:space="preserve"> and</w:t>
      </w:r>
      <w:r w:rsidR="009E41DD" w:rsidRPr="00BB6B2E">
        <w:rPr>
          <w:lang w:val="en-CA"/>
        </w:rPr>
        <w:t xml:space="preserve"> predictability </w:t>
      </w:r>
      <w:r w:rsidR="00A41E43" w:rsidRPr="00BB6B2E">
        <w:rPr>
          <w:lang w:val="en-CA"/>
        </w:rPr>
        <w:t xml:space="preserve">of state actions </w:t>
      </w:r>
      <w:r w:rsidR="009E41DD" w:rsidRPr="00BB6B2E">
        <w:rPr>
          <w:lang w:val="en-CA"/>
        </w:rPr>
        <w:t xml:space="preserve">as well as the lack of effective remedies and enforcement mechanisms at a national level can now lead to a host state’s liability in damages. </w:t>
      </w:r>
    </w:p>
    <w:p w14:paraId="5B591FF1" w14:textId="75FD323B" w:rsidR="00372DA7" w:rsidRPr="002D453C" w:rsidRDefault="00372DA7" w:rsidP="00E04ED9">
      <w:pPr>
        <w:pStyle w:val="Heading2"/>
      </w:pPr>
      <w:r w:rsidRPr="002D453C">
        <w:t xml:space="preserve">The </w:t>
      </w:r>
      <w:r w:rsidR="00534D40">
        <w:t xml:space="preserve">rise of </w:t>
      </w:r>
      <w:r w:rsidRPr="002D453C">
        <w:t>good governa</w:t>
      </w:r>
      <w:r w:rsidRPr="00F82DAD">
        <w:t xml:space="preserve">nce justification </w:t>
      </w:r>
      <w:r w:rsidR="00534D40">
        <w:t xml:space="preserve">in </w:t>
      </w:r>
      <w:r w:rsidRPr="00F82DAD">
        <w:t>arbitral awards</w:t>
      </w:r>
      <w:r w:rsidR="00534D40">
        <w:t xml:space="preserve"> and the literature</w:t>
      </w:r>
    </w:p>
    <w:p w14:paraId="05C3EBBB" w14:textId="5928316E" w:rsidR="00E16336" w:rsidRPr="00BB6B2E" w:rsidRDefault="00C256E7" w:rsidP="00A41E43">
      <w:pPr>
        <w:spacing w:after="220"/>
        <w:rPr>
          <w:lang w:val="en-CA"/>
        </w:rPr>
      </w:pPr>
      <w:r w:rsidRPr="00BB6B2E">
        <w:rPr>
          <w:lang w:val="en-CA"/>
        </w:rPr>
        <w:t xml:space="preserve">To </w:t>
      </w:r>
      <w:r w:rsidR="002D472B" w:rsidRPr="00BB6B2E">
        <w:rPr>
          <w:lang w:val="en-CA"/>
        </w:rPr>
        <w:t>support</w:t>
      </w:r>
      <w:r w:rsidRPr="00BB6B2E">
        <w:rPr>
          <w:lang w:val="en-CA"/>
        </w:rPr>
        <w:t xml:space="preserve"> the expansion of the scope of state responsibility under investment treaties, new justifications have been proffered </w:t>
      </w:r>
      <w:r w:rsidR="0087331B" w:rsidRPr="00BB6B2E">
        <w:rPr>
          <w:lang w:val="en-CA"/>
        </w:rPr>
        <w:t>claiming that the regime fulfils a useful societal function. Some of the emerging</w:t>
      </w:r>
      <w:r w:rsidR="009E41DD" w:rsidRPr="00BB6B2E">
        <w:rPr>
          <w:lang w:val="en-CA"/>
        </w:rPr>
        <w:t xml:space="preserve"> narratives argue that investment treaties </w:t>
      </w:r>
      <w:r w:rsidR="0087331B" w:rsidRPr="00BB6B2E">
        <w:rPr>
          <w:lang w:val="en-CA"/>
        </w:rPr>
        <w:t xml:space="preserve">and ISDS benefit not only </w:t>
      </w:r>
      <w:r w:rsidR="009E41DD" w:rsidRPr="00BB6B2E">
        <w:rPr>
          <w:lang w:val="en-CA"/>
        </w:rPr>
        <w:t xml:space="preserve">foreign investors but </w:t>
      </w:r>
      <w:r w:rsidR="0087331B" w:rsidRPr="00BB6B2E">
        <w:rPr>
          <w:lang w:val="en-CA"/>
        </w:rPr>
        <w:t>also</w:t>
      </w:r>
      <w:r w:rsidR="009E41DD" w:rsidRPr="00BB6B2E">
        <w:rPr>
          <w:lang w:val="en-CA"/>
        </w:rPr>
        <w:t xml:space="preserve"> </w:t>
      </w:r>
      <w:r w:rsidR="00534D40">
        <w:rPr>
          <w:lang w:val="en-CA"/>
        </w:rPr>
        <w:t>a broader range of stakeholders in host states, from businesses to ordinary citizens</w:t>
      </w:r>
      <w:r w:rsidR="0087331B" w:rsidRPr="00BB6B2E">
        <w:rPr>
          <w:lang w:val="en-CA"/>
        </w:rPr>
        <w:t>.</w:t>
      </w:r>
      <w:r w:rsidR="009E41DD" w:rsidRPr="00BB6B2E">
        <w:rPr>
          <w:lang w:val="en-CA"/>
        </w:rPr>
        <w:t xml:space="preserve"> </w:t>
      </w:r>
      <w:r w:rsidR="0087331B" w:rsidRPr="00BB6B2E">
        <w:rPr>
          <w:lang w:val="en-CA"/>
        </w:rPr>
        <w:t>E</w:t>
      </w:r>
      <w:r w:rsidR="00BC6849" w:rsidRPr="00BB6B2E">
        <w:rPr>
          <w:lang w:val="en-CA"/>
        </w:rPr>
        <w:t>ven</w:t>
      </w:r>
      <w:r w:rsidR="009E41DD" w:rsidRPr="00BB6B2E">
        <w:rPr>
          <w:lang w:val="en-CA"/>
        </w:rPr>
        <w:t xml:space="preserve"> if </w:t>
      </w:r>
      <w:r w:rsidR="0087331B" w:rsidRPr="00BB6B2E">
        <w:rPr>
          <w:lang w:val="en-CA"/>
        </w:rPr>
        <w:t>investment treaties</w:t>
      </w:r>
      <w:r w:rsidR="009E41DD" w:rsidRPr="00BB6B2E">
        <w:rPr>
          <w:lang w:val="en-CA"/>
        </w:rPr>
        <w:t xml:space="preserve"> </w:t>
      </w:r>
      <w:r w:rsidR="00A106B6" w:rsidRPr="00BB6B2E">
        <w:rPr>
          <w:lang w:val="en-CA"/>
        </w:rPr>
        <w:t>might be</w:t>
      </w:r>
      <w:r w:rsidR="009E41DD" w:rsidRPr="00BB6B2E">
        <w:rPr>
          <w:lang w:val="en-CA"/>
        </w:rPr>
        <w:t xml:space="preserve"> unsuccessful in achieving their economic objectives,</w:t>
      </w:r>
      <w:r w:rsidR="0087331B" w:rsidRPr="00BB6B2E">
        <w:rPr>
          <w:lang w:val="en-CA"/>
        </w:rPr>
        <w:t xml:space="preserve"> it is argued,</w:t>
      </w:r>
      <w:r w:rsidR="009E41DD" w:rsidRPr="00BB6B2E">
        <w:rPr>
          <w:lang w:val="en-CA"/>
        </w:rPr>
        <w:t xml:space="preserve"> their existence would still be justified by good governance norms enshrined in substantive standards of treatment such treaties </w:t>
      </w:r>
      <w:r w:rsidR="0087331B" w:rsidRPr="00BB6B2E">
        <w:rPr>
          <w:lang w:val="en-CA"/>
        </w:rPr>
        <w:t>impose on state parties</w:t>
      </w:r>
      <w:r w:rsidR="009E41DD" w:rsidRPr="00BB6B2E">
        <w:rPr>
          <w:lang w:val="en-CA"/>
        </w:rPr>
        <w:t>.</w:t>
      </w:r>
      <w:r w:rsidR="009E41DD" w:rsidRPr="00BB6B2E">
        <w:rPr>
          <w:rStyle w:val="FootnoteReference"/>
          <w:lang w:val="en-CA"/>
        </w:rPr>
        <w:footnoteReference w:id="5"/>
      </w:r>
      <w:r w:rsidR="009E41DD" w:rsidRPr="00BB6B2E">
        <w:rPr>
          <w:lang w:val="en-CA"/>
        </w:rPr>
        <w:t xml:space="preserve"> </w:t>
      </w:r>
      <w:r w:rsidR="0087331B" w:rsidRPr="00BB6B2E">
        <w:rPr>
          <w:lang w:val="en-CA"/>
        </w:rPr>
        <w:t>A</w:t>
      </w:r>
      <w:r w:rsidR="009E41DD" w:rsidRPr="00BB6B2E">
        <w:rPr>
          <w:lang w:val="en-CA"/>
        </w:rPr>
        <w:t xml:space="preserve">lthough designed to benefit foreign investors, </w:t>
      </w:r>
      <w:r w:rsidR="0087331B" w:rsidRPr="00BB6B2E">
        <w:rPr>
          <w:lang w:val="en-CA"/>
        </w:rPr>
        <w:t xml:space="preserve">these good governance standards </w:t>
      </w:r>
      <w:r w:rsidR="009E41DD" w:rsidRPr="00BB6B2E">
        <w:rPr>
          <w:lang w:val="en-CA"/>
        </w:rPr>
        <w:t xml:space="preserve">may </w:t>
      </w:r>
      <w:r w:rsidR="0087331B" w:rsidRPr="00BB6B2E">
        <w:rPr>
          <w:lang w:val="en-CA"/>
        </w:rPr>
        <w:t>arguably</w:t>
      </w:r>
      <w:r w:rsidR="009E41DD" w:rsidRPr="00BB6B2E">
        <w:rPr>
          <w:lang w:val="en-CA"/>
        </w:rPr>
        <w:t xml:space="preserve"> </w:t>
      </w:r>
      <w:r w:rsidR="00A41E43" w:rsidRPr="00BB6B2E">
        <w:rPr>
          <w:lang w:val="en-CA"/>
        </w:rPr>
        <w:t>“</w:t>
      </w:r>
      <w:r w:rsidR="009E41DD" w:rsidRPr="00BB6B2E">
        <w:rPr>
          <w:lang w:val="en-CA"/>
        </w:rPr>
        <w:t>spill over into domestic law and</w:t>
      </w:r>
      <w:r w:rsidR="00BC6849" w:rsidRPr="00BB6B2E">
        <w:rPr>
          <w:lang w:val="en-CA"/>
        </w:rPr>
        <w:t xml:space="preserve"> set new standards also for the domestic legal </w:t>
      </w:r>
      <w:r w:rsidR="00BC6849" w:rsidRPr="00BB6B2E">
        <w:rPr>
          <w:lang w:val="en-CA"/>
        </w:rPr>
        <w:lastRenderedPageBreak/>
        <w:t>system.</w:t>
      </w:r>
      <w:r w:rsidR="00A41E43" w:rsidRPr="00BB6B2E">
        <w:rPr>
          <w:lang w:val="en-CA"/>
        </w:rPr>
        <w:t>”</w:t>
      </w:r>
      <w:r w:rsidR="00BC6849" w:rsidRPr="00BB6B2E">
        <w:rPr>
          <w:rStyle w:val="FootnoteReference"/>
          <w:lang w:val="en-CA"/>
        </w:rPr>
        <w:footnoteReference w:id="6"/>
      </w:r>
      <w:r w:rsidR="00BC6849" w:rsidRPr="00BB6B2E">
        <w:rPr>
          <w:lang w:val="en-CA"/>
        </w:rPr>
        <w:t xml:space="preserve"> </w:t>
      </w:r>
      <w:r w:rsidR="0087331B" w:rsidRPr="00BB6B2E">
        <w:rPr>
          <w:lang w:val="en-CA"/>
        </w:rPr>
        <w:t>The key premise</w:t>
      </w:r>
      <w:r w:rsidR="00032F3D" w:rsidRPr="00BB6B2E">
        <w:rPr>
          <w:lang w:val="en-CA"/>
        </w:rPr>
        <w:t xml:space="preserve"> of the good governance narrative </w:t>
      </w:r>
      <w:r w:rsidR="0087331B" w:rsidRPr="00BB6B2E">
        <w:rPr>
          <w:lang w:val="en-CA"/>
        </w:rPr>
        <w:t>is</w:t>
      </w:r>
      <w:r w:rsidR="00032F3D" w:rsidRPr="00BB6B2E">
        <w:rPr>
          <w:lang w:val="en-CA"/>
        </w:rPr>
        <w:t xml:space="preserve"> that the remedy of damages would pressure host states into complying with and incorporating the good governance standards in their domestic legal order and wider bureaucratic practices.</w:t>
      </w:r>
      <w:r w:rsidR="00032F3D" w:rsidRPr="00BB6B2E">
        <w:rPr>
          <w:rStyle w:val="FootnoteReference"/>
          <w:lang w:val="en-CA"/>
        </w:rPr>
        <w:footnoteReference w:id="7"/>
      </w:r>
      <w:r w:rsidR="00032F3D" w:rsidRPr="00BB6B2E">
        <w:rPr>
          <w:lang w:val="en-CA"/>
        </w:rPr>
        <w:t xml:space="preserve"> </w:t>
      </w:r>
      <w:r w:rsidR="0087331B" w:rsidRPr="00BB6B2E">
        <w:rPr>
          <w:lang w:val="en-CA"/>
        </w:rPr>
        <w:t>B</w:t>
      </w:r>
      <w:r w:rsidR="00032F3D" w:rsidRPr="00BB6B2E">
        <w:rPr>
          <w:lang w:val="en-CA"/>
        </w:rPr>
        <w:t xml:space="preserve">y acting as </w:t>
      </w:r>
      <w:r w:rsidR="00032F3D" w:rsidRPr="00BB6B2E">
        <w:rPr>
          <w:i/>
          <w:iCs/>
          <w:lang w:val="en-CA"/>
        </w:rPr>
        <w:t xml:space="preserve">catalysts </w:t>
      </w:r>
      <w:r w:rsidR="00032F3D" w:rsidRPr="00BB6B2E">
        <w:rPr>
          <w:lang w:val="en-CA"/>
        </w:rPr>
        <w:t>of governance reforms in host states</w:t>
      </w:r>
      <w:r w:rsidR="0087331B" w:rsidRPr="00BB6B2E">
        <w:rPr>
          <w:lang w:val="en-CA"/>
        </w:rPr>
        <w:t>,</w:t>
      </w:r>
      <w:r w:rsidR="00032F3D" w:rsidRPr="00BB6B2E">
        <w:rPr>
          <w:lang w:val="en-CA"/>
        </w:rPr>
        <w:t xml:space="preserve"> </w:t>
      </w:r>
      <w:r w:rsidR="0087331B" w:rsidRPr="00BB6B2E">
        <w:rPr>
          <w:lang w:val="en-CA"/>
        </w:rPr>
        <w:t xml:space="preserve">investment treaties allegedly improve domestic governance not </w:t>
      </w:r>
      <w:r w:rsidR="00032F3D" w:rsidRPr="00BB6B2E">
        <w:rPr>
          <w:lang w:val="en-CA"/>
        </w:rPr>
        <w:t xml:space="preserve">only </w:t>
      </w:r>
      <w:r w:rsidR="0087331B" w:rsidRPr="00BB6B2E">
        <w:rPr>
          <w:lang w:val="en-CA"/>
        </w:rPr>
        <w:t xml:space="preserve">for </w:t>
      </w:r>
      <w:r w:rsidR="00032F3D" w:rsidRPr="00BB6B2E">
        <w:rPr>
          <w:lang w:val="en-CA"/>
        </w:rPr>
        <w:t xml:space="preserve">foreign investors but also </w:t>
      </w:r>
      <w:r w:rsidR="0087331B" w:rsidRPr="00BB6B2E">
        <w:rPr>
          <w:lang w:val="en-CA"/>
        </w:rPr>
        <w:t xml:space="preserve">for </w:t>
      </w:r>
      <w:r w:rsidR="00032F3D" w:rsidRPr="00BB6B2E">
        <w:rPr>
          <w:lang w:val="en-CA"/>
        </w:rPr>
        <w:t>host communities.</w:t>
      </w:r>
    </w:p>
    <w:p w14:paraId="02AADD19" w14:textId="424CDCF5" w:rsidR="00B53851" w:rsidRPr="00BB6B2E" w:rsidRDefault="00B53851" w:rsidP="00A41E43">
      <w:pPr>
        <w:spacing w:after="220"/>
        <w:rPr>
          <w:lang w:val="en-CA"/>
        </w:rPr>
      </w:pPr>
      <w:r w:rsidRPr="00BB6B2E">
        <w:rPr>
          <w:lang w:val="en-CA"/>
        </w:rPr>
        <w:t xml:space="preserve">In a rather worrying turn, the language of good governance has been embraced not only by academics but also by arbitral tribunals. </w:t>
      </w:r>
      <w:r w:rsidR="003F46F8" w:rsidRPr="00BB6B2E">
        <w:rPr>
          <w:lang w:val="en-CA"/>
        </w:rPr>
        <w:t xml:space="preserve">In a string of awards, including the seminal </w:t>
      </w:r>
      <w:r w:rsidR="003F46F8" w:rsidRPr="00BB6B2E">
        <w:rPr>
          <w:i/>
          <w:iCs/>
          <w:lang w:val="en-CA"/>
        </w:rPr>
        <w:t>Metalclad</w:t>
      </w:r>
      <w:r w:rsidR="003F46F8" w:rsidRPr="00BB6B2E">
        <w:rPr>
          <w:lang w:val="en-CA"/>
        </w:rPr>
        <w:t xml:space="preserve">, </w:t>
      </w:r>
      <w:proofErr w:type="spellStart"/>
      <w:r w:rsidR="003F46F8" w:rsidRPr="00BB6B2E">
        <w:rPr>
          <w:i/>
          <w:iCs/>
          <w:lang w:val="en-CA"/>
        </w:rPr>
        <w:t>Tecmed</w:t>
      </w:r>
      <w:proofErr w:type="spellEnd"/>
      <w:r w:rsidR="003F46F8" w:rsidRPr="00BB6B2E">
        <w:rPr>
          <w:lang w:val="en-CA"/>
        </w:rPr>
        <w:t xml:space="preserve"> and </w:t>
      </w:r>
      <w:r w:rsidR="003F46F8" w:rsidRPr="00BB6B2E">
        <w:rPr>
          <w:i/>
          <w:iCs/>
          <w:lang w:val="en-CA"/>
        </w:rPr>
        <w:t xml:space="preserve">Occidental </w:t>
      </w:r>
      <w:r w:rsidR="003F46F8" w:rsidRPr="00BB6B2E">
        <w:rPr>
          <w:lang w:val="en-CA"/>
        </w:rPr>
        <w:t>cases</w:t>
      </w:r>
      <w:r w:rsidR="00CD2E0C">
        <w:rPr>
          <w:rStyle w:val="FootnoteReference"/>
          <w:lang w:val="en-CA"/>
        </w:rPr>
        <w:footnoteReference w:id="8"/>
      </w:r>
      <w:r w:rsidR="003F46F8" w:rsidRPr="00BB6B2E">
        <w:rPr>
          <w:lang w:val="en-CA"/>
        </w:rPr>
        <w:t xml:space="preserve">, </w:t>
      </w:r>
      <w:r w:rsidR="00AB3607" w:rsidRPr="00BB6B2E">
        <w:rPr>
          <w:lang w:val="en-CA"/>
        </w:rPr>
        <w:t>arbitral tribunals held</w:t>
      </w:r>
      <w:r w:rsidR="003F46F8" w:rsidRPr="00BB6B2E">
        <w:rPr>
          <w:lang w:val="en-CA"/>
        </w:rPr>
        <w:t xml:space="preserve"> that transparency, stability, predictability and consistency</w:t>
      </w:r>
      <w:r w:rsidR="00DF1B91" w:rsidRPr="00BB6B2E">
        <w:rPr>
          <w:lang w:val="en-CA"/>
        </w:rPr>
        <w:t xml:space="preserve"> of state behaviour</w:t>
      </w:r>
      <w:r w:rsidR="003F46F8" w:rsidRPr="00BB6B2E">
        <w:rPr>
          <w:lang w:val="en-CA"/>
        </w:rPr>
        <w:t xml:space="preserve"> </w:t>
      </w:r>
      <w:r w:rsidR="001D5D98" w:rsidRPr="00BB6B2E">
        <w:rPr>
          <w:lang w:val="en-CA"/>
        </w:rPr>
        <w:t>ought to be seen as</w:t>
      </w:r>
      <w:r w:rsidR="003F46F8" w:rsidRPr="00BB6B2E">
        <w:rPr>
          <w:lang w:val="en-CA"/>
        </w:rPr>
        <w:t xml:space="preserve"> constitutive elements of the </w:t>
      </w:r>
      <w:r w:rsidR="00DF1B91" w:rsidRPr="00BB6B2E">
        <w:rPr>
          <w:lang w:val="en-CA"/>
        </w:rPr>
        <w:t>FET</w:t>
      </w:r>
      <w:r w:rsidR="003F46F8" w:rsidRPr="00BB6B2E">
        <w:rPr>
          <w:lang w:val="en-CA"/>
        </w:rPr>
        <w:t xml:space="preserve"> standard. </w:t>
      </w:r>
      <w:r w:rsidR="0087331B" w:rsidRPr="00BB6B2E">
        <w:rPr>
          <w:lang w:val="en-CA"/>
        </w:rPr>
        <w:t>Recent efforts to reform investment treaties have done little to reverse such interpretative practices</w:t>
      </w:r>
      <w:r w:rsidR="00DF1B91" w:rsidRPr="00BB6B2E">
        <w:rPr>
          <w:lang w:val="en-CA"/>
        </w:rPr>
        <w:t xml:space="preserve">, although </w:t>
      </w:r>
      <w:r w:rsidR="002F33FF" w:rsidRPr="00BB6B2E">
        <w:rPr>
          <w:lang w:val="en-CA"/>
        </w:rPr>
        <w:t xml:space="preserve">construing </w:t>
      </w:r>
      <w:r w:rsidR="00DF1B91" w:rsidRPr="00BB6B2E">
        <w:rPr>
          <w:lang w:val="en-CA"/>
        </w:rPr>
        <w:t>FET</w:t>
      </w:r>
      <w:r w:rsidR="002F33FF" w:rsidRPr="00BB6B2E">
        <w:rPr>
          <w:lang w:val="en-CA"/>
        </w:rPr>
        <w:t xml:space="preserve"> as a</w:t>
      </w:r>
      <w:r w:rsidR="00262EC7" w:rsidRPr="00BB6B2E">
        <w:rPr>
          <w:lang w:val="en-CA"/>
        </w:rPr>
        <w:t xml:space="preserve"> host state’s</w:t>
      </w:r>
      <w:r w:rsidR="002F33FF" w:rsidRPr="00BB6B2E">
        <w:rPr>
          <w:lang w:val="en-CA"/>
        </w:rPr>
        <w:t xml:space="preserve"> obligation </w:t>
      </w:r>
      <w:r w:rsidR="00262EC7" w:rsidRPr="00BB6B2E">
        <w:rPr>
          <w:lang w:val="en-CA"/>
        </w:rPr>
        <w:t xml:space="preserve">to abide by good governance </w:t>
      </w:r>
      <w:r w:rsidR="00DD5745" w:rsidRPr="00BB6B2E">
        <w:rPr>
          <w:lang w:val="en-CA"/>
        </w:rPr>
        <w:t xml:space="preserve">has </w:t>
      </w:r>
      <w:r w:rsidR="00A106B6" w:rsidRPr="00BB6B2E">
        <w:rPr>
          <w:lang w:val="en-CA"/>
        </w:rPr>
        <w:t>never</w:t>
      </w:r>
      <w:r w:rsidR="00DD5745" w:rsidRPr="00BB6B2E">
        <w:rPr>
          <w:lang w:val="en-CA"/>
        </w:rPr>
        <w:t xml:space="preserve"> been</w:t>
      </w:r>
      <w:r w:rsidR="002F33FF" w:rsidRPr="00BB6B2E">
        <w:rPr>
          <w:lang w:val="en-CA"/>
        </w:rPr>
        <w:t xml:space="preserve"> adequately supported by historical and doctrinal evidence.</w:t>
      </w:r>
      <w:r w:rsidR="00262EC7" w:rsidRPr="00BB6B2E">
        <w:rPr>
          <w:lang w:val="en-CA"/>
        </w:rPr>
        <w:t xml:space="preserve"> </w:t>
      </w:r>
      <w:r w:rsidR="002F33FF" w:rsidRPr="00BB6B2E">
        <w:rPr>
          <w:lang w:val="en-CA"/>
        </w:rPr>
        <w:t>The interpretations of other good governance standards, such as an</w:t>
      </w:r>
      <w:r w:rsidR="00262EC7" w:rsidRPr="00BB6B2E">
        <w:rPr>
          <w:lang w:val="en-CA"/>
        </w:rPr>
        <w:t xml:space="preserve"> </w:t>
      </w:r>
      <w:r w:rsidR="002F33FF" w:rsidRPr="00BB6B2E">
        <w:rPr>
          <w:lang w:val="en-CA"/>
        </w:rPr>
        <w:t>investment treaty obligation to provide an effective means of asserting</w:t>
      </w:r>
      <w:r w:rsidR="00262EC7" w:rsidRPr="00BB6B2E">
        <w:rPr>
          <w:lang w:val="en-CA"/>
        </w:rPr>
        <w:t xml:space="preserve"> </w:t>
      </w:r>
      <w:r w:rsidR="002F33FF" w:rsidRPr="00BB6B2E">
        <w:rPr>
          <w:lang w:val="en-CA"/>
        </w:rPr>
        <w:t>claims and enforcing rights are similarly questionable both for their insufficient legal underpinnings and their normative implications.</w:t>
      </w:r>
      <w:r w:rsidR="00534D40">
        <w:rPr>
          <w:rStyle w:val="FootnoteReference"/>
          <w:lang w:val="en-CA"/>
        </w:rPr>
        <w:footnoteReference w:id="9"/>
      </w:r>
      <w:r w:rsidR="002F33FF" w:rsidRPr="00BB6B2E">
        <w:rPr>
          <w:lang w:val="en-CA"/>
        </w:rPr>
        <w:t xml:space="preserve"> Harnessing the language of good governance</w:t>
      </w:r>
      <w:r w:rsidR="00262EC7" w:rsidRPr="00BB6B2E">
        <w:rPr>
          <w:lang w:val="en-CA"/>
        </w:rPr>
        <w:t xml:space="preserve"> </w:t>
      </w:r>
      <w:r w:rsidR="002F33FF" w:rsidRPr="00BB6B2E">
        <w:rPr>
          <w:lang w:val="en-CA"/>
        </w:rPr>
        <w:t>to justify the expansive interpretation of investment treaty rules</w:t>
      </w:r>
      <w:r w:rsidR="00262EC7" w:rsidRPr="00BB6B2E">
        <w:rPr>
          <w:lang w:val="en-CA"/>
        </w:rPr>
        <w:t xml:space="preserve"> </w:t>
      </w:r>
      <w:r w:rsidR="002F33FF" w:rsidRPr="00BB6B2E">
        <w:rPr>
          <w:lang w:val="en-CA"/>
        </w:rPr>
        <w:t xml:space="preserve">is unlikely </w:t>
      </w:r>
      <w:r w:rsidR="00DF1B91" w:rsidRPr="00BB6B2E">
        <w:rPr>
          <w:lang w:val="en-CA"/>
        </w:rPr>
        <w:t xml:space="preserve">to </w:t>
      </w:r>
      <w:r w:rsidR="002F33FF" w:rsidRPr="00BB6B2E">
        <w:rPr>
          <w:lang w:val="en-CA"/>
        </w:rPr>
        <w:t xml:space="preserve">divert attention from the shortcomings of </w:t>
      </w:r>
      <w:r w:rsidR="00DF1B91" w:rsidRPr="00BB6B2E">
        <w:rPr>
          <w:lang w:val="en-CA"/>
        </w:rPr>
        <w:t xml:space="preserve">the </w:t>
      </w:r>
      <w:r w:rsidR="002F33FF" w:rsidRPr="00BB6B2E">
        <w:rPr>
          <w:lang w:val="en-CA"/>
        </w:rPr>
        <w:t>legal and normative</w:t>
      </w:r>
      <w:r w:rsidR="00262EC7" w:rsidRPr="00BB6B2E">
        <w:rPr>
          <w:lang w:val="en-CA"/>
        </w:rPr>
        <w:t xml:space="preserve"> </w:t>
      </w:r>
      <w:r w:rsidR="002F33FF" w:rsidRPr="00BB6B2E">
        <w:rPr>
          <w:lang w:val="en-CA"/>
        </w:rPr>
        <w:t>reasoning underpinning the relevant arbitral awards. Rather, it may further</w:t>
      </w:r>
      <w:r w:rsidR="00262EC7" w:rsidRPr="00BB6B2E">
        <w:rPr>
          <w:lang w:val="en-CA"/>
        </w:rPr>
        <w:t xml:space="preserve"> </w:t>
      </w:r>
      <w:r w:rsidR="002F33FF" w:rsidRPr="00BB6B2E">
        <w:rPr>
          <w:lang w:val="en-CA"/>
        </w:rPr>
        <w:t>heighten concerns over the regime’s legitimacy and credibility.</w:t>
      </w:r>
    </w:p>
    <w:p w14:paraId="4024869B" w14:textId="2C67AB13" w:rsidR="00372DA7" w:rsidRPr="00E04ED9" w:rsidRDefault="00372DA7" w:rsidP="00E04ED9">
      <w:pPr>
        <w:pStyle w:val="Heading2"/>
      </w:pPr>
      <w:r w:rsidRPr="00BB6B2E">
        <w:t>Does empirical evidence support the good governance argument?</w:t>
      </w:r>
    </w:p>
    <w:p w14:paraId="35D6E707" w14:textId="3E2CCBDF" w:rsidR="00DF1B91" w:rsidRPr="00BB6B2E" w:rsidRDefault="00372DA7" w:rsidP="00A41E43">
      <w:pPr>
        <w:spacing w:after="220"/>
        <w:rPr>
          <w:lang w:val="en-CA"/>
        </w:rPr>
      </w:pPr>
      <w:r w:rsidRPr="00BB6B2E">
        <w:rPr>
          <w:lang w:val="en-CA"/>
        </w:rPr>
        <w:t>T</w:t>
      </w:r>
      <w:r w:rsidR="00DD5745" w:rsidRPr="00BB6B2E">
        <w:rPr>
          <w:lang w:val="en-CA"/>
        </w:rPr>
        <w:t xml:space="preserve">he claim that investment treaties improve governance at a national level is yet to be supported with empirical evidence. Instead, the good governance narrative of international investment law is premised on a set of assumptions about how host states </w:t>
      </w:r>
      <w:r w:rsidR="00DD5745" w:rsidRPr="00BB6B2E">
        <w:rPr>
          <w:i/>
          <w:lang w:val="en-CA"/>
        </w:rPr>
        <w:t>should</w:t>
      </w:r>
      <w:r w:rsidR="00DD5745" w:rsidRPr="00BB6B2E">
        <w:rPr>
          <w:lang w:val="en-CA"/>
        </w:rPr>
        <w:t xml:space="preserve"> respond to investment treaty norms. The proponents of the good governance narrative presume that the imposition of monetary liability on host states for a breach of good governance standards will (1) deter host states from mistreating foreign investors and (2) encourage them to proactively reform legal and bureaucratic practices.</w:t>
      </w:r>
      <w:r w:rsidR="00B049B4">
        <w:rPr>
          <w:rStyle w:val="FootnoteReference"/>
          <w:lang w:val="en-CA"/>
        </w:rPr>
        <w:footnoteReference w:id="10"/>
      </w:r>
      <w:r w:rsidR="00DD5745" w:rsidRPr="00BB6B2E">
        <w:rPr>
          <w:lang w:val="en-CA"/>
        </w:rPr>
        <w:t xml:space="preserve"> </w:t>
      </w:r>
    </w:p>
    <w:p w14:paraId="30AA2415" w14:textId="20879CBE" w:rsidR="00DD5745" w:rsidRPr="00BB6B2E" w:rsidRDefault="00DD5745" w:rsidP="00A41E43">
      <w:pPr>
        <w:spacing w:after="220"/>
        <w:rPr>
          <w:lang w:val="en-CA"/>
        </w:rPr>
      </w:pPr>
      <w:r w:rsidRPr="00BB6B2E">
        <w:rPr>
          <w:lang w:val="en-CA"/>
        </w:rPr>
        <w:lastRenderedPageBreak/>
        <w:t>For such deterrent and transformative effects to exist, however, government officials in host states need to be aware of the existence and meaning of investment</w:t>
      </w:r>
      <w:r w:rsidR="001D5D98" w:rsidRPr="00BB6B2E">
        <w:rPr>
          <w:lang w:val="en-CA"/>
        </w:rPr>
        <w:t xml:space="preserve"> </w:t>
      </w:r>
      <w:r w:rsidRPr="00BB6B2E">
        <w:rPr>
          <w:lang w:val="en-CA"/>
        </w:rPr>
        <w:t>treaty norms. Furthermore, national legal and regulatory frameworks should be in place to effectively discourage government officials from acting in breach of those investment treaty norms. The crucial question is: to what extent are government official</w:t>
      </w:r>
      <w:r w:rsidR="00A41E43" w:rsidRPr="00BB6B2E">
        <w:rPr>
          <w:lang w:val="en-CA"/>
        </w:rPr>
        <w:t xml:space="preserve">s </w:t>
      </w:r>
      <w:r w:rsidRPr="00BB6B2E">
        <w:rPr>
          <w:lang w:val="en-CA"/>
        </w:rPr>
        <w:t>actually aware of and influenced by investment treaty disciplines in making their decisions vis-à-vis foreign investors? Does the imposition of monetary sanctions on host states prompt them to address the governance failures lying at the roots of investor</w:t>
      </w:r>
      <w:r w:rsidR="00DF1B91" w:rsidRPr="00BB6B2E">
        <w:rPr>
          <w:lang w:val="en-CA"/>
        </w:rPr>
        <w:t>–</w:t>
      </w:r>
      <w:r w:rsidRPr="00BB6B2E">
        <w:rPr>
          <w:lang w:val="en-CA"/>
        </w:rPr>
        <w:t xml:space="preserve">state disputes and to enhance accountability of relevant government agencies and officials? </w:t>
      </w:r>
    </w:p>
    <w:p w14:paraId="79B71C05" w14:textId="296F531E" w:rsidR="00DD5745" w:rsidRDefault="00DD5745" w:rsidP="00A41E43">
      <w:pPr>
        <w:spacing w:after="220"/>
        <w:rPr>
          <w:lang w:val="en-CA"/>
        </w:rPr>
      </w:pPr>
      <w:r w:rsidRPr="00BB6B2E">
        <w:rPr>
          <w:lang w:val="en-CA"/>
        </w:rPr>
        <w:t xml:space="preserve">Recent empirical studies seek to answer these questions through interviews with government officials and the analysis of national legislation in developing </w:t>
      </w:r>
      <w:r w:rsidR="00DF1B91" w:rsidRPr="00BB6B2E">
        <w:rPr>
          <w:lang w:val="en-CA"/>
        </w:rPr>
        <w:t xml:space="preserve">country </w:t>
      </w:r>
      <w:r w:rsidRPr="00BB6B2E">
        <w:rPr>
          <w:lang w:val="en-CA"/>
        </w:rPr>
        <w:t>states.</w:t>
      </w:r>
      <w:r w:rsidRPr="00BB6B2E">
        <w:rPr>
          <w:rStyle w:val="FootnoteReference"/>
          <w:lang w:val="en-CA"/>
        </w:rPr>
        <w:footnoteReference w:id="11"/>
      </w:r>
      <w:r w:rsidR="00BF69AA" w:rsidRPr="00BB6B2E">
        <w:rPr>
          <w:lang w:val="en-CA"/>
        </w:rPr>
        <w:t xml:space="preserve"> The case</w:t>
      </w:r>
      <w:r w:rsidR="00372DA7" w:rsidRPr="00BB6B2E">
        <w:rPr>
          <w:lang w:val="en-CA"/>
        </w:rPr>
        <w:t xml:space="preserve"> </w:t>
      </w:r>
      <w:r w:rsidR="00BF69AA" w:rsidRPr="00BB6B2E">
        <w:rPr>
          <w:lang w:val="en-CA"/>
        </w:rPr>
        <w:t>study of five developing countries’ experience reveals that</w:t>
      </w:r>
      <w:r w:rsidR="00372DA7" w:rsidRPr="00BB6B2E">
        <w:rPr>
          <w:lang w:val="en-CA"/>
        </w:rPr>
        <w:t>,</w:t>
      </w:r>
      <w:r w:rsidR="00BF69AA" w:rsidRPr="00BB6B2E">
        <w:rPr>
          <w:lang w:val="en-CA"/>
        </w:rPr>
        <w:t xml:space="preserve"> even after </w:t>
      </w:r>
      <w:r w:rsidR="00372DA7" w:rsidRPr="00BB6B2E">
        <w:rPr>
          <w:lang w:val="en-CA"/>
        </w:rPr>
        <w:t xml:space="preserve">states become respondents in </w:t>
      </w:r>
      <w:r w:rsidR="00BF69AA" w:rsidRPr="00BB6B2E">
        <w:rPr>
          <w:lang w:val="en-CA"/>
        </w:rPr>
        <w:t xml:space="preserve">investment arbitration, many </w:t>
      </w:r>
      <w:r w:rsidR="00372DA7" w:rsidRPr="00BB6B2E">
        <w:rPr>
          <w:lang w:val="en-CA"/>
        </w:rPr>
        <w:t xml:space="preserve">of their </w:t>
      </w:r>
      <w:r w:rsidR="00BF69AA" w:rsidRPr="00BB6B2E">
        <w:rPr>
          <w:lang w:val="en-CA"/>
        </w:rPr>
        <w:t>government officials tend to remain unaware of investment treaty law and its implications. Even where government officials learnt about investment treaty law from their involvement in investor</w:t>
      </w:r>
      <w:r w:rsidR="00372DA7" w:rsidRPr="00BB6B2E">
        <w:rPr>
          <w:lang w:val="en-CA"/>
        </w:rPr>
        <w:t>–</w:t>
      </w:r>
      <w:r w:rsidR="00BF69AA" w:rsidRPr="00BB6B2E">
        <w:rPr>
          <w:lang w:val="en-CA"/>
        </w:rPr>
        <w:t>state arbitration, such learning has not been translated into reforms</w:t>
      </w:r>
      <w:r w:rsidR="001D5D98" w:rsidRPr="00BB6B2E">
        <w:rPr>
          <w:lang w:val="en-CA"/>
        </w:rPr>
        <w:t xml:space="preserve"> to improve governance</w:t>
      </w:r>
      <w:r w:rsidR="00BF69AA" w:rsidRPr="00BB6B2E">
        <w:rPr>
          <w:lang w:val="en-CA"/>
        </w:rPr>
        <w:t>. The empirical dat</w:t>
      </w:r>
      <w:r w:rsidR="007713EE" w:rsidRPr="00BB6B2E">
        <w:rPr>
          <w:lang w:val="en-CA"/>
        </w:rPr>
        <w:t>a</w:t>
      </w:r>
      <w:r w:rsidR="00BF69AA" w:rsidRPr="00BB6B2E">
        <w:rPr>
          <w:lang w:val="en-CA"/>
        </w:rPr>
        <w:t xml:space="preserve"> also shows that, despite having gained a certain awareness and knowledge of investment treaty law, some </w:t>
      </w:r>
      <w:r w:rsidR="005A5CFD" w:rsidRPr="00BB6B2E">
        <w:rPr>
          <w:lang w:val="en-CA"/>
        </w:rPr>
        <w:t>host governments</w:t>
      </w:r>
      <w:r w:rsidR="00BF69AA" w:rsidRPr="00BB6B2E">
        <w:rPr>
          <w:lang w:val="en-CA"/>
        </w:rPr>
        <w:t xml:space="preserve"> continue to neglect the possible</w:t>
      </w:r>
      <w:r w:rsidR="005A5CFD" w:rsidRPr="00BB6B2E">
        <w:rPr>
          <w:lang w:val="en-CA"/>
        </w:rPr>
        <w:t xml:space="preserve"> </w:t>
      </w:r>
      <w:r w:rsidR="00BF69AA" w:rsidRPr="00BB6B2E">
        <w:rPr>
          <w:lang w:val="en-CA"/>
        </w:rPr>
        <w:t>repercussions of their actions</w:t>
      </w:r>
      <w:r w:rsidR="005A5CFD" w:rsidRPr="00BB6B2E">
        <w:rPr>
          <w:lang w:val="en-CA"/>
        </w:rPr>
        <w:t xml:space="preserve"> in breach of that law</w:t>
      </w:r>
      <w:r w:rsidR="00BF69AA" w:rsidRPr="00BB6B2E">
        <w:rPr>
          <w:lang w:val="en-CA"/>
        </w:rPr>
        <w:t>.</w:t>
      </w:r>
      <w:r w:rsidR="005A5CFD" w:rsidRPr="00BB6B2E">
        <w:rPr>
          <w:lang w:val="en-CA"/>
        </w:rPr>
        <w:t xml:space="preserve"> Notwithstanding the threat of adverse financial consequences, in some cases host governments </w:t>
      </w:r>
      <w:r w:rsidR="007713EE" w:rsidRPr="00BB6B2E">
        <w:rPr>
          <w:lang w:val="en-CA"/>
        </w:rPr>
        <w:t>prefer</w:t>
      </w:r>
      <w:r w:rsidR="005A5CFD" w:rsidRPr="00BB6B2E">
        <w:rPr>
          <w:lang w:val="en-CA"/>
        </w:rPr>
        <w:t xml:space="preserve"> to breach investment treaty norms where they find it economically and politically more expedient.</w:t>
      </w:r>
      <w:r w:rsidR="00BF69AA" w:rsidRPr="00BB6B2E">
        <w:rPr>
          <w:lang w:val="en-CA"/>
        </w:rPr>
        <w:t xml:space="preserve"> </w:t>
      </w:r>
      <w:r w:rsidR="005A5CFD" w:rsidRPr="00BB6B2E">
        <w:rPr>
          <w:lang w:val="en-CA"/>
        </w:rPr>
        <w:t>D</w:t>
      </w:r>
      <w:r w:rsidR="00BF69AA" w:rsidRPr="00BB6B2E">
        <w:rPr>
          <w:lang w:val="en-CA"/>
        </w:rPr>
        <w:t>issatisfaction with</w:t>
      </w:r>
      <w:r w:rsidR="005A5CFD" w:rsidRPr="00BB6B2E">
        <w:rPr>
          <w:lang w:val="en-CA"/>
        </w:rPr>
        <w:t xml:space="preserve"> </w:t>
      </w:r>
      <w:r w:rsidR="00BF69AA" w:rsidRPr="00BB6B2E">
        <w:rPr>
          <w:lang w:val="en-CA"/>
        </w:rPr>
        <w:t xml:space="preserve">investment arbitration </w:t>
      </w:r>
      <w:r w:rsidR="005A5CFD" w:rsidRPr="00BB6B2E">
        <w:rPr>
          <w:lang w:val="en-CA"/>
        </w:rPr>
        <w:t>also appears to push</w:t>
      </w:r>
      <w:r w:rsidR="00BF69AA" w:rsidRPr="00BB6B2E">
        <w:rPr>
          <w:lang w:val="en-CA"/>
        </w:rPr>
        <w:t xml:space="preserve"> host states to </w:t>
      </w:r>
      <w:r w:rsidR="00A106B6" w:rsidRPr="00BB6B2E">
        <w:rPr>
          <w:lang w:val="en-CA"/>
        </w:rPr>
        <w:t>consider</w:t>
      </w:r>
      <w:r w:rsidR="00BF69AA" w:rsidRPr="00BB6B2E">
        <w:rPr>
          <w:lang w:val="en-CA"/>
        </w:rPr>
        <w:t xml:space="preserve"> retroactive changes</w:t>
      </w:r>
      <w:r w:rsidR="005A5CFD" w:rsidRPr="00BB6B2E">
        <w:rPr>
          <w:lang w:val="en-CA"/>
        </w:rPr>
        <w:t xml:space="preserve"> </w:t>
      </w:r>
      <w:r w:rsidR="00BF69AA" w:rsidRPr="00BB6B2E">
        <w:rPr>
          <w:lang w:val="en-CA"/>
        </w:rPr>
        <w:t>in national laws on investment protection and to withdraw from the</w:t>
      </w:r>
      <w:r w:rsidR="005A5CFD" w:rsidRPr="00BB6B2E">
        <w:rPr>
          <w:lang w:val="en-CA"/>
        </w:rPr>
        <w:t xml:space="preserve"> </w:t>
      </w:r>
      <w:r w:rsidR="00BF69AA" w:rsidRPr="00BB6B2E">
        <w:rPr>
          <w:lang w:val="en-CA"/>
        </w:rPr>
        <w:t>investment treaty regime altogether.</w:t>
      </w:r>
    </w:p>
    <w:p w14:paraId="58DD8F6E" w14:textId="5A0A433B" w:rsidR="00CD2E0C" w:rsidRPr="0082339A" w:rsidRDefault="00CD2E0C" w:rsidP="00A41E43">
      <w:pPr>
        <w:spacing w:after="220"/>
        <w:rPr>
          <w:i/>
          <w:lang w:val="en-CA"/>
        </w:rPr>
      </w:pPr>
      <w:r w:rsidRPr="0082339A">
        <w:rPr>
          <w:i/>
          <w:lang w:val="en-CA"/>
        </w:rPr>
        <w:t>Good governance only for foreign investors</w:t>
      </w:r>
      <w:r w:rsidR="0082339A" w:rsidRPr="0082339A">
        <w:rPr>
          <w:i/>
          <w:lang w:val="en-CA"/>
        </w:rPr>
        <w:t>?</w:t>
      </w:r>
    </w:p>
    <w:p w14:paraId="1F6D3D03" w14:textId="2ED468BC" w:rsidR="001D5D98" w:rsidRPr="00BB6B2E" w:rsidRDefault="005A5CFD" w:rsidP="00A41E43">
      <w:pPr>
        <w:spacing w:after="220"/>
        <w:rPr>
          <w:lang w:val="en-CA"/>
        </w:rPr>
      </w:pPr>
      <w:r w:rsidRPr="00BB6B2E">
        <w:rPr>
          <w:lang w:val="en-CA"/>
        </w:rPr>
        <w:t>The emerging empirical evidence also raises the question whether</w:t>
      </w:r>
      <w:r w:rsidR="00BB6B2E" w:rsidRPr="00BB6B2E">
        <w:rPr>
          <w:lang w:val="en-CA"/>
        </w:rPr>
        <w:t>,</w:t>
      </w:r>
      <w:r w:rsidRPr="00BB6B2E">
        <w:rPr>
          <w:lang w:val="en-CA"/>
        </w:rPr>
        <w:t xml:space="preserve"> by effectively insulating foreign investors from the shortcomings of domestic regimes and by </w:t>
      </w:r>
      <w:r w:rsidR="00BB6B2E" w:rsidRPr="00BB6B2E">
        <w:rPr>
          <w:lang w:val="en-CA"/>
        </w:rPr>
        <w:t xml:space="preserve">replacing </w:t>
      </w:r>
      <w:r w:rsidRPr="00BB6B2E">
        <w:rPr>
          <w:lang w:val="en-CA"/>
        </w:rPr>
        <w:t xml:space="preserve">the latter with </w:t>
      </w:r>
      <w:r w:rsidR="00561AFB" w:rsidRPr="00BB6B2E">
        <w:rPr>
          <w:lang w:val="en-CA"/>
        </w:rPr>
        <w:t>the</w:t>
      </w:r>
      <w:r w:rsidRPr="00BB6B2E">
        <w:rPr>
          <w:lang w:val="en-CA"/>
        </w:rPr>
        <w:t xml:space="preserve"> arguably stronger and more effective international alternative, the investment treaty regime reduces the incentive for host states to improve domestic governance institutions and practices.</w:t>
      </w:r>
      <w:r w:rsidR="00A106B6" w:rsidRPr="00BB6B2E">
        <w:rPr>
          <w:rStyle w:val="FootnoteReference"/>
          <w:lang w:val="en-CA"/>
        </w:rPr>
        <w:footnoteReference w:id="12"/>
      </w:r>
      <w:r w:rsidRPr="00BB6B2E">
        <w:rPr>
          <w:lang w:val="en-CA"/>
        </w:rPr>
        <w:t xml:space="preserve"> Since ISDS allows investors to escape the jurisdiction of domestic courts, national judiciaries are not merely deprived of incentives to compete with international </w:t>
      </w:r>
      <w:r w:rsidRPr="00BB6B2E">
        <w:rPr>
          <w:lang w:val="en-CA"/>
        </w:rPr>
        <w:lastRenderedPageBreak/>
        <w:t xml:space="preserve">tribunals and enhance the quality of their governance outputs, but they are also effectively barred from otherwise embedding international standards of good governance in the legal and bureaucratic practices of host states. </w:t>
      </w:r>
    </w:p>
    <w:p w14:paraId="3AC54F0B" w14:textId="4BCB7F2C" w:rsidR="005A5CFD" w:rsidRDefault="005A5CFD" w:rsidP="00A41E43">
      <w:pPr>
        <w:spacing w:after="220"/>
        <w:rPr>
          <w:lang w:val="en-CA"/>
        </w:rPr>
      </w:pPr>
      <w:r w:rsidRPr="00BB6B2E">
        <w:rPr>
          <w:lang w:val="en-CA"/>
        </w:rPr>
        <w:t xml:space="preserve">The empirical evidence also suggests that, due to </w:t>
      </w:r>
      <w:r w:rsidR="00BB6B2E" w:rsidRPr="00BB6B2E">
        <w:rPr>
          <w:lang w:val="en-CA"/>
        </w:rPr>
        <w:t xml:space="preserve">the </w:t>
      </w:r>
      <w:r w:rsidRPr="00BB6B2E">
        <w:rPr>
          <w:lang w:val="en-CA"/>
        </w:rPr>
        <w:t xml:space="preserve">emphasis </w:t>
      </w:r>
      <w:r w:rsidR="00BB6B2E" w:rsidRPr="00BB6B2E">
        <w:rPr>
          <w:lang w:val="en-CA"/>
        </w:rPr>
        <w:t xml:space="preserve">of the investment treaty regime </w:t>
      </w:r>
      <w:r w:rsidRPr="00BB6B2E">
        <w:rPr>
          <w:lang w:val="en-CA"/>
        </w:rPr>
        <w:t xml:space="preserve">on the idea of foreign investors deserving special protection, the regime contributes to a fragmentation of the national judicial and regulatory landscape and the emergence of special decision-making bodies specifically tasked with shielding foreign investors from national law and institutions. </w:t>
      </w:r>
      <w:r w:rsidR="00815C28" w:rsidRPr="00BB6B2E">
        <w:rPr>
          <w:lang w:val="en-CA"/>
        </w:rPr>
        <w:t xml:space="preserve">There is a discernible trend among developing </w:t>
      </w:r>
      <w:r w:rsidR="00BB6B2E" w:rsidRPr="00BB6B2E">
        <w:rPr>
          <w:lang w:val="en-CA"/>
        </w:rPr>
        <w:t xml:space="preserve">country </w:t>
      </w:r>
      <w:r w:rsidR="00815C28" w:rsidRPr="00BB6B2E">
        <w:rPr>
          <w:lang w:val="en-CA"/>
        </w:rPr>
        <w:t>states toward creating legal enclaves for foreign</w:t>
      </w:r>
      <w:r w:rsidR="001D5D98" w:rsidRPr="00BB6B2E">
        <w:rPr>
          <w:lang w:val="en-CA"/>
        </w:rPr>
        <w:t xml:space="preserve"> </w:t>
      </w:r>
      <w:r w:rsidR="00815C28" w:rsidRPr="00BB6B2E">
        <w:rPr>
          <w:lang w:val="en-CA"/>
        </w:rPr>
        <w:t xml:space="preserve">investors not only at the international but also national level. The proliferation of these enclaves does not inspire belief in international law as a force for change. Instead, overvaluing foreign investors entrenches the prevailing perceptions of international law as a forum for select privileged actors. </w:t>
      </w:r>
      <w:r w:rsidRPr="00BB6B2E">
        <w:rPr>
          <w:lang w:val="en-CA"/>
        </w:rPr>
        <w:t xml:space="preserve">Rather than encouraging a comprehensive reform of national governance institutions and practices, </w:t>
      </w:r>
      <w:r w:rsidR="00815C28" w:rsidRPr="00BB6B2E">
        <w:rPr>
          <w:lang w:val="en-CA"/>
        </w:rPr>
        <w:t xml:space="preserve">developing </w:t>
      </w:r>
      <w:r w:rsidR="00BB6B2E" w:rsidRPr="00BB6B2E">
        <w:rPr>
          <w:lang w:val="en-CA"/>
        </w:rPr>
        <w:t xml:space="preserve">country governments </w:t>
      </w:r>
      <w:r w:rsidR="007713EE" w:rsidRPr="00BB6B2E">
        <w:rPr>
          <w:lang w:val="en-CA"/>
        </w:rPr>
        <w:t>are directed toward</w:t>
      </w:r>
      <w:r w:rsidRPr="00BB6B2E">
        <w:rPr>
          <w:lang w:val="en-CA"/>
        </w:rPr>
        <w:t xml:space="preserve"> </w:t>
      </w:r>
      <w:r w:rsidR="001D5D98" w:rsidRPr="00BB6B2E">
        <w:rPr>
          <w:lang w:val="en-CA"/>
        </w:rPr>
        <w:t xml:space="preserve">solutions offering </w:t>
      </w:r>
      <w:r w:rsidR="00BB6B2E" w:rsidRPr="00BB6B2E">
        <w:rPr>
          <w:lang w:val="en-CA"/>
        </w:rPr>
        <w:t>“</w:t>
      </w:r>
      <w:r w:rsidRPr="00BB6B2E">
        <w:rPr>
          <w:lang w:val="en-CA"/>
        </w:rPr>
        <w:t xml:space="preserve">good governance </w:t>
      </w:r>
      <w:r w:rsidR="001D5D98" w:rsidRPr="00BB6B2E">
        <w:rPr>
          <w:lang w:val="en-CA"/>
        </w:rPr>
        <w:t xml:space="preserve">only for </w:t>
      </w:r>
      <w:r w:rsidRPr="00BB6B2E">
        <w:rPr>
          <w:lang w:val="en-CA"/>
        </w:rPr>
        <w:t>foreign investors.</w:t>
      </w:r>
      <w:r w:rsidR="00BB6B2E" w:rsidRPr="00BB6B2E">
        <w:rPr>
          <w:lang w:val="en-CA"/>
        </w:rPr>
        <w:t>”</w:t>
      </w:r>
      <w:r w:rsidR="00815C28" w:rsidRPr="00BB6B2E">
        <w:rPr>
          <w:lang w:val="en-CA"/>
        </w:rPr>
        <w:t xml:space="preserve"> </w:t>
      </w:r>
    </w:p>
    <w:p w14:paraId="299E1738" w14:textId="3FF6054F" w:rsidR="0082339A" w:rsidRPr="0082339A" w:rsidRDefault="0082339A" w:rsidP="00A41E43">
      <w:pPr>
        <w:spacing w:after="220"/>
        <w:rPr>
          <w:i/>
          <w:lang w:val="en-CA"/>
        </w:rPr>
      </w:pPr>
      <w:r w:rsidRPr="0082339A">
        <w:rPr>
          <w:i/>
          <w:lang w:val="en-CA"/>
        </w:rPr>
        <w:t>Is the investment treaty regime itself compliant with good governance standards?</w:t>
      </w:r>
    </w:p>
    <w:p w14:paraId="591E5B2E" w14:textId="0FDF79A8" w:rsidR="00383302" w:rsidRDefault="001D5D98" w:rsidP="00A41E43">
      <w:pPr>
        <w:spacing w:after="220"/>
        <w:rPr>
          <w:lang w:val="en-CA"/>
        </w:rPr>
      </w:pPr>
      <w:r w:rsidRPr="00BB6B2E">
        <w:rPr>
          <w:lang w:val="en-CA"/>
        </w:rPr>
        <w:t xml:space="preserve">Another crucial question is whether international investment law </w:t>
      </w:r>
      <w:r w:rsidR="00BB6B2E" w:rsidRPr="00BB6B2E">
        <w:rPr>
          <w:lang w:val="en-CA"/>
        </w:rPr>
        <w:t xml:space="preserve">has </w:t>
      </w:r>
      <w:r w:rsidRPr="00BB6B2E">
        <w:rPr>
          <w:lang w:val="en-CA"/>
        </w:rPr>
        <w:t xml:space="preserve">the </w:t>
      </w:r>
      <w:r w:rsidR="008261BD" w:rsidRPr="00BB6B2E">
        <w:rPr>
          <w:lang w:val="en-CA"/>
        </w:rPr>
        <w:t>n</w:t>
      </w:r>
      <w:r w:rsidRPr="00BB6B2E">
        <w:rPr>
          <w:lang w:val="en-CA"/>
        </w:rPr>
        <w:t xml:space="preserve">ecessary characteristics to inspire changes at a national level. </w:t>
      </w:r>
      <w:r w:rsidR="008261BD" w:rsidRPr="00BB6B2E">
        <w:rPr>
          <w:lang w:val="en-CA"/>
        </w:rPr>
        <w:t>The investment treaty regime, in its current form, lacks some of the vital characteristics necessary for its purported mission to act as a mechanism signalling what the universally acceptable standards of good governance are.</w:t>
      </w:r>
      <w:r w:rsidR="00BD1F56">
        <w:rPr>
          <w:rStyle w:val="FootnoteReference"/>
          <w:lang w:val="en-CA"/>
        </w:rPr>
        <w:footnoteReference w:id="13"/>
      </w:r>
      <w:r w:rsidR="008261BD" w:rsidRPr="00BB6B2E">
        <w:rPr>
          <w:lang w:val="en-CA"/>
        </w:rPr>
        <w:t xml:space="preserve"> Among other things, t</w:t>
      </w:r>
      <w:r w:rsidR="00383302" w:rsidRPr="00BB6B2E">
        <w:rPr>
          <w:lang w:val="en-CA"/>
        </w:rPr>
        <w:t>he actual impact of investment treaty law on governance in host states</w:t>
      </w:r>
      <w:r w:rsidRPr="00BB6B2E">
        <w:rPr>
          <w:lang w:val="en-CA"/>
        </w:rPr>
        <w:t xml:space="preserve"> </w:t>
      </w:r>
      <w:r w:rsidR="00383302" w:rsidRPr="00BB6B2E">
        <w:rPr>
          <w:lang w:val="en-CA"/>
        </w:rPr>
        <w:t>hinges on the stance the regime takes on investor misconduct. If investment treat</w:t>
      </w:r>
      <w:r w:rsidR="00BB6B2E">
        <w:rPr>
          <w:lang w:val="en-CA"/>
        </w:rPr>
        <w:t>ies</w:t>
      </w:r>
      <w:r w:rsidR="00383302" w:rsidRPr="00BB6B2E">
        <w:rPr>
          <w:lang w:val="en-CA"/>
        </w:rPr>
        <w:t xml:space="preserve"> and arbitral tribunals turn a blind eye to illegal acts perpetrated by foreign investors in host states, including bribery and corruption, the investment treaty regime could be complicit in encouraging and perpetuating inadequate and undesirable patterns of </w:t>
      </w:r>
      <w:r w:rsidR="00561AFB" w:rsidRPr="00BB6B2E">
        <w:rPr>
          <w:lang w:val="en-CA"/>
        </w:rPr>
        <w:t>behavio</w:t>
      </w:r>
      <w:r w:rsidR="00BB6B2E">
        <w:rPr>
          <w:lang w:val="en-CA"/>
        </w:rPr>
        <w:t>u</w:t>
      </w:r>
      <w:r w:rsidR="00561AFB" w:rsidRPr="00BB6B2E">
        <w:rPr>
          <w:lang w:val="en-CA"/>
        </w:rPr>
        <w:t>r</w:t>
      </w:r>
      <w:r w:rsidR="00383302" w:rsidRPr="00BB6B2E">
        <w:rPr>
          <w:lang w:val="en-CA"/>
        </w:rPr>
        <w:t xml:space="preserve"> by governments and foreign investors. Regrettably, the bulk of existing investment treat</w:t>
      </w:r>
      <w:r w:rsidR="00BB6B2E">
        <w:rPr>
          <w:lang w:val="en-CA"/>
        </w:rPr>
        <w:t>ies</w:t>
      </w:r>
      <w:r w:rsidR="00383302" w:rsidRPr="00BB6B2E">
        <w:rPr>
          <w:lang w:val="en-CA"/>
        </w:rPr>
        <w:t xml:space="preserve"> do not contain provisions to expressly address investor misconduct. Investment treaty law has long been critici</w:t>
      </w:r>
      <w:r w:rsidR="00561AFB" w:rsidRPr="00BB6B2E">
        <w:rPr>
          <w:lang w:val="en-CA"/>
        </w:rPr>
        <w:t>z</w:t>
      </w:r>
      <w:r w:rsidR="00383302" w:rsidRPr="00BB6B2E">
        <w:rPr>
          <w:lang w:val="en-CA"/>
        </w:rPr>
        <w:t>ed for is its asymmetric nature—for providing investor with rights, but not imposing any obligations.</w:t>
      </w:r>
      <w:r w:rsidR="00383302" w:rsidRPr="00BB6B2E">
        <w:rPr>
          <w:rStyle w:val="FootnoteReference"/>
          <w:lang w:val="en-CA"/>
        </w:rPr>
        <w:footnoteReference w:id="14"/>
      </w:r>
      <w:r w:rsidR="00383302" w:rsidRPr="00BB6B2E">
        <w:rPr>
          <w:lang w:val="en-CA"/>
        </w:rPr>
        <w:t xml:space="preserve"> </w:t>
      </w:r>
      <w:r w:rsidR="00D43A62">
        <w:rPr>
          <w:lang w:val="en-CA"/>
        </w:rPr>
        <w:t>The</w:t>
      </w:r>
      <w:r w:rsidR="00383302" w:rsidRPr="00BB6B2E">
        <w:rPr>
          <w:lang w:val="en-CA"/>
        </w:rPr>
        <w:t xml:space="preserve"> failure to address</w:t>
      </w:r>
      <w:r w:rsidR="00D43A62">
        <w:rPr>
          <w:lang w:val="en-CA"/>
        </w:rPr>
        <w:t xml:space="preserve"> the</w:t>
      </w:r>
      <w:r w:rsidR="00383302" w:rsidRPr="00BB6B2E">
        <w:rPr>
          <w:lang w:val="en-CA"/>
        </w:rPr>
        <w:t xml:space="preserve"> lack of investor accountability in </w:t>
      </w:r>
      <w:r w:rsidR="00D43A62">
        <w:rPr>
          <w:lang w:val="en-CA"/>
        </w:rPr>
        <w:t>IIAs</w:t>
      </w:r>
      <w:r w:rsidR="00383302" w:rsidRPr="00BB6B2E">
        <w:rPr>
          <w:lang w:val="en-CA"/>
        </w:rPr>
        <w:t xml:space="preserve"> is at odds with the investment treaty regime’s proclaimed commitment to the ideals of rule of law and good governance.</w:t>
      </w:r>
    </w:p>
    <w:p w14:paraId="44DB6638" w14:textId="0A18980E" w:rsidR="00BD1F56" w:rsidRPr="004C1088" w:rsidRDefault="00BD1F56" w:rsidP="00A41E43">
      <w:pPr>
        <w:spacing w:after="220"/>
        <w:rPr>
          <w:i/>
          <w:lang w:val="en-CA"/>
        </w:rPr>
      </w:pPr>
      <w:r w:rsidRPr="004C1088">
        <w:rPr>
          <w:i/>
          <w:lang w:val="en-CA"/>
        </w:rPr>
        <w:t>Sanctions, top-down reforms and capacity-building</w:t>
      </w:r>
    </w:p>
    <w:p w14:paraId="6DD97C58" w14:textId="7351EAFB" w:rsidR="00812642" w:rsidRDefault="00EC2EA7" w:rsidP="00A41E43">
      <w:pPr>
        <w:spacing w:after="220"/>
        <w:rPr>
          <w:lang w:val="en-CA"/>
        </w:rPr>
      </w:pPr>
      <w:r w:rsidRPr="00BB6B2E">
        <w:rPr>
          <w:lang w:val="en-CA"/>
        </w:rPr>
        <w:t>The empirical studies of the good governance effects of investment treaty law also highlight the central role played by resource constraints in shaping the state</w:t>
      </w:r>
      <w:r w:rsidR="00D43A62">
        <w:rPr>
          <w:lang w:val="en-CA"/>
        </w:rPr>
        <w:t xml:space="preserve">s’ </w:t>
      </w:r>
      <w:r w:rsidRPr="00BB6B2E">
        <w:rPr>
          <w:lang w:val="en-CA"/>
        </w:rPr>
        <w:t>capacity to internali</w:t>
      </w:r>
      <w:r w:rsidR="00815C28" w:rsidRPr="00BB6B2E">
        <w:rPr>
          <w:lang w:val="en-CA"/>
        </w:rPr>
        <w:t>z</w:t>
      </w:r>
      <w:r w:rsidRPr="00BB6B2E">
        <w:rPr>
          <w:lang w:val="en-CA"/>
        </w:rPr>
        <w:t xml:space="preserve">e </w:t>
      </w:r>
      <w:r w:rsidRPr="00BB6B2E">
        <w:rPr>
          <w:lang w:val="en-CA"/>
        </w:rPr>
        <w:lastRenderedPageBreak/>
        <w:t>good governance norms</w:t>
      </w:r>
      <w:r w:rsidR="00815C28" w:rsidRPr="00BB6B2E">
        <w:rPr>
          <w:lang w:val="en-CA"/>
        </w:rPr>
        <w:t>.</w:t>
      </w:r>
      <w:r w:rsidRPr="00BB6B2E">
        <w:rPr>
          <w:lang w:val="en-CA"/>
        </w:rPr>
        <w:t xml:space="preserve"> </w:t>
      </w:r>
      <w:r w:rsidR="00815C28" w:rsidRPr="00BB6B2E">
        <w:rPr>
          <w:lang w:val="en-CA"/>
        </w:rPr>
        <w:t xml:space="preserve">As law and development scholars have long argued, </w:t>
      </w:r>
      <w:r w:rsidRPr="00BB6B2E">
        <w:rPr>
          <w:lang w:val="en-CA"/>
        </w:rPr>
        <w:t xml:space="preserve">external </w:t>
      </w:r>
      <w:r w:rsidR="000C2CEF" w:rsidRPr="00BB6B2E">
        <w:rPr>
          <w:lang w:val="en-CA"/>
        </w:rPr>
        <w:t>sanctions and top</w:t>
      </w:r>
      <w:r w:rsidR="00D43A62">
        <w:rPr>
          <w:lang w:val="en-CA"/>
        </w:rPr>
        <w:t>–</w:t>
      </w:r>
      <w:r w:rsidR="000C2CEF" w:rsidRPr="00BB6B2E">
        <w:rPr>
          <w:lang w:val="en-CA"/>
        </w:rPr>
        <w:t>down reforms</w:t>
      </w:r>
      <w:r w:rsidRPr="00BB6B2E">
        <w:rPr>
          <w:lang w:val="en-CA"/>
        </w:rPr>
        <w:t xml:space="preserve"> may not always carry an</w:t>
      </w:r>
      <w:r w:rsidR="00815C28" w:rsidRPr="00BB6B2E">
        <w:rPr>
          <w:lang w:val="en-CA"/>
        </w:rPr>
        <w:t xml:space="preserve"> </w:t>
      </w:r>
      <w:r w:rsidRPr="00BB6B2E">
        <w:rPr>
          <w:lang w:val="en-CA"/>
        </w:rPr>
        <w:t>enabling effect on recipient countries.</w:t>
      </w:r>
      <w:r w:rsidR="000C2CEF" w:rsidRPr="00BB6B2E">
        <w:rPr>
          <w:rStyle w:val="FootnoteReference"/>
          <w:lang w:val="en-CA"/>
        </w:rPr>
        <w:footnoteReference w:id="15"/>
      </w:r>
      <w:r w:rsidRPr="00BB6B2E">
        <w:rPr>
          <w:lang w:val="en-CA"/>
        </w:rPr>
        <w:t xml:space="preserve"> It seems that the emerging transnational</w:t>
      </w:r>
      <w:r w:rsidR="00815C28" w:rsidRPr="00BB6B2E">
        <w:rPr>
          <w:lang w:val="en-CA"/>
        </w:rPr>
        <w:t xml:space="preserve"> </w:t>
      </w:r>
      <w:r w:rsidRPr="00BB6B2E">
        <w:rPr>
          <w:lang w:val="en-CA"/>
        </w:rPr>
        <w:t>network of influence</w:t>
      </w:r>
      <w:r w:rsidR="00D43A62">
        <w:rPr>
          <w:lang w:val="en-CA"/>
        </w:rPr>
        <w:t>—</w:t>
      </w:r>
      <w:r w:rsidRPr="00BB6B2E">
        <w:rPr>
          <w:lang w:val="en-CA"/>
        </w:rPr>
        <w:t>primarily comprising international financial</w:t>
      </w:r>
      <w:r w:rsidR="00815C28" w:rsidRPr="00BB6B2E">
        <w:rPr>
          <w:lang w:val="en-CA"/>
        </w:rPr>
        <w:t xml:space="preserve"> </w:t>
      </w:r>
      <w:r w:rsidRPr="00BB6B2E">
        <w:rPr>
          <w:lang w:val="en-CA"/>
        </w:rPr>
        <w:t>and aid institutions, Western governments and those responsible for the</w:t>
      </w:r>
      <w:r w:rsidR="00815C28" w:rsidRPr="00BB6B2E">
        <w:rPr>
          <w:lang w:val="en-CA"/>
        </w:rPr>
        <w:t xml:space="preserve"> </w:t>
      </w:r>
      <w:r w:rsidRPr="00BB6B2E">
        <w:rPr>
          <w:lang w:val="en-CA"/>
        </w:rPr>
        <w:t xml:space="preserve">production </w:t>
      </w:r>
      <w:r w:rsidR="00A106B6" w:rsidRPr="00BB6B2E">
        <w:rPr>
          <w:lang w:val="en-CA"/>
        </w:rPr>
        <w:t xml:space="preserve">and diffusion </w:t>
      </w:r>
      <w:r w:rsidRPr="00BB6B2E">
        <w:rPr>
          <w:lang w:val="en-CA"/>
        </w:rPr>
        <w:t>of investment treaty norms</w:t>
      </w:r>
      <w:r w:rsidR="00D43A62">
        <w:rPr>
          <w:lang w:val="en-CA"/>
        </w:rPr>
        <w:t>—</w:t>
      </w:r>
      <w:r w:rsidRPr="00BB6B2E">
        <w:rPr>
          <w:lang w:val="en-CA"/>
        </w:rPr>
        <w:t>may in fact suppress rather than</w:t>
      </w:r>
      <w:r w:rsidR="00815C28" w:rsidRPr="00BB6B2E">
        <w:rPr>
          <w:lang w:val="en-CA"/>
        </w:rPr>
        <w:t xml:space="preserve"> </w:t>
      </w:r>
      <w:r w:rsidRPr="00BB6B2E">
        <w:rPr>
          <w:lang w:val="en-CA"/>
        </w:rPr>
        <w:t>enable</w:t>
      </w:r>
      <w:r w:rsidR="00815C28" w:rsidRPr="00BB6B2E">
        <w:rPr>
          <w:lang w:val="en-CA"/>
        </w:rPr>
        <w:t xml:space="preserve"> meaningful</w:t>
      </w:r>
      <w:r w:rsidRPr="00BB6B2E">
        <w:rPr>
          <w:lang w:val="en-CA"/>
        </w:rPr>
        <w:t xml:space="preserve"> improvements in domestic governance. With </w:t>
      </w:r>
      <w:r w:rsidR="00A106B6" w:rsidRPr="00BB6B2E">
        <w:rPr>
          <w:lang w:val="en-CA"/>
        </w:rPr>
        <w:t>their</w:t>
      </w:r>
      <w:r w:rsidRPr="00BB6B2E">
        <w:rPr>
          <w:lang w:val="en-CA"/>
        </w:rPr>
        <w:t xml:space="preserve"> emphasis on external</w:t>
      </w:r>
      <w:r w:rsidR="00815C28" w:rsidRPr="00BB6B2E">
        <w:rPr>
          <w:lang w:val="en-CA"/>
        </w:rPr>
        <w:t xml:space="preserve"> </w:t>
      </w:r>
      <w:r w:rsidRPr="00BB6B2E">
        <w:rPr>
          <w:lang w:val="en-CA"/>
        </w:rPr>
        <w:t>(foreign) expertise</w:t>
      </w:r>
      <w:r w:rsidR="00812642">
        <w:rPr>
          <w:lang w:val="en-CA"/>
        </w:rPr>
        <w:t xml:space="preserve"> and</w:t>
      </w:r>
      <w:r w:rsidRPr="00BB6B2E">
        <w:rPr>
          <w:lang w:val="en-CA"/>
        </w:rPr>
        <w:t xml:space="preserve"> external (international) law and dispute settlement</w:t>
      </w:r>
      <w:r w:rsidR="00815C28" w:rsidRPr="00BB6B2E">
        <w:rPr>
          <w:lang w:val="en-CA"/>
        </w:rPr>
        <w:t xml:space="preserve"> </w:t>
      </w:r>
      <w:r w:rsidRPr="00BB6B2E">
        <w:rPr>
          <w:lang w:val="en-CA"/>
        </w:rPr>
        <w:t>mechanisms, the</w:t>
      </w:r>
      <w:r w:rsidR="00A106B6" w:rsidRPr="00BB6B2E">
        <w:rPr>
          <w:lang w:val="en-CA"/>
        </w:rPr>
        <w:t xml:space="preserve"> workings of these </w:t>
      </w:r>
      <w:r w:rsidRPr="00BB6B2E">
        <w:rPr>
          <w:lang w:val="en-CA"/>
        </w:rPr>
        <w:t xml:space="preserve">transnational </w:t>
      </w:r>
      <w:r w:rsidR="00A106B6" w:rsidRPr="00BB6B2E">
        <w:rPr>
          <w:lang w:val="en-CA"/>
        </w:rPr>
        <w:t>agents</w:t>
      </w:r>
      <w:r w:rsidRPr="00BB6B2E">
        <w:rPr>
          <w:lang w:val="en-CA"/>
        </w:rPr>
        <w:t xml:space="preserve"> </w:t>
      </w:r>
      <w:r w:rsidR="00A106B6" w:rsidRPr="00BB6B2E">
        <w:rPr>
          <w:lang w:val="en-CA"/>
        </w:rPr>
        <w:t>may have a</w:t>
      </w:r>
      <w:r w:rsidR="00815C28" w:rsidRPr="00BB6B2E">
        <w:rPr>
          <w:lang w:val="en-CA"/>
        </w:rPr>
        <w:t xml:space="preserve"> </w:t>
      </w:r>
      <w:r w:rsidR="00812642">
        <w:rPr>
          <w:lang w:val="en-CA"/>
        </w:rPr>
        <w:t>weakening</w:t>
      </w:r>
      <w:r w:rsidR="00812642" w:rsidRPr="00BB6B2E">
        <w:rPr>
          <w:lang w:val="en-CA"/>
        </w:rPr>
        <w:t xml:space="preserve"> </w:t>
      </w:r>
      <w:r w:rsidRPr="00BB6B2E">
        <w:rPr>
          <w:lang w:val="en-CA"/>
        </w:rPr>
        <w:t>effect on the national legal consciousness and thus hinder</w:t>
      </w:r>
      <w:r w:rsidR="00815C28" w:rsidRPr="00BB6B2E">
        <w:rPr>
          <w:lang w:val="en-CA"/>
        </w:rPr>
        <w:t xml:space="preserve"> </w:t>
      </w:r>
      <w:r w:rsidRPr="00BB6B2E">
        <w:rPr>
          <w:lang w:val="en-CA"/>
        </w:rPr>
        <w:t>the emergence of new, innovative ways of interaction between developing</w:t>
      </w:r>
      <w:r w:rsidR="00815C28" w:rsidRPr="00BB6B2E">
        <w:rPr>
          <w:lang w:val="en-CA"/>
        </w:rPr>
        <w:t xml:space="preserve"> </w:t>
      </w:r>
      <w:r w:rsidR="00812642">
        <w:rPr>
          <w:lang w:val="en-CA"/>
        </w:rPr>
        <w:t xml:space="preserve">country </w:t>
      </w:r>
      <w:r w:rsidRPr="00BB6B2E">
        <w:rPr>
          <w:lang w:val="en-CA"/>
        </w:rPr>
        <w:t>states and the global investment protection regime.</w:t>
      </w:r>
    </w:p>
    <w:p w14:paraId="259D965F" w14:textId="45BE8F8C" w:rsidR="00815C28" w:rsidRPr="00BB6B2E" w:rsidRDefault="00812642" w:rsidP="006306E2">
      <w:pPr>
        <w:pStyle w:val="Heading2"/>
        <w:keepNext/>
      </w:pPr>
      <w:r>
        <w:t>Final remarks</w:t>
      </w:r>
      <w:r w:rsidR="00EC2EA7" w:rsidRPr="00BB6B2E">
        <w:t xml:space="preserve"> </w:t>
      </w:r>
    </w:p>
    <w:p w14:paraId="6C30E493" w14:textId="18332A7E" w:rsidR="00A41E43" w:rsidRPr="00BB6B2E" w:rsidRDefault="000C2CEF" w:rsidP="00A41E43">
      <w:pPr>
        <w:spacing w:after="220"/>
        <w:rPr>
          <w:lang w:val="en-CA"/>
        </w:rPr>
      </w:pPr>
      <w:r w:rsidRPr="00BB6B2E">
        <w:rPr>
          <w:lang w:val="en-CA"/>
        </w:rPr>
        <w:t>Now that empirical evidence increasingly points to the lack of positive correlation between investment treaties and increased FDI</w:t>
      </w:r>
      <w:r w:rsidR="00227A29">
        <w:rPr>
          <w:lang w:val="en-CA"/>
        </w:rPr>
        <w:t>,</w:t>
      </w:r>
      <w:r w:rsidRPr="00BB6B2E">
        <w:rPr>
          <w:rStyle w:val="FootnoteReference"/>
          <w:lang w:val="en-CA"/>
        </w:rPr>
        <w:footnoteReference w:id="16"/>
      </w:r>
      <w:r w:rsidRPr="00BB6B2E">
        <w:rPr>
          <w:lang w:val="en-CA"/>
        </w:rPr>
        <w:t xml:space="preserve"> who stands to gain from </w:t>
      </w:r>
      <w:r w:rsidR="00812642">
        <w:rPr>
          <w:lang w:val="en-CA"/>
        </w:rPr>
        <w:t>IIAs</w:t>
      </w:r>
      <w:r w:rsidRPr="00BB6B2E">
        <w:rPr>
          <w:lang w:val="en-CA"/>
        </w:rPr>
        <w:t xml:space="preserve"> grant</w:t>
      </w:r>
      <w:r w:rsidR="00812642">
        <w:rPr>
          <w:lang w:val="en-CA"/>
        </w:rPr>
        <w:t>ing</w:t>
      </w:r>
      <w:r w:rsidRPr="00BB6B2E">
        <w:rPr>
          <w:lang w:val="en-CA"/>
        </w:rPr>
        <w:t xml:space="preserve"> foreign investors enhanced privileges? What is the overarching societal function of the contemporary investment treaty regime and to what extent is that function attaina</w:t>
      </w:r>
      <w:bookmarkStart w:id="9" w:name="_GoBack"/>
      <w:bookmarkEnd w:id="9"/>
      <w:r w:rsidRPr="00BB6B2E">
        <w:rPr>
          <w:lang w:val="en-CA"/>
        </w:rPr>
        <w:t xml:space="preserve">ble given the existing design of investment treaty rules and associated investment arbitration procedures? Further studies are needed to explore how those who ultimately bear the costs of investment rules—developing </w:t>
      </w:r>
      <w:r w:rsidR="00812642">
        <w:rPr>
          <w:lang w:val="en-CA"/>
        </w:rPr>
        <w:t xml:space="preserve">country </w:t>
      </w:r>
      <w:r w:rsidRPr="00BB6B2E">
        <w:rPr>
          <w:lang w:val="en-CA"/>
        </w:rPr>
        <w:t xml:space="preserve">states and host communities—could be included in the process of redefining </w:t>
      </w:r>
      <w:r w:rsidR="008261BD" w:rsidRPr="00BB6B2E">
        <w:rPr>
          <w:lang w:val="en-CA"/>
        </w:rPr>
        <w:t xml:space="preserve">international </w:t>
      </w:r>
      <w:r w:rsidRPr="00BB6B2E">
        <w:rPr>
          <w:lang w:val="en-CA"/>
        </w:rPr>
        <w:t xml:space="preserve">investment </w:t>
      </w:r>
      <w:r w:rsidR="008261BD" w:rsidRPr="00BB6B2E">
        <w:rPr>
          <w:lang w:val="en-CA"/>
        </w:rPr>
        <w:t>governance</w:t>
      </w:r>
      <w:r w:rsidRPr="00BB6B2E">
        <w:rPr>
          <w:lang w:val="en-CA"/>
        </w:rPr>
        <w:t xml:space="preserve"> and shaping the content of investment protection policies.</w:t>
      </w:r>
    </w:p>
    <w:p w14:paraId="73874D15" w14:textId="2DA0EF70" w:rsidR="00A41E43" w:rsidRPr="00BB6B2E" w:rsidRDefault="00A41E43" w:rsidP="00A41E43">
      <w:pPr>
        <w:pStyle w:val="Heading3"/>
        <w:rPr>
          <w:lang w:val="en-CA"/>
        </w:rPr>
      </w:pPr>
      <w:r w:rsidRPr="00BB6B2E">
        <w:rPr>
          <w:lang w:val="en-CA"/>
        </w:rPr>
        <w:t>Author</w:t>
      </w:r>
    </w:p>
    <w:p w14:paraId="6C4CF012" w14:textId="28D08362" w:rsidR="00EC2EA7" w:rsidRPr="00BB6B2E" w:rsidRDefault="00A41E43" w:rsidP="006306E2">
      <w:pPr>
        <w:spacing w:after="220"/>
        <w:rPr>
          <w:lang w:val="en-CA"/>
        </w:rPr>
      </w:pPr>
      <w:r w:rsidRPr="00BB6B2E">
        <w:rPr>
          <w:b/>
          <w:lang w:val="en-CA"/>
        </w:rPr>
        <w:t>Mavluda Sattorova</w:t>
      </w:r>
      <w:r w:rsidRPr="00BB6B2E">
        <w:rPr>
          <w:lang w:val="en-CA"/>
        </w:rPr>
        <w:t xml:space="preserve"> is</w:t>
      </w:r>
      <w:r w:rsidR="00B049B4">
        <w:rPr>
          <w:lang w:val="en-CA"/>
        </w:rPr>
        <w:t xml:space="preserve"> senior lecturer in law at the University of Liverpool. She</w:t>
      </w:r>
      <w:r w:rsidR="00B049B4" w:rsidRPr="00B049B4">
        <w:rPr>
          <w:lang w:val="en-CA"/>
        </w:rPr>
        <w:t xml:space="preserve"> specialises in international investment law and investor-state arbitration. Her most recent work examines the impact of investment treaty law on national policy-making and governance</w:t>
      </w:r>
      <w:r w:rsidR="00B049B4">
        <w:rPr>
          <w:lang w:val="en-CA"/>
        </w:rPr>
        <w:t>.</w:t>
      </w:r>
    </w:p>
    <w:sectPr w:rsidR="00EC2EA7" w:rsidRPr="00BB6B2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50E86" w14:textId="77777777" w:rsidR="002D13DA" w:rsidRDefault="002D13DA" w:rsidP="00A41E43">
      <w:r>
        <w:separator/>
      </w:r>
    </w:p>
  </w:endnote>
  <w:endnote w:type="continuationSeparator" w:id="0">
    <w:p w14:paraId="3DEAA320" w14:textId="77777777" w:rsidR="002D13DA" w:rsidRDefault="002D13DA" w:rsidP="00A41E43">
      <w:r>
        <w:continuationSeparator/>
      </w:r>
    </w:p>
  </w:endnote>
  <w:endnote w:type="continuationNotice" w:id="1">
    <w:p w14:paraId="0185AAB4" w14:textId="77777777" w:rsidR="002D13DA" w:rsidRDefault="002D13D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C1047" w14:textId="77777777" w:rsidR="006306E2" w:rsidRDefault="00630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5348F" w14:textId="77777777" w:rsidR="002D13DA" w:rsidRDefault="002D13DA" w:rsidP="00A41E43">
      <w:r>
        <w:separator/>
      </w:r>
    </w:p>
  </w:footnote>
  <w:footnote w:type="continuationSeparator" w:id="0">
    <w:p w14:paraId="1F8D21D3" w14:textId="77777777" w:rsidR="002D13DA" w:rsidRDefault="002D13DA" w:rsidP="00A41E43">
      <w:r>
        <w:continuationSeparator/>
      </w:r>
    </w:p>
  </w:footnote>
  <w:footnote w:type="continuationNotice" w:id="1">
    <w:p w14:paraId="28E76418" w14:textId="77777777" w:rsidR="002D13DA" w:rsidRDefault="002D13DA">
      <w:pPr>
        <w:spacing w:line="240" w:lineRule="auto"/>
      </w:pPr>
    </w:p>
  </w:footnote>
  <w:footnote w:id="2">
    <w:p w14:paraId="27B9F9B0" w14:textId="727FC735" w:rsidR="00A106B6" w:rsidRPr="00A41E43" w:rsidRDefault="00A106B6" w:rsidP="006306E2">
      <w:pPr>
        <w:pStyle w:val="FootnoteText"/>
        <w:spacing w:after="200" w:line="276" w:lineRule="auto"/>
      </w:pPr>
      <w:r w:rsidRPr="00A41E43">
        <w:rPr>
          <w:rStyle w:val="FootnoteReference"/>
        </w:rPr>
        <w:footnoteRef/>
      </w:r>
      <w:r w:rsidRPr="00A41E43">
        <w:t xml:space="preserve"> </w:t>
      </w:r>
      <w:bookmarkStart w:id="0" w:name="_Hlk486255188"/>
      <w:bookmarkStart w:id="1" w:name="_Hlk486597904"/>
      <w:r w:rsidR="008A51E4" w:rsidRPr="00A41E43">
        <w:t xml:space="preserve">Root, </w:t>
      </w:r>
      <w:r w:rsidR="006715A4" w:rsidRPr="00A41E43">
        <w:t xml:space="preserve">E. (1910). </w:t>
      </w:r>
      <w:r w:rsidR="008A51E4" w:rsidRPr="00A41E43">
        <w:t xml:space="preserve">The </w:t>
      </w:r>
      <w:r w:rsidR="00A41E43" w:rsidRPr="00A41E43">
        <w:t>basis of protection to citizens residing abroad</w:t>
      </w:r>
      <w:bookmarkEnd w:id="0"/>
      <w:r w:rsidR="006715A4" w:rsidRPr="00A41E43">
        <w:t xml:space="preserve">. </w:t>
      </w:r>
      <w:r w:rsidR="006715A4" w:rsidRPr="00A41E43">
        <w:rPr>
          <w:i/>
        </w:rPr>
        <w:t>American Journal of International Law</w:t>
      </w:r>
      <w:r w:rsidR="00A205FD">
        <w:t xml:space="preserve">, </w:t>
      </w:r>
      <w:r w:rsidR="006306E2">
        <w:rPr>
          <w:i/>
        </w:rPr>
        <w:t>4</w:t>
      </w:r>
      <w:r w:rsidR="006306E2">
        <w:t>(3),</w:t>
      </w:r>
      <w:r w:rsidR="006306E2" w:rsidRPr="00A41E43">
        <w:rPr>
          <w:i/>
        </w:rPr>
        <w:t xml:space="preserve"> </w:t>
      </w:r>
      <w:r w:rsidR="006306E2" w:rsidRPr="006306E2">
        <w:t>517–528</w:t>
      </w:r>
      <w:r w:rsidR="006306E2" w:rsidRPr="00A41E43">
        <w:t xml:space="preserve">, </w:t>
      </w:r>
      <w:r w:rsidR="006306E2">
        <w:t>pp.</w:t>
      </w:r>
      <w:r w:rsidR="006306E2" w:rsidRPr="00A41E43">
        <w:t xml:space="preserve"> </w:t>
      </w:r>
      <w:bookmarkEnd w:id="1"/>
      <w:r w:rsidR="008A51E4" w:rsidRPr="00A41E43">
        <w:t>521</w:t>
      </w:r>
      <w:r w:rsidR="00A41E43">
        <w:t>–</w:t>
      </w:r>
      <w:r w:rsidR="006306E2">
        <w:t>522.</w:t>
      </w:r>
    </w:p>
  </w:footnote>
  <w:footnote w:id="3">
    <w:p w14:paraId="24ACA63D" w14:textId="2C774DA3" w:rsidR="00BC6849" w:rsidRPr="00A41E43" w:rsidRDefault="00BC6849" w:rsidP="006306E2">
      <w:pPr>
        <w:pStyle w:val="FootnoteText"/>
        <w:spacing w:after="200" w:line="276" w:lineRule="auto"/>
      </w:pPr>
      <w:r w:rsidRPr="00A41E43">
        <w:rPr>
          <w:rStyle w:val="FootnoteReference"/>
        </w:rPr>
        <w:footnoteRef/>
      </w:r>
      <w:r w:rsidRPr="00A41E43">
        <w:t xml:space="preserve"> </w:t>
      </w:r>
      <w:r w:rsidR="006715A4" w:rsidRPr="00A41E43">
        <w:t xml:space="preserve"> See</w:t>
      </w:r>
      <w:r w:rsidR="00A41E43">
        <w:t>, for example,</w:t>
      </w:r>
      <w:r w:rsidR="006715A4" w:rsidRPr="00A41E43">
        <w:t xml:space="preserve"> UN GA Resolution</w:t>
      </w:r>
      <w:r w:rsidR="00A41E43">
        <w:t>s</w:t>
      </w:r>
      <w:r w:rsidR="006715A4" w:rsidRPr="00A41E43">
        <w:t xml:space="preserve"> No</w:t>
      </w:r>
      <w:r w:rsidR="00A41E43">
        <w:t>.</w:t>
      </w:r>
      <w:r w:rsidR="006715A4" w:rsidRPr="00A41E43">
        <w:t xml:space="preserve"> 1803 (December </w:t>
      </w:r>
      <w:r w:rsidR="00A41E43">
        <w:t xml:space="preserve">14, </w:t>
      </w:r>
      <w:r w:rsidR="006715A4" w:rsidRPr="00A41E43">
        <w:t>1962) and No</w:t>
      </w:r>
      <w:r w:rsidR="00A41E43">
        <w:t>.</w:t>
      </w:r>
      <w:r w:rsidR="006715A4" w:rsidRPr="00A41E43">
        <w:t xml:space="preserve"> 3281 (December </w:t>
      </w:r>
      <w:r w:rsidR="00A41E43">
        <w:t xml:space="preserve">12, </w:t>
      </w:r>
      <w:r w:rsidR="006715A4" w:rsidRPr="00A41E43">
        <w:t>1984).</w:t>
      </w:r>
    </w:p>
  </w:footnote>
  <w:footnote w:id="4">
    <w:p w14:paraId="0E7228B6" w14:textId="5BE3CD78" w:rsidR="009E41DD" w:rsidRPr="00A41E43" w:rsidRDefault="009E41DD" w:rsidP="006306E2">
      <w:pPr>
        <w:pStyle w:val="FootnoteText"/>
        <w:spacing w:after="200" w:line="276" w:lineRule="auto"/>
      </w:pPr>
      <w:r w:rsidRPr="00A41E43">
        <w:rPr>
          <w:rStyle w:val="FootnoteReference"/>
        </w:rPr>
        <w:footnoteRef/>
      </w:r>
      <w:r w:rsidRPr="00A41E43">
        <w:t xml:space="preserve"> </w:t>
      </w:r>
      <w:bookmarkStart w:id="2" w:name="_Hlk486422288"/>
      <w:proofErr w:type="spellStart"/>
      <w:r w:rsidR="006715A4" w:rsidRPr="00A41E43">
        <w:rPr>
          <w:i/>
        </w:rPr>
        <w:t>Saluka</w:t>
      </w:r>
      <w:proofErr w:type="spellEnd"/>
      <w:r w:rsidR="006715A4" w:rsidRPr="00A41E43">
        <w:rPr>
          <w:i/>
        </w:rPr>
        <w:t xml:space="preserve"> Investments BV v</w:t>
      </w:r>
      <w:r w:rsidR="00A41E43">
        <w:rPr>
          <w:i/>
        </w:rPr>
        <w:t>.</w:t>
      </w:r>
      <w:r w:rsidR="006715A4" w:rsidRPr="00A41E43">
        <w:rPr>
          <w:i/>
        </w:rPr>
        <w:t xml:space="preserve"> Czech Republic</w:t>
      </w:r>
      <w:r w:rsidR="00A41E43">
        <w:t xml:space="preserve">, </w:t>
      </w:r>
      <w:r w:rsidR="006715A4" w:rsidRPr="00A41E43">
        <w:t xml:space="preserve">PCA—UNCITRAL, Partial Award, March </w:t>
      </w:r>
      <w:r w:rsidR="00A41E43">
        <w:t xml:space="preserve">17, </w:t>
      </w:r>
      <w:r w:rsidR="006715A4" w:rsidRPr="00A41E43">
        <w:t>2006, para. 293</w:t>
      </w:r>
      <w:bookmarkEnd w:id="2"/>
      <w:r w:rsidR="006715A4" w:rsidRPr="00A41E43">
        <w:t>.</w:t>
      </w:r>
    </w:p>
  </w:footnote>
  <w:footnote w:id="5">
    <w:p w14:paraId="4C908A95" w14:textId="5465DF71" w:rsidR="009E41DD" w:rsidRPr="00A41E43" w:rsidRDefault="009E41DD" w:rsidP="006306E2">
      <w:pPr>
        <w:pStyle w:val="FootnoteText"/>
        <w:spacing w:after="200" w:line="276" w:lineRule="auto"/>
      </w:pPr>
      <w:r w:rsidRPr="00A41E43">
        <w:rPr>
          <w:rStyle w:val="FootnoteReference"/>
        </w:rPr>
        <w:footnoteRef/>
      </w:r>
      <w:r w:rsidRPr="00A41E43">
        <w:t xml:space="preserve"> </w:t>
      </w:r>
      <w:bookmarkStart w:id="3" w:name="_Hlk486243490"/>
      <w:proofErr w:type="spellStart"/>
      <w:r w:rsidR="006715A4" w:rsidRPr="00A41E43">
        <w:t>Vandevelde</w:t>
      </w:r>
      <w:proofErr w:type="spellEnd"/>
      <w:r w:rsidR="006715A4" w:rsidRPr="00A41E43">
        <w:t>, K. J. (2010)</w:t>
      </w:r>
      <w:r w:rsidR="00A41E43">
        <w:t>.</w:t>
      </w:r>
      <w:r w:rsidR="006715A4" w:rsidRPr="00A41E43">
        <w:t xml:space="preserve"> </w:t>
      </w:r>
      <w:bookmarkStart w:id="4" w:name="_Hlk486271015"/>
      <w:r w:rsidR="006715A4" w:rsidRPr="00A41E43">
        <w:rPr>
          <w:i/>
        </w:rPr>
        <w:t xml:space="preserve">Bilateral </w:t>
      </w:r>
      <w:r w:rsidR="00A41E43" w:rsidRPr="00A41E43">
        <w:rPr>
          <w:i/>
        </w:rPr>
        <w:t>investment treaties</w:t>
      </w:r>
      <w:bookmarkEnd w:id="4"/>
      <w:r w:rsidR="006715A4" w:rsidRPr="00A41E43">
        <w:rPr>
          <w:i/>
        </w:rPr>
        <w:t xml:space="preserve">: History, </w:t>
      </w:r>
      <w:r w:rsidR="00A41E43" w:rsidRPr="00A41E43">
        <w:rPr>
          <w:i/>
        </w:rPr>
        <w:t>policy, and interpretation</w:t>
      </w:r>
      <w:r w:rsidR="00A41E43">
        <w:t>.</w:t>
      </w:r>
      <w:r w:rsidR="00B77DDE" w:rsidRPr="00A41E43">
        <w:t xml:space="preserve"> </w:t>
      </w:r>
      <w:r w:rsidR="006715A4" w:rsidRPr="00A41E43">
        <w:t>Oxford</w:t>
      </w:r>
      <w:r w:rsidR="00A41E43">
        <w:t>:</w:t>
      </w:r>
      <w:r w:rsidR="006715A4" w:rsidRPr="00A41E43">
        <w:t xml:space="preserve"> Oxford University Press</w:t>
      </w:r>
      <w:bookmarkEnd w:id="3"/>
      <w:r w:rsidR="00A41E43">
        <w:t>, p. 119</w:t>
      </w:r>
      <w:r w:rsidR="00B77DDE" w:rsidRPr="00A41E43">
        <w:t>.</w:t>
      </w:r>
      <w:r w:rsidR="006715A4" w:rsidRPr="00A41E43">
        <w:t xml:space="preserve"> </w:t>
      </w:r>
    </w:p>
  </w:footnote>
  <w:footnote w:id="6">
    <w:p w14:paraId="6021665F" w14:textId="7664ED84" w:rsidR="00BC6849" w:rsidRPr="00A41E43" w:rsidRDefault="00BC6849" w:rsidP="006306E2">
      <w:pPr>
        <w:pStyle w:val="FootnoteText"/>
        <w:spacing w:after="200" w:line="276" w:lineRule="auto"/>
      </w:pPr>
      <w:r w:rsidRPr="00A41E43">
        <w:rPr>
          <w:rStyle w:val="FootnoteReference"/>
        </w:rPr>
        <w:footnoteRef/>
      </w:r>
      <w:r w:rsidRPr="00A41E43">
        <w:t xml:space="preserve"> </w:t>
      </w:r>
      <w:bookmarkStart w:id="5" w:name="_Hlk486601504"/>
      <w:bookmarkStart w:id="6" w:name="_Hlk486621738"/>
      <w:proofErr w:type="spellStart"/>
      <w:r w:rsidR="006715A4" w:rsidRPr="00A41E43">
        <w:rPr>
          <w:lang w:val="en-US"/>
        </w:rPr>
        <w:t>Muchlinski</w:t>
      </w:r>
      <w:proofErr w:type="spellEnd"/>
      <w:r w:rsidR="006715A4" w:rsidRPr="00A41E43">
        <w:rPr>
          <w:lang w:val="en-US"/>
        </w:rPr>
        <w:t xml:space="preserve">, P., </w:t>
      </w:r>
      <w:proofErr w:type="spellStart"/>
      <w:r w:rsidR="006715A4" w:rsidRPr="00A41E43">
        <w:rPr>
          <w:lang w:val="en-US"/>
        </w:rPr>
        <w:t>Ortino</w:t>
      </w:r>
      <w:proofErr w:type="spellEnd"/>
      <w:r w:rsidR="006715A4" w:rsidRPr="00A41E43">
        <w:rPr>
          <w:lang w:val="en-US"/>
        </w:rPr>
        <w:t xml:space="preserve">, F., and </w:t>
      </w:r>
      <w:proofErr w:type="spellStart"/>
      <w:r w:rsidR="006715A4" w:rsidRPr="00A41E43">
        <w:rPr>
          <w:lang w:val="en-US"/>
        </w:rPr>
        <w:t>Schreuer</w:t>
      </w:r>
      <w:proofErr w:type="spellEnd"/>
      <w:r w:rsidR="006715A4" w:rsidRPr="00A41E43">
        <w:rPr>
          <w:lang w:val="en-US"/>
        </w:rPr>
        <w:t>, C. (Eds.)</w:t>
      </w:r>
      <w:r w:rsidR="00B77DDE" w:rsidRPr="00A41E43">
        <w:rPr>
          <w:lang w:val="en-US"/>
        </w:rPr>
        <w:t xml:space="preserve">. (2008). </w:t>
      </w:r>
      <w:r w:rsidR="006715A4" w:rsidRPr="00A41E43">
        <w:rPr>
          <w:i/>
          <w:lang w:val="en-US"/>
        </w:rPr>
        <w:t>The Oxford H</w:t>
      </w:r>
      <w:r w:rsidR="00A41E43" w:rsidRPr="00A41E43">
        <w:rPr>
          <w:i/>
          <w:lang w:val="en-US"/>
        </w:rPr>
        <w:t>andbook of international investment law</w:t>
      </w:r>
      <w:r w:rsidR="00B77DDE" w:rsidRPr="00A41E43">
        <w:rPr>
          <w:i/>
          <w:lang w:val="en-US"/>
        </w:rPr>
        <w:t xml:space="preserve">. </w:t>
      </w:r>
      <w:r w:rsidR="006715A4" w:rsidRPr="00A41E43">
        <w:rPr>
          <w:lang w:val="en-US"/>
        </w:rPr>
        <w:t>Oxford</w:t>
      </w:r>
      <w:r w:rsidR="00A41E43">
        <w:t>:</w:t>
      </w:r>
      <w:r w:rsidR="006715A4" w:rsidRPr="00A41E43">
        <w:t xml:space="preserve"> </w:t>
      </w:r>
      <w:r w:rsidR="006715A4" w:rsidRPr="00A41E43">
        <w:rPr>
          <w:lang w:val="en-US"/>
        </w:rPr>
        <w:t>Oxford University Press</w:t>
      </w:r>
      <w:r w:rsidR="00B77DDE" w:rsidRPr="00A41E43">
        <w:rPr>
          <w:lang w:val="en-US"/>
        </w:rPr>
        <w:t>, p.</w:t>
      </w:r>
      <w:r w:rsidR="006715A4" w:rsidRPr="00A41E43">
        <w:t xml:space="preserve"> </w:t>
      </w:r>
      <w:bookmarkEnd w:id="5"/>
      <w:r w:rsidR="006715A4" w:rsidRPr="00A41E43">
        <w:rPr>
          <w:lang w:val="en-US"/>
        </w:rPr>
        <w:t>vi</w:t>
      </w:r>
      <w:bookmarkEnd w:id="6"/>
      <w:r w:rsidR="00B77DDE" w:rsidRPr="00A41E43">
        <w:rPr>
          <w:lang w:val="en-US"/>
        </w:rPr>
        <w:t>.</w:t>
      </w:r>
    </w:p>
  </w:footnote>
  <w:footnote w:id="7">
    <w:p w14:paraId="7C612818" w14:textId="260F0EAC" w:rsidR="00032F3D" w:rsidRPr="00A41E43" w:rsidRDefault="00032F3D" w:rsidP="006306E2">
      <w:pPr>
        <w:pStyle w:val="FootnoteText"/>
        <w:spacing w:after="200" w:line="276" w:lineRule="auto"/>
      </w:pPr>
      <w:r w:rsidRPr="00A41E43">
        <w:rPr>
          <w:rStyle w:val="FootnoteReference"/>
        </w:rPr>
        <w:footnoteRef/>
      </w:r>
      <w:r w:rsidRPr="00A41E43">
        <w:t xml:space="preserve"> </w:t>
      </w:r>
      <w:proofErr w:type="spellStart"/>
      <w:r w:rsidRPr="00A41E43">
        <w:t>Schill</w:t>
      </w:r>
      <w:proofErr w:type="spellEnd"/>
      <w:r w:rsidR="00B77DDE" w:rsidRPr="00A41E43">
        <w:t>, S.</w:t>
      </w:r>
      <w:r w:rsidR="00DF1B91">
        <w:t xml:space="preserve"> </w:t>
      </w:r>
      <w:r w:rsidR="00B77DDE" w:rsidRPr="00A41E43">
        <w:t xml:space="preserve">W. (2009). </w:t>
      </w:r>
      <w:r w:rsidR="00B77DDE" w:rsidRPr="00A41E43">
        <w:rPr>
          <w:i/>
          <w:lang w:val="en-US"/>
        </w:rPr>
        <w:t xml:space="preserve">The </w:t>
      </w:r>
      <w:r w:rsidR="00DF1B91" w:rsidRPr="00A41E43">
        <w:rPr>
          <w:i/>
          <w:lang w:val="en-US"/>
        </w:rPr>
        <w:t>multilateralization of international investment law</w:t>
      </w:r>
      <w:r w:rsidR="00561AFB" w:rsidRPr="00A41E43">
        <w:rPr>
          <w:lang w:val="en-US"/>
        </w:rPr>
        <w:t>.</w:t>
      </w:r>
      <w:r w:rsidR="00B77DDE" w:rsidRPr="00A41E43">
        <w:rPr>
          <w:lang w:val="en-US"/>
        </w:rPr>
        <w:t xml:space="preserve"> </w:t>
      </w:r>
      <w:r w:rsidR="00B77DDE" w:rsidRPr="00A41E43">
        <w:t>Cambridge</w:t>
      </w:r>
      <w:r w:rsidR="00DF1B91">
        <w:t>:</w:t>
      </w:r>
      <w:r w:rsidR="00B77DDE" w:rsidRPr="00A41E43">
        <w:t xml:space="preserve"> </w:t>
      </w:r>
      <w:r w:rsidR="00B77DDE" w:rsidRPr="00A41E43">
        <w:rPr>
          <w:lang w:val="en-US"/>
        </w:rPr>
        <w:t>Cambridge University Press</w:t>
      </w:r>
      <w:r w:rsidR="00DF1B91">
        <w:rPr>
          <w:lang w:val="en-US"/>
        </w:rPr>
        <w:t>, p. 377</w:t>
      </w:r>
      <w:r w:rsidR="00B77DDE" w:rsidRPr="00A41E43">
        <w:rPr>
          <w:lang w:val="en-US"/>
        </w:rPr>
        <w:t>.</w:t>
      </w:r>
    </w:p>
  </w:footnote>
  <w:footnote w:id="8">
    <w:p w14:paraId="19C5725B" w14:textId="5FC11393" w:rsidR="00CD2E0C" w:rsidRDefault="00CD2E0C">
      <w:pPr>
        <w:pStyle w:val="FootnoteText"/>
      </w:pPr>
      <w:r>
        <w:rPr>
          <w:rStyle w:val="FootnoteReference"/>
        </w:rPr>
        <w:footnoteRef/>
      </w:r>
      <w:r>
        <w:t xml:space="preserve"> </w:t>
      </w:r>
      <w:r w:rsidR="00BD1F56">
        <w:rPr>
          <w:i/>
          <w:iCs/>
        </w:rPr>
        <w:t xml:space="preserve">Metalclad Corporation v Mexico, </w:t>
      </w:r>
      <w:r w:rsidR="00BD1F56">
        <w:rPr>
          <w:iCs/>
        </w:rPr>
        <w:t xml:space="preserve">Award, August 25, 2000, ICSID Case No ARB (AF)/97/1; </w:t>
      </w:r>
      <w:proofErr w:type="spellStart"/>
      <w:r w:rsidR="00BD1F56">
        <w:rPr>
          <w:i/>
          <w:iCs/>
        </w:rPr>
        <w:t>Técnicas</w:t>
      </w:r>
      <w:proofErr w:type="spellEnd"/>
      <w:r w:rsidR="00BD1F56">
        <w:rPr>
          <w:i/>
          <w:iCs/>
        </w:rPr>
        <w:t xml:space="preserve"> </w:t>
      </w:r>
      <w:proofErr w:type="spellStart"/>
      <w:r w:rsidR="00BD1F56">
        <w:rPr>
          <w:i/>
          <w:iCs/>
        </w:rPr>
        <w:t>Medioambientales</w:t>
      </w:r>
      <w:proofErr w:type="spellEnd"/>
      <w:r w:rsidR="00BD1F56">
        <w:rPr>
          <w:i/>
          <w:iCs/>
        </w:rPr>
        <w:t xml:space="preserve"> </w:t>
      </w:r>
      <w:proofErr w:type="spellStart"/>
      <w:r w:rsidR="00BD1F56">
        <w:rPr>
          <w:i/>
          <w:iCs/>
        </w:rPr>
        <w:t>Tecmed</w:t>
      </w:r>
      <w:proofErr w:type="spellEnd"/>
      <w:r w:rsidR="00BD1F56">
        <w:rPr>
          <w:i/>
          <w:iCs/>
        </w:rPr>
        <w:t xml:space="preserve"> SA v Mexico, </w:t>
      </w:r>
      <w:r w:rsidR="00BD1F56">
        <w:rPr>
          <w:iCs/>
        </w:rPr>
        <w:t xml:space="preserve">Award, May 29, 2003, Case ARB(AF)/00/2; </w:t>
      </w:r>
      <w:r w:rsidR="00BD1F56">
        <w:rPr>
          <w:i/>
        </w:rPr>
        <w:t xml:space="preserve">Occidental Exploration and Production Company v Ecuador, </w:t>
      </w:r>
      <w:r w:rsidR="00BD1F56">
        <w:t>Award, July 1, 2004, LCIA Case No UN 3467,</w:t>
      </w:r>
    </w:p>
    <w:p w14:paraId="6C8E1365" w14:textId="77777777" w:rsidR="00BD1F56" w:rsidRDefault="00BD1F56">
      <w:pPr>
        <w:pStyle w:val="FootnoteText"/>
      </w:pPr>
    </w:p>
  </w:footnote>
  <w:footnote w:id="9">
    <w:p w14:paraId="6793CE8B" w14:textId="34C0374E" w:rsidR="000E6252" w:rsidRPr="00534D40" w:rsidRDefault="00534D40" w:rsidP="006306E2">
      <w:pPr>
        <w:pStyle w:val="FootnoteText"/>
        <w:spacing w:after="200" w:line="276" w:lineRule="auto"/>
        <w:rPr>
          <w:lang w:val="en-US"/>
        </w:rPr>
      </w:pPr>
      <w:r>
        <w:rPr>
          <w:rStyle w:val="FootnoteReference"/>
        </w:rPr>
        <w:footnoteRef/>
      </w:r>
      <w:r>
        <w:t xml:space="preserve"> See, for instance, </w:t>
      </w:r>
      <w:r w:rsidRPr="00534D40">
        <w:rPr>
          <w:i/>
          <w:lang w:val="en-US"/>
        </w:rPr>
        <w:t>AMTO v Ukraine</w:t>
      </w:r>
      <w:r>
        <w:rPr>
          <w:lang w:val="en-US"/>
        </w:rPr>
        <w:t>, Final Award</w:t>
      </w:r>
      <w:r w:rsidRPr="00534D40">
        <w:rPr>
          <w:lang w:val="en-US"/>
        </w:rPr>
        <w:t xml:space="preserve">, March </w:t>
      </w:r>
      <w:r w:rsidR="006306E2">
        <w:rPr>
          <w:lang w:val="en-US"/>
        </w:rPr>
        <w:t xml:space="preserve">26, </w:t>
      </w:r>
      <w:r w:rsidRPr="00534D40">
        <w:rPr>
          <w:lang w:val="en-US"/>
        </w:rPr>
        <w:t>2008, SCC Case No 080/2005, para</w:t>
      </w:r>
      <w:r w:rsidR="006306E2">
        <w:rPr>
          <w:lang w:val="en-US"/>
        </w:rPr>
        <w:t>.</w:t>
      </w:r>
      <w:r>
        <w:rPr>
          <w:lang w:val="en-US"/>
        </w:rPr>
        <w:t xml:space="preserve"> 87 (the tribunal construed the effective means standard as requiring that national laws must be not only accessible but also effective).</w:t>
      </w:r>
    </w:p>
  </w:footnote>
  <w:footnote w:id="10">
    <w:p w14:paraId="5795FA1C" w14:textId="77777777" w:rsidR="00B049B4" w:rsidRPr="000E6252" w:rsidRDefault="00B049B4" w:rsidP="006306E2">
      <w:pPr>
        <w:spacing w:after="200"/>
        <w:rPr>
          <w:iCs/>
          <w:sz w:val="20"/>
          <w:szCs w:val="20"/>
        </w:rPr>
      </w:pPr>
      <w:r w:rsidRPr="000E6252">
        <w:rPr>
          <w:rStyle w:val="FootnoteReference"/>
          <w:sz w:val="20"/>
          <w:szCs w:val="20"/>
        </w:rPr>
        <w:footnoteRef/>
      </w:r>
      <w:r w:rsidRPr="000E6252">
        <w:rPr>
          <w:sz w:val="20"/>
          <w:szCs w:val="20"/>
        </w:rPr>
        <w:t xml:space="preserve"> See </w:t>
      </w:r>
      <w:proofErr w:type="spellStart"/>
      <w:r w:rsidRPr="000E6252">
        <w:rPr>
          <w:sz w:val="20"/>
          <w:szCs w:val="20"/>
        </w:rPr>
        <w:t>Dolzer</w:t>
      </w:r>
      <w:proofErr w:type="spellEnd"/>
      <w:r w:rsidRPr="000E6252">
        <w:rPr>
          <w:sz w:val="20"/>
          <w:szCs w:val="20"/>
        </w:rPr>
        <w:t xml:space="preserve">, R. (2005). The </w:t>
      </w:r>
      <w:r w:rsidR="00A205FD" w:rsidRPr="000E6252">
        <w:rPr>
          <w:sz w:val="20"/>
          <w:szCs w:val="20"/>
        </w:rPr>
        <w:t xml:space="preserve">impact of international investment treaties on domestic administrative </w:t>
      </w:r>
      <w:r w:rsidR="00A205FD">
        <w:rPr>
          <w:sz w:val="20"/>
          <w:szCs w:val="20"/>
        </w:rPr>
        <w:t>la</w:t>
      </w:r>
      <w:r w:rsidR="000E6252">
        <w:rPr>
          <w:sz w:val="20"/>
          <w:szCs w:val="20"/>
        </w:rPr>
        <w:t>w,</w:t>
      </w:r>
      <w:r w:rsidRPr="000E6252">
        <w:rPr>
          <w:sz w:val="20"/>
          <w:szCs w:val="20"/>
        </w:rPr>
        <w:t xml:space="preserve"> </w:t>
      </w:r>
      <w:r w:rsidR="000E6252" w:rsidRPr="000E6252">
        <w:rPr>
          <w:i/>
          <w:iCs/>
          <w:sz w:val="20"/>
          <w:szCs w:val="20"/>
        </w:rPr>
        <w:t>New York University Journal of International Law and Policy</w:t>
      </w:r>
      <w:r w:rsidR="000E6252">
        <w:rPr>
          <w:i/>
          <w:iCs/>
          <w:sz w:val="20"/>
          <w:szCs w:val="20"/>
        </w:rPr>
        <w:t>,</w:t>
      </w:r>
      <w:r w:rsidR="000E6252" w:rsidRPr="000E6252">
        <w:rPr>
          <w:i/>
          <w:iCs/>
          <w:sz w:val="20"/>
          <w:szCs w:val="20"/>
        </w:rPr>
        <w:t xml:space="preserve"> </w:t>
      </w:r>
      <w:r w:rsidRPr="00D61E27">
        <w:rPr>
          <w:i/>
          <w:sz w:val="20"/>
          <w:szCs w:val="20"/>
        </w:rPr>
        <w:t>37</w:t>
      </w:r>
      <w:r w:rsidR="000E6252">
        <w:rPr>
          <w:sz w:val="20"/>
          <w:szCs w:val="20"/>
        </w:rPr>
        <w:t xml:space="preserve">, </w:t>
      </w:r>
      <w:r w:rsidRPr="000E6252">
        <w:rPr>
          <w:sz w:val="20"/>
          <w:szCs w:val="20"/>
        </w:rPr>
        <w:t xml:space="preserve">972; </w:t>
      </w:r>
      <w:proofErr w:type="spellStart"/>
      <w:r w:rsidRPr="000E6252">
        <w:rPr>
          <w:sz w:val="20"/>
          <w:szCs w:val="20"/>
        </w:rPr>
        <w:t>Schill</w:t>
      </w:r>
      <w:proofErr w:type="spellEnd"/>
      <w:r w:rsidRPr="000E6252">
        <w:rPr>
          <w:sz w:val="20"/>
          <w:szCs w:val="20"/>
        </w:rPr>
        <w:t xml:space="preserve">, S.W. (2009). </w:t>
      </w:r>
      <w:r w:rsidRPr="000E6252">
        <w:rPr>
          <w:i/>
          <w:iCs/>
          <w:sz w:val="20"/>
          <w:szCs w:val="20"/>
        </w:rPr>
        <w:t xml:space="preserve">The </w:t>
      </w:r>
      <w:r w:rsidR="00A205FD">
        <w:rPr>
          <w:i/>
          <w:iCs/>
          <w:sz w:val="20"/>
          <w:szCs w:val="20"/>
        </w:rPr>
        <w:t>m</w:t>
      </w:r>
      <w:r w:rsidR="00A205FD" w:rsidRPr="000E6252">
        <w:rPr>
          <w:i/>
          <w:iCs/>
          <w:sz w:val="20"/>
          <w:szCs w:val="20"/>
        </w:rPr>
        <w:t>ultilateralization of international investment l</w:t>
      </w:r>
      <w:r w:rsidRPr="000E6252">
        <w:rPr>
          <w:i/>
          <w:iCs/>
          <w:sz w:val="20"/>
          <w:szCs w:val="20"/>
        </w:rPr>
        <w:t xml:space="preserve">aw. </w:t>
      </w:r>
      <w:r w:rsidRPr="000E6252">
        <w:rPr>
          <w:sz w:val="20"/>
          <w:szCs w:val="20"/>
        </w:rPr>
        <w:t xml:space="preserve">Cambridge: </w:t>
      </w:r>
      <w:r w:rsidR="000E6252">
        <w:rPr>
          <w:sz w:val="20"/>
          <w:szCs w:val="20"/>
        </w:rPr>
        <w:t>Cambridge University Press</w:t>
      </w:r>
      <w:r w:rsidR="000E6252" w:rsidRPr="000E6252">
        <w:rPr>
          <w:sz w:val="20"/>
          <w:szCs w:val="20"/>
        </w:rPr>
        <w:t xml:space="preserve">, p. </w:t>
      </w:r>
      <w:r w:rsidRPr="000E6252">
        <w:rPr>
          <w:sz w:val="20"/>
          <w:szCs w:val="20"/>
        </w:rPr>
        <w:t xml:space="preserve">377; and </w:t>
      </w:r>
      <w:proofErr w:type="spellStart"/>
      <w:r w:rsidR="000E6252" w:rsidRPr="000E6252">
        <w:rPr>
          <w:sz w:val="20"/>
          <w:szCs w:val="20"/>
        </w:rPr>
        <w:t>Echandi</w:t>
      </w:r>
      <w:proofErr w:type="spellEnd"/>
      <w:r w:rsidR="000E6252" w:rsidRPr="000E6252">
        <w:rPr>
          <w:sz w:val="20"/>
          <w:szCs w:val="20"/>
        </w:rPr>
        <w:t xml:space="preserve">, R. (2011). </w:t>
      </w:r>
      <w:r w:rsidRPr="000E6252">
        <w:rPr>
          <w:sz w:val="20"/>
          <w:szCs w:val="20"/>
        </w:rPr>
        <w:t xml:space="preserve">What </w:t>
      </w:r>
      <w:r w:rsidR="00A205FD" w:rsidRPr="000E6252">
        <w:rPr>
          <w:sz w:val="20"/>
          <w:szCs w:val="20"/>
        </w:rPr>
        <w:t>do developing countries expect from the international investment</w:t>
      </w:r>
      <w:r w:rsidR="00A205FD">
        <w:rPr>
          <w:sz w:val="20"/>
          <w:szCs w:val="20"/>
        </w:rPr>
        <w:t xml:space="preserve"> </w:t>
      </w:r>
      <w:r w:rsidR="00A205FD" w:rsidRPr="000E6252">
        <w:rPr>
          <w:sz w:val="20"/>
          <w:szCs w:val="20"/>
        </w:rPr>
        <w:t>regime</w:t>
      </w:r>
      <w:r w:rsidRPr="000E6252">
        <w:rPr>
          <w:sz w:val="20"/>
          <w:szCs w:val="20"/>
        </w:rPr>
        <w:t xml:space="preserve">? </w:t>
      </w:r>
      <w:r w:rsidR="000E6252" w:rsidRPr="000E6252">
        <w:rPr>
          <w:sz w:val="20"/>
          <w:szCs w:val="20"/>
        </w:rPr>
        <w:t xml:space="preserve">In </w:t>
      </w:r>
      <w:r w:rsidRPr="000E6252">
        <w:rPr>
          <w:sz w:val="20"/>
          <w:szCs w:val="20"/>
        </w:rPr>
        <w:t>Alvarez</w:t>
      </w:r>
      <w:r w:rsidR="000E6252" w:rsidRPr="000E6252">
        <w:rPr>
          <w:sz w:val="20"/>
          <w:szCs w:val="20"/>
        </w:rPr>
        <w:t>, J.</w:t>
      </w:r>
      <w:r w:rsidR="00A205FD">
        <w:rPr>
          <w:sz w:val="20"/>
          <w:szCs w:val="20"/>
        </w:rPr>
        <w:t xml:space="preserve"> </w:t>
      </w:r>
      <w:r w:rsidR="000E6252" w:rsidRPr="000E6252">
        <w:rPr>
          <w:sz w:val="20"/>
          <w:szCs w:val="20"/>
        </w:rPr>
        <w:t xml:space="preserve">E. &amp; </w:t>
      </w:r>
      <w:proofErr w:type="spellStart"/>
      <w:r w:rsidRPr="000E6252">
        <w:rPr>
          <w:sz w:val="20"/>
          <w:szCs w:val="20"/>
        </w:rPr>
        <w:t>Sauvant</w:t>
      </w:r>
      <w:proofErr w:type="spellEnd"/>
      <w:r w:rsidR="000E6252" w:rsidRPr="000E6252">
        <w:rPr>
          <w:sz w:val="20"/>
          <w:szCs w:val="20"/>
        </w:rPr>
        <w:t>, K.</w:t>
      </w:r>
      <w:r w:rsidR="00A205FD">
        <w:rPr>
          <w:sz w:val="20"/>
          <w:szCs w:val="20"/>
        </w:rPr>
        <w:t xml:space="preserve"> </w:t>
      </w:r>
      <w:r w:rsidR="000E6252" w:rsidRPr="000E6252">
        <w:rPr>
          <w:sz w:val="20"/>
          <w:szCs w:val="20"/>
        </w:rPr>
        <w:t>P.</w:t>
      </w:r>
      <w:r w:rsidRPr="000E6252">
        <w:rPr>
          <w:sz w:val="20"/>
          <w:szCs w:val="20"/>
        </w:rPr>
        <w:t xml:space="preserve"> (</w:t>
      </w:r>
      <w:r w:rsidR="00A205FD">
        <w:rPr>
          <w:sz w:val="20"/>
          <w:szCs w:val="20"/>
        </w:rPr>
        <w:t>E</w:t>
      </w:r>
      <w:r w:rsidRPr="000E6252">
        <w:rPr>
          <w:sz w:val="20"/>
          <w:szCs w:val="20"/>
        </w:rPr>
        <w:t>ds</w:t>
      </w:r>
      <w:r w:rsidR="000E6252" w:rsidRPr="000E6252">
        <w:rPr>
          <w:sz w:val="20"/>
          <w:szCs w:val="20"/>
        </w:rPr>
        <w:t>.</w:t>
      </w:r>
      <w:r w:rsidRPr="000E6252">
        <w:rPr>
          <w:sz w:val="20"/>
          <w:szCs w:val="20"/>
        </w:rPr>
        <w:t xml:space="preserve">), </w:t>
      </w:r>
      <w:r w:rsidRPr="000E6252">
        <w:rPr>
          <w:i/>
          <w:iCs/>
          <w:sz w:val="20"/>
          <w:szCs w:val="20"/>
        </w:rPr>
        <w:t xml:space="preserve">The </w:t>
      </w:r>
      <w:r w:rsidR="00A205FD" w:rsidRPr="000E6252">
        <w:rPr>
          <w:i/>
          <w:iCs/>
          <w:sz w:val="20"/>
          <w:szCs w:val="20"/>
        </w:rPr>
        <w:t xml:space="preserve">evolving international investment </w:t>
      </w:r>
      <w:r w:rsidR="000E6252" w:rsidRPr="000E6252">
        <w:rPr>
          <w:i/>
          <w:iCs/>
          <w:sz w:val="20"/>
          <w:szCs w:val="20"/>
        </w:rPr>
        <w:t>Regime</w:t>
      </w:r>
      <w:r w:rsidRPr="000E6252">
        <w:rPr>
          <w:i/>
          <w:iCs/>
          <w:sz w:val="20"/>
          <w:szCs w:val="20"/>
        </w:rPr>
        <w:t>: E</w:t>
      </w:r>
      <w:r w:rsidR="000E6252" w:rsidRPr="000E6252">
        <w:rPr>
          <w:i/>
          <w:iCs/>
          <w:sz w:val="20"/>
          <w:szCs w:val="20"/>
        </w:rPr>
        <w:t xml:space="preserve">xpectations, </w:t>
      </w:r>
      <w:r w:rsidR="00A205FD" w:rsidRPr="000E6252">
        <w:rPr>
          <w:i/>
          <w:iCs/>
          <w:sz w:val="20"/>
          <w:szCs w:val="20"/>
        </w:rPr>
        <w:t>realities, options</w:t>
      </w:r>
      <w:r w:rsidR="000E6252" w:rsidRPr="000E6252">
        <w:rPr>
          <w:i/>
          <w:iCs/>
          <w:sz w:val="20"/>
          <w:szCs w:val="20"/>
        </w:rPr>
        <w:t xml:space="preserve"> </w:t>
      </w:r>
      <w:r w:rsidR="000E6252">
        <w:rPr>
          <w:iCs/>
          <w:sz w:val="20"/>
          <w:szCs w:val="20"/>
        </w:rPr>
        <w:t>(pp.</w:t>
      </w:r>
      <w:r w:rsidR="00A205FD">
        <w:rPr>
          <w:iCs/>
          <w:sz w:val="20"/>
          <w:szCs w:val="20"/>
        </w:rPr>
        <w:t xml:space="preserve"> </w:t>
      </w:r>
      <w:r w:rsidR="000E6252" w:rsidRPr="000E6252">
        <w:rPr>
          <w:iCs/>
          <w:sz w:val="20"/>
          <w:szCs w:val="20"/>
        </w:rPr>
        <w:t>3</w:t>
      </w:r>
      <w:r w:rsidR="00A205FD">
        <w:rPr>
          <w:iCs/>
          <w:sz w:val="20"/>
          <w:szCs w:val="20"/>
        </w:rPr>
        <w:t>–</w:t>
      </w:r>
      <w:r w:rsidR="000E6252">
        <w:rPr>
          <w:iCs/>
          <w:sz w:val="20"/>
          <w:szCs w:val="20"/>
        </w:rPr>
        <w:t>21</w:t>
      </w:r>
      <w:r w:rsidR="000E6252" w:rsidRPr="000E6252">
        <w:rPr>
          <w:iCs/>
          <w:sz w:val="20"/>
          <w:szCs w:val="20"/>
        </w:rPr>
        <w:t>)</w:t>
      </w:r>
      <w:r w:rsidR="00EE0904">
        <w:rPr>
          <w:iCs/>
          <w:sz w:val="20"/>
          <w:szCs w:val="20"/>
        </w:rPr>
        <w:t>.</w:t>
      </w:r>
      <w:r w:rsidR="000E6252" w:rsidRPr="000E6252">
        <w:rPr>
          <w:iCs/>
          <w:sz w:val="20"/>
          <w:szCs w:val="20"/>
        </w:rPr>
        <w:t xml:space="preserve"> </w:t>
      </w:r>
      <w:r w:rsidR="000E6252" w:rsidRPr="000E6252">
        <w:rPr>
          <w:sz w:val="20"/>
          <w:szCs w:val="20"/>
        </w:rPr>
        <w:t xml:space="preserve">Oxford: </w:t>
      </w:r>
      <w:r w:rsidRPr="000E6252">
        <w:rPr>
          <w:sz w:val="20"/>
          <w:szCs w:val="20"/>
        </w:rPr>
        <w:t>Oxf</w:t>
      </w:r>
      <w:r w:rsidR="000E6252" w:rsidRPr="000E6252">
        <w:rPr>
          <w:sz w:val="20"/>
          <w:szCs w:val="20"/>
        </w:rPr>
        <w:t>ord University Press.</w:t>
      </w:r>
    </w:p>
  </w:footnote>
  <w:footnote w:id="11">
    <w:p w14:paraId="364C1BE7" w14:textId="680A3C33" w:rsidR="00DD5745" w:rsidRPr="00A41E43" w:rsidRDefault="00DD5745" w:rsidP="006306E2">
      <w:pPr>
        <w:pStyle w:val="CommentText"/>
        <w:spacing w:after="200" w:line="276" w:lineRule="auto"/>
      </w:pPr>
      <w:r w:rsidRPr="00A41E43">
        <w:rPr>
          <w:rStyle w:val="FootnoteReference"/>
        </w:rPr>
        <w:footnoteRef/>
      </w:r>
      <w:r w:rsidRPr="00A41E43">
        <w:t xml:space="preserve"> </w:t>
      </w:r>
      <w:r w:rsidR="00D658AF" w:rsidRPr="00A41E43">
        <w:t xml:space="preserve">See Sattorova, M. (2018). </w:t>
      </w:r>
      <w:r w:rsidR="00D658AF" w:rsidRPr="00E04ED9">
        <w:rPr>
          <w:i/>
        </w:rPr>
        <w:t xml:space="preserve">The </w:t>
      </w:r>
      <w:r w:rsidR="00DF1B91" w:rsidRPr="00DF1B91">
        <w:rPr>
          <w:i/>
        </w:rPr>
        <w:t>impact of investment treaty law on host states</w:t>
      </w:r>
      <w:r w:rsidR="00D658AF" w:rsidRPr="00E04ED9">
        <w:rPr>
          <w:i/>
        </w:rPr>
        <w:t xml:space="preserve">: Enabling </w:t>
      </w:r>
      <w:r w:rsidR="00DF1B91" w:rsidRPr="00DF1B91">
        <w:rPr>
          <w:i/>
        </w:rPr>
        <w:t>good governance</w:t>
      </w:r>
      <w:r w:rsidR="00D658AF" w:rsidRPr="00E04ED9">
        <w:rPr>
          <w:i/>
        </w:rPr>
        <w:t>?</w:t>
      </w:r>
      <w:r w:rsidR="00561AFB" w:rsidRPr="00A41E43">
        <w:t xml:space="preserve"> Oxford</w:t>
      </w:r>
      <w:r w:rsidR="00DF1B91">
        <w:t>:</w:t>
      </w:r>
      <w:r w:rsidR="00561AFB" w:rsidRPr="00A41E43">
        <w:t xml:space="preserve"> Hart Publishing.</w:t>
      </w:r>
      <w:r w:rsidR="00534D40">
        <w:t xml:space="preserve"> </w:t>
      </w:r>
      <w:r w:rsidR="006306E2">
        <w:t xml:space="preserve">See also Van </w:t>
      </w:r>
      <w:proofErr w:type="spellStart"/>
      <w:r w:rsidR="006306E2">
        <w:t>Harten</w:t>
      </w:r>
      <w:proofErr w:type="spellEnd"/>
      <w:r w:rsidR="006306E2">
        <w:t xml:space="preserve">, G. &amp; Scott, D N. (2017). Investment treaties and the internal vetting of regulatory proposals: A case study from Canada. </w:t>
      </w:r>
      <w:r w:rsidR="006306E2">
        <w:rPr>
          <w:i/>
        </w:rPr>
        <w:t>Investment Treaty News</w:t>
      </w:r>
      <w:r w:rsidR="006306E2">
        <w:t xml:space="preserve">, </w:t>
      </w:r>
      <w:r w:rsidR="006306E2">
        <w:rPr>
          <w:i/>
        </w:rPr>
        <w:t>8</w:t>
      </w:r>
      <w:r w:rsidR="006306E2">
        <w:t>(3), 8–9.</w:t>
      </w:r>
      <w:r w:rsidR="006306E2">
        <w:rPr>
          <w:i/>
        </w:rPr>
        <w:t xml:space="preserve"> </w:t>
      </w:r>
      <w:r w:rsidR="006306E2">
        <w:t xml:space="preserve">Retrieved from </w:t>
      </w:r>
      <w:hyperlink r:id="rId1" w:history="1">
        <w:r w:rsidR="006306E2" w:rsidRPr="00BA0C1B">
          <w:rPr>
            <w:rStyle w:val="Hyperlink"/>
          </w:rPr>
          <w:t>https://www.iisd.org/itn/2017/09/26/investment-treaties-internal-vetting-regulatory-proposals-case-study-from-canada-gus-van-harten-dayna-nadine-scott</w:t>
        </w:r>
      </w:hyperlink>
    </w:p>
  </w:footnote>
  <w:footnote w:id="12">
    <w:p w14:paraId="20D73813" w14:textId="28BC2083" w:rsidR="00A106B6" w:rsidRPr="00A41E43" w:rsidRDefault="00A106B6" w:rsidP="006306E2">
      <w:pPr>
        <w:spacing w:after="200"/>
        <w:rPr>
          <w:sz w:val="20"/>
          <w:szCs w:val="20"/>
        </w:rPr>
      </w:pPr>
      <w:r w:rsidRPr="00A41E43">
        <w:rPr>
          <w:rStyle w:val="FootnoteReference"/>
          <w:sz w:val="20"/>
          <w:szCs w:val="20"/>
        </w:rPr>
        <w:footnoteRef/>
      </w:r>
      <w:r w:rsidRPr="00A41E43">
        <w:rPr>
          <w:sz w:val="20"/>
          <w:szCs w:val="20"/>
        </w:rPr>
        <w:t xml:space="preserve"> </w:t>
      </w:r>
      <w:r w:rsidR="00561AFB" w:rsidRPr="00A41E43">
        <w:rPr>
          <w:sz w:val="20"/>
          <w:szCs w:val="20"/>
        </w:rPr>
        <w:t xml:space="preserve">Tom Ginsburg </w:t>
      </w:r>
      <w:r w:rsidR="00561AFB" w:rsidRPr="00A41E43">
        <w:rPr>
          <w:sz w:val="20"/>
          <w:szCs w:val="20"/>
          <w:lang w:val="en-US"/>
        </w:rPr>
        <w:t xml:space="preserve">has convincingly shown that the availability of </w:t>
      </w:r>
      <w:r w:rsidR="00BB6B2E">
        <w:rPr>
          <w:sz w:val="20"/>
          <w:szCs w:val="20"/>
          <w:lang w:val="en-US"/>
        </w:rPr>
        <w:t>ISDS</w:t>
      </w:r>
      <w:r w:rsidR="00561AFB" w:rsidRPr="00A41E43">
        <w:rPr>
          <w:sz w:val="20"/>
          <w:szCs w:val="20"/>
          <w:lang w:val="en-US"/>
        </w:rPr>
        <w:t xml:space="preserve"> at the international level reduce</w:t>
      </w:r>
      <w:r w:rsidR="00BB6B2E">
        <w:rPr>
          <w:sz w:val="20"/>
          <w:szCs w:val="20"/>
          <w:lang w:val="en-US"/>
        </w:rPr>
        <w:t>s</w:t>
      </w:r>
      <w:r w:rsidR="00561AFB" w:rsidRPr="00A41E43">
        <w:rPr>
          <w:sz w:val="20"/>
          <w:szCs w:val="20"/>
          <w:lang w:val="en-US"/>
        </w:rPr>
        <w:t xml:space="preserve"> incentives for host states to improve domestic governance mechanisms and practices. See Ginsburg, T. (2005). International </w:t>
      </w:r>
      <w:r w:rsidR="00BB6B2E" w:rsidRPr="00A41E43">
        <w:rPr>
          <w:sz w:val="20"/>
          <w:szCs w:val="20"/>
          <w:lang w:val="en-US"/>
        </w:rPr>
        <w:t>substitutes for domestic institutions</w:t>
      </w:r>
      <w:r w:rsidR="00561AFB" w:rsidRPr="00A41E43">
        <w:rPr>
          <w:sz w:val="20"/>
          <w:szCs w:val="20"/>
          <w:lang w:val="en-US"/>
        </w:rPr>
        <w:t xml:space="preserve">: Bilateral </w:t>
      </w:r>
      <w:r w:rsidR="00BB6B2E" w:rsidRPr="00A41E43">
        <w:rPr>
          <w:sz w:val="20"/>
          <w:szCs w:val="20"/>
          <w:lang w:val="en-US"/>
        </w:rPr>
        <w:t>investment treaties and governance</w:t>
      </w:r>
      <w:r w:rsidR="00561AFB" w:rsidRPr="00A41E43">
        <w:rPr>
          <w:sz w:val="20"/>
          <w:szCs w:val="20"/>
          <w:lang w:val="en-US"/>
        </w:rPr>
        <w:t xml:space="preserve">. </w:t>
      </w:r>
      <w:r w:rsidR="00561AFB" w:rsidRPr="00A41E43">
        <w:rPr>
          <w:i/>
          <w:sz w:val="20"/>
          <w:szCs w:val="20"/>
          <w:lang w:val="en-US"/>
        </w:rPr>
        <w:t>International Review of Law and Economics</w:t>
      </w:r>
      <w:r w:rsidR="00BB6B2E">
        <w:rPr>
          <w:sz w:val="20"/>
          <w:szCs w:val="20"/>
          <w:lang w:val="en-US"/>
        </w:rPr>
        <w:t>,</w:t>
      </w:r>
      <w:r w:rsidR="00561AFB" w:rsidRPr="00A41E43">
        <w:rPr>
          <w:i/>
          <w:sz w:val="20"/>
          <w:szCs w:val="20"/>
          <w:lang w:val="en-US"/>
        </w:rPr>
        <w:t xml:space="preserve"> 25</w:t>
      </w:r>
      <w:r w:rsidR="006306E2">
        <w:rPr>
          <w:sz w:val="20"/>
          <w:szCs w:val="20"/>
          <w:lang w:val="en-US"/>
        </w:rPr>
        <w:t>(1)</w:t>
      </w:r>
      <w:r w:rsidR="006306E2" w:rsidRPr="00A41E43">
        <w:rPr>
          <w:sz w:val="20"/>
          <w:szCs w:val="20"/>
          <w:lang w:val="en-US"/>
        </w:rPr>
        <w:t xml:space="preserve">, </w:t>
      </w:r>
      <w:r w:rsidR="006306E2">
        <w:rPr>
          <w:sz w:val="20"/>
          <w:szCs w:val="20"/>
          <w:lang w:val="en-US"/>
        </w:rPr>
        <w:t>107–123, pp.</w:t>
      </w:r>
      <w:r w:rsidR="00561AFB" w:rsidRPr="00A41E43">
        <w:rPr>
          <w:sz w:val="20"/>
          <w:szCs w:val="20"/>
          <w:lang w:val="en-US"/>
        </w:rPr>
        <w:t xml:space="preserve"> 119</w:t>
      </w:r>
      <w:r w:rsidR="00BB6B2E">
        <w:rPr>
          <w:sz w:val="20"/>
          <w:szCs w:val="20"/>
          <w:lang w:val="en-US"/>
        </w:rPr>
        <w:t>–</w:t>
      </w:r>
      <w:r w:rsidR="00561AFB" w:rsidRPr="00A41E43">
        <w:rPr>
          <w:sz w:val="20"/>
          <w:szCs w:val="20"/>
          <w:lang w:val="en-US"/>
        </w:rPr>
        <w:t xml:space="preserve">121. </w:t>
      </w:r>
    </w:p>
  </w:footnote>
  <w:footnote w:id="13">
    <w:p w14:paraId="0B4ADEBA" w14:textId="2D418015" w:rsidR="00BD1F56" w:rsidRDefault="00BD1F56">
      <w:pPr>
        <w:pStyle w:val="FootnoteText"/>
      </w:pPr>
      <w:r>
        <w:rPr>
          <w:rStyle w:val="FootnoteReference"/>
        </w:rPr>
        <w:footnoteRef/>
      </w:r>
      <w:r>
        <w:t xml:space="preserve"> Investment treaty law’s failure to comply with rule of law ideals of clarity, coherence, and fair process has been discussed in</w:t>
      </w:r>
      <w:bookmarkStart w:id="7" w:name="_Hlk486417622"/>
      <w:r>
        <w:t xml:space="preserve"> Van </w:t>
      </w:r>
      <w:proofErr w:type="spellStart"/>
      <w:r>
        <w:t>Harten</w:t>
      </w:r>
      <w:proofErr w:type="spellEnd"/>
      <w:r>
        <w:t xml:space="preserve">, G. (2010). Investment Treaty Arbitration, Procedural Fairness, and the Rule of Law. In </w:t>
      </w:r>
      <w:bookmarkStart w:id="8" w:name="_Hlk486355653"/>
      <w:proofErr w:type="spellStart"/>
      <w:r>
        <w:t>Schill</w:t>
      </w:r>
      <w:proofErr w:type="spellEnd"/>
      <w:r>
        <w:t xml:space="preserve">, S.W. (Ed.), </w:t>
      </w:r>
      <w:r>
        <w:rPr>
          <w:i/>
        </w:rPr>
        <w:t>International Investment Law and Comparative Public Law</w:t>
      </w:r>
      <w:r>
        <w:t xml:space="preserve"> (pp. 627-657). Oxford: Oxford University Press</w:t>
      </w:r>
      <w:bookmarkEnd w:id="7"/>
      <w:bookmarkEnd w:id="8"/>
      <w:r>
        <w:t>.</w:t>
      </w:r>
    </w:p>
  </w:footnote>
  <w:footnote w:id="14">
    <w:p w14:paraId="7B8EEB7E" w14:textId="02C56CF9" w:rsidR="00383302" w:rsidRPr="00A41E43" w:rsidRDefault="00383302" w:rsidP="006306E2">
      <w:pPr>
        <w:pStyle w:val="FootnoteText"/>
        <w:spacing w:after="200" w:line="276" w:lineRule="auto"/>
      </w:pPr>
      <w:r w:rsidRPr="00A41E43">
        <w:rPr>
          <w:rStyle w:val="FootnoteReference"/>
        </w:rPr>
        <w:footnoteRef/>
      </w:r>
      <w:r w:rsidRPr="00A41E43">
        <w:t xml:space="preserve"> </w:t>
      </w:r>
      <w:r w:rsidR="00561AFB" w:rsidRPr="00A41E43">
        <w:t>UNCTAD</w:t>
      </w:r>
      <w:r w:rsidR="0071262D" w:rsidRPr="00A41E43">
        <w:t>. (2015).</w:t>
      </w:r>
      <w:r w:rsidR="00561AFB" w:rsidRPr="00A41E43">
        <w:t xml:space="preserve"> </w:t>
      </w:r>
      <w:r w:rsidR="00561AFB" w:rsidRPr="00E04ED9">
        <w:rPr>
          <w:i/>
        </w:rPr>
        <w:t xml:space="preserve">World </w:t>
      </w:r>
      <w:r w:rsidR="00D43A62" w:rsidRPr="00E04ED9">
        <w:rPr>
          <w:i/>
        </w:rPr>
        <w:t xml:space="preserve">investment report </w:t>
      </w:r>
      <w:r w:rsidR="00561AFB" w:rsidRPr="00E04ED9">
        <w:rPr>
          <w:i/>
        </w:rPr>
        <w:t xml:space="preserve">2015: Reforming </w:t>
      </w:r>
      <w:r w:rsidR="00D43A62" w:rsidRPr="00E04ED9">
        <w:rPr>
          <w:i/>
        </w:rPr>
        <w:t>international investment governance</w:t>
      </w:r>
      <w:r w:rsidR="00D43A62">
        <w:t>. Geneva: UNCTAD,</w:t>
      </w:r>
      <w:r w:rsidR="0071262D" w:rsidRPr="00A41E43">
        <w:t xml:space="preserve"> p. 158.</w:t>
      </w:r>
      <w:r w:rsidR="00D43A62">
        <w:t xml:space="preserve"> Retrieved from </w:t>
      </w:r>
      <w:hyperlink r:id="rId2" w:history="1">
        <w:r w:rsidR="00EE0904" w:rsidRPr="002D433C">
          <w:rPr>
            <w:rStyle w:val="Hyperlink"/>
          </w:rPr>
          <w:t>https://unctad.org/en/PublicationsLibrary/wir2015_en.pdf</w:t>
        </w:r>
      </w:hyperlink>
      <w:r w:rsidR="00EE0904">
        <w:t xml:space="preserve"> </w:t>
      </w:r>
    </w:p>
  </w:footnote>
  <w:footnote w:id="15">
    <w:p w14:paraId="34ED42A0" w14:textId="65B78A88" w:rsidR="000C2CEF" w:rsidRPr="00A41E43" w:rsidRDefault="000C2CEF" w:rsidP="006306E2">
      <w:pPr>
        <w:spacing w:after="200"/>
        <w:rPr>
          <w:sz w:val="20"/>
          <w:szCs w:val="20"/>
        </w:rPr>
      </w:pPr>
      <w:r w:rsidRPr="00A41E43">
        <w:rPr>
          <w:rStyle w:val="FootnoteReference"/>
          <w:sz w:val="20"/>
          <w:szCs w:val="20"/>
        </w:rPr>
        <w:footnoteRef/>
      </w:r>
      <w:r w:rsidR="0071262D" w:rsidRPr="00A41E43">
        <w:rPr>
          <w:sz w:val="20"/>
          <w:szCs w:val="20"/>
        </w:rPr>
        <w:t xml:space="preserve"> See e.g. </w:t>
      </w:r>
      <w:proofErr w:type="spellStart"/>
      <w:r w:rsidR="0071262D" w:rsidRPr="00A41E43">
        <w:rPr>
          <w:sz w:val="20"/>
          <w:szCs w:val="20"/>
          <w:lang w:val="en-US"/>
        </w:rPr>
        <w:t>Trebilcock</w:t>
      </w:r>
      <w:proofErr w:type="spellEnd"/>
      <w:r w:rsidR="0071262D" w:rsidRPr="00A41E43">
        <w:rPr>
          <w:sz w:val="20"/>
          <w:szCs w:val="20"/>
          <w:lang w:val="en-US"/>
        </w:rPr>
        <w:t xml:space="preserve">, M.J., and Daniels, R. J. (2008). </w:t>
      </w:r>
      <w:r w:rsidR="0071262D" w:rsidRPr="00E04ED9">
        <w:rPr>
          <w:i/>
          <w:sz w:val="20"/>
          <w:szCs w:val="20"/>
          <w:lang w:val="en-US"/>
        </w:rPr>
        <w:t xml:space="preserve">Rule of </w:t>
      </w:r>
      <w:r w:rsidR="00812642" w:rsidRPr="00E04ED9">
        <w:rPr>
          <w:i/>
          <w:sz w:val="20"/>
          <w:szCs w:val="20"/>
          <w:lang w:val="en-US"/>
        </w:rPr>
        <w:t>law reform and development</w:t>
      </w:r>
      <w:r w:rsidR="0071262D" w:rsidRPr="00E04ED9">
        <w:rPr>
          <w:i/>
          <w:sz w:val="20"/>
          <w:szCs w:val="20"/>
          <w:lang w:val="en-US"/>
        </w:rPr>
        <w:t xml:space="preserve">: Charting the </w:t>
      </w:r>
      <w:r w:rsidR="00812642" w:rsidRPr="00E04ED9">
        <w:rPr>
          <w:i/>
          <w:sz w:val="20"/>
          <w:szCs w:val="20"/>
          <w:lang w:val="en-US"/>
        </w:rPr>
        <w:t>fragile path of progress</w:t>
      </w:r>
      <w:r w:rsidR="00812642">
        <w:rPr>
          <w:sz w:val="20"/>
          <w:szCs w:val="20"/>
          <w:lang w:val="en-US"/>
        </w:rPr>
        <w:t>.</w:t>
      </w:r>
      <w:r w:rsidR="0071262D" w:rsidRPr="00A41E43">
        <w:rPr>
          <w:sz w:val="20"/>
          <w:szCs w:val="20"/>
          <w:lang w:val="en-US"/>
        </w:rPr>
        <w:t xml:space="preserve"> Cheltenham</w:t>
      </w:r>
      <w:r w:rsidR="00812642">
        <w:rPr>
          <w:sz w:val="20"/>
          <w:szCs w:val="20"/>
          <w:lang w:val="en-US"/>
        </w:rPr>
        <w:t>:</w:t>
      </w:r>
      <w:r w:rsidR="0071262D" w:rsidRPr="00A41E43">
        <w:rPr>
          <w:sz w:val="20"/>
          <w:szCs w:val="20"/>
          <w:lang w:val="en-US"/>
        </w:rPr>
        <w:t xml:space="preserve"> Edward Elgar, 2008, p. 351.</w:t>
      </w:r>
    </w:p>
  </w:footnote>
  <w:footnote w:id="16">
    <w:p w14:paraId="0D21C5BA" w14:textId="13A02C05" w:rsidR="000C2CEF" w:rsidRPr="00A41E43" w:rsidRDefault="000C2CEF" w:rsidP="006306E2">
      <w:pPr>
        <w:spacing w:after="200"/>
        <w:rPr>
          <w:sz w:val="20"/>
          <w:szCs w:val="20"/>
        </w:rPr>
      </w:pPr>
      <w:r w:rsidRPr="00A41E43">
        <w:rPr>
          <w:rStyle w:val="FootnoteReference"/>
          <w:sz w:val="20"/>
          <w:szCs w:val="20"/>
        </w:rPr>
        <w:footnoteRef/>
      </w:r>
      <w:r w:rsidRPr="00A41E43">
        <w:rPr>
          <w:sz w:val="20"/>
          <w:szCs w:val="20"/>
        </w:rPr>
        <w:t xml:space="preserve"> </w:t>
      </w:r>
      <w:r w:rsidR="006306E2" w:rsidRPr="0076741F">
        <w:rPr>
          <w:sz w:val="20"/>
          <w:szCs w:val="20"/>
          <w:lang w:val="en-US"/>
        </w:rPr>
        <w:t>Pohl</w:t>
      </w:r>
      <w:r w:rsidR="006306E2">
        <w:rPr>
          <w:sz w:val="20"/>
          <w:szCs w:val="20"/>
          <w:lang w:val="en-US"/>
        </w:rPr>
        <w:t xml:space="preserve">, J. (2018, January 18). </w:t>
      </w:r>
      <w:r w:rsidR="006306E2" w:rsidRPr="00767325">
        <w:rPr>
          <w:sz w:val="20"/>
          <w:szCs w:val="20"/>
          <w:lang w:val="en-US"/>
        </w:rPr>
        <w:t>Societal benefits and costs of international investment agreements</w:t>
      </w:r>
      <w:r w:rsidR="006306E2">
        <w:rPr>
          <w:sz w:val="20"/>
          <w:szCs w:val="20"/>
          <w:lang w:val="en-US"/>
        </w:rPr>
        <w:t xml:space="preserve">: </w:t>
      </w:r>
      <w:r w:rsidR="006306E2" w:rsidRPr="00767325">
        <w:rPr>
          <w:sz w:val="20"/>
          <w:szCs w:val="20"/>
          <w:lang w:val="en-US"/>
        </w:rPr>
        <w:t>A critical review of aspects and available empirical evidence</w:t>
      </w:r>
      <w:r w:rsidR="006306E2">
        <w:rPr>
          <w:sz w:val="20"/>
          <w:szCs w:val="20"/>
          <w:lang w:val="en-US"/>
        </w:rPr>
        <w:t xml:space="preserve">. </w:t>
      </w:r>
      <w:r w:rsidR="006306E2" w:rsidRPr="00BE1937">
        <w:rPr>
          <w:i/>
          <w:sz w:val="20"/>
          <w:szCs w:val="20"/>
          <w:lang w:val="en-US"/>
        </w:rPr>
        <w:t>OECD Working Papers on International Investment</w:t>
      </w:r>
      <w:r w:rsidR="006306E2">
        <w:rPr>
          <w:i/>
          <w:sz w:val="20"/>
          <w:szCs w:val="20"/>
          <w:lang w:val="en-US"/>
        </w:rPr>
        <w:t>, 2018/01</w:t>
      </w:r>
      <w:r w:rsidR="006306E2">
        <w:rPr>
          <w:sz w:val="20"/>
          <w:szCs w:val="20"/>
          <w:lang w:val="en-US"/>
        </w:rPr>
        <w:t xml:space="preserve">. Retrieved from </w:t>
      </w:r>
      <w:hyperlink r:id="rId3" w:history="1">
        <w:r w:rsidR="006306E2" w:rsidRPr="002D433C">
          <w:rPr>
            <w:rStyle w:val="Hyperlink"/>
            <w:sz w:val="20"/>
            <w:szCs w:val="20"/>
            <w:lang w:val="en-US"/>
          </w:rPr>
          <w:t>http://www.oecd-ilibrary.org/finance-and-investment/societal-benefits-and-costs-of-international-investment-agreements_e5f85c3d-en</w:t>
        </w:r>
      </w:hyperlink>
      <w:r w:rsidR="006306E2">
        <w:rPr>
          <w:sz w:val="20"/>
          <w:szCs w:val="20"/>
          <w:lang w:val="en-US"/>
        </w:rPr>
        <w:t xml:space="preserve">; </w:t>
      </w:r>
      <w:proofErr w:type="spellStart"/>
      <w:r w:rsidR="006306E2" w:rsidRPr="0076741F">
        <w:rPr>
          <w:sz w:val="20"/>
          <w:szCs w:val="20"/>
          <w:lang w:val="en-US"/>
        </w:rPr>
        <w:t>Bonnitcha</w:t>
      </w:r>
      <w:proofErr w:type="spellEnd"/>
      <w:r w:rsidR="006306E2" w:rsidRPr="0076741F">
        <w:rPr>
          <w:sz w:val="20"/>
          <w:szCs w:val="20"/>
          <w:lang w:val="en-US"/>
        </w:rPr>
        <w:t xml:space="preserve">, </w:t>
      </w:r>
      <w:r w:rsidR="006306E2">
        <w:rPr>
          <w:sz w:val="20"/>
          <w:szCs w:val="20"/>
          <w:lang w:val="en-US"/>
        </w:rPr>
        <w:t>J. (</w:t>
      </w:r>
      <w:r w:rsidR="006306E2" w:rsidRPr="0076741F">
        <w:rPr>
          <w:sz w:val="20"/>
          <w:szCs w:val="20"/>
          <w:lang w:val="en-US"/>
        </w:rPr>
        <w:t>2017</w:t>
      </w:r>
      <w:r w:rsidR="006306E2">
        <w:rPr>
          <w:sz w:val="20"/>
          <w:szCs w:val="20"/>
          <w:lang w:val="en-US"/>
        </w:rPr>
        <w:t>, September)</w:t>
      </w:r>
      <w:r w:rsidR="006306E2" w:rsidRPr="0076741F">
        <w:rPr>
          <w:sz w:val="20"/>
          <w:szCs w:val="20"/>
          <w:lang w:val="en-US"/>
        </w:rPr>
        <w:t xml:space="preserve">. </w:t>
      </w:r>
      <w:r w:rsidR="006306E2" w:rsidRPr="00D61E27">
        <w:rPr>
          <w:i/>
          <w:sz w:val="20"/>
          <w:szCs w:val="20"/>
          <w:lang w:val="en-US"/>
        </w:rPr>
        <w:t>Assessing the Impacts of Investment Treaties: Overview of the evidence</w:t>
      </w:r>
      <w:r w:rsidR="006306E2">
        <w:rPr>
          <w:sz w:val="20"/>
          <w:szCs w:val="20"/>
          <w:lang w:val="en-US"/>
        </w:rPr>
        <w:t xml:space="preserve">. Geneva: IISD. </w:t>
      </w:r>
      <w:r w:rsidR="006306E2" w:rsidRPr="0076741F">
        <w:rPr>
          <w:sz w:val="20"/>
          <w:szCs w:val="20"/>
          <w:lang w:val="en-US"/>
        </w:rPr>
        <w:t>Retrieved from</w:t>
      </w:r>
      <w:r w:rsidR="006306E2">
        <w:rPr>
          <w:sz w:val="20"/>
          <w:szCs w:val="20"/>
          <w:lang w:val="en-US"/>
        </w:rPr>
        <w:t xml:space="preserve"> </w:t>
      </w:r>
      <w:hyperlink r:id="rId4" w:history="1">
        <w:r w:rsidR="006306E2" w:rsidRPr="002D433C">
          <w:rPr>
            <w:rStyle w:val="Hyperlink"/>
            <w:sz w:val="20"/>
            <w:szCs w:val="20"/>
            <w:lang w:val="en-US"/>
          </w:rPr>
          <w:t>https://www.iisd.org/library/assessing-impacts-investment-treaties-overview-evidence</w:t>
        </w:r>
      </w:hyperlink>
      <w:r w:rsidR="006306E2">
        <w:rPr>
          <w:sz w:val="20"/>
          <w:szCs w:val="20"/>
          <w:lang w:val="en-US"/>
        </w:rPr>
        <w:t xml:space="preserve">; </w:t>
      </w:r>
      <w:proofErr w:type="spellStart"/>
      <w:r w:rsidR="0071262D" w:rsidRPr="00A41E43">
        <w:rPr>
          <w:sz w:val="20"/>
          <w:szCs w:val="20"/>
        </w:rPr>
        <w:t>Yackee</w:t>
      </w:r>
      <w:proofErr w:type="spellEnd"/>
      <w:r w:rsidR="0071262D" w:rsidRPr="00A41E43">
        <w:rPr>
          <w:sz w:val="20"/>
          <w:szCs w:val="20"/>
        </w:rPr>
        <w:t>, J. (2010</w:t>
      </w:r>
      <w:r w:rsidR="006306E2">
        <w:rPr>
          <w:sz w:val="20"/>
          <w:szCs w:val="20"/>
        </w:rPr>
        <w:t>–</w:t>
      </w:r>
      <w:r w:rsidR="0071262D" w:rsidRPr="00A41E43">
        <w:rPr>
          <w:sz w:val="20"/>
          <w:szCs w:val="20"/>
        </w:rPr>
        <w:t xml:space="preserve">2011). </w:t>
      </w:r>
      <w:r w:rsidR="0071262D" w:rsidRPr="00A41E43">
        <w:rPr>
          <w:sz w:val="20"/>
          <w:szCs w:val="20"/>
          <w:lang w:val="en-US"/>
        </w:rPr>
        <w:t xml:space="preserve">Do </w:t>
      </w:r>
      <w:r w:rsidR="00812642" w:rsidRPr="00A41E43">
        <w:rPr>
          <w:sz w:val="20"/>
          <w:szCs w:val="20"/>
          <w:lang w:val="en-US"/>
        </w:rPr>
        <w:t>bilateral investment treaties promote foreign direct investment</w:t>
      </w:r>
      <w:r w:rsidR="0071262D" w:rsidRPr="00A41E43">
        <w:rPr>
          <w:sz w:val="20"/>
          <w:szCs w:val="20"/>
          <w:lang w:val="en-US"/>
        </w:rPr>
        <w:t xml:space="preserve">? Some </w:t>
      </w:r>
      <w:r w:rsidR="00812642" w:rsidRPr="00A41E43">
        <w:rPr>
          <w:sz w:val="20"/>
          <w:szCs w:val="20"/>
          <w:lang w:val="en-US"/>
        </w:rPr>
        <w:t>hints from alternative evidence</w:t>
      </w:r>
      <w:r w:rsidR="0071262D" w:rsidRPr="00A41E43">
        <w:rPr>
          <w:sz w:val="20"/>
          <w:szCs w:val="20"/>
          <w:lang w:val="en-US"/>
        </w:rPr>
        <w:t xml:space="preserve">, </w:t>
      </w:r>
      <w:r w:rsidR="0071262D" w:rsidRPr="00A41E43">
        <w:rPr>
          <w:i/>
          <w:sz w:val="20"/>
          <w:szCs w:val="20"/>
          <w:lang w:val="en-US"/>
        </w:rPr>
        <w:t>Virginia Journal of International Law</w:t>
      </w:r>
      <w:r w:rsidR="00812642" w:rsidRPr="006306E2">
        <w:rPr>
          <w:sz w:val="20"/>
          <w:szCs w:val="20"/>
          <w:lang w:val="en-US"/>
        </w:rPr>
        <w:t>,</w:t>
      </w:r>
      <w:r w:rsidR="0071262D" w:rsidRPr="006306E2">
        <w:rPr>
          <w:i/>
          <w:sz w:val="20"/>
          <w:szCs w:val="20"/>
          <w:lang w:val="en-US"/>
        </w:rPr>
        <w:t xml:space="preserve"> 51</w:t>
      </w:r>
      <w:r w:rsidR="0071262D" w:rsidRPr="006306E2">
        <w:rPr>
          <w:sz w:val="20"/>
          <w:szCs w:val="20"/>
          <w:lang w:val="en-US"/>
        </w:rPr>
        <w:t xml:space="preserve">, </w:t>
      </w:r>
      <w:r w:rsidR="0071262D" w:rsidRPr="006306E2">
        <w:rPr>
          <w:sz w:val="20"/>
          <w:lang w:val="en-US"/>
        </w:rPr>
        <w:t>397</w:t>
      </w:r>
      <w:r w:rsidR="00812642" w:rsidRPr="006306E2">
        <w:rPr>
          <w:sz w:val="20"/>
          <w:szCs w:val="20"/>
          <w:lang w:val="en-US"/>
        </w:rPr>
        <w:t>–</w:t>
      </w:r>
      <w:r w:rsidR="00534D40" w:rsidRPr="006306E2">
        <w:rPr>
          <w:sz w:val="20"/>
          <w:szCs w:val="20"/>
          <w:lang w:val="en-US"/>
        </w:rPr>
        <w:t>442</w:t>
      </w:r>
      <w:r w:rsidR="0071262D" w:rsidRPr="006306E2">
        <w:rPr>
          <w:sz w:val="20"/>
          <w:szCs w:val="20"/>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02285" w14:textId="77777777" w:rsidR="006306E2" w:rsidRDefault="006306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F4EA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8032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0EB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E283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B414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BE58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4031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227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9449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4E3EC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A2B"/>
    <w:rsid w:val="00032F3D"/>
    <w:rsid w:val="000C2CEF"/>
    <w:rsid w:val="000E6252"/>
    <w:rsid w:val="00145958"/>
    <w:rsid w:val="001D1023"/>
    <w:rsid w:val="001D5D98"/>
    <w:rsid w:val="00227A29"/>
    <w:rsid w:val="00262EC7"/>
    <w:rsid w:val="002A0030"/>
    <w:rsid w:val="002D13DA"/>
    <w:rsid w:val="002D453C"/>
    <w:rsid w:val="002D472B"/>
    <w:rsid w:val="002F33FF"/>
    <w:rsid w:val="00320051"/>
    <w:rsid w:val="00345807"/>
    <w:rsid w:val="00372DA7"/>
    <w:rsid w:val="00383302"/>
    <w:rsid w:val="00391893"/>
    <w:rsid w:val="003C1F07"/>
    <w:rsid w:val="003D0EA5"/>
    <w:rsid w:val="003E17C9"/>
    <w:rsid w:val="003F46F8"/>
    <w:rsid w:val="004631DA"/>
    <w:rsid w:val="004C1088"/>
    <w:rsid w:val="00503285"/>
    <w:rsid w:val="00534D40"/>
    <w:rsid w:val="00561AFB"/>
    <w:rsid w:val="005A5CFD"/>
    <w:rsid w:val="00627160"/>
    <w:rsid w:val="0062754F"/>
    <w:rsid w:val="006306E2"/>
    <w:rsid w:val="006715A4"/>
    <w:rsid w:val="0071262D"/>
    <w:rsid w:val="007441BB"/>
    <w:rsid w:val="00766F04"/>
    <w:rsid w:val="00767325"/>
    <w:rsid w:val="0076741F"/>
    <w:rsid w:val="007713EE"/>
    <w:rsid w:val="007E5C0B"/>
    <w:rsid w:val="00812642"/>
    <w:rsid w:val="00815C28"/>
    <w:rsid w:val="0082339A"/>
    <w:rsid w:val="008261BD"/>
    <w:rsid w:val="00831D32"/>
    <w:rsid w:val="0087331B"/>
    <w:rsid w:val="008A51E4"/>
    <w:rsid w:val="008D6AF9"/>
    <w:rsid w:val="009D5EBD"/>
    <w:rsid w:val="009E41DD"/>
    <w:rsid w:val="00A106B6"/>
    <w:rsid w:val="00A205FD"/>
    <w:rsid w:val="00A41E43"/>
    <w:rsid w:val="00AA3F61"/>
    <w:rsid w:val="00AB3607"/>
    <w:rsid w:val="00B049B4"/>
    <w:rsid w:val="00B43A2B"/>
    <w:rsid w:val="00B53851"/>
    <w:rsid w:val="00B77DDE"/>
    <w:rsid w:val="00B92B35"/>
    <w:rsid w:val="00BB6B2E"/>
    <w:rsid w:val="00BC5AC0"/>
    <w:rsid w:val="00BC6849"/>
    <w:rsid w:val="00BD1F56"/>
    <w:rsid w:val="00BF69AA"/>
    <w:rsid w:val="00BF6A17"/>
    <w:rsid w:val="00C256E7"/>
    <w:rsid w:val="00C85F67"/>
    <w:rsid w:val="00CD2E0C"/>
    <w:rsid w:val="00CE7440"/>
    <w:rsid w:val="00D43A62"/>
    <w:rsid w:val="00D61E27"/>
    <w:rsid w:val="00D658AF"/>
    <w:rsid w:val="00DD5745"/>
    <w:rsid w:val="00DF1B91"/>
    <w:rsid w:val="00E04ED9"/>
    <w:rsid w:val="00E552D4"/>
    <w:rsid w:val="00E97AEC"/>
    <w:rsid w:val="00EC2EA7"/>
    <w:rsid w:val="00EE0904"/>
    <w:rsid w:val="00EF61CE"/>
    <w:rsid w:val="00F8179D"/>
    <w:rsid w:val="00F82DAD"/>
    <w:rsid w:val="00FF1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61E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1E43"/>
    <w:pPr>
      <w:autoSpaceDE w:val="0"/>
      <w:autoSpaceDN w:val="0"/>
      <w:adjustRightInd w:val="0"/>
      <w:spacing w:after="0" w:line="276"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A41E43"/>
    <w:pPr>
      <w:spacing w:after="220"/>
      <w:outlineLvl w:val="0"/>
    </w:pPr>
    <w:rPr>
      <w:b/>
    </w:rPr>
  </w:style>
  <w:style w:type="paragraph" w:styleId="Heading2">
    <w:name w:val="heading 2"/>
    <w:basedOn w:val="Normal"/>
    <w:next w:val="Normal"/>
    <w:link w:val="Heading2Char"/>
    <w:uiPriority w:val="9"/>
    <w:unhideWhenUsed/>
    <w:qFormat/>
    <w:rsid w:val="00812642"/>
    <w:pPr>
      <w:spacing w:after="220"/>
      <w:ind w:left="720" w:hanging="720"/>
      <w:outlineLvl w:val="1"/>
    </w:pPr>
    <w:rPr>
      <w:i/>
      <w:lang w:val="en-CA"/>
    </w:rPr>
  </w:style>
  <w:style w:type="paragraph" w:styleId="Heading3">
    <w:name w:val="heading 3"/>
    <w:basedOn w:val="Normal"/>
    <w:next w:val="Normal"/>
    <w:link w:val="Heading3Char"/>
    <w:uiPriority w:val="9"/>
    <w:unhideWhenUsed/>
    <w:qFormat/>
    <w:rsid w:val="00A41E43"/>
    <w:pPr>
      <w:spacing w:after="220"/>
      <w:outlineLvl w:val="2"/>
    </w:pPr>
    <w:rPr>
      <w:i/>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 Char Char Char,Footnote Text Char Char Char Char,Footnote reference,FA Fu,Footnote Text Char Char Char"/>
    <w:basedOn w:val="Normal"/>
    <w:link w:val="FootnoteTextChar"/>
    <w:unhideWhenUsed/>
    <w:rsid w:val="009E41DD"/>
    <w:pPr>
      <w:spacing w:line="240" w:lineRule="auto"/>
    </w:pPr>
    <w:rPr>
      <w:sz w:val="20"/>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
    <w:basedOn w:val="DefaultParagraphFont"/>
    <w:link w:val="FootnoteText"/>
    <w:uiPriority w:val="99"/>
    <w:rsid w:val="009E41DD"/>
    <w:rPr>
      <w:sz w:val="20"/>
      <w:szCs w:val="20"/>
    </w:rPr>
  </w:style>
  <w:style w:type="character" w:styleId="FootnoteReference">
    <w:name w:val="footnote reference"/>
    <w:aliases w:val="Ref,de nota al pie,FZ,ftref,Footnotes refss,註腳內容,de nota al pie + (Asian) MS Mincho,11 pt,Referencia nota al pie,Fago Fußnotenzeichen,Footnote Ref,16 Point,Superscript 6 Point,Style 21,Style 29,Style 11,Footnote Reference1,Ref1,4_G"/>
    <w:basedOn w:val="DefaultParagraphFont"/>
    <w:unhideWhenUsed/>
    <w:rsid w:val="009E41DD"/>
    <w:rPr>
      <w:vertAlign w:val="superscript"/>
    </w:rPr>
  </w:style>
  <w:style w:type="character" w:customStyle="1" w:styleId="apple-converted-space">
    <w:name w:val="apple-converted-space"/>
    <w:basedOn w:val="DefaultParagraphFont"/>
    <w:rsid w:val="006715A4"/>
  </w:style>
  <w:style w:type="character" w:styleId="Emphasis">
    <w:name w:val="Emphasis"/>
    <w:basedOn w:val="DefaultParagraphFont"/>
    <w:uiPriority w:val="20"/>
    <w:qFormat/>
    <w:rsid w:val="006715A4"/>
    <w:rPr>
      <w:i/>
      <w:iCs/>
    </w:rPr>
  </w:style>
  <w:style w:type="character" w:customStyle="1" w:styleId="Heading1Char">
    <w:name w:val="Heading 1 Char"/>
    <w:basedOn w:val="DefaultParagraphFont"/>
    <w:link w:val="Heading1"/>
    <w:uiPriority w:val="9"/>
    <w:rsid w:val="00A41E43"/>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A41E43"/>
    <w:rPr>
      <w:rFonts w:ascii="Times New Roman" w:hAnsi="Times New Roman" w:cs="Times New Roman"/>
      <w:i/>
      <w:sz w:val="24"/>
      <w:szCs w:val="24"/>
      <w:lang w:val="en-US"/>
    </w:rPr>
  </w:style>
  <w:style w:type="paragraph" w:styleId="BalloonText">
    <w:name w:val="Balloon Text"/>
    <w:basedOn w:val="Normal"/>
    <w:link w:val="BalloonTextChar"/>
    <w:uiPriority w:val="99"/>
    <w:semiHidden/>
    <w:unhideWhenUsed/>
    <w:rsid w:val="00A41E43"/>
    <w:pPr>
      <w:spacing w:line="240" w:lineRule="auto"/>
    </w:pPr>
    <w:rPr>
      <w:sz w:val="18"/>
      <w:szCs w:val="18"/>
    </w:rPr>
  </w:style>
  <w:style w:type="character" w:customStyle="1" w:styleId="BalloonTextChar">
    <w:name w:val="Balloon Text Char"/>
    <w:basedOn w:val="DefaultParagraphFont"/>
    <w:link w:val="BalloonText"/>
    <w:uiPriority w:val="99"/>
    <w:semiHidden/>
    <w:rsid w:val="00A41E4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F1B91"/>
    <w:rPr>
      <w:sz w:val="16"/>
      <w:szCs w:val="16"/>
    </w:rPr>
  </w:style>
  <w:style w:type="paragraph" w:styleId="CommentText">
    <w:name w:val="annotation text"/>
    <w:basedOn w:val="Normal"/>
    <w:link w:val="CommentTextChar"/>
    <w:uiPriority w:val="99"/>
    <w:unhideWhenUsed/>
    <w:rsid w:val="00DF1B91"/>
    <w:pPr>
      <w:spacing w:line="240" w:lineRule="auto"/>
    </w:pPr>
    <w:rPr>
      <w:sz w:val="20"/>
      <w:szCs w:val="20"/>
    </w:rPr>
  </w:style>
  <w:style w:type="character" w:customStyle="1" w:styleId="CommentTextChar">
    <w:name w:val="Comment Text Char"/>
    <w:basedOn w:val="DefaultParagraphFont"/>
    <w:link w:val="CommentText"/>
    <w:uiPriority w:val="99"/>
    <w:rsid w:val="00DF1B9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1B91"/>
    <w:rPr>
      <w:b/>
      <w:bCs/>
    </w:rPr>
  </w:style>
  <w:style w:type="character" w:customStyle="1" w:styleId="CommentSubjectChar">
    <w:name w:val="Comment Subject Char"/>
    <w:basedOn w:val="CommentTextChar"/>
    <w:link w:val="CommentSubject"/>
    <w:uiPriority w:val="99"/>
    <w:semiHidden/>
    <w:rsid w:val="00DF1B91"/>
    <w:rPr>
      <w:rFonts w:ascii="Times New Roman" w:hAnsi="Times New Roman" w:cs="Times New Roman"/>
      <w:b/>
      <w:bCs/>
      <w:sz w:val="20"/>
      <w:szCs w:val="20"/>
    </w:rPr>
  </w:style>
  <w:style w:type="character" w:customStyle="1" w:styleId="Heading2Char">
    <w:name w:val="Heading 2 Char"/>
    <w:basedOn w:val="DefaultParagraphFont"/>
    <w:link w:val="Heading2"/>
    <w:uiPriority w:val="9"/>
    <w:rsid w:val="00812642"/>
    <w:rPr>
      <w:rFonts w:ascii="Times New Roman" w:hAnsi="Times New Roman" w:cs="Times New Roman"/>
      <w:i/>
      <w:sz w:val="24"/>
      <w:szCs w:val="24"/>
      <w:lang w:val="en-CA"/>
    </w:rPr>
  </w:style>
  <w:style w:type="character" w:styleId="Hyperlink">
    <w:name w:val="Hyperlink"/>
    <w:basedOn w:val="DefaultParagraphFont"/>
    <w:uiPriority w:val="99"/>
    <w:unhideWhenUsed/>
    <w:rsid w:val="006306E2"/>
    <w:rPr>
      <w:color w:val="0563C1" w:themeColor="hyperlink"/>
      <w:u w:val="single"/>
    </w:rPr>
  </w:style>
  <w:style w:type="paragraph" w:styleId="Revision">
    <w:name w:val="Revision"/>
    <w:hidden/>
    <w:uiPriority w:val="99"/>
    <w:semiHidden/>
    <w:rsid w:val="006306E2"/>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306E2"/>
    <w:rPr>
      <w:color w:val="954F72" w:themeColor="followedHyperlink"/>
      <w:u w:val="single"/>
    </w:rPr>
  </w:style>
  <w:style w:type="paragraph" w:styleId="Header">
    <w:name w:val="header"/>
    <w:basedOn w:val="Normal"/>
    <w:link w:val="HeaderChar"/>
    <w:uiPriority w:val="99"/>
    <w:unhideWhenUsed/>
    <w:rsid w:val="006306E2"/>
    <w:pPr>
      <w:tabs>
        <w:tab w:val="center" w:pos="4680"/>
        <w:tab w:val="right" w:pos="9360"/>
      </w:tabs>
      <w:spacing w:line="240" w:lineRule="auto"/>
    </w:pPr>
  </w:style>
  <w:style w:type="character" w:customStyle="1" w:styleId="HeaderChar">
    <w:name w:val="Header Char"/>
    <w:basedOn w:val="DefaultParagraphFont"/>
    <w:link w:val="Header"/>
    <w:uiPriority w:val="99"/>
    <w:rsid w:val="006306E2"/>
    <w:rPr>
      <w:rFonts w:ascii="Times New Roman" w:hAnsi="Times New Roman" w:cs="Times New Roman"/>
      <w:sz w:val="24"/>
      <w:szCs w:val="24"/>
    </w:rPr>
  </w:style>
  <w:style w:type="paragraph" w:styleId="Footer">
    <w:name w:val="footer"/>
    <w:basedOn w:val="Normal"/>
    <w:link w:val="FooterChar"/>
    <w:uiPriority w:val="99"/>
    <w:unhideWhenUsed/>
    <w:rsid w:val="006306E2"/>
    <w:pPr>
      <w:tabs>
        <w:tab w:val="center" w:pos="4680"/>
        <w:tab w:val="right" w:pos="9360"/>
      </w:tabs>
      <w:spacing w:line="240" w:lineRule="auto"/>
    </w:pPr>
  </w:style>
  <w:style w:type="character" w:customStyle="1" w:styleId="FooterChar">
    <w:name w:val="Footer Char"/>
    <w:basedOn w:val="DefaultParagraphFont"/>
    <w:link w:val="Footer"/>
    <w:uiPriority w:val="99"/>
    <w:rsid w:val="006306E2"/>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630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276725">
      <w:bodyDiv w:val="1"/>
      <w:marLeft w:val="0"/>
      <w:marRight w:val="0"/>
      <w:marTop w:val="0"/>
      <w:marBottom w:val="0"/>
      <w:divBdr>
        <w:top w:val="none" w:sz="0" w:space="0" w:color="auto"/>
        <w:left w:val="none" w:sz="0" w:space="0" w:color="auto"/>
        <w:bottom w:val="none" w:sz="0" w:space="0" w:color="auto"/>
        <w:right w:val="none" w:sz="0" w:space="0" w:color="auto"/>
      </w:divBdr>
      <w:divsChild>
        <w:div w:id="705057719">
          <w:marLeft w:val="0"/>
          <w:marRight w:val="0"/>
          <w:marTop w:val="0"/>
          <w:marBottom w:val="0"/>
          <w:divBdr>
            <w:top w:val="none" w:sz="0" w:space="0" w:color="auto"/>
            <w:left w:val="none" w:sz="0" w:space="0" w:color="auto"/>
            <w:bottom w:val="none" w:sz="0" w:space="0" w:color="auto"/>
            <w:right w:val="none" w:sz="0" w:space="0" w:color="auto"/>
          </w:divBdr>
          <w:divsChild>
            <w:div w:id="168103484">
              <w:marLeft w:val="0"/>
              <w:marRight w:val="0"/>
              <w:marTop w:val="0"/>
              <w:marBottom w:val="150"/>
              <w:divBdr>
                <w:top w:val="none" w:sz="0" w:space="0" w:color="auto"/>
                <w:left w:val="none" w:sz="0" w:space="0" w:color="auto"/>
                <w:bottom w:val="none" w:sz="0" w:space="0" w:color="auto"/>
                <w:right w:val="none" w:sz="0" w:space="0" w:color="auto"/>
              </w:divBdr>
            </w:div>
          </w:divsChild>
        </w:div>
        <w:div w:id="764811258">
          <w:marLeft w:val="0"/>
          <w:marRight w:val="0"/>
          <w:marTop w:val="0"/>
          <w:marBottom w:val="0"/>
          <w:divBdr>
            <w:top w:val="none" w:sz="0" w:space="0" w:color="auto"/>
            <w:left w:val="none" w:sz="0" w:space="0" w:color="auto"/>
            <w:bottom w:val="none" w:sz="0" w:space="0" w:color="auto"/>
            <w:right w:val="none" w:sz="0" w:space="0" w:color="auto"/>
          </w:divBdr>
        </w:div>
        <w:div w:id="928930115">
          <w:marLeft w:val="0"/>
          <w:marRight w:val="0"/>
          <w:marTop w:val="0"/>
          <w:marBottom w:val="0"/>
          <w:divBdr>
            <w:top w:val="none" w:sz="0" w:space="0" w:color="auto"/>
            <w:left w:val="none" w:sz="0" w:space="0" w:color="auto"/>
            <w:bottom w:val="none" w:sz="0" w:space="0" w:color="auto"/>
            <w:right w:val="none" w:sz="0" w:space="0" w:color="auto"/>
          </w:divBdr>
        </w:div>
        <w:div w:id="1674334458">
          <w:marLeft w:val="0"/>
          <w:marRight w:val="0"/>
          <w:marTop w:val="0"/>
          <w:marBottom w:val="0"/>
          <w:divBdr>
            <w:top w:val="none" w:sz="0" w:space="0" w:color="auto"/>
            <w:left w:val="none" w:sz="0" w:space="0" w:color="auto"/>
            <w:bottom w:val="none" w:sz="0" w:space="0" w:color="auto"/>
            <w:right w:val="none" w:sz="0" w:space="0" w:color="auto"/>
          </w:divBdr>
        </w:div>
      </w:divsChild>
    </w:div>
    <w:div w:id="419327125">
      <w:bodyDiv w:val="1"/>
      <w:marLeft w:val="0"/>
      <w:marRight w:val="0"/>
      <w:marTop w:val="0"/>
      <w:marBottom w:val="0"/>
      <w:divBdr>
        <w:top w:val="none" w:sz="0" w:space="0" w:color="auto"/>
        <w:left w:val="none" w:sz="0" w:space="0" w:color="auto"/>
        <w:bottom w:val="none" w:sz="0" w:space="0" w:color="auto"/>
        <w:right w:val="none" w:sz="0" w:space="0" w:color="auto"/>
      </w:divBdr>
    </w:div>
    <w:div w:id="512384385">
      <w:bodyDiv w:val="1"/>
      <w:marLeft w:val="0"/>
      <w:marRight w:val="0"/>
      <w:marTop w:val="0"/>
      <w:marBottom w:val="0"/>
      <w:divBdr>
        <w:top w:val="none" w:sz="0" w:space="0" w:color="auto"/>
        <w:left w:val="none" w:sz="0" w:space="0" w:color="auto"/>
        <w:bottom w:val="none" w:sz="0" w:space="0" w:color="auto"/>
        <w:right w:val="none" w:sz="0" w:space="0" w:color="auto"/>
      </w:divBdr>
      <w:divsChild>
        <w:div w:id="1910965779">
          <w:marLeft w:val="0"/>
          <w:marRight w:val="0"/>
          <w:marTop w:val="0"/>
          <w:marBottom w:val="0"/>
          <w:divBdr>
            <w:top w:val="none" w:sz="0" w:space="0" w:color="auto"/>
            <w:left w:val="none" w:sz="0" w:space="0" w:color="auto"/>
            <w:bottom w:val="none" w:sz="0" w:space="0" w:color="auto"/>
            <w:right w:val="none" w:sz="0" w:space="0" w:color="auto"/>
          </w:divBdr>
        </w:div>
      </w:divsChild>
    </w:div>
    <w:div w:id="553010320">
      <w:bodyDiv w:val="1"/>
      <w:marLeft w:val="0"/>
      <w:marRight w:val="0"/>
      <w:marTop w:val="0"/>
      <w:marBottom w:val="0"/>
      <w:divBdr>
        <w:top w:val="none" w:sz="0" w:space="0" w:color="auto"/>
        <w:left w:val="none" w:sz="0" w:space="0" w:color="auto"/>
        <w:bottom w:val="none" w:sz="0" w:space="0" w:color="auto"/>
        <w:right w:val="none" w:sz="0" w:space="0" w:color="auto"/>
      </w:divBdr>
    </w:div>
    <w:div w:id="645014335">
      <w:bodyDiv w:val="1"/>
      <w:marLeft w:val="0"/>
      <w:marRight w:val="0"/>
      <w:marTop w:val="0"/>
      <w:marBottom w:val="0"/>
      <w:divBdr>
        <w:top w:val="none" w:sz="0" w:space="0" w:color="auto"/>
        <w:left w:val="none" w:sz="0" w:space="0" w:color="auto"/>
        <w:bottom w:val="none" w:sz="0" w:space="0" w:color="auto"/>
        <w:right w:val="none" w:sz="0" w:space="0" w:color="auto"/>
      </w:divBdr>
    </w:div>
    <w:div w:id="991132415">
      <w:bodyDiv w:val="1"/>
      <w:marLeft w:val="0"/>
      <w:marRight w:val="0"/>
      <w:marTop w:val="0"/>
      <w:marBottom w:val="0"/>
      <w:divBdr>
        <w:top w:val="none" w:sz="0" w:space="0" w:color="auto"/>
        <w:left w:val="none" w:sz="0" w:space="0" w:color="auto"/>
        <w:bottom w:val="none" w:sz="0" w:space="0" w:color="auto"/>
        <w:right w:val="none" w:sz="0" w:space="0" w:color="auto"/>
      </w:divBdr>
    </w:div>
    <w:div w:id="1894806655">
      <w:bodyDiv w:val="1"/>
      <w:marLeft w:val="0"/>
      <w:marRight w:val="0"/>
      <w:marTop w:val="0"/>
      <w:marBottom w:val="0"/>
      <w:divBdr>
        <w:top w:val="none" w:sz="0" w:space="0" w:color="auto"/>
        <w:left w:val="none" w:sz="0" w:space="0" w:color="auto"/>
        <w:bottom w:val="none" w:sz="0" w:space="0" w:color="auto"/>
        <w:right w:val="none" w:sz="0" w:space="0" w:color="auto"/>
      </w:divBdr>
    </w:div>
    <w:div w:id="195790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oecd-ilibrary.org/finance-and-investment/societal-benefits-and-costs-of-international-investment-agreements_e5f85c3d-en" TargetMode="External"/><Relationship Id="rId2" Type="http://schemas.openxmlformats.org/officeDocument/2006/relationships/hyperlink" Target="https://unctad.org/en/PublicationsLibrary/wir2015_en.pdf" TargetMode="External"/><Relationship Id="rId1" Type="http://schemas.openxmlformats.org/officeDocument/2006/relationships/hyperlink" Target="https://www.iisd.org/itn/2017/09/26/investment-treaties-internal-vetting-regulatory-proposals-case-study-from-canada-gus-van-harten-dayna-nadine-scott/" TargetMode="External"/><Relationship Id="rId4" Type="http://schemas.openxmlformats.org/officeDocument/2006/relationships/hyperlink" Target="https://www.iisd.org/library/assessing-impacts-investment-treaties-overview-evid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1819</Words>
  <Characters>10373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2019-01-02T15:09:00Z</dcterms:created>
  <dcterms:modified xsi:type="dcterms:W3CDTF">2019-01-02T15:11:00Z</dcterms:modified>
</cp:coreProperties>
</file>