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BA" w:rsidRPr="001F4C43" w:rsidRDefault="000E23BA" w:rsidP="001F4C43">
      <w:pPr>
        <w:spacing w:line="240" w:lineRule="auto"/>
        <w:rPr>
          <w:rFonts w:ascii="Arial" w:hAnsi="Arial" w:cs="Arial"/>
        </w:rPr>
      </w:pPr>
    </w:p>
    <w:p w:rsidR="000E23BA" w:rsidRPr="001F4C43" w:rsidRDefault="000E23BA" w:rsidP="001F4C43">
      <w:pPr>
        <w:shd w:val="clear" w:color="auto" w:fill="FFFFFF"/>
        <w:spacing w:after="0" w:line="240" w:lineRule="auto"/>
        <w:outlineLvl w:val="2"/>
        <w:rPr>
          <w:rFonts w:ascii="Arial" w:eastAsia="Times New Roman" w:hAnsi="Arial" w:cs="Arial"/>
          <w:b/>
          <w:bCs/>
          <w:vertAlign w:val="superscript"/>
          <w:lang w:eastAsia="en-GB"/>
        </w:rPr>
      </w:pPr>
      <w:r w:rsidRPr="001F4C43">
        <w:rPr>
          <w:rFonts w:ascii="Arial" w:eastAsia="Times New Roman" w:hAnsi="Arial" w:cs="Arial"/>
          <w:b/>
          <w:bCs/>
          <w:lang w:eastAsia="en-GB"/>
        </w:rPr>
        <w:t xml:space="preserve">Authors: </w:t>
      </w:r>
      <w:r w:rsidR="00D71DB8" w:rsidRPr="001F4C43">
        <w:rPr>
          <w:rFonts w:ascii="Arial" w:eastAsia="Times New Roman" w:hAnsi="Arial" w:cs="Arial"/>
          <w:b/>
          <w:bCs/>
          <w:lang w:eastAsia="en-GB"/>
        </w:rPr>
        <w:t>Paul Richardson</w:t>
      </w:r>
      <w:r w:rsidR="00D71DB8" w:rsidRPr="001F4C43">
        <w:rPr>
          <w:rFonts w:ascii="Arial" w:eastAsia="Times New Roman" w:hAnsi="Arial" w:cs="Arial"/>
          <w:b/>
          <w:bCs/>
          <w:vertAlign w:val="superscript"/>
          <w:lang w:eastAsia="en-GB"/>
        </w:rPr>
        <w:t>1</w:t>
      </w:r>
      <w:r w:rsidR="00D71DB8" w:rsidRPr="001F4C43">
        <w:rPr>
          <w:rFonts w:ascii="Arial" w:eastAsia="Times New Roman" w:hAnsi="Arial" w:cs="Arial"/>
          <w:b/>
          <w:bCs/>
          <w:lang w:eastAsia="en-GB"/>
        </w:rPr>
        <w:t xml:space="preserve"> </w:t>
      </w:r>
      <w:r w:rsidR="00B949B1" w:rsidRPr="001F4C43">
        <w:rPr>
          <w:rFonts w:ascii="Arial" w:eastAsia="Times New Roman" w:hAnsi="Arial" w:cs="Arial"/>
          <w:b/>
          <w:bCs/>
          <w:lang w:eastAsia="en-GB"/>
        </w:rPr>
        <w:t>Andrew Thompson</w:t>
      </w:r>
      <w:r w:rsidR="00B949B1" w:rsidRPr="001F4C43">
        <w:rPr>
          <w:rFonts w:ascii="Arial" w:eastAsia="Times New Roman" w:hAnsi="Arial" w:cs="Arial"/>
          <w:b/>
          <w:bCs/>
          <w:vertAlign w:val="superscript"/>
          <w:lang w:eastAsia="en-GB"/>
        </w:rPr>
        <w:t>2</w:t>
      </w:r>
      <w:r w:rsidR="00B949B1" w:rsidRPr="001F4C43">
        <w:rPr>
          <w:rFonts w:ascii="Arial" w:eastAsia="Times New Roman" w:hAnsi="Arial" w:cs="Arial"/>
          <w:b/>
          <w:bCs/>
          <w:lang w:eastAsia="en-GB"/>
        </w:rPr>
        <w:t xml:space="preserve"> </w:t>
      </w:r>
      <w:r w:rsidRPr="001F4C43">
        <w:rPr>
          <w:rFonts w:ascii="Arial" w:eastAsia="Times New Roman" w:hAnsi="Arial" w:cs="Arial"/>
          <w:b/>
          <w:bCs/>
          <w:lang w:eastAsia="en-GB"/>
        </w:rPr>
        <w:t>Cecil Kullu</w:t>
      </w:r>
      <w:r w:rsidRPr="001F4C43">
        <w:rPr>
          <w:rFonts w:ascii="Arial" w:eastAsia="Times New Roman" w:hAnsi="Arial" w:cs="Arial"/>
          <w:b/>
          <w:bCs/>
          <w:vertAlign w:val="superscript"/>
          <w:lang w:eastAsia="en-GB"/>
        </w:rPr>
        <w:t>1</w:t>
      </w:r>
      <w:r w:rsidRPr="001F4C43">
        <w:rPr>
          <w:rFonts w:ascii="Arial" w:eastAsia="Times New Roman" w:hAnsi="Arial" w:cs="Arial"/>
          <w:b/>
          <w:bCs/>
          <w:lang w:eastAsia="en-GB"/>
        </w:rPr>
        <w:t xml:space="preserve"> </w:t>
      </w:r>
      <w:r w:rsidR="00F756AC">
        <w:rPr>
          <w:rFonts w:ascii="Arial" w:eastAsia="Times New Roman" w:hAnsi="Arial" w:cs="Arial"/>
          <w:b/>
          <w:bCs/>
          <w:lang w:eastAsia="en-GB"/>
        </w:rPr>
        <w:t>Fiona Ogdan-Forde</w:t>
      </w:r>
      <w:r w:rsidR="00F756AC">
        <w:rPr>
          <w:rFonts w:ascii="Arial" w:eastAsia="Times New Roman" w:hAnsi="Arial" w:cs="Arial"/>
          <w:b/>
          <w:bCs/>
          <w:vertAlign w:val="superscript"/>
          <w:lang w:eastAsia="en-GB"/>
        </w:rPr>
        <w:t>3</w:t>
      </w:r>
      <w:r w:rsidR="00F756AC">
        <w:rPr>
          <w:rFonts w:ascii="Arial" w:eastAsia="Times New Roman" w:hAnsi="Arial" w:cs="Arial"/>
          <w:b/>
          <w:bCs/>
          <w:lang w:eastAsia="en-GB"/>
        </w:rPr>
        <w:t xml:space="preserve"> </w:t>
      </w:r>
      <w:r w:rsidRPr="001F4C43">
        <w:rPr>
          <w:rFonts w:ascii="Arial" w:eastAsia="Times New Roman" w:hAnsi="Arial" w:cs="Arial"/>
          <w:b/>
          <w:bCs/>
          <w:lang w:eastAsia="en-GB"/>
        </w:rPr>
        <w:t>Kev Patterson</w:t>
      </w:r>
      <w:r w:rsidRPr="001F4C43">
        <w:rPr>
          <w:rFonts w:ascii="Arial" w:eastAsia="Times New Roman" w:hAnsi="Arial" w:cs="Arial"/>
          <w:b/>
          <w:bCs/>
          <w:vertAlign w:val="superscript"/>
          <w:lang w:eastAsia="en-GB"/>
        </w:rPr>
        <w:t>1</w:t>
      </w:r>
      <w:r w:rsidRPr="001F4C43">
        <w:rPr>
          <w:rFonts w:ascii="Arial" w:eastAsia="Times New Roman" w:hAnsi="Arial" w:cs="Arial"/>
          <w:b/>
          <w:bCs/>
          <w:lang w:eastAsia="en-GB"/>
        </w:rPr>
        <w:t xml:space="preserve"> </w:t>
      </w:r>
      <w:r w:rsidR="00B949B1" w:rsidRPr="001F4C43">
        <w:rPr>
          <w:rFonts w:ascii="Arial" w:eastAsia="Times New Roman" w:hAnsi="Arial" w:cs="Arial"/>
          <w:b/>
          <w:bCs/>
          <w:lang w:eastAsia="en-GB"/>
        </w:rPr>
        <w:t>David Byrne</w:t>
      </w:r>
      <w:r w:rsidR="00B949B1" w:rsidRPr="001F4C43">
        <w:rPr>
          <w:rFonts w:ascii="Arial" w:eastAsia="Times New Roman" w:hAnsi="Arial" w:cs="Arial"/>
          <w:b/>
          <w:bCs/>
          <w:vertAlign w:val="superscript"/>
          <w:lang w:eastAsia="en-GB"/>
        </w:rPr>
        <w:t>1</w:t>
      </w:r>
      <w:r w:rsidR="00B949B1" w:rsidRPr="001F4C43">
        <w:rPr>
          <w:rFonts w:ascii="Arial" w:eastAsia="Times New Roman" w:hAnsi="Arial" w:cs="Arial"/>
          <w:b/>
          <w:bCs/>
          <w:lang w:eastAsia="en-GB"/>
        </w:rPr>
        <w:t xml:space="preserve"> </w:t>
      </w:r>
      <w:r w:rsidR="00D71DB8" w:rsidRPr="001F4C43">
        <w:rPr>
          <w:rFonts w:ascii="Arial" w:eastAsia="Times New Roman" w:hAnsi="Arial" w:cs="Arial"/>
          <w:b/>
          <w:bCs/>
          <w:lang w:eastAsia="en-GB"/>
        </w:rPr>
        <w:t>Lynn Owens</w:t>
      </w:r>
      <w:r w:rsidR="00D71DB8" w:rsidRPr="001F4C43">
        <w:rPr>
          <w:rFonts w:ascii="Arial" w:eastAsia="Times New Roman" w:hAnsi="Arial" w:cs="Arial"/>
          <w:b/>
          <w:bCs/>
          <w:vertAlign w:val="superscript"/>
          <w:lang w:eastAsia="en-GB"/>
        </w:rPr>
        <w:t>1&amp;2</w:t>
      </w:r>
    </w:p>
    <w:p w:rsidR="000E23BA" w:rsidRPr="001F4C43" w:rsidRDefault="000E23BA" w:rsidP="001F4C43">
      <w:pPr>
        <w:shd w:val="clear" w:color="auto" w:fill="FFFFFF"/>
        <w:spacing w:after="0" w:line="240" w:lineRule="auto"/>
        <w:outlineLvl w:val="2"/>
        <w:rPr>
          <w:rFonts w:ascii="Arial" w:eastAsia="Times New Roman" w:hAnsi="Arial" w:cs="Arial"/>
          <w:b/>
          <w:bCs/>
          <w:vertAlign w:val="superscript"/>
          <w:lang w:eastAsia="en-GB"/>
        </w:rPr>
      </w:pPr>
    </w:p>
    <w:p w:rsidR="000E23BA" w:rsidRPr="001F4C43" w:rsidRDefault="000E23BA" w:rsidP="001F4C43">
      <w:pPr>
        <w:shd w:val="clear" w:color="auto" w:fill="FFFFFF"/>
        <w:spacing w:after="0" w:line="240" w:lineRule="auto"/>
        <w:outlineLvl w:val="2"/>
        <w:rPr>
          <w:rFonts w:ascii="Arial" w:eastAsia="Times New Roman" w:hAnsi="Arial" w:cs="Arial"/>
          <w:b/>
          <w:bCs/>
          <w:lang w:eastAsia="en-GB"/>
        </w:rPr>
      </w:pPr>
      <w:proofErr w:type="gramStart"/>
      <w:r w:rsidRPr="001F4C43">
        <w:rPr>
          <w:rFonts w:ascii="Arial" w:eastAsia="Times New Roman" w:hAnsi="Arial" w:cs="Arial"/>
          <w:b/>
          <w:bCs/>
          <w:lang w:eastAsia="en-GB"/>
        </w:rPr>
        <w:t>1.Royal</w:t>
      </w:r>
      <w:proofErr w:type="gramEnd"/>
      <w:r w:rsidRPr="001F4C43">
        <w:rPr>
          <w:rFonts w:ascii="Arial" w:eastAsia="Times New Roman" w:hAnsi="Arial" w:cs="Arial"/>
          <w:b/>
          <w:bCs/>
          <w:lang w:eastAsia="en-GB"/>
        </w:rPr>
        <w:t xml:space="preserve"> Liverpool University Hospital. </w:t>
      </w:r>
      <w:proofErr w:type="gramStart"/>
      <w:r w:rsidRPr="001F4C43">
        <w:rPr>
          <w:rFonts w:ascii="Arial" w:eastAsia="Times New Roman" w:hAnsi="Arial" w:cs="Arial"/>
          <w:b/>
          <w:bCs/>
          <w:lang w:eastAsia="en-GB"/>
        </w:rPr>
        <w:t>2.University</w:t>
      </w:r>
      <w:proofErr w:type="gramEnd"/>
      <w:r w:rsidRPr="001F4C43">
        <w:rPr>
          <w:rFonts w:ascii="Arial" w:eastAsia="Times New Roman" w:hAnsi="Arial" w:cs="Arial"/>
          <w:b/>
          <w:bCs/>
          <w:lang w:eastAsia="en-GB"/>
        </w:rPr>
        <w:t xml:space="preserve"> of Liverpool</w:t>
      </w:r>
      <w:r w:rsidR="00F756AC">
        <w:rPr>
          <w:rFonts w:ascii="Arial" w:eastAsia="Times New Roman" w:hAnsi="Arial" w:cs="Arial"/>
          <w:b/>
          <w:bCs/>
          <w:lang w:eastAsia="en-GB"/>
        </w:rPr>
        <w:t xml:space="preserve"> 3.Liverpool CCG</w:t>
      </w:r>
    </w:p>
    <w:p w:rsidR="00995C42" w:rsidRPr="001F4C43" w:rsidRDefault="00995C42" w:rsidP="001F4C43">
      <w:pPr>
        <w:spacing w:line="240" w:lineRule="auto"/>
        <w:rPr>
          <w:rFonts w:ascii="Arial" w:hAnsi="Arial" w:cs="Arial"/>
        </w:rPr>
      </w:pPr>
    </w:p>
    <w:p w:rsidR="00B3515F" w:rsidRPr="001F4C43" w:rsidRDefault="00B3515F" w:rsidP="001F4C43">
      <w:pPr>
        <w:pStyle w:val="Body"/>
        <w:rPr>
          <w:rFonts w:ascii="Arial" w:hAnsi="Arial" w:cs="Arial"/>
          <w:sz w:val="22"/>
          <w:szCs w:val="22"/>
        </w:rPr>
      </w:pPr>
      <w:r w:rsidRPr="001F4C43">
        <w:rPr>
          <w:rFonts w:ascii="Arial" w:hAnsi="Arial" w:cs="Arial"/>
          <w:b/>
          <w:sz w:val="22"/>
          <w:szCs w:val="22"/>
        </w:rPr>
        <w:t>Title:</w:t>
      </w:r>
      <w:r w:rsidRPr="001F4C43">
        <w:rPr>
          <w:rFonts w:ascii="Arial" w:hAnsi="Arial" w:cs="Arial"/>
          <w:sz w:val="22"/>
          <w:szCs w:val="22"/>
        </w:rPr>
        <w:t xml:space="preserve"> </w:t>
      </w:r>
      <w:r w:rsidR="000E23BA" w:rsidRPr="001F4C43">
        <w:rPr>
          <w:rFonts w:ascii="Arial" w:hAnsi="Arial" w:cs="Arial"/>
          <w:sz w:val="22"/>
          <w:szCs w:val="22"/>
        </w:rPr>
        <w:t>I</w:t>
      </w:r>
      <w:r w:rsidR="000E23BA" w:rsidRPr="001F4C43">
        <w:rPr>
          <w:rFonts w:ascii="Arial" w:hAnsi="Arial" w:cs="Arial"/>
          <w:sz w:val="22"/>
          <w:szCs w:val="22"/>
        </w:rPr>
        <w:t xml:space="preserve">mproving identification and management </w:t>
      </w:r>
      <w:r w:rsidR="000E23BA" w:rsidRPr="001F4C43">
        <w:rPr>
          <w:rFonts w:ascii="Arial" w:hAnsi="Arial" w:cs="Arial"/>
          <w:sz w:val="22"/>
          <w:szCs w:val="22"/>
        </w:rPr>
        <w:t xml:space="preserve">of </w:t>
      </w:r>
      <w:r w:rsidR="000E23BA" w:rsidRPr="001F4C43">
        <w:rPr>
          <w:rFonts w:ascii="Arial" w:hAnsi="Arial" w:cs="Arial"/>
          <w:sz w:val="22"/>
          <w:szCs w:val="22"/>
        </w:rPr>
        <w:t>Alco</w:t>
      </w:r>
      <w:r w:rsidR="000E23BA" w:rsidRPr="001F4C43">
        <w:rPr>
          <w:rFonts w:ascii="Arial" w:hAnsi="Arial" w:cs="Arial"/>
          <w:sz w:val="22"/>
          <w:szCs w:val="22"/>
        </w:rPr>
        <w:t>hol-Related Brain Injury (ARBI)</w:t>
      </w:r>
      <w:r w:rsidR="000E23BA" w:rsidRPr="001F4C43">
        <w:rPr>
          <w:rFonts w:ascii="Arial" w:hAnsi="Arial" w:cs="Arial"/>
          <w:sz w:val="22"/>
          <w:szCs w:val="22"/>
        </w:rPr>
        <w:t xml:space="preserve"> in acute care settings.</w:t>
      </w:r>
      <w:r w:rsidR="000E23BA" w:rsidRPr="001F4C43">
        <w:rPr>
          <w:rFonts w:ascii="Arial" w:hAnsi="Arial" w:cs="Arial"/>
          <w:sz w:val="22"/>
          <w:szCs w:val="22"/>
        </w:rPr>
        <w:t xml:space="preserve"> </w:t>
      </w:r>
    </w:p>
    <w:p w:rsidR="00B3515F" w:rsidRPr="001F4C43" w:rsidRDefault="00B3515F" w:rsidP="001F4C43">
      <w:pPr>
        <w:pStyle w:val="Body"/>
        <w:rPr>
          <w:rFonts w:ascii="Arial" w:hAnsi="Arial" w:cs="Arial"/>
          <w:sz w:val="22"/>
          <w:szCs w:val="22"/>
        </w:rPr>
      </w:pPr>
    </w:p>
    <w:p w:rsidR="00B3515F" w:rsidRPr="001F4C43" w:rsidRDefault="000E23BA" w:rsidP="001F4C43">
      <w:pPr>
        <w:spacing w:after="0" w:line="240" w:lineRule="auto"/>
        <w:rPr>
          <w:rFonts w:ascii="Arial" w:hAnsi="Arial" w:cs="Arial"/>
        </w:rPr>
      </w:pPr>
      <w:r w:rsidRPr="001F4C43">
        <w:rPr>
          <w:rFonts w:ascii="Arial" w:hAnsi="Arial" w:cs="Arial"/>
          <w:b/>
        </w:rPr>
        <w:t>Introduction</w:t>
      </w:r>
      <w:r w:rsidR="00B3515F" w:rsidRPr="001F4C43">
        <w:rPr>
          <w:rFonts w:ascii="Arial" w:hAnsi="Arial" w:cs="Arial"/>
        </w:rPr>
        <w:t xml:space="preserve">: </w:t>
      </w:r>
      <w:r w:rsidR="002E6E97" w:rsidRPr="001F4C43">
        <w:rPr>
          <w:rFonts w:ascii="Arial" w:eastAsia="Times New Roman" w:hAnsi="Arial" w:cs="Arial"/>
          <w:color w:val="222222"/>
          <w:shd w:val="clear" w:color="auto" w:fill="FFFFFF"/>
          <w:lang w:eastAsia="en-GB"/>
        </w:rPr>
        <w:t>Alcohol Related Brain Injury (ARBI) is a hidden harm in d</w:t>
      </w:r>
      <w:bookmarkStart w:id="0" w:name="_GoBack"/>
      <w:bookmarkEnd w:id="0"/>
      <w:r w:rsidR="002E6E97" w:rsidRPr="001F4C43">
        <w:rPr>
          <w:rFonts w:ascii="Arial" w:eastAsia="Times New Roman" w:hAnsi="Arial" w:cs="Arial"/>
          <w:color w:val="222222"/>
          <w:shd w:val="clear" w:color="auto" w:fill="FFFFFF"/>
          <w:lang w:eastAsia="en-GB"/>
        </w:rPr>
        <w:t xml:space="preserve">rinkers. The most commonly used clinical definition </w:t>
      </w:r>
      <w:r w:rsidR="002E6E97" w:rsidRPr="001F4C43">
        <w:rPr>
          <w:rFonts w:ascii="Arial" w:eastAsia="Times New Roman" w:hAnsi="Arial" w:cs="Arial"/>
          <w:color w:val="222222"/>
          <w:shd w:val="clear" w:color="auto" w:fill="FFFFFF"/>
          <w:lang w:eastAsia="en-GB"/>
        </w:rPr>
        <w:t xml:space="preserve">is </w:t>
      </w:r>
      <w:r w:rsidR="002E6E97" w:rsidRPr="001F4C43">
        <w:rPr>
          <w:rFonts w:ascii="Arial" w:eastAsia="Times New Roman" w:hAnsi="Arial" w:cs="Arial"/>
          <w:color w:val="222222"/>
          <w:shd w:val="clear" w:color="auto" w:fill="FFFFFF"/>
          <w:lang w:eastAsia="en-GB"/>
        </w:rPr>
        <w:t xml:space="preserve">given in DSM IV, however this has been shown to be vague and subjective with poor utility in acute care settings. Estimates of prevalence have been reported at 0.03% per 300,000 however, as no routine, standardised algorithm for assessment of ARBI exists; this is most likely an underestimate.  A systematic review of brain injury confirmed neurodegenerative changes in heavy drinkers, but importantly also highlighted the potential for reversibility of these changes with sustained abstinence. Therefore, recognition of ARBI at the earliest opportunity has the potential to facilitate the implementation of comprehensive care pathways that optimise medical and psychosocial care, and prevent the cycle of readmissions for increasingly complex physical and psychological harms.  </w:t>
      </w:r>
    </w:p>
    <w:p w:rsidR="00B3515F" w:rsidRPr="001F4C43" w:rsidRDefault="00B3515F" w:rsidP="001F4C43">
      <w:pPr>
        <w:pStyle w:val="Body"/>
        <w:rPr>
          <w:rFonts w:ascii="Arial" w:hAnsi="Arial" w:cs="Arial"/>
          <w:sz w:val="22"/>
          <w:szCs w:val="22"/>
        </w:rPr>
      </w:pPr>
      <w:r w:rsidRPr="001F4C43">
        <w:rPr>
          <w:rFonts w:ascii="Arial" w:hAnsi="Arial" w:cs="Arial"/>
          <w:b/>
          <w:sz w:val="22"/>
          <w:szCs w:val="22"/>
        </w:rPr>
        <w:t>Methods:</w:t>
      </w:r>
      <w:r w:rsidRPr="001F4C43">
        <w:rPr>
          <w:rFonts w:ascii="Arial" w:hAnsi="Arial" w:cs="Arial"/>
          <w:sz w:val="22"/>
          <w:szCs w:val="22"/>
        </w:rPr>
        <w:t xml:space="preserve"> </w:t>
      </w:r>
      <w:r w:rsidR="005B647F" w:rsidRPr="001F4C43">
        <w:rPr>
          <w:rFonts w:ascii="Arial" w:hAnsi="Arial" w:cs="Arial"/>
          <w:sz w:val="22"/>
          <w:szCs w:val="22"/>
        </w:rPr>
        <w:t xml:space="preserve">In </w:t>
      </w:r>
      <w:r w:rsidR="00573023" w:rsidRPr="001F4C43">
        <w:rPr>
          <w:rFonts w:ascii="Arial" w:eastAsia="Times New Roman" w:hAnsi="Arial" w:cs="Arial"/>
          <w:sz w:val="22"/>
          <w:szCs w:val="22"/>
          <w:lang w:val="en-GB"/>
        </w:rPr>
        <w:t xml:space="preserve">April 2017 we implemented an innovative clinical pathway. </w:t>
      </w:r>
      <w:r w:rsidR="002E6E97" w:rsidRPr="001F4C43">
        <w:rPr>
          <w:rFonts w:ascii="Arial" w:hAnsi="Arial" w:cs="Arial"/>
          <w:sz w:val="22"/>
          <w:szCs w:val="22"/>
        </w:rPr>
        <w:t>P</w:t>
      </w:r>
      <w:r w:rsidR="0018386F" w:rsidRPr="001F4C43">
        <w:rPr>
          <w:rFonts w:ascii="Arial" w:hAnsi="Arial" w:cs="Arial"/>
          <w:sz w:val="22"/>
          <w:szCs w:val="22"/>
        </w:rPr>
        <w:t>atients meeting</w:t>
      </w:r>
      <w:r w:rsidR="00D71DB8" w:rsidRPr="001F4C43">
        <w:rPr>
          <w:rFonts w:ascii="Arial" w:hAnsi="Arial" w:cs="Arial"/>
          <w:sz w:val="22"/>
          <w:szCs w:val="22"/>
        </w:rPr>
        <w:t xml:space="preserve"> </w:t>
      </w:r>
      <w:r w:rsidR="0018386F" w:rsidRPr="001F4C43">
        <w:rPr>
          <w:rFonts w:ascii="Arial" w:hAnsi="Arial" w:cs="Arial"/>
          <w:sz w:val="22"/>
          <w:szCs w:val="22"/>
        </w:rPr>
        <w:t xml:space="preserve"> </w:t>
      </w:r>
      <w:r w:rsidR="002E6E97" w:rsidRPr="001F4C43">
        <w:rPr>
          <w:rFonts w:ascii="Arial" w:hAnsi="Arial" w:cs="Arial"/>
          <w:sz w:val="22"/>
          <w:szCs w:val="22"/>
        </w:rPr>
        <w:t xml:space="preserve">risk </w:t>
      </w:r>
      <w:r w:rsidR="0018386F" w:rsidRPr="001F4C43">
        <w:rPr>
          <w:rFonts w:ascii="Arial" w:hAnsi="Arial" w:cs="Arial"/>
          <w:sz w:val="22"/>
          <w:szCs w:val="22"/>
        </w:rPr>
        <w:t xml:space="preserve">criteria </w:t>
      </w:r>
      <w:r w:rsidR="002E6E97" w:rsidRPr="001F4C43">
        <w:rPr>
          <w:rFonts w:ascii="Arial" w:hAnsi="Arial" w:cs="Arial"/>
          <w:sz w:val="22"/>
          <w:szCs w:val="22"/>
        </w:rPr>
        <w:t xml:space="preserve">based </w:t>
      </w:r>
      <w:r w:rsidR="00B7408D" w:rsidRPr="001F4C43">
        <w:rPr>
          <w:rFonts w:ascii="Arial" w:hAnsi="Arial" w:cs="Arial"/>
          <w:sz w:val="22"/>
          <w:szCs w:val="22"/>
        </w:rPr>
        <w:t>o</w:t>
      </w:r>
      <w:r w:rsidR="0018386F" w:rsidRPr="001F4C43">
        <w:rPr>
          <w:rFonts w:ascii="Arial" w:hAnsi="Arial" w:cs="Arial"/>
          <w:sz w:val="22"/>
          <w:szCs w:val="22"/>
        </w:rPr>
        <w:t xml:space="preserve">n </w:t>
      </w:r>
      <w:r w:rsidR="001436D9" w:rsidRPr="001F4C43">
        <w:rPr>
          <w:rFonts w:ascii="Arial" w:hAnsi="Arial" w:cs="Arial"/>
          <w:sz w:val="22"/>
          <w:szCs w:val="22"/>
        </w:rPr>
        <w:t xml:space="preserve">number of </w:t>
      </w:r>
      <w:r w:rsidR="002E6E97" w:rsidRPr="001F4C43">
        <w:rPr>
          <w:rFonts w:ascii="Arial" w:hAnsi="Arial" w:cs="Arial"/>
          <w:sz w:val="22"/>
          <w:szCs w:val="22"/>
        </w:rPr>
        <w:t>previous admissions</w:t>
      </w:r>
      <w:r w:rsidR="001436D9" w:rsidRPr="001F4C43">
        <w:rPr>
          <w:rFonts w:ascii="Arial" w:hAnsi="Arial" w:cs="Arial"/>
          <w:sz w:val="22"/>
          <w:szCs w:val="22"/>
        </w:rPr>
        <w:t xml:space="preserve"> or </w:t>
      </w:r>
      <w:proofErr w:type="spellStart"/>
      <w:r w:rsidR="001436D9" w:rsidRPr="001F4C43">
        <w:rPr>
          <w:rFonts w:ascii="Arial" w:hAnsi="Arial" w:cs="Arial"/>
          <w:sz w:val="22"/>
          <w:szCs w:val="22"/>
        </w:rPr>
        <w:t>carers</w:t>
      </w:r>
      <w:proofErr w:type="spellEnd"/>
      <w:r w:rsidR="001436D9" w:rsidRPr="001F4C43">
        <w:rPr>
          <w:rFonts w:ascii="Arial" w:hAnsi="Arial" w:cs="Arial"/>
          <w:sz w:val="22"/>
          <w:szCs w:val="22"/>
        </w:rPr>
        <w:t xml:space="preserve"> concerns</w:t>
      </w:r>
      <w:r w:rsidR="002E6E97" w:rsidRPr="001F4C43">
        <w:rPr>
          <w:rFonts w:ascii="Arial" w:hAnsi="Arial" w:cs="Arial"/>
          <w:sz w:val="22"/>
          <w:szCs w:val="22"/>
        </w:rPr>
        <w:t xml:space="preserve"> had an </w:t>
      </w:r>
      <w:r w:rsidR="0018386F" w:rsidRPr="001F4C43">
        <w:rPr>
          <w:rFonts w:ascii="Arial" w:hAnsi="Arial" w:cs="Arial"/>
          <w:sz w:val="22"/>
          <w:szCs w:val="22"/>
        </w:rPr>
        <w:t xml:space="preserve">automatic </w:t>
      </w:r>
      <w:r w:rsidR="00866349" w:rsidRPr="001F4C43">
        <w:rPr>
          <w:rFonts w:ascii="Arial" w:hAnsi="Arial" w:cs="Arial"/>
          <w:sz w:val="22"/>
          <w:szCs w:val="22"/>
        </w:rPr>
        <w:t xml:space="preserve">referral to </w:t>
      </w:r>
      <w:r w:rsidRPr="001F4C43">
        <w:rPr>
          <w:rFonts w:ascii="Arial" w:hAnsi="Arial" w:cs="Arial"/>
          <w:sz w:val="22"/>
          <w:szCs w:val="22"/>
        </w:rPr>
        <w:t xml:space="preserve">a specialist nurse </w:t>
      </w:r>
      <w:r w:rsidR="009A1731" w:rsidRPr="001F4C43">
        <w:rPr>
          <w:rFonts w:ascii="Arial" w:hAnsi="Arial" w:cs="Arial"/>
          <w:sz w:val="22"/>
          <w:szCs w:val="22"/>
        </w:rPr>
        <w:t>for assessment</w:t>
      </w:r>
      <w:r w:rsidR="00866349" w:rsidRPr="001F4C43">
        <w:rPr>
          <w:rFonts w:ascii="Arial" w:hAnsi="Arial" w:cs="Arial"/>
          <w:sz w:val="22"/>
          <w:szCs w:val="22"/>
        </w:rPr>
        <w:t xml:space="preserve"> </w:t>
      </w:r>
      <w:r w:rsidRPr="001F4C43">
        <w:rPr>
          <w:rFonts w:ascii="Arial" w:hAnsi="Arial" w:cs="Arial"/>
          <w:sz w:val="22"/>
          <w:szCs w:val="22"/>
        </w:rPr>
        <w:t xml:space="preserve">utilizing the Montreal Cognitive </w:t>
      </w:r>
      <w:r w:rsidR="0018386F" w:rsidRPr="001F4C43">
        <w:rPr>
          <w:rFonts w:ascii="Arial" w:hAnsi="Arial" w:cs="Arial"/>
          <w:sz w:val="22"/>
          <w:szCs w:val="22"/>
        </w:rPr>
        <w:t xml:space="preserve">Assessment tool </w:t>
      </w:r>
      <w:r w:rsidR="00345098" w:rsidRPr="001F4C43">
        <w:rPr>
          <w:rFonts w:ascii="Arial" w:eastAsia="Times New Roman" w:hAnsi="Arial" w:cs="Arial"/>
          <w:color w:val="222222"/>
          <w:sz w:val="22"/>
          <w:szCs w:val="22"/>
          <w:shd w:val="clear" w:color="auto" w:fill="FFFFFF"/>
          <w:lang w:val="en-GB"/>
        </w:rPr>
        <w:t>(</w:t>
      </w:r>
      <w:proofErr w:type="spellStart"/>
      <w:r w:rsidR="00345098" w:rsidRPr="001F4C43">
        <w:rPr>
          <w:rFonts w:ascii="Arial" w:eastAsia="Times New Roman" w:hAnsi="Arial" w:cs="Arial"/>
          <w:color w:val="222222"/>
          <w:sz w:val="22"/>
          <w:szCs w:val="22"/>
          <w:shd w:val="clear" w:color="auto" w:fill="FFFFFF"/>
          <w:lang w:val="en-GB"/>
        </w:rPr>
        <w:t>MoCA</w:t>
      </w:r>
      <w:proofErr w:type="spellEnd"/>
      <w:r w:rsidR="00345098" w:rsidRPr="001F4C43">
        <w:rPr>
          <w:rFonts w:ascii="Arial" w:eastAsia="Times New Roman" w:hAnsi="Arial" w:cs="Arial"/>
          <w:color w:val="222222"/>
          <w:sz w:val="22"/>
          <w:szCs w:val="22"/>
          <w:shd w:val="clear" w:color="auto" w:fill="FFFFFF"/>
          <w:lang w:val="en-GB"/>
        </w:rPr>
        <w:t>©)</w:t>
      </w:r>
      <w:r w:rsidR="005B647F" w:rsidRPr="001F4C43">
        <w:rPr>
          <w:rFonts w:ascii="Arial" w:hAnsi="Arial" w:cs="Arial"/>
          <w:sz w:val="22"/>
          <w:szCs w:val="22"/>
        </w:rPr>
        <w:t>.</w:t>
      </w:r>
      <w:r w:rsidR="005B647F" w:rsidRPr="001F4C43">
        <w:rPr>
          <w:rFonts w:ascii="Arial" w:eastAsia="Times New Roman" w:hAnsi="Arial" w:cs="Arial"/>
          <w:sz w:val="22"/>
          <w:szCs w:val="22"/>
          <w:lang w:val="en-GB"/>
        </w:rPr>
        <w:t xml:space="preserve"> </w:t>
      </w:r>
      <w:r w:rsidR="009A1731" w:rsidRPr="001F4C43">
        <w:rPr>
          <w:rFonts w:ascii="Arial" w:eastAsia="Times New Roman" w:hAnsi="Arial" w:cs="Arial"/>
          <w:sz w:val="22"/>
          <w:szCs w:val="22"/>
          <w:lang w:val="en-GB"/>
        </w:rPr>
        <w:t xml:space="preserve">A score of &lt;23 was considered positive for potential ARBI. This triggered </w:t>
      </w:r>
      <w:r w:rsidR="00131F09" w:rsidRPr="001F4C43">
        <w:rPr>
          <w:rFonts w:ascii="Arial" w:eastAsia="Times New Roman" w:hAnsi="Arial" w:cs="Arial"/>
          <w:sz w:val="22"/>
          <w:szCs w:val="22"/>
          <w:lang w:val="en-GB"/>
        </w:rPr>
        <w:t xml:space="preserve">initiation of our ARBI care pathway and </w:t>
      </w:r>
      <w:r w:rsidR="009A1731" w:rsidRPr="001F4C43">
        <w:rPr>
          <w:rFonts w:ascii="Arial" w:eastAsia="Times New Roman" w:hAnsi="Arial" w:cs="Arial"/>
          <w:sz w:val="22"/>
          <w:szCs w:val="22"/>
          <w:lang w:val="en-GB"/>
        </w:rPr>
        <w:t xml:space="preserve">a referral to a psychiatrist for confirmation of diagnosis. </w:t>
      </w:r>
      <w:r w:rsidR="005B647F" w:rsidRPr="001F4C43">
        <w:rPr>
          <w:rFonts w:ascii="Arial" w:eastAsia="Times New Roman" w:hAnsi="Arial" w:cs="Arial"/>
          <w:sz w:val="22"/>
          <w:szCs w:val="22"/>
          <w:lang w:val="en-GB"/>
        </w:rPr>
        <w:t xml:space="preserve">We performed a </w:t>
      </w:r>
      <w:r w:rsidR="002E6E97" w:rsidRPr="001F4C43">
        <w:rPr>
          <w:rFonts w:ascii="Arial" w:eastAsia="Times New Roman" w:hAnsi="Arial" w:cs="Arial"/>
          <w:sz w:val="22"/>
          <w:szCs w:val="22"/>
          <w:lang w:val="en-GB"/>
        </w:rPr>
        <w:t xml:space="preserve">3 </w:t>
      </w:r>
      <w:r w:rsidR="005B647F" w:rsidRPr="001F4C43">
        <w:rPr>
          <w:rFonts w:ascii="Arial" w:eastAsia="Times New Roman" w:hAnsi="Arial" w:cs="Arial"/>
          <w:sz w:val="22"/>
          <w:szCs w:val="22"/>
          <w:lang w:val="en-GB"/>
        </w:rPr>
        <w:t>month follow-up descriptive evaluation.</w:t>
      </w:r>
    </w:p>
    <w:p w:rsidR="002A15B2" w:rsidRPr="001F4C43" w:rsidRDefault="00B3515F" w:rsidP="001F4C43">
      <w:pPr>
        <w:spacing w:after="0" w:line="240" w:lineRule="auto"/>
        <w:rPr>
          <w:rFonts w:ascii="Arial" w:eastAsia="Times New Roman" w:hAnsi="Arial" w:cs="Arial"/>
          <w:lang w:eastAsia="en-GB"/>
        </w:rPr>
      </w:pPr>
      <w:r w:rsidRPr="001F4C43">
        <w:rPr>
          <w:rFonts w:ascii="Arial" w:hAnsi="Arial" w:cs="Arial"/>
          <w:b/>
        </w:rPr>
        <w:t>Results:</w:t>
      </w:r>
      <w:r w:rsidR="00946A07" w:rsidRPr="001F4C43">
        <w:rPr>
          <w:rFonts w:ascii="Arial" w:eastAsia="Times New Roman" w:hAnsi="Arial" w:cs="Arial"/>
          <w:lang w:eastAsia="en-GB"/>
        </w:rPr>
        <w:t xml:space="preserve"> </w:t>
      </w:r>
      <w:r w:rsidR="00B7408D" w:rsidRPr="001F4C43">
        <w:rPr>
          <w:rFonts w:ascii="Arial" w:eastAsia="Times New Roman" w:hAnsi="Arial" w:cs="Arial"/>
        </w:rPr>
        <w:t>Over a</w:t>
      </w:r>
      <w:r w:rsidR="00B7408D" w:rsidRPr="001F4C43">
        <w:rPr>
          <w:rFonts w:ascii="Arial" w:eastAsia="Times New Roman" w:hAnsi="Arial" w:cs="Arial"/>
        </w:rPr>
        <w:t>n</w:t>
      </w:r>
      <w:r w:rsidR="00B7408D" w:rsidRPr="001F4C43">
        <w:rPr>
          <w:rFonts w:ascii="Arial" w:eastAsia="Times New Roman" w:hAnsi="Arial" w:cs="Arial"/>
        </w:rPr>
        <w:t xml:space="preserve"> period of 8 months</w:t>
      </w:r>
      <w:r w:rsidR="00B7408D" w:rsidRPr="001F4C43">
        <w:rPr>
          <w:rFonts w:ascii="Arial" w:eastAsia="Times New Roman" w:hAnsi="Arial" w:cs="Arial"/>
        </w:rPr>
        <w:t xml:space="preserve"> (April to Nov 2017)</w:t>
      </w:r>
      <w:r w:rsidR="00B7408D" w:rsidRPr="001F4C43">
        <w:rPr>
          <w:rFonts w:ascii="Arial" w:eastAsia="Times New Roman" w:hAnsi="Arial" w:cs="Arial"/>
        </w:rPr>
        <w:t xml:space="preserve"> </w:t>
      </w:r>
      <w:r w:rsidR="00B7408D" w:rsidRPr="001F4C43">
        <w:rPr>
          <w:rFonts w:ascii="Arial" w:eastAsia="Times New Roman" w:hAnsi="Arial" w:cs="Arial"/>
          <w:lang w:eastAsia="en-GB"/>
        </w:rPr>
        <w:t xml:space="preserve">163 patients met criteria for screening; </w:t>
      </w:r>
      <w:r w:rsidR="00B7408D" w:rsidRPr="001F4C43">
        <w:rPr>
          <w:rFonts w:ascii="Arial" w:hAnsi="Arial" w:cs="Arial"/>
        </w:rPr>
        <w:t xml:space="preserve"> </w:t>
      </w:r>
      <w:r w:rsidR="00B7408D" w:rsidRPr="001F4C43">
        <w:rPr>
          <w:rFonts w:ascii="Arial" w:hAnsi="Arial" w:cs="Arial"/>
        </w:rPr>
        <w:t>118 males</w:t>
      </w:r>
      <w:r w:rsidR="00B7408D" w:rsidRPr="001F4C43">
        <w:rPr>
          <w:rFonts w:ascii="Arial" w:hAnsi="Arial" w:cs="Arial"/>
        </w:rPr>
        <w:t xml:space="preserve"> &amp;</w:t>
      </w:r>
      <w:r w:rsidR="00B7408D" w:rsidRPr="001F4C43">
        <w:rPr>
          <w:rFonts w:ascii="Arial" w:hAnsi="Arial" w:cs="Arial"/>
        </w:rPr>
        <w:t xml:space="preserve"> 45</w:t>
      </w:r>
      <w:r w:rsidR="00B7408D" w:rsidRPr="001F4C43">
        <w:rPr>
          <w:rFonts w:ascii="Arial" w:hAnsi="Arial" w:cs="Arial"/>
        </w:rPr>
        <w:t xml:space="preserve"> females, m</w:t>
      </w:r>
      <w:r w:rsidR="00B7408D" w:rsidRPr="001F4C43">
        <w:rPr>
          <w:rFonts w:ascii="Arial" w:hAnsi="Arial" w:cs="Arial"/>
        </w:rPr>
        <w:t>ean age = 52 years (SD=11); range 26-80 years</w:t>
      </w:r>
      <w:r w:rsidR="00B7408D" w:rsidRPr="001F4C43">
        <w:rPr>
          <w:rFonts w:ascii="Arial" w:hAnsi="Arial" w:cs="Arial"/>
        </w:rPr>
        <w:t>.</w:t>
      </w:r>
      <w:r w:rsidR="00B7408D" w:rsidRPr="001F4C43">
        <w:rPr>
          <w:rFonts w:ascii="Arial" w:eastAsia="Times New Roman" w:hAnsi="Arial" w:cs="Arial"/>
          <w:lang w:eastAsia="en-GB"/>
        </w:rPr>
        <w:t xml:space="preserve"> 60 scored </w:t>
      </w:r>
      <w:r w:rsidR="00B7408D" w:rsidRPr="001F4C43">
        <w:rPr>
          <w:rFonts w:ascii="Arial" w:hAnsi="Arial" w:cs="Arial"/>
        </w:rPr>
        <w:t>≤ 23</w:t>
      </w:r>
      <w:r w:rsidR="00B7408D" w:rsidRPr="001F4C43">
        <w:rPr>
          <w:rFonts w:ascii="Arial" w:hAnsi="Arial" w:cs="Arial"/>
        </w:rPr>
        <w:t xml:space="preserve"> (</w:t>
      </w:r>
      <w:r w:rsidR="00B7408D" w:rsidRPr="001F4C43">
        <w:rPr>
          <w:rFonts w:ascii="Arial" w:hAnsi="Arial" w:cs="Arial"/>
        </w:rPr>
        <w:t>36.8%</w:t>
      </w:r>
      <w:r w:rsidR="00B7408D" w:rsidRPr="001F4C43">
        <w:rPr>
          <w:rFonts w:ascii="Arial" w:hAnsi="Arial" w:cs="Arial"/>
        </w:rPr>
        <w:t>) of which 35 (58.3%) had a confirmed diagnosis of ARBI from a psychiatrist.</w:t>
      </w:r>
      <w:r w:rsidR="00B55CB4" w:rsidRPr="001F4C43">
        <w:rPr>
          <w:rFonts w:ascii="Arial" w:hAnsi="Arial" w:cs="Arial"/>
        </w:rPr>
        <w:t xml:space="preserve"> </w:t>
      </w:r>
      <w:r w:rsidR="00C373E1" w:rsidRPr="001F4C43">
        <w:rPr>
          <w:rFonts w:ascii="Arial" w:hAnsi="Arial" w:cs="Arial"/>
        </w:rPr>
        <w:t>At 3</w:t>
      </w:r>
      <w:r w:rsidR="00D353B8" w:rsidRPr="001F4C43">
        <w:rPr>
          <w:rFonts w:ascii="Arial" w:hAnsi="Arial" w:cs="Arial"/>
        </w:rPr>
        <w:t xml:space="preserve"> </w:t>
      </w:r>
      <w:r w:rsidR="00C373E1" w:rsidRPr="001F4C43">
        <w:rPr>
          <w:rFonts w:ascii="Arial" w:hAnsi="Arial" w:cs="Arial"/>
        </w:rPr>
        <w:t>months 2</w:t>
      </w:r>
      <w:r w:rsidR="008C4871" w:rsidRPr="001F4C43">
        <w:rPr>
          <w:rFonts w:ascii="Arial" w:hAnsi="Arial" w:cs="Arial"/>
        </w:rPr>
        <w:t xml:space="preserve">2 </w:t>
      </w:r>
      <w:r w:rsidR="00B55CB4" w:rsidRPr="001F4C43">
        <w:rPr>
          <w:rFonts w:ascii="Arial" w:hAnsi="Arial" w:cs="Arial"/>
        </w:rPr>
        <w:t xml:space="preserve">patients </w:t>
      </w:r>
      <w:r w:rsidR="00C373E1" w:rsidRPr="001F4C43">
        <w:rPr>
          <w:rFonts w:ascii="Arial" w:hAnsi="Arial" w:cs="Arial"/>
        </w:rPr>
        <w:t xml:space="preserve">had </w:t>
      </w:r>
      <w:r w:rsidR="006568C8" w:rsidRPr="001F4C43">
        <w:rPr>
          <w:rFonts w:ascii="Arial" w:hAnsi="Arial" w:cs="Arial"/>
        </w:rPr>
        <w:t>received</w:t>
      </w:r>
      <w:r w:rsidR="00B55CB4" w:rsidRPr="001F4C43">
        <w:rPr>
          <w:rFonts w:ascii="Arial" w:hAnsi="Arial" w:cs="Arial"/>
        </w:rPr>
        <w:t xml:space="preserve"> follow-up. </w:t>
      </w:r>
      <w:r w:rsidR="00D353B8" w:rsidRPr="001F4C43">
        <w:rPr>
          <w:rFonts w:ascii="Arial" w:hAnsi="Arial" w:cs="Arial"/>
        </w:rPr>
        <w:t>C</w:t>
      </w:r>
      <w:r w:rsidR="00C373E1" w:rsidRPr="001F4C43">
        <w:rPr>
          <w:rFonts w:ascii="Arial" w:hAnsi="Arial" w:cs="Arial"/>
        </w:rPr>
        <w:t>ompared with baseline</w:t>
      </w:r>
      <w:r w:rsidR="00C373E1" w:rsidRPr="001F4C43">
        <w:rPr>
          <w:rFonts w:ascii="Arial" w:hAnsi="Arial" w:cs="Arial"/>
        </w:rPr>
        <w:t xml:space="preserve"> </w:t>
      </w:r>
      <w:proofErr w:type="spellStart"/>
      <w:r w:rsidR="00B55CB4" w:rsidRPr="001F4C43">
        <w:rPr>
          <w:rFonts w:ascii="Arial" w:hAnsi="Arial" w:cs="Arial"/>
        </w:rPr>
        <w:t>MoCA</w:t>
      </w:r>
      <w:proofErr w:type="spellEnd"/>
      <w:r w:rsidR="00B55CB4" w:rsidRPr="001F4C43">
        <w:rPr>
          <w:rFonts w:ascii="Arial" w:hAnsi="Arial" w:cs="Arial"/>
        </w:rPr>
        <w:t xml:space="preserve"> scores were sig</w:t>
      </w:r>
      <w:r w:rsidR="00B55CB4" w:rsidRPr="001F4C43">
        <w:rPr>
          <w:rFonts w:ascii="Arial" w:hAnsi="Arial" w:cs="Arial"/>
        </w:rPr>
        <w:t>nificantly</w:t>
      </w:r>
      <w:r w:rsidR="00B55CB4" w:rsidRPr="001F4C43">
        <w:rPr>
          <w:rFonts w:ascii="Arial" w:hAnsi="Arial" w:cs="Arial"/>
        </w:rPr>
        <w:t xml:space="preserve"> </w:t>
      </w:r>
      <w:r w:rsidR="00E01D39">
        <w:rPr>
          <w:rFonts w:ascii="Arial" w:hAnsi="Arial" w:cs="Arial"/>
        </w:rPr>
        <w:t>higher</w:t>
      </w:r>
      <w:r w:rsidR="007060BB">
        <w:rPr>
          <w:rFonts w:ascii="Arial" w:hAnsi="Arial" w:cs="Arial"/>
        </w:rPr>
        <w:t xml:space="preserve"> (improved)</w:t>
      </w:r>
      <w:r w:rsidR="00B55CB4" w:rsidRPr="001F4C43">
        <w:rPr>
          <w:rFonts w:ascii="Arial" w:hAnsi="Arial" w:cs="Arial"/>
        </w:rPr>
        <w:t>; mean difference = 3.7 (95%CI: 1.2 to 6.3; P=0.07)</w:t>
      </w:r>
      <w:r w:rsidR="00C373E1" w:rsidRPr="001F4C43">
        <w:rPr>
          <w:rFonts w:ascii="Arial" w:hAnsi="Arial" w:cs="Arial"/>
        </w:rPr>
        <w:t xml:space="preserve">, </w:t>
      </w:r>
      <w:r w:rsidR="00D353B8" w:rsidRPr="001F4C43">
        <w:rPr>
          <w:rFonts w:ascii="Arial" w:hAnsi="Arial" w:cs="Arial"/>
        </w:rPr>
        <w:t xml:space="preserve">mean </w:t>
      </w:r>
      <w:r w:rsidR="00C373E1" w:rsidRPr="001F4C43">
        <w:rPr>
          <w:rFonts w:ascii="Arial" w:hAnsi="Arial" w:cs="Arial"/>
        </w:rPr>
        <w:t>h</w:t>
      </w:r>
      <w:r w:rsidR="00131F09" w:rsidRPr="001F4C43">
        <w:rPr>
          <w:rFonts w:ascii="Arial" w:hAnsi="Arial" w:cs="Arial"/>
        </w:rPr>
        <w:t xml:space="preserve">ospital attendance </w:t>
      </w:r>
      <w:r w:rsidR="00C373E1" w:rsidRPr="001F4C43">
        <w:rPr>
          <w:rFonts w:ascii="Arial" w:hAnsi="Arial" w:cs="Arial"/>
        </w:rPr>
        <w:t xml:space="preserve">was reduced </w:t>
      </w:r>
      <w:r w:rsidR="00D353B8" w:rsidRPr="001F4C43">
        <w:rPr>
          <w:rFonts w:ascii="Arial" w:hAnsi="Arial" w:cs="Arial"/>
        </w:rPr>
        <w:t xml:space="preserve">from </w:t>
      </w:r>
      <w:r w:rsidR="00C373E1" w:rsidRPr="001F4C43">
        <w:rPr>
          <w:rFonts w:ascii="Arial" w:hAnsi="Arial" w:cs="Arial"/>
        </w:rPr>
        <w:t>3.2 to 1.9</w:t>
      </w:r>
      <w:r w:rsidR="00D353B8" w:rsidRPr="001F4C43">
        <w:rPr>
          <w:rFonts w:ascii="Arial" w:hAnsi="Arial" w:cs="Arial"/>
        </w:rPr>
        <w:t>,</w:t>
      </w:r>
      <w:r w:rsidR="00C373E1" w:rsidRPr="001F4C43">
        <w:rPr>
          <w:rFonts w:ascii="Arial" w:hAnsi="Arial" w:cs="Arial"/>
        </w:rPr>
        <w:t xml:space="preserve"> </w:t>
      </w:r>
      <w:r w:rsidR="00131F09" w:rsidRPr="001F4C43">
        <w:rPr>
          <w:rFonts w:ascii="Arial" w:hAnsi="Arial" w:cs="Arial"/>
        </w:rPr>
        <w:t xml:space="preserve">and </w:t>
      </w:r>
      <w:r w:rsidR="00D353B8" w:rsidRPr="001F4C43">
        <w:rPr>
          <w:rFonts w:ascii="Arial" w:hAnsi="Arial" w:cs="Arial"/>
        </w:rPr>
        <w:t xml:space="preserve">mean </w:t>
      </w:r>
      <w:r w:rsidR="00131F09" w:rsidRPr="001F4C43">
        <w:rPr>
          <w:rFonts w:ascii="Arial" w:hAnsi="Arial" w:cs="Arial"/>
        </w:rPr>
        <w:t>admissions were reduced</w:t>
      </w:r>
      <w:r w:rsidR="00C373E1" w:rsidRPr="001F4C43">
        <w:rPr>
          <w:rFonts w:ascii="Arial" w:hAnsi="Arial" w:cs="Arial"/>
        </w:rPr>
        <w:t xml:space="preserve"> from 1.8 to 1.1. </w:t>
      </w:r>
      <w:r w:rsidR="002A15B2" w:rsidRPr="001F4C43">
        <w:rPr>
          <w:rFonts w:ascii="Arial" w:eastAsia="Times New Roman" w:hAnsi="Arial" w:cs="Arial"/>
          <w:lang w:eastAsia="en-GB"/>
        </w:rPr>
        <w:t xml:space="preserve">Results from family reported outcome measures (FROMS) has highlighted several outcomes that our patient families found most valuable; a) receiving an assessment to confirm or reject the presence of ARBI, b) helping them understand their loved ones condition c) helping them plan for the future. </w:t>
      </w:r>
    </w:p>
    <w:p w:rsidR="009A3934" w:rsidRPr="001F4C43" w:rsidRDefault="00B3515F" w:rsidP="001F4C43">
      <w:pPr>
        <w:spacing w:after="0" w:line="240" w:lineRule="auto"/>
        <w:rPr>
          <w:rFonts w:ascii="Arial" w:eastAsia="Times New Roman" w:hAnsi="Arial" w:cs="Arial"/>
          <w:lang w:eastAsia="en-GB"/>
        </w:rPr>
      </w:pPr>
      <w:r w:rsidRPr="001F4C43">
        <w:rPr>
          <w:rFonts w:ascii="Arial" w:eastAsia="Times New Roman" w:hAnsi="Arial" w:cs="Arial"/>
          <w:b/>
          <w:lang w:eastAsia="en-GB"/>
        </w:rPr>
        <w:t>Conclusions:</w:t>
      </w:r>
      <w:r w:rsidR="00AF4D48" w:rsidRPr="001F4C43">
        <w:rPr>
          <w:rFonts w:ascii="Arial" w:eastAsia="Times New Roman" w:hAnsi="Arial" w:cs="Arial"/>
          <w:lang w:eastAsia="en-GB"/>
        </w:rPr>
        <w:t xml:space="preserve"> </w:t>
      </w:r>
      <w:r w:rsidR="007135BC" w:rsidRPr="001F4C43">
        <w:rPr>
          <w:rFonts w:ascii="Arial" w:eastAsia="Times New Roman" w:hAnsi="Arial" w:cs="Arial"/>
          <w:lang w:eastAsia="en-GB"/>
        </w:rPr>
        <w:t>We have demonstrated potential benefits of th</w:t>
      </w:r>
      <w:r w:rsidR="00345098" w:rsidRPr="001F4C43">
        <w:rPr>
          <w:rFonts w:ascii="Arial" w:eastAsia="Times New Roman" w:hAnsi="Arial" w:cs="Arial"/>
          <w:lang w:eastAsia="en-GB"/>
        </w:rPr>
        <w:t xml:space="preserve">is point-of-care screening </w:t>
      </w:r>
      <w:r w:rsidR="007135BC" w:rsidRPr="001F4C43">
        <w:rPr>
          <w:rFonts w:ascii="Arial" w:eastAsia="Times New Roman" w:hAnsi="Arial" w:cs="Arial"/>
          <w:lang w:eastAsia="en-GB"/>
        </w:rPr>
        <w:t xml:space="preserve">which </w:t>
      </w:r>
      <w:r w:rsidR="00345098" w:rsidRPr="001F4C43">
        <w:rPr>
          <w:rFonts w:ascii="Arial" w:eastAsia="Times New Roman" w:hAnsi="Arial" w:cs="Arial"/>
          <w:lang w:eastAsia="en-GB"/>
        </w:rPr>
        <w:t xml:space="preserve">can facilitate the initiation of </w:t>
      </w:r>
      <w:r w:rsidR="001E1AB9" w:rsidRPr="001F4C43">
        <w:rPr>
          <w:rFonts w:ascii="Arial" w:eastAsia="Times New Roman" w:hAnsi="Arial" w:cs="Arial"/>
          <w:lang w:eastAsia="en-GB"/>
        </w:rPr>
        <w:t>referral and treatment pathways</w:t>
      </w:r>
      <w:r w:rsidR="00345098" w:rsidRPr="001F4C43">
        <w:rPr>
          <w:rFonts w:ascii="Arial" w:eastAsia="Times New Roman" w:hAnsi="Arial" w:cs="Arial"/>
          <w:lang w:eastAsia="en-GB"/>
        </w:rPr>
        <w:t xml:space="preserve"> wh</w:t>
      </w:r>
      <w:r w:rsidR="005B4D2A" w:rsidRPr="001F4C43">
        <w:rPr>
          <w:rFonts w:ascii="Arial" w:eastAsia="Times New Roman" w:hAnsi="Arial" w:cs="Arial"/>
          <w:lang w:eastAsia="en-GB"/>
        </w:rPr>
        <w:t xml:space="preserve">ich </w:t>
      </w:r>
      <w:r w:rsidR="002C7059" w:rsidRPr="001F4C43">
        <w:rPr>
          <w:rFonts w:ascii="Arial" w:eastAsia="Times New Roman" w:hAnsi="Arial" w:cs="Arial"/>
          <w:lang w:eastAsia="en-GB"/>
        </w:rPr>
        <w:t>can</w:t>
      </w:r>
      <w:r w:rsidR="005B4D2A" w:rsidRPr="001F4C43">
        <w:rPr>
          <w:rFonts w:ascii="Arial" w:eastAsia="Times New Roman" w:hAnsi="Arial" w:cs="Arial"/>
          <w:lang w:eastAsia="en-GB"/>
        </w:rPr>
        <w:t xml:space="preserve"> improve patient</w:t>
      </w:r>
      <w:r w:rsidR="00345098" w:rsidRPr="001F4C43">
        <w:rPr>
          <w:rFonts w:ascii="Arial" w:eastAsia="Times New Roman" w:hAnsi="Arial" w:cs="Arial"/>
          <w:lang w:eastAsia="en-GB"/>
        </w:rPr>
        <w:t xml:space="preserve"> outcomes. </w:t>
      </w:r>
      <w:r w:rsidR="005B4D2A" w:rsidRPr="001F4C43">
        <w:rPr>
          <w:rFonts w:ascii="Arial" w:eastAsia="Times New Roman" w:hAnsi="Arial" w:cs="Arial"/>
          <w:lang w:eastAsia="en-GB"/>
        </w:rPr>
        <w:t>Our results are descriptive</w:t>
      </w:r>
      <w:r w:rsidR="002C7059" w:rsidRPr="001F4C43">
        <w:rPr>
          <w:rFonts w:ascii="Arial" w:eastAsia="Times New Roman" w:hAnsi="Arial" w:cs="Arial"/>
          <w:lang w:eastAsia="en-GB"/>
        </w:rPr>
        <w:t>,</w:t>
      </w:r>
      <w:r w:rsidR="005B4D2A" w:rsidRPr="001F4C43">
        <w:rPr>
          <w:rFonts w:ascii="Arial" w:eastAsia="Times New Roman" w:hAnsi="Arial" w:cs="Arial"/>
          <w:lang w:eastAsia="en-GB"/>
        </w:rPr>
        <w:t xml:space="preserve"> </w:t>
      </w:r>
      <w:r w:rsidR="001B660E" w:rsidRPr="001F4C43">
        <w:rPr>
          <w:rFonts w:ascii="Arial" w:eastAsia="Times New Roman" w:hAnsi="Arial" w:cs="Arial"/>
          <w:lang w:eastAsia="en-GB"/>
        </w:rPr>
        <w:t xml:space="preserve">but may contribute to the </w:t>
      </w:r>
      <w:r w:rsidR="007135BC" w:rsidRPr="001F4C43">
        <w:rPr>
          <w:rFonts w:ascii="Arial" w:eastAsia="Times New Roman" w:hAnsi="Arial" w:cs="Arial"/>
          <w:lang w:eastAsia="en-GB"/>
        </w:rPr>
        <w:t>design</w:t>
      </w:r>
      <w:r w:rsidR="001B660E" w:rsidRPr="001F4C43">
        <w:rPr>
          <w:rFonts w:ascii="Arial" w:eastAsia="Times New Roman" w:hAnsi="Arial" w:cs="Arial"/>
          <w:lang w:eastAsia="en-GB"/>
        </w:rPr>
        <w:t xml:space="preserve"> of</w:t>
      </w:r>
      <w:r w:rsidR="007135BC" w:rsidRPr="001F4C43">
        <w:rPr>
          <w:rFonts w:ascii="Arial" w:eastAsia="Times New Roman" w:hAnsi="Arial" w:cs="Arial"/>
          <w:lang w:eastAsia="en-GB"/>
        </w:rPr>
        <w:t xml:space="preserve"> </w:t>
      </w:r>
      <w:r w:rsidR="002C7059" w:rsidRPr="001F4C43">
        <w:rPr>
          <w:rFonts w:ascii="Arial" w:eastAsia="Times New Roman" w:hAnsi="Arial" w:cs="Arial"/>
          <w:lang w:eastAsia="en-GB"/>
        </w:rPr>
        <w:t xml:space="preserve">clinical </w:t>
      </w:r>
      <w:r w:rsidR="005B4D2A" w:rsidRPr="001F4C43">
        <w:rPr>
          <w:rFonts w:ascii="Arial" w:eastAsia="Times New Roman" w:hAnsi="Arial" w:cs="Arial"/>
          <w:lang w:eastAsia="en-GB"/>
        </w:rPr>
        <w:t xml:space="preserve">trials </w:t>
      </w:r>
      <w:r w:rsidR="001B660E" w:rsidRPr="001F4C43">
        <w:rPr>
          <w:rFonts w:ascii="Arial" w:eastAsia="Times New Roman" w:hAnsi="Arial" w:cs="Arial"/>
          <w:lang w:eastAsia="en-GB"/>
        </w:rPr>
        <w:t xml:space="preserve">that </w:t>
      </w:r>
      <w:r w:rsidR="005B4D2A" w:rsidRPr="001F4C43">
        <w:rPr>
          <w:rFonts w:ascii="Arial" w:eastAsia="Times New Roman" w:hAnsi="Arial" w:cs="Arial"/>
          <w:lang w:eastAsia="en-GB"/>
        </w:rPr>
        <w:t xml:space="preserve">are needed to determine utility, acceptability and validity of our methods and the </w:t>
      </w:r>
      <w:proofErr w:type="spellStart"/>
      <w:r w:rsidR="005B4D2A" w:rsidRPr="001F4C43">
        <w:rPr>
          <w:rFonts w:ascii="Arial" w:eastAsia="Times New Roman" w:hAnsi="Arial" w:cs="Arial"/>
          <w:lang w:eastAsia="en-GB"/>
        </w:rPr>
        <w:t>MoCA</w:t>
      </w:r>
      <w:proofErr w:type="spellEnd"/>
      <w:r w:rsidR="005B4D2A" w:rsidRPr="001F4C43">
        <w:rPr>
          <w:rFonts w:ascii="Arial" w:eastAsia="Times New Roman" w:hAnsi="Arial" w:cs="Arial"/>
          <w:lang w:eastAsia="en-GB"/>
        </w:rPr>
        <w:t xml:space="preserve"> as a screening instrument in this setting. </w:t>
      </w:r>
    </w:p>
    <w:p w:rsidR="00170AB4" w:rsidRPr="001F4C43" w:rsidRDefault="00170AB4" w:rsidP="001F4C43">
      <w:pPr>
        <w:spacing w:after="0" w:line="240" w:lineRule="auto"/>
        <w:rPr>
          <w:rFonts w:ascii="Arial" w:eastAsia="Times New Roman" w:hAnsi="Arial" w:cs="Arial"/>
          <w:b/>
          <w:lang w:eastAsia="en-GB"/>
        </w:rPr>
      </w:pPr>
    </w:p>
    <w:p w:rsidR="009A3934" w:rsidRPr="001F4C43" w:rsidRDefault="009A3934" w:rsidP="001F4C43">
      <w:pPr>
        <w:spacing w:after="0" w:line="240" w:lineRule="auto"/>
        <w:rPr>
          <w:rFonts w:ascii="Arial" w:eastAsia="Times New Roman" w:hAnsi="Arial" w:cs="Arial"/>
          <w:lang w:eastAsia="en-GB"/>
        </w:rPr>
      </w:pPr>
      <w:r w:rsidRPr="001F4C43">
        <w:rPr>
          <w:rFonts w:ascii="Arial" w:eastAsia="Times New Roman" w:hAnsi="Arial" w:cs="Arial"/>
          <w:b/>
          <w:lang w:eastAsia="en-GB"/>
        </w:rPr>
        <w:t>Conflict of Interest Statement:</w:t>
      </w:r>
      <w:r w:rsidRPr="001F4C43">
        <w:rPr>
          <w:rFonts w:ascii="Arial" w:eastAsia="Times New Roman" w:hAnsi="Arial" w:cs="Arial"/>
          <w:lang w:eastAsia="en-GB"/>
        </w:rPr>
        <w:t xml:space="preserve"> The authors confirm no conflict of interest pecuniary or otherwise. </w:t>
      </w:r>
    </w:p>
    <w:p w:rsidR="00B3515F" w:rsidRPr="001F4C43" w:rsidRDefault="00B3515F" w:rsidP="001F4C43">
      <w:pPr>
        <w:spacing w:after="0" w:line="240" w:lineRule="auto"/>
        <w:rPr>
          <w:rFonts w:ascii="Arial" w:eastAsia="Times New Roman" w:hAnsi="Arial" w:cs="Arial"/>
          <w:lang w:eastAsia="en-GB"/>
        </w:rPr>
      </w:pPr>
    </w:p>
    <w:p w:rsidR="00B3515F" w:rsidRPr="001F4C43" w:rsidRDefault="00B3515F" w:rsidP="001F4C43">
      <w:pPr>
        <w:spacing w:after="0" w:line="240" w:lineRule="auto"/>
        <w:rPr>
          <w:rFonts w:ascii="Arial" w:eastAsia="Times New Roman" w:hAnsi="Arial" w:cs="Arial"/>
          <w:lang w:eastAsia="en-GB"/>
        </w:rPr>
      </w:pPr>
    </w:p>
    <w:p w:rsidR="00B3515F" w:rsidRPr="001F4C43" w:rsidRDefault="00B3515F" w:rsidP="001F4C43">
      <w:pPr>
        <w:spacing w:after="0" w:line="240" w:lineRule="auto"/>
        <w:rPr>
          <w:rFonts w:ascii="Arial" w:eastAsia="Times New Roman" w:hAnsi="Arial" w:cs="Arial"/>
          <w:lang w:eastAsia="en-GB"/>
        </w:rPr>
      </w:pPr>
    </w:p>
    <w:p w:rsidR="00B3515F" w:rsidRPr="001F4C43" w:rsidRDefault="00B3515F" w:rsidP="001F4C43">
      <w:pPr>
        <w:spacing w:after="0" w:line="240" w:lineRule="auto"/>
        <w:rPr>
          <w:rFonts w:ascii="Arial" w:eastAsia="Times New Roman" w:hAnsi="Arial" w:cs="Arial"/>
          <w:lang w:eastAsia="en-GB"/>
        </w:rPr>
      </w:pPr>
    </w:p>
    <w:p w:rsidR="00B3515F" w:rsidRPr="001F4C43" w:rsidRDefault="00B3515F" w:rsidP="001F4C43">
      <w:pPr>
        <w:spacing w:line="240" w:lineRule="auto"/>
        <w:rPr>
          <w:rFonts w:ascii="Arial" w:hAnsi="Arial" w:cs="Arial"/>
        </w:rPr>
      </w:pPr>
    </w:p>
    <w:sectPr w:rsidR="00B3515F" w:rsidRPr="001F4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4352"/>
    <w:multiLevelType w:val="hybridMultilevel"/>
    <w:tmpl w:val="C96A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32E77"/>
    <w:multiLevelType w:val="hybridMultilevel"/>
    <w:tmpl w:val="9FF2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8398B"/>
    <w:multiLevelType w:val="hybridMultilevel"/>
    <w:tmpl w:val="171CFC56"/>
    <w:lvl w:ilvl="0" w:tplc="3758B9F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5F"/>
    <w:rsid w:val="000E23BA"/>
    <w:rsid w:val="00121740"/>
    <w:rsid w:val="00131F09"/>
    <w:rsid w:val="001436D9"/>
    <w:rsid w:val="00150B82"/>
    <w:rsid w:val="00170AB4"/>
    <w:rsid w:val="0018386F"/>
    <w:rsid w:val="001B660E"/>
    <w:rsid w:val="001E1AB9"/>
    <w:rsid w:val="001F4C43"/>
    <w:rsid w:val="002A15B2"/>
    <w:rsid w:val="002C7059"/>
    <w:rsid w:val="002E6E97"/>
    <w:rsid w:val="00345098"/>
    <w:rsid w:val="004104EF"/>
    <w:rsid w:val="00432A6F"/>
    <w:rsid w:val="0047025E"/>
    <w:rsid w:val="004D0AB0"/>
    <w:rsid w:val="00533039"/>
    <w:rsid w:val="00573023"/>
    <w:rsid w:val="005B4D2A"/>
    <w:rsid w:val="005B647F"/>
    <w:rsid w:val="006568C8"/>
    <w:rsid w:val="007060BB"/>
    <w:rsid w:val="007135BC"/>
    <w:rsid w:val="00866349"/>
    <w:rsid w:val="008C4871"/>
    <w:rsid w:val="00946A07"/>
    <w:rsid w:val="0099216B"/>
    <w:rsid w:val="009922E4"/>
    <w:rsid w:val="00995C42"/>
    <w:rsid w:val="009A1731"/>
    <w:rsid w:val="009A3934"/>
    <w:rsid w:val="00AF4D48"/>
    <w:rsid w:val="00AF6004"/>
    <w:rsid w:val="00B31746"/>
    <w:rsid w:val="00B3515F"/>
    <w:rsid w:val="00B55CB4"/>
    <w:rsid w:val="00B7408D"/>
    <w:rsid w:val="00B949B1"/>
    <w:rsid w:val="00C14BEA"/>
    <w:rsid w:val="00C373E1"/>
    <w:rsid w:val="00C63690"/>
    <w:rsid w:val="00D353B8"/>
    <w:rsid w:val="00D71DB8"/>
    <w:rsid w:val="00D7611C"/>
    <w:rsid w:val="00DE6071"/>
    <w:rsid w:val="00E01D39"/>
    <w:rsid w:val="00F7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7A25C-2528-491A-8100-A3261C55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3515F"/>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en-GB"/>
    </w:rPr>
  </w:style>
  <w:style w:type="paragraph" w:styleId="ListParagraph">
    <w:name w:val="List Paragraph"/>
    <w:basedOn w:val="Normal"/>
    <w:uiPriority w:val="34"/>
    <w:qFormat/>
    <w:rsid w:val="009A1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Lynn (RQ6) RLBUHT</dc:creator>
  <cp:lastModifiedBy>Owens, Lynn</cp:lastModifiedBy>
  <cp:revision>28</cp:revision>
  <dcterms:created xsi:type="dcterms:W3CDTF">2018-02-08T14:32:00Z</dcterms:created>
  <dcterms:modified xsi:type="dcterms:W3CDTF">2018-02-08T16:36:00Z</dcterms:modified>
</cp:coreProperties>
</file>