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247CA" w14:textId="77777777" w:rsidR="006102CD" w:rsidRPr="00DC1399" w:rsidRDefault="006102CD" w:rsidP="00E852FA">
      <w:pPr>
        <w:spacing w:line="360" w:lineRule="auto"/>
        <w:jc w:val="left"/>
        <w:rPr>
          <w:rFonts w:ascii="Times" w:hAnsi="Times"/>
          <w:b/>
        </w:rPr>
      </w:pPr>
      <w:bookmarkStart w:id="0" w:name="_GoBack"/>
      <w:bookmarkEnd w:id="0"/>
      <w:r w:rsidRPr="00DC1399">
        <w:rPr>
          <w:rFonts w:ascii="Times" w:hAnsi="Times"/>
          <w:b/>
        </w:rPr>
        <w:t>The Impact of HCV Eradication by Direct-acting Antivirals on the Transition of Precancerous Hepatic Nodules to HCC: a Prospective Observational Study</w:t>
      </w:r>
    </w:p>
    <w:p w14:paraId="7887B66E" w14:textId="77777777" w:rsidR="006102CD" w:rsidRPr="00DC1399" w:rsidRDefault="006102CD" w:rsidP="00E852FA">
      <w:pPr>
        <w:spacing w:line="360" w:lineRule="auto"/>
        <w:jc w:val="left"/>
        <w:rPr>
          <w:rFonts w:ascii="Times" w:hAnsi="Times"/>
        </w:rPr>
      </w:pPr>
    </w:p>
    <w:p w14:paraId="76F6A6C4" w14:textId="77777777" w:rsidR="007A6D4C" w:rsidRPr="00DC1399" w:rsidRDefault="007A6D4C" w:rsidP="007A6D4C">
      <w:pPr>
        <w:spacing w:line="360" w:lineRule="auto"/>
        <w:jc w:val="left"/>
        <w:rPr>
          <w:rFonts w:ascii="Times" w:hAnsi="Times"/>
        </w:rPr>
      </w:pPr>
      <w:r w:rsidRPr="00DC1399">
        <w:rPr>
          <w:rFonts w:ascii="Times" w:hAnsi="Times"/>
        </w:rPr>
        <w:t>Hidenori Toyoda</w:t>
      </w:r>
      <w:r w:rsidRPr="00DC1399">
        <w:rPr>
          <w:rFonts w:ascii="Times" w:hAnsi="Times"/>
          <w:vertAlign w:val="superscript"/>
        </w:rPr>
        <w:t>1</w:t>
      </w:r>
      <w:r w:rsidRPr="00DC1399">
        <w:rPr>
          <w:rFonts w:ascii="Times" w:hAnsi="Times"/>
        </w:rPr>
        <w:t>, Takashi Kumada</w:t>
      </w:r>
      <w:r w:rsidRPr="00DC1399">
        <w:rPr>
          <w:rFonts w:ascii="Times" w:hAnsi="Times"/>
          <w:vertAlign w:val="superscript"/>
        </w:rPr>
        <w:t>1</w:t>
      </w:r>
      <w:r w:rsidRPr="00DC1399">
        <w:rPr>
          <w:rFonts w:ascii="Times" w:hAnsi="Times"/>
        </w:rPr>
        <w:t>, Toshifumi Tada</w:t>
      </w:r>
      <w:r w:rsidRPr="00DC1399">
        <w:rPr>
          <w:rFonts w:ascii="Times" w:hAnsi="Times"/>
          <w:vertAlign w:val="superscript"/>
        </w:rPr>
        <w:t>1</w:t>
      </w:r>
      <w:r w:rsidRPr="00DC1399">
        <w:rPr>
          <w:rFonts w:ascii="Times" w:hAnsi="Times"/>
        </w:rPr>
        <w:t>, Kazuyuki Mizuno</w:t>
      </w:r>
      <w:r w:rsidRPr="00DC1399">
        <w:rPr>
          <w:rFonts w:ascii="Times" w:hAnsi="Times"/>
          <w:vertAlign w:val="superscript"/>
        </w:rPr>
        <w:t>1</w:t>
      </w:r>
      <w:r w:rsidRPr="00DC1399">
        <w:rPr>
          <w:rFonts w:ascii="Times" w:hAnsi="Times"/>
        </w:rPr>
        <w:t>, Yasuhiro Sone</w:t>
      </w:r>
      <w:r w:rsidRPr="00DC1399">
        <w:rPr>
          <w:rFonts w:ascii="Times" w:hAnsi="Times"/>
          <w:vertAlign w:val="superscript"/>
        </w:rPr>
        <w:t>2</w:t>
      </w:r>
      <w:r w:rsidRPr="00DC1399">
        <w:rPr>
          <w:rFonts w:ascii="Times" w:hAnsi="Times"/>
        </w:rPr>
        <w:t>, Tomoyuki Akita</w:t>
      </w:r>
      <w:r w:rsidRPr="00DC1399">
        <w:rPr>
          <w:rFonts w:ascii="Times" w:hAnsi="Times"/>
          <w:vertAlign w:val="superscript"/>
        </w:rPr>
        <w:t>3</w:t>
      </w:r>
      <w:r w:rsidRPr="00DC1399">
        <w:rPr>
          <w:rFonts w:ascii="Times" w:hAnsi="Times"/>
        </w:rPr>
        <w:t>, Junko Tanaka</w:t>
      </w:r>
      <w:r w:rsidRPr="00DC1399">
        <w:rPr>
          <w:rFonts w:ascii="Times" w:hAnsi="Times"/>
          <w:vertAlign w:val="superscript"/>
        </w:rPr>
        <w:t>3</w:t>
      </w:r>
      <w:r w:rsidRPr="00DC1399">
        <w:rPr>
          <w:rFonts w:ascii="Times" w:hAnsi="Times"/>
        </w:rPr>
        <w:t>, Philip J. Johnson</w:t>
      </w:r>
      <w:r w:rsidRPr="00DC1399">
        <w:rPr>
          <w:rFonts w:ascii="Times" w:hAnsi="Times"/>
          <w:vertAlign w:val="superscript"/>
        </w:rPr>
        <w:t>4</w:t>
      </w:r>
    </w:p>
    <w:p w14:paraId="6F68920E" w14:textId="77777777" w:rsidR="007A6D4C" w:rsidRPr="00DC1399" w:rsidRDefault="007A6D4C" w:rsidP="007A6D4C">
      <w:pPr>
        <w:spacing w:line="360" w:lineRule="auto"/>
        <w:jc w:val="left"/>
        <w:rPr>
          <w:rFonts w:ascii="Times" w:hAnsi="Times"/>
        </w:rPr>
      </w:pPr>
    </w:p>
    <w:p w14:paraId="19B80FCF" w14:textId="77777777" w:rsidR="007A6D4C" w:rsidRPr="00DC1399" w:rsidRDefault="007A6D4C" w:rsidP="007A6D4C">
      <w:pPr>
        <w:spacing w:line="360" w:lineRule="auto"/>
        <w:jc w:val="left"/>
        <w:rPr>
          <w:rFonts w:ascii="Times" w:hAnsi="Times"/>
        </w:rPr>
      </w:pPr>
      <w:r w:rsidRPr="00DC1399">
        <w:rPr>
          <w:rFonts w:ascii="Times" w:hAnsi="Times"/>
        </w:rPr>
        <w:t xml:space="preserve">Department of </w:t>
      </w:r>
      <w:r w:rsidRPr="00DC1399">
        <w:rPr>
          <w:rFonts w:ascii="Times" w:hAnsi="Times"/>
          <w:vertAlign w:val="superscript"/>
        </w:rPr>
        <w:t>1</w:t>
      </w:r>
      <w:r w:rsidRPr="00DC1399">
        <w:rPr>
          <w:rFonts w:ascii="Times" w:hAnsi="Times"/>
        </w:rPr>
        <w:t xml:space="preserve">Gastroenterology and </w:t>
      </w:r>
      <w:r w:rsidRPr="00DC1399">
        <w:rPr>
          <w:rFonts w:ascii="Times" w:hAnsi="Times"/>
          <w:vertAlign w:val="superscript"/>
        </w:rPr>
        <w:t>2</w:t>
      </w:r>
      <w:r w:rsidRPr="00DC1399">
        <w:rPr>
          <w:rFonts w:ascii="Times" w:hAnsi="Times"/>
        </w:rPr>
        <w:t xml:space="preserve">Radiology, Ogaki Municipal Hospital, Ogaki, Japan, </w:t>
      </w:r>
      <w:r w:rsidRPr="00DC1399">
        <w:rPr>
          <w:rFonts w:ascii="Times" w:hAnsi="Times"/>
          <w:vertAlign w:val="superscript"/>
        </w:rPr>
        <w:t>3</w:t>
      </w:r>
      <w:r w:rsidRPr="00DC1399">
        <w:rPr>
          <w:rFonts w:ascii="Times" w:hAnsi="Times" w:cs="Times"/>
          <w:kern w:val="0"/>
        </w:rPr>
        <w:t xml:space="preserve">Department of Epidemiology, Infectious Disease Control, and Prevention, Hiroshima University Institute of Biomedical and Health Sciences, Hiroshima, Japan, </w:t>
      </w:r>
      <w:r w:rsidRPr="00DC1399">
        <w:rPr>
          <w:rFonts w:ascii="Times" w:hAnsi="Times"/>
          <w:vertAlign w:val="superscript"/>
        </w:rPr>
        <w:t>4</w:t>
      </w:r>
      <w:r w:rsidRPr="00DC1399">
        <w:rPr>
          <w:rFonts w:ascii="Times" w:hAnsi="Times" w:cs="Tahoma"/>
          <w:kern w:val="0"/>
        </w:rPr>
        <w:t>Institute of Translational Medicine, University of Liverpool, Liverpool, U.K.</w:t>
      </w:r>
    </w:p>
    <w:p w14:paraId="068C4443" w14:textId="77777777" w:rsidR="00404DDE" w:rsidRPr="00DC1399" w:rsidRDefault="00404DDE" w:rsidP="00E852FA">
      <w:pPr>
        <w:spacing w:line="360" w:lineRule="auto"/>
        <w:jc w:val="left"/>
        <w:rPr>
          <w:rFonts w:ascii="Times" w:hAnsi="Times"/>
          <w:b/>
          <w:bCs/>
        </w:rPr>
      </w:pPr>
    </w:p>
    <w:p w14:paraId="6966ECFE" w14:textId="77777777" w:rsidR="00404DDE" w:rsidRPr="00DC1399" w:rsidRDefault="00404DDE" w:rsidP="00E852FA">
      <w:pPr>
        <w:spacing w:line="360" w:lineRule="auto"/>
        <w:jc w:val="left"/>
        <w:rPr>
          <w:rFonts w:ascii="Times" w:hAnsi="Times"/>
          <w:bCs/>
          <w:u w:val="single"/>
        </w:rPr>
      </w:pPr>
      <w:r w:rsidRPr="00DC1399">
        <w:rPr>
          <w:rFonts w:ascii="Times" w:hAnsi="Times"/>
          <w:bCs/>
          <w:u w:val="single"/>
        </w:rPr>
        <w:t>Corresponding author</w:t>
      </w:r>
    </w:p>
    <w:p w14:paraId="2C9ECE20" w14:textId="77777777" w:rsidR="00404DDE" w:rsidRPr="00DC1399" w:rsidRDefault="00404DDE" w:rsidP="00E852FA">
      <w:pPr>
        <w:spacing w:line="360" w:lineRule="auto"/>
        <w:jc w:val="left"/>
        <w:rPr>
          <w:rFonts w:ascii="Times" w:hAnsi="Times"/>
        </w:rPr>
      </w:pPr>
      <w:r w:rsidRPr="00DC1399">
        <w:rPr>
          <w:rFonts w:ascii="Times" w:hAnsi="Times"/>
        </w:rPr>
        <w:t>Hidenori Toyoda, MD, PhD.</w:t>
      </w:r>
    </w:p>
    <w:p w14:paraId="63567325" w14:textId="77777777" w:rsidR="00404DDE" w:rsidRPr="00DC1399" w:rsidRDefault="00404DDE" w:rsidP="00E852FA">
      <w:pPr>
        <w:spacing w:line="360" w:lineRule="auto"/>
        <w:jc w:val="left"/>
        <w:rPr>
          <w:rFonts w:ascii="Times" w:hAnsi="Times"/>
        </w:rPr>
      </w:pPr>
      <w:r w:rsidRPr="00DC1399">
        <w:rPr>
          <w:rFonts w:ascii="Times" w:hAnsi="Times"/>
        </w:rPr>
        <w:t xml:space="preserve">Department of Gastroenterology, Ogaki Municipal Hospital, 4-86 </w:t>
      </w:r>
      <w:proofErr w:type="spellStart"/>
      <w:r w:rsidRPr="00DC1399">
        <w:rPr>
          <w:rFonts w:ascii="Times" w:hAnsi="Times"/>
        </w:rPr>
        <w:t>Minaminokawa</w:t>
      </w:r>
      <w:proofErr w:type="spellEnd"/>
      <w:r w:rsidRPr="00DC1399">
        <w:rPr>
          <w:rFonts w:ascii="Times" w:hAnsi="Times"/>
        </w:rPr>
        <w:t>, Ogaki, Gifu, 503-8502 JAPAN, telephone: +81-584-81-3341, facsimile: +81-584-75-5715, email: hmtoyoda@spice.ocn.ne.jp</w:t>
      </w:r>
    </w:p>
    <w:p w14:paraId="2FE67538" w14:textId="77777777" w:rsidR="006102CD" w:rsidRPr="00DC1399" w:rsidRDefault="006102CD" w:rsidP="00E852FA">
      <w:pPr>
        <w:spacing w:line="360" w:lineRule="auto"/>
        <w:jc w:val="left"/>
        <w:rPr>
          <w:rFonts w:ascii="Times" w:hAnsi="Times"/>
        </w:rPr>
      </w:pPr>
    </w:p>
    <w:p w14:paraId="3E6975CC" w14:textId="436D7489" w:rsidR="00404DDE" w:rsidRPr="00DC1399" w:rsidRDefault="00404DDE" w:rsidP="00E852FA">
      <w:pPr>
        <w:spacing w:line="360" w:lineRule="auto"/>
        <w:jc w:val="left"/>
        <w:rPr>
          <w:rFonts w:ascii="Times" w:hAnsi="Times"/>
          <w:b/>
        </w:rPr>
      </w:pPr>
      <w:r w:rsidRPr="00DC1399">
        <w:rPr>
          <w:rFonts w:ascii="Times" w:hAnsi="Times"/>
        </w:rPr>
        <w:t xml:space="preserve">Word count of the text: </w:t>
      </w:r>
      <w:r w:rsidR="002738F0" w:rsidRPr="00DC1399">
        <w:rPr>
          <w:rFonts w:ascii="Times" w:hAnsi="Times"/>
        </w:rPr>
        <w:t>2400</w:t>
      </w:r>
      <w:r w:rsidRPr="00DC1399">
        <w:rPr>
          <w:rFonts w:ascii="Times" w:hAnsi="Times"/>
        </w:rPr>
        <w:t xml:space="preserve"> words</w:t>
      </w:r>
    </w:p>
    <w:p w14:paraId="12F89899" w14:textId="4734D4D9" w:rsidR="00404DDE" w:rsidRPr="00DC1399" w:rsidRDefault="00404DDE" w:rsidP="00E852FA">
      <w:pPr>
        <w:tabs>
          <w:tab w:val="left" w:pos="6075"/>
        </w:tabs>
        <w:spacing w:line="360" w:lineRule="auto"/>
        <w:jc w:val="left"/>
        <w:rPr>
          <w:rFonts w:ascii="Times" w:hAnsi="Times"/>
        </w:rPr>
      </w:pPr>
      <w:r w:rsidRPr="00DC1399">
        <w:rPr>
          <w:rFonts w:ascii="Times" w:hAnsi="Times"/>
        </w:rPr>
        <w:t xml:space="preserve">Number of tables: </w:t>
      </w:r>
      <w:r w:rsidR="00DA041D" w:rsidRPr="00DC1399">
        <w:rPr>
          <w:rFonts w:ascii="Times" w:hAnsi="Times"/>
        </w:rPr>
        <w:t>2</w:t>
      </w:r>
      <w:r w:rsidRPr="00DC1399">
        <w:rPr>
          <w:rFonts w:ascii="Times" w:hAnsi="Times"/>
        </w:rPr>
        <w:t xml:space="preserve"> tables</w:t>
      </w:r>
    </w:p>
    <w:p w14:paraId="6602ED49" w14:textId="1FF90A88" w:rsidR="00404DDE" w:rsidRPr="00DC1399" w:rsidRDefault="00404DDE" w:rsidP="00E852FA">
      <w:pPr>
        <w:spacing w:line="360" w:lineRule="auto"/>
        <w:jc w:val="left"/>
        <w:rPr>
          <w:rFonts w:ascii="Times" w:hAnsi="Times"/>
        </w:rPr>
      </w:pPr>
      <w:r w:rsidRPr="00DC1399">
        <w:rPr>
          <w:rFonts w:ascii="Times" w:hAnsi="Times"/>
        </w:rPr>
        <w:t xml:space="preserve">Number of figures: </w:t>
      </w:r>
      <w:r w:rsidR="00DC1399" w:rsidRPr="00DC1399">
        <w:rPr>
          <w:rFonts w:ascii="Times" w:hAnsi="Times"/>
        </w:rPr>
        <w:t>4</w:t>
      </w:r>
      <w:r w:rsidRPr="00DC1399">
        <w:rPr>
          <w:rFonts w:ascii="Times" w:hAnsi="Times"/>
        </w:rPr>
        <w:t xml:space="preserve"> figures </w:t>
      </w:r>
    </w:p>
    <w:p w14:paraId="19560335" w14:textId="77777777" w:rsidR="00404DDE" w:rsidRPr="00DC1399" w:rsidRDefault="00404DDE" w:rsidP="00E852FA">
      <w:pPr>
        <w:spacing w:line="360" w:lineRule="auto"/>
        <w:jc w:val="left"/>
        <w:rPr>
          <w:rFonts w:ascii="Times" w:hAnsi="Times"/>
          <w:b/>
        </w:rPr>
      </w:pPr>
    </w:p>
    <w:p w14:paraId="0614522C" w14:textId="77777777" w:rsidR="00E852FA" w:rsidRPr="00DC1399" w:rsidRDefault="00E852FA" w:rsidP="00E852FA">
      <w:pPr>
        <w:widowControl/>
        <w:spacing w:line="360" w:lineRule="auto"/>
        <w:jc w:val="left"/>
        <w:rPr>
          <w:rFonts w:ascii="Times" w:hAnsi="Times"/>
          <w:b/>
        </w:rPr>
      </w:pPr>
    </w:p>
    <w:p w14:paraId="5F55F7D5" w14:textId="77777777" w:rsidR="00066DB8" w:rsidRPr="00DC1399" w:rsidRDefault="00066DB8" w:rsidP="00E852FA">
      <w:pPr>
        <w:widowControl/>
        <w:spacing w:line="360" w:lineRule="auto"/>
        <w:jc w:val="left"/>
        <w:rPr>
          <w:rFonts w:ascii="Times" w:hAnsi="Times"/>
          <w:b/>
        </w:rPr>
      </w:pPr>
      <w:r w:rsidRPr="00DC1399">
        <w:rPr>
          <w:rFonts w:ascii="Times" w:hAnsi="Times"/>
          <w:b/>
        </w:rPr>
        <w:lastRenderedPageBreak/>
        <w:t>List of Abbreviations</w:t>
      </w:r>
    </w:p>
    <w:p w14:paraId="001193A1" w14:textId="77777777" w:rsidR="00066DB8" w:rsidRPr="00DC1399" w:rsidRDefault="00066DB8" w:rsidP="00E852FA">
      <w:pPr>
        <w:spacing w:line="360" w:lineRule="auto"/>
        <w:jc w:val="left"/>
        <w:rPr>
          <w:rFonts w:ascii="Times" w:hAnsi="Times"/>
        </w:rPr>
      </w:pPr>
      <w:r w:rsidRPr="00DC1399">
        <w:rPr>
          <w:rFonts w:ascii="Times" w:hAnsi="Times"/>
        </w:rPr>
        <w:t xml:space="preserve">DAA, direct-acting antiviral; </w:t>
      </w:r>
      <w:proofErr w:type="spellStart"/>
      <w:r w:rsidRPr="00DC1399">
        <w:rPr>
          <w:rFonts w:ascii="Times" w:hAnsi="Times"/>
        </w:rPr>
        <w:t>Gd</w:t>
      </w:r>
      <w:proofErr w:type="spellEnd"/>
      <w:r w:rsidRPr="00DC1399">
        <w:rPr>
          <w:rFonts w:ascii="Times" w:hAnsi="Times"/>
        </w:rPr>
        <w:t xml:space="preserve">-EOB-DTPA, </w:t>
      </w:r>
      <w:r w:rsidRPr="00DC1399">
        <w:rPr>
          <w:rFonts w:ascii="Times" w:hAnsi="Times"/>
          <w:kern w:val="0"/>
        </w:rPr>
        <w:t>gadolinium-</w:t>
      </w:r>
      <w:proofErr w:type="spellStart"/>
      <w:r w:rsidRPr="00DC1399">
        <w:rPr>
          <w:rFonts w:ascii="Times" w:hAnsi="Times"/>
          <w:kern w:val="0"/>
        </w:rPr>
        <w:t>ethoxybenzyl</w:t>
      </w:r>
      <w:proofErr w:type="spellEnd"/>
      <w:r w:rsidRPr="00DC1399">
        <w:rPr>
          <w:rFonts w:ascii="Times" w:hAnsi="Times"/>
          <w:kern w:val="0"/>
        </w:rPr>
        <w:t>-</w:t>
      </w:r>
      <w:proofErr w:type="spellStart"/>
      <w:r w:rsidRPr="00DC1399">
        <w:rPr>
          <w:rFonts w:ascii="Times" w:hAnsi="Times"/>
          <w:kern w:val="0"/>
        </w:rPr>
        <w:t>diethylenetriamine</w:t>
      </w:r>
      <w:proofErr w:type="spellEnd"/>
      <w:r w:rsidRPr="00DC1399">
        <w:rPr>
          <w:rFonts w:ascii="Times" w:hAnsi="Times"/>
          <w:kern w:val="0"/>
        </w:rPr>
        <w:t xml:space="preserve"> </w:t>
      </w:r>
      <w:proofErr w:type="spellStart"/>
      <w:r w:rsidRPr="00DC1399">
        <w:rPr>
          <w:rFonts w:ascii="Times" w:hAnsi="Times"/>
          <w:kern w:val="0"/>
        </w:rPr>
        <w:t>pentaacetic</w:t>
      </w:r>
      <w:proofErr w:type="spellEnd"/>
      <w:r w:rsidRPr="00DC1399">
        <w:rPr>
          <w:rFonts w:ascii="Times" w:hAnsi="Times"/>
          <w:kern w:val="0"/>
        </w:rPr>
        <w:t xml:space="preserve"> acid; </w:t>
      </w:r>
      <w:r w:rsidRPr="00DC1399">
        <w:rPr>
          <w:rFonts w:ascii="Times" w:hAnsi="Times"/>
        </w:rPr>
        <w:t xml:space="preserve">HCC, hepatocellular carcinoma; HCV, hepatitis C virus; IFN, interferon; MRI, magnetic resonance imaging; NHHN, non-hypervascular </w:t>
      </w:r>
      <w:proofErr w:type="spellStart"/>
      <w:r w:rsidRPr="00DC1399">
        <w:rPr>
          <w:rFonts w:ascii="Times" w:hAnsi="Times"/>
        </w:rPr>
        <w:t>hypointense</w:t>
      </w:r>
      <w:proofErr w:type="spellEnd"/>
      <w:r w:rsidRPr="00DC1399">
        <w:rPr>
          <w:rFonts w:ascii="Times" w:hAnsi="Times"/>
        </w:rPr>
        <w:t xml:space="preserve"> nodule; </w:t>
      </w:r>
      <w:r w:rsidRPr="00DC1399">
        <w:rPr>
          <w:rFonts w:ascii="Times" w:hAnsi="Times" w:cs="Times"/>
          <w:kern w:val="0"/>
        </w:rPr>
        <w:t>ROC, receiver operating characteristic;</w:t>
      </w:r>
      <w:r w:rsidRPr="00DC1399">
        <w:rPr>
          <w:rFonts w:ascii="Times" w:hAnsi="Times"/>
        </w:rPr>
        <w:t xml:space="preserve"> SVR, sustained virologic response.</w:t>
      </w:r>
    </w:p>
    <w:p w14:paraId="3B66519E" w14:textId="77777777" w:rsidR="00066DB8" w:rsidRPr="00DC1399" w:rsidRDefault="00066DB8" w:rsidP="00E852FA">
      <w:pPr>
        <w:spacing w:line="360" w:lineRule="auto"/>
        <w:jc w:val="left"/>
        <w:rPr>
          <w:rFonts w:ascii="Times" w:hAnsi="Times"/>
          <w:b/>
        </w:rPr>
      </w:pPr>
    </w:p>
    <w:p w14:paraId="4A041AFC" w14:textId="77777777" w:rsidR="000D52F8" w:rsidRPr="00DC1399" w:rsidRDefault="000D52F8" w:rsidP="00E852FA">
      <w:pPr>
        <w:autoSpaceDE w:val="0"/>
        <w:autoSpaceDN w:val="0"/>
        <w:adjustRightInd w:val="0"/>
        <w:spacing w:line="360" w:lineRule="auto"/>
        <w:jc w:val="left"/>
        <w:rPr>
          <w:rFonts w:ascii="Times" w:hAnsi="Times"/>
          <w:b/>
        </w:rPr>
      </w:pPr>
      <w:r w:rsidRPr="00DC1399">
        <w:rPr>
          <w:rFonts w:ascii="Times" w:hAnsi="Times"/>
          <w:b/>
        </w:rPr>
        <w:t>Conflict of interest</w:t>
      </w:r>
    </w:p>
    <w:p w14:paraId="1A8C0A85" w14:textId="77777777" w:rsidR="000D52F8" w:rsidRPr="00DC1399" w:rsidRDefault="000D52F8" w:rsidP="00E852FA">
      <w:pPr>
        <w:autoSpaceDE w:val="0"/>
        <w:autoSpaceDN w:val="0"/>
        <w:adjustRightInd w:val="0"/>
        <w:spacing w:line="360" w:lineRule="auto"/>
        <w:jc w:val="left"/>
        <w:rPr>
          <w:rFonts w:ascii="Times" w:hAnsi="Times" w:cs="Times"/>
          <w:kern w:val="0"/>
        </w:rPr>
      </w:pPr>
      <w:r w:rsidRPr="00DC1399">
        <w:rPr>
          <w:rFonts w:ascii="Times" w:hAnsi="Times" w:cs="Times"/>
          <w:kern w:val="0"/>
        </w:rPr>
        <w:t>Hidenori Toyoda reports lecturer fees from AbbVie and Bristol-Myers Squibb. Takashi Kumada report lecturer fees from Gilead Sciences and Bristol-Myers Squibb.</w:t>
      </w:r>
    </w:p>
    <w:p w14:paraId="097C430C" w14:textId="77777777" w:rsidR="000D52F8" w:rsidRPr="00DC1399" w:rsidRDefault="000D52F8" w:rsidP="00E852FA">
      <w:pPr>
        <w:autoSpaceDE w:val="0"/>
        <w:autoSpaceDN w:val="0"/>
        <w:adjustRightInd w:val="0"/>
        <w:spacing w:line="360" w:lineRule="auto"/>
        <w:jc w:val="left"/>
        <w:rPr>
          <w:rFonts w:ascii="Times" w:hAnsi="Times"/>
          <w:b/>
        </w:rPr>
      </w:pPr>
    </w:p>
    <w:p w14:paraId="7F24D5B5" w14:textId="77777777" w:rsidR="000D52F8" w:rsidRPr="00DC1399" w:rsidRDefault="000D52F8" w:rsidP="00E852FA">
      <w:pPr>
        <w:autoSpaceDE w:val="0"/>
        <w:autoSpaceDN w:val="0"/>
        <w:adjustRightInd w:val="0"/>
        <w:spacing w:line="360" w:lineRule="auto"/>
        <w:jc w:val="left"/>
        <w:rPr>
          <w:rFonts w:ascii="Times" w:hAnsi="Times"/>
          <w:b/>
        </w:rPr>
      </w:pPr>
      <w:r w:rsidRPr="00DC1399">
        <w:rPr>
          <w:rFonts w:ascii="Times" w:hAnsi="Times"/>
          <w:b/>
        </w:rPr>
        <w:t>Financial support</w:t>
      </w:r>
    </w:p>
    <w:p w14:paraId="4327835B" w14:textId="77777777" w:rsidR="000D52F8" w:rsidRPr="00DC1399" w:rsidRDefault="000D52F8" w:rsidP="00E852FA">
      <w:pPr>
        <w:widowControl/>
        <w:spacing w:line="360" w:lineRule="auto"/>
        <w:jc w:val="left"/>
        <w:rPr>
          <w:rFonts w:ascii="Times" w:hAnsi="Times"/>
          <w:b/>
        </w:rPr>
      </w:pPr>
      <w:r w:rsidRPr="00DC1399">
        <w:rPr>
          <w:rFonts w:ascii="Times" w:eastAsia="MS Gothic" w:hAnsi="Times" w:cs="MS Gothic"/>
          <w:kern w:val="0"/>
        </w:rPr>
        <w:t>This work was supported by JSPS KAKENHI Grant Number JP16K15357.</w:t>
      </w:r>
    </w:p>
    <w:p w14:paraId="3198B27C" w14:textId="77777777" w:rsidR="000D52F8" w:rsidRPr="00DC1399" w:rsidRDefault="000D52F8" w:rsidP="0074667A">
      <w:pPr>
        <w:spacing w:line="360" w:lineRule="auto"/>
        <w:jc w:val="left"/>
        <w:rPr>
          <w:rFonts w:ascii="Times" w:hAnsi="Times"/>
          <w:b/>
        </w:rPr>
      </w:pPr>
    </w:p>
    <w:p w14:paraId="4CF5C240" w14:textId="77777777" w:rsidR="00DA041D" w:rsidRPr="00DC1399" w:rsidRDefault="00DA041D">
      <w:pPr>
        <w:widowControl/>
        <w:jc w:val="left"/>
        <w:rPr>
          <w:rFonts w:ascii="Times" w:hAnsi="Times"/>
          <w:b/>
        </w:rPr>
      </w:pPr>
      <w:r w:rsidRPr="00DC1399">
        <w:rPr>
          <w:rFonts w:ascii="Times" w:hAnsi="Times"/>
          <w:b/>
        </w:rPr>
        <w:br w:type="page"/>
      </w:r>
    </w:p>
    <w:p w14:paraId="0F8DDC4B" w14:textId="50D66BE3" w:rsidR="006102CD" w:rsidRPr="00DC1399" w:rsidRDefault="006102CD" w:rsidP="006102CD">
      <w:pPr>
        <w:spacing w:line="480" w:lineRule="auto"/>
        <w:jc w:val="left"/>
        <w:rPr>
          <w:rFonts w:ascii="Times" w:hAnsi="Times"/>
          <w:b/>
        </w:rPr>
      </w:pPr>
      <w:r w:rsidRPr="00DC1399">
        <w:rPr>
          <w:rFonts w:ascii="Times" w:hAnsi="Times"/>
          <w:b/>
        </w:rPr>
        <w:lastRenderedPageBreak/>
        <w:t>Abstract</w:t>
      </w:r>
    </w:p>
    <w:p w14:paraId="5048D6A7" w14:textId="32C686EC" w:rsidR="006102CD" w:rsidRPr="00DC1399" w:rsidRDefault="000D52F8" w:rsidP="006102CD">
      <w:pPr>
        <w:spacing w:line="480" w:lineRule="auto"/>
        <w:jc w:val="left"/>
        <w:rPr>
          <w:rFonts w:ascii="Times" w:hAnsi="Times"/>
        </w:rPr>
      </w:pPr>
      <w:r w:rsidRPr="00DC1399">
        <w:rPr>
          <w:rFonts w:ascii="Times" w:hAnsi="Times"/>
          <w:i/>
        </w:rPr>
        <w:t>Background &amp; Aims</w:t>
      </w:r>
      <w:r w:rsidRPr="00DC1399">
        <w:rPr>
          <w:rFonts w:ascii="Times" w:hAnsi="Times"/>
        </w:rPr>
        <w:t xml:space="preserve">: </w:t>
      </w:r>
      <w:r w:rsidR="006102CD" w:rsidRPr="00DC1399">
        <w:rPr>
          <w:rFonts w:ascii="Times" w:hAnsi="Times"/>
        </w:rPr>
        <w:t>I</w:t>
      </w:r>
      <w:r w:rsidR="00404DDE" w:rsidRPr="00DC1399">
        <w:rPr>
          <w:rFonts w:ascii="Times" w:hAnsi="Times"/>
        </w:rPr>
        <w:t>t remain</w:t>
      </w:r>
      <w:r w:rsidR="006102CD" w:rsidRPr="00DC1399">
        <w:rPr>
          <w:rFonts w:ascii="Times" w:hAnsi="Times"/>
        </w:rPr>
        <w:t xml:space="preserve">s controversial whether the eradication of hepatitis C virus (HCV) by interferon (IFN)-free anti-HCV therapy using direct-acting antivirals (DAAs) suppresses or promotes hepatocellular carcinoma (HCC) development. </w:t>
      </w:r>
      <w:r w:rsidR="002D5506" w:rsidRPr="00DC1399">
        <w:rPr>
          <w:rFonts w:ascii="Times" w:hAnsi="Times"/>
        </w:rPr>
        <w:t>W</w:t>
      </w:r>
      <w:r w:rsidR="006102CD" w:rsidRPr="00DC1399">
        <w:rPr>
          <w:rFonts w:ascii="Times" w:hAnsi="Times"/>
        </w:rPr>
        <w:t xml:space="preserve">e investigated the influence of HCV eradication by DAA therapy on HCC development, by observing changes of non-hypervascular </w:t>
      </w:r>
      <w:proofErr w:type="spellStart"/>
      <w:r w:rsidR="006102CD" w:rsidRPr="00DC1399">
        <w:rPr>
          <w:rFonts w:ascii="Times" w:hAnsi="Times"/>
        </w:rPr>
        <w:t>hypointense</w:t>
      </w:r>
      <w:proofErr w:type="spellEnd"/>
      <w:r w:rsidR="006102CD" w:rsidRPr="00DC1399">
        <w:rPr>
          <w:rFonts w:ascii="Times" w:hAnsi="Times"/>
        </w:rPr>
        <w:t xml:space="preserve"> nodules (NHHNs) by </w:t>
      </w:r>
      <w:r w:rsidR="006102CD" w:rsidRPr="00DC1399">
        <w:rPr>
          <w:rFonts w:ascii="Times" w:hAnsi="Times"/>
          <w:kern w:val="0"/>
        </w:rPr>
        <w:t>gadolinium-</w:t>
      </w:r>
      <w:proofErr w:type="spellStart"/>
      <w:r w:rsidR="006102CD" w:rsidRPr="00DC1399">
        <w:rPr>
          <w:rFonts w:ascii="Times" w:hAnsi="Times"/>
          <w:kern w:val="0"/>
        </w:rPr>
        <w:t>ethoxybenzyl</w:t>
      </w:r>
      <w:proofErr w:type="spellEnd"/>
      <w:r w:rsidR="006102CD" w:rsidRPr="00DC1399">
        <w:rPr>
          <w:rFonts w:ascii="Times" w:hAnsi="Times"/>
          <w:kern w:val="0"/>
        </w:rPr>
        <w:t>-</w:t>
      </w:r>
      <w:proofErr w:type="spellStart"/>
      <w:r w:rsidR="006102CD" w:rsidRPr="00DC1399">
        <w:rPr>
          <w:rFonts w:ascii="Times" w:hAnsi="Times"/>
          <w:kern w:val="0"/>
        </w:rPr>
        <w:t>diethylenetriamine</w:t>
      </w:r>
      <w:proofErr w:type="spellEnd"/>
      <w:r w:rsidR="006102CD" w:rsidRPr="00DC1399">
        <w:rPr>
          <w:rFonts w:ascii="Times" w:hAnsi="Times"/>
          <w:kern w:val="0"/>
        </w:rPr>
        <w:t xml:space="preserve"> </w:t>
      </w:r>
      <w:proofErr w:type="spellStart"/>
      <w:r w:rsidR="006102CD" w:rsidRPr="00DC1399">
        <w:rPr>
          <w:rFonts w:ascii="Times" w:hAnsi="Times"/>
          <w:kern w:val="0"/>
        </w:rPr>
        <w:t>pentaacetic</w:t>
      </w:r>
      <w:proofErr w:type="spellEnd"/>
      <w:r w:rsidR="006102CD" w:rsidRPr="00DC1399">
        <w:rPr>
          <w:rFonts w:ascii="Times" w:hAnsi="Times"/>
          <w:kern w:val="0"/>
        </w:rPr>
        <w:t xml:space="preserve"> acid-enhanced</w:t>
      </w:r>
      <w:r w:rsidR="006102CD" w:rsidRPr="00DC1399">
        <w:rPr>
          <w:rFonts w:ascii="Times" w:hAnsi="Times"/>
        </w:rPr>
        <w:t xml:space="preserve"> magnetic resonance imaging (EOB-MRI). </w:t>
      </w:r>
      <w:r w:rsidRPr="00DC1399">
        <w:rPr>
          <w:rFonts w:ascii="Times" w:hAnsi="Times"/>
          <w:i/>
        </w:rPr>
        <w:t>Methods</w:t>
      </w:r>
      <w:r w:rsidRPr="00DC1399">
        <w:rPr>
          <w:rFonts w:ascii="Times" w:hAnsi="Times"/>
        </w:rPr>
        <w:t xml:space="preserve">: </w:t>
      </w:r>
      <w:r w:rsidR="006102CD" w:rsidRPr="00DC1399">
        <w:rPr>
          <w:rFonts w:ascii="Times" w:hAnsi="Times"/>
        </w:rPr>
        <w:t>A total of 401 patients treated with DAA therapy who did not have a history of HCC were enrolled in this prospective cohort study. All patients underwent EOB-</w:t>
      </w:r>
      <w:r w:rsidR="006102CD" w:rsidRPr="00DC1399">
        <w:rPr>
          <w:rFonts w:ascii="Times" w:hAnsi="Times"/>
          <w:kern w:val="0"/>
        </w:rPr>
        <w:t xml:space="preserve">MRI prior to </w:t>
      </w:r>
      <w:r w:rsidR="006102CD" w:rsidRPr="00DC1399">
        <w:rPr>
          <w:rFonts w:ascii="Times" w:hAnsi="Times"/>
        </w:rPr>
        <w:t xml:space="preserve">the start of DAA therapy and were followed up </w:t>
      </w:r>
      <w:r w:rsidR="006102CD" w:rsidRPr="00DC1399">
        <w:rPr>
          <w:rFonts w:ascii="Times" w:hAnsi="Times"/>
          <w:kern w:val="0"/>
        </w:rPr>
        <w:t xml:space="preserve">periodically after therapy. The progression of NHHNs detected at baseline to typical HCC, as indicated by hypervascularization and the incidence of newly emergent NHHNs, was analyzed. </w:t>
      </w:r>
      <w:r w:rsidRPr="00DC1399">
        <w:rPr>
          <w:rFonts w:ascii="Times" w:hAnsi="Times"/>
          <w:i/>
        </w:rPr>
        <w:t>Results</w:t>
      </w:r>
      <w:r w:rsidRPr="00DC1399">
        <w:rPr>
          <w:rFonts w:ascii="Times" w:hAnsi="Times"/>
        </w:rPr>
        <w:t xml:space="preserve">: </w:t>
      </w:r>
      <w:r w:rsidR="006102CD" w:rsidRPr="00DC1399">
        <w:rPr>
          <w:rFonts w:ascii="Times" w:hAnsi="Times"/>
        </w:rPr>
        <w:t xml:space="preserve">In comparison of patients who achieved sustained virologic response (SVR) with propensity score-matched patients with persistent HCV infection, there was no difference in the incidence of hypervascularization of NHHNs to typical HCC among patients who had NHHNs at </w:t>
      </w:r>
      <w:r w:rsidR="006102CD" w:rsidRPr="00DC1399">
        <w:rPr>
          <w:rFonts w:ascii="Times" w:hAnsi="Times"/>
        </w:rPr>
        <w:lastRenderedPageBreak/>
        <w:t xml:space="preserve">baseline. Among patients who did not have NHHNs at baseline, the incidence of the new emergence of NHHNs did not differ between study patients and propensity score–matched patients with persistent HCV infection. </w:t>
      </w:r>
      <w:r w:rsidRPr="00DC1399">
        <w:rPr>
          <w:rFonts w:ascii="Times" w:hAnsi="Times"/>
          <w:i/>
        </w:rPr>
        <w:t>Conclusions</w:t>
      </w:r>
      <w:r w:rsidRPr="00DC1399">
        <w:rPr>
          <w:rFonts w:ascii="Times" w:hAnsi="Times"/>
        </w:rPr>
        <w:t xml:space="preserve">: </w:t>
      </w:r>
      <w:r w:rsidR="006102CD" w:rsidRPr="00DC1399">
        <w:rPr>
          <w:rFonts w:ascii="Times" w:hAnsi="Times"/>
        </w:rPr>
        <w:t>During a 2-year observation period after SVR, the eradication of HCV by IFN-free DAA therapy did not suppress or enhance HCC development. (UMIN000017020)</w:t>
      </w:r>
    </w:p>
    <w:p w14:paraId="155FA15B" w14:textId="77777777" w:rsidR="006102CD" w:rsidRPr="00DC1399" w:rsidRDefault="006102CD" w:rsidP="006102CD">
      <w:pPr>
        <w:spacing w:line="480" w:lineRule="auto"/>
        <w:jc w:val="left"/>
        <w:rPr>
          <w:rFonts w:ascii="Times" w:hAnsi="Times"/>
        </w:rPr>
      </w:pPr>
    </w:p>
    <w:p w14:paraId="1894E543" w14:textId="44CC4A00" w:rsidR="000D52F8" w:rsidRPr="00DC1399" w:rsidRDefault="000D52F8" w:rsidP="000D52F8">
      <w:pPr>
        <w:tabs>
          <w:tab w:val="left" w:pos="6075"/>
        </w:tabs>
        <w:spacing w:line="480" w:lineRule="auto"/>
        <w:jc w:val="left"/>
        <w:rPr>
          <w:rFonts w:ascii="Times" w:hAnsi="Times"/>
        </w:rPr>
      </w:pPr>
      <w:r w:rsidRPr="00DC1399">
        <w:rPr>
          <w:rFonts w:ascii="Times" w:hAnsi="Times"/>
        </w:rPr>
        <w:t>Word counts of the abstract: 2</w:t>
      </w:r>
      <w:r w:rsidR="00E852FA" w:rsidRPr="00DC1399">
        <w:rPr>
          <w:rFonts w:ascii="Times" w:hAnsi="Times"/>
        </w:rPr>
        <w:t>21</w:t>
      </w:r>
      <w:r w:rsidRPr="00DC1399">
        <w:rPr>
          <w:rFonts w:ascii="Times" w:hAnsi="Times"/>
        </w:rPr>
        <w:t xml:space="preserve"> words</w:t>
      </w:r>
    </w:p>
    <w:p w14:paraId="7D49F04E" w14:textId="77777777" w:rsidR="000D52F8" w:rsidRPr="00DC1399" w:rsidRDefault="000D52F8" w:rsidP="006102CD">
      <w:pPr>
        <w:spacing w:line="480" w:lineRule="auto"/>
        <w:jc w:val="left"/>
        <w:rPr>
          <w:rFonts w:ascii="Times" w:hAnsi="Times"/>
        </w:rPr>
      </w:pPr>
    </w:p>
    <w:p w14:paraId="10BDEDFD" w14:textId="77777777" w:rsidR="006102CD" w:rsidRPr="00DC1399" w:rsidRDefault="006102CD" w:rsidP="006102CD">
      <w:pPr>
        <w:spacing w:line="480" w:lineRule="auto"/>
        <w:jc w:val="left"/>
        <w:rPr>
          <w:rFonts w:ascii="Times" w:hAnsi="Times"/>
        </w:rPr>
      </w:pPr>
      <w:r w:rsidRPr="00DC1399">
        <w:rPr>
          <w:rFonts w:ascii="Times" w:hAnsi="Times"/>
          <w:b/>
        </w:rPr>
        <w:t>Key words</w:t>
      </w:r>
      <w:r w:rsidRPr="00DC1399">
        <w:rPr>
          <w:rFonts w:ascii="Times" w:hAnsi="Times"/>
        </w:rPr>
        <w:t>: hepatitis C virus</w:t>
      </w:r>
      <w:r w:rsidR="00563BAB" w:rsidRPr="00DC1399">
        <w:rPr>
          <w:rFonts w:ascii="Times" w:hAnsi="Times"/>
        </w:rPr>
        <w:t>;</w:t>
      </w:r>
      <w:r w:rsidRPr="00DC1399">
        <w:rPr>
          <w:rFonts w:ascii="Times" w:hAnsi="Times"/>
        </w:rPr>
        <w:t xml:space="preserve"> direct-acting antiviral therapy</w:t>
      </w:r>
      <w:r w:rsidR="00563BAB" w:rsidRPr="00DC1399">
        <w:rPr>
          <w:rFonts w:ascii="Times" w:hAnsi="Times"/>
        </w:rPr>
        <w:t>;</w:t>
      </w:r>
      <w:r w:rsidRPr="00DC1399">
        <w:rPr>
          <w:rFonts w:ascii="Times" w:hAnsi="Times"/>
        </w:rPr>
        <w:t xml:space="preserve"> hepatocellular carcinoma</w:t>
      </w:r>
      <w:r w:rsidR="00563BAB" w:rsidRPr="00DC1399">
        <w:rPr>
          <w:rFonts w:ascii="Times" w:hAnsi="Times"/>
        </w:rPr>
        <w:t>;</w:t>
      </w:r>
      <w:r w:rsidRPr="00DC1399">
        <w:rPr>
          <w:rFonts w:ascii="Times" w:hAnsi="Times"/>
        </w:rPr>
        <w:t xml:space="preserve"> non-hypervascular </w:t>
      </w:r>
      <w:proofErr w:type="spellStart"/>
      <w:r w:rsidRPr="00DC1399">
        <w:rPr>
          <w:rFonts w:ascii="Times" w:hAnsi="Times"/>
        </w:rPr>
        <w:t>hypointense</w:t>
      </w:r>
      <w:proofErr w:type="spellEnd"/>
      <w:r w:rsidRPr="00DC1399">
        <w:rPr>
          <w:rFonts w:ascii="Times" w:hAnsi="Times"/>
        </w:rPr>
        <w:t xml:space="preserve"> nodules</w:t>
      </w:r>
    </w:p>
    <w:p w14:paraId="615FB2CA" w14:textId="77777777" w:rsidR="006102CD" w:rsidRPr="00DC1399" w:rsidRDefault="006102CD" w:rsidP="006102CD">
      <w:pPr>
        <w:widowControl/>
        <w:spacing w:line="480" w:lineRule="auto"/>
        <w:jc w:val="left"/>
        <w:rPr>
          <w:rFonts w:ascii="Times" w:hAnsi="Times"/>
          <w:b/>
        </w:rPr>
      </w:pPr>
      <w:r w:rsidRPr="00DC1399">
        <w:rPr>
          <w:rFonts w:ascii="Times" w:hAnsi="Times"/>
          <w:b/>
        </w:rPr>
        <w:br w:type="page"/>
      </w:r>
    </w:p>
    <w:p w14:paraId="2EB9822F" w14:textId="402B3846" w:rsidR="004C0366" w:rsidRPr="00DC1399" w:rsidRDefault="007A6D4C" w:rsidP="00E852FA">
      <w:pPr>
        <w:spacing w:line="480" w:lineRule="auto"/>
        <w:jc w:val="left"/>
        <w:rPr>
          <w:rFonts w:ascii="Times" w:hAnsi="Times"/>
          <w:b/>
        </w:rPr>
      </w:pPr>
      <w:r w:rsidRPr="00DC1399">
        <w:rPr>
          <w:rFonts w:ascii="Times" w:hAnsi="Times"/>
          <w:b/>
        </w:rPr>
        <w:lastRenderedPageBreak/>
        <w:t>Lay Summary</w:t>
      </w:r>
    </w:p>
    <w:p w14:paraId="0832D786" w14:textId="2182D286" w:rsidR="007A6D4C" w:rsidRPr="00DC1399" w:rsidRDefault="007A6D4C" w:rsidP="007A6D4C">
      <w:pPr>
        <w:widowControl/>
        <w:spacing w:line="480" w:lineRule="auto"/>
        <w:jc w:val="left"/>
        <w:rPr>
          <w:rFonts w:ascii="Times" w:hAnsi="Times"/>
        </w:rPr>
      </w:pPr>
      <w:r w:rsidRPr="00DC1399">
        <w:rPr>
          <w:rFonts w:ascii="Times" w:hAnsi="Times"/>
        </w:rPr>
        <w:t xml:space="preserve">During a 2-year observation period, the eradication of HCV by IFN-free DAA therapy did not influence hypervascularization of non-hypervascular </w:t>
      </w:r>
      <w:proofErr w:type="spellStart"/>
      <w:r w:rsidRPr="00DC1399">
        <w:rPr>
          <w:rFonts w:ascii="Times" w:hAnsi="Times"/>
        </w:rPr>
        <w:t>hypointense</w:t>
      </w:r>
      <w:proofErr w:type="spellEnd"/>
      <w:r w:rsidRPr="00DC1399">
        <w:rPr>
          <w:rFonts w:ascii="Times" w:hAnsi="Times"/>
        </w:rPr>
        <w:t xml:space="preserve"> nodules (NHHNs) detected by </w:t>
      </w:r>
      <w:r w:rsidRPr="00DC1399">
        <w:rPr>
          <w:rFonts w:ascii="Times" w:hAnsi="Times"/>
          <w:kern w:val="0"/>
        </w:rPr>
        <w:t>gadolinium-</w:t>
      </w:r>
      <w:proofErr w:type="spellStart"/>
      <w:r w:rsidRPr="00DC1399">
        <w:rPr>
          <w:rFonts w:ascii="Times" w:hAnsi="Times"/>
          <w:kern w:val="0"/>
        </w:rPr>
        <w:t>ethoxybenzyl</w:t>
      </w:r>
      <w:proofErr w:type="spellEnd"/>
      <w:r w:rsidRPr="00DC1399">
        <w:rPr>
          <w:rFonts w:ascii="Times" w:hAnsi="Times"/>
          <w:kern w:val="0"/>
        </w:rPr>
        <w:t>-</w:t>
      </w:r>
      <w:proofErr w:type="spellStart"/>
      <w:r w:rsidRPr="00DC1399">
        <w:rPr>
          <w:rFonts w:ascii="Times" w:hAnsi="Times"/>
          <w:kern w:val="0"/>
        </w:rPr>
        <w:t>diethylenetriamine</w:t>
      </w:r>
      <w:proofErr w:type="spellEnd"/>
      <w:r w:rsidRPr="00DC1399">
        <w:rPr>
          <w:rFonts w:ascii="Times" w:hAnsi="Times"/>
          <w:kern w:val="0"/>
        </w:rPr>
        <w:t xml:space="preserve"> </w:t>
      </w:r>
      <w:proofErr w:type="spellStart"/>
      <w:r w:rsidRPr="00DC1399">
        <w:rPr>
          <w:rFonts w:ascii="Times" w:hAnsi="Times"/>
          <w:kern w:val="0"/>
        </w:rPr>
        <w:t>pentaacetic</w:t>
      </w:r>
      <w:proofErr w:type="spellEnd"/>
      <w:r w:rsidRPr="00DC1399">
        <w:rPr>
          <w:rFonts w:ascii="Times" w:hAnsi="Times"/>
          <w:kern w:val="0"/>
        </w:rPr>
        <w:t xml:space="preserve"> acid–enhanced</w:t>
      </w:r>
      <w:r w:rsidRPr="00DC1399">
        <w:rPr>
          <w:rFonts w:ascii="Times" w:hAnsi="Times"/>
        </w:rPr>
        <w:t xml:space="preserve"> magnetic resonance imaging to typical HCC among patients who had NHHNs at baseline, and new emergence of NHHNs among patients who did not have NHHNs at baseline. No typical HCC occurred after the eradication of HCV when patients did not have NHHNs at baseline.</w:t>
      </w:r>
    </w:p>
    <w:p w14:paraId="14ECC6A1" w14:textId="77777777" w:rsidR="00FB6BE0" w:rsidRPr="00DC1399" w:rsidRDefault="00FB6BE0" w:rsidP="007A6D4C">
      <w:pPr>
        <w:widowControl/>
        <w:spacing w:line="480" w:lineRule="auto"/>
        <w:jc w:val="left"/>
        <w:rPr>
          <w:rFonts w:ascii="Times" w:hAnsi="Times"/>
        </w:rPr>
      </w:pPr>
    </w:p>
    <w:p w14:paraId="63AF6146" w14:textId="170EDC6F" w:rsidR="00FB6BE0" w:rsidRPr="00DC1399" w:rsidRDefault="00FB6BE0" w:rsidP="00FB6BE0">
      <w:pPr>
        <w:tabs>
          <w:tab w:val="left" w:pos="6075"/>
        </w:tabs>
        <w:spacing w:line="480" w:lineRule="auto"/>
        <w:jc w:val="left"/>
        <w:rPr>
          <w:rFonts w:ascii="Times" w:hAnsi="Times"/>
        </w:rPr>
      </w:pPr>
      <w:r w:rsidRPr="00DC1399">
        <w:rPr>
          <w:rFonts w:ascii="Times" w:hAnsi="Times"/>
        </w:rPr>
        <w:t>Word counts of the lay summary: 72 words</w:t>
      </w:r>
    </w:p>
    <w:p w14:paraId="5A8CB959" w14:textId="77777777" w:rsidR="00FB6BE0" w:rsidRPr="00DC1399" w:rsidRDefault="00FB6BE0" w:rsidP="007A6D4C">
      <w:pPr>
        <w:widowControl/>
        <w:spacing w:line="480" w:lineRule="auto"/>
        <w:jc w:val="left"/>
        <w:rPr>
          <w:rFonts w:ascii="Times" w:hAnsi="Times"/>
        </w:rPr>
      </w:pPr>
    </w:p>
    <w:p w14:paraId="5C1C1210" w14:textId="3ED41D4B" w:rsidR="004C0366" w:rsidRPr="00DC1399" w:rsidRDefault="004C0366" w:rsidP="00E852FA">
      <w:pPr>
        <w:widowControl/>
        <w:spacing w:line="480" w:lineRule="auto"/>
        <w:jc w:val="left"/>
        <w:rPr>
          <w:rFonts w:ascii="Times" w:hAnsi="Times"/>
          <w:b/>
        </w:rPr>
      </w:pPr>
      <w:r w:rsidRPr="00DC1399">
        <w:rPr>
          <w:rFonts w:ascii="Times" w:hAnsi="Times"/>
          <w:b/>
        </w:rPr>
        <w:br w:type="page"/>
      </w:r>
    </w:p>
    <w:p w14:paraId="2F5ACBD8" w14:textId="1D763D58" w:rsidR="006102CD" w:rsidRPr="00DC1399" w:rsidRDefault="006102CD" w:rsidP="006102CD">
      <w:pPr>
        <w:spacing w:line="480" w:lineRule="auto"/>
        <w:jc w:val="left"/>
        <w:rPr>
          <w:rFonts w:ascii="Times" w:hAnsi="Times"/>
          <w:b/>
        </w:rPr>
      </w:pPr>
      <w:r w:rsidRPr="00DC1399">
        <w:rPr>
          <w:rFonts w:ascii="Times" w:hAnsi="Times"/>
          <w:b/>
        </w:rPr>
        <w:lastRenderedPageBreak/>
        <w:t>Introduction</w:t>
      </w:r>
    </w:p>
    <w:p w14:paraId="494AFCDA" w14:textId="20B6D6BE" w:rsidR="006102CD" w:rsidRPr="00DC1399" w:rsidRDefault="006102CD" w:rsidP="006102CD">
      <w:pPr>
        <w:spacing w:line="480" w:lineRule="auto"/>
        <w:jc w:val="left"/>
        <w:rPr>
          <w:rFonts w:ascii="Times" w:hAnsi="Times"/>
        </w:rPr>
      </w:pPr>
      <w:r w:rsidRPr="00DC1399">
        <w:rPr>
          <w:rFonts w:ascii="Times" w:hAnsi="Times"/>
        </w:rPr>
        <w:t xml:space="preserve">     Hepatocellular carcinoma (HCC)</w:t>
      </w:r>
      <w:r w:rsidR="0091072C" w:rsidRPr="00DC1399">
        <w:rPr>
          <w:rFonts w:ascii="Times" w:hAnsi="Times"/>
        </w:rPr>
        <w:t xml:space="preserve"> [</w:t>
      </w:r>
      <w:r w:rsidRPr="00DC1399">
        <w:rPr>
          <w:rFonts w:ascii="Times" w:hAnsi="Times"/>
        </w:rPr>
        <w:t>1,2</w:t>
      </w:r>
      <w:r w:rsidR="0091072C" w:rsidRPr="00DC1399">
        <w:rPr>
          <w:rFonts w:ascii="Times" w:hAnsi="Times"/>
        </w:rPr>
        <w:t>]</w:t>
      </w:r>
      <w:r w:rsidRPr="00DC1399">
        <w:rPr>
          <w:rFonts w:ascii="Times" w:hAnsi="Times"/>
        </w:rPr>
        <w:t xml:space="preserve"> is one of the most important complication</w:t>
      </w:r>
      <w:r w:rsidRPr="00DC1399">
        <w:rPr>
          <w:rFonts w:ascii="Times" w:hAnsi="Times"/>
          <w:b/>
        </w:rPr>
        <w:t>s</w:t>
      </w:r>
      <w:r w:rsidRPr="00DC1399">
        <w:rPr>
          <w:rFonts w:ascii="Times" w:hAnsi="Times"/>
        </w:rPr>
        <w:t xml:space="preserve"> of chronic HCV infection</w:t>
      </w:r>
      <w:r w:rsidR="00CE29B3" w:rsidRPr="00DC1399">
        <w:rPr>
          <w:rFonts w:ascii="Times" w:hAnsi="Times"/>
        </w:rPr>
        <w:t xml:space="preserve"> [</w:t>
      </w:r>
      <w:r w:rsidRPr="00DC1399">
        <w:rPr>
          <w:rFonts w:ascii="Times" w:hAnsi="Times"/>
        </w:rPr>
        <w:t>3</w:t>
      </w:r>
      <w:r w:rsidR="00CE29B3" w:rsidRPr="00DC1399">
        <w:rPr>
          <w:rFonts w:ascii="Times" w:hAnsi="Times"/>
        </w:rPr>
        <w:t>]</w:t>
      </w:r>
      <w:r w:rsidRPr="00DC1399">
        <w:rPr>
          <w:rFonts w:ascii="Times" w:hAnsi="Times"/>
        </w:rPr>
        <w:t>. A paradigm shift in HCV treatment occurred with the introduction of interferon (IFN)-free therapy using direct acting antiviral agents (DAAs). These agents have an excellent safety profile and more than 90% of patients with HCV undergoing DAA therapy achieved sustained virologic response (SVR). Achievement of SVR with IFN-based anti-HCV therapy reportedly resulted in a marked decrease in the incidence of HCC</w:t>
      </w:r>
      <w:r w:rsidR="0015233A" w:rsidRPr="00DC1399">
        <w:rPr>
          <w:rFonts w:ascii="Times" w:hAnsi="Times"/>
        </w:rPr>
        <w:t xml:space="preserve"> [</w:t>
      </w:r>
      <w:r w:rsidRPr="00DC1399">
        <w:rPr>
          <w:rFonts w:ascii="Times" w:hAnsi="Times"/>
        </w:rPr>
        <w:t>4-7</w:t>
      </w:r>
      <w:r w:rsidR="0015233A" w:rsidRPr="00DC1399">
        <w:rPr>
          <w:rFonts w:ascii="Times" w:hAnsi="Times"/>
        </w:rPr>
        <w:t>]</w:t>
      </w:r>
      <w:r w:rsidRPr="00DC1399">
        <w:rPr>
          <w:rFonts w:ascii="Times" w:hAnsi="Times"/>
        </w:rPr>
        <w:t>. However, the effectiveness of HCV eradication by DAA therapy in preventing the development of HCC after SVR remains controversial</w:t>
      </w:r>
      <w:r w:rsidR="0015233A" w:rsidRPr="00DC1399">
        <w:rPr>
          <w:rFonts w:ascii="Times" w:hAnsi="Times"/>
        </w:rPr>
        <w:t xml:space="preserve"> [</w:t>
      </w:r>
      <w:r w:rsidRPr="00DC1399">
        <w:rPr>
          <w:rFonts w:ascii="Times" w:hAnsi="Times"/>
        </w:rPr>
        <w:t>8-16</w:t>
      </w:r>
      <w:r w:rsidR="0015233A" w:rsidRPr="00DC1399">
        <w:rPr>
          <w:rFonts w:ascii="Times" w:hAnsi="Times"/>
        </w:rPr>
        <w:t>]</w:t>
      </w:r>
      <w:r w:rsidRPr="00DC1399">
        <w:rPr>
          <w:rFonts w:ascii="Times" w:hAnsi="Times"/>
        </w:rPr>
        <w:t>. In particular, recent studies have suggested that HCV eradication by DAA therapy might enhance the risk of HCC development or, after resection, recurrence</w:t>
      </w:r>
      <w:r w:rsidR="0015233A" w:rsidRPr="00DC1399">
        <w:rPr>
          <w:rFonts w:ascii="Times" w:hAnsi="Times"/>
        </w:rPr>
        <w:t xml:space="preserve"> [</w:t>
      </w:r>
      <w:r w:rsidRPr="00DC1399">
        <w:rPr>
          <w:rFonts w:ascii="Times" w:hAnsi="Times"/>
        </w:rPr>
        <w:t>8,9,17</w:t>
      </w:r>
      <w:r w:rsidR="0015233A" w:rsidRPr="00DC1399">
        <w:rPr>
          <w:rFonts w:ascii="Times" w:hAnsi="Times"/>
        </w:rPr>
        <w:t>]</w:t>
      </w:r>
      <w:r w:rsidRPr="00DC1399">
        <w:rPr>
          <w:rFonts w:ascii="Times" w:hAnsi="Times"/>
        </w:rPr>
        <w:t>. There is thus an urgent need to determine whether HCV eradication by DAA therapy will prevent or enhance HCC development in patients with chronic HCV infection.</w:t>
      </w:r>
    </w:p>
    <w:p w14:paraId="5CD319CD" w14:textId="554817B4" w:rsidR="006102CD" w:rsidRPr="00DC1399" w:rsidRDefault="006102CD" w:rsidP="006102CD">
      <w:pPr>
        <w:spacing w:line="480" w:lineRule="auto"/>
        <w:jc w:val="left"/>
        <w:rPr>
          <w:rFonts w:ascii="Times" w:hAnsi="Times"/>
        </w:rPr>
      </w:pPr>
      <w:r w:rsidRPr="00DC1399">
        <w:rPr>
          <w:rFonts w:ascii="Times" w:hAnsi="Times"/>
          <w:kern w:val="0"/>
        </w:rPr>
        <w:t xml:space="preserve">     Gadolinium-</w:t>
      </w:r>
      <w:proofErr w:type="spellStart"/>
      <w:r w:rsidRPr="00DC1399">
        <w:rPr>
          <w:rFonts w:ascii="Times" w:hAnsi="Times"/>
          <w:kern w:val="0"/>
        </w:rPr>
        <w:t>ethoxybenzyl</w:t>
      </w:r>
      <w:proofErr w:type="spellEnd"/>
      <w:r w:rsidRPr="00DC1399">
        <w:rPr>
          <w:rFonts w:ascii="Times" w:hAnsi="Times"/>
          <w:kern w:val="0"/>
        </w:rPr>
        <w:t>-</w:t>
      </w:r>
      <w:proofErr w:type="spellStart"/>
      <w:r w:rsidRPr="00DC1399">
        <w:rPr>
          <w:rFonts w:ascii="Times" w:hAnsi="Times"/>
          <w:kern w:val="0"/>
        </w:rPr>
        <w:t>diethylenetriamine</w:t>
      </w:r>
      <w:proofErr w:type="spellEnd"/>
      <w:r w:rsidRPr="00DC1399">
        <w:rPr>
          <w:rFonts w:ascii="Times" w:hAnsi="Times"/>
          <w:kern w:val="0"/>
        </w:rPr>
        <w:t xml:space="preserve"> </w:t>
      </w:r>
      <w:proofErr w:type="spellStart"/>
      <w:r w:rsidRPr="00DC1399">
        <w:rPr>
          <w:rFonts w:ascii="Times" w:hAnsi="Times"/>
          <w:kern w:val="0"/>
        </w:rPr>
        <w:t>pentaacetic</w:t>
      </w:r>
      <w:proofErr w:type="spellEnd"/>
      <w:r w:rsidRPr="00DC1399">
        <w:rPr>
          <w:rFonts w:ascii="Times" w:hAnsi="Times"/>
          <w:kern w:val="0"/>
        </w:rPr>
        <w:t xml:space="preserve"> acid</w:t>
      </w:r>
      <w:r w:rsidR="0015233A" w:rsidRPr="00DC1399">
        <w:rPr>
          <w:rFonts w:ascii="Times" w:hAnsi="Times"/>
          <w:kern w:val="0"/>
        </w:rPr>
        <w:t>–</w:t>
      </w:r>
      <w:r w:rsidRPr="00DC1399">
        <w:rPr>
          <w:rFonts w:ascii="Times" w:hAnsi="Times"/>
          <w:kern w:val="0"/>
        </w:rPr>
        <w:t>enhanced</w:t>
      </w:r>
      <w:r w:rsidRPr="00DC1399">
        <w:rPr>
          <w:rFonts w:ascii="Times" w:hAnsi="Times"/>
        </w:rPr>
        <w:t xml:space="preserve"> magnetic resonance imaging (EOB-MRI) is currently the most sensitive imaging modality to detect liver nodules</w:t>
      </w:r>
      <w:r w:rsidR="0015233A" w:rsidRPr="00DC1399">
        <w:rPr>
          <w:rFonts w:ascii="Times" w:hAnsi="Times"/>
        </w:rPr>
        <w:t xml:space="preserve"> [</w:t>
      </w:r>
      <w:r w:rsidRPr="00DC1399">
        <w:rPr>
          <w:rFonts w:ascii="Times" w:hAnsi="Times"/>
        </w:rPr>
        <w:t>18</w:t>
      </w:r>
      <w:r w:rsidR="0015233A" w:rsidRPr="00DC1399">
        <w:rPr>
          <w:rFonts w:ascii="Times" w:hAnsi="Times"/>
        </w:rPr>
        <w:t>]</w:t>
      </w:r>
      <w:r w:rsidRPr="00DC1399">
        <w:rPr>
          <w:rFonts w:ascii="Times" w:hAnsi="Times"/>
        </w:rPr>
        <w:t xml:space="preserve">. Non-hypervascular </w:t>
      </w:r>
      <w:proofErr w:type="spellStart"/>
      <w:r w:rsidRPr="00DC1399">
        <w:rPr>
          <w:rFonts w:ascii="Times" w:hAnsi="Times"/>
        </w:rPr>
        <w:t>h</w:t>
      </w:r>
      <w:r w:rsidR="0075031D" w:rsidRPr="00DC1399">
        <w:rPr>
          <w:rFonts w:ascii="Times" w:hAnsi="Times"/>
        </w:rPr>
        <w:t>ypointense</w:t>
      </w:r>
      <w:proofErr w:type="spellEnd"/>
      <w:r w:rsidRPr="00DC1399">
        <w:rPr>
          <w:rFonts w:ascii="Times" w:hAnsi="Times"/>
        </w:rPr>
        <w:t xml:space="preserve"> nodules (NHHNs) </w:t>
      </w:r>
      <w:r w:rsidRPr="00DC1399">
        <w:rPr>
          <w:rFonts w:ascii="Times" w:hAnsi="Times"/>
        </w:rPr>
        <w:lastRenderedPageBreak/>
        <w:t>are hepatic nodules that are detected during the hepatobiliary phase of E</w:t>
      </w:r>
      <w:r w:rsidR="001E72C8" w:rsidRPr="00DC1399">
        <w:rPr>
          <w:rFonts w:ascii="Times" w:hAnsi="Times"/>
        </w:rPr>
        <w:t>O</w:t>
      </w:r>
      <w:r w:rsidRPr="00DC1399">
        <w:rPr>
          <w:rFonts w:ascii="Times" w:hAnsi="Times"/>
        </w:rPr>
        <w:t>B-MRI but lack</w:t>
      </w:r>
      <w:r w:rsidR="006234EE" w:rsidRPr="00DC1399">
        <w:rPr>
          <w:rFonts w:ascii="Times" w:hAnsi="Times"/>
        </w:rPr>
        <w:t xml:space="preserve"> </w:t>
      </w:r>
      <w:r w:rsidRPr="00DC1399">
        <w:rPr>
          <w:rFonts w:ascii="Times" w:hAnsi="Times"/>
        </w:rPr>
        <w:t>enhancement during its arterial phase. The precise histological/pathological correlates of NHHNs, as detected by EOB-MRI, remain controversial. Where histological examination has been undertaken they are reported variously as ‘dysplast</w:t>
      </w:r>
      <w:r w:rsidR="001F4276" w:rsidRPr="00DC1399">
        <w:rPr>
          <w:rFonts w:ascii="Times" w:hAnsi="Times"/>
        </w:rPr>
        <w:t>ic nodules’ or ‘very early HCC’</w:t>
      </w:r>
      <w:r w:rsidR="0015233A" w:rsidRPr="00DC1399">
        <w:rPr>
          <w:rFonts w:ascii="Times" w:hAnsi="Times"/>
        </w:rPr>
        <w:t xml:space="preserve"> [</w:t>
      </w:r>
      <w:r w:rsidRPr="00DC1399">
        <w:rPr>
          <w:rFonts w:ascii="Times" w:hAnsi="Times"/>
        </w:rPr>
        <w:t>19</w:t>
      </w:r>
      <w:r w:rsidR="0015233A" w:rsidRPr="00DC1399">
        <w:rPr>
          <w:rFonts w:ascii="Times" w:hAnsi="Times"/>
        </w:rPr>
        <w:t>]</w:t>
      </w:r>
      <w:r w:rsidR="001F4276" w:rsidRPr="00DC1399">
        <w:rPr>
          <w:rFonts w:ascii="Times" w:hAnsi="Times"/>
        </w:rPr>
        <w:t>.</w:t>
      </w:r>
      <w:r w:rsidRPr="00DC1399">
        <w:rPr>
          <w:rFonts w:ascii="Times" w:hAnsi="Times"/>
        </w:rPr>
        <w:t xml:space="preserve"> In any case, NHHNs would not fit a clinical diagnosis of HCC according to current AASLD/EASL guidelines and, to this extent, we believe that such lesions most likely represent a ‘pre-clinical’ stage of HCC. Resected specimens examined after EOB-MRI evidence of hypervascularization are usually reported as well or moderately well-differentiated HCC and, as such represent a further</w:t>
      </w:r>
      <w:r w:rsidR="00F85BFB" w:rsidRPr="00DC1399">
        <w:rPr>
          <w:rFonts w:ascii="Times" w:hAnsi="Times"/>
        </w:rPr>
        <w:t xml:space="preserve"> step in the development of HCC [</w:t>
      </w:r>
      <w:r w:rsidRPr="00DC1399">
        <w:rPr>
          <w:rFonts w:ascii="Times" w:hAnsi="Times"/>
        </w:rPr>
        <w:t>20</w:t>
      </w:r>
      <w:proofErr w:type="gramStart"/>
      <w:r w:rsidRPr="00DC1399">
        <w:rPr>
          <w:rFonts w:ascii="Times" w:hAnsi="Times"/>
        </w:rPr>
        <w:t>,21</w:t>
      </w:r>
      <w:proofErr w:type="gramEnd"/>
      <w:r w:rsidR="00F85BFB" w:rsidRPr="00DC1399">
        <w:rPr>
          <w:rFonts w:ascii="Times" w:hAnsi="Times"/>
        </w:rPr>
        <w:t>].</w:t>
      </w:r>
      <w:r w:rsidRPr="00DC1399">
        <w:rPr>
          <w:rFonts w:ascii="Times" w:hAnsi="Times"/>
        </w:rPr>
        <w:t xml:space="preserve"> Such lesions would be classified as HCC according to AASLD/EASL guidelines</w:t>
      </w:r>
      <w:r w:rsidR="00032F04" w:rsidRPr="00DC1399">
        <w:rPr>
          <w:rFonts w:ascii="Times" w:hAnsi="Times"/>
        </w:rPr>
        <w:t xml:space="preserve"> [</w:t>
      </w:r>
      <w:r w:rsidRPr="00DC1399">
        <w:rPr>
          <w:rFonts w:ascii="Times" w:hAnsi="Times"/>
        </w:rPr>
        <w:t>22,23</w:t>
      </w:r>
      <w:r w:rsidR="00032F04" w:rsidRPr="00DC1399">
        <w:rPr>
          <w:rFonts w:ascii="Times" w:hAnsi="Times"/>
        </w:rPr>
        <w:t>].</w:t>
      </w:r>
    </w:p>
    <w:p w14:paraId="2991A8D0" w14:textId="77777777" w:rsidR="006102CD" w:rsidRPr="00DC1399" w:rsidRDefault="006102CD" w:rsidP="006102CD">
      <w:pPr>
        <w:spacing w:line="480" w:lineRule="auto"/>
        <w:jc w:val="left"/>
        <w:rPr>
          <w:rFonts w:ascii="Times" w:hAnsi="Times"/>
        </w:rPr>
      </w:pPr>
      <w:r w:rsidRPr="00DC1399">
        <w:rPr>
          <w:rFonts w:ascii="Times" w:hAnsi="Times"/>
          <w:kern w:val="0"/>
        </w:rPr>
        <w:t xml:space="preserve">     I</w:t>
      </w:r>
      <w:r w:rsidRPr="00DC1399">
        <w:rPr>
          <w:rFonts w:ascii="Times" w:hAnsi="Times"/>
        </w:rPr>
        <w:t>n this prospective study we have applied this most sensitive method for the detection of preclinical HCC to examine the impact of HCV eradication on the transition of pre-clinical to clinical HCC. We have also examined the impact of HCV eradication on the emergence of new such lesions in patients without these nodules before therapy.</w:t>
      </w:r>
    </w:p>
    <w:p w14:paraId="5405F726" w14:textId="77777777" w:rsidR="006102CD" w:rsidRPr="00DC1399" w:rsidRDefault="006102CD" w:rsidP="006102CD">
      <w:pPr>
        <w:spacing w:line="480" w:lineRule="auto"/>
        <w:jc w:val="left"/>
        <w:rPr>
          <w:rFonts w:ascii="Times" w:hAnsi="Times"/>
        </w:rPr>
      </w:pPr>
    </w:p>
    <w:p w14:paraId="03E74081" w14:textId="77777777" w:rsidR="006102CD" w:rsidRPr="00DC1399" w:rsidRDefault="006102CD" w:rsidP="006102CD">
      <w:pPr>
        <w:spacing w:line="480" w:lineRule="auto"/>
        <w:jc w:val="left"/>
        <w:rPr>
          <w:rFonts w:ascii="Times" w:hAnsi="Times"/>
          <w:b/>
        </w:rPr>
      </w:pPr>
      <w:r w:rsidRPr="00DC1399">
        <w:rPr>
          <w:rFonts w:ascii="Times" w:hAnsi="Times"/>
          <w:b/>
        </w:rPr>
        <w:t>Patients and Methods</w:t>
      </w:r>
    </w:p>
    <w:p w14:paraId="59A24437" w14:textId="77777777" w:rsidR="006102CD" w:rsidRPr="00DC1399" w:rsidRDefault="006102CD" w:rsidP="006102CD">
      <w:pPr>
        <w:spacing w:line="480" w:lineRule="auto"/>
        <w:jc w:val="left"/>
        <w:rPr>
          <w:rFonts w:ascii="Times" w:hAnsi="Times"/>
          <w:i/>
        </w:rPr>
      </w:pPr>
      <w:r w:rsidRPr="00DC1399">
        <w:rPr>
          <w:rFonts w:ascii="Times" w:hAnsi="Times"/>
          <w:i/>
        </w:rPr>
        <w:t>Study Patients</w:t>
      </w:r>
    </w:p>
    <w:p w14:paraId="411FEA64" w14:textId="0FCECBB8" w:rsidR="006102CD" w:rsidRPr="00DC1399" w:rsidRDefault="006102CD" w:rsidP="006102CD">
      <w:pPr>
        <w:spacing w:line="480" w:lineRule="auto"/>
        <w:jc w:val="left"/>
        <w:rPr>
          <w:rFonts w:ascii="Times" w:hAnsi="Times"/>
        </w:rPr>
      </w:pPr>
      <w:r w:rsidRPr="00DC1399">
        <w:rPr>
          <w:rFonts w:ascii="Times" w:hAnsi="Times"/>
        </w:rPr>
        <w:t xml:space="preserve">     Between September 2014 and May 2016, 561 patients with chronic-HCV hepatitis or compensated HCV-related cirrhosis were initiated on DAA therapy. Of these, 470 underwent EOB-MRI within 2 weeks of starting therapy. Ninety-one patients did not undergo EOB-MRI for the following reasons; implantation of metal materials, including pacemakers, bolts for bone fractures, etc., in 29 patients; renal dysfunction in 47 patients; claustrophobia in 9 patients; and patient refusal in 6 patients. Sixty-nine of the 470 patients who underwent pretreatment EOB-MRI had a history of curative HCC treatment. Because this study focused on the development of de novo HCC rather than recurrence, these patients were excluded. The remaining 401 patients were enrolled in this study (Figure 1). </w:t>
      </w:r>
      <w:r w:rsidRPr="00DC1399">
        <w:rPr>
          <w:rFonts w:ascii="Times" w:eastAsia="Osaka" w:hAnsi="Times"/>
        </w:rPr>
        <w:t>No patient with decompensated liver cirrhosis was included in these 401 patients because Japanese Medical Insurance does not allow anti-HCV therapy with DAAs in patients with decompensation. Also, no patients with coinfection with hepatitis B virus or HIV were included.</w:t>
      </w:r>
    </w:p>
    <w:p w14:paraId="006FD433" w14:textId="1E3D073C" w:rsidR="006102CD" w:rsidRPr="00DC1399" w:rsidRDefault="006102CD" w:rsidP="006102CD">
      <w:pPr>
        <w:spacing w:line="480" w:lineRule="auto"/>
        <w:jc w:val="left"/>
        <w:rPr>
          <w:rFonts w:ascii="Times" w:hAnsi="Times"/>
        </w:rPr>
      </w:pPr>
      <w:r w:rsidRPr="00DC1399">
        <w:rPr>
          <w:rFonts w:ascii="Times" w:hAnsi="Times"/>
        </w:rPr>
        <w:lastRenderedPageBreak/>
        <w:t xml:space="preserve">     After DAA therapy, patients underwent routine </w:t>
      </w:r>
      <w:r w:rsidR="006234EE" w:rsidRPr="00DC1399">
        <w:rPr>
          <w:rFonts w:ascii="Times" w:hAnsi="Times"/>
        </w:rPr>
        <w:t xml:space="preserve">ultrasound </w:t>
      </w:r>
      <w:r w:rsidRPr="00DC1399">
        <w:rPr>
          <w:rFonts w:ascii="Times" w:hAnsi="Times"/>
        </w:rPr>
        <w:t xml:space="preserve">surveillance for HCC every 3 to 6 months </w:t>
      </w:r>
      <w:r w:rsidR="00DE7593" w:rsidRPr="00DC1399">
        <w:rPr>
          <w:rFonts w:ascii="Times" w:hAnsi="Times"/>
        </w:rPr>
        <w:t>according to</w:t>
      </w:r>
      <w:r w:rsidRPr="00DC1399">
        <w:rPr>
          <w:rFonts w:ascii="Times" w:hAnsi="Times"/>
        </w:rPr>
        <w:t xml:space="preserve"> Japanese guideline</w:t>
      </w:r>
      <w:r w:rsidR="00A92E02" w:rsidRPr="00DC1399">
        <w:rPr>
          <w:rFonts w:ascii="Times" w:hAnsi="Times"/>
        </w:rPr>
        <w:t xml:space="preserve"> [</w:t>
      </w:r>
      <w:r w:rsidRPr="00DC1399">
        <w:rPr>
          <w:rFonts w:ascii="Times" w:hAnsi="Times"/>
        </w:rPr>
        <w:t>24</w:t>
      </w:r>
      <w:r w:rsidR="00A92E02" w:rsidRPr="00DC1399">
        <w:rPr>
          <w:rFonts w:ascii="Times" w:hAnsi="Times"/>
        </w:rPr>
        <w:t>].</w:t>
      </w:r>
      <w:r w:rsidRPr="00DC1399">
        <w:rPr>
          <w:rFonts w:ascii="Times" w:hAnsi="Times"/>
        </w:rPr>
        <w:t xml:space="preserve"> EOB-MRI examination was repeated every 6 to 9 months in patients in whom NHHN</w:t>
      </w:r>
      <w:r w:rsidR="00DE7593" w:rsidRPr="00DC1399">
        <w:rPr>
          <w:rFonts w:ascii="Times" w:hAnsi="Times"/>
        </w:rPr>
        <w:t>s had been detected</w:t>
      </w:r>
      <w:r w:rsidRPr="00DC1399">
        <w:rPr>
          <w:rFonts w:ascii="Times" w:hAnsi="Times"/>
        </w:rPr>
        <w:t xml:space="preserve"> at baseline. In patients without NHHNs at baseline, EOB-MRI examination was repeated every 6 to 12 months in addition to routine surveillance ultrasonography.</w:t>
      </w:r>
    </w:p>
    <w:p w14:paraId="5D2C6225" w14:textId="7C0D785F" w:rsidR="006102CD" w:rsidRPr="00DC1399" w:rsidRDefault="006102CD" w:rsidP="006102CD">
      <w:pPr>
        <w:spacing w:line="480" w:lineRule="auto"/>
        <w:jc w:val="left"/>
        <w:rPr>
          <w:rFonts w:ascii="Times" w:hAnsi="Times"/>
        </w:rPr>
      </w:pPr>
      <w:r w:rsidRPr="00DC1399">
        <w:rPr>
          <w:rFonts w:ascii="Times" w:hAnsi="Times"/>
        </w:rPr>
        <w:t xml:space="preserve">     This prospective study was conducted after approval by the institutional review board </w:t>
      </w:r>
      <w:r w:rsidR="007A6D4C" w:rsidRPr="00DC1399">
        <w:rPr>
          <w:rFonts w:ascii="Times" w:hAnsi="Times"/>
        </w:rPr>
        <w:t xml:space="preserve">of Ogaki Municipal Hospital </w:t>
      </w:r>
      <w:r w:rsidRPr="00DC1399">
        <w:rPr>
          <w:rFonts w:ascii="Times" w:hAnsi="Times"/>
        </w:rPr>
        <w:t>and was carried out in compliance with the Helsinki Declaration. Written informed consent was obtained from all participating patients.</w:t>
      </w:r>
    </w:p>
    <w:p w14:paraId="0ABE196F" w14:textId="77777777" w:rsidR="006102CD" w:rsidRPr="00DC1399" w:rsidRDefault="006102CD" w:rsidP="006102CD">
      <w:pPr>
        <w:spacing w:line="480" w:lineRule="auto"/>
        <w:jc w:val="left"/>
        <w:rPr>
          <w:rFonts w:ascii="Times" w:hAnsi="Times"/>
        </w:rPr>
      </w:pPr>
    </w:p>
    <w:p w14:paraId="39E27D28" w14:textId="77777777" w:rsidR="006102CD" w:rsidRPr="00DC1399" w:rsidRDefault="006102CD" w:rsidP="006102CD">
      <w:pPr>
        <w:spacing w:line="480" w:lineRule="auto"/>
        <w:jc w:val="left"/>
        <w:rPr>
          <w:rFonts w:ascii="Times" w:hAnsi="Times"/>
          <w:i/>
        </w:rPr>
      </w:pPr>
      <w:r w:rsidRPr="00DC1399">
        <w:rPr>
          <w:rFonts w:ascii="Times" w:hAnsi="Times"/>
          <w:i/>
        </w:rPr>
        <w:t xml:space="preserve">Pretreatment Imaging Examination of Liver Nodules using </w:t>
      </w:r>
      <w:bookmarkStart w:id="1" w:name="OLE_LINK10"/>
      <w:r w:rsidRPr="00DC1399">
        <w:rPr>
          <w:rFonts w:ascii="Times" w:hAnsi="Times"/>
          <w:i/>
          <w:kern w:val="0"/>
        </w:rPr>
        <w:t>EOB</w:t>
      </w:r>
      <w:r w:rsidRPr="00DC1399">
        <w:rPr>
          <w:rFonts w:ascii="Times" w:hAnsi="Times"/>
          <w:i/>
        </w:rPr>
        <w:t>–MRI</w:t>
      </w:r>
      <w:bookmarkEnd w:id="1"/>
      <w:r w:rsidRPr="00DC1399">
        <w:rPr>
          <w:rFonts w:ascii="Times" w:hAnsi="Times"/>
          <w:i/>
        </w:rPr>
        <w:t xml:space="preserve"> and Confirmation of Non-hypervascular </w:t>
      </w:r>
      <w:proofErr w:type="spellStart"/>
      <w:r w:rsidRPr="00DC1399">
        <w:rPr>
          <w:rFonts w:ascii="Times" w:hAnsi="Times"/>
          <w:i/>
        </w:rPr>
        <w:t>Hypointense</w:t>
      </w:r>
      <w:proofErr w:type="spellEnd"/>
      <w:r w:rsidRPr="00DC1399">
        <w:rPr>
          <w:rFonts w:ascii="Times" w:hAnsi="Times"/>
          <w:i/>
        </w:rPr>
        <w:t xml:space="preserve"> Nodules</w:t>
      </w:r>
    </w:p>
    <w:p w14:paraId="40E84C76" w14:textId="77777777" w:rsidR="006102CD" w:rsidRPr="00DC1399" w:rsidRDefault="006102CD" w:rsidP="006102CD">
      <w:pPr>
        <w:autoSpaceDE w:val="0"/>
        <w:autoSpaceDN w:val="0"/>
        <w:adjustRightInd w:val="0"/>
        <w:spacing w:line="480" w:lineRule="auto"/>
        <w:jc w:val="left"/>
        <w:rPr>
          <w:rFonts w:ascii="Times" w:hAnsi="Times"/>
          <w:kern w:val="0"/>
        </w:rPr>
      </w:pPr>
      <w:r w:rsidRPr="00DC1399">
        <w:rPr>
          <w:rFonts w:ascii="Times" w:hAnsi="Times"/>
        </w:rPr>
        <w:t xml:space="preserve">     Patients underwent EOB-MRI within 2 weeks of the start of anti-HCV therapy</w:t>
      </w:r>
      <w:r w:rsidRPr="00DC1399">
        <w:rPr>
          <w:rFonts w:ascii="Times" w:eastAsia="Times-Roman" w:hAnsi="Times"/>
          <w:kern w:val="0"/>
        </w:rPr>
        <w:t xml:space="preserve"> using a 3.0 -T whole -body MRI system (</w:t>
      </w:r>
      <w:r w:rsidRPr="00DC1399">
        <w:rPr>
          <w:rFonts w:ascii="Times" w:hAnsi="Times" w:cs="Times"/>
          <w:kern w:val="0"/>
        </w:rPr>
        <w:t>Discovery MR 750W 3.0T</w:t>
      </w:r>
      <w:r w:rsidRPr="00DC1399">
        <w:rPr>
          <w:rFonts w:ascii="Times" w:eastAsia="Times-Roman" w:hAnsi="Times" w:cs="Times"/>
          <w:kern w:val="0"/>
        </w:rPr>
        <w:t xml:space="preserve">; </w:t>
      </w:r>
      <w:r w:rsidRPr="00DC1399">
        <w:rPr>
          <w:rFonts w:ascii="Times" w:hAnsi="Times" w:cs="Times"/>
          <w:kern w:val="0"/>
        </w:rPr>
        <w:t>GE Healthcare Japan</w:t>
      </w:r>
      <w:r w:rsidRPr="00DC1399">
        <w:rPr>
          <w:rFonts w:ascii="Times" w:eastAsia="Times-Roman" w:hAnsi="Times" w:cs="Times"/>
          <w:kern w:val="0"/>
        </w:rPr>
        <w:t>,</w:t>
      </w:r>
      <w:r w:rsidRPr="00DC1399">
        <w:rPr>
          <w:rFonts w:ascii="Times" w:eastAsia="Times-Roman" w:hAnsi="Times"/>
          <w:kern w:val="0"/>
        </w:rPr>
        <w:t xml:space="preserve"> Tokyo, Japan).</w:t>
      </w:r>
      <w:r w:rsidRPr="00DC1399">
        <w:rPr>
          <w:rFonts w:ascii="Times" w:hAnsi="Times"/>
          <w:kern w:val="0"/>
        </w:rPr>
        <w:t xml:space="preserve"> All imaging findings were independently evaluated by a radiologist (Y.S.) and 2 hepatologists (H.T. and T.T.) who were blinded to the clinical data. Existence of NHHNs was evaluated by comparing the dynamic arterial phase and </w:t>
      </w:r>
      <w:r w:rsidRPr="00DC1399">
        <w:rPr>
          <w:rFonts w:ascii="Times" w:hAnsi="Times"/>
          <w:kern w:val="0"/>
        </w:rPr>
        <w:lastRenderedPageBreak/>
        <w:t xml:space="preserve">the hepatobiliary phase of </w:t>
      </w:r>
      <w:r w:rsidRPr="00DC1399">
        <w:rPr>
          <w:rFonts w:ascii="Times" w:hAnsi="Times"/>
        </w:rPr>
        <w:t xml:space="preserve">EOB-MRI images. When liver nodules that were not typical for NHHNs were noted, other imaging examinations including contrast-enhanced ultrasonography or contrast-enhanced computed tomography were conducted as appropriate. </w:t>
      </w:r>
      <w:r w:rsidRPr="00DC1399">
        <w:rPr>
          <w:rFonts w:ascii="Times" w:hAnsi="Times"/>
          <w:kern w:val="0"/>
        </w:rPr>
        <w:t>If imaging assessments between the reviewers were discordant, consensus was achieved through discussion.</w:t>
      </w:r>
    </w:p>
    <w:p w14:paraId="2ACA180C" w14:textId="77777777" w:rsidR="006102CD" w:rsidRPr="00DC1399" w:rsidRDefault="006102CD" w:rsidP="006102CD">
      <w:pPr>
        <w:spacing w:line="480" w:lineRule="auto"/>
        <w:jc w:val="left"/>
        <w:rPr>
          <w:rFonts w:ascii="Times" w:hAnsi="Times"/>
        </w:rPr>
      </w:pPr>
    </w:p>
    <w:p w14:paraId="26093B49" w14:textId="77777777" w:rsidR="006102CD" w:rsidRPr="00DC1399" w:rsidRDefault="006102CD" w:rsidP="006102CD">
      <w:pPr>
        <w:spacing w:line="480" w:lineRule="auto"/>
        <w:jc w:val="left"/>
        <w:rPr>
          <w:rFonts w:ascii="Times" w:hAnsi="Times"/>
          <w:i/>
        </w:rPr>
      </w:pPr>
      <w:r w:rsidRPr="00DC1399">
        <w:rPr>
          <w:rFonts w:ascii="Times" w:hAnsi="Times"/>
          <w:i/>
        </w:rPr>
        <w:t>Control Patients</w:t>
      </w:r>
    </w:p>
    <w:p w14:paraId="4B341877" w14:textId="0B6A1129" w:rsidR="006102CD" w:rsidRPr="00DC1399" w:rsidRDefault="006102CD" w:rsidP="006102CD">
      <w:pPr>
        <w:spacing w:line="480" w:lineRule="auto"/>
        <w:jc w:val="left"/>
        <w:rPr>
          <w:rFonts w:ascii="Times" w:hAnsi="Times"/>
          <w:b/>
          <w:i/>
        </w:rPr>
      </w:pPr>
      <w:r w:rsidRPr="00DC1399">
        <w:rPr>
          <w:rFonts w:ascii="Times" w:hAnsi="Times"/>
        </w:rPr>
        <w:t xml:space="preserve">     To compare the incidence of hypervascularization of NHHNs and the emergence of new NHHNs between patients in whom HCV was eradicated by DAA therapy and patients with persistent HCV infection, the rates of hypervascularization and new emergence were investigated in patients with persistent HCV infection who had undergone EOB-MRI. A total of 217 patients with chronic HCV infection who did not have a history of HCC underwent EOB-MRI between 2010 and 2015. Among these patients, NHHNs were detected in 59 patients (27.2%). After propensity score matching, the incidence of hypervascularization of these nodules was analyzed and compared with that in patients in whom HCV was eradicated. Similarly, among 158 patients in whom </w:t>
      </w:r>
      <w:r w:rsidRPr="00DC1399">
        <w:rPr>
          <w:rFonts w:ascii="Times" w:hAnsi="Times"/>
        </w:rPr>
        <w:lastRenderedPageBreak/>
        <w:t>NHHNs were not detected at baseline, the incidence of new NHHNs was analyzed and compared with that of patients in whom HCV was eradicated after propensity score matching (Figure 2).</w:t>
      </w:r>
    </w:p>
    <w:p w14:paraId="289B68DF" w14:textId="77777777" w:rsidR="006102CD" w:rsidRPr="00DC1399" w:rsidRDefault="006102CD" w:rsidP="006102CD">
      <w:pPr>
        <w:spacing w:line="480" w:lineRule="auto"/>
        <w:jc w:val="left"/>
        <w:rPr>
          <w:rFonts w:ascii="Times" w:hAnsi="Times"/>
        </w:rPr>
      </w:pPr>
    </w:p>
    <w:p w14:paraId="6D12EC1B" w14:textId="77777777" w:rsidR="006102CD" w:rsidRPr="00DC1399" w:rsidRDefault="006102CD" w:rsidP="006102CD">
      <w:pPr>
        <w:spacing w:line="480" w:lineRule="auto"/>
        <w:jc w:val="left"/>
        <w:rPr>
          <w:rFonts w:ascii="Times" w:hAnsi="Times"/>
          <w:i/>
        </w:rPr>
      </w:pPr>
      <w:r w:rsidRPr="00DC1399">
        <w:rPr>
          <w:rFonts w:ascii="Times" w:hAnsi="Times"/>
          <w:i/>
        </w:rPr>
        <w:t>Statistical Analysis</w:t>
      </w:r>
    </w:p>
    <w:p w14:paraId="09F8B163" w14:textId="630A5A3A" w:rsidR="006102CD" w:rsidRPr="00DC1399" w:rsidRDefault="006102CD" w:rsidP="006102CD">
      <w:pPr>
        <w:spacing w:line="480" w:lineRule="auto"/>
        <w:jc w:val="left"/>
        <w:rPr>
          <w:rFonts w:ascii="Times" w:hAnsi="Times"/>
        </w:rPr>
      </w:pPr>
      <w:r w:rsidRPr="00DC1399">
        <w:rPr>
          <w:rFonts w:ascii="Times" w:hAnsi="Times"/>
        </w:rPr>
        <w:t xml:space="preserve">     Differences in percentages between groups were analyzed using the chi-square test. Quantitative values were compared using the Mann-Whitney U test. Univariate and multivariate analyses were performed for factors associated with the presence of </w:t>
      </w:r>
      <w:r w:rsidR="002B5BFB" w:rsidRPr="00DC1399">
        <w:rPr>
          <w:rFonts w:ascii="Times" w:hAnsi="Times"/>
        </w:rPr>
        <w:t xml:space="preserve">NHHNs on </w:t>
      </w:r>
      <w:proofErr w:type="spellStart"/>
      <w:r w:rsidR="002B5BFB" w:rsidRPr="00DC1399">
        <w:rPr>
          <w:rFonts w:ascii="Times" w:hAnsi="Times"/>
        </w:rPr>
        <w:t>Gd</w:t>
      </w:r>
      <w:proofErr w:type="spellEnd"/>
      <w:r w:rsidR="002B5BFB" w:rsidRPr="00DC1399">
        <w:rPr>
          <w:rFonts w:ascii="Times" w:hAnsi="Times"/>
        </w:rPr>
        <w:t>-EOB-DTPA–</w:t>
      </w:r>
      <w:r w:rsidRPr="00DC1399">
        <w:rPr>
          <w:rFonts w:ascii="Times" w:hAnsi="Times"/>
        </w:rPr>
        <w:t>enhanced MRI at baseline. Only factors that showed a statistically significant association (</w:t>
      </w:r>
      <w:r w:rsidRPr="00DC1399">
        <w:rPr>
          <w:rFonts w:ascii="Times" w:hAnsi="Times"/>
          <w:i/>
        </w:rPr>
        <w:t>P</w:t>
      </w:r>
      <w:r w:rsidRPr="00DC1399">
        <w:rPr>
          <w:rFonts w:ascii="Times" w:hAnsi="Times"/>
        </w:rPr>
        <w:t>&lt;0.05) with the presence of NHHNs by univariate analysis were included in the multivariate analysis; these factors were age, sex, baseline platelet count, baseline ALT, ALB, T-</w:t>
      </w:r>
      <w:proofErr w:type="spellStart"/>
      <w:r w:rsidRPr="00DC1399">
        <w:rPr>
          <w:rFonts w:ascii="Times" w:hAnsi="Times"/>
        </w:rPr>
        <w:t>Bil</w:t>
      </w:r>
      <w:proofErr w:type="spellEnd"/>
      <w:r w:rsidRPr="00DC1399">
        <w:rPr>
          <w:rFonts w:ascii="Times" w:hAnsi="Times"/>
        </w:rPr>
        <w:t>, and AFP.</w:t>
      </w:r>
    </w:p>
    <w:p w14:paraId="24B9D3E5" w14:textId="77777777" w:rsidR="006102CD" w:rsidRPr="00DC1399" w:rsidRDefault="006102CD" w:rsidP="006102CD">
      <w:pPr>
        <w:spacing w:line="480" w:lineRule="auto"/>
        <w:jc w:val="left"/>
        <w:rPr>
          <w:rFonts w:ascii="Times" w:hAnsi="Times"/>
          <w:b/>
        </w:rPr>
      </w:pPr>
      <w:r w:rsidRPr="00DC1399">
        <w:rPr>
          <w:rFonts w:ascii="Times" w:hAnsi="Times"/>
        </w:rPr>
        <w:t xml:space="preserve">     The date of the baseline MRI study was defined as time zero for calculations of the incidence of hypervascularization of NHHNs or new emergence of such nodules. In the analysis of the incidence of hypervascularization of NHHNs among patients with NHHNs at baseline, those who demonstrated hypervascularization of these nodules </w:t>
      </w:r>
      <w:r w:rsidRPr="00DC1399">
        <w:rPr>
          <w:rFonts w:ascii="Times" w:hAnsi="Times"/>
        </w:rPr>
        <w:lastRenderedPageBreak/>
        <w:t xml:space="preserve">were not censored, while those with no hypervascularization were censored. In the analysis of the emergence of new NHHNs among patients without NHHNs at baseline, those in whom NHHNs newly emerged were not censored, while those who did not develop NHHNs were censored. Statistical analysis was performed using JMP statistical software, version 11.0.0 (Macintosh version; SAS Institute, Cary, NC). All </w:t>
      </w:r>
      <w:r w:rsidRPr="00DC1399">
        <w:rPr>
          <w:rFonts w:ascii="Times" w:hAnsi="Times"/>
          <w:i/>
        </w:rPr>
        <w:t>P</w:t>
      </w:r>
      <w:r w:rsidRPr="00DC1399">
        <w:rPr>
          <w:rFonts w:ascii="Times" w:hAnsi="Times"/>
        </w:rPr>
        <w:t xml:space="preserve"> values were derived from two-tailed tests, with </w:t>
      </w:r>
      <w:r w:rsidRPr="00DC1399">
        <w:rPr>
          <w:rFonts w:ascii="Times" w:hAnsi="Times"/>
          <w:i/>
        </w:rPr>
        <w:t>P</w:t>
      </w:r>
      <w:r w:rsidRPr="00DC1399">
        <w:rPr>
          <w:rFonts w:ascii="Times" w:eastAsia="細明朝体" w:hAnsi="Times"/>
        </w:rPr>
        <w:t>&lt;0</w:t>
      </w:r>
      <w:r w:rsidRPr="00DC1399">
        <w:rPr>
          <w:rFonts w:ascii="Times" w:hAnsi="Times"/>
        </w:rPr>
        <w:t>.05 accepted as statistically significant.</w:t>
      </w:r>
    </w:p>
    <w:p w14:paraId="0802C320" w14:textId="33A6D615" w:rsidR="006102CD" w:rsidRPr="00DC1399" w:rsidRDefault="006102CD" w:rsidP="006102CD">
      <w:pPr>
        <w:spacing w:line="480" w:lineRule="auto"/>
        <w:jc w:val="left"/>
        <w:rPr>
          <w:rFonts w:ascii="Times" w:hAnsi="Times"/>
        </w:rPr>
      </w:pPr>
      <w:r w:rsidRPr="00DC1399">
        <w:rPr>
          <w:rFonts w:ascii="Times" w:hAnsi="Times"/>
        </w:rPr>
        <w:t xml:space="preserve">     For </w:t>
      </w:r>
      <w:r w:rsidRPr="00DC1399">
        <w:rPr>
          <w:rFonts w:ascii="Times" w:hAnsi="Times" w:cs="Times"/>
          <w:kern w:val="0"/>
        </w:rPr>
        <w:t xml:space="preserve">propensity score matching to compare the incidence of hypervascularization of baseline </w:t>
      </w:r>
      <w:r w:rsidR="002B5BFB" w:rsidRPr="00DC1399">
        <w:rPr>
          <w:rFonts w:ascii="Times" w:hAnsi="Times"/>
        </w:rPr>
        <w:t xml:space="preserve">NHHNs by </w:t>
      </w:r>
      <w:proofErr w:type="spellStart"/>
      <w:r w:rsidR="002B5BFB" w:rsidRPr="00DC1399">
        <w:rPr>
          <w:rFonts w:ascii="Times" w:hAnsi="Times"/>
        </w:rPr>
        <w:t>Gd</w:t>
      </w:r>
      <w:proofErr w:type="spellEnd"/>
      <w:r w:rsidR="002B5BFB" w:rsidRPr="00DC1399">
        <w:rPr>
          <w:rFonts w:ascii="Times" w:hAnsi="Times"/>
        </w:rPr>
        <w:t>-EOB-DTPA–</w:t>
      </w:r>
      <w:r w:rsidRPr="00DC1399">
        <w:rPr>
          <w:rFonts w:ascii="Times" w:hAnsi="Times"/>
        </w:rPr>
        <w:t>enhanced MRI and the incidence of new NHHNs between patients in whom HCV was eradicated by DAA therapy and those with persistent HCV infection</w:t>
      </w:r>
      <w:r w:rsidRPr="00DC1399">
        <w:rPr>
          <w:rFonts w:ascii="Times" w:hAnsi="Times" w:cs="Times"/>
          <w:kern w:val="0"/>
        </w:rPr>
        <w:t>, we conducted one-to-one pairing of patients based on age, gender, ALT, platelet counts, and cirrhosis with propensity scores matched to two decimal places. The discriminative ability of the propensity score model was assessed using an area under the receiver operating characteristic (ROC) curve. Calibration was assessed using the Hosmer–</w:t>
      </w:r>
      <w:proofErr w:type="spellStart"/>
      <w:r w:rsidRPr="00DC1399">
        <w:rPr>
          <w:rFonts w:ascii="Times" w:hAnsi="Times" w:cs="Times"/>
          <w:kern w:val="0"/>
        </w:rPr>
        <w:t>Lemeshow</w:t>
      </w:r>
      <w:proofErr w:type="spellEnd"/>
      <w:r w:rsidRPr="00DC1399">
        <w:rPr>
          <w:rFonts w:ascii="Times" w:hAnsi="Times" w:cs="Times"/>
          <w:kern w:val="0"/>
        </w:rPr>
        <w:t xml:space="preserve"> goodness-of-fit test. Statistical analysis </w:t>
      </w:r>
      <w:r w:rsidRPr="00DC1399">
        <w:rPr>
          <w:rFonts w:ascii="Times" w:hAnsi="Times" w:cs="Verdana"/>
        </w:rPr>
        <w:t>was performed using SPSS, version 18.0 (IBM, Tokyo, Japan).</w:t>
      </w:r>
    </w:p>
    <w:p w14:paraId="6D044850" w14:textId="77777777" w:rsidR="006102CD" w:rsidRPr="00DC1399" w:rsidRDefault="006102CD" w:rsidP="006102CD">
      <w:pPr>
        <w:spacing w:line="480" w:lineRule="auto"/>
        <w:jc w:val="left"/>
        <w:rPr>
          <w:rFonts w:ascii="Times" w:hAnsi="Times"/>
        </w:rPr>
      </w:pPr>
    </w:p>
    <w:p w14:paraId="58570CE9" w14:textId="77777777" w:rsidR="006102CD" w:rsidRPr="00DC1399" w:rsidRDefault="006102CD" w:rsidP="006102CD">
      <w:pPr>
        <w:spacing w:line="480" w:lineRule="auto"/>
        <w:jc w:val="left"/>
        <w:rPr>
          <w:rFonts w:ascii="Times" w:hAnsi="Times"/>
          <w:b/>
        </w:rPr>
      </w:pPr>
      <w:r w:rsidRPr="00DC1399">
        <w:rPr>
          <w:rFonts w:ascii="Times" w:hAnsi="Times"/>
          <w:b/>
        </w:rPr>
        <w:lastRenderedPageBreak/>
        <w:t>Results</w:t>
      </w:r>
    </w:p>
    <w:p w14:paraId="1E973D8F" w14:textId="77777777" w:rsidR="006102CD" w:rsidRPr="00DC1399" w:rsidRDefault="006102CD" w:rsidP="006102CD">
      <w:pPr>
        <w:spacing w:line="480" w:lineRule="auto"/>
        <w:jc w:val="left"/>
        <w:rPr>
          <w:rFonts w:ascii="Times" w:hAnsi="Times"/>
          <w:i/>
        </w:rPr>
      </w:pPr>
      <w:r w:rsidRPr="00DC1399">
        <w:rPr>
          <w:rFonts w:ascii="Times" w:hAnsi="Times"/>
          <w:i/>
        </w:rPr>
        <w:t>Baseline Characteristics of Study Patients</w:t>
      </w:r>
    </w:p>
    <w:p w14:paraId="2B21548B" w14:textId="77777777" w:rsidR="006102CD" w:rsidRPr="00DC1399" w:rsidRDefault="006102CD" w:rsidP="006102CD">
      <w:pPr>
        <w:spacing w:line="480" w:lineRule="auto"/>
        <w:jc w:val="left"/>
        <w:rPr>
          <w:rFonts w:ascii="Times" w:eastAsia="Osaka" w:hAnsi="Times"/>
        </w:rPr>
      </w:pPr>
      <w:r w:rsidRPr="00DC1399">
        <w:rPr>
          <w:rFonts w:ascii="Times" w:hAnsi="Times"/>
        </w:rPr>
        <w:t xml:space="preserve">     Table 1 shows the characteristics of the study patients. </w:t>
      </w:r>
      <w:r w:rsidRPr="00DC1399">
        <w:rPr>
          <w:rFonts w:ascii="Times" w:eastAsia="Osaka" w:hAnsi="Times"/>
        </w:rPr>
        <w:t xml:space="preserve">Presence of </w:t>
      </w:r>
      <w:r w:rsidRPr="00DC1399">
        <w:rPr>
          <w:rFonts w:ascii="Times" w:hAnsi="Times"/>
        </w:rPr>
        <w:t xml:space="preserve">cirrhosis was defined clinically by presence of esophageal/gastric varices, collateral veins due to portal hypertension, or splenomegaly and was observed in 112 patients (27.9%). </w:t>
      </w:r>
      <w:r w:rsidRPr="00DC1399">
        <w:rPr>
          <w:rFonts w:ascii="Times" w:eastAsia="Osaka" w:hAnsi="Times"/>
        </w:rPr>
        <w:t>NHHN</w:t>
      </w:r>
      <w:r w:rsidRPr="00DC1399">
        <w:rPr>
          <w:rFonts w:ascii="Times" w:hAnsi="Times"/>
        </w:rPr>
        <w:t xml:space="preserve">s were detected in 35 patients (8.7%) by EOB-MRI before DAA therapy. The size of NHHNs was 8.5 (3-19) mm. SVR was achieved in 383 patients (95.5%) by DAA therapy. </w:t>
      </w:r>
      <w:r w:rsidRPr="00DC1399">
        <w:rPr>
          <w:rFonts w:ascii="Times" w:eastAsia="Osaka" w:hAnsi="Times"/>
        </w:rPr>
        <w:t>NHHN</w:t>
      </w:r>
      <w:r w:rsidRPr="00DC1399">
        <w:rPr>
          <w:rFonts w:ascii="Times" w:hAnsi="Times"/>
        </w:rPr>
        <w:t>s were detected at baseline in 33 of 383 patients (8.6%) who achieved SVR and 2 of 18 patients (11.1%) who failed to achieve SVR.</w:t>
      </w:r>
    </w:p>
    <w:p w14:paraId="38B517D0" w14:textId="77777777" w:rsidR="006102CD" w:rsidRPr="00DC1399" w:rsidRDefault="006102CD" w:rsidP="006102CD">
      <w:pPr>
        <w:spacing w:line="480" w:lineRule="auto"/>
        <w:jc w:val="left"/>
        <w:rPr>
          <w:rFonts w:ascii="Times" w:hAnsi="Times"/>
        </w:rPr>
      </w:pPr>
    </w:p>
    <w:p w14:paraId="165F4CB3" w14:textId="77777777" w:rsidR="006102CD" w:rsidRPr="00DC1399" w:rsidRDefault="006102CD" w:rsidP="006102CD">
      <w:pPr>
        <w:spacing w:line="480" w:lineRule="auto"/>
        <w:jc w:val="left"/>
        <w:rPr>
          <w:rFonts w:ascii="Times" w:hAnsi="Times"/>
          <w:i/>
        </w:rPr>
      </w:pPr>
      <w:r w:rsidRPr="00DC1399">
        <w:rPr>
          <w:rFonts w:ascii="Times" w:hAnsi="Times"/>
          <w:i/>
        </w:rPr>
        <w:t>Hypervascularization of Baseline NHHNs and Emergence of New NHHNs after the Eradication of HCV</w:t>
      </w:r>
    </w:p>
    <w:p w14:paraId="3E17FEF0" w14:textId="636CB8AB" w:rsidR="006805F1" w:rsidRPr="00DC1399" w:rsidRDefault="006102CD" w:rsidP="006102CD">
      <w:pPr>
        <w:spacing w:line="480" w:lineRule="auto"/>
        <w:jc w:val="left"/>
        <w:rPr>
          <w:rFonts w:ascii="Times" w:eastAsia="Osaka" w:hAnsi="Times"/>
        </w:rPr>
      </w:pPr>
      <w:r w:rsidRPr="00DC1399">
        <w:rPr>
          <w:rFonts w:ascii="Times" w:hAnsi="Times"/>
        </w:rPr>
        <w:t xml:space="preserve">     Patients were followed up for 12.7 </w:t>
      </w:r>
      <w:r w:rsidRPr="00DC1399">
        <w:rPr>
          <w:rFonts w:ascii="Times" w:eastAsia="Osaka" w:hAnsi="Times"/>
        </w:rPr>
        <w:t xml:space="preserve">± 4.6 months (median, 13.6 months) after SVR. No patients were lost to follow-up. </w:t>
      </w:r>
      <w:r w:rsidR="009A715B" w:rsidRPr="00DC1399">
        <w:rPr>
          <w:rFonts w:ascii="Times" w:eastAsia="Osaka" w:hAnsi="Times"/>
        </w:rPr>
        <w:t>Typical hypervascular</w:t>
      </w:r>
      <w:r w:rsidR="006805F1" w:rsidRPr="00DC1399">
        <w:rPr>
          <w:rFonts w:ascii="Times" w:eastAsia="Osaka" w:hAnsi="Times"/>
        </w:rPr>
        <w:t xml:space="preserve"> HCC developed in 6 patients after DAA therapy: 5 patients who achieved SVR and one patient who failed to achieve SVR. HCC developed in 3 of 190 patients (1.58%) who underwent </w:t>
      </w:r>
      <w:proofErr w:type="spellStart"/>
      <w:r w:rsidR="006805F1" w:rsidRPr="00DC1399">
        <w:rPr>
          <w:rFonts w:ascii="Times" w:eastAsia="Osaka" w:hAnsi="Times"/>
        </w:rPr>
        <w:t>daclatasvir</w:t>
      </w:r>
      <w:proofErr w:type="spellEnd"/>
      <w:r w:rsidR="006805F1" w:rsidRPr="00DC1399">
        <w:rPr>
          <w:rFonts w:ascii="Times" w:eastAsia="Osaka" w:hAnsi="Times"/>
        </w:rPr>
        <w:t xml:space="preserve"> + </w:t>
      </w:r>
      <w:proofErr w:type="spellStart"/>
      <w:r w:rsidR="006805F1" w:rsidRPr="00DC1399">
        <w:rPr>
          <w:rFonts w:ascii="Times" w:eastAsia="Osaka" w:hAnsi="Times"/>
        </w:rPr>
        <w:lastRenderedPageBreak/>
        <w:t>asunaprevir</w:t>
      </w:r>
      <w:proofErr w:type="spellEnd"/>
      <w:r w:rsidR="006805F1" w:rsidRPr="00DC1399">
        <w:rPr>
          <w:rFonts w:ascii="Times" w:eastAsia="Osaka" w:hAnsi="Times"/>
        </w:rPr>
        <w:t xml:space="preserve"> for 24 weeks (including one patient with failure of SVR), one of 96 patients (1.04%) who underwent </w:t>
      </w:r>
      <w:proofErr w:type="spellStart"/>
      <w:r w:rsidR="006805F1" w:rsidRPr="00DC1399">
        <w:rPr>
          <w:rFonts w:ascii="Times" w:eastAsia="Osaka" w:hAnsi="Times"/>
        </w:rPr>
        <w:t>sofosbuvir</w:t>
      </w:r>
      <w:proofErr w:type="spellEnd"/>
      <w:r w:rsidR="006805F1" w:rsidRPr="00DC1399">
        <w:rPr>
          <w:rFonts w:ascii="Times" w:eastAsia="Osaka" w:hAnsi="Times"/>
        </w:rPr>
        <w:t xml:space="preserve"> + </w:t>
      </w:r>
      <w:proofErr w:type="spellStart"/>
      <w:r w:rsidR="006805F1" w:rsidRPr="00DC1399">
        <w:rPr>
          <w:rFonts w:ascii="Times" w:eastAsia="Osaka" w:hAnsi="Times"/>
        </w:rPr>
        <w:t>ledipasvir</w:t>
      </w:r>
      <w:proofErr w:type="spellEnd"/>
      <w:r w:rsidR="006805F1" w:rsidRPr="00DC1399">
        <w:rPr>
          <w:rFonts w:ascii="Times" w:eastAsia="Osaka" w:hAnsi="Times"/>
        </w:rPr>
        <w:t xml:space="preserve"> for 12 weeks, and 2 of 115 patients (1.74%) who underwent </w:t>
      </w:r>
      <w:proofErr w:type="spellStart"/>
      <w:r w:rsidR="006805F1" w:rsidRPr="00DC1399">
        <w:rPr>
          <w:rFonts w:ascii="Times" w:eastAsia="Osaka" w:hAnsi="Times"/>
        </w:rPr>
        <w:t>sofosbuvir</w:t>
      </w:r>
      <w:proofErr w:type="spellEnd"/>
      <w:r w:rsidR="006805F1" w:rsidRPr="00DC1399">
        <w:rPr>
          <w:rFonts w:ascii="Times" w:eastAsia="Osaka" w:hAnsi="Times"/>
        </w:rPr>
        <w:t xml:space="preserve"> + ribavirin for 12 weeks.</w:t>
      </w:r>
    </w:p>
    <w:p w14:paraId="610E231A" w14:textId="10166D8B" w:rsidR="006102CD" w:rsidRPr="00DC1399" w:rsidRDefault="006805F1" w:rsidP="006102CD">
      <w:pPr>
        <w:spacing w:line="480" w:lineRule="auto"/>
        <w:jc w:val="left"/>
        <w:rPr>
          <w:rFonts w:ascii="Times" w:hAnsi="Times"/>
        </w:rPr>
      </w:pPr>
      <w:r w:rsidRPr="00DC1399">
        <w:rPr>
          <w:rFonts w:ascii="Times" w:eastAsia="Osaka" w:hAnsi="Times"/>
        </w:rPr>
        <w:t xml:space="preserve">     </w:t>
      </w:r>
      <w:r w:rsidR="006102CD" w:rsidRPr="00DC1399">
        <w:rPr>
          <w:rFonts w:ascii="Times" w:hAnsi="Times"/>
        </w:rPr>
        <w:t xml:space="preserve">Among 383 patients who achieved SVR, 33 had </w:t>
      </w:r>
      <w:r w:rsidR="006102CD" w:rsidRPr="00DC1399">
        <w:rPr>
          <w:rFonts w:ascii="Times" w:eastAsia="Osaka" w:hAnsi="Times"/>
        </w:rPr>
        <w:t>NHHN</w:t>
      </w:r>
      <w:r w:rsidR="006102CD" w:rsidRPr="00DC1399">
        <w:rPr>
          <w:rFonts w:ascii="Times" w:hAnsi="Times"/>
        </w:rPr>
        <w:t xml:space="preserve">s detected before DAA therapy. Hypervascularization of </w:t>
      </w:r>
      <w:r w:rsidR="006102CD" w:rsidRPr="00DC1399">
        <w:rPr>
          <w:rFonts w:ascii="Times" w:eastAsia="Osaka" w:hAnsi="Times"/>
        </w:rPr>
        <w:t>NHHN</w:t>
      </w:r>
      <w:r w:rsidR="006102CD" w:rsidRPr="00DC1399">
        <w:rPr>
          <w:rFonts w:ascii="Times" w:hAnsi="Times"/>
        </w:rPr>
        <w:t xml:space="preserve">s was observed in 5 of 33 patients (15.2%, </w:t>
      </w:r>
      <w:r w:rsidR="00083CED" w:rsidRPr="00DC1399">
        <w:rPr>
          <w:rFonts w:ascii="Times" w:hAnsi="Times"/>
        </w:rPr>
        <w:t>Supplementary f</w:t>
      </w:r>
      <w:r w:rsidR="006102CD" w:rsidRPr="00DC1399">
        <w:rPr>
          <w:rFonts w:ascii="Times" w:hAnsi="Times"/>
        </w:rPr>
        <w:t xml:space="preserve">igure </w:t>
      </w:r>
      <w:r w:rsidR="00083CED" w:rsidRPr="00DC1399">
        <w:rPr>
          <w:rFonts w:ascii="Times" w:hAnsi="Times"/>
        </w:rPr>
        <w:t>1</w:t>
      </w:r>
      <w:r w:rsidR="006102CD" w:rsidRPr="00DC1399">
        <w:rPr>
          <w:rFonts w:ascii="Times" w:hAnsi="Times"/>
        </w:rPr>
        <w:t xml:space="preserve">, Table </w:t>
      </w:r>
      <w:r w:rsidR="00641E2F" w:rsidRPr="00DC1399">
        <w:rPr>
          <w:rFonts w:ascii="Times" w:hAnsi="Times"/>
        </w:rPr>
        <w:t>2</w:t>
      </w:r>
      <w:r w:rsidR="00083CED" w:rsidRPr="00DC1399">
        <w:rPr>
          <w:rFonts w:ascii="Times" w:hAnsi="Times"/>
        </w:rPr>
        <w:t>a</w:t>
      </w:r>
      <w:r w:rsidR="006102CD" w:rsidRPr="00DC1399">
        <w:rPr>
          <w:rFonts w:ascii="Times" w:hAnsi="Times"/>
        </w:rPr>
        <w:t xml:space="preserve">). All of these liver nodules were confirmed as typical hypervascular HCC by dynamic enhanced computed tomography and angiography after EOB-MRI. All patients underwent hepatic resection, and HCC was confirmed histologically based on the resected specimens. </w:t>
      </w:r>
      <w:r w:rsidR="00827A44" w:rsidRPr="00DC1399">
        <w:rPr>
          <w:rFonts w:ascii="Times" w:hAnsi="Times"/>
        </w:rPr>
        <w:t>The r</w:t>
      </w:r>
      <w:r w:rsidR="006102CD" w:rsidRPr="00DC1399">
        <w:rPr>
          <w:rFonts w:ascii="Times" w:hAnsi="Times"/>
        </w:rPr>
        <w:t>esected HCC</w:t>
      </w:r>
      <w:r w:rsidR="00827A44" w:rsidRPr="00DC1399">
        <w:rPr>
          <w:rFonts w:ascii="Times" w:hAnsi="Times"/>
        </w:rPr>
        <w:t>s were</w:t>
      </w:r>
      <w:r w:rsidR="006102CD" w:rsidRPr="00DC1399">
        <w:rPr>
          <w:rFonts w:ascii="Times" w:hAnsi="Times"/>
        </w:rPr>
        <w:t xml:space="preserve"> </w:t>
      </w:r>
      <w:r w:rsidR="007309BC" w:rsidRPr="00DC1399">
        <w:rPr>
          <w:rFonts w:ascii="Times" w:hAnsi="Times"/>
        </w:rPr>
        <w:t xml:space="preserve">well-differentiated in 3 patients and were </w:t>
      </w:r>
      <w:r w:rsidR="006102CD" w:rsidRPr="00DC1399">
        <w:rPr>
          <w:rFonts w:ascii="Times" w:hAnsi="Times"/>
        </w:rPr>
        <w:t xml:space="preserve">moderately differentiated in the remaining </w:t>
      </w:r>
      <w:r w:rsidR="007309BC" w:rsidRPr="00DC1399">
        <w:rPr>
          <w:rFonts w:ascii="Times" w:hAnsi="Times"/>
        </w:rPr>
        <w:t>2</w:t>
      </w:r>
      <w:r w:rsidR="00F50838" w:rsidRPr="00DC1399">
        <w:rPr>
          <w:rFonts w:ascii="Times" w:hAnsi="Times"/>
        </w:rPr>
        <w:t xml:space="preserve"> patients</w:t>
      </w:r>
      <w:r w:rsidR="006102CD" w:rsidRPr="00DC1399">
        <w:rPr>
          <w:rFonts w:ascii="Times" w:hAnsi="Times"/>
        </w:rPr>
        <w:t>. All but one had histologically confirmed cirrhosis at resection. The sizes of NHHNs at baseline were 3 to 16 mm, and increased after hypervascularization except in one patient. In another patient, one of 2 NHHNs showed hypervascularization.</w:t>
      </w:r>
    </w:p>
    <w:p w14:paraId="76657F7F" w14:textId="730BC74D" w:rsidR="006102CD" w:rsidRPr="00DC1399" w:rsidRDefault="006102CD" w:rsidP="006102CD">
      <w:pPr>
        <w:spacing w:line="480" w:lineRule="auto"/>
        <w:jc w:val="left"/>
        <w:rPr>
          <w:rFonts w:ascii="Times" w:hAnsi="Times"/>
        </w:rPr>
      </w:pPr>
      <w:r w:rsidRPr="00DC1399">
        <w:rPr>
          <w:rFonts w:ascii="Times" w:hAnsi="Times"/>
        </w:rPr>
        <w:t xml:space="preserve">     Among the 350 patients in whom NHHNs were not detected at baseline and who achieved SVR, 8 patients (2.3%) demonstrated the new development of </w:t>
      </w:r>
      <w:r w:rsidRPr="00DC1399">
        <w:rPr>
          <w:rFonts w:ascii="Times" w:eastAsia="Osaka" w:hAnsi="Times"/>
        </w:rPr>
        <w:t>such</w:t>
      </w:r>
      <w:r w:rsidRPr="00DC1399">
        <w:rPr>
          <w:rFonts w:ascii="Times" w:hAnsi="Times"/>
        </w:rPr>
        <w:t xml:space="preserve"> nodules</w:t>
      </w:r>
      <w:r w:rsidR="00083CED" w:rsidRPr="00DC1399">
        <w:rPr>
          <w:rFonts w:ascii="Times" w:hAnsi="Times"/>
        </w:rPr>
        <w:t xml:space="preserve"> (Supplementary figure 2)</w:t>
      </w:r>
      <w:r w:rsidRPr="00DC1399">
        <w:rPr>
          <w:rFonts w:ascii="Times" w:hAnsi="Times"/>
        </w:rPr>
        <w:t xml:space="preserve">. No hypervascular typical HCCs were detected in these 350 </w:t>
      </w:r>
      <w:r w:rsidRPr="00DC1399">
        <w:rPr>
          <w:rFonts w:ascii="Times" w:hAnsi="Times"/>
        </w:rPr>
        <w:lastRenderedPageBreak/>
        <w:t>patients.</w:t>
      </w:r>
    </w:p>
    <w:p w14:paraId="2ED93049" w14:textId="77777777" w:rsidR="006102CD" w:rsidRPr="00DC1399" w:rsidRDefault="006102CD" w:rsidP="006102CD">
      <w:pPr>
        <w:spacing w:line="480" w:lineRule="auto"/>
        <w:jc w:val="left"/>
        <w:rPr>
          <w:rFonts w:ascii="Times" w:hAnsi="Times"/>
        </w:rPr>
      </w:pPr>
    </w:p>
    <w:p w14:paraId="5D1E31D1" w14:textId="77777777" w:rsidR="006102CD" w:rsidRPr="00DC1399" w:rsidRDefault="006102CD" w:rsidP="006102CD">
      <w:pPr>
        <w:spacing w:line="480" w:lineRule="auto"/>
        <w:jc w:val="left"/>
        <w:rPr>
          <w:rFonts w:ascii="Times" w:hAnsi="Times"/>
          <w:i/>
        </w:rPr>
      </w:pPr>
      <w:r w:rsidRPr="00DC1399">
        <w:rPr>
          <w:rFonts w:ascii="Times" w:hAnsi="Times"/>
          <w:i/>
        </w:rPr>
        <w:t>Hypervascularization Rates of NHHNs in Patients with HCV Eradication versus Patients with Persistent HCV Infection: Propensity Score-Matched Comparison Among Patients with NHHNs at Baseline</w:t>
      </w:r>
    </w:p>
    <w:p w14:paraId="6A69FBD6" w14:textId="0EAF0F56" w:rsidR="006102CD" w:rsidRPr="00DC1399" w:rsidRDefault="006102CD" w:rsidP="006102CD">
      <w:pPr>
        <w:spacing w:line="480" w:lineRule="auto"/>
        <w:jc w:val="left"/>
        <w:rPr>
          <w:rFonts w:ascii="Times" w:eastAsia="Osaka" w:hAnsi="Times"/>
        </w:rPr>
      </w:pPr>
      <w:r w:rsidRPr="00DC1399">
        <w:rPr>
          <w:rFonts w:ascii="Times" w:hAnsi="Times"/>
        </w:rPr>
        <w:t xml:space="preserve">     Among patients who had NHHNs at baseline, propensity score matching was used to compare the incidence of hypervascularization of NHHNs in patients who achieved SVR with that in patients with persistent HCV infection. Thirty-three patients with persistent HCV infection were selected as matched controls. </w:t>
      </w:r>
      <w:r w:rsidRPr="00DC1399">
        <w:rPr>
          <w:rFonts w:ascii="Times" w:hAnsi="Times" w:cs="Times"/>
          <w:kern w:val="0"/>
        </w:rPr>
        <w:t xml:space="preserve">As shown in Supplementary Table 1, there were no significant differences in the </w:t>
      </w:r>
      <w:r w:rsidRPr="00DC1399">
        <w:rPr>
          <w:rFonts w:ascii="Times" w:eastAsia="平成角ゴシック" w:hAnsi="Times"/>
        </w:rPr>
        <w:t xml:space="preserve">characteristics of patients </w:t>
      </w:r>
      <w:r w:rsidRPr="00DC1399">
        <w:rPr>
          <w:rFonts w:ascii="Times" w:eastAsia="Osaka" w:hAnsi="Times"/>
        </w:rPr>
        <w:t>who achieved SVR and those who did not.</w:t>
      </w:r>
      <w:r w:rsidR="00B9498B" w:rsidRPr="00DC1399">
        <w:rPr>
          <w:rFonts w:ascii="Times" w:eastAsia="Osaka" w:hAnsi="Times"/>
        </w:rPr>
        <w:t xml:space="preserve"> </w:t>
      </w:r>
      <w:r w:rsidR="00830C60" w:rsidRPr="00DC1399">
        <w:rPr>
          <w:rFonts w:ascii="Times" w:eastAsia="Osaka" w:hAnsi="Times"/>
        </w:rPr>
        <w:t xml:space="preserve">In </w:t>
      </w:r>
      <w:r w:rsidR="0097087B" w:rsidRPr="00DC1399">
        <w:rPr>
          <w:rFonts w:ascii="Times" w:eastAsia="Osaka" w:hAnsi="Times"/>
        </w:rPr>
        <w:t xml:space="preserve">the </w:t>
      </w:r>
      <w:r w:rsidR="00830C60" w:rsidRPr="00DC1399">
        <w:rPr>
          <w:rFonts w:ascii="Times" w:eastAsia="Osaka" w:hAnsi="Times"/>
        </w:rPr>
        <w:t xml:space="preserve">control patients, </w:t>
      </w:r>
      <w:r w:rsidR="0097087B" w:rsidRPr="00DC1399">
        <w:rPr>
          <w:rFonts w:ascii="Times" w:eastAsia="Osaka" w:hAnsi="Times"/>
        </w:rPr>
        <w:t xml:space="preserve">typical hypervascular </w:t>
      </w:r>
      <w:r w:rsidR="00830C60" w:rsidRPr="00DC1399">
        <w:rPr>
          <w:rFonts w:ascii="Times" w:eastAsia="Osaka" w:hAnsi="Times"/>
        </w:rPr>
        <w:t>HCC developed in 8 patients in the observation period (Table 2b).</w:t>
      </w:r>
    </w:p>
    <w:p w14:paraId="7EEF2392" w14:textId="34A78DC4" w:rsidR="006102CD" w:rsidRPr="00DC1399" w:rsidRDefault="006102CD" w:rsidP="006102CD">
      <w:pPr>
        <w:spacing w:line="480" w:lineRule="auto"/>
        <w:jc w:val="left"/>
        <w:rPr>
          <w:rFonts w:ascii="Times" w:hAnsi="Times"/>
        </w:rPr>
      </w:pPr>
      <w:r w:rsidRPr="00DC1399">
        <w:rPr>
          <w:rFonts w:ascii="Times" w:eastAsia="Osaka" w:hAnsi="Times"/>
        </w:rPr>
        <w:t xml:space="preserve">     Figure </w:t>
      </w:r>
      <w:r w:rsidR="009A715B" w:rsidRPr="00DC1399">
        <w:rPr>
          <w:rFonts w:ascii="Times" w:eastAsia="Osaka" w:hAnsi="Times"/>
        </w:rPr>
        <w:t>3</w:t>
      </w:r>
      <w:r w:rsidRPr="00DC1399">
        <w:rPr>
          <w:rFonts w:ascii="Times" w:eastAsia="Osaka" w:hAnsi="Times"/>
        </w:rPr>
        <w:t xml:space="preserve"> </w:t>
      </w:r>
      <w:r w:rsidR="00A21AA0" w:rsidRPr="00DC1399">
        <w:rPr>
          <w:rFonts w:ascii="Times" w:eastAsia="Osaka" w:hAnsi="Times"/>
        </w:rPr>
        <w:t>and supplementary figure 3 compare</w:t>
      </w:r>
      <w:r w:rsidRPr="00DC1399">
        <w:rPr>
          <w:rFonts w:ascii="Times" w:eastAsia="Osaka" w:hAnsi="Times"/>
        </w:rPr>
        <w:t xml:space="preserve"> the incidence </w:t>
      </w:r>
      <w:r w:rsidR="00A21AA0" w:rsidRPr="00DC1399">
        <w:rPr>
          <w:rFonts w:ascii="Times" w:eastAsia="Osaka" w:hAnsi="Times"/>
        </w:rPr>
        <w:t xml:space="preserve">and time interval </w:t>
      </w:r>
      <w:r w:rsidRPr="00DC1399">
        <w:rPr>
          <w:rFonts w:ascii="Times" w:eastAsia="Osaka" w:hAnsi="Times"/>
        </w:rPr>
        <w:t xml:space="preserve">of the transition from </w:t>
      </w:r>
      <w:r w:rsidRPr="00DC1399">
        <w:rPr>
          <w:rFonts w:ascii="Times" w:hAnsi="Times"/>
        </w:rPr>
        <w:t xml:space="preserve">NHHNs </w:t>
      </w:r>
      <w:r w:rsidRPr="00DC1399">
        <w:rPr>
          <w:rFonts w:ascii="Times" w:eastAsia="Osaka" w:hAnsi="Times"/>
        </w:rPr>
        <w:t>to typical hypervascular HCC</w:t>
      </w:r>
      <w:r w:rsidRPr="00DC1399">
        <w:rPr>
          <w:rFonts w:ascii="Times" w:hAnsi="Times"/>
        </w:rPr>
        <w:t xml:space="preserve"> in patients who achieved SVR and those with persistent HCV infection. Follow-up EOB-MRI studies began at </w:t>
      </w:r>
      <w:r w:rsidR="00A21AA0" w:rsidRPr="00DC1399">
        <w:rPr>
          <w:rFonts w:ascii="Times" w:hAnsi="Times"/>
        </w:rPr>
        <w:t xml:space="preserve">approximately </w:t>
      </w:r>
      <w:r w:rsidRPr="00DC1399">
        <w:rPr>
          <w:rFonts w:ascii="Times" w:hAnsi="Times"/>
        </w:rPr>
        <w:t xml:space="preserve">6 months after baseline. There was no significant difference in the </w:t>
      </w:r>
      <w:r w:rsidRPr="00DC1399">
        <w:rPr>
          <w:rFonts w:ascii="Times" w:hAnsi="Times"/>
        </w:rPr>
        <w:lastRenderedPageBreak/>
        <w:t>incidence of hypervascularization at 12, 18, 24 months between those who did achieve SVR (11.8%, 24.2% and 25.2%) and those with persistent HCV infection (9.1%, 15.2%, and 24.9%) respectively (</w:t>
      </w:r>
      <w:r w:rsidRPr="00DC1399">
        <w:rPr>
          <w:rFonts w:ascii="Times" w:hAnsi="Times"/>
          <w:i/>
        </w:rPr>
        <w:t>P</w:t>
      </w:r>
      <w:r w:rsidRPr="00DC1399">
        <w:rPr>
          <w:rFonts w:ascii="Times" w:hAnsi="Times"/>
        </w:rPr>
        <w:t>=0.6170).</w:t>
      </w:r>
    </w:p>
    <w:p w14:paraId="37348848" w14:textId="77777777" w:rsidR="006102CD" w:rsidRPr="00DC1399" w:rsidRDefault="006102CD" w:rsidP="006102CD">
      <w:pPr>
        <w:spacing w:line="480" w:lineRule="auto"/>
        <w:jc w:val="left"/>
        <w:rPr>
          <w:rFonts w:ascii="Times" w:hAnsi="Times"/>
        </w:rPr>
      </w:pPr>
    </w:p>
    <w:p w14:paraId="755D0FE3" w14:textId="77777777" w:rsidR="006102CD" w:rsidRPr="00DC1399" w:rsidRDefault="006102CD" w:rsidP="006102CD">
      <w:pPr>
        <w:spacing w:line="480" w:lineRule="auto"/>
        <w:jc w:val="left"/>
        <w:rPr>
          <w:rFonts w:ascii="Times" w:hAnsi="Times"/>
          <w:i/>
        </w:rPr>
      </w:pPr>
      <w:r w:rsidRPr="00DC1399">
        <w:rPr>
          <w:rFonts w:ascii="Times" w:hAnsi="Times"/>
          <w:i/>
        </w:rPr>
        <w:t>Emergence of NHHNs in Patients with HCV Eradication and Patients with Persistent HCV infection: Propensity Score-Matched Comparison Among Patients without NHHNs at Baseline</w:t>
      </w:r>
    </w:p>
    <w:p w14:paraId="0E378096" w14:textId="77777777" w:rsidR="006102CD" w:rsidRPr="00DC1399" w:rsidRDefault="006102CD" w:rsidP="006102CD">
      <w:pPr>
        <w:spacing w:line="480" w:lineRule="auto"/>
        <w:jc w:val="left"/>
        <w:rPr>
          <w:rFonts w:ascii="Times" w:eastAsia="Osaka" w:hAnsi="Times"/>
        </w:rPr>
      </w:pPr>
      <w:r w:rsidRPr="00DC1399">
        <w:rPr>
          <w:rFonts w:ascii="Times" w:hAnsi="Times"/>
        </w:rPr>
        <w:t xml:space="preserve">     Among patients who did not have NHHNs at baseline, propensity score matching was used to compare the incidence of the emergence of new NHHNs in patients who achieved SVR with that in patients with persistent HCV infection (control subjects). One hundred and thirty-nine patients were compared with matched controls.</w:t>
      </w:r>
      <w:r w:rsidRPr="00DC1399">
        <w:rPr>
          <w:rFonts w:ascii="Times" w:hAnsi="Times" w:cs="Times"/>
          <w:kern w:val="0"/>
        </w:rPr>
        <w:t xml:space="preserve"> As shown in Supplementary Table 2, there were no significant differences in the </w:t>
      </w:r>
      <w:r w:rsidRPr="00DC1399">
        <w:rPr>
          <w:rFonts w:ascii="Times" w:eastAsia="平成角ゴシック" w:hAnsi="Times"/>
        </w:rPr>
        <w:t xml:space="preserve">characteristics of patients </w:t>
      </w:r>
      <w:r w:rsidRPr="00DC1399">
        <w:rPr>
          <w:rFonts w:ascii="Times" w:eastAsia="Osaka" w:hAnsi="Times"/>
        </w:rPr>
        <w:t xml:space="preserve">who achieved SVR and those of the controls. </w:t>
      </w:r>
    </w:p>
    <w:p w14:paraId="024CBD8F" w14:textId="34014135" w:rsidR="006102CD" w:rsidRPr="00DC1399" w:rsidRDefault="006102CD" w:rsidP="006102CD">
      <w:pPr>
        <w:spacing w:line="480" w:lineRule="auto"/>
        <w:jc w:val="left"/>
        <w:rPr>
          <w:rFonts w:ascii="Times" w:hAnsi="Times"/>
        </w:rPr>
      </w:pPr>
      <w:r w:rsidRPr="00DC1399">
        <w:rPr>
          <w:rFonts w:ascii="Times" w:eastAsia="Osaka" w:hAnsi="Times"/>
        </w:rPr>
        <w:t xml:space="preserve">     Figure </w:t>
      </w:r>
      <w:r w:rsidR="003A2B1C" w:rsidRPr="00DC1399">
        <w:rPr>
          <w:rFonts w:ascii="Times" w:eastAsia="Osaka" w:hAnsi="Times"/>
        </w:rPr>
        <w:t>4</w:t>
      </w:r>
      <w:r w:rsidRPr="00DC1399">
        <w:rPr>
          <w:rFonts w:ascii="Times" w:eastAsia="Osaka" w:hAnsi="Times"/>
        </w:rPr>
        <w:t xml:space="preserve"> compares the incidence of the emergence of </w:t>
      </w:r>
      <w:r w:rsidRPr="00DC1399">
        <w:rPr>
          <w:rFonts w:ascii="Times" w:hAnsi="Times"/>
        </w:rPr>
        <w:t xml:space="preserve">NHHNs between patients who achieved SVR and those with persistent HCV infection. Follow-up EOB-MRI studies began at 6 months after baseline. The incidences of the emergence of these </w:t>
      </w:r>
      <w:r w:rsidRPr="00DC1399">
        <w:rPr>
          <w:rFonts w:ascii="Times" w:hAnsi="Times"/>
        </w:rPr>
        <w:lastRenderedPageBreak/>
        <w:t>nodules at 12, 18, 24 months were 3.4%, 3.4%, and 10.3% in patients with SVR, and 5.2%, 5.2%, and 8.9% in patients with persistent HCV infection, respectively. The incidences did not differ between two groups (P=0.7282).</w:t>
      </w:r>
    </w:p>
    <w:p w14:paraId="5510B9DD" w14:textId="77777777" w:rsidR="006102CD" w:rsidRPr="00DC1399" w:rsidRDefault="006102CD" w:rsidP="006102CD">
      <w:pPr>
        <w:spacing w:line="480" w:lineRule="auto"/>
        <w:jc w:val="left"/>
        <w:rPr>
          <w:rFonts w:ascii="Times" w:hAnsi="Times"/>
        </w:rPr>
      </w:pPr>
    </w:p>
    <w:p w14:paraId="7DB745D9" w14:textId="77777777" w:rsidR="006102CD" w:rsidRPr="00DC1399" w:rsidRDefault="006102CD" w:rsidP="006102CD">
      <w:pPr>
        <w:spacing w:line="480" w:lineRule="auto"/>
        <w:jc w:val="left"/>
        <w:rPr>
          <w:rFonts w:ascii="Times" w:hAnsi="Times"/>
          <w:b/>
        </w:rPr>
      </w:pPr>
      <w:r w:rsidRPr="00DC1399">
        <w:rPr>
          <w:rFonts w:ascii="Times" w:hAnsi="Times"/>
          <w:b/>
        </w:rPr>
        <w:t>Discussion</w:t>
      </w:r>
    </w:p>
    <w:p w14:paraId="7AFFA29E" w14:textId="77777777" w:rsidR="006102CD" w:rsidRPr="00DC1399" w:rsidRDefault="006102CD" w:rsidP="006102CD">
      <w:pPr>
        <w:spacing w:line="480" w:lineRule="auto"/>
        <w:jc w:val="left"/>
        <w:rPr>
          <w:rFonts w:ascii="Times" w:hAnsi="Times"/>
          <w:b/>
          <w:i/>
        </w:rPr>
      </w:pPr>
      <w:r w:rsidRPr="00DC1399">
        <w:rPr>
          <w:rFonts w:ascii="Times" w:hAnsi="Times"/>
        </w:rPr>
        <w:t xml:space="preserve">     In the present study, patients with </w:t>
      </w:r>
      <w:r w:rsidRPr="00DC1399">
        <w:rPr>
          <w:rFonts w:ascii="Times" w:eastAsia="Osaka" w:hAnsi="Times"/>
        </w:rPr>
        <w:t xml:space="preserve">NHHNs at baseline were </w:t>
      </w:r>
      <w:r w:rsidRPr="00DC1399">
        <w:rPr>
          <w:rFonts w:ascii="Times" w:hAnsi="Times"/>
        </w:rPr>
        <w:t xml:space="preserve">prospectively observed for up to 2 years and during this period, the incidences of hypervascularization of </w:t>
      </w:r>
      <w:r w:rsidRPr="00DC1399">
        <w:rPr>
          <w:rFonts w:ascii="Times" w:eastAsia="Osaka" w:hAnsi="Times"/>
        </w:rPr>
        <w:t>these</w:t>
      </w:r>
      <w:r w:rsidRPr="00DC1399">
        <w:rPr>
          <w:rFonts w:ascii="Times" w:hAnsi="Times"/>
        </w:rPr>
        <w:t xml:space="preserve"> nodules, i.e., transition to typical HCC, were similar between patients with HCV eradication and those with persistent HCV infection. Also, when considering only patients without </w:t>
      </w:r>
      <w:r w:rsidRPr="00DC1399">
        <w:rPr>
          <w:rFonts w:ascii="Times" w:eastAsia="Osaka" w:hAnsi="Times"/>
        </w:rPr>
        <w:t>NHHNs at baseline, both groups showed a similar</w:t>
      </w:r>
      <w:r w:rsidRPr="00DC1399">
        <w:rPr>
          <w:rFonts w:ascii="Times" w:hAnsi="Times"/>
        </w:rPr>
        <w:t xml:space="preserve"> incidence of the emergence of </w:t>
      </w:r>
      <w:r w:rsidRPr="00DC1399">
        <w:rPr>
          <w:rFonts w:ascii="Times" w:eastAsia="Osaka" w:hAnsi="Times"/>
        </w:rPr>
        <w:t>these</w:t>
      </w:r>
      <w:r w:rsidRPr="00DC1399">
        <w:rPr>
          <w:rFonts w:ascii="Times" w:hAnsi="Times"/>
        </w:rPr>
        <w:t xml:space="preserve"> nodules. Thus, the likelihood of developing HCC did not change during the 2-year observation period after the eradication of HCV. We found no evidence that SVR either suppressed or promoted HCC development.</w:t>
      </w:r>
    </w:p>
    <w:p w14:paraId="3C0E934A" w14:textId="77777777" w:rsidR="006102CD" w:rsidRPr="00DC1399" w:rsidRDefault="006102CD" w:rsidP="006102CD">
      <w:pPr>
        <w:spacing w:line="480" w:lineRule="auto"/>
        <w:jc w:val="left"/>
        <w:rPr>
          <w:rFonts w:ascii="Times" w:hAnsi="Times"/>
          <w:kern w:val="0"/>
        </w:rPr>
      </w:pPr>
      <w:r w:rsidRPr="00DC1399">
        <w:rPr>
          <w:rFonts w:ascii="Times" w:hAnsi="Times"/>
        </w:rPr>
        <w:t xml:space="preserve">     Another important finding was that </w:t>
      </w:r>
      <w:r w:rsidRPr="00DC1399">
        <w:rPr>
          <w:rFonts w:ascii="Times" w:hAnsi="Times"/>
          <w:kern w:val="0"/>
        </w:rPr>
        <w:t xml:space="preserve">no patient experienced the direct emergence of hypervascular HCC after SVR </w:t>
      </w:r>
      <w:r w:rsidRPr="00DC1399">
        <w:rPr>
          <w:rFonts w:ascii="Times" w:hAnsi="Times"/>
        </w:rPr>
        <w:t xml:space="preserve">whereas some patients with baseline NHHNs showed transition to </w:t>
      </w:r>
      <w:r w:rsidRPr="00DC1399">
        <w:rPr>
          <w:rFonts w:ascii="Times" w:hAnsi="Times"/>
          <w:kern w:val="0"/>
        </w:rPr>
        <w:t xml:space="preserve">hypervascular HCC. This suggests that, in most cases, typical </w:t>
      </w:r>
      <w:r w:rsidRPr="00DC1399">
        <w:rPr>
          <w:rFonts w:ascii="Times" w:hAnsi="Times"/>
          <w:kern w:val="0"/>
        </w:rPr>
        <w:lastRenderedPageBreak/>
        <w:t>hypervascular HCC develops as the hypervascularization of NHHNs, and rapid emergence of hypervascular HCC would not occur after SVR.</w:t>
      </w:r>
    </w:p>
    <w:p w14:paraId="16355C85" w14:textId="32DBA0BE" w:rsidR="006102CD" w:rsidRPr="00DC1399" w:rsidRDefault="006102CD" w:rsidP="006102CD">
      <w:pPr>
        <w:spacing w:line="480" w:lineRule="auto"/>
        <w:jc w:val="left"/>
        <w:rPr>
          <w:rFonts w:ascii="Times" w:hAnsi="Times"/>
        </w:rPr>
      </w:pPr>
      <w:r w:rsidRPr="00DC1399">
        <w:rPr>
          <w:rFonts w:ascii="Times" w:hAnsi="Times"/>
        </w:rPr>
        <w:t xml:space="preserve">     Although considerable controversy surrounds the topic, evidence both in support of, and against, the preventive effect of SVR on HCC development has, until now, relied on analysis of retrospective data. The main strength of our current paper is that it prospectively tests the hypothesis that HCV eradication influences HCC development and found n</w:t>
      </w:r>
      <w:r w:rsidR="002B5BFB" w:rsidRPr="00DC1399">
        <w:rPr>
          <w:rFonts w:ascii="Times" w:hAnsi="Times"/>
        </w:rPr>
        <w:t>o evidence in support of such a</w:t>
      </w:r>
      <w:r w:rsidRPr="00DC1399">
        <w:rPr>
          <w:rFonts w:ascii="Times" w:hAnsi="Times"/>
        </w:rPr>
        <w:t xml:space="preserve"> hypothesis.</w:t>
      </w:r>
    </w:p>
    <w:p w14:paraId="064BAA38" w14:textId="621C6C17" w:rsidR="009D2884" w:rsidRPr="00DC1399" w:rsidRDefault="006102CD" w:rsidP="006102CD">
      <w:pPr>
        <w:spacing w:line="480" w:lineRule="auto"/>
        <w:jc w:val="left"/>
        <w:rPr>
          <w:rFonts w:ascii="Times" w:hAnsi="Times"/>
        </w:rPr>
      </w:pPr>
      <w:r w:rsidRPr="00DC1399">
        <w:rPr>
          <w:rFonts w:ascii="Times" w:hAnsi="Times"/>
        </w:rPr>
        <w:t xml:space="preserve">     There are however, also limitations to this study. The period of observation was short. The age of patients with chronic hepatitis C who are candidates for anti-HCV therapy with DAAs is higher in Japan than in Western countries, and the influence of HCV eradication on HCC development may differ among regions. Another limitation is that the study population did not include patients with decompensated cirrhosis, for whom DAA therapy is not allowed in Japan. In addition, the control patients, who had persistent HCV infection, were not randomized with the patients who achieved SVR but with the current availability of effective (DAA) antiviral therapy such randomization would be neither practical nor ethical. Nonetheless, the 2 groups’ backgrounds were </w:t>
      </w:r>
      <w:r w:rsidRPr="00DC1399">
        <w:rPr>
          <w:rFonts w:ascii="Times" w:hAnsi="Times"/>
        </w:rPr>
        <w:lastRenderedPageBreak/>
        <w:t>balanced using propensity score matching. Although NHHNs at baseline might have been a mixture of precancerous dysplastic nodules and non-hypervascular very-early stage HCC in both groups, the mixture could also be balanced by propensity score matching. Finally, the present study focused on patients without a history of HCC. Therefore, the effects of HCV eradication on the recurrence of HCC in patients who had completed HCC treatment may differ from those demonstrated in this study and should be investigated further.</w:t>
      </w:r>
      <w:r w:rsidR="003A2B1C" w:rsidRPr="00DC1399">
        <w:rPr>
          <w:rFonts w:ascii="Times" w:hAnsi="Times"/>
        </w:rPr>
        <w:t xml:space="preserve"> In particular, there are two distinct patterns in cases</w:t>
      </w:r>
      <w:r w:rsidR="00D24392" w:rsidRPr="00DC1399">
        <w:rPr>
          <w:rFonts w:ascii="Times" w:hAnsi="Times"/>
        </w:rPr>
        <w:t xml:space="preserve"> of the recurrence of HCC</w:t>
      </w:r>
      <w:r w:rsidR="00B90C50" w:rsidRPr="00DC1399">
        <w:rPr>
          <w:rFonts w:ascii="Times" w:hAnsi="Times"/>
        </w:rPr>
        <w:t xml:space="preserve"> after SVR</w:t>
      </w:r>
      <w:r w:rsidR="003A2B1C" w:rsidRPr="00DC1399">
        <w:rPr>
          <w:rFonts w:ascii="Times" w:hAnsi="Times"/>
        </w:rPr>
        <w:t xml:space="preserve">: hypervascularization of NHHNs at baseline and the direct emergence of hypervascular typical HCC without baseline NHHNs. </w:t>
      </w:r>
      <w:r w:rsidR="00B90C50" w:rsidRPr="00DC1399">
        <w:rPr>
          <w:rFonts w:ascii="Times" w:hAnsi="Times"/>
        </w:rPr>
        <w:t xml:space="preserve">These two patterns may reflect </w:t>
      </w:r>
      <w:proofErr w:type="spellStart"/>
      <w:r w:rsidR="009D2884" w:rsidRPr="00DC1399">
        <w:rPr>
          <w:rFonts w:ascii="Times" w:hAnsi="Times"/>
        </w:rPr>
        <w:t>multicentric</w:t>
      </w:r>
      <w:proofErr w:type="spellEnd"/>
      <w:r w:rsidR="009D2884" w:rsidRPr="00DC1399">
        <w:rPr>
          <w:rFonts w:ascii="Times" w:hAnsi="Times"/>
        </w:rPr>
        <w:t xml:space="preserve"> recurrence and intrahepatic metastasis [25]. </w:t>
      </w:r>
      <w:r w:rsidR="00214839" w:rsidRPr="00DC1399">
        <w:rPr>
          <w:rFonts w:ascii="Times" w:hAnsi="Times"/>
        </w:rPr>
        <w:t>The effect of HCV eradication on the recurrences of HCC should be analyzed being categorized based on the pattern of recurrences.</w:t>
      </w:r>
    </w:p>
    <w:p w14:paraId="491B7B21" w14:textId="77777777" w:rsidR="006102CD" w:rsidRPr="00DC1399" w:rsidRDefault="006102CD" w:rsidP="006102CD">
      <w:pPr>
        <w:spacing w:line="480" w:lineRule="auto"/>
        <w:jc w:val="left"/>
        <w:rPr>
          <w:rFonts w:ascii="Times" w:hAnsi="Times"/>
        </w:rPr>
      </w:pPr>
      <w:r w:rsidRPr="00DC1399">
        <w:rPr>
          <w:rFonts w:ascii="Times" w:hAnsi="Times"/>
        </w:rPr>
        <w:t xml:space="preserve">    In conclusion, amongst patients without a history of HCC, we found no evidence that eradication of HCV by DAA therapy influenced HCC development (as shown by hypervascularization of NHHNs) or the new emergence of NHHNs.</w:t>
      </w:r>
    </w:p>
    <w:p w14:paraId="6F4D52A2" w14:textId="77777777" w:rsidR="00DA041D" w:rsidRPr="00DC1399" w:rsidRDefault="00DA041D" w:rsidP="00DA041D">
      <w:pPr>
        <w:spacing w:line="360" w:lineRule="auto"/>
        <w:jc w:val="left"/>
        <w:rPr>
          <w:rFonts w:ascii="Times" w:hAnsi="Times"/>
          <w:b/>
        </w:rPr>
      </w:pPr>
    </w:p>
    <w:p w14:paraId="17D55C94" w14:textId="77777777" w:rsidR="00DA041D" w:rsidRPr="00DC1399" w:rsidRDefault="00DA041D" w:rsidP="00DA041D">
      <w:pPr>
        <w:widowControl/>
        <w:spacing w:line="480" w:lineRule="auto"/>
        <w:jc w:val="left"/>
        <w:rPr>
          <w:rFonts w:ascii="Times" w:hAnsi="Times"/>
        </w:rPr>
      </w:pPr>
      <w:r w:rsidRPr="00DC1399">
        <w:rPr>
          <w:rFonts w:ascii="Times" w:hAnsi="Times"/>
        </w:rPr>
        <w:br w:type="page"/>
      </w:r>
    </w:p>
    <w:p w14:paraId="0C02335A" w14:textId="296E86A6" w:rsidR="006102CD" w:rsidRPr="00DC1399" w:rsidRDefault="006102CD" w:rsidP="00B80042">
      <w:pPr>
        <w:widowControl/>
        <w:jc w:val="left"/>
        <w:rPr>
          <w:rFonts w:ascii="Times" w:hAnsi="Times"/>
        </w:rPr>
      </w:pPr>
      <w:r w:rsidRPr="00DC1399">
        <w:rPr>
          <w:rFonts w:ascii="Times" w:hAnsi="Times"/>
          <w:b/>
        </w:rPr>
        <w:lastRenderedPageBreak/>
        <w:t>References</w:t>
      </w:r>
    </w:p>
    <w:p w14:paraId="4B78C149" w14:textId="77777777" w:rsidR="006102CD" w:rsidRPr="00DC1399" w:rsidRDefault="006102CD"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proofErr w:type="spellStart"/>
      <w:r w:rsidRPr="00DC1399">
        <w:rPr>
          <w:rFonts w:ascii="Times" w:hAnsi="Times" w:cs="Calibri"/>
          <w:kern w:val="0"/>
        </w:rPr>
        <w:t>Mohd</w:t>
      </w:r>
      <w:proofErr w:type="spellEnd"/>
      <w:r w:rsidRPr="00DC1399">
        <w:rPr>
          <w:rFonts w:ascii="Times" w:hAnsi="Times" w:cs="Calibri"/>
          <w:kern w:val="0"/>
        </w:rPr>
        <w:t xml:space="preserve"> </w:t>
      </w:r>
      <w:proofErr w:type="spellStart"/>
      <w:r w:rsidRPr="00DC1399">
        <w:rPr>
          <w:rFonts w:ascii="Times" w:hAnsi="Times" w:cs="Calibri"/>
          <w:kern w:val="0"/>
        </w:rPr>
        <w:t>Hanafiah</w:t>
      </w:r>
      <w:proofErr w:type="spellEnd"/>
      <w:r w:rsidRPr="00DC1399">
        <w:rPr>
          <w:rFonts w:ascii="Times" w:hAnsi="Times" w:cs="Calibri"/>
          <w:kern w:val="0"/>
        </w:rPr>
        <w:t xml:space="preserve"> K, </w:t>
      </w:r>
      <w:proofErr w:type="spellStart"/>
      <w:r w:rsidRPr="00DC1399">
        <w:rPr>
          <w:rFonts w:ascii="Times" w:hAnsi="Times" w:cs="Calibri"/>
          <w:kern w:val="0"/>
        </w:rPr>
        <w:t>Groeger</w:t>
      </w:r>
      <w:proofErr w:type="spellEnd"/>
      <w:r w:rsidRPr="00DC1399">
        <w:rPr>
          <w:rFonts w:ascii="Times" w:hAnsi="Times" w:cs="Calibri"/>
          <w:kern w:val="0"/>
        </w:rPr>
        <w:t xml:space="preserve"> J, Flaxman AD, </w:t>
      </w:r>
      <w:proofErr w:type="spellStart"/>
      <w:r w:rsidRPr="00DC1399">
        <w:rPr>
          <w:rFonts w:ascii="Times" w:hAnsi="Times" w:cs="Calibri"/>
          <w:kern w:val="0"/>
        </w:rPr>
        <w:t>Wiersma</w:t>
      </w:r>
      <w:proofErr w:type="spellEnd"/>
      <w:r w:rsidRPr="00DC1399">
        <w:rPr>
          <w:rFonts w:ascii="Times" w:hAnsi="Times" w:cs="Calibri"/>
          <w:kern w:val="0"/>
        </w:rPr>
        <w:t xml:space="preserve"> ST. Global epidemiology of hepatitis C virus infection: new estimates of age-specific antibody to HCV </w:t>
      </w:r>
      <w:proofErr w:type="spellStart"/>
      <w:r w:rsidRPr="00DC1399">
        <w:rPr>
          <w:rFonts w:ascii="Times" w:hAnsi="Times" w:cs="Calibri"/>
          <w:kern w:val="0"/>
        </w:rPr>
        <w:t>seroprevalence</w:t>
      </w:r>
      <w:proofErr w:type="spellEnd"/>
      <w:r w:rsidRPr="00DC1399">
        <w:rPr>
          <w:rFonts w:ascii="Times" w:hAnsi="Times" w:cs="Calibri"/>
          <w:kern w:val="0"/>
        </w:rPr>
        <w:t>. Hepatology 2013; 57: 1333-1342.</w:t>
      </w:r>
    </w:p>
    <w:p w14:paraId="729BF332" w14:textId="77777777" w:rsidR="006102CD" w:rsidRPr="00DC1399" w:rsidRDefault="006102CD"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r w:rsidRPr="00DC1399">
        <w:rPr>
          <w:rFonts w:ascii="Times" w:hAnsi="Times" w:cs="Calibri"/>
          <w:kern w:val="0"/>
        </w:rPr>
        <w:t xml:space="preserve">Gower E, Estes C, </w:t>
      </w:r>
      <w:proofErr w:type="spellStart"/>
      <w:r w:rsidRPr="00DC1399">
        <w:rPr>
          <w:rFonts w:ascii="Times" w:hAnsi="Times" w:cs="Calibri"/>
          <w:kern w:val="0"/>
        </w:rPr>
        <w:t>Blach</w:t>
      </w:r>
      <w:proofErr w:type="spellEnd"/>
      <w:r w:rsidRPr="00DC1399">
        <w:rPr>
          <w:rFonts w:ascii="Times" w:hAnsi="Times" w:cs="Calibri"/>
          <w:kern w:val="0"/>
        </w:rPr>
        <w:t xml:space="preserve"> S, </w:t>
      </w:r>
      <w:proofErr w:type="spellStart"/>
      <w:r w:rsidRPr="00DC1399">
        <w:rPr>
          <w:rFonts w:ascii="Times" w:hAnsi="Times" w:cs="Calibri"/>
          <w:kern w:val="0"/>
        </w:rPr>
        <w:t>Razavi</w:t>
      </w:r>
      <w:proofErr w:type="spellEnd"/>
      <w:r w:rsidRPr="00DC1399">
        <w:rPr>
          <w:rFonts w:ascii="Times" w:hAnsi="Times" w:cs="Calibri"/>
          <w:kern w:val="0"/>
        </w:rPr>
        <w:t xml:space="preserve">-Shearer K, </w:t>
      </w:r>
      <w:proofErr w:type="spellStart"/>
      <w:r w:rsidRPr="00DC1399">
        <w:rPr>
          <w:rFonts w:ascii="Times" w:hAnsi="Times" w:cs="Calibri"/>
          <w:kern w:val="0"/>
        </w:rPr>
        <w:t>Razavi</w:t>
      </w:r>
      <w:proofErr w:type="spellEnd"/>
      <w:r w:rsidRPr="00DC1399">
        <w:rPr>
          <w:rFonts w:ascii="Times" w:hAnsi="Times" w:cs="Calibri"/>
          <w:kern w:val="0"/>
        </w:rPr>
        <w:t xml:space="preserve"> H. Global epidemiology and genotype distribution of the hepatitis C virus infection. J Hepatol 2014; 61: S45-S57.</w:t>
      </w:r>
    </w:p>
    <w:p w14:paraId="63CDB1A9" w14:textId="77777777" w:rsidR="006102CD" w:rsidRPr="00DC1399" w:rsidRDefault="006102CD"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proofErr w:type="spellStart"/>
      <w:r w:rsidRPr="00DC1399">
        <w:rPr>
          <w:rFonts w:ascii="Times" w:hAnsi="Times"/>
        </w:rPr>
        <w:t>Poynard</w:t>
      </w:r>
      <w:proofErr w:type="spellEnd"/>
      <w:r w:rsidRPr="00DC1399">
        <w:rPr>
          <w:rFonts w:ascii="Times" w:hAnsi="Times"/>
        </w:rPr>
        <w:t xml:space="preserve"> T, Yuen MF, </w:t>
      </w:r>
      <w:proofErr w:type="spellStart"/>
      <w:r w:rsidRPr="00DC1399">
        <w:rPr>
          <w:rFonts w:ascii="Times" w:hAnsi="Times"/>
        </w:rPr>
        <w:t>Ratziu</w:t>
      </w:r>
      <w:proofErr w:type="spellEnd"/>
      <w:r w:rsidRPr="00DC1399">
        <w:rPr>
          <w:rFonts w:ascii="Times" w:hAnsi="Times"/>
        </w:rPr>
        <w:t xml:space="preserve"> V, Lai CL. Viral hepatitis C. Lancet 2003; 362: 2095-2100.</w:t>
      </w:r>
    </w:p>
    <w:p w14:paraId="65257AD5" w14:textId="2E4D6828" w:rsidR="006102CD" w:rsidRPr="00DC1399" w:rsidRDefault="00DC1399"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r>
        <w:rPr>
          <w:rFonts w:ascii="Times" w:hAnsi="Times"/>
        </w:rPr>
        <w:t xml:space="preserve">Ikeda K, </w:t>
      </w:r>
      <w:proofErr w:type="spellStart"/>
      <w:r>
        <w:rPr>
          <w:rFonts w:ascii="Times" w:hAnsi="Times"/>
        </w:rPr>
        <w:t>Saitoh</w:t>
      </w:r>
      <w:proofErr w:type="spellEnd"/>
      <w:r>
        <w:rPr>
          <w:rFonts w:ascii="Times" w:hAnsi="Times"/>
        </w:rPr>
        <w:t xml:space="preserve"> S, Arase Y</w:t>
      </w:r>
      <w:r w:rsidR="00A26E4F" w:rsidRPr="00DC1399">
        <w:rPr>
          <w:rFonts w:ascii="Times" w:hAnsi="Times"/>
        </w:rPr>
        <w:t xml:space="preserve">, et al. </w:t>
      </w:r>
      <w:r w:rsidR="006102CD" w:rsidRPr="00DC1399">
        <w:rPr>
          <w:rFonts w:ascii="Times" w:hAnsi="Times"/>
        </w:rPr>
        <w:t>Effect of interferon therapy on hepatocellular carcinogenesis in patients with chronic hepatitis type C: a long-term observation study of 1643 patients using statistical bias correction with proportional hazard analysis. Hepatology 1999; 29: 1124-1130.</w:t>
      </w:r>
    </w:p>
    <w:p w14:paraId="69E6206F" w14:textId="03A7FE8F" w:rsidR="006102CD" w:rsidRPr="00DC1399" w:rsidRDefault="00A26E4F"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r w:rsidRPr="00DC1399">
        <w:rPr>
          <w:rFonts w:ascii="Times" w:hAnsi="Times"/>
        </w:rPr>
        <w:t>Imai</w:t>
      </w:r>
      <w:r w:rsidR="00DC1399">
        <w:rPr>
          <w:rFonts w:ascii="Times" w:hAnsi="Times"/>
        </w:rPr>
        <w:t xml:space="preserve"> Y, </w:t>
      </w:r>
      <w:proofErr w:type="spellStart"/>
      <w:r w:rsidR="00DC1399">
        <w:rPr>
          <w:rFonts w:ascii="Times" w:hAnsi="Times"/>
        </w:rPr>
        <w:t>Kawata</w:t>
      </w:r>
      <w:proofErr w:type="spellEnd"/>
      <w:r w:rsidR="00DC1399">
        <w:rPr>
          <w:rFonts w:ascii="Times" w:hAnsi="Times"/>
        </w:rPr>
        <w:t xml:space="preserve"> S, Tamura S</w:t>
      </w:r>
      <w:r w:rsidRPr="00DC1399">
        <w:rPr>
          <w:rFonts w:ascii="Times" w:hAnsi="Times"/>
        </w:rPr>
        <w:t xml:space="preserve">, et al. </w:t>
      </w:r>
      <w:r w:rsidR="006102CD" w:rsidRPr="00DC1399">
        <w:rPr>
          <w:rFonts w:ascii="Times" w:hAnsi="Times"/>
        </w:rPr>
        <w:t>Relation of interferon therapy and hepatocellular carcinoma in patients with chronic hepatitis C. Ann Intern Med 1998; 129: 94-99.</w:t>
      </w:r>
    </w:p>
    <w:p w14:paraId="3C77211C" w14:textId="6EB033F3" w:rsidR="006102CD" w:rsidRPr="00DC1399" w:rsidRDefault="00A26E4F"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r w:rsidRPr="00DC1399">
        <w:rPr>
          <w:rFonts w:ascii="Times" w:hAnsi="Times"/>
        </w:rPr>
        <w:t xml:space="preserve">Yoshida H, </w:t>
      </w:r>
      <w:proofErr w:type="spellStart"/>
      <w:r w:rsidRPr="00DC1399">
        <w:rPr>
          <w:rFonts w:ascii="Times" w:hAnsi="Times"/>
        </w:rPr>
        <w:t>Shiratori</w:t>
      </w:r>
      <w:proofErr w:type="spellEnd"/>
      <w:r w:rsidRPr="00DC1399">
        <w:rPr>
          <w:rFonts w:ascii="Times" w:hAnsi="Times"/>
        </w:rPr>
        <w:t xml:space="preserve"> Y, Mori</w:t>
      </w:r>
      <w:r w:rsidR="00DC1399">
        <w:rPr>
          <w:rFonts w:ascii="Times" w:hAnsi="Times"/>
        </w:rPr>
        <w:t>yama M</w:t>
      </w:r>
      <w:r w:rsidRPr="00DC1399">
        <w:rPr>
          <w:rFonts w:ascii="Times" w:hAnsi="Times"/>
        </w:rPr>
        <w:t xml:space="preserve">, et al. </w:t>
      </w:r>
      <w:r w:rsidR="006102CD" w:rsidRPr="00DC1399">
        <w:rPr>
          <w:rFonts w:ascii="Times" w:hAnsi="Times"/>
        </w:rPr>
        <w:t xml:space="preserve">Interferon therapy reduces the risk for hepatocellular carcinoma: national surveillance program of cirrhotic and </w:t>
      </w:r>
      <w:proofErr w:type="spellStart"/>
      <w:r w:rsidR="006102CD" w:rsidRPr="00DC1399">
        <w:rPr>
          <w:rFonts w:ascii="Times" w:hAnsi="Times"/>
        </w:rPr>
        <w:t>noncirrhotic</w:t>
      </w:r>
      <w:proofErr w:type="spellEnd"/>
      <w:r w:rsidR="006102CD" w:rsidRPr="00DC1399">
        <w:rPr>
          <w:rFonts w:ascii="Times" w:hAnsi="Times"/>
        </w:rPr>
        <w:t xml:space="preserve"> patients with chronic hepatitis C in Japan. Ann Intern Med 1999; 131: 174-181.</w:t>
      </w:r>
    </w:p>
    <w:p w14:paraId="413E0065" w14:textId="2DA7A9F7" w:rsidR="006102CD" w:rsidRPr="00DC1399" w:rsidRDefault="00A26E4F"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r w:rsidRPr="00DC1399">
        <w:rPr>
          <w:rFonts w:ascii="Times" w:hAnsi="Times"/>
        </w:rPr>
        <w:lastRenderedPageBreak/>
        <w:t>O</w:t>
      </w:r>
      <w:r w:rsidR="00DC1399">
        <w:rPr>
          <w:rFonts w:ascii="Times" w:hAnsi="Times"/>
        </w:rPr>
        <w:t xml:space="preserve">gawa E, </w:t>
      </w:r>
      <w:proofErr w:type="spellStart"/>
      <w:r w:rsidR="00DC1399">
        <w:rPr>
          <w:rFonts w:ascii="Times" w:hAnsi="Times"/>
        </w:rPr>
        <w:t>Furusyo</w:t>
      </w:r>
      <w:proofErr w:type="spellEnd"/>
      <w:r w:rsidR="00DC1399">
        <w:rPr>
          <w:rFonts w:ascii="Times" w:hAnsi="Times"/>
        </w:rPr>
        <w:t xml:space="preserve"> N, </w:t>
      </w:r>
      <w:proofErr w:type="spellStart"/>
      <w:r w:rsidR="00DC1399">
        <w:rPr>
          <w:rFonts w:ascii="Times" w:hAnsi="Times"/>
        </w:rPr>
        <w:t>Kajiwara</w:t>
      </w:r>
      <w:proofErr w:type="spellEnd"/>
      <w:r w:rsidR="00DC1399">
        <w:rPr>
          <w:rFonts w:ascii="Times" w:hAnsi="Times"/>
        </w:rPr>
        <w:t xml:space="preserve"> E</w:t>
      </w:r>
      <w:r w:rsidRPr="00DC1399">
        <w:rPr>
          <w:rFonts w:ascii="Times" w:hAnsi="Times"/>
        </w:rPr>
        <w:t xml:space="preserve">, et al. </w:t>
      </w:r>
      <w:r w:rsidR="006102CD" w:rsidRPr="00DC1399">
        <w:rPr>
          <w:rFonts w:ascii="Times" w:hAnsi="Times"/>
        </w:rPr>
        <w:t xml:space="preserve">Efficacy of </w:t>
      </w:r>
      <w:proofErr w:type="spellStart"/>
      <w:r w:rsidR="006102CD" w:rsidRPr="00DC1399">
        <w:rPr>
          <w:rFonts w:ascii="Times" w:hAnsi="Times"/>
        </w:rPr>
        <w:t>pegylated</w:t>
      </w:r>
      <w:proofErr w:type="spellEnd"/>
      <w:r w:rsidR="006102CD" w:rsidRPr="00DC1399">
        <w:rPr>
          <w:rFonts w:ascii="Times" w:hAnsi="Times"/>
        </w:rPr>
        <w:t xml:space="preserve"> interferon alpha-2b and ribavirin treatment on the risk of hepatocellular carcinoma of patients with chronic hepatitis C: a prospective multicenter study. J Hepatol 2013; 58: 495-501.</w:t>
      </w:r>
    </w:p>
    <w:p w14:paraId="02A1F8A3" w14:textId="5404D48C" w:rsidR="006102CD" w:rsidRPr="00DC1399" w:rsidRDefault="00A26E4F"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r w:rsidRPr="00DC1399">
        <w:rPr>
          <w:rFonts w:ascii="Times" w:hAnsi="Times"/>
        </w:rPr>
        <w:t xml:space="preserve">Reig M, Marino Z, </w:t>
      </w:r>
      <w:proofErr w:type="spellStart"/>
      <w:r w:rsidRPr="00DC1399">
        <w:rPr>
          <w:rFonts w:ascii="Times" w:hAnsi="Times"/>
        </w:rPr>
        <w:t>Perel</w:t>
      </w:r>
      <w:r w:rsidR="00DC1399">
        <w:rPr>
          <w:rFonts w:ascii="Times" w:hAnsi="Times"/>
        </w:rPr>
        <w:t>lo</w:t>
      </w:r>
      <w:proofErr w:type="spellEnd"/>
      <w:r w:rsidR="00DC1399">
        <w:rPr>
          <w:rFonts w:ascii="Times" w:hAnsi="Times"/>
        </w:rPr>
        <w:t xml:space="preserve"> C</w:t>
      </w:r>
      <w:r w:rsidRPr="00DC1399">
        <w:rPr>
          <w:rFonts w:ascii="Times" w:hAnsi="Times"/>
        </w:rPr>
        <w:t xml:space="preserve">, et al. </w:t>
      </w:r>
      <w:r w:rsidR="006102CD" w:rsidRPr="00DC1399">
        <w:rPr>
          <w:rFonts w:ascii="Times" w:hAnsi="Times"/>
        </w:rPr>
        <w:t>Unexpected high rate of early tumor recurrence in patients with HCV-related HCC undergoing interferon-free therapy. J Hepatol 2016; 65: 719-726.</w:t>
      </w:r>
    </w:p>
    <w:p w14:paraId="1ACC45CE" w14:textId="3FD0689E" w:rsidR="006102CD" w:rsidRPr="00DC1399" w:rsidRDefault="00A26E4F"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r w:rsidRPr="00DC1399">
        <w:rPr>
          <w:rFonts w:ascii="Times" w:hAnsi="Times"/>
        </w:rPr>
        <w:t>Con</w:t>
      </w:r>
      <w:r w:rsidR="00DC1399">
        <w:rPr>
          <w:rFonts w:ascii="Times" w:hAnsi="Times"/>
        </w:rPr>
        <w:t xml:space="preserve">ti F, </w:t>
      </w:r>
      <w:proofErr w:type="spellStart"/>
      <w:r w:rsidR="00DC1399">
        <w:rPr>
          <w:rFonts w:ascii="Times" w:hAnsi="Times"/>
        </w:rPr>
        <w:t>Buonfiglioli</w:t>
      </w:r>
      <w:proofErr w:type="spellEnd"/>
      <w:r w:rsidR="00DC1399">
        <w:rPr>
          <w:rFonts w:ascii="Times" w:hAnsi="Times"/>
        </w:rPr>
        <w:t xml:space="preserve"> F, </w:t>
      </w:r>
      <w:proofErr w:type="spellStart"/>
      <w:r w:rsidR="00DC1399">
        <w:rPr>
          <w:rFonts w:ascii="Times" w:hAnsi="Times"/>
        </w:rPr>
        <w:t>Scuteri</w:t>
      </w:r>
      <w:proofErr w:type="spellEnd"/>
      <w:r w:rsidR="00DC1399">
        <w:rPr>
          <w:rFonts w:ascii="Times" w:hAnsi="Times"/>
        </w:rPr>
        <w:t xml:space="preserve"> A</w:t>
      </w:r>
      <w:r w:rsidRPr="00DC1399">
        <w:rPr>
          <w:rFonts w:ascii="Times" w:hAnsi="Times"/>
        </w:rPr>
        <w:t xml:space="preserve">, et al. </w:t>
      </w:r>
      <w:r w:rsidR="006102CD" w:rsidRPr="00DC1399">
        <w:rPr>
          <w:rFonts w:ascii="Times" w:hAnsi="Times"/>
        </w:rPr>
        <w:t>Early occurrence and recurrence of hepatocellular carcinoma in HCV-related cirrhosis treated with direct-acting antivirals. J Hepatol 2016; 65: 727-733.</w:t>
      </w:r>
    </w:p>
    <w:p w14:paraId="299EB958" w14:textId="77777777" w:rsidR="006102CD" w:rsidRPr="00DC1399" w:rsidRDefault="006102CD"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r w:rsidRPr="00DC1399">
        <w:rPr>
          <w:rFonts w:ascii="Times" w:hAnsi="Times"/>
        </w:rPr>
        <w:t>Pol S. Lack of evidence of an effect of direct acting antivirals on the recurrence of hepatocellular carcinoma: the ANRS collaborative study group on hepatocellular carcinoma (ANRS CO22 HEPATHER, CO22 CIRVIR and CO23 CUPILT cohorts). J Hepatol 2016; 65: 734-740.</w:t>
      </w:r>
    </w:p>
    <w:p w14:paraId="493936B7" w14:textId="0EAB28AB" w:rsidR="006102CD" w:rsidRPr="00DC1399" w:rsidRDefault="00A26E4F"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proofErr w:type="spellStart"/>
      <w:r w:rsidRPr="00DC1399">
        <w:rPr>
          <w:rFonts w:ascii="Times" w:hAnsi="Times"/>
        </w:rPr>
        <w:t>Zavaglia</w:t>
      </w:r>
      <w:proofErr w:type="spellEnd"/>
      <w:r w:rsidRPr="00DC1399">
        <w:rPr>
          <w:rFonts w:ascii="Times" w:hAnsi="Times"/>
        </w:rPr>
        <w:t xml:space="preserve"> C, </w:t>
      </w:r>
      <w:proofErr w:type="spellStart"/>
      <w:r w:rsidR="00DC1399">
        <w:rPr>
          <w:rFonts w:ascii="Times" w:hAnsi="Times"/>
        </w:rPr>
        <w:t>Okolicsanyi</w:t>
      </w:r>
      <w:proofErr w:type="spellEnd"/>
      <w:r w:rsidR="00DC1399">
        <w:rPr>
          <w:rFonts w:ascii="Times" w:hAnsi="Times"/>
        </w:rPr>
        <w:t xml:space="preserve"> S, </w:t>
      </w:r>
      <w:proofErr w:type="spellStart"/>
      <w:r w:rsidR="00DC1399">
        <w:rPr>
          <w:rFonts w:ascii="Times" w:hAnsi="Times"/>
        </w:rPr>
        <w:t>Cesarini</w:t>
      </w:r>
      <w:proofErr w:type="spellEnd"/>
      <w:r w:rsidR="00DC1399">
        <w:rPr>
          <w:rFonts w:ascii="Times" w:hAnsi="Times"/>
        </w:rPr>
        <w:t xml:space="preserve"> L</w:t>
      </w:r>
      <w:r w:rsidRPr="00DC1399">
        <w:rPr>
          <w:rFonts w:ascii="Times" w:hAnsi="Times"/>
        </w:rPr>
        <w:t xml:space="preserve">, et al. </w:t>
      </w:r>
      <w:r w:rsidR="006102CD" w:rsidRPr="00DC1399">
        <w:rPr>
          <w:rFonts w:ascii="Times" w:hAnsi="Times"/>
        </w:rPr>
        <w:t>Is the risk of neoplastic recurrence increased after prescribing direct-acting antivirals for HCV patients whose HCC was previously cured? J Hepatol 2017; 66: 236-237.</w:t>
      </w:r>
    </w:p>
    <w:p w14:paraId="32F4EAD7" w14:textId="29E2A731" w:rsidR="006102CD" w:rsidRPr="00DC1399" w:rsidRDefault="00A26E4F"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r w:rsidRPr="00DC1399">
        <w:rPr>
          <w:rFonts w:ascii="Times" w:hAnsi="Times"/>
        </w:rPr>
        <w:t>Ch</w:t>
      </w:r>
      <w:r w:rsidR="00DC1399">
        <w:rPr>
          <w:rFonts w:ascii="Times" w:hAnsi="Times"/>
        </w:rPr>
        <w:t>eung MC, Walker AJ, Hudson BE</w:t>
      </w:r>
      <w:r w:rsidRPr="00DC1399">
        <w:rPr>
          <w:rFonts w:ascii="Times" w:hAnsi="Times"/>
        </w:rPr>
        <w:t xml:space="preserve">, et al. </w:t>
      </w:r>
      <w:r w:rsidR="006102CD" w:rsidRPr="00DC1399">
        <w:rPr>
          <w:rFonts w:ascii="Times" w:hAnsi="Times"/>
        </w:rPr>
        <w:t>Outcomes after successful direct-acting antiviral therapy for patients with chronic hepatitis C and decompensated cirrhosis. J Hepatol 2016; 65: 741-747.</w:t>
      </w:r>
    </w:p>
    <w:p w14:paraId="78E20435" w14:textId="6F736398" w:rsidR="006102CD" w:rsidRPr="00DC1399" w:rsidRDefault="00DC1399"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r>
        <w:rPr>
          <w:rFonts w:ascii="Times" w:hAnsi="Times"/>
        </w:rPr>
        <w:lastRenderedPageBreak/>
        <w:t xml:space="preserve">Cabibbo G, </w:t>
      </w:r>
      <w:proofErr w:type="spellStart"/>
      <w:r>
        <w:rPr>
          <w:rFonts w:ascii="Times" w:hAnsi="Times"/>
        </w:rPr>
        <w:t>Petta</w:t>
      </w:r>
      <w:proofErr w:type="spellEnd"/>
      <w:r>
        <w:rPr>
          <w:rFonts w:ascii="Times" w:hAnsi="Times"/>
        </w:rPr>
        <w:t xml:space="preserve"> S, Barbara M</w:t>
      </w:r>
      <w:r w:rsidR="00A26E4F" w:rsidRPr="00DC1399">
        <w:rPr>
          <w:rFonts w:ascii="Times" w:hAnsi="Times"/>
        </w:rPr>
        <w:t xml:space="preserve">, et al. </w:t>
      </w:r>
      <w:r w:rsidR="006102CD" w:rsidRPr="00DC1399">
        <w:rPr>
          <w:rFonts w:ascii="Times" w:hAnsi="Times"/>
        </w:rPr>
        <w:t xml:space="preserve">A meta-analysis of single HCV-untreated arm of studies evaluating outcomes after curative treatments of HCV-related hepatocellular carcinoma. Liver </w:t>
      </w:r>
      <w:proofErr w:type="spellStart"/>
      <w:r w:rsidR="006102CD" w:rsidRPr="00DC1399">
        <w:rPr>
          <w:rFonts w:ascii="Times" w:hAnsi="Times"/>
        </w:rPr>
        <w:t>Int</w:t>
      </w:r>
      <w:proofErr w:type="spellEnd"/>
      <w:r w:rsidR="006102CD" w:rsidRPr="00DC1399">
        <w:rPr>
          <w:rFonts w:ascii="Times" w:hAnsi="Times"/>
        </w:rPr>
        <w:t xml:space="preserve"> 2017; 37: 1157-1166.</w:t>
      </w:r>
    </w:p>
    <w:p w14:paraId="11C857BF" w14:textId="38C0A6F8" w:rsidR="006102CD" w:rsidRPr="00DC1399" w:rsidRDefault="00A26E4F"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proofErr w:type="spellStart"/>
      <w:r w:rsidRPr="00DC1399">
        <w:rPr>
          <w:rFonts w:ascii="Times" w:hAnsi="Times"/>
        </w:rPr>
        <w:t>Petta</w:t>
      </w:r>
      <w:proofErr w:type="spellEnd"/>
      <w:r w:rsidRPr="00DC1399">
        <w:rPr>
          <w:rFonts w:ascii="Times" w:hAnsi="Times"/>
        </w:rPr>
        <w:t xml:space="preserve"> S, Cabibbo G, Barbara M, et al. </w:t>
      </w:r>
      <w:r w:rsidR="006102CD" w:rsidRPr="00DC1399">
        <w:rPr>
          <w:rFonts w:ascii="Times" w:hAnsi="Times"/>
        </w:rPr>
        <w:t xml:space="preserve">Hepatocellular carcinoma recurrence in patients with curative resection or ablation: impact of HCV eradication does not depend on the use of interferon. Aliment </w:t>
      </w:r>
      <w:proofErr w:type="spellStart"/>
      <w:r w:rsidR="006102CD" w:rsidRPr="00DC1399">
        <w:rPr>
          <w:rFonts w:ascii="Times" w:hAnsi="Times"/>
        </w:rPr>
        <w:t>Pharmacol</w:t>
      </w:r>
      <w:proofErr w:type="spellEnd"/>
      <w:r w:rsidR="006102CD" w:rsidRPr="00DC1399">
        <w:rPr>
          <w:rFonts w:ascii="Times" w:hAnsi="Times"/>
        </w:rPr>
        <w:t xml:space="preserve"> </w:t>
      </w:r>
      <w:proofErr w:type="spellStart"/>
      <w:r w:rsidR="006102CD" w:rsidRPr="00DC1399">
        <w:rPr>
          <w:rFonts w:ascii="Times" w:hAnsi="Times"/>
        </w:rPr>
        <w:t>Ther</w:t>
      </w:r>
      <w:proofErr w:type="spellEnd"/>
      <w:r w:rsidR="006102CD" w:rsidRPr="00DC1399">
        <w:rPr>
          <w:rFonts w:ascii="Times" w:hAnsi="Times"/>
        </w:rPr>
        <w:t xml:space="preserve"> 2017; 45: 160-168.</w:t>
      </w:r>
    </w:p>
    <w:p w14:paraId="4DDB02D8" w14:textId="77777777" w:rsidR="006102CD" w:rsidRPr="00DC1399" w:rsidRDefault="006102CD"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r w:rsidRPr="00DC1399">
        <w:rPr>
          <w:rFonts w:ascii="Times" w:hAnsi="Times"/>
        </w:rPr>
        <w:t xml:space="preserve">Yang JD, </w:t>
      </w:r>
      <w:proofErr w:type="spellStart"/>
      <w:r w:rsidRPr="00DC1399">
        <w:rPr>
          <w:rFonts w:ascii="Times" w:hAnsi="Times"/>
        </w:rPr>
        <w:t>Aqel</w:t>
      </w:r>
      <w:proofErr w:type="spellEnd"/>
      <w:r w:rsidRPr="00DC1399">
        <w:rPr>
          <w:rFonts w:ascii="Times" w:hAnsi="Times"/>
        </w:rPr>
        <w:t xml:space="preserve"> BA, </w:t>
      </w:r>
      <w:proofErr w:type="spellStart"/>
      <w:r w:rsidRPr="00DC1399">
        <w:rPr>
          <w:rFonts w:ascii="Times" w:hAnsi="Times"/>
        </w:rPr>
        <w:t>Pungpapong</w:t>
      </w:r>
      <w:proofErr w:type="spellEnd"/>
      <w:r w:rsidRPr="00DC1399">
        <w:rPr>
          <w:rFonts w:ascii="Times" w:hAnsi="Times"/>
        </w:rPr>
        <w:t xml:space="preserve"> S, Gores GJ, Roberts LR, </w:t>
      </w:r>
      <w:proofErr w:type="spellStart"/>
      <w:r w:rsidRPr="00DC1399">
        <w:rPr>
          <w:rFonts w:ascii="Times" w:hAnsi="Times"/>
        </w:rPr>
        <w:t>Leise</w:t>
      </w:r>
      <w:proofErr w:type="spellEnd"/>
      <w:r w:rsidRPr="00DC1399">
        <w:rPr>
          <w:rFonts w:ascii="Times" w:hAnsi="Times"/>
        </w:rPr>
        <w:t xml:space="preserve"> MD. Direct acting antiviral therapy and tumor recurrence after liver transplantation for hepatitis C-associated hepatocellular carcinoma. J Hepatol 2016; 65: 859-860.</w:t>
      </w:r>
    </w:p>
    <w:p w14:paraId="6608E4BE" w14:textId="77777777" w:rsidR="006102CD" w:rsidRPr="00DC1399" w:rsidRDefault="006102CD"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proofErr w:type="spellStart"/>
      <w:r w:rsidRPr="00DC1399">
        <w:rPr>
          <w:rFonts w:ascii="Times" w:hAnsi="Times"/>
        </w:rPr>
        <w:t>Arbelti</w:t>
      </w:r>
      <w:proofErr w:type="spellEnd"/>
      <w:r w:rsidRPr="00DC1399">
        <w:rPr>
          <w:rFonts w:ascii="Times" w:hAnsi="Times"/>
        </w:rPr>
        <w:t xml:space="preserve"> A, </w:t>
      </w:r>
      <w:proofErr w:type="spellStart"/>
      <w:r w:rsidRPr="00DC1399">
        <w:rPr>
          <w:rFonts w:ascii="Times" w:hAnsi="Times"/>
        </w:rPr>
        <w:t>Piovesan</w:t>
      </w:r>
      <w:proofErr w:type="spellEnd"/>
      <w:r w:rsidRPr="00DC1399">
        <w:rPr>
          <w:rFonts w:ascii="Times" w:hAnsi="Times"/>
        </w:rPr>
        <w:t xml:space="preserve"> S. Increased incidence of liver cancer after successful DAA treatment of chronic hepatitis C: Fact or fiction? Liver </w:t>
      </w:r>
      <w:proofErr w:type="spellStart"/>
      <w:r w:rsidRPr="00DC1399">
        <w:rPr>
          <w:rFonts w:ascii="Times" w:hAnsi="Times"/>
        </w:rPr>
        <w:t>Int</w:t>
      </w:r>
      <w:proofErr w:type="spellEnd"/>
      <w:r w:rsidRPr="00DC1399">
        <w:rPr>
          <w:rFonts w:ascii="Times" w:hAnsi="Times"/>
        </w:rPr>
        <w:t xml:space="preserve"> 2017; 37: 802-808.</w:t>
      </w:r>
    </w:p>
    <w:p w14:paraId="7E3C49C7" w14:textId="5DF81806" w:rsidR="006102CD" w:rsidRPr="00DC1399" w:rsidRDefault="00A26E4F"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proofErr w:type="spellStart"/>
      <w:r w:rsidRPr="00DC1399">
        <w:rPr>
          <w:rFonts w:ascii="Times" w:hAnsi="Times"/>
        </w:rPr>
        <w:t>Kozbial</w:t>
      </w:r>
      <w:proofErr w:type="spellEnd"/>
      <w:r w:rsidRPr="00DC1399">
        <w:rPr>
          <w:rFonts w:ascii="Times" w:hAnsi="Times"/>
        </w:rPr>
        <w:t xml:space="preserve"> K, Moser</w:t>
      </w:r>
      <w:r w:rsidR="00DC1399">
        <w:rPr>
          <w:rFonts w:ascii="Times" w:hAnsi="Times"/>
        </w:rPr>
        <w:t xml:space="preserve"> S, </w:t>
      </w:r>
      <w:proofErr w:type="spellStart"/>
      <w:r w:rsidR="00DC1399">
        <w:rPr>
          <w:rFonts w:ascii="Times" w:hAnsi="Times"/>
        </w:rPr>
        <w:t>Schwarzer</w:t>
      </w:r>
      <w:proofErr w:type="spellEnd"/>
      <w:r w:rsidR="00DC1399">
        <w:rPr>
          <w:rFonts w:ascii="Times" w:hAnsi="Times"/>
        </w:rPr>
        <w:t xml:space="preserve"> R</w:t>
      </w:r>
      <w:r w:rsidRPr="00DC1399">
        <w:rPr>
          <w:rFonts w:ascii="Times" w:hAnsi="Times"/>
        </w:rPr>
        <w:t xml:space="preserve">, et al. </w:t>
      </w:r>
      <w:r w:rsidR="006102CD" w:rsidRPr="00DC1399">
        <w:rPr>
          <w:rFonts w:ascii="Times" w:hAnsi="Times"/>
        </w:rPr>
        <w:t>Unexpected high incidence of hepatocellular carcinoma in cirrhotic patients with SVR following IFN-free DAA treatment. J Hepatol 2016; 65: 856-858.</w:t>
      </w:r>
    </w:p>
    <w:p w14:paraId="69E741B0" w14:textId="77777777" w:rsidR="006102CD" w:rsidRPr="00DC1399" w:rsidRDefault="006102CD"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Style w:val="src1"/>
        </w:rPr>
      </w:pPr>
      <w:r w:rsidRPr="00DC1399">
        <w:rPr>
          <w:rStyle w:val="src1"/>
          <w:rFonts w:ascii="Times" w:hAnsi="Times"/>
          <w:lang w:val="de-DE"/>
          <w:specVanish w:val="0"/>
        </w:rPr>
        <w:t>Van Beers BE, Pastor CM, Hussain HK. Primovist, Eovist: What to expect? J Hepatol 2012; 57: 421-429.</w:t>
      </w:r>
    </w:p>
    <w:p w14:paraId="67CFFA71" w14:textId="55457003" w:rsidR="006102CD" w:rsidRPr="00DC1399" w:rsidRDefault="00A26E4F"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proofErr w:type="spellStart"/>
      <w:r w:rsidRPr="00DC1399">
        <w:rPr>
          <w:rFonts w:ascii="Times" w:eastAsia="細明朝体" w:hAnsi="Times"/>
        </w:rPr>
        <w:t>Kogita</w:t>
      </w:r>
      <w:proofErr w:type="spellEnd"/>
      <w:r w:rsidRPr="00DC1399">
        <w:rPr>
          <w:rFonts w:ascii="Times" w:eastAsia="細明朝体" w:hAnsi="Times"/>
        </w:rPr>
        <w:t xml:space="preserve"> S, Imai Y, Okad</w:t>
      </w:r>
      <w:r w:rsidR="00DC1399">
        <w:rPr>
          <w:rFonts w:ascii="Times" w:eastAsia="細明朝体" w:hAnsi="Times"/>
        </w:rPr>
        <w:t>a M</w:t>
      </w:r>
      <w:r w:rsidRPr="00DC1399">
        <w:rPr>
          <w:rFonts w:ascii="Times" w:eastAsia="細明朝体" w:hAnsi="Times"/>
        </w:rPr>
        <w:t xml:space="preserve">, </w:t>
      </w:r>
      <w:r w:rsidRPr="00DC1399">
        <w:rPr>
          <w:rFonts w:ascii="Times" w:hAnsi="Times" w:cs="Calibri"/>
          <w:kern w:val="0"/>
        </w:rPr>
        <w:t xml:space="preserve">et al. </w:t>
      </w:r>
      <w:proofErr w:type="spellStart"/>
      <w:r w:rsidR="006102CD" w:rsidRPr="00DC1399">
        <w:rPr>
          <w:rFonts w:ascii="Times" w:eastAsia="細明朝体" w:hAnsi="Times"/>
        </w:rPr>
        <w:t>Gd</w:t>
      </w:r>
      <w:proofErr w:type="spellEnd"/>
      <w:r w:rsidR="006102CD" w:rsidRPr="00DC1399">
        <w:rPr>
          <w:rFonts w:ascii="Times" w:eastAsia="細明朝体" w:hAnsi="Times"/>
        </w:rPr>
        <w:t xml:space="preserve">-EOB-DTPA-enhanced magnetic resonance images of hepatocellular carcinoma: correlation with histological grading and portal blood flow. </w:t>
      </w:r>
      <w:proofErr w:type="spellStart"/>
      <w:r w:rsidR="006102CD" w:rsidRPr="00DC1399">
        <w:rPr>
          <w:rFonts w:ascii="Times" w:eastAsia="細明朝体" w:hAnsi="Times"/>
        </w:rPr>
        <w:t>Eur</w:t>
      </w:r>
      <w:proofErr w:type="spellEnd"/>
      <w:r w:rsidR="006102CD" w:rsidRPr="00DC1399">
        <w:rPr>
          <w:rFonts w:ascii="Times" w:eastAsia="細明朝体" w:hAnsi="Times"/>
        </w:rPr>
        <w:t xml:space="preserve"> </w:t>
      </w:r>
      <w:proofErr w:type="spellStart"/>
      <w:r w:rsidR="006102CD" w:rsidRPr="00DC1399">
        <w:rPr>
          <w:rFonts w:ascii="Times" w:eastAsia="細明朝体" w:hAnsi="Times"/>
        </w:rPr>
        <w:t>Radiol</w:t>
      </w:r>
      <w:proofErr w:type="spellEnd"/>
      <w:r w:rsidR="006102CD" w:rsidRPr="00DC1399">
        <w:rPr>
          <w:rFonts w:ascii="Times" w:eastAsia="細明朝体" w:hAnsi="Times"/>
        </w:rPr>
        <w:t xml:space="preserve"> 2010; 20: 2405-2413.</w:t>
      </w:r>
    </w:p>
    <w:p w14:paraId="30C7A468" w14:textId="2E8233A5" w:rsidR="006102CD" w:rsidRPr="00DC1399" w:rsidRDefault="00A26E4F"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r w:rsidRPr="00DC1399">
        <w:rPr>
          <w:rFonts w:ascii="Times" w:hAnsi="Times"/>
        </w:rPr>
        <w:lastRenderedPageBreak/>
        <w:t>Kumada T, Toyoda H, Tad</w:t>
      </w:r>
      <w:r w:rsidR="00DC1399">
        <w:rPr>
          <w:rFonts w:ascii="Times" w:hAnsi="Times"/>
        </w:rPr>
        <w:t>a T</w:t>
      </w:r>
      <w:r w:rsidRPr="00DC1399">
        <w:rPr>
          <w:rFonts w:ascii="Times" w:hAnsi="Times"/>
        </w:rPr>
        <w:t xml:space="preserve">, </w:t>
      </w:r>
      <w:r w:rsidRPr="00DC1399">
        <w:rPr>
          <w:rFonts w:ascii="Times" w:hAnsi="Times" w:cs="Calibri"/>
          <w:kern w:val="0"/>
        </w:rPr>
        <w:t xml:space="preserve">et al. </w:t>
      </w:r>
      <w:r w:rsidR="006102CD" w:rsidRPr="00DC1399">
        <w:rPr>
          <w:rFonts w:ascii="Times" w:hAnsi="Times"/>
        </w:rPr>
        <w:t xml:space="preserve">Evolution of </w:t>
      </w:r>
      <w:proofErr w:type="spellStart"/>
      <w:r w:rsidR="006102CD" w:rsidRPr="00DC1399">
        <w:rPr>
          <w:rFonts w:ascii="Times" w:hAnsi="Times"/>
        </w:rPr>
        <w:t>hypointense</w:t>
      </w:r>
      <w:proofErr w:type="spellEnd"/>
      <w:r w:rsidR="006102CD" w:rsidRPr="00DC1399">
        <w:rPr>
          <w:rFonts w:ascii="Times" w:hAnsi="Times"/>
        </w:rPr>
        <w:t xml:space="preserve"> hepatocellular nodules observed only in the hepatobiliary phase of </w:t>
      </w:r>
      <w:proofErr w:type="spellStart"/>
      <w:r w:rsidR="006102CD" w:rsidRPr="00DC1399">
        <w:rPr>
          <w:rFonts w:ascii="Times" w:hAnsi="Times"/>
        </w:rPr>
        <w:t>gadoxetate</w:t>
      </w:r>
      <w:proofErr w:type="spellEnd"/>
      <w:r w:rsidR="006102CD" w:rsidRPr="00DC1399">
        <w:rPr>
          <w:rFonts w:ascii="Times" w:hAnsi="Times"/>
        </w:rPr>
        <w:t xml:space="preserve"> disodium-enhanced MRI. Am J </w:t>
      </w:r>
      <w:proofErr w:type="spellStart"/>
      <w:r w:rsidR="006102CD" w:rsidRPr="00DC1399">
        <w:rPr>
          <w:rFonts w:ascii="Times" w:hAnsi="Times"/>
        </w:rPr>
        <w:t>Roentogenol</w:t>
      </w:r>
      <w:proofErr w:type="spellEnd"/>
      <w:r w:rsidR="006102CD" w:rsidRPr="00DC1399">
        <w:rPr>
          <w:rFonts w:ascii="Times" w:hAnsi="Times"/>
        </w:rPr>
        <w:t xml:space="preserve"> 2011; 197: 58-</w:t>
      </w:r>
      <w:proofErr w:type="gramStart"/>
      <w:r w:rsidR="006102CD" w:rsidRPr="00DC1399">
        <w:rPr>
          <w:rFonts w:ascii="Times" w:hAnsi="Times"/>
        </w:rPr>
        <w:t>63.</w:t>
      </w:r>
      <w:proofErr w:type="gramEnd"/>
    </w:p>
    <w:p w14:paraId="75FAFE13" w14:textId="39EC3A34" w:rsidR="006102CD" w:rsidRPr="00DC1399" w:rsidRDefault="00A26E4F"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r w:rsidRPr="00DC1399">
        <w:rPr>
          <w:rFonts w:ascii="Times" w:hAnsi="Times"/>
        </w:rPr>
        <w:t xml:space="preserve">Komatsu N, </w:t>
      </w:r>
      <w:proofErr w:type="spellStart"/>
      <w:r w:rsidRPr="00DC1399">
        <w:rPr>
          <w:rFonts w:ascii="Times" w:hAnsi="Times"/>
        </w:rPr>
        <w:t>Motosugi</w:t>
      </w:r>
      <w:proofErr w:type="spellEnd"/>
      <w:r w:rsidRPr="00DC1399">
        <w:rPr>
          <w:rFonts w:ascii="Times" w:hAnsi="Times"/>
        </w:rPr>
        <w:t xml:space="preserve"> U, </w:t>
      </w:r>
      <w:proofErr w:type="spellStart"/>
      <w:r w:rsidRPr="00DC1399">
        <w:rPr>
          <w:rFonts w:ascii="Times" w:hAnsi="Times"/>
        </w:rPr>
        <w:t>Maekawa</w:t>
      </w:r>
      <w:proofErr w:type="spellEnd"/>
      <w:r w:rsidR="00DC1399">
        <w:rPr>
          <w:rFonts w:ascii="Times" w:hAnsi="Times"/>
        </w:rPr>
        <w:t xml:space="preserve"> S</w:t>
      </w:r>
      <w:r w:rsidRPr="00DC1399">
        <w:rPr>
          <w:rFonts w:ascii="Times" w:hAnsi="Times"/>
        </w:rPr>
        <w:t xml:space="preserve">, </w:t>
      </w:r>
      <w:r w:rsidRPr="00DC1399">
        <w:rPr>
          <w:rFonts w:ascii="Times" w:hAnsi="Times" w:cs="Calibri"/>
          <w:kern w:val="0"/>
        </w:rPr>
        <w:t xml:space="preserve">et al. </w:t>
      </w:r>
      <w:r w:rsidR="006102CD" w:rsidRPr="00DC1399">
        <w:rPr>
          <w:rFonts w:ascii="Times" w:hAnsi="Times"/>
        </w:rPr>
        <w:t xml:space="preserve">Hepatocellular carcinoma risk assessment using </w:t>
      </w:r>
      <w:proofErr w:type="spellStart"/>
      <w:r w:rsidR="006102CD" w:rsidRPr="00DC1399">
        <w:rPr>
          <w:rFonts w:ascii="Times" w:hAnsi="Times"/>
        </w:rPr>
        <w:t>gadoxetic</w:t>
      </w:r>
      <w:proofErr w:type="spellEnd"/>
      <w:r w:rsidR="006102CD" w:rsidRPr="00DC1399">
        <w:rPr>
          <w:rFonts w:ascii="Times" w:hAnsi="Times"/>
        </w:rPr>
        <w:t xml:space="preserve"> acid-enhanced hepatocyte phase magnetic resonance imaging. Hepatol Res 2014; 44: 1339-1346.</w:t>
      </w:r>
    </w:p>
    <w:p w14:paraId="38F20601" w14:textId="77777777" w:rsidR="006102CD" w:rsidRPr="00DC1399" w:rsidRDefault="008A4B36"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r w:rsidRPr="00DC1399">
        <w:rPr>
          <w:rFonts w:ascii="Times" w:hAnsi="Times"/>
        </w:rPr>
        <w:t xml:space="preserve">Bruix J, </w:t>
      </w:r>
      <w:proofErr w:type="spellStart"/>
      <w:r w:rsidRPr="00DC1399">
        <w:rPr>
          <w:rFonts w:ascii="Times" w:hAnsi="Times"/>
        </w:rPr>
        <w:t>Sheman</w:t>
      </w:r>
      <w:proofErr w:type="spellEnd"/>
      <w:r w:rsidRPr="00DC1399">
        <w:rPr>
          <w:rFonts w:ascii="Times" w:hAnsi="Times"/>
        </w:rPr>
        <w:t xml:space="preserve"> M</w:t>
      </w:r>
      <w:r w:rsidR="006F709C" w:rsidRPr="00DC1399">
        <w:rPr>
          <w:rFonts w:ascii="Times" w:hAnsi="Times"/>
        </w:rPr>
        <w:t>, American Association for the Study of the Liver Diseases</w:t>
      </w:r>
      <w:r w:rsidRPr="00DC1399">
        <w:rPr>
          <w:rFonts w:ascii="Times" w:hAnsi="Times"/>
        </w:rPr>
        <w:t>. Management of hepatocellular carcinoma: an update. Hepatology 2011; 53: 1020-1022</w:t>
      </w:r>
    </w:p>
    <w:p w14:paraId="37DD2BCE" w14:textId="77777777" w:rsidR="006102CD" w:rsidRPr="00DC1399" w:rsidRDefault="006F709C"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r w:rsidRPr="00DC1399">
        <w:rPr>
          <w:rFonts w:ascii="Times" w:hAnsi="Times"/>
        </w:rPr>
        <w:t xml:space="preserve">European Association for the Study of the Liver, European </w:t>
      </w:r>
      <w:proofErr w:type="spellStart"/>
      <w:r w:rsidRPr="00DC1399">
        <w:rPr>
          <w:rFonts w:ascii="Times" w:hAnsi="Times"/>
        </w:rPr>
        <w:t>Organisation</w:t>
      </w:r>
      <w:proofErr w:type="spellEnd"/>
      <w:r w:rsidRPr="00DC1399">
        <w:rPr>
          <w:rFonts w:ascii="Times" w:hAnsi="Times"/>
        </w:rPr>
        <w:t xml:space="preserve"> for Research and Treatment of Cancer. EASL-EORTC clinical practice guidelines: management of hepatocellular carcinoma. J Hepatol 2012; 56: 908-943.</w:t>
      </w:r>
    </w:p>
    <w:p w14:paraId="3AE656B4" w14:textId="77777777" w:rsidR="006102CD" w:rsidRPr="00DC1399" w:rsidRDefault="006102CD"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r w:rsidRPr="00DC1399">
        <w:rPr>
          <w:rFonts w:ascii="Times" w:hAnsi="Times"/>
        </w:rPr>
        <w:t>Japanese Society of Hepatology. Chapter 2: Diagnosis and surveillance. Hepatol Res 2010; 40 (</w:t>
      </w:r>
      <w:proofErr w:type="spellStart"/>
      <w:r w:rsidRPr="00DC1399">
        <w:rPr>
          <w:rFonts w:ascii="Times" w:hAnsi="Times"/>
        </w:rPr>
        <w:t>Suppl</w:t>
      </w:r>
      <w:proofErr w:type="spellEnd"/>
      <w:r w:rsidRPr="00DC1399">
        <w:rPr>
          <w:rFonts w:ascii="Times" w:hAnsi="Times"/>
        </w:rPr>
        <w:t xml:space="preserve"> 1): 16-47.</w:t>
      </w:r>
    </w:p>
    <w:p w14:paraId="776B8DF6" w14:textId="60524DBD" w:rsidR="00214839" w:rsidRPr="00DC1399" w:rsidRDefault="00DC1399" w:rsidP="00C322D0">
      <w:pPr>
        <w:pStyle w:val="ListParagraph"/>
        <w:widowControl/>
        <w:numPr>
          <w:ilvl w:val="0"/>
          <w:numId w:val="2"/>
        </w:numPr>
        <w:tabs>
          <w:tab w:val="left" w:pos="220"/>
          <w:tab w:val="left" w:pos="720"/>
        </w:tabs>
        <w:autoSpaceDE w:val="0"/>
        <w:autoSpaceDN w:val="0"/>
        <w:adjustRightInd w:val="0"/>
        <w:spacing w:after="280" w:line="360" w:lineRule="auto"/>
        <w:ind w:leftChars="0"/>
        <w:jc w:val="left"/>
        <w:rPr>
          <w:rFonts w:ascii="Times" w:hAnsi="Times" w:cs="Calibri"/>
          <w:kern w:val="0"/>
        </w:rPr>
      </w:pPr>
      <w:r>
        <w:rPr>
          <w:rFonts w:ascii="Times" w:hAnsi="Times"/>
        </w:rPr>
        <w:t>Toyoda H, Kumada T, Tada T</w:t>
      </w:r>
      <w:r w:rsidR="00205287" w:rsidRPr="00DC1399">
        <w:rPr>
          <w:rFonts w:ascii="Times" w:hAnsi="Times"/>
        </w:rPr>
        <w:t xml:space="preserve">, et al. </w:t>
      </w:r>
      <w:r w:rsidR="00B51313" w:rsidRPr="00DC1399">
        <w:rPr>
          <w:rFonts w:ascii="Times" w:hAnsi="Times"/>
        </w:rPr>
        <w:t xml:space="preserve">Impact of previously cured hepatocellular carcinoma (HCC) on new development of HCC after eradication of hepatitis C infection with non-interferon-based treatment. </w:t>
      </w:r>
      <w:r w:rsidR="00DA0BBC" w:rsidRPr="00DC1399">
        <w:rPr>
          <w:rFonts w:ascii="Times" w:hAnsi="Times"/>
        </w:rPr>
        <w:t xml:space="preserve">Aliment </w:t>
      </w:r>
      <w:proofErr w:type="spellStart"/>
      <w:r w:rsidR="00DA0BBC" w:rsidRPr="00DC1399">
        <w:rPr>
          <w:rFonts w:ascii="Times" w:hAnsi="Times"/>
        </w:rPr>
        <w:t>Pharmacol</w:t>
      </w:r>
      <w:proofErr w:type="spellEnd"/>
      <w:r w:rsidR="00DA0BBC" w:rsidRPr="00DC1399">
        <w:rPr>
          <w:rFonts w:ascii="Times" w:hAnsi="Times"/>
        </w:rPr>
        <w:t xml:space="preserve"> </w:t>
      </w:r>
      <w:proofErr w:type="spellStart"/>
      <w:r w:rsidR="00DA0BBC" w:rsidRPr="00DC1399">
        <w:rPr>
          <w:rFonts w:ascii="Times" w:hAnsi="Times"/>
        </w:rPr>
        <w:t>Ther</w:t>
      </w:r>
      <w:proofErr w:type="spellEnd"/>
      <w:r w:rsidR="00DA0BBC" w:rsidRPr="00DC1399">
        <w:rPr>
          <w:rFonts w:ascii="Times" w:hAnsi="Times"/>
        </w:rPr>
        <w:t xml:space="preserve"> 2018; 48: 664-670</w:t>
      </w:r>
    </w:p>
    <w:p w14:paraId="3198FB34" w14:textId="77777777" w:rsidR="006102CD" w:rsidRPr="00DC1399" w:rsidRDefault="006102CD" w:rsidP="006102CD">
      <w:pPr>
        <w:widowControl/>
        <w:jc w:val="left"/>
        <w:rPr>
          <w:rFonts w:ascii="Times" w:hAnsi="Times"/>
        </w:rPr>
      </w:pPr>
      <w:r w:rsidRPr="00DC1399">
        <w:rPr>
          <w:rFonts w:ascii="Times" w:hAnsi="Times"/>
        </w:rPr>
        <w:br w:type="page"/>
      </w:r>
    </w:p>
    <w:p w14:paraId="54E9BC20" w14:textId="77777777" w:rsidR="006102CD" w:rsidRPr="00DC1399" w:rsidRDefault="006102CD" w:rsidP="006102CD">
      <w:pPr>
        <w:spacing w:line="480" w:lineRule="auto"/>
        <w:jc w:val="left"/>
        <w:rPr>
          <w:rFonts w:ascii="Times" w:hAnsi="Times"/>
          <w:b/>
        </w:rPr>
      </w:pPr>
      <w:r w:rsidRPr="00DC1399">
        <w:rPr>
          <w:rFonts w:ascii="Times" w:hAnsi="Times"/>
          <w:b/>
        </w:rPr>
        <w:lastRenderedPageBreak/>
        <w:t>Figure Legends</w:t>
      </w:r>
    </w:p>
    <w:p w14:paraId="1ECCC822" w14:textId="384E2B6E" w:rsidR="007B7A93" w:rsidRPr="00DC1399" w:rsidRDefault="008503FD" w:rsidP="007B7A93">
      <w:pPr>
        <w:spacing w:line="480" w:lineRule="auto"/>
        <w:jc w:val="left"/>
        <w:rPr>
          <w:rFonts w:ascii="Times" w:hAnsi="Times"/>
        </w:rPr>
      </w:pPr>
      <w:r w:rsidRPr="00DC1399">
        <w:rPr>
          <w:rFonts w:ascii="Times" w:hAnsi="Times"/>
        </w:rPr>
        <w:t xml:space="preserve">Figure 1. </w:t>
      </w:r>
      <w:r w:rsidR="007B7A93" w:rsidRPr="00DC1399">
        <w:rPr>
          <w:rFonts w:ascii="Times" w:hAnsi="Times"/>
        </w:rPr>
        <w:t>Schematic flowchart of the enrollment of study patients.</w:t>
      </w:r>
    </w:p>
    <w:p w14:paraId="5C06DE80" w14:textId="77777777" w:rsidR="007B7A93" w:rsidRPr="00DC1399" w:rsidRDefault="007B7A93" w:rsidP="007B7A93">
      <w:pPr>
        <w:spacing w:line="480" w:lineRule="auto"/>
        <w:jc w:val="left"/>
        <w:rPr>
          <w:rFonts w:ascii="Times" w:hAnsi="Times"/>
        </w:rPr>
      </w:pPr>
    </w:p>
    <w:p w14:paraId="2AEBA10D" w14:textId="404D8F52" w:rsidR="007B7A93" w:rsidRPr="00DC1399" w:rsidRDefault="008503FD" w:rsidP="007B7A93">
      <w:pPr>
        <w:spacing w:line="480" w:lineRule="auto"/>
        <w:jc w:val="left"/>
        <w:rPr>
          <w:rFonts w:ascii="Times" w:hAnsi="Times"/>
        </w:rPr>
      </w:pPr>
      <w:r w:rsidRPr="00DC1399">
        <w:rPr>
          <w:rFonts w:ascii="Times" w:hAnsi="Times"/>
        </w:rPr>
        <w:t xml:space="preserve">Figure 2. </w:t>
      </w:r>
      <w:r w:rsidR="007B7A93" w:rsidRPr="00DC1399">
        <w:rPr>
          <w:rFonts w:ascii="Times" w:hAnsi="Times"/>
        </w:rPr>
        <w:t xml:space="preserve">Schematic flowchart comparing propensity score-matched patients with and without </w:t>
      </w:r>
      <w:r w:rsidR="0075031D" w:rsidRPr="00DC1399">
        <w:rPr>
          <w:rFonts w:ascii="Times" w:hAnsi="Times"/>
        </w:rPr>
        <w:t xml:space="preserve">non-hypervascular </w:t>
      </w:r>
      <w:proofErr w:type="spellStart"/>
      <w:r w:rsidR="0075031D" w:rsidRPr="00DC1399">
        <w:rPr>
          <w:rFonts w:ascii="Times" w:hAnsi="Times"/>
        </w:rPr>
        <w:t>h</w:t>
      </w:r>
      <w:r w:rsidR="0045734D" w:rsidRPr="00DC1399">
        <w:rPr>
          <w:rFonts w:ascii="Times" w:hAnsi="Times"/>
        </w:rPr>
        <w:t>ypointense</w:t>
      </w:r>
      <w:proofErr w:type="spellEnd"/>
      <w:r w:rsidR="0075031D" w:rsidRPr="00DC1399">
        <w:rPr>
          <w:rFonts w:ascii="Times" w:hAnsi="Times"/>
        </w:rPr>
        <w:t xml:space="preserve"> nodule</w:t>
      </w:r>
      <w:r w:rsidR="007B7A93" w:rsidRPr="00DC1399">
        <w:rPr>
          <w:rFonts w:ascii="Times" w:eastAsia="Osaka" w:hAnsi="Times"/>
        </w:rPr>
        <w:t xml:space="preserve">s at baseline. These patients were derived from 2 groups: </w:t>
      </w:r>
      <w:r w:rsidR="007B7A93" w:rsidRPr="00DC1399">
        <w:rPr>
          <w:rFonts w:ascii="Times" w:hAnsi="Times"/>
        </w:rPr>
        <w:t>patients with HCV eradication (cases) and those with persistent HCV infection (controls)</w:t>
      </w:r>
    </w:p>
    <w:p w14:paraId="2D28866A" w14:textId="77777777" w:rsidR="007B7A93" w:rsidRPr="00DC1399" w:rsidRDefault="007B7A93" w:rsidP="006102CD">
      <w:pPr>
        <w:spacing w:line="480" w:lineRule="auto"/>
        <w:jc w:val="left"/>
        <w:rPr>
          <w:rFonts w:ascii="Times" w:hAnsi="Times"/>
          <w:b/>
        </w:rPr>
      </w:pPr>
    </w:p>
    <w:p w14:paraId="3C616622" w14:textId="00A076F4" w:rsidR="006102CD" w:rsidRPr="00DC1399" w:rsidRDefault="006102CD" w:rsidP="006102CD">
      <w:pPr>
        <w:spacing w:line="480" w:lineRule="auto"/>
        <w:jc w:val="left"/>
        <w:rPr>
          <w:rFonts w:ascii="Times" w:hAnsi="Times"/>
        </w:rPr>
      </w:pPr>
      <w:r w:rsidRPr="00DC1399">
        <w:rPr>
          <w:rFonts w:ascii="Times" w:hAnsi="Times"/>
        </w:rPr>
        <w:t xml:space="preserve">Figure </w:t>
      </w:r>
      <w:r w:rsidR="00EE0565" w:rsidRPr="00DC1399">
        <w:rPr>
          <w:rFonts w:ascii="Times" w:hAnsi="Times"/>
        </w:rPr>
        <w:t>3</w:t>
      </w:r>
      <w:r w:rsidRPr="00DC1399">
        <w:rPr>
          <w:rFonts w:ascii="Times" w:hAnsi="Times"/>
        </w:rPr>
        <w:t xml:space="preserve">. Hypervascularization rates of </w:t>
      </w:r>
      <w:r w:rsidR="0045734D" w:rsidRPr="00DC1399">
        <w:rPr>
          <w:rFonts w:ascii="Times" w:hAnsi="Times"/>
        </w:rPr>
        <w:t xml:space="preserve">non-hypervascular </w:t>
      </w:r>
      <w:proofErr w:type="spellStart"/>
      <w:r w:rsidR="0045734D" w:rsidRPr="00DC1399">
        <w:rPr>
          <w:rFonts w:ascii="Times" w:hAnsi="Times"/>
        </w:rPr>
        <w:t>hypointense</w:t>
      </w:r>
      <w:proofErr w:type="spellEnd"/>
      <w:r w:rsidR="0045734D" w:rsidRPr="00DC1399">
        <w:rPr>
          <w:rFonts w:ascii="Times" w:hAnsi="Times"/>
        </w:rPr>
        <w:t xml:space="preserve"> nodule</w:t>
      </w:r>
      <w:r w:rsidR="0045734D" w:rsidRPr="00DC1399">
        <w:rPr>
          <w:rFonts w:ascii="Times" w:eastAsia="Osaka" w:hAnsi="Times"/>
        </w:rPr>
        <w:t>s</w:t>
      </w:r>
      <w:r w:rsidRPr="00DC1399">
        <w:rPr>
          <w:rFonts w:ascii="Times" w:hAnsi="Times"/>
        </w:rPr>
        <w:t xml:space="preserve"> in patients with HCV eradication by DAA therapy versus patients with persistent HCV infection: propensity score-matched comparison among patients with </w:t>
      </w:r>
      <w:r w:rsidR="0045734D" w:rsidRPr="00DC1399">
        <w:rPr>
          <w:rFonts w:ascii="Times" w:hAnsi="Times"/>
        </w:rPr>
        <w:t xml:space="preserve">non-hypervascular </w:t>
      </w:r>
      <w:proofErr w:type="spellStart"/>
      <w:r w:rsidR="0045734D" w:rsidRPr="00DC1399">
        <w:rPr>
          <w:rFonts w:ascii="Times" w:hAnsi="Times"/>
        </w:rPr>
        <w:t>hypointense</w:t>
      </w:r>
      <w:proofErr w:type="spellEnd"/>
      <w:r w:rsidR="0045734D" w:rsidRPr="00DC1399">
        <w:rPr>
          <w:rFonts w:ascii="Times" w:hAnsi="Times"/>
        </w:rPr>
        <w:t xml:space="preserve"> nodule</w:t>
      </w:r>
      <w:r w:rsidR="0045734D" w:rsidRPr="00DC1399">
        <w:rPr>
          <w:rFonts w:ascii="Times" w:eastAsia="Osaka" w:hAnsi="Times"/>
        </w:rPr>
        <w:t>s</w:t>
      </w:r>
      <w:r w:rsidRPr="00DC1399">
        <w:rPr>
          <w:rFonts w:ascii="Times" w:hAnsi="Times"/>
        </w:rPr>
        <w:t xml:space="preserve"> at baseline. No difference was observed between the 2 groups.</w:t>
      </w:r>
    </w:p>
    <w:p w14:paraId="7F97F998" w14:textId="367B6277" w:rsidR="006102CD" w:rsidRPr="00DC1399" w:rsidRDefault="006102CD" w:rsidP="006102CD">
      <w:pPr>
        <w:spacing w:line="480" w:lineRule="auto"/>
        <w:jc w:val="left"/>
        <w:rPr>
          <w:rFonts w:ascii="Times" w:hAnsi="Times"/>
        </w:rPr>
      </w:pPr>
      <w:r w:rsidRPr="00DC1399">
        <w:rPr>
          <w:rFonts w:ascii="Times" w:hAnsi="Times"/>
        </w:rPr>
        <w:t xml:space="preserve">Horizontal axis, period after baseline (months). </w:t>
      </w:r>
      <w:r w:rsidR="0045734D" w:rsidRPr="00DC1399">
        <w:rPr>
          <w:rFonts w:ascii="Times" w:hAnsi="Times"/>
        </w:rPr>
        <w:t>Red</w:t>
      </w:r>
      <w:r w:rsidRPr="00DC1399">
        <w:rPr>
          <w:rFonts w:ascii="Times" w:hAnsi="Times"/>
        </w:rPr>
        <w:t xml:space="preserve"> line, patients with HCV eradication. </w:t>
      </w:r>
      <w:r w:rsidR="0045734D" w:rsidRPr="00DC1399">
        <w:rPr>
          <w:rFonts w:ascii="Times" w:hAnsi="Times"/>
        </w:rPr>
        <w:t>Blue</w:t>
      </w:r>
      <w:r w:rsidRPr="00DC1399">
        <w:rPr>
          <w:rFonts w:ascii="Times" w:hAnsi="Times"/>
        </w:rPr>
        <w:t xml:space="preserve"> line, patients with persistent HCV infection.</w:t>
      </w:r>
    </w:p>
    <w:p w14:paraId="044F34DB" w14:textId="77777777" w:rsidR="006102CD" w:rsidRPr="00DC1399" w:rsidRDefault="006102CD" w:rsidP="006102CD">
      <w:pPr>
        <w:spacing w:line="480" w:lineRule="auto"/>
        <w:jc w:val="left"/>
        <w:rPr>
          <w:rFonts w:ascii="Times" w:hAnsi="Times"/>
        </w:rPr>
      </w:pPr>
    </w:p>
    <w:p w14:paraId="6DAB7A1E" w14:textId="587681DF" w:rsidR="006102CD" w:rsidRPr="00DC1399" w:rsidRDefault="006102CD" w:rsidP="006102CD">
      <w:pPr>
        <w:spacing w:line="480" w:lineRule="auto"/>
        <w:jc w:val="left"/>
        <w:rPr>
          <w:rFonts w:ascii="Times" w:hAnsi="Times"/>
        </w:rPr>
      </w:pPr>
      <w:r w:rsidRPr="00DC1399">
        <w:rPr>
          <w:rFonts w:ascii="Times" w:hAnsi="Times"/>
        </w:rPr>
        <w:t xml:space="preserve">Figure </w:t>
      </w:r>
      <w:r w:rsidR="00EE0565" w:rsidRPr="00DC1399">
        <w:rPr>
          <w:rFonts w:ascii="Times" w:hAnsi="Times"/>
        </w:rPr>
        <w:t>4</w:t>
      </w:r>
      <w:r w:rsidRPr="00DC1399">
        <w:rPr>
          <w:rFonts w:ascii="Times" w:hAnsi="Times"/>
        </w:rPr>
        <w:t xml:space="preserve">. Rates of the emergence of </w:t>
      </w:r>
      <w:r w:rsidR="0045734D" w:rsidRPr="00DC1399">
        <w:rPr>
          <w:rFonts w:ascii="Times" w:hAnsi="Times"/>
        </w:rPr>
        <w:t xml:space="preserve">non-hypervascular </w:t>
      </w:r>
      <w:proofErr w:type="spellStart"/>
      <w:r w:rsidR="0045734D" w:rsidRPr="00DC1399">
        <w:rPr>
          <w:rFonts w:ascii="Times" w:hAnsi="Times"/>
        </w:rPr>
        <w:t>hypointense</w:t>
      </w:r>
      <w:proofErr w:type="spellEnd"/>
      <w:r w:rsidR="0045734D" w:rsidRPr="00DC1399">
        <w:rPr>
          <w:rFonts w:ascii="Times" w:hAnsi="Times"/>
        </w:rPr>
        <w:t xml:space="preserve"> nodule</w:t>
      </w:r>
      <w:r w:rsidR="0045734D" w:rsidRPr="00DC1399">
        <w:rPr>
          <w:rFonts w:ascii="Times" w:eastAsia="Osaka" w:hAnsi="Times"/>
        </w:rPr>
        <w:t>s</w:t>
      </w:r>
      <w:r w:rsidRPr="00DC1399">
        <w:rPr>
          <w:rFonts w:ascii="Times" w:hAnsi="Times"/>
        </w:rPr>
        <w:t xml:space="preserve"> in patients </w:t>
      </w:r>
      <w:r w:rsidRPr="00DC1399">
        <w:rPr>
          <w:rFonts w:ascii="Times" w:hAnsi="Times"/>
        </w:rPr>
        <w:lastRenderedPageBreak/>
        <w:t xml:space="preserve">with HCV eradication by DAA therapy and patients with persistent HCV infection: propensity score-matched comparison among patients without </w:t>
      </w:r>
      <w:r w:rsidR="0045734D" w:rsidRPr="00DC1399">
        <w:rPr>
          <w:rFonts w:ascii="Times" w:hAnsi="Times"/>
        </w:rPr>
        <w:t xml:space="preserve">non-hypervascular </w:t>
      </w:r>
      <w:proofErr w:type="spellStart"/>
      <w:r w:rsidR="0045734D" w:rsidRPr="00DC1399">
        <w:rPr>
          <w:rFonts w:ascii="Times" w:hAnsi="Times"/>
        </w:rPr>
        <w:t>hypointense</w:t>
      </w:r>
      <w:proofErr w:type="spellEnd"/>
      <w:r w:rsidR="0045734D" w:rsidRPr="00DC1399">
        <w:rPr>
          <w:rFonts w:ascii="Times" w:hAnsi="Times"/>
        </w:rPr>
        <w:t xml:space="preserve"> nodule</w:t>
      </w:r>
      <w:r w:rsidR="0045734D" w:rsidRPr="00DC1399">
        <w:rPr>
          <w:rFonts w:ascii="Times" w:eastAsia="Osaka" w:hAnsi="Times"/>
        </w:rPr>
        <w:t>s</w:t>
      </w:r>
      <w:r w:rsidRPr="00DC1399">
        <w:rPr>
          <w:rFonts w:ascii="Times" w:hAnsi="Times"/>
        </w:rPr>
        <w:t xml:space="preserve"> at baseline. No difference was observed between the 2 groups.</w:t>
      </w:r>
    </w:p>
    <w:p w14:paraId="6678B274" w14:textId="2CBCD62B" w:rsidR="006102CD" w:rsidRPr="00DC1399" w:rsidRDefault="006102CD" w:rsidP="006102CD">
      <w:pPr>
        <w:spacing w:line="480" w:lineRule="auto"/>
        <w:jc w:val="left"/>
        <w:rPr>
          <w:rFonts w:ascii="Times" w:hAnsi="Times"/>
        </w:rPr>
      </w:pPr>
      <w:r w:rsidRPr="00DC1399">
        <w:rPr>
          <w:rFonts w:ascii="Times" w:hAnsi="Times"/>
        </w:rPr>
        <w:t xml:space="preserve">Horizontal axis, period after baseline (months). </w:t>
      </w:r>
      <w:r w:rsidR="0045734D" w:rsidRPr="00DC1399">
        <w:rPr>
          <w:rFonts w:ascii="Times" w:hAnsi="Times"/>
        </w:rPr>
        <w:t>Red</w:t>
      </w:r>
      <w:r w:rsidRPr="00DC1399">
        <w:rPr>
          <w:rFonts w:ascii="Times" w:hAnsi="Times"/>
        </w:rPr>
        <w:t xml:space="preserve"> line, patients with HCV eradication. </w:t>
      </w:r>
      <w:r w:rsidR="0045734D" w:rsidRPr="00DC1399">
        <w:rPr>
          <w:rFonts w:ascii="Times" w:hAnsi="Times"/>
        </w:rPr>
        <w:t>Blue</w:t>
      </w:r>
      <w:r w:rsidRPr="00DC1399">
        <w:rPr>
          <w:rFonts w:ascii="Times" w:hAnsi="Times"/>
        </w:rPr>
        <w:t xml:space="preserve"> line, patients with persistent HCV infection.</w:t>
      </w:r>
    </w:p>
    <w:p w14:paraId="10516C15" w14:textId="77777777" w:rsidR="008B3787" w:rsidRPr="00DC1399" w:rsidRDefault="008B3787"/>
    <w:p w14:paraId="1327D76C" w14:textId="33AF7BFC" w:rsidR="00EE0565" w:rsidRPr="00DC1399" w:rsidRDefault="00EE0565" w:rsidP="00EE0565">
      <w:pPr>
        <w:spacing w:line="480" w:lineRule="auto"/>
        <w:jc w:val="left"/>
        <w:rPr>
          <w:rFonts w:ascii="Times" w:hAnsi="Times"/>
        </w:rPr>
      </w:pPr>
      <w:r w:rsidRPr="00DC1399">
        <w:rPr>
          <w:rFonts w:ascii="Times" w:hAnsi="Times"/>
        </w:rPr>
        <w:t xml:space="preserve">Supplementary figure 1. Hypervascularization of baseline </w:t>
      </w:r>
      <w:r w:rsidR="00933EE7" w:rsidRPr="00DC1399">
        <w:rPr>
          <w:rFonts w:ascii="Times" w:hAnsi="Times"/>
        </w:rPr>
        <w:t xml:space="preserve">non-hypervascular </w:t>
      </w:r>
      <w:proofErr w:type="spellStart"/>
      <w:r w:rsidR="00933EE7" w:rsidRPr="00DC1399">
        <w:rPr>
          <w:rFonts w:ascii="Times" w:hAnsi="Times"/>
        </w:rPr>
        <w:t>hypointense</w:t>
      </w:r>
      <w:proofErr w:type="spellEnd"/>
      <w:r w:rsidR="00933EE7" w:rsidRPr="00DC1399">
        <w:rPr>
          <w:rFonts w:ascii="Times" w:hAnsi="Times"/>
        </w:rPr>
        <w:t xml:space="preserve"> nodule</w:t>
      </w:r>
      <w:r w:rsidR="00933EE7" w:rsidRPr="00DC1399">
        <w:rPr>
          <w:rFonts w:ascii="Times" w:eastAsia="Osaka" w:hAnsi="Times"/>
        </w:rPr>
        <w:t>s</w:t>
      </w:r>
      <w:r w:rsidRPr="00DC1399">
        <w:rPr>
          <w:rFonts w:ascii="Times" w:eastAsia="Osaka" w:hAnsi="Times"/>
        </w:rPr>
        <w:t xml:space="preserve"> (transition</w:t>
      </w:r>
      <w:r w:rsidRPr="00DC1399">
        <w:rPr>
          <w:rFonts w:ascii="Times" w:hAnsi="Times"/>
        </w:rPr>
        <w:t xml:space="preserve"> to typical HCC) after the eradication of HCV by DAA therapy.</w:t>
      </w:r>
    </w:p>
    <w:p w14:paraId="7A8014DC" w14:textId="2B20CEDC" w:rsidR="00EE0565" w:rsidRPr="00DC1399" w:rsidRDefault="00EE0565" w:rsidP="00EE0565">
      <w:pPr>
        <w:spacing w:line="480" w:lineRule="auto"/>
        <w:jc w:val="left"/>
        <w:rPr>
          <w:rFonts w:ascii="Times" w:hAnsi="Times"/>
        </w:rPr>
      </w:pPr>
      <w:r w:rsidRPr="00DC1399">
        <w:rPr>
          <w:rFonts w:ascii="Times" w:hAnsi="Times"/>
        </w:rPr>
        <w:t xml:space="preserve">A) Before the start of DAA therapy (baseline), B) at the end of the therapy (24 weeks after the start of therapy), C) 48 weeks after the end of therapy (72 weeks after the start </w:t>
      </w:r>
      <w:r w:rsidR="00933EE7" w:rsidRPr="00DC1399">
        <w:rPr>
          <w:rFonts w:ascii="Times" w:hAnsi="Times"/>
        </w:rPr>
        <w:t>of therapy). This patient had a</w:t>
      </w:r>
      <w:r w:rsidRPr="00DC1399">
        <w:rPr>
          <w:rFonts w:ascii="Times" w:hAnsi="Times"/>
        </w:rPr>
        <w:t xml:space="preserve"> </w:t>
      </w:r>
      <w:r w:rsidR="00933EE7" w:rsidRPr="00DC1399">
        <w:rPr>
          <w:rFonts w:ascii="Times" w:hAnsi="Times"/>
        </w:rPr>
        <w:t xml:space="preserve">non-hypervascular </w:t>
      </w:r>
      <w:proofErr w:type="spellStart"/>
      <w:r w:rsidR="00933EE7" w:rsidRPr="00DC1399">
        <w:rPr>
          <w:rFonts w:ascii="Times" w:hAnsi="Times"/>
        </w:rPr>
        <w:t>hypointense</w:t>
      </w:r>
      <w:proofErr w:type="spellEnd"/>
      <w:r w:rsidR="00933EE7" w:rsidRPr="00DC1399">
        <w:rPr>
          <w:rFonts w:ascii="Times" w:hAnsi="Times"/>
        </w:rPr>
        <w:t xml:space="preserve"> nodule</w:t>
      </w:r>
      <w:r w:rsidRPr="00DC1399">
        <w:rPr>
          <w:rFonts w:ascii="Times" w:hAnsi="Times"/>
        </w:rPr>
        <w:t xml:space="preserve"> at baseline (</w:t>
      </w:r>
      <w:r w:rsidR="007033F7" w:rsidRPr="00DC1399">
        <w:rPr>
          <w:rFonts w:ascii="Times" w:hAnsi="Times"/>
        </w:rPr>
        <w:t>red</w:t>
      </w:r>
      <w:r w:rsidRPr="00DC1399">
        <w:rPr>
          <w:rFonts w:ascii="Times" w:hAnsi="Times"/>
        </w:rPr>
        <w:t xml:space="preserve"> arrow) and underwent a 24-week regimen of </w:t>
      </w:r>
      <w:proofErr w:type="spellStart"/>
      <w:r w:rsidRPr="00DC1399">
        <w:rPr>
          <w:rFonts w:ascii="Times" w:hAnsi="Times"/>
        </w:rPr>
        <w:t>daclatasvir</w:t>
      </w:r>
      <w:proofErr w:type="spellEnd"/>
      <w:r w:rsidRPr="00DC1399">
        <w:rPr>
          <w:rFonts w:ascii="Times" w:hAnsi="Times"/>
        </w:rPr>
        <w:t xml:space="preserve"> and </w:t>
      </w:r>
      <w:proofErr w:type="spellStart"/>
      <w:r w:rsidRPr="00DC1399">
        <w:rPr>
          <w:rFonts w:ascii="Times" w:hAnsi="Times"/>
        </w:rPr>
        <w:t>asunaprevir</w:t>
      </w:r>
      <w:proofErr w:type="spellEnd"/>
      <w:r w:rsidRPr="00DC1399">
        <w:rPr>
          <w:rFonts w:ascii="Times" w:hAnsi="Times"/>
        </w:rPr>
        <w:t xml:space="preserve">, achieving SVR. A mild increase in the size of the </w:t>
      </w:r>
      <w:r w:rsidR="00933EE7" w:rsidRPr="00DC1399">
        <w:rPr>
          <w:rFonts w:ascii="Times" w:hAnsi="Times"/>
        </w:rPr>
        <w:t xml:space="preserve">non-hypervascular </w:t>
      </w:r>
      <w:proofErr w:type="spellStart"/>
      <w:r w:rsidR="00933EE7" w:rsidRPr="00DC1399">
        <w:rPr>
          <w:rFonts w:ascii="Times" w:hAnsi="Times"/>
        </w:rPr>
        <w:t>hypointense</w:t>
      </w:r>
      <w:proofErr w:type="spellEnd"/>
      <w:r w:rsidR="00933EE7" w:rsidRPr="00DC1399">
        <w:rPr>
          <w:rFonts w:ascii="Times" w:hAnsi="Times"/>
        </w:rPr>
        <w:t xml:space="preserve"> nodule</w:t>
      </w:r>
      <w:r w:rsidRPr="00DC1399">
        <w:rPr>
          <w:rFonts w:ascii="Times" w:hAnsi="Times"/>
        </w:rPr>
        <w:t xml:space="preserve"> was observed, as well as enhancement during arterial phase of EOB-MRI (white arrow). Hypervascularization occurred at 48 weeks after the end of DAA therapy. The patient underwent hepatic resection and HCC was confirmed pathologically.</w:t>
      </w:r>
    </w:p>
    <w:p w14:paraId="6A755329" w14:textId="044CD8DA" w:rsidR="00EE0565" w:rsidRPr="00DC1399" w:rsidRDefault="00EE0565" w:rsidP="00EE0565">
      <w:pPr>
        <w:spacing w:line="480" w:lineRule="auto"/>
        <w:jc w:val="left"/>
      </w:pPr>
    </w:p>
    <w:p w14:paraId="59050EAE" w14:textId="52474215" w:rsidR="00EE0565" w:rsidRPr="00DC1399" w:rsidRDefault="00EE0565" w:rsidP="00EE0565">
      <w:pPr>
        <w:spacing w:line="480" w:lineRule="auto"/>
        <w:jc w:val="left"/>
        <w:rPr>
          <w:rFonts w:ascii="Times" w:hAnsi="Times"/>
        </w:rPr>
      </w:pPr>
      <w:r w:rsidRPr="00DC1399">
        <w:rPr>
          <w:rFonts w:ascii="Times" w:hAnsi="Times"/>
        </w:rPr>
        <w:t xml:space="preserve">Supplementary figure 2. Emergence of </w:t>
      </w:r>
      <w:r w:rsidR="00933EE7" w:rsidRPr="00DC1399">
        <w:rPr>
          <w:rFonts w:ascii="Times" w:hAnsi="Times"/>
        </w:rPr>
        <w:t xml:space="preserve">non-hypervascular </w:t>
      </w:r>
      <w:proofErr w:type="spellStart"/>
      <w:r w:rsidR="00933EE7" w:rsidRPr="00DC1399">
        <w:rPr>
          <w:rFonts w:ascii="Times" w:hAnsi="Times"/>
        </w:rPr>
        <w:t>hypointense</w:t>
      </w:r>
      <w:proofErr w:type="spellEnd"/>
      <w:r w:rsidR="00933EE7" w:rsidRPr="00DC1399">
        <w:rPr>
          <w:rFonts w:ascii="Times" w:hAnsi="Times"/>
        </w:rPr>
        <w:t xml:space="preserve"> nodule</w:t>
      </w:r>
      <w:r w:rsidR="00933EE7" w:rsidRPr="00DC1399">
        <w:rPr>
          <w:rFonts w:ascii="Times" w:eastAsia="Osaka" w:hAnsi="Times"/>
        </w:rPr>
        <w:t>s</w:t>
      </w:r>
      <w:r w:rsidRPr="00DC1399">
        <w:rPr>
          <w:rFonts w:ascii="Times" w:hAnsi="Times"/>
        </w:rPr>
        <w:t xml:space="preserve"> in patients with HCV eradication by DAA therapy.</w:t>
      </w:r>
    </w:p>
    <w:p w14:paraId="32110958" w14:textId="0ACFE201" w:rsidR="00EE0565" w:rsidRPr="00DC1399" w:rsidRDefault="00EE0565" w:rsidP="002B21B7">
      <w:pPr>
        <w:spacing w:line="480" w:lineRule="auto"/>
        <w:jc w:val="left"/>
        <w:rPr>
          <w:rFonts w:ascii="Times" w:hAnsi="Times"/>
        </w:rPr>
      </w:pPr>
      <w:r w:rsidRPr="00DC1399">
        <w:rPr>
          <w:rFonts w:ascii="Times" w:hAnsi="Times"/>
        </w:rPr>
        <w:t>A) Before the start of DAA therapy (baseline), B) 48 weeks after the end of therapy (60 weeks after the start of therap</w:t>
      </w:r>
      <w:r w:rsidR="00933EE7" w:rsidRPr="00DC1399">
        <w:rPr>
          <w:rFonts w:ascii="Times" w:hAnsi="Times"/>
        </w:rPr>
        <w:t>y). This patient did not have a</w:t>
      </w:r>
      <w:r w:rsidRPr="00DC1399">
        <w:rPr>
          <w:rFonts w:ascii="Times" w:hAnsi="Times"/>
        </w:rPr>
        <w:t xml:space="preserve"> </w:t>
      </w:r>
      <w:r w:rsidR="00933EE7" w:rsidRPr="00DC1399">
        <w:rPr>
          <w:rFonts w:ascii="Times" w:hAnsi="Times"/>
        </w:rPr>
        <w:t xml:space="preserve">non-hypervascular </w:t>
      </w:r>
      <w:proofErr w:type="spellStart"/>
      <w:r w:rsidR="00933EE7" w:rsidRPr="00DC1399">
        <w:rPr>
          <w:rFonts w:ascii="Times" w:hAnsi="Times"/>
        </w:rPr>
        <w:t>hypointense</w:t>
      </w:r>
      <w:proofErr w:type="spellEnd"/>
      <w:r w:rsidR="00933EE7" w:rsidRPr="00DC1399">
        <w:rPr>
          <w:rFonts w:ascii="Times" w:hAnsi="Times"/>
        </w:rPr>
        <w:t xml:space="preserve"> nodule</w:t>
      </w:r>
      <w:r w:rsidRPr="00DC1399">
        <w:rPr>
          <w:rFonts w:ascii="Times" w:hAnsi="Times"/>
        </w:rPr>
        <w:t xml:space="preserve"> at baseline and underwent a 12-week regimen of </w:t>
      </w:r>
      <w:proofErr w:type="spellStart"/>
      <w:r w:rsidRPr="00DC1399">
        <w:rPr>
          <w:rFonts w:ascii="Times" w:hAnsi="Times"/>
        </w:rPr>
        <w:t>ledipasvir</w:t>
      </w:r>
      <w:proofErr w:type="spellEnd"/>
      <w:r w:rsidRPr="00DC1399">
        <w:rPr>
          <w:rFonts w:ascii="Times" w:hAnsi="Times"/>
        </w:rPr>
        <w:t xml:space="preserve"> and </w:t>
      </w:r>
      <w:proofErr w:type="spellStart"/>
      <w:r w:rsidRPr="00DC1399">
        <w:rPr>
          <w:rFonts w:ascii="Times" w:hAnsi="Times"/>
        </w:rPr>
        <w:t>sofosbuvir</w:t>
      </w:r>
      <w:proofErr w:type="spellEnd"/>
      <w:r w:rsidRPr="00DC1399">
        <w:rPr>
          <w:rFonts w:ascii="Times" w:hAnsi="Times"/>
        </w:rPr>
        <w:t xml:space="preserve">, achieving SVR. A new </w:t>
      </w:r>
      <w:r w:rsidR="00933EE7" w:rsidRPr="00DC1399">
        <w:rPr>
          <w:rFonts w:ascii="Times" w:hAnsi="Times"/>
        </w:rPr>
        <w:t xml:space="preserve">non-hypervascular </w:t>
      </w:r>
      <w:proofErr w:type="spellStart"/>
      <w:r w:rsidR="00933EE7" w:rsidRPr="00DC1399">
        <w:rPr>
          <w:rFonts w:ascii="Times" w:hAnsi="Times"/>
        </w:rPr>
        <w:t>hypointense</w:t>
      </w:r>
      <w:proofErr w:type="spellEnd"/>
      <w:r w:rsidR="00933EE7" w:rsidRPr="00DC1399">
        <w:rPr>
          <w:rFonts w:ascii="Times" w:hAnsi="Times"/>
        </w:rPr>
        <w:t xml:space="preserve"> nodule</w:t>
      </w:r>
      <w:r w:rsidRPr="00DC1399">
        <w:rPr>
          <w:rFonts w:ascii="Times" w:hAnsi="Times"/>
        </w:rPr>
        <w:t xml:space="preserve"> was observed at 48 weeks after the end of DAA therapy (</w:t>
      </w:r>
      <w:r w:rsidR="007033F7" w:rsidRPr="00DC1399">
        <w:rPr>
          <w:rFonts w:ascii="Times" w:hAnsi="Times"/>
        </w:rPr>
        <w:t>red</w:t>
      </w:r>
      <w:r w:rsidRPr="00DC1399">
        <w:rPr>
          <w:rFonts w:ascii="Times" w:hAnsi="Times"/>
        </w:rPr>
        <w:t xml:space="preserve"> arrowhead).</w:t>
      </w:r>
    </w:p>
    <w:p w14:paraId="2513AEEF" w14:textId="1839AD3C" w:rsidR="00EE0565" w:rsidRPr="00DC1399" w:rsidRDefault="00EE0565" w:rsidP="002B21B7">
      <w:pPr>
        <w:spacing w:line="480" w:lineRule="auto"/>
        <w:jc w:val="left"/>
        <w:rPr>
          <w:rFonts w:ascii="Times" w:hAnsi="Times"/>
        </w:rPr>
      </w:pPr>
    </w:p>
    <w:p w14:paraId="66C6C4C3" w14:textId="77777777" w:rsidR="002B21B7" w:rsidRPr="00DC1399" w:rsidRDefault="007033F7" w:rsidP="002B21B7">
      <w:pPr>
        <w:spacing w:line="480" w:lineRule="auto"/>
        <w:jc w:val="left"/>
        <w:rPr>
          <w:rFonts w:ascii="Times" w:hAnsi="Times"/>
        </w:rPr>
      </w:pPr>
      <w:r w:rsidRPr="00DC1399">
        <w:rPr>
          <w:rFonts w:ascii="Times" w:hAnsi="Times"/>
        </w:rPr>
        <w:t>Supplementary figure 3. Time interval of baseline and follow-up examinations by EOB–MRI, period of DAA therapy (case patients) and development of HC</w:t>
      </w:r>
      <w:r w:rsidR="00143D8D" w:rsidRPr="00DC1399">
        <w:rPr>
          <w:rFonts w:ascii="Times" w:hAnsi="Times"/>
        </w:rPr>
        <w:t xml:space="preserve">C in patients with non-hypervascular </w:t>
      </w:r>
      <w:proofErr w:type="spellStart"/>
      <w:r w:rsidR="00143D8D" w:rsidRPr="00DC1399">
        <w:rPr>
          <w:rFonts w:ascii="Times" w:hAnsi="Times"/>
        </w:rPr>
        <w:t>hypointense</w:t>
      </w:r>
      <w:proofErr w:type="spellEnd"/>
      <w:r w:rsidR="00143D8D" w:rsidRPr="00DC1399">
        <w:rPr>
          <w:rFonts w:ascii="Times" w:hAnsi="Times"/>
        </w:rPr>
        <w:t xml:space="preserve"> nodules at baseline.</w:t>
      </w:r>
    </w:p>
    <w:p w14:paraId="6BCA14A8" w14:textId="3EA39891" w:rsidR="007033F7" w:rsidRPr="00DC1399" w:rsidRDefault="00F1123E" w:rsidP="002B21B7">
      <w:pPr>
        <w:spacing w:line="480" w:lineRule="auto"/>
        <w:jc w:val="left"/>
        <w:rPr>
          <w:rFonts w:ascii="Times" w:hAnsi="Times"/>
        </w:rPr>
      </w:pPr>
      <w:r w:rsidRPr="00DC1399">
        <w:rPr>
          <w:rFonts w:ascii="Times" w:hAnsi="Times"/>
        </w:rPr>
        <w:t>A</w:t>
      </w:r>
      <w:r w:rsidR="002B21B7" w:rsidRPr="00DC1399">
        <w:rPr>
          <w:rFonts w:ascii="Times" w:hAnsi="Times"/>
        </w:rPr>
        <w:t xml:space="preserve">) </w:t>
      </w:r>
      <w:r w:rsidRPr="00DC1399">
        <w:rPr>
          <w:rFonts w:ascii="Times" w:hAnsi="Times"/>
        </w:rPr>
        <w:t xml:space="preserve">Patients with </w:t>
      </w:r>
      <w:r w:rsidR="004B4FD8" w:rsidRPr="00DC1399">
        <w:rPr>
          <w:rFonts w:ascii="Times" w:hAnsi="Times"/>
        </w:rPr>
        <w:t>HCV eradication by DAA therapy</w:t>
      </w:r>
      <w:r w:rsidRPr="00DC1399">
        <w:rPr>
          <w:rFonts w:ascii="Times" w:hAnsi="Times"/>
        </w:rPr>
        <w:t xml:space="preserve"> (cases)</w:t>
      </w:r>
    </w:p>
    <w:p w14:paraId="4CDEB623" w14:textId="0BAD79BC" w:rsidR="00F1123E" w:rsidRPr="00DC1399" w:rsidRDefault="00F1123E" w:rsidP="002B21B7">
      <w:pPr>
        <w:spacing w:line="480" w:lineRule="auto"/>
        <w:jc w:val="left"/>
        <w:rPr>
          <w:rFonts w:ascii="Times" w:hAnsi="Times"/>
        </w:rPr>
      </w:pPr>
      <w:r w:rsidRPr="00DC1399">
        <w:rPr>
          <w:rFonts w:ascii="Times" w:hAnsi="Times"/>
        </w:rPr>
        <w:t>B) Patients with persistent HCV infection (controls)</w:t>
      </w:r>
    </w:p>
    <w:p w14:paraId="27D0E116" w14:textId="5F780608" w:rsidR="00FD172C" w:rsidRPr="00DC1399" w:rsidRDefault="00FD172C" w:rsidP="002B21B7">
      <w:pPr>
        <w:spacing w:line="480" w:lineRule="auto"/>
        <w:jc w:val="left"/>
        <w:rPr>
          <w:rFonts w:ascii="Times" w:hAnsi="Times"/>
        </w:rPr>
      </w:pPr>
      <w:r w:rsidRPr="00DC1399">
        <w:rPr>
          <w:rFonts w:ascii="Times" w:hAnsi="Times"/>
        </w:rPr>
        <w:t xml:space="preserve">In each patient, the vertical bars indicate the examinations by EOB–MRI and </w:t>
      </w:r>
      <w:r w:rsidR="00171FF2" w:rsidRPr="00DC1399">
        <w:rPr>
          <w:rFonts w:ascii="Times" w:hAnsi="Times"/>
        </w:rPr>
        <w:t>blue area</w:t>
      </w:r>
      <w:r w:rsidRPr="00DC1399">
        <w:rPr>
          <w:rFonts w:ascii="Times" w:hAnsi="Times"/>
        </w:rPr>
        <w:t>s in case patients indicate DAA treatment periods. Red dot</w:t>
      </w:r>
      <w:r w:rsidR="00171FF2" w:rsidRPr="00DC1399">
        <w:rPr>
          <w:rFonts w:ascii="Times" w:hAnsi="Times"/>
        </w:rPr>
        <w:t>s indicate</w:t>
      </w:r>
      <w:r w:rsidRPr="00DC1399">
        <w:rPr>
          <w:rFonts w:ascii="Times" w:hAnsi="Times"/>
        </w:rPr>
        <w:t xml:space="preserve"> the </w:t>
      </w:r>
      <w:r w:rsidRPr="00DC1399">
        <w:rPr>
          <w:rFonts w:ascii="Times" w:hAnsi="Times"/>
        </w:rPr>
        <w:lastRenderedPageBreak/>
        <w:t>hypervascularization of NHHNs, being diagnosed as HCC.</w:t>
      </w:r>
    </w:p>
    <w:p w14:paraId="5C8690CA" w14:textId="77777777" w:rsidR="007033F7" w:rsidRPr="00DC1399" w:rsidRDefault="007033F7"/>
    <w:p w14:paraId="5A89FFD5" w14:textId="77777777" w:rsidR="002B21B7" w:rsidRPr="00DC1399" w:rsidRDefault="002B21B7"/>
    <w:sectPr w:rsidR="002B21B7" w:rsidRPr="00DC1399" w:rsidSect="000D1BF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Osaka">
    <w:charset w:val="4E"/>
    <w:family w:val="auto"/>
    <w:pitch w:val="variable"/>
    <w:sig w:usb0="00000001" w:usb1="08070000" w:usb2="00000010" w:usb3="00000000" w:csb0="00020093" w:csb1="00000000"/>
  </w:font>
  <w:font w:name="Times-Roman">
    <w:altName w:val="Times"/>
    <w:panose1 w:val="00000000000000000000"/>
    <w:charset w:val="00"/>
    <w:family w:val="roman"/>
    <w:notTrueType/>
    <w:pitch w:val="default"/>
    <w:sig w:usb0="00000003" w:usb1="00000000" w:usb2="00000000" w:usb3="00000000" w:csb0="00000001" w:csb1="00000000"/>
  </w:font>
  <w:font w:name="細明朝体">
    <w:altName w:val="Meiryo"/>
    <w:charset w:val="80"/>
    <w:family w:val="auto"/>
    <w:pitch w:val="variable"/>
    <w:sig w:usb0="01000000" w:usb1="00000000" w:usb2="07040001" w:usb3="00000000" w:csb0="00020000" w:csb1="00000000"/>
  </w:font>
  <w:font w:name="Verdana">
    <w:panose1 w:val="020B0604030504040204"/>
    <w:charset w:val="00"/>
    <w:family w:val="swiss"/>
    <w:pitch w:val="variable"/>
    <w:sig w:usb0="A10006FF" w:usb1="4000205B" w:usb2="00000010" w:usb3="00000000" w:csb0="0000019F" w:csb1="00000000"/>
  </w:font>
  <w:font w:name="平成角ゴシック">
    <w:altName w:val="MS Gothic"/>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5530"/>
    <w:multiLevelType w:val="hybridMultilevel"/>
    <w:tmpl w:val="CC96319A"/>
    <w:lvl w:ilvl="0" w:tplc="60FC2AAA">
      <w:start w:val="1"/>
      <w:numFmt w:val="decimal"/>
      <w:lvlText w:val="%1."/>
      <w:lvlJc w:val="left"/>
      <w:pPr>
        <w:ind w:left="360" w:hanging="360"/>
      </w:pPr>
      <w:rPr>
        <w:rFonts w:ascii="Times" w:hAnsi="Time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648F02C3"/>
    <w:multiLevelType w:val="hybridMultilevel"/>
    <w:tmpl w:val="6F1CF156"/>
    <w:lvl w:ilvl="0" w:tplc="8848C30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2CD"/>
    <w:rsid w:val="00032F04"/>
    <w:rsid w:val="00066DB8"/>
    <w:rsid w:val="00083CED"/>
    <w:rsid w:val="000D1BF2"/>
    <w:rsid w:val="000D52F8"/>
    <w:rsid w:val="00143D8D"/>
    <w:rsid w:val="0015233A"/>
    <w:rsid w:val="00171FF2"/>
    <w:rsid w:val="001E72C8"/>
    <w:rsid w:val="001F4276"/>
    <w:rsid w:val="002033A3"/>
    <w:rsid w:val="00205287"/>
    <w:rsid w:val="00214839"/>
    <w:rsid w:val="002540FE"/>
    <w:rsid w:val="002738F0"/>
    <w:rsid w:val="002B21B7"/>
    <w:rsid w:val="002B5BFB"/>
    <w:rsid w:val="002D5506"/>
    <w:rsid w:val="003A2B1C"/>
    <w:rsid w:val="00404DDE"/>
    <w:rsid w:val="0045734D"/>
    <w:rsid w:val="004B4FD8"/>
    <w:rsid w:val="004C0366"/>
    <w:rsid w:val="00563BAB"/>
    <w:rsid w:val="005C3810"/>
    <w:rsid w:val="005F6ADE"/>
    <w:rsid w:val="006102CD"/>
    <w:rsid w:val="006234EE"/>
    <w:rsid w:val="00641E2F"/>
    <w:rsid w:val="006805F1"/>
    <w:rsid w:val="006E4440"/>
    <w:rsid w:val="006F709C"/>
    <w:rsid w:val="007033F7"/>
    <w:rsid w:val="007309BC"/>
    <w:rsid w:val="0074667A"/>
    <w:rsid w:val="0075031D"/>
    <w:rsid w:val="007A6D4C"/>
    <w:rsid w:val="007B7728"/>
    <w:rsid w:val="007B7A93"/>
    <w:rsid w:val="008238AD"/>
    <w:rsid w:val="00827A44"/>
    <w:rsid w:val="00830C60"/>
    <w:rsid w:val="008503FD"/>
    <w:rsid w:val="008A4B36"/>
    <w:rsid w:val="008B3787"/>
    <w:rsid w:val="008E5BD9"/>
    <w:rsid w:val="008F4CFA"/>
    <w:rsid w:val="009009B9"/>
    <w:rsid w:val="0091072C"/>
    <w:rsid w:val="00933EE7"/>
    <w:rsid w:val="0097087B"/>
    <w:rsid w:val="009A715B"/>
    <w:rsid w:val="009B7700"/>
    <w:rsid w:val="009D2884"/>
    <w:rsid w:val="009D690C"/>
    <w:rsid w:val="00A21AA0"/>
    <w:rsid w:val="00A26E4F"/>
    <w:rsid w:val="00A741EA"/>
    <w:rsid w:val="00A92E02"/>
    <w:rsid w:val="00B51313"/>
    <w:rsid w:val="00B80042"/>
    <w:rsid w:val="00B90C50"/>
    <w:rsid w:val="00B9498B"/>
    <w:rsid w:val="00BF17DA"/>
    <w:rsid w:val="00C322D0"/>
    <w:rsid w:val="00C3777B"/>
    <w:rsid w:val="00CE29B3"/>
    <w:rsid w:val="00D24392"/>
    <w:rsid w:val="00DA041D"/>
    <w:rsid w:val="00DA0BBC"/>
    <w:rsid w:val="00DC1399"/>
    <w:rsid w:val="00DE7593"/>
    <w:rsid w:val="00E852FA"/>
    <w:rsid w:val="00EE0565"/>
    <w:rsid w:val="00F1123E"/>
    <w:rsid w:val="00F50838"/>
    <w:rsid w:val="00F54D5A"/>
    <w:rsid w:val="00F85BFB"/>
    <w:rsid w:val="00F9412E"/>
    <w:rsid w:val="00FB6BE0"/>
    <w:rsid w:val="00FD172C"/>
    <w:rsid w:val="00FF1C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1752B"/>
  <w15:docId w15:val="{DB6E6E86-849A-42E0-A374-D96580A0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2C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2CD"/>
    <w:pPr>
      <w:ind w:leftChars="400" w:left="960"/>
    </w:pPr>
  </w:style>
  <w:style w:type="character" w:customStyle="1" w:styleId="src1">
    <w:name w:val="src1"/>
    <w:rsid w:val="006102CD"/>
    <w:rPr>
      <w:vanish w:val="0"/>
      <w:webHidden w:val="0"/>
      <w:specVanish w:val="0"/>
    </w:rPr>
  </w:style>
  <w:style w:type="character" w:styleId="Hyperlink">
    <w:name w:val="Hyperlink"/>
    <w:semiHidden/>
    <w:rsid w:val="006102CD"/>
    <w:rPr>
      <w:color w:val="0000FF"/>
      <w:u w:val="single"/>
    </w:rPr>
  </w:style>
  <w:style w:type="character" w:customStyle="1" w:styleId="jrnl">
    <w:name w:val="jrnl"/>
    <w:basedOn w:val="DefaultParagraphFont"/>
    <w:rsid w:val="006102CD"/>
  </w:style>
  <w:style w:type="paragraph" w:styleId="Title">
    <w:name w:val="Title"/>
    <w:basedOn w:val="Normal"/>
    <w:link w:val="a"/>
    <w:qFormat/>
    <w:rsid w:val="006102CD"/>
    <w:pPr>
      <w:widowControl/>
      <w:spacing w:before="240" w:after="60" w:line="480" w:lineRule="auto"/>
      <w:jc w:val="center"/>
      <w:outlineLvl w:val="0"/>
    </w:pPr>
    <w:rPr>
      <w:rFonts w:ascii="Arial" w:eastAsia="MS Mincho" w:hAnsi="Arial" w:cs="Arial"/>
      <w:b/>
      <w:bCs/>
      <w:kern w:val="28"/>
      <w:sz w:val="32"/>
      <w:szCs w:val="32"/>
      <w:lang w:eastAsia="en-US"/>
    </w:rPr>
  </w:style>
  <w:style w:type="character" w:customStyle="1" w:styleId="a">
    <w:name w:val="表題 (文字)"/>
    <w:basedOn w:val="DefaultParagraphFont"/>
    <w:link w:val="Title"/>
    <w:rsid w:val="006102CD"/>
    <w:rPr>
      <w:rFonts w:ascii="Arial" w:eastAsia="MS Mincho" w:hAnsi="Arial" w:cs="Arial"/>
      <w:b/>
      <w:bCs/>
      <w:kern w:val="28"/>
      <w:sz w:val="32"/>
      <w:szCs w:val="32"/>
      <w:lang w:eastAsia="en-US"/>
    </w:rPr>
  </w:style>
  <w:style w:type="paragraph" w:styleId="Header">
    <w:name w:val="header"/>
    <w:basedOn w:val="Normal"/>
    <w:link w:val="a0"/>
    <w:uiPriority w:val="99"/>
    <w:semiHidden/>
    <w:unhideWhenUsed/>
    <w:rsid w:val="006102CD"/>
    <w:pPr>
      <w:tabs>
        <w:tab w:val="center" w:pos="4252"/>
        <w:tab w:val="right" w:pos="8504"/>
      </w:tabs>
      <w:snapToGrid w:val="0"/>
    </w:pPr>
  </w:style>
  <w:style w:type="character" w:customStyle="1" w:styleId="a0">
    <w:name w:val="ヘッダー (文字)"/>
    <w:basedOn w:val="DefaultParagraphFont"/>
    <w:link w:val="Header"/>
    <w:uiPriority w:val="99"/>
    <w:semiHidden/>
    <w:rsid w:val="006102CD"/>
  </w:style>
  <w:style w:type="paragraph" w:styleId="Footer">
    <w:name w:val="footer"/>
    <w:basedOn w:val="Normal"/>
    <w:link w:val="a1"/>
    <w:uiPriority w:val="99"/>
    <w:semiHidden/>
    <w:unhideWhenUsed/>
    <w:rsid w:val="006102CD"/>
    <w:pPr>
      <w:tabs>
        <w:tab w:val="center" w:pos="4252"/>
        <w:tab w:val="right" w:pos="8504"/>
      </w:tabs>
      <w:snapToGrid w:val="0"/>
    </w:pPr>
  </w:style>
  <w:style w:type="character" w:customStyle="1" w:styleId="a1">
    <w:name w:val="フッター (文字)"/>
    <w:basedOn w:val="DefaultParagraphFont"/>
    <w:link w:val="Footer"/>
    <w:uiPriority w:val="99"/>
    <w:semiHidden/>
    <w:rsid w:val="006102CD"/>
  </w:style>
  <w:style w:type="paragraph" w:styleId="BodyText">
    <w:name w:val="Body Text"/>
    <w:basedOn w:val="Normal"/>
    <w:link w:val="a2"/>
    <w:unhideWhenUsed/>
    <w:rsid w:val="006102CD"/>
  </w:style>
  <w:style w:type="character" w:customStyle="1" w:styleId="a2">
    <w:name w:val="本文 (文字)"/>
    <w:basedOn w:val="DefaultParagraphFont"/>
    <w:link w:val="BodyText"/>
    <w:rsid w:val="006102CD"/>
  </w:style>
  <w:style w:type="paragraph" w:styleId="BalloonText">
    <w:name w:val="Balloon Text"/>
    <w:basedOn w:val="Normal"/>
    <w:link w:val="a3"/>
    <w:uiPriority w:val="99"/>
    <w:semiHidden/>
    <w:unhideWhenUsed/>
    <w:rsid w:val="006102CD"/>
    <w:rPr>
      <w:rFonts w:ascii="Segoe UI" w:hAnsi="Segoe UI" w:cs="Segoe UI"/>
      <w:sz w:val="18"/>
      <w:szCs w:val="18"/>
    </w:rPr>
  </w:style>
  <w:style w:type="character" w:customStyle="1" w:styleId="a3">
    <w:name w:val="吹き出し (文字)"/>
    <w:basedOn w:val="DefaultParagraphFont"/>
    <w:link w:val="BalloonText"/>
    <w:uiPriority w:val="99"/>
    <w:semiHidden/>
    <w:rsid w:val="00610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4206</Words>
  <Characters>23977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dc:creator>
  <cp:keywords/>
  <dc:description/>
  <cp:lastModifiedBy>Johnson, Philip</cp:lastModifiedBy>
  <cp:revision>2</cp:revision>
  <dcterms:created xsi:type="dcterms:W3CDTF">2019-01-02T17:34:00Z</dcterms:created>
  <dcterms:modified xsi:type="dcterms:W3CDTF">2019-01-02T17:34:00Z</dcterms:modified>
</cp:coreProperties>
</file>