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2704A" w14:textId="77777777" w:rsidR="008842CF" w:rsidRDefault="008842CF" w:rsidP="008842CF">
      <w:pPr>
        <w:spacing w:line="420" w:lineRule="auto"/>
        <w:jc w:val="center"/>
        <w:rPr>
          <w:b/>
          <w:sz w:val="28"/>
        </w:rPr>
      </w:pPr>
      <w:bookmarkStart w:id="0" w:name="_GoBack"/>
      <w:bookmarkEnd w:id="0"/>
    </w:p>
    <w:p w14:paraId="2F3AA7B1" w14:textId="77777777" w:rsidR="008842CF" w:rsidRDefault="008842CF" w:rsidP="008842CF">
      <w:pPr>
        <w:spacing w:line="420" w:lineRule="auto"/>
        <w:jc w:val="center"/>
        <w:rPr>
          <w:b/>
          <w:sz w:val="28"/>
        </w:rPr>
      </w:pPr>
    </w:p>
    <w:p w14:paraId="783FFED9" w14:textId="77777777" w:rsidR="008842CF" w:rsidRDefault="008842CF" w:rsidP="008842CF">
      <w:pPr>
        <w:spacing w:line="420" w:lineRule="auto"/>
        <w:jc w:val="center"/>
        <w:rPr>
          <w:b/>
          <w:sz w:val="28"/>
        </w:rPr>
      </w:pPr>
    </w:p>
    <w:p w14:paraId="4A20CAF6" w14:textId="77777777" w:rsidR="008842CF" w:rsidRPr="008842CF" w:rsidRDefault="008842CF" w:rsidP="008842CF">
      <w:pPr>
        <w:spacing w:line="420" w:lineRule="auto"/>
        <w:jc w:val="center"/>
        <w:rPr>
          <w:b/>
        </w:rPr>
      </w:pPr>
      <w:r w:rsidRPr="008842CF">
        <w:rPr>
          <w:b/>
        </w:rPr>
        <w:t>Does CDS trading affect risk-taking incentives in managerial compensation?</w:t>
      </w:r>
    </w:p>
    <w:p w14:paraId="67170A38" w14:textId="77777777" w:rsidR="008842CF" w:rsidRPr="00D579D7" w:rsidRDefault="008842CF" w:rsidP="008842CF">
      <w:pPr>
        <w:jc w:val="center"/>
        <w:rPr>
          <w:lang w:val="fr-FR"/>
        </w:rPr>
      </w:pPr>
      <w:r>
        <w:t xml:space="preserve">Jie Chen </w:t>
      </w:r>
      <w:r>
        <w:rPr>
          <w:rStyle w:val="FootnoteReference"/>
        </w:rPr>
        <w:t>a</w:t>
      </w:r>
      <w:r w:rsidRPr="00EC5EDB">
        <w:rPr>
          <w:rStyle w:val="FootnoteReference"/>
          <w:color w:val="FFFFFF" w:themeColor="background1"/>
          <w:sz w:val="2"/>
        </w:rPr>
        <w:footnoteReference w:id="1"/>
      </w:r>
      <w:r w:rsidRPr="00D579D7">
        <w:rPr>
          <w:rStyle w:val="FootnoteReference"/>
        </w:rPr>
        <w:t>*</w:t>
      </w:r>
      <w:r>
        <w:t xml:space="preserve">, </w:t>
      </w:r>
      <w:r w:rsidRPr="00D579D7">
        <w:rPr>
          <w:lang w:val="fr-FR"/>
        </w:rPr>
        <w:t>Woon Sau Leung</w:t>
      </w:r>
      <w:r>
        <w:rPr>
          <w:lang w:val="fr-FR"/>
        </w:rPr>
        <w:t xml:space="preserve"> </w:t>
      </w:r>
      <w:r>
        <w:rPr>
          <w:vertAlign w:val="superscript"/>
          <w:lang w:val="fr-FR"/>
        </w:rPr>
        <w:t>b</w:t>
      </w:r>
      <w:r>
        <w:rPr>
          <w:lang w:val="fr-FR"/>
        </w:rPr>
        <w:t xml:space="preserve">, </w:t>
      </w:r>
      <w:r w:rsidRPr="00D579D7">
        <w:rPr>
          <w:lang w:val="fr-FR"/>
        </w:rPr>
        <w:t>Wei Song</w:t>
      </w:r>
      <w:r>
        <w:rPr>
          <w:lang w:val="fr-FR"/>
        </w:rPr>
        <w:t xml:space="preserve"> </w:t>
      </w:r>
      <w:r>
        <w:rPr>
          <w:vertAlign w:val="superscript"/>
          <w:lang w:val="fr-FR"/>
        </w:rPr>
        <w:t>c</w:t>
      </w:r>
      <w:r>
        <w:rPr>
          <w:lang w:val="fr-FR"/>
        </w:rPr>
        <w:t xml:space="preserve">, </w:t>
      </w:r>
      <w:r w:rsidRPr="00D579D7">
        <w:rPr>
          <w:lang w:val="es-ES"/>
        </w:rPr>
        <w:t>Davide Avino</w:t>
      </w:r>
      <w:r>
        <w:rPr>
          <w:lang w:val="es-ES"/>
        </w:rPr>
        <w:t xml:space="preserve"> </w:t>
      </w:r>
      <w:r>
        <w:rPr>
          <w:vertAlign w:val="superscript"/>
          <w:lang w:val="es-ES"/>
        </w:rPr>
        <w:t>d</w:t>
      </w:r>
    </w:p>
    <w:p w14:paraId="79EFF1CA" w14:textId="77777777" w:rsidR="008842CF" w:rsidRPr="00D579D7" w:rsidRDefault="008842CF" w:rsidP="008842CF">
      <w:pPr>
        <w:jc w:val="center"/>
        <w:rPr>
          <w:lang w:val="fr-FR"/>
        </w:rPr>
      </w:pPr>
    </w:p>
    <w:p w14:paraId="051BBE5C" w14:textId="77777777" w:rsidR="008842CF" w:rsidRPr="00871E9B" w:rsidRDefault="008842CF" w:rsidP="008842CF">
      <w:pPr>
        <w:jc w:val="center"/>
      </w:pPr>
    </w:p>
    <w:p w14:paraId="14627929" w14:textId="77777777" w:rsidR="008842CF" w:rsidRDefault="008842CF" w:rsidP="008842CF">
      <w:pPr>
        <w:jc w:val="center"/>
      </w:pPr>
    </w:p>
    <w:p w14:paraId="20CED40B" w14:textId="77777777" w:rsidR="008842CF" w:rsidRPr="00871E9B" w:rsidRDefault="008842CF" w:rsidP="008842CF">
      <w:pPr>
        <w:jc w:val="center"/>
      </w:pPr>
    </w:p>
    <w:p w14:paraId="39A95BAD" w14:textId="77777777" w:rsidR="008842CF" w:rsidRPr="00871E9B" w:rsidRDefault="008842CF" w:rsidP="008842CF">
      <w:pPr>
        <w:spacing w:line="420" w:lineRule="auto"/>
        <w:jc w:val="center"/>
        <w:rPr>
          <w:b/>
        </w:rPr>
      </w:pPr>
      <w:r w:rsidRPr="00871E9B">
        <w:rPr>
          <w:b/>
        </w:rPr>
        <w:t>ABSTRACT</w:t>
      </w:r>
    </w:p>
    <w:p w14:paraId="312EBFBC" w14:textId="77777777" w:rsidR="008842CF" w:rsidRPr="004E5E28" w:rsidRDefault="008842CF" w:rsidP="008842CF">
      <w:pPr>
        <w:autoSpaceDE w:val="0"/>
        <w:autoSpaceDN w:val="0"/>
        <w:adjustRightInd w:val="0"/>
        <w:spacing w:line="420" w:lineRule="auto"/>
        <w:ind w:firstLine="567"/>
        <w:jc w:val="both"/>
      </w:pPr>
      <w:r w:rsidRPr="004E5E28">
        <w:t>We find that managers receive more risk-taking incentives in their compensation packages once their firms are referenced by credit default swap (CDS) trading, particularly when institutional ownership is high and when firms are in financial distress. These findings provide suggestive evidence that boards offer pay packages that encourage greater risk taking to take advantage of the reduced creditor monitoring after CDS introduction. Further, we show that the onset of CDS trading attenuates the effect of vega on leverage, consistent with the threat of exacting creditors restraining managerial risk appetite.</w:t>
      </w:r>
    </w:p>
    <w:p w14:paraId="697E5880" w14:textId="77777777" w:rsidR="008842CF" w:rsidRPr="00871E9B" w:rsidRDefault="008842CF" w:rsidP="008842CF">
      <w:pPr>
        <w:spacing w:line="420" w:lineRule="auto"/>
      </w:pPr>
    </w:p>
    <w:p w14:paraId="2F161219" w14:textId="77777777" w:rsidR="008842CF" w:rsidRPr="00871E9B" w:rsidRDefault="008842CF" w:rsidP="008842CF">
      <w:pPr>
        <w:spacing w:line="420" w:lineRule="auto"/>
      </w:pPr>
    </w:p>
    <w:p w14:paraId="7CC11CA0" w14:textId="77777777" w:rsidR="008842CF" w:rsidRPr="00871E9B" w:rsidRDefault="008842CF" w:rsidP="008842CF">
      <w:pPr>
        <w:spacing w:line="420" w:lineRule="auto"/>
      </w:pPr>
      <w:r w:rsidRPr="00871E9B">
        <w:rPr>
          <w:i/>
        </w:rPr>
        <w:t>JEL classification</w:t>
      </w:r>
      <w:r w:rsidRPr="00871E9B">
        <w:t>: G32; G34</w:t>
      </w:r>
    </w:p>
    <w:p w14:paraId="17741446" w14:textId="77777777" w:rsidR="008842CF" w:rsidRPr="00871E9B" w:rsidRDefault="008842CF" w:rsidP="008842CF">
      <w:pPr>
        <w:spacing w:line="420" w:lineRule="auto"/>
      </w:pPr>
      <w:r w:rsidRPr="00871E9B">
        <w:rPr>
          <w:i/>
        </w:rPr>
        <w:t>Keywords</w:t>
      </w:r>
      <w:r w:rsidRPr="00871E9B">
        <w:t>: Credit default swaps; Executive compensation; Risk taking; Leverage</w:t>
      </w:r>
    </w:p>
    <w:p w14:paraId="5B3A7581" w14:textId="77777777" w:rsidR="008842CF" w:rsidRDefault="008842CF" w:rsidP="008842CF"/>
    <w:p w14:paraId="159B8430" w14:textId="77777777" w:rsidR="006C2541" w:rsidRPr="008669C3" w:rsidRDefault="006C2541" w:rsidP="006C2541">
      <w:pPr>
        <w:keepNext/>
        <w:spacing w:line="420" w:lineRule="auto"/>
        <w:rPr>
          <w:b/>
        </w:rPr>
      </w:pPr>
      <w:r w:rsidRPr="008669C3">
        <w:rPr>
          <w:b/>
        </w:rPr>
        <w:lastRenderedPageBreak/>
        <w:t>1. Introduction</w:t>
      </w:r>
    </w:p>
    <w:p w14:paraId="0A2AD3BF" w14:textId="5094BD00" w:rsidR="006C2541" w:rsidRPr="008669C3" w:rsidRDefault="006C2541" w:rsidP="00687AF8">
      <w:pPr>
        <w:autoSpaceDE w:val="0"/>
        <w:autoSpaceDN w:val="0"/>
        <w:adjustRightInd w:val="0"/>
        <w:spacing w:line="480" w:lineRule="auto"/>
        <w:jc w:val="both"/>
      </w:pPr>
      <w:r w:rsidRPr="008669C3">
        <w:t>Credit default swaps (CDSs) have been credited as one of the most influential and controversial innovations in global financial markets in recent decades.</w:t>
      </w:r>
      <w:r w:rsidRPr="008669C3">
        <w:rPr>
          <w:rStyle w:val="FootnoteReference"/>
        </w:rPr>
        <w:footnoteReference w:id="2"/>
      </w:r>
      <w:r w:rsidRPr="008669C3">
        <w:t xml:space="preserve"> The presence of CDS facilitates risk sharing and alleviates credit supply frictions (Saretto and Tookes, 2013)</w:t>
      </w:r>
      <w:r w:rsidR="00687AF8" w:rsidRPr="008669C3">
        <w:t>.</w:t>
      </w:r>
      <w:r w:rsidRPr="008669C3">
        <w:t xml:space="preserve"> </w:t>
      </w:r>
      <w:r w:rsidR="00B227B3" w:rsidRPr="008669C3">
        <w:t xml:space="preserve">However, </w:t>
      </w:r>
      <w:r w:rsidR="00880F47" w:rsidRPr="008669C3">
        <w:t xml:space="preserve">it </w:t>
      </w:r>
      <w:r w:rsidRPr="008669C3">
        <w:t xml:space="preserve">also separates creditors’ control rights from cash flow rights, giving rise to potential moral hazard problems (Bolton and Oehmke, 2011). </w:t>
      </w:r>
      <w:r w:rsidR="00687AF8" w:rsidRPr="008669C3">
        <w:t xml:space="preserve">The literature has mostly focused on how CDSs affect the creditor–debtor relation and </w:t>
      </w:r>
      <w:r w:rsidR="005C18A8" w:rsidRPr="008669C3">
        <w:t>thereby</w:t>
      </w:r>
      <w:r w:rsidR="00687AF8" w:rsidRPr="008669C3">
        <w:t xml:space="preserve"> </w:t>
      </w:r>
      <w:r w:rsidR="008E6E87" w:rsidRPr="008669C3">
        <w:t xml:space="preserve">impact </w:t>
      </w:r>
      <w:r w:rsidR="00687AF8" w:rsidRPr="008669C3">
        <w:t>corporate financial decisions</w:t>
      </w:r>
      <w:r w:rsidR="00926B9A" w:rsidRPr="008669C3">
        <w:t xml:space="preserve">. </w:t>
      </w:r>
      <w:r w:rsidR="00687AF8" w:rsidRPr="008669C3">
        <w:t>L</w:t>
      </w:r>
      <w:r w:rsidRPr="008669C3">
        <w:t xml:space="preserve">ittle attention has been </w:t>
      </w:r>
      <w:r w:rsidR="001E5742" w:rsidRPr="008669C3">
        <w:t>devoted</w:t>
      </w:r>
      <w:r w:rsidRPr="008669C3">
        <w:t xml:space="preserve"> to the role of managerial incentives in a firm’s transition associated with the onset of CDS trading. This scarcity </w:t>
      </w:r>
      <w:r w:rsidR="0075702F" w:rsidRPr="008669C3">
        <w:t>may seem</w:t>
      </w:r>
      <w:r w:rsidR="00F627B1">
        <w:t xml:space="preserve"> surprising </w:t>
      </w:r>
      <w:r w:rsidRPr="008669C3">
        <w:t xml:space="preserve">given that corporate decisions are made by managers who often have their own interests. </w:t>
      </w:r>
      <w:r w:rsidR="00792220" w:rsidRPr="008669C3">
        <w:t>Our paper helps</w:t>
      </w:r>
      <w:r w:rsidRPr="008669C3">
        <w:t xml:space="preserve"> shed light on this issue.</w:t>
      </w:r>
    </w:p>
    <w:p w14:paraId="1849B66E" w14:textId="107313E6" w:rsidR="00701880" w:rsidRPr="008669C3" w:rsidRDefault="0097001B" w:rsidP="004F6C8D">
      <w:pPr>
        <w:autoSpaceDE w:val="0"/>
        <w:autoSpaceDN w:val="0"/>
        <w:adjustRightInd w:val="0"/>
        <w:spacing w:line="480" w:lineRule="auto"/>
        <w:ind w:firstLine="567"/>
        <w:jc w:val="both"/>
      </w:pPr>
      <w:r w:rsidRPr="008669C3">
        <w:t xml:space="preserve">Managers with undiversified human capital </w:t>
      </w:r>
      <w:r w:rsidR="00D65F9C" w:rsidRPr="008669C3">
        <w:t>are</w:t>
      </w:r>
      <w:r w:rsidRPr="008669C3">
        <w:t xml:space="preserve"> </w:t>
      </w:r>
      <w:r w:rsidR="00B71E79" w:rsidRPr="008669C3">
        <w:t xml:space="preserve">typically </w:t>
      </w:r>
      <w:r w:rsidR="004B3440" w:rsidRPr="008669C3">
        <w:t>risk-averse</w:t>
      </w:r>
      <w:r w:rsidR="006C2541" w:rsidRPr="008669C3">
        <w:t xml:space="preserve"> (Jensen and Meckling, 1976</w:t>
      </w:r>
      <w:r w:rsidR="003E1DB3" w:rsidRPr="008669C3">
        <w:t xml:space="preserve">; </w:t>
      </w:r>
      <w:r w:rsidR="006C2541" w:rsidRPr="008669C3">
        <w:t xml:space="preserve">Holmström, 1999). </w:t>
      </w:r>
      <w:r w:rsidR="00F627B1">
        <w:t>G</w:t>
      </w:r>
      <w:r w:rsidR="00926B9A" w:rsidRPr="008669C3">
        <w:t xml:space="preserve">iven that </w:t>
      </w:r>
      <w:r w:rsidR="004B3440" w:rsidRPr="008669C3">
        <w:t xml:space="preserve">CDS trading is associated with </w:t>
      </w:r>
      <w:r w:rsidR="00B05519" w:rsidRPr="008669C3">
        <w:t>tougher renegotiations and a higher probability of bankruptcy</w:t>
      </w:r>
      <w:r w:rsidR="00235271" w:rsidRPr="008669C3">
        <w:t xml:space="preserve"> (Bolton and Oehmke, 2011; Subrahmanyam et al., 2014)</w:t>
      </w:r>
      <w:r w:rsidR="00B50150" w:rsidRPr="008669C3">
        <w:t xml:space="preserve">, it remains unclear </w:t>
      </w:r>
      <w:r w:rsidR="00D1442D" w:rsidRPr="008669C3">
        <w:t>why</w:t>
      </w:r>
      <w:r w:rsidR="00D00DBC" w:rsidRPr="008669C3">
        <w:t>, after CDS trade initiation,</w:t>
      </w:r>
      <w:r w:rsidR="00D1442D" w:rsidRPr="008669C3">
        <w:t xml:space="preserve"> </w:t>
      </w:r>
      <w:r w:rsidR="004B3440" w:rsidRPr="008669C3">
        <w:t xml:space="preserve">reference firms’ </w:t>
      </w:r>
      <w:r w:rsidR="00481B81" w:rsidRPr="008669C3">
        <w:t>manager</w:t>
      </w:r>
      <w:r w:rsidR="007E5DD7">
        <w:t>s</w:t>
      </w:r>
      <w:r w:rsidR="004B3440" w:rsidRPr="008669C3">
        <w:t xml:space="preserve"> </w:t>
      </w:r>
      <w:r w:rsidR="00B50150" w:rsidRPr="008669C3">
        <w:t xml:space="preserve">choose </w:t>
      </w:r>
      <w:r w:rsidR="00DE180B" w:rsidRPr="008669C3">
        <w:t xml:space="preserve">more aggressive </w:t>
      </w:r>
      <w:r w:rsidR="00B50150" w:rsidRPr="008669C3">
        <w:t xml:space="preserve">financial policies </w:t>
      </w:r>
      <w:r w:rsidR="00686E62" w:rsidRPr="008669C3">
        <w:t xml:space="preserve">to </w:t>
      </w:r>
      <w:r w:rsidR="00684133" w:rsidRPr="008669C3">
        <w:t xml:space="preserve">further </w:t>
      </w:r>
      <w:r w:rsidR="00B50150" w:rsidRPr="008669C3">
        <w:t>increase firm risk, such as the higher leverage documente</w:t>
      </w:r>
      <w:r w:rsidR="00235271" w:rsidRPr="008669C3">
        <w:t xml:space="preserve">d by Saretto and Tookes (2013). </w:t>
      </w:r>
      <w:r w:rsidR="004B3440" w:rsidRPr="008669C3">
        <w:t xml:space="preserve">One </w:t>
      </w:r>
      <w:r w:rsidR="001002F0" w:rsidRPr="008669C3">
        <w:t>possible explanation</w:t>
      </w:r>
      <w:r w:rsidR="00792220" w:rsidRPr="008669C3">
        <w:t xml:space="preserve"> </w:t>
      </w:r>
      <w:r w:rsidR="00D1442D" w:rsidRPr="008669C3">
        <w:t xml:space="preserve">is that </w:t>
      </w:r>
      <w:r w:rsidR="00235271" w:rsidRPr="008669C3">
        <w:t xml:space="preserve">these </w:t>
      </w:r>
      <w:r w:rsidR="00DE180B" w:rsidRPr="008669C3">
        <w:t>managers are incentivized to</w:t>
      </w:r>
      <w:r w:rsidR="00D00859" w:rsidRPr="008669C3">
        <w:t xml:space="preserve"> </w:t>
      </w:r>
      <w:r w:rsidR="003733E3" w:rsidRPr="008669C3">
        <w:t xml:space="preserve">increase risk </w:t>
      </w:r>
      <w:r w:rsidR="00D00859" w:rsidRPr="008669C3">
        <w:t xml:space="preserve">taking through more convex </w:t>
      </w:r>
      <w:r w:rsidR="00397C61" w:rsidRPr="008669C3">
        <w:t>compensation</w:t>
      </w:r>
      <w:r w:rsidR="00D00859" w:rsidRPr="008669C3">
        <w:t xml:space="preserve"> schemes. The convexity </w:t>
      </w:r>
      <w:r w:rsidR="008E6E87" w:rsidRPr="008669C3">
        <w:t xml:space="preserve">here </w:t>
      </w:r>
      <w:r w:rsidR="00D00859" w:rsidRPr="008669C3">
        <w:t xml:space="preserve">refers to the sensitivity of CEO wealth to stock return volatility, or </w:t>
      </w:r>
      <w:r w:rsidR="00DE180B" w:rsidRPr="008669C3">
        <w:t>vega</w:t>
      </w:r>
      <w:r w:rsidR="00D00859" w:rsidRPr="008669C3">
        <w:t>.</w:t>
      </w:r>
      <w:r w:rsidR="00DE180B" w:rsidRPr="008669C3">
        <w:t xml:space="preserve"> </w:t>
      </w:r>
      <w:r w:rsidR="00DA76DA" w:rsidRPr="008669C3">
        <w:t>A</w:t>
      </w:r>
      <w:r w:rsidR="006C2541" w:rsidRPr="008669C3">
        <w:t xml:space="preserve"> higher vega makes risk more valuable to managers</w:t>
      </w:r>
      <w:r w:rsidR="00DA76DA" w:rsidRPr="008669C3">
        <w:t xml:space="preserve">, </w:t>
      </w:r>
      <w:r w:rsidR="00D00DBC" w:rsidRPr="008669C3">
        <w:t>encouraging</w:t>
      </w:r>
      <w:r w:rsidR="00DA76DA" w:rsidRPr="008669C3">
        <w:t xml:space="preserve"> </w:t>
      </w:r>
      <w:r w:rsidR="006C2541" w:rsidRPr="008669C3">
        <w:t xml:space="preserve">riskier </w:t>
      </w:r>
      <w:r w:rsidR="000B3500" w:rsidRPr="008669C3">
        <w:t xml:space="preserve">firm </w:t>
      </w:r>
      <w:r w:rsidR="003F0FB2" w:rsidRPr="008669C3">
        <w:t>policies</w:t>
      </w:r>
      <w:r w:rsidR="006C2541" w:rsidRPr="008669C3">
        <w:t xml:space="preserve"> (Coles et al., 2006; Chava and Purnanandam, 2010; Gormley et al., 2013).</w:t>
      </w:r>
      <w:r w:rsidR="00D00DBC" w:rsidRPr="008669C3">
        <w:t xml:space="preserve"> </w:t>
      </w:r>
      <w:r w:rsidR="00ED35A8" w:rsidRPr="008669C3">
        <w:t>We investigate this possibility.</w:t>
      </w:r>
    </w:p>
    <w:p w14:paraId="76C54115" w14:textId="5AE8750F" w:rsidR="00C01A2C" w:rsidRPr="008669C3" w:rsidRDefault="00E150B2" w:rsidP="007C3664">
      <w:pPr>
        <w:autoSpaceDE w:val="0"/>
        <w:autoSpaceDN w:val="0"/>
        <w:adjustRightInd w:val="0"/>
        <w:spacing w:line="480" w:lineRule="auto"/>
        <w:ind w:firstLine="567"/>
        <w:jc w:val="both"/>
        <w:rPr>
          <w:color w:val="FF0000"/>
        </w:rPr>
      </w:pPr>
      <w:r w:rsidRPr="008669C3">
        <w:lastRenderedPageBreak/>
        <w:t>More precisely</w:t>
      </w:r>
      <w:r w:rsidR="006F2F2B" w:rsidRPr="008669C3">
        <w:t xml:space="preserve">, </w:t>
      </w:r>
      <w:r w:rsidR="005D5EA7" w:rsidRPr="008669C3">
        <w:t xml:space="preserve">this paper asks whether </w:t>
      </w:r>
      <w:r w:rsidR="00DF7A5B" w:rsidRPr="008669C3">
        <w:t xml:space="preserve">managers </w:t>
      </w:r>
      <w:r w:rsidR="00D00DBC" w:rsidRPr="008669C3">
        <w:t>receive</w:t>
      </w:r>
      <w:r w:rsidR="00DF7A5B" w:rsidRPr="008669C3">
        <w:t xml:space="preserve"> more risk-taking incentives in their compensation packages, as measured </w:t>
      </w:r>
      <w:r w:rsidR="00C01A2C" w:rsidRPr="008669C3">
        <w:t xml:space="preserve">by </w:t>
      </w:r>
      <w:r w:rsidR="00DF7A5B" w:rsidRPr="008669C3">
        <w:t xml:space="preserve">vega, once their firms are referenced by CDS trading. </w:t>
      </w:r>
      <w:r w:rsidR="00D00DBC" w:rsidRPr="008669C3">
        <w:t>Moreover</w:t>
      </w:r>
      <w:r w:rsidR="00C01A2C" w:rsidRPr="008669C3">
        <w:t xml:space="preserve">, </w:t>
      </w:r>
      <w:r w:rsidR="006D3E3A" w:rsidRPr="008669C3">
        <w:t xml:space="preserve">note that </w:t>
      </w:r>
      <w:r w:rsidR="009836AD" w:rsidRPr="008669C3">
        <w:t xml:space="preserve">risk-taking </w:t>
      </w:r>
      <w:r w:rsidR="006976DE" w:rsidRPr="008669C3">
        <w:t>behavior</w:t>
      </w:r>
      <w:r w:rsidR="009836AD" w:rsidRPr="008669C3">
        <w:t xml:space="preserve"> </w:t>
      </w:r>
      <w:r w:rsidR="006976DE" w:rsidRPr="008669C3">
        <w:t>is</w:t>
      </w:r>
      <w:r w:rsidR="00C01A2C" w:rsidRPr="008669C3">
        <w:t xml:space="preserve"> also determined by </w:t>
      </w:r>
      <w:r w:rsidR="00FF71A2" w:rsidRPr="008669C3">
        <w:t>managerial</w:t>
      </w:r>
      <w:r w:rsidR="00C01A2C" w:rsidRPr="008669C3">
        <w:t xml:space="preserve"> risk appetite</w:t>
      </w:r>
      <w:r w:rsidR="002C23EF" w:rsidRPr="008669C3">
        <w:t xml:space="preserve">, </w:t>
      </w:r>
      <w:r w:rsidR="008271CE" w:rsidRPr="008669C3">
        <w:t xml:space="preserve">that is, </w:t>
      </w:r>
      <w:r w:rsidR="006D2022" w:rsidRPr="008669C3">
        <w:t>manager</w:t>
      </w:r>
      <w:r w:rsidR="00FF71A2" w:rsidRPr="008669C3">
        <w:t>s</w:t>
      </w:r>
      <w:r w:rsidR="006D2022" w:rsidRPr="008669C3">
        <w:t>’</w:t>
      </w:r>
      <w:r w:rsidR="008271CE" w:rsidRPr="008669C3">
        <w:t xml:space="preserve"> willingness</w:t>
      </w:r>
      <w:r w:rsidR="00C01A2C" w:rsidRPr="008669C3">
        <w:t xml:space="preserve"> to take risk </w:t>
      </w:r>
      <w:r w:rsidR="00B96541" w:rsidRPr="008669C3">
        <w:t>with</w:t>
      </w:r>
      <w:r w:rsidR="00C01A2C" w:rsidRPr="008669C3">
        <w:t xml:space="preserve"> a given level of risk</w:t>
      </w:r>
      <w:r w:rsidR="00D77B64" w:rsidRPr="008669C3">
        <w:t>-</w:t>
      </w:r>
      <w:r w:rsidR="00C01A2C" w:rsidRPr="008669C3">
        <w:t xml:space="preserve">taking incentives, which </w:t>
      </w:r>
      <w:r w:rsidR="00B96541" w:rsidRPr="008669C3">
        <w:t>could vary</w:t>
      </w:r>
      <w:r w:rsidR="008271CE" w:rsidRPr="008669C3">
        <w:t xml:space="preserve"> as </w:t>
      </w:r>
      <w:r w:rsidR="00B96541" w:rsidRPr="008669C3">
        <w:t xml:space="preserve">a function of </w:t>
      </w:r>
      <w:r w:rsidR="008271CE" w:rsidRPr="008669C3">
        <w:t xml:space="preserve">the </w:t>
      </w:r>
      <w:r w:rsidR="00A33B81" w:rsidRPr="008669C3">
        <w:t xml:space="preserve">firm’s </w:t>
      </w:r>
      <w:r w:rsidR="008271CE" w:rsidRPr="008669C3">
        <w:t>decision environment</w:t>
      </w:r>
      <w:r w:rsidR="00C01A2C" w:rsidRPr="008669C3">
        <w:t>.</w:t>
      </w:r>
      <w:r w:rsidR="008271CE" w:rsidRPr="008669C3">
        <w:t xml:space="preserve"> For instance</w:t>
      </w:r>
      <w:r w:rsidR="00C01A2C" w:rsidRPr="008669C3">
        <w:t xml:space="preserve">, it </w:t>
      </w:r>
      <w:r w:rsidR="0075702F" w:rsidRPr="008669C3">
        <w:t>could</w:t>
      </w:r>
      <w:r w:rsidR="00C01A2C" w:rsidRPr="008669C3">
        <w:t xml:space="preserve"> be the case that</w:t>
      </w:r>
      <w:r w:rsidR="00020385" w:rsidRPr="008669C3">
        <w:t xml:space="preserve"> </w:t>
      </w:r>
      <w:r w:rsidR="00C01A2C" w:rsidRPr="008669C3">
        <w:t xml:space="preserve">managers </w:t>
      </w:r>
      <w:r w:rsidR="00A33B81" w:rsidRPr="008669C3">
        <w:t>become</w:t>
      </w:r>
      <w:r w:rsidR="00C01A2C" w:rsidRPr="008669C3">
        <w:t xml:space="preserve"> </w:t>
      </w:r>
      <w:r w:rsidR="008271CE" w:rsidRPr="008669C3">
        <w:t xml:space="preserve">more </w:t>
      </w:r>
      <w:r w:rsidR="00C01A2C" w:rsidRPr="008669C3">
        <w:t xml:space="preserve">reluctant to </w:t>
      </w:r>
      <w:r w:rsidR="008271CE" w:rsidRPr="008669C3">
        <w:t xml:space="preserve">pursue risky </w:t>
      </w:r>
      <w:r w:rsidR="000B3500" w:rsidRPr="008669C3">
        <w:t>strategies</w:t>
      </w:r>
      <w:r w:rsidR="00020385" w:rsidRPr="008669C3">
        <w:t xml:space="preserve"> following </w:t>
      </w:r>
      <w:r w:rsidR="002E6040" w:rsidRPr="008669C3">
        <w:t>the onset of CDS trading</w:t>
      </w:r>
      <w:r w:rsidR="00F627B1">
        <w:t>,</w:t>
      </w:r>
      <w:r w:rsidR="008271CE" w:rsidRPr="008669C3">
        <w:t xml:space="preserve"> </w:t>
      </w:r>
      <w:r w:rsidR="00C01A2C" w:rsidRPr="008669C3">
        <w:t xml:space="preserve">despite </w:t>
      </w:r>
      <w:r w:rsidR="000B3500" w:rsidRPr="008669C3">
        <w:t xml:space="preserve">an </w:t>
      </w:r>
      <w:r w:rsidR="00C01A2C" w:rsidRPr="008669C3">
        <w:t>increase</w:t>
      </w:r>
      <w:r w:rsidR="00366556" w:rsidRPr="008669C3">
        <w:t xml:space="preserve"> in</w:t>
      </w:r>
      <w:r w:rsidR="001705FE" w:rsidRPr="008669C3">
        <w:t xml:space="preserve"> </w:t>
      </w:r>
      <w:r w:rsidR="00366556" w:rsidRPr="008669C3">
        <w:t xml:space="preserve">incentive </w:t>
      </w:r>
      <w:r w:rsidR="001705FE" w:rsidRPr="008669C3">
        <w:t>provision</w:t>
      </w:r>
      <w:r w:rsidR="00C01A2C" w:rsidRPr="008669C3">
        <w:t xml:space="preserve">. </w:t>
      </w:r>
      <w:r w:rsidR="00020385" w:rsidRPr="008669C3">
        <w:t>T</w:t>
      </w:r>
      <w:r w:rsidR="00A70B43" w:rsidRPr="008669C3">
        <w:t>o</w:t>
      </w:r>
      <w:r w:rsidR="00054B72" w:rsidRPr="008669C3">
        <w:t xml:space="preserve"> gain a better understanding of the CDS effect on ris</w:t>
      </w:r>
      <w:r w:rsidR="00025BCE" w:rsidRPr="008669C3">
        <w:t>k-</w:t>
      </w:r>
      <w:r w:rsidR="00054B72" w:rsidRPr="008669C3">
        <w:t>taking behavior</w:t>
      </w:r>
      <w:r w:rsidR="008B7041" w:rsidRPr="008669C3">
        <w:t>, we also</w:t>
      </w:r>
      <w:r w:rsidR="007C3664" w:rsidRPr="008669C3">
        <w:t xml:space="preserve"> </w:t>
      </w:r>
      <w:r w:rsidR="004714CA" w:rsidRPr="008669C3">
        <w:t>investigate</w:t>
      </w:r>
      <w:r w:rsidR="007C3664" w:rsidRPr="008669C3">
        <w:t xml:space="preserve"> </w:t>
      </w:r>
      <w:r w:rsidR="00C01A2C" w:rsidRPr="008669C3">
        <w:t xml:space="preserve">whether CDS </w:t>
      </w:r>
      <w:r w:rsidR="007C3664" w:rsidRPr="008669C3">
        <w:t>trading</w:t>
      </w:r>
      <w:r w:rsidR="00C01A2C" w:rsidRPr="008669C3">
        <w:t xml:space="preserve"> </w:t>
      </w:r>
      <w:r w:rsidR="004C0BD6" w:rsidRPr="008669C3">
        <w:t>influences</w:t>
      </w:r>
      <w:r w:rsidR="00C01A2C" w:rsidRPr="008669C3">
        <w:t xml:space="preserve"> </w:t>
      </w:r>
      <w:r w:rsidR="00FF71A2" w:rsidRPr="008669C3">
        <w:t>managerial</w:t>
      </w:r>
      <w:r w:rsidR="00C01A2C" w:rsidRPr="008669C3">
        <w:t xml:space="preserve"> </w:t>
      </w:r>
      <w:r w:rsidR="007C3664" w:rsidRPr="008669C3">
        <w:t xml:space="preserve">risk appetite </w:t>
      </w:r>
      <w:r w:rsidR="00C01A2C" w:rsidRPr="008669C3">
        <w:t xml:space="preserve">for a given level of </w:t>
      </w:r>
      <w:r w:rsidR="007C3664" w:rsidRPr="008669C3">
        <w:t>vega</w:t>
      </w:r>
      <w:r w:rsidR="00C01A2C" w:rsidRPr="008669C3">
        <w:t>.</w:t>
      </w:r>
      <w:r w:rsidR="00F02A20" w:rsidRPr="008669C3">
        <w:t xml:space="preserve"> </w:t>
      </w:r>
    </w:p>
    <w:p w14:paraId="7CD6B820" w14:textId="406B111D" w:rsidR="00684133" w:rsidRPr="008669C3" w:rsidRDefault="00B53CED" w:rsidP="00520157">
      <w:pPr>
        <w:autoSpaceDE w:val="0"/>
        <w:autoSpaceDN w:val="0"/>
        <w:adjustRightInd w:val="0"/>
        <w:spacing w:line="480" w:lineRule="auto"/>
        <w:ind w:firstLine="567"/>
        <w:jc w:val="both"/>
      </w:pPr>
      <w:r w:rsidRPr="008669C3">
        <w:t>Considering</w:t>
      </w:r>
      <w:r w:rsidR="000B2013" w:rsidRPr="008669C3">
        <w:t xml:space="preserve"> the existing evidence of more aggressive financial </w:t>
      </w:r>
      <w:r w:rsidR="0054184F" w:rsidRPr="008669C3">
        <w:t>policies</w:t>
      </w:r>
      <w:r w:rsidR="000B2013" w:rsidRPr="008669C3">
        <w:t xml:space="preserve"> </w:t>
      </w:r>
      <w:r w:rsidR="000B3500" w:rsidRPr="008669C3">
        <w:t>in the post-CDS period, w</w:t>
      </w:r>
      <w:r w:rsidR="00CF70FE" w:rsidRPr="008669C3">
        <w:t xml:space="preserve">e posit that </w:t>
      </w:r>
      <w:r w:rsidR="00F43680" w:rsidRPr="008669C3">
        <w:t xml:space="preserve">CDS trading is positively related to CEO </w:t>
      </w:r>
      <w:r w:rsidR="00F43680" w:rsidRPr="00C351DF">
        <w:t>vega</w:t>
      </w:r>
      <w:r w:rsidR="00C351DF" w:rsidRPr="00C351DF">
        <w:t xml:space="preserve">. </w:t>
      </w:r>
      <w:r w:rsidR="00C351DF">
        <w:t>Our</w:t>
      </w:r>
      <w:r w:rsidR="00C351DF" w:rsidRPr="00C351DF">
        <w:t xml:space="preserve"> </w:t>
      </w:r>
      <w:r w:rsidR="00FB7903" w:rsidRPr="00C351DF">
        <w:t xml:space="preserve">theoretical </w:t>
      </w:r>
      <w:r w:rsidR="00C351DF" w:rsidRPr="00C351DF">
        <w:t>underpinning</w:t>
      </w:r>
      <w:r w:rsidR="00CF70FE" w:rsidRPr="00C351DF">
        <w:t xml:space="preserve"> </w:t>
      </w:r>
      <w:r w:rsidR="00FC3EEC" w:rsidRPr="00C351DF">
        <w:t xml:space="preserve">is based on </w:t>
      </w:r>
      <w:r w:rsidR="001112B2" w:rsidRPr="00C351DF">
        <w:t>the literat</w:t>
      </w:r>
      <w:r w:rsidR="004714CA" w:rsidRPr="00C351DF">
        <w:t>ure examining the effect of CDS</w:t>
      </w:r>
      <w:r w:rsidR="001112B2" w:rsidRPr="00C351DF">
        <w:t xml:space="preserve"> on </w:t>
      </w:r>
      <w:r w:rsidR="00C44C53" w:rsidRPr="00C351DF">
        <w:t>creditors</w:t>
      </w:r>
      <w:r w:rsidR="001112B2" w:rsidRPr="00C351DF">
        <w:t>’ incentives to engage in costly monitoring</w:t>
      </w:r>
      <w:r w:rsidR="00C44C53" w:rsidRPr="00C351DF">
        <w:t xml:space="preserve">. </w:t>
      </w:r>
      <w:r w:rsidR="00FC3EEC" w:rsidRPr="008669C3">
        <w:t>S</w:t>
      </w:r>
      <w:r w:rsidR="00A2353B" w:rsidRPr="008669C3">
        <w:t xml:space="preserve">hareholders have </w:t>
      </w:r>
      <w:r w:rsidR="006D3E3A" w:rsidRPr="008669C3">
        <w:t>an incentive</w:t>
      </w:r>
      <w:r w:rsidR="00A2353B" w:rsidRPr="008669C3">
        <w:t xml:space="preserve"> to expropriate </w:t>
      </w:r>
      <w:r w:rsidR="00C902B4" w:rsidRPr="008669C3">
        <w:t>debt</w:t>
      </w:r>
      <w:r w:rsidR="00A2353B" w:rsidRPr="008669C3">
        <w:t>holder wealth by shifting to riskier investments, a phenomenon commonly referred to as risk shifting (Fama and Miller, 1972; Jensen and Meckling, 1976). In the context of the</w:t>
      </w:r>
      <w:r w:rsidR="00C75916" w:rsidRPr="008669C3">
        <w:t xml:space="preserve"> traditional creditor–debtor relation</w:t>
      </w:r>
      <w:r w:rsidR="00A2353B" w:rsidRPr="008669C3">
        <w:t>,</w:t>
      </w:r>
      <w:r w:rsidR="00C75916" w:rsidRPr="008669C3">
        <w:t xml:space="preserve"> </w:t>
      </w:r>
      <w:r w:rsidR="00C902B4" w:rsidRPr="008669C3">
        <w:t>lending institutions</w:t>
      </w:r>
      <w:r w:rsidR="00D60A54" w:rsidRPr="008669C3">
        <w:t xml:space="preserve">, especially banks, continuously monitor borrowers to alleviate moral hazard (Fama, 1985; Diamond, 1991; Rajan, 1992). In particular, lenders scrutinize their borrowers’ </w:t>
      </w:r>
      <w:r w:rsidR="006D3E3A" w:rsidRPr="008669C3">
        <w:t>managerial compensation packages</w:t>
      </w:r>
      <w:r w:rsidR="00D60A54" w:rsidRPr="008669C3">
        <w:t xml:space="preserve"> to deter </w:t>
      </w:r>
      <w:r w:rsidR="003E48A9" w:rsidRPr="008669C3">
        <w:t>potential risk-shifting</w:t>
      </w:r>
      <w:r w:rsidR="00D60A54" w:rsidRPr="008669C3">
        <w:t xml:space="preserve"> behavior</w:t>
      </w:r>
      <w:r w:rsidR="000A24AE">
        <w:t>,</w:t>
      </w:r>
      <w:r w:rsidR="003E48A9" w:rsidRPr="008669C3">
        <w:t xml:space="preserve"> and </w:t>
      </w:r>
      <w:r w:rsidR="00C50D3D" w:rsidRPr="008669C3">
        <w:t>impos</w:t>
      </w:r>
      <w:r w:rsidR="003E48A9" w:rsidRPr="008669C3">
        <w:t>e</w:t>
      </w:r>
      <w:r w:rsidR="00C50D3D" w:rsidRPr="008669C3">
        <w:t xml:space="preserve"> stringent financial</w:t>
      </w:r>
      <w:r w:rsidR="007871D9" w:rsidRPr="008669C3">
        <w:t xml:space="preserve"> covenants and terms</w:t>
      </w:r>
      <w:r w:rsidR="003A18D2" w:rsidRPr="008669C3">
        <w:t xml:space="preserve"> </w:t>
      </w:r>
      <w:r w:rsidR="00C77CE4" w:rsidRPr="008669C3">
        <w:t>to</w:t>
      </w:r>
      <w:r w:rsidR="007871D9" w:rsidRPr="008669C3">
        <w:t xml:space="preserve"> constrain borrowers’</w:t>
      </w:r>
      <w:r w:rsidR="006D3E3A" w:rsidRPr="008669C3">
        <w:t xml:space="preserve"> compensation policies</w:t>
      </w:r>
      <w:r w:rsidR="00F92C61" w:rsidRPr="008669C3">
        <w:t>.</w:t>
      </w:r>
      <w:r w:rsidR="00D60A54" w:rsidRPr="008669C3">
        <w:rPr>
          <w:rStyle w:val="FootnoteReference"/>
        </w:rPr>
        <w:footnoteReference w:id="3"/>
      </w:r>
      <w:r w:rsidR="00F92C61" w:rsidRPr="008669C3">
        <w:t xml:space="preserve"> </w:t>
      </w:r>
    </w:p>
    <w:p w14:paraId="201B36E9" w14:textId="5DF79722" w:rsidR="00520157" w:rsidRPr="008669C3" w:rsidRDefault="0070431A" w:rsidP="00520157">
      <w:pPr>
        <w:autoSpaceDE w:val="0"/>
        <w:autoSpaceDN w:val="0"/>
        <w:adjustRightInd w:val="0"/>
        <w:spacing w:line="480" w:lineRule="auto"/>
        <w:ind w:firstLine="567"/>
        <w:jc w:val="both"/>
      </w:pPr>
      <w:r w:rsidRPr="008669C3">
        <w:lastRenderedPageBreak/>
        <w:t xml:space="preserve">CDS availability </w:t>
      </w:r>
      <w:r w:rsidR="00110677" w:rsidRPr="008669C3">
        <w:t>significantly alter</w:t>
      </w:r>
      <w:r w:rsidRPr="008669C3">
        <w:t>s the creditor–debtor relation. Protection from a CDS contract limits the downside exposure of creditors</w:t>
      </w:r>
      <w:r w:rsidR="00F92C61" w:rsidRPr="008669C3">
        <w:t xml:space="preserve">, </w:t>
      </w:r>
      <w:r w:rsidRPr="008669C3">
        <w:t>provid</w:t>
      </w:r>
      <w:r w:rsidR="00F92C61" w:rsidRPr="008669C3">
        <w:t>ing</w:t>
      </w:r>
      <w:r w:rsidRPr="008669C3">
        <w:t xml:space="preserve"> them with greater ba</w:t>
      </w:r>
      <w:r w:rsidR="00DF68D4" w:rsidRPr="008669C3">
        <w:t>rgaining power in renegotiation</w:t>
      </w:r>
      <w:r w:rsidRPr="008669C3">
        <w:t xml:space="preserve"> (Bolton and Oehmke, 2011). Accordingly, </w:t>
      </w:r>
      <w:r w:rsidR="00110677" w:rsidRPr="008669C3">
        <w:t>CDS-protected creditors</w:t>
      </w:r>
      <w:r w:rsidRPr="008669C3">
        <w:t xml:space="preserve"> </w:t>
      </w:r>
      <w:r w:rsidR="00110677" w:rsidRPr="008669C3">
        <w:t xml:space="preserve">may find it more efficient to rely on pre-specified credit </w:t>
      </w:r>
      <w:r w:rsidR="00980E5A" w:rsidRPr="008669C3">
        <w:t>events to trigger renegotiation or default payment</w:t>
      </w:r>
      <w:r w:rsidR="00110677" w:rsidRPr="008669C3">
        <w:t xml:space="preserve"> and shift away from costly monitoring (Morrison, 2005; Parlour and Winton, 2013). </w:t>
      </w:r>
      <w:r w:rsidR="00175BE6">
        <w:t>T</w:t>
      </w:r>
      <w:r w:rsidR="0081702E" w:rsidRPr="008669C3">
        <w:t xml:space="preserve">he </w:t>
      </w:r>
      <w:r w:rsidR="00110677" w:rsidRPr="008669C3">
        <w:t>reduced creditor monitoring</w:t>
      </w:r>
      <w:r w:rsidR="0081702E" w:rsidRPr="008669C3">
        <w:t xml:space="preserve"> </w:t>
      </w:r>
      <w:r w:rsidR="00175BE6">
        <w:t xml:space="preserve">may </w:t>
      </w:r>
      <w:r w:rsidR="0081702E" w:rsidRPr="008669C3">
        <w:t>provide</w:t>
      </w:r>
      <w:r w:rsidR="008949FD" w:rsidRPr="008669C3">
        <w:t xml:space="preserve"> </w:t>
      </w:r>
      <w:r w:rsidR="007C7DB3" w:rsidRPr="008669C3">
        <w:t xml:space="preserve">borrowing firms </w:t>
      </w:r>
      <w:r w:rsidR="0081702E" w:rsidRPr="008669C3">
        <w:t xml:space="preserve">with </w:t>
      </w:r>
      <w:r w:rsidR="007C7DB3" w:rsidRPr="008669C3">
        <w:t xml:space="preserve">more opportunities </w:t>
      </w:r>
      <w:r w:rsidR="00110677" w:rsidRPr="008669C3">
        <w:t xml:space="preserve">to increase risk-taking incentives </w:t>
      </w:r>
      <w:r w:rsidR="00F14B1A" w:rsidRPr="008669C3">
        <w:t xml:space="preserve">in compensation </w:t>
      </w:r>
      <w:r w:rsidR="00B60A31" w:rsidRPr="008669C3">
        <w:t xml:space="preserve">to better align managerial incentives with shareholder interests. </w:t>
      </w:r>
      <w:r w:rsidR="00E551C6" w:rsidRPr="008669C3">
        <w:t>In sum</w:t>
      </w:r>
      <w:r w:rsidR="00404DD1" w:rsidRPr="008669C3">
        <w:t xml:space="preserve">, we </w:t>
      </w:r>
      <w:r w:rsidR="00C44C53" w:rsidRPr="008669C3">
        <w:t>expect</w:t>
      </w:r>
      <w:r w:rsidR="00404DD1" w:rsidRPr="008669C3">
        <w:t xml:space="preserve"> that </w:t>
      </w:r>
      <w:r w:rsidR="00520157" w:rsidRPr="008669C3">
        <w:t xml:space="preserve">boards offer pay packages that encourage greater risk taking </w:t>
      </w:r>
      <w:r w:rsidR="0081702E" w:rsidRPr="008669C3">
        <w:t>in response to</w:t>
      </w:r>
      <w:r w:rsidR="00520157" w:rsidRPr="008669C3">
        <w:t xml:space="preserve"> the </w:t>
      </w:r>
      <w:r w:rsidR="00DB3598" w:rsidRPr="008669C3">
        <w:t>post-CDS decline in creditor monitoring intensity</w:t>
      </w:r>
      <w:r w:rsidR="00520157" w:rsidRPr="008669C3">
        <w:t>.</w:t>
      </w:r>
      <w:r w:rsidR="00A84DBC">
        <w:rPr>
          <w:rStyle w:val="FootnoteReference"/>
        </w:rPr>
        <w:footnoteReference w:id="4"/>
      </w:r>
    </w:p>
    <w:p w14:paraId="13CE9519" w14:textId="328F19FB" w:rsidR="006C2541" w:rsidRPr="008669C3" w:rsidRDefault="00B60A31" w:rsidP="00687AF8">
      <w:pPr>
        <w:autoSpaceDE w:val="0"/>
        <w:autoSpaceDN w:val="0"/>
        <w:adjustRightInd w:val="0"/>
        <w:spacing w:line="480" w:lineRule="auto"/>
        <w:ind w:firstLine="567"/>
        <w:jc w:val="both"/>
      </w:pPr>
      <w:r w:rsidRPr="008669C3">
        <w:t xml:space="preserve">To </w:t>
      </w:r>
      <w:r w:rsidR="00F14B1A" w:rsidRPr="008669C3">
        <w:t xml:space="preserve">test </w:t>
      </w:r>
      <w:r w:rsidR="00241D1A">
        <w:t>this</w:t>
      </w:r>
      <w:r w:rsidR="00F14B1A" w:rsidRPr="008669C3">
        <w:t xml:space="preserve"> </w:t>
      </w:r>
      <w:r w:rsidR="00241D1A" w:rsidRPr="008669C3">
        <w:t>hypothes</w:t>
      </w:r>
      <w:r w:rsidR="00241D1A">
        <w:t>i</w:t>
      </w:r>
      <w:r w:rsidR="00241D1A" w:rsidRPr="008669C3">
        <w:t>s</w:t>
      </w:r>
      <w:r w:rsidR="00F14B1A" w:rsidRPr="008669C3">
        <w:t xml:space="preserve">, we </w:t>
      </w:r>
      <w:r w:rsidR="006C2541" w:rsidRPr="008669C3">
        <w:t xml:space="preserve">exploit variation in the timing of CDS </w:t>
      </w:r>
      <w:r w:rsidR="00560740" w:rsidRPr="008669C3">
        <w:t>trade initiation</w:t>
      </w:r>
      <w:r w:rsidR="006C2541" w:rsidRPr="008669C3">
        <w:t xml:space="preserve"> and </w:t>
      </w:r>
      <w:r w:rsidR="00F14B1A" w:rsidRPr="008669C3">
        <w:t>examine</w:t>
      </w:r>
      <w:r w:rsidR="003D11DF" w:rsidRPr="008669C3">
        <w:t xml:space="preserve"> whether CEO vega</w:t>
      </w:r>
      <w:r w:rsidR="009F3470" w:rsidRPr="008669C3">
        <w:t xml:space="preserve"> changes around the event. </w:t>
      </w:r>
      <w:r w:rsidR="006C2541" w:rsidRPr="008669C3">
        <w:t xml:space="preserve">The main finding from this analysis is that the inception of CDS trading on a firm </w:t>
      </w:r>
      <w:r w:rsidR="008D3059" w:rsidRPr="008669C3">
        <w:t>is associated with</w:t>
      </w:r>
      <w:r w:rsidR="006C2541" w:rsidRPr="008669C3">
        <w:t xml:space="preserve"> an increase in the vega of the firm’s CEO, after controlling for standard determinants of managerial incentive compensation. </w:t>
      </w:r>
      <w:r w:rsidR="00560740" w:rsidRPr="008669C3">
        <w:t>In particular</w:t>
      </w:r>
      <w:r w:rsidR="006C2541" w:rsidRPr="008669C3">
        <w:t xml:space="preserve">, our baseline regressions include firm and CEO–firm fixed effects to absorb any time-invariant unobserved characteristics at the firm or CEO–firm levels that could affect compensation policies. The positive effect of CDS introduction on vega is also economically significant. For example, in a specification with CEO–firm fixed effects, we find that vega increases by </w:t>
      </w:r>
      <w:r w:rsidR="00B35584" w:rsidRPr="008669C3">
        <w:t>29.1</w:t>
      </w:r>
      <w:r w:rsidR="006C2541" w:rsidRPr="008669C3">
        <w:t xml:space="preserve">% following the onset of CDS trading. This </w:t>
      </w:r>
      <w:r w:rsidR="00560740" w:rsidRPr="008669C3">
        <w:t>fin</w:t>
      </w:r>
      <w:r w:rsidR="00447957" w:rsidRPr="008669C3">
        <w:t>d</w:t>
      </w:r>
      <w:r w:rsidR="00560740" w:rsidRPr="008669C3">
        <w:t>ing</w:t>
      </w:r>
      <w:r w:rsidR="006C2541" w:rsidRPr="008669C3">
        <w:t xml:space="preserve"> is not driven by unobserved CEO </w:t>
      </w:r>
      <w:r w:rsidR="00FD0E93" w:rsidRPr="008669C3">
        <w:t xml:space="preserve">traits </w:t>
      </w:r>
      <w:r w:rsidR="006C2541" w:rsidRPr="008669C3">
        <w:t xml:space="preserve">or endogenous CEO–firm matching. </w:t>
      </w:r>
      <w:r w:rsidR="003D11DF" w:rsidRPr="008669C3">
        <w:t>Moreover</w:t>
      </w:r>
      <w:r w:rsidR="006C2541" w:rsidRPr="008669C3">
        <w:t xml:space="preserve">, an </w:t>
      </w:r>
      <w:r w:rsidR="006C2541" w:rsidRPr="008669C3">
        <w:lastRenderedPageBreak/>
        <w:t xml:space="preserve">examination of the timing of the CDS effect suggests that the reference firm adjusts the risk-taking incentives embedded in managerial compensation only </w:t>
      </w:r>
      <w:r w:rsidR="006C2541" w:rsidRPr="008669C3">
        <w:rPr>
          <w:i/>
        </w:rPr>
        <w:t>after</w:t>
      </w:r>
      <w:r w:rsidR="006C2541" w:rsidRPr="008669C3">
        <w:t xml:space="preserve"> the initiation of CDS trading. Thus, the data reveal</w:t>
      </w:r>
      <w:r w:rsidR="00C165EE">
        <w:t>s</w:t>
      </w:r>
      <w:r w:rsidR="006C2541" w:rsidRPr="008669C3">
        <w:t xml:space="preserve"> no contemporaneous or reverse patterns.</w:t>
      </w:r>
    </w:p>
    <w:p w14:paraId="773A8C70" w14:textId="54B23BFA" w:rsidR="006C2541" w:rsidRPr="008669C3" w:rsidRDefault="006C2541" w:rsidP="00687AF8">
      <w:pPr>
        <w:autoSpaceDE w:val="0"/>
        <w:autoSpaceDN w:val="0"/>
        <w:adjustRightInd w:val="0"/>
        <w:spacing w:line="480" w:lineRule="auto"/>
        <w:ind w:firstLine="567"/>
        <w:jc w:val="both"/>
      </w:pPr>
      <w:r w:rsidRPr="008669C3">
        <w:t xml:space="preserve">A potential concern with the interpretation of our baseline results is that </w:t>
      </w:r>
      <w:r w:rsidR="00560740" w:rsidRPr="008669C3">
        <w:t xml:space="preserve">CDS availability </w:t>
      </w:r>
      <w:r w:rsidRPr="008669C3">
        <w:t xml:space="preserve">is likely to be endogenous. Unobservable factors correlated with both managerial compensation and the selection of firms for CDS trading could bias the results. </w:t>
      </w:r>
      <w:r w:rsidR="00435905" w:rsidRPr="008669C3">
        <w:t>Alternatively</w:t>
      </w:r>
      <w:r w:rsidRPr="008669C3">
        <w:t xml:space="preserve">, CDS trading </w:t>
      </w:r>
      <w:r w:rsidR="00435905" w:rsidRPr="008669C3">
        <w:t xml:space="preserve">may </w:t>
      </w:r>
      <w:r w:rsidRPr="008669C3">
        <w:t xml:space="preserve">be initiated when market participants anticipate greater risk taking by managers with convex incentive schemes. We </w:t>
      </w:r>
      <w:r w:rsidR="002932DA" w:rsidRPr="008669C3">
        <w:t>conduct two tests</w:t>
      </w:r>
      <w:r w:rsidRPr="008669C3">
        <w:t xml:space="preserve"> to address these concerns. First, we employ a matching approach and examine the changes in </w:t>
      </w:r>
      <w:r w:rsidR="00114DBF" w:rsidRPr="008669C3">
        <w:t>CEO vega</w:t>
      </w:r>
      <w:r w:rsidRPr="008669C3">
        <w:t xml:space="preserve"> from the year before to the year</w:t>
      </w:r>
      <w:r w:rsidR="00447957" w:rsidRPr="008669C3">
        <w:t>s</w:t>
      </w:r>
      <w:r w:rsidRPr="008669C3">
        <w:t xml:space="preserve"> after CDS introduction relative to the changes in a matched sample of non-CDS firms. We find a substantial increase in the vega of reference firms’ CEO</w:t>
      </w:r>
      <w:r w:rsidR="000E3D1E">
        <w:t>s</w:t>
      </w:r>
      <w:r w:rsidRPr="008669C3">
        <w:t xml:space="preserve"> near CDS introduction, compared with matched non-CDS firms.</w:t>
      </w:r>
    </w:p>
    <w:p w14:paraId="1C2A92E9" w14:textId="3D424EA1" w:rsidR="006C2541" w:rsidRPr="008669C3" w:rsidRDefault="002932DA" w:rsidP="00687AF8">
      <w:pPr>
        <w:autoSpaceDE w:val="0"/>
        <w:autoSpaceDN w:val="0"/>
        <w:adjustRightInd w:val="0"/>
        <w:spacing w:line="480" w:lineRule="auto"/>
        <w:ind w:firstLine="567"/>
        <w:jc w:val="both"/>
      </w:pPr>
      <w:r w:rsidRPr="008669C3">
        <w:t>Second, we adopt</w:t>
      </w:r>
      <w:r w:rsidR="006C2541" w:rsidRPr="008669C3">
        <w:t xml:space="preserve"> the instrumental variable (IV) approach and two-stage least squares (2SLS) regression analysis. We use three instrumental variables, initially proposed by Saretto and Tookes (2013) and Subrahmanyam et al. (2014), as a source of exogenous variation in the likelihood of CDS trading: i) the foreign exchange hedging positions of lenders and bond underwriters, ii) the Tier 1 capital ratios of lenders and bond underwriters, and iii) Trade Reporting and Compliance Engine (TRACE) coverage. </w:t>
      </w:r>
      <w:r w:rsidR="00435905" w:rsidRPr="008669C3">
        <w:t xml:space="preserve">On the one hand, </w:t>
      </w:r>
      <w:r w:rsidR="006C2541" w:rsidRPr="008669C3">
        <w:t xml:space="preserve">these instruments are economically sound because they are associated with the overall hedging interest of lenders or credit suppliers. </w:t>
      </w:r>
      <w:r w:rsidR="00435905" w:rsidRPr="008669C3">
        <w:t>Consistent with this view</w:t>
      </w:r>
      <w:r w:rsidR="006C2541" w:rsidRPr="008669C3">
        <w:t xml:space="preserve">, we find that they are significant determinants of CDS trading. </w:t>
      </w:r>
      <w:r w:rsidR="00435905" w:rsidRPr="008669C3">
        <w:t>On the other hand, i</w:t>
      </w:r>
      <w:r w:rsidR="006C2541" w:rsidRPr="008669C3">
        <w:t xml:space="preserve">t also appears that they are uncorrelated with borrowers’ managerial compensation policies, except through their impact on CDS market activities. </w:t>
      </w:r>
      <w:r w:rsidR="00435905" w:rsidRPr="008669C3">
        <w:t>Overall, t</w:t>
      </w:r>
      <w:r w:rsidR="006C2541" w:rsidRPr="008669C3">
        <w:t>he results confirm that introducing CDS trading on a firm has a positive effect on the vega of the firm’s CEO.</w:t>
      </w:r>
    </w:p>
    <w:p w14:paraId="06FA102A" w14:textId="56989870" w:rsidR="00375928" w:rsidRPr="008669C3" w:rsidRDefault="006C2541" w:rsidP="00687AF8">
      <w:pPr>
        <w:autoSpaceDE w:val="0"/>
        <w:autoSpaceDN w:val="0"/>
        <w:adjustRightInd w:val="0"/>
        <w:spacing w:line="480" w:lineRule="auto"/>
        <w:ind w:firstLine="567"/>
        <w:jc w:val="both"/>
      </w:pPr>
      <w:r w:rsidRPr="008669C3">
        <w:lastRenderedPageBreak/>
        <w:t>We next explore the het</w:t>
      </w:r>
      <w:r w:rsidR="00375928" w:rsidRPr="008669C3">
        <w:t xml:space="preserve">erogeneity in the effect of CDS </w:t>
      </w:r>
      <w:r w:rsidR="003A6EDA" w:rsidRPr="008669C3">
        <w:t>trade initiation</w:t>
      </w:r>
      <w:r w:rsidR="00375928" w:rsidRPr="008669C3">
        <w:t xml:space="preserve"> on CEO vega</w:t>
      </w:r>
      <w:r w:rsidRPr="008669C3">
        <w:t xml:space="preserve">. </w:t>
      </w:r>
      <w:r w:rsidR="00697E26">
        <w:t xml:space="preserve">If the </w:t>
      </w:r>
      <w:r w:rsidR="009C6620">
        <w:t>vega</w:t>
      </w:r>
      <w:r w:rsidR="00697E26">
        <w:t xml:space="preserve"> effect </w:t>
      </w:r>
      <w:r w:rsidR="009C6620">
        <w:t>is associated with creditor monitoring</w:t>
      </w:r>
      <w:r w:rsidR="00697E26">
        <w:t xml:space="preserve">, </w:t>
      </w:r>
      <w:r w:rsidR="003162DB">
        <w:t xml:space="preserve">then </w:t>
      </w:r>
      <w:r w:rsidRPr="008669C3">
        <w:t xml:space="preserve">the increase in vega following CDS introduction should be more prominent when </w:t>
      </w:r>
      <w:r w:rsidR="004D56AA">
        <w:t>shareholders</w:t>
      </w:r>
      <w:r w:rsidRPr="008669C3">
        <w:t xml:space="preserve"> have stronger motives to </w:t>
      </w:r>
      <w:r w:rsidR="001A4440" w:rsidRPr="008669C3">
        <w:t xml:space="preserve">take advantage of </w:t>
      </w:r>
      <w:r w:rsidR="00366D36">
        <w:t xml:space="preserve">the </w:t>
      </w:r>
      <w:r w:rsidR="001A4440" w:rsidRPr="008669C3">
        <w:t xml:space="preserve">reduced creditor monitoring and to </w:t>
      </w:r>
      <w:r w:rsidRPr="008669C3">
        <w:t>offer pay packages that encourage greater risk taking</w:t>
      </w:r>
      <w:r w:rsidR="00053D43" w:rsidRPr="008669C3">
        <w:t xml:space="preserve">. </w:t>
      </w:r>
      <w:r w:rsidR="00D81413" w:rsidRPr="008669C3">
        <w:t xml:space="preserve">We identify two settings </w:t>
      </w:r>
      <w:r w:rsidR="00C20DFA" w:rsidRPr="008669C3">
        <w:t>where firms’</w:t>
      </w:r>
      <w:r w:rsidR="00D81413" w:rsidRPr="008669C3">
        <w:t xml:space="preserve"> incentives to exploit the opportunity </w:t>
      </w:r>
      <w:r w:rsidR="00026EA4" w:rsidRPr="008669C3">
        <w:t>created</w:t>
      </w:r>
      <w:r w:rsidR="00D81413" w:rsidRPr="008669C3">
        <w:t xml:space="preserve"> by </w:t>
      </w:r>
      <w:r w:rsidR="00053D43" w:rsidRPr="008669C3">
        <w:t xml:space="preserve">the </w:t>
      </w:r>
      <w:r w:rsidR="00F76235" w:rsidRPr="008669C3">
        <w:t xml:space="preserve">post-CDS </w:t>
      </w:r>
      <w:r w:rsidR="00053D43" w:rsidRPr="008669C3">
        <w:t xml:space="preserve">decline in </w:t>
      </w:r>
      <w:r w:rsidR="00D81413" w:rsidRPr="008669C3">
        <w:t>creditor scrutiny</w:t>
      </w:r>
      <w:r w:rsidR="00F76235" w:rsidRPr="008669C3">
        <w:t xml:space="preserve"> are likely to be strong</w:t>
      </w:r>
      <w:r w:rsidR="00D81413" w:rsidRPr="008669C3">
        <w:t xml:space="preserve">. </w:t>
      </w:r>
      <w:r w:rsidR="00053D43" w:rsidRPr="008669C3">
        <w:t>First, p</w:t>
      </w:r>
      <w:r w:rsidR="00D81413" w:rsidRPr="008669C3">
        <w:t>rior literature suggests that institutional investors have the ability and incentive</w:t>
      </w:r>
      <w:r w:rsidR="00F76235" w:rsidRPr="008669C3">
        <w:t>s</w:t>
      </w:r>
      <w:r w:rsidR="00D81413" w:rsidRPr="008669C3">
        <w:t xml:space="preserve"> to influence CEO compensation </w:t>
      </w:r>
      <w:r w:rsidR="00053D43" w:rsidRPr="008669C3">
        <w:t>decisions</w:t>
      </w:r>
      <w:r w:rsidR="00D81413" w:rsidRPr="008669C3">
        <w:t xml:space="preserve"> (Gillan and Starks, 2000; Hartzell and Starks, 2003; Almazan et al., 2005). </w:t>
      </w:r>
      <w:r w:rsidR="0006698E" w:rsidRPr="008669C3">
        <w:t>Thus</w:t>
      </w:r>
      <w:r w:rsidR="00D81413" w:rsidRPr="008669C3">
        <w:t xml:space="preserve">, the boards of firms with larger institutional holdings are more likely to act in the interests of shareholders and design managerial compensation packages accordingly. Second, financially distressed firms </w:t>
      </w:r>
      <w:r w:rsidR="003A6EDA" w:rsidRPr="008669C3">
        <w:t>may</w:t>
      </w:r>
      <w:r w:rsidR="00D81413" w:rsidRPr="008669C3">
        <w:t xml:space="preserve"> have greater risk-shifting incentives</w:t>
      </w:r>
      <w:r w:rsidR="00053D43" w:rsidRPr="008669C3">
        <w:t xml:space="preserve">, </w:t>
      </w:r>
      <w:r w:rsidR="00D81413" w:rsidRPr="008669C3">
        <w:t xml:space="preserve">which </w:t>
      </w:r>
      <w:r w:rsidR="003A6EDA" w:rsidRPr="008669C3">
        <w:t>could</w:t>
      </w:r>
      <w:r w:rsidR="00D81413" w:rsidRPr="008669C3">
        <w:t xml:space="preserve"> manifest in increased convexity in CEO compensation</w:t>
      </w:r>
      <w:r w:rsidR="00053D43" w:rsidRPr="008669C3">
        <w:t xml:space="preserve"> (Eisdorfer, 2008)</w:t>
      </w:r>
      <w:r w:rsidR="00D81413" w:rsidRPr="008669C3">
        <w:t>.</w:t>
      </w:r>
      <w:r w:rsidR="003A6EDA" w:rsidRPr="008669C3">
        <w:t xml:space="preserve"> </w:t>
      </w:r>
      <w:r w:rsidRPr="008669C3">
        <w:t>Consistent with</w:t>
      </w:r>
      <w:r w:rsidR="00CE6F13" w:rsidRPr="008669C3">
        <w:t xml:space="preserve"> </w:t>
      </w:r>
      <w:r w:rsidR="001033A1" w:rsidRPr="003162DB">
        <w:t xml:space="preserve">the creditor monitoring </w:t>
      </w:r>
      <w:r w:rsidR="003162DB">
        <w:t>view</w:t>
      </w:r>
      <w:r w:rsidRPr="008669C3">
        <w:t xml:space="preserve">, </w:t>
      </w:r>
      <w:r w:rsidR="0011029F" w:rsidRPr="008669C3">
        <w:t>our</w:t>
      </w:r>
      <w:r w:rsidRPr="008669C3">
        <w:t xml:space="preserve"> results </w:t>
      </w:r>
      <w:r w:rsidR="0011029F" w:rsidRPr="008669C3">
        <w:t>show</w:t>
      </w:r>
      <w:r w:rsidRPr="008669C3">
        <w:t xml:space="preserve"> that the increase in vega is concentrated among borrowers that are financially distressed and those with larger institutional holdings. </w:t>
      </w:r>
    </w:p>
    <w:p w14:paraId="227BCD48" w14:textId="5AEBFD72" w:rsidR="006C2541" w:rsidRPr="008669C3" w:rsidRDefault="00CE4CD6" w:rsidP="00687AF8">
      <w:pPr>
        <w:autoSpaceDE w:val="0"/>
        <w:autoSpaceDN w:val="0"/>
        <w:adjustRightInd w:val="0"/>
        <w:spacing w:line="480" w:lineRule="auto"/>
        <w:ind w:firstLine="567"/>
        <w:jc w:val="both"/>
      </w:pPr>
      <w:r w:rsidRPr="008669C3">
        <w:t>Finally, to investigate whether CDS</w:t>
      </w:r>
      <w:r w:rsidR="001D4B28" w:rsidRPr="008669C3">
        <w:t xml:space="preserve"> trading has </w:t>
      </w:r>
      <w:r w:rsidRPr="008669C3">
        <w:t xml:space="preserve">any impact on </w:t>
      </w:r>
      <w:r w:rsidR="001D4B28" w:rsidRPr="008669C3">
        <w:t xml:space="preserve">managerial risk appetite, we examine </w:t>
      </w:r>
      <w:r w:rsidRPr="008669C3">
        <w:t>the effect of CDS introduction on the rel</w:t>
      </w:r>
      <w:r w:rsidR="00555469" w:rsidRPr="008669C3">
        <w:t>ation between leverage and vega.</w:t>
      </w:r>
      <w:r w:rsidR="005F223E" w:rsidRPr="005F223E">
        <w:rPr>
          <w:rStyle w:val="FootnoteReference"/>
        </w:rPr>
        <w:t xml:space="preserve"> </w:t>
      </w:r>
      <w:r w:rsidR="005F223E" w:rsidRPr="008669C3">
        <w:rPr>
          <w:rStyle w:val="FootnoteReference"/>
        </w:rPr>
        <w:footnoteReference w:id="5"/>
      </w:r>
      <w:r w:rsidR="00555469" w:rsidRPr="008669C3">
        <w:t xml:space="preserve"> CDS-protected creditors are likely to be mor</w:t>
      </w:r>
      <w:r w:rsidR="00DF68D4" w:rsidRPr="008669C3">
        <w:t>e intransigent in renegotiation</w:t>
      </w:r>
      <w:r w:rsidR="00555469" w:rsidRPr="008669C3">
        <w:t>, triggering bankruptcy that can impose significant personal costs on managers (Bolton and Oehmke, 2011; Subrahmanyam et al., 2014).</w:t>
      </w:r>
      <w:r w:rsidR="00DA05B7" w:rsidRPr="008669C3">
        <w:t xml:space="preserve"> </w:t>
      </w:r>
      <w:r w:rsidR="00757CCD" w:rsidRPr="008669C3">
        <w:t xml:space="preserve">If, for a given level of risk-taking incentives, </w:t>
      </w:r>
      <w:r w:rsidR="0000069F" w:rsidRPr="008669C3">
        <w:t>managers tend to avoid rene</w:t>
      </w:r>
      <w:r w:rsidR="00DF68D4" w:rsidRPr="008669C3">
        <w:t>gotiation</w:t>
      </w:r>
      <w:r w:rsidR="0000069F" w:rsidRPr="008669C3">
        <w:t xml:space="preserve"> with exacting creditors by making more conservative</w:t>
      </w:r>
      <w:r w:rsidR="00DA05B7" w:rsidRPr="008669C3">
        <w:t xml:space="preserve"> financial decisions after CDS introduction than before, then we would expect CDSs </w:t>
      </w:r>
      <w:r w:rsidR="000274F0" w:rsidRPr="008669C3">
        <w:t xml:space="preserve">to reduce the sensitivity of </w:t>
      </w:r>
      <w:r w:rsidR="0000069F" w:rsidRPr="008669C3">
        <w:t>leverage to vega.</w:t>
      </w:r>
      <w:r w:rsidR="009C639D" w:rsidRPr="008669C3">
        <w:t xml:space="preserve"> The results are mainly twofold. First, c</w:t>
      </w:r>
      <w:r w:rsidR="006C2541" w:rsidRPr="008669C3">
        <w:t xml:space="preserve">onsistent with prior studies (Coles et al., 2006; Chava and Purnanandam, 2010; Gormley et al., 2013), we generally find that a </w:t>
      </w:r>
      <w:r w:rsidR="006C2541" w:rsidRPr="008669C3">
        <w:lastRenderedPageBreak/>
        <w:t xml:space="preserve">higher </w:t>
      </w:r>
      <w:r w:rsidR="00026EA4" w:rsidRPr="008669C3">
        <w:t xml:space="preserve">CEO </w:t>
      </w:r>
      <w:r w:rsidR="006C2541" w:rsidRPr="008669C3">
        <w:t xml:space="preserve">vega </w:t>
      </w:r>
      <w:r w:rsidR="00CF4180" w:rsidRPr="008669C3">
        <w:t xml:space="preserve">is associated with </w:t>
      </w:r>
      <w:r w:rsidR="006C2541" w:rsidRPr="008669C3">
        <w:t xml:space="preserve">higher leverage. </w:t>
      </w:r>
      <w:r w:rsidR="009C639D" w:rsidRPr="008669C3">
        <w:t>Second</w:t>
      </w:r>
      <w:r w:rsidR="006C2541" w:rsidRPr="008669C3">
        <w:t xml:space="preserve">, we show that CDS introduction attenuates the positive relation between vega and </w:t>
      </w:r>
      <w:r w:rsidR="00CE4FE8" w:rsidRPr="008669C3">
        <w:t>leverage, suggesting that CDSs</w:t>
      </w:r>
      <w:r w:rsidR="006C2541" w:rsidRPr="008669C3">
        <w:t xml:space="preserve"> pose a potential threat to managers and thereby restrain their risk taking. Taken together, </w:t>
      </w:r>
      <w:r w:rsidR="007A7151" w:rsidRPr="008669C3">
        <w:t>these</w:t>
      </w:r>
      <w:r w:rsidR="006C2541" w:rsidRPr="008669C3">
        <w:t xml:space="preserve"> findings appear to suggest that, when making leverage decisions, risk-averse managers balance the exacting creditor threat and convex incentive schemes. Their motive</w:t>
      </w:r>
      <w:r w:rsidR="00F129E8" w:rsidRPr="008669C3">
        <w:t>s</w:t>
      </w:r>
      <w:r w:rsidR="00DF68D4" w:rsidRPr="008669C3">
        <w:t xml:space="preserve"> to avoid renegotiation</w:t>
      </w:r>
      <w:r w:rsidR="006C2541" w:rsidRPr="008669C3">
        <w:t xml:space="preserve"> with exac</w:t>
      </w:r>
      <w:r w:rsidR="00F129E8" w:rsidRPr="008669C3">
        <w:t>ting creditors partially offset</w:t>
      </w:r>
      <w:r w:rsidR="006C2541" w:rsidRPr="008669C3">
        <w:t xml:space="preserve"> the increased ris</w:t>
      </w:r>
      <w:r w:rsidR="007A7151" w:rsidRPr="008669C3">
        <w:t xml:space="preserve">k-taking incentives embedded in </w:t>
      </w:r>
      <w:r w:rsidR="006C2541" w:rsidRPr="008669C3">
        <w:t>compensation</w:t>
      </w:r>
      <w:r w:rsidR="007A7151" w:rsidRPr="008669C3">
        <w:t xml:space="preserve"> packages</w:t>
      </w:r>
      <w:r w:rsidR="006C2541" w:rsidRPr="008669C3">
        <w:t>, resulting in a reduced sensitivity of leverage to vega following the onset of CDS trading.</w:t>
      </w:r>
    </w:p>
    <w:p w14:paraId="027F107D" w14:textId="55BF56F6" w:rsidR="006C2541" w:rsidRPr="008669C3" w:rsidRDefault="006C2541" w:rsidP="00687AF8">
      <w:pPr>
        <w:autoSpaceDE w:val="0"/>
        <w:autoSpaceDN w:val="0"/>
        <w:adjustRightInd w:val="0"/>
        <w:spacing w:line="480" w:lineRule="auto"/>
        <w:ind w:firstLine="567"/>
        <w:jc w:val="both"/>
      </w:pPr>
      <w:r w:rsidRPr="008669C3">
        <w:t xml:space="preserve">The primary contribution of our study is in providing evidence that CDS trade initiation on a firm’s debt influences the firm’s managerial compensation policies because it alters contractual parties’ payoffs and incentives. In particular, we find that managers receive more risk-taking incentives in their compensation </w:t>
      </w:r>
      <w:r w:rsidR="007A7151" w:rsidRPr="008669C3">
        <w:t>contracts</w:t>
      </w:r>
      <w:r w:rsidRPr="008669C3">
        <w:t xml:space="preserve"> once their firms are referenced by CDS trading. This finding adds to the strand of compensation literature that investigates the design or determina</w:t>
      </w:r>
      <w:r w:rsidR="007A7151" w:rsidRPr="008669C3">
        <w:t>tion</w:t>
      </w:r>
      <w:r w:rsidRPr="008669C3">
        <w:t xml:space="preserve"> of managerial incentive contracts (Low, 2009; Hayes et al., 2012; Cohen et al., 2013; Gormley et al., 2013).</w:t>
      </w:r>
    </w:p>
    <w:p w14:paraId="5FA829E8" w14:textId="5FA3D0F2" w:rsidR="006C2541" w:rsidRPr="008669C3" w:rsidRDefault="00D458F7" w:rsidP="00687AF8">
      <w:pPr>
        <w:autoSpaceDE w:val="0"/>
        <w:autoSpaceDN w:val="0"/>
        <w:adjustRightInd w:val="0"/>
        <w:spacing w:line="480" w:lineRule="auto"/>
        <w:ind w:firstLine="567"/>
        <w:jc w:val="both"/>
      </w:pPr>
      <w:r>
        <w:t>O</w:t>
      </w:r>
      <w:r w:rsidR="006C2541" w:rsidRPr="008669C3">
        <w:t xml:space="preserve">ur study </w:t>
      </w:r>
      <w:r>
        <w:t xml:space="preserve">also </w:t>
      </w:r>
      <w:r w:rsidR="006C2541" w:rsidRPr="008669C3">
        <w:t>helps illuminate how managers balance the increased risk-taking incentives arising from the decreased creditor monitoring and their reduced risk appetite due to the exacting creditor threat when making leverage decisions. The results suggest that, although the initiation of CDS trading on a firm leads to an increase in the vega of the firm’s CEO, it also lowers the sensitivity of leverage to vega.</w:t>
      </w:r>
    </w:p>
    <w:p w14:paraId="515C8059" w14:textId="44C7255D" w:rsidR="006C2541" w:rsidRPr="008669C3" w:rsidRDefault="006C2541" w:rsidP="00687AF8">
      <w:pPr>
        <w:autoSpaceDE w:val="0"/>
        <w:autoSpaceDN w:val="0"/>
        <w:adjustRightInd w:val="0"/>
        <w:spacing w:line="480" w:lineRule="auto"/>
        <w:ind w:firstLine="567"/>
        <w:jc w:val="both"/>
      </w:pPr>
      <w:r w:rsidRPr="008669C3">
        <w:t xml:space="preserve">The remainder of the paper is organized as follows. Section </w:t>
      </w:r>
      <w:r w:rsidR="00943DAD" w:rsidRPr="008669C3">
        <w:t>2</w:t>
      </w:r>
      <w:r w:rsidRPr="008669C3">
        <w:t xml:space="preserve"> describes our sample, model specification, and summary statistics. Section </w:t>
      </w:r>
      <w:r w:rsidR="00943DAD" w:rsidRPr="008669C3">
        <w:t>3</w:t>
      </w:r>
      <w:r w:rsidRPr="008669C3">
        <w:t xml:space="preserve"> presents our main empirical results regarding the effect of CDS on </w:t>
      </w:r>
      <w:r w:rsidR="00114DBF" w:rsidRPr="008669C3">
        <w:t>CEO vega</w:t>
      </w:r>
      <w:r w:rsidRPr="008669C3">
        <w:t xml:space="preserve">. Section </w:t>
      </w:r>
      <w:r w:rsidR="00943DAD" w:rsidRPr="008669C3">
        <w:t>4</w:t>
      </w:r>
      <w:r w:rsidRPr="008669C3">
        <w:t xml:space="preserve"> examines the impact of CDS on the relation between vega and firm leverage. </w:t>
      </w:r>
      <w:r w:rsidR="002853AB" w:rsidRPr="008669C3">
        <w:t xml:space="preserve">Section 5 discusses alternative explanations of the results. </w:t>
      </w:r>
      <w:r w:rsidRPr="008669C3">
        <w:t xml:space="preserve">Section </w:t>
      </w:r>
      <w:r w:rsidR="002853AB" w:rsidRPr="008669C3">
        <w:t>6</w:t>
      </w:r>
      <w:r w:rsidRPr="008669C3">
        <w:t xml:space="preserve"> concludes the paper.</w:t>
      </w:r>
    </w:p>
    <w:p w14:paraId="51545C53" w14:textId="77777777" w:rsidR="009C0D7E" w:rsidRPr="008669C3" w:rsidRDefault="009C0D7E" w:rsidP="00687AF8">
      <w:pPr>
        <w:keepNext/>
        <w:autoSpaceDE w:val="0"/>
        <w:autoSpaceDN w:val="0"/>
        <w:adjustRightInd w:val="0"/>
        <w:spacing w:line="480" w:lineRule="auto"/>
        <w:jc w:val="both"/>
        <w:rPr>
          <w:b/>
          <w:color w:val="000000" w:themeColor="text1"/>
        </w:rPr>
      </w:pPr>
    </w:p>
    <w:p w14:paraId="4A29A620" w14:textId="08AF4E3F" w:rsidR="006C2541" w:rsidRPr="008669C3" w:rsidRDefault="00FB1690" w:rsidP="00687AF8">
      <w:pPr>
        <w:keepNext/>
        <w:autoSpaceDE w:val="0"/>
        <w:autoSpaceDN w:val="0"/>
        <w:adjustRightInd w:val="0"/>
        <w:spacing w:line="480" w:lineRule="auto"/>
        <w:jc w:val="both"/>
        <w:rPr>
          <w:b/>
          <w:color w:val="000000" w:themeColor="text1"/>
        </w:rPr>
      </w:pPr>
      <w:r w:rsidRPr="008669C3">
        <w:rPr>
          <w:b/>
          <w:color w:val="000000" w:themeColor="text1"/>
        </w:rPr>
        <w:t>2</w:t>
      </w:r>
      <w:r w:rsidR="006C2541" w:rsidRPr="008669C3">
        <w:rPr>
          <w:b/>
          <w:color w:val="000000" w:themeColor="text1"/>
        </w:rPr>
        <w:t>. Data and empirical specification</w:t>
      </w:r>
    </w:p>
    <w:p w14:paraId="3AD6F078" w14:textId="29F4C7C3" w:rsidR="006C2541" w:rsidRPr="008669C3" w:rsidRDefault="00FB1690" w:rsidP="00687AF8">
      <w:pPr>
        <w:keepNext/>
        <w:autoSpaceDE w:val="0"/>
        <w:autoSpaceDN w:val="0"/>
        <w:adjustRightInd w:val="0"/>
        <w:spacing w:line="480" w:lineRule="auto"/>
        <w:jc w:val="both"/>
        <w:rPr>
          <w:i/>
          <w:color w:val="000000" w:themeColor="text1"/>
        </w:rPr>
      </w:pPr>
      <w:r w:rsidRPr="008669C3">
        <w:rPr>
          <w:i/>
          <w:color w:val="000000" w:themeColor="text1"/>
        </w:rPr>
        <w:t>2</w:t>
      </w:r>
      <w:r w:rsidR="006C2541" w:rsidRPr="008669C3">
        <w:rPr>
          <w:i/>
          <w:color w:val="000000" w:themeColor="text1"/>
        </w:rPr>
        <w:t>.1. Data</w:t>
      </w:r>
    </w:p>
    <w:p w14:paraId="5D356E87" w14:textId="003FDE10" w:rsidR="00192070" w:rsidRPr="008669C3" w:rsidRDefault="006C2541" w:rsidP="00D60694">
      <w:pPr>
        <w:autoSpaceDE w:val="0"/>
        <w:autoSpaceDN w:val="0"/>
        <w:adjustRightInd w:val="0"/>
        <w:spacing w:line="480" w:lineRule="auto"/>
        <w:jc w:val="both"/>
        <w:rPr>
          <w:color w:val="000000" w:themeColor="text1"/>
        </w:rPr>
      </w:pPr>
      <w:r w:rsidRPr="008669C3">
        <w:rPr>
          <w:color w:val="000000" w:themeColor="text1"/>
        </w:rPr>
        <w:t>We are interested in the impact of CDS trading on the CEO’s incentive contracts. Our starting point to construct the sample is the universe of nonfinancial firms over the period 2002–201</w:t>
      </w:r>
      <w:r w:rsidR="00EA11AA" w:rsidRPr="008669C3">
        <w:rPr>
          <w:color w:val="000000" w:themeColor="text1"/>
        </w:rPr>
        <w:t>4</w:t>
      </w:r>
      <w:r w:rsidRPr="008669C3">
        <w:rPr>
          <w:color w:val="000000" w:themeColor="text1"/>
        </w:rPr>
        <w:t xml:space="preserve"> in the ExecuComp database</w:t>
      </w:r>
      <w:r w:rsidR="00707F29" w:rsidRPr="008669C3">
        <w:rPr>
          <w:color w:val="000000" w:themeColor="text1"/>
        </w:rPr>
        <w:t xml:space="preserve"> that</w:t>
      </w:r>
      <w:r w:rsidRPr="008669C3">
        <w:rPr>
          <w:color w:val="000000" w:themeColor="text1"/>
        </w:rPr>
        <w:t xml:space="preserve"> provides CEO compensation information.</w:t>
      </w:r>
      <w:r w:rsidRPr="008669C3">
        <w:rPr>
          <w:rStyle w:val="FootnoteReference"/>
          <w:color w:val="000000" w:themeColor="text1"/>
        </w:rPr>
        <w:footnoteReference w:id="6"/>
      </w:r>
      <w:r w:rsidRPr="008669C3">
        <w:rPr>
          <w:color w:val="000000" w:themeColor="text1"/>
        </w:rPr>
        <w:t xml:space="preserve"> </w:t>
      </w:r>
      <w:r w:rsidR="001A291E" w:rsidRPr="00C315CF">
        <w:t xml:space="preserve">Year 2002 is the first year that CDS quote data </w:t>
      </w:r>
      <w:r w:rsidR="00C165EE">
        <w:t>is</w:t>
      </w:r>
      <w:r w:rsidR="001A291E" w:rsidRPr="00C315CF">
        <w:t xml:space="preserve"> available from Bloomberg. 2014 is the last year for which we have information on CEO vega</w:t>
      </w:r>
      <w:r w:rsidR="001A291E">
        <w:rPr>
          <w:color w:val="000000" w:themeColor="text1"/>
        </w:rPr>
        <w:t xml:space="preserve">. </w:t>
      </w:r>
      <w:r w:rsidRPr="008669C3">
        <w:rPr>
          <w:color w:val="000000" w:themeColor="text1"/>
        </w:rPr>
        <w:t>We then expand this information to include CDS quote data from Bloomberg, also used by Saretto and Tookes (2013) and Das et al. (2014). As noted by Saretto and Tookes, Bloomberg quote data capture</w:t>
      </w:r>
      <w:r w:rsidR="00C165EE">
        <w:rPr>
          <w:color w:val="000000" w:themeColor="text1"/>
        </w:rPr>
        <w:t>s</w:t>
      </w:r>
      <w:r w:rsidRPr="008669C3">
        <w:rPr>
          <w:color w:val="000000" w:themeColor="text1"/>
        </w:rPr>
        <w:t xml:space="preserve"> firms with substantial CDS trading activities and allow for the sufficiently broad dissemination of contractual information to develop an impact. Given the over-the-counter nature of CDS contracts, we use the first CDS trading date in our sample as the CDS introduction date and explore changes in CEO vega following CDS trade initiation. </w:t>
      </w:r>
    </w:p>
    <w:p w14:paraId="0C8E9079" w14:textId="5643BF29" w:rsidR="00EE279E" w:rsidRPr="008669C3" w:rsidRDefault="006C2541" w:rsidP="00192070">
      <w:pPr>
        <w:autoSpaceDE w:val="0"/>
        <w:autoSpaceDN w:val="0"/>
        <w:adjustRightInd w:val="0"/>
        <w:spacing w:line="480" w:lineRule="auto"/>
        <w:ind w:firstLine="567"/>
        <w:jc w:val="both"/>
      </w:pPr>
      <w:r w:rsidRPr="008669C3">
        <w:rPr>
          <w:color w:val="000000" w:themeColor="text1"/>
        </w:rPr>
        <w:t>Moreover, we obtain firm-level financial data from Compustat, stock price information from CRSP, corporate governance variables from RiskMetrics</w:t>
      </w:r>
      <w:r w:rsidR="00707F29" w:rsidRPr="008669C3">
        <w:rPr>
          <w:color w:val="000000" w:themeColor="text1"/>
        </w:rPr>
        <w:t xml:space="preserve">, bank debt </w:t>
      </w:r>
      <w:r w:rsidR="00707F29" w:rsidRPr="008669C3">
        <w:t>information from Capital IQ</w:t>
      </w:r>
      <w:r w:rsidR="00707F29" w:rsidRPr="008669C3">
        <w:rPr>
          <w:color w:val="000000" w:themeColor="text1"/>
        </w:rPr>
        <w:t xml:space="preserve">, </w:t>
      </w:r>
      <w:r w:rsidR="00707F29" w:rsidRPr="008669C3">
        <w:t>and institutional investor ownership data from the Thomson Reuters Form 13F database</w:t>
      </w:r>
      <w:r w:rsidRPr="008669C3">
        <w:rPr>
          <w:color w:val="000000" w:themeColor="text1"/>
        </w:rPr>
        <w:t xml:space="preserve">. All accounting variables are winsorized at the first and 99th percentiles to mitigate the potential impact of outliers. </w:t>
      </w:r>
      <w:r w:rsidR="003F1FEF" w:rsidRPr="008669C3">
        <w:rPr>
          <w:color w:val="000000" w:themeColor="text1"/>
        </w:rPr>
        <w:t xml:space="preserve">Observations with missing values for the variables </w:t>
      </w:r>
      <w:r w:rsidR="0066561E" w:rsidRPr="008669C3">
        <w:rPr>
          <w:color w:val="000000" w:themeColor="text1"/>
        </w:rPr>
        <w:t xml:space="preserve">employed in the regressions are excluded. </w:t>
      </w:r>
      <w:r w:rsidRPr="008669C3">
        <w:t>The final sample</w:t>
      </w:r>
      <w:r w:rsidR="0066561E" w:rsidRPr="008669C3">
        <w:t xml:space="preserve"> includes firms in</w:t>
      </w:r>
      <w:r w:rsidRPr="008669C3">
        <w:t xml:space="preserve"> the intersection of these databases, consist</w:t>
      </w:r>
      <w:r w:rsidR="0066561E" w:rsidRPr="008669C3">
        <w:t>ing</w:t>
      </w:r>
      <w:r w:rsidRPr="008669C3">
        <w:t xml:space="preserve"> of </w:t>
      </w:r>
      <w:r w:rsidR="0066561E" w:rsidRPr="008669C3">
        <w:t xml:space="preserve">9,176 </w:t>
      </w:r>
      <w:r w:rsidRPr="008669C3">
        <w:t xml:space="preserve">firm–year observations </w:t>
      </w:r>
      <w:r w:rsidR="0066561E" w:rsidRPr="008669C3">
        <w:t>for 1,387 unique firms.</w:t>
      </w:r>
      <w:r w:rsidR="00EE279E" w:rsidRPr="008669C3">
        <w:t xml:space="preserve"> During </w:t>
      </w:r>
      <w:r w:rsidR="00CF5B53" w:rsidRPr="008669C3">
        <w:t>the</w:t>
      </w:r>
      <w:r w:rsidR="00EE279E" w:rsidRPr="008669C3">
        <w:t xml:space="preserve"> sample period, </w:t>
      </w:r>
      <w:r w:rsidR="00192070" w:rsidRPr="008669C3">
        <w:t xml:space="preserve">we identify </w:t>
      </w:r>
      <w:r w:rsidR="00EE279E" w:rsidRPr="008669C3">
        <w:t xml:space="preserve">132 firms </w:t>
      </w:r>
      <w:r w:rsidR="00192070" w:rsidRPr="008669C3">
        <w:t xml:space="preserve">that </w:t>
      </w:r>
      <w:r w:rsidR="00EE279E" w:rsidRPr="008669C3">
        <w:t>have CDS trading initiated</w:t>
      </w:r>
      <w:r w:rsidR="00192070" w:rsidRPr="008669C3">
        <w:t xml:space="preserve"> </w:t>
      </w:r>
      <w:r w:rsidR="00CF5B53" w:rsidRPr="008669C3">
        <w:t xml:space="preserve">on their debt </w:t>
      </w:r>
      <w:r w:rsidR="00192070" w:rsidRPr="008669C3">
        <w:t xml:space="preserve">and </w:t>
      </w:r>
      <w:r w:rsidR="00192070" w:rsidRPr="008669C3">
        <w:rPr>
          <w:color w:val="000000" w:themeColor="text1"/>
        </w:rPr>
        <w:t>961 firm-years in which CDS contracts are trading.</w:t>
      </w:r>
    </w:p>
    <w:p w14:paraId="5B106BF4" w14:textId="77777777" w:rsidR="00707F29" w:rsidRPr="008669C3" w:rsidRDefault="00707F29" w:rsidP="00687AF8">
      <w:pPr>
        <w:autoSpaceDE w:val="0"/>
        <w:autoSpaceDN w:val="0"/>
        <w:adjustRightInd w:val="0"/>
        <w:spacing w:line="480" w:lineRule="auto"/>
        <w:ind w:firstLine="567"/>
        <w:jc w:val="both"/>
        <w:rPr>
          <w:color w:val="FF0000"/>
        </w:rPr>
      </w:pPr>
    </w:p>
    <w:p w14:paraId="25BD6CD1" w14:textId="6168E598" w:rsidR="006C2541" w:rsidRPr="008669C3" w:rsidRDefault="00176F8C" w:rsidP="00687AF8">
      <w:pPr>
        <w:keepNext/>
        <w:shd w:val="clear" w:color="auto" w:fill="FFFFFF"/>
        <w:spacing w:line="480" w:lineRule="auto"/>
        <w:jc w:val="both"/>
        <w:rPr>
          <w:i/>
        </w:rPr>
      </w:pPr>
      <w:r w:rsidRPr="008669C3">
        <w:rPr>
          <w:i/>
        </w:rPr>
        <w:lastRenderedPageBreak/>
        <w:t>2</w:t>
      </w:r>
      <w:r w:rsidR="006C2541" w:rsidRPr="008669C3">
        <w:rPr>
          <w:i/>
        </w:rPr>
        <w:t>.2. Baseline empirical specification</w:t>
      </w:r>
    </w:p>
    <w:p w14:paraId="6F044D16" w14:textId="77777777" w:rsidR="006C2541" w:rsidRPr="008669C3" w:rsidRDefault="006C2541" w:rsidP="005D0ACB">
      <w:pPr>
        <w:autoSpaceDE w:val="0"/>
        <w:autoSpaceDN w:val="0"/>
        <w:adjustRightInd w:val="0"/>
        <w:spacing w:line="480" w:lineRule="auto"/>
        <w:jc w:val="both"/>
      </w:pPr>
      <w:r w:rsidRPr="008669C3">
        <w:t>We use panel regressions to examine the effect of CDS trading. The fully specified baseline empirical model is the following:</w:t>
      </w:r>
    </w:p>
    <w:p w14:paraId="130E49EB" w14:textId="3CA52FBA" w:rsidR="006C2541" w:rsidRPr="008669C3" w:rsidRDefault="00997022" w:rsidP="00687AF8">
      <w:pPr>
        <w:shd w:val="clear" w:color="auto" w:fill="FFFFFF"/>
        <w:spacing w:before="360" w:after="360" w:line="480" w:lineRule="auto"/>
        <w:jc w:val="center"/>
      </w:pPr>
      <m:oMath>
        <m:sSub>
          <m:sSubPr>
            <m:ctrlPr>
              <w:rPr>
                <w:rFonts w:ascii="Cambria Math" w:hAnsi="Cambria Math"/>
                <w:i/>
                <w:sz w:val="23"/>
                <w:szCs w:val="23"/>
              </w:rPr>
            </m:ctrlPr>
          </m:sSubPr>
          <m:e>
            <m:r>
              <w:rPr>
                <w:rFonts w:ascii="Cambria Math" w:hAnsi="Cambria Math"/>
                <w:sz w:val="23"/>
                <w:szCs w:val="23"/>
              </w:rPr>
              <m:t>Ln</m:t>
            </m:r>
            <m:d>
              <m:dPr>
                <m:ctrlPr>
                  <w:rPr>
                    <w:rFonts w:ascii="Cambria Math" w:hAnsi="Cambria Math"/>
                    <w:i/>
                    <w:sz w:val="23"/>
                    <w:szCs w:val="23"/>
                  </w:rPr>
                </m:ctrlPr>
              </m:dPr>
              <m:e>
                <m:r>
                  <w:rPr>
                    <w:rFonts w:ascii="Cambria Math" w:hAnsi="Cambria Math"/>
                    <w:sz w:val="23"/>
                    <w:szCs w:val="23"/>
                  </w:rPr>
                  <m:t>1+Vega</m:t>
                </m:r>
              </m:e>
            </m:d>
          </m:e>
          <m:sub>
            <m:r>
              <w:rPr>
                <w:rFonts w:ascii="Cambria Math" w:hAnsi="Cambria Math"/>
                <w:sz w:val="23"/>
                <w:szCs w:val="23"/>
              </w:rPr>
              <m:t>i,t</m:t>
            </m:r>
          </m:sub>
        </m:sSub>
        <m:r>
          <w:rPr>
            <w:rFonts w:ascii="Cambria Math" w:hAnsi="Cambria Math"/>
            <w:sz w:val="23"/>
            <w:szCs w:val="23"/>
          </w:rPr>
          <m:t>=</m:t>
        </m:r>
        <m:r>
          <w:rPr>
            <w:rFonts w:ascii="Cambria Math" w:hAnsi="Cambria Math"/>
            <w:i/>
          </w:rPr>
          <w:sym w:font="Symbol" w:char="F061"/>
        </m:r>
        <m:r>
          <w:rPr>
            <w:rFonts w:ascii="Cambria Math" w:hAnsi="Cambria Math"/>
          </w:rPr>
          <m:t xml:space="preserve"> + </m:t>
        </m:r>
        <m:sSub>
          <m:sSubPr>
            <m:ctrlPr>
              <w:rPr>
                <w:rFonts w:ascii="Cambria Math" w:hAnsi="Cambria Math"/>
                <w:i/>
                <w:sz w:val="23"/>
                <w:szCs w:val="23"/>
              </w:rPr>
            </m:ctrlPr>
          </m:sSubPr>
          <m:e>
            <m:r>
              <w:rPr>
                <w:rFonts w:ascii="Cambria Math" w:hAnsi="Cambria Math"/>
                <w:sz w:val="23"/>
                <w:szCs w:val="23"/>
              </w:rPr>
              <m:t>β∙CDS trading</m:t>
            </m:r>
          </m:e>
          <m:sub>
            <m:r>
              <w:rPr>
                <w:rFonts w:ascii="Cambria Math" w:hAnsi="Cambria Math"/>
                <w:sz w:val="23"/>
                <w:szCs w:val="23"/>
              </w:rPr>
              <m:t>i,t-1</m:t>
            </m:r>
          </m:sub>
        </m:sSub>
        <m:r>
          <w:rPr>
            <w:rFonts w:ascii="Cambria Math" w:hAnsi="Cambria Math"/>
            <w:sz w:val="23"/>
            <w:szCs w:val="23"/>
          </w:rPr>
          <m:t>+γ</m:t>
        </m:r>
        <m:sSub>
          <m:sSubPr>
            <m:ctrlPr>
              <w:rPr>
                <w:rFonts w:ascii="Cambria Math" w:hAnsi="Cambria Math"/>
                <w:i/>
                <w:sz w:val="23"/>
                <w:szCs w:val="23"/>
              </w:rPr>
            </m:ctrlPr>
          </m:sSubPr>
          <m:e>
            <m:r>
              <w:rPr>
                <w:rFonts w:ascii="Cambria Math" w:hAnsi="Cambria Math"/>
                <w:sz w:val="23"/>
                <w:szCs w:val="23"/>
              </w:rPr>
              <m:t>∙Control</m:t>
            </m:r>
          </m:e>
          <m:sub>
            <m:r>
              <w:rPr>
                <w:rFonts w:ascii="Cambria Math" w:hAnsi="Cambria Math"/>
                <w:sz w:val="23"/>
                <w:szCs w:val="23"/>
              </w:rPr>
              <m:t>i,t-1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D</m:t>
            </m:r>
          </m:e>
          <m:sub>
            <m:r>
              <w:rPr>
                <w:rFonts w:ascii="Cambria Math" w:hAnsi="Cambria Math"/>
                <w:sz w:val="23"/>
                <w:szCs w:val="23"/>
              </w:rPr>
              <m:t>i</m:t>
            </m:r>
          </m:sub>
        </m:sSub>
        <m:r>
          <w:rPr>
            <w:rFonts w:ascii="Cambria Math" w:hAnsi="Cambria Math"/>
            <w:sz w:val="23"/>
            <w:szCs w:val="23"/>
          </w:rPr>
          <m:t>+Industry∙year+</m:t>
        </m:r>
        <m:sSub>
          <m:sSubPr>
            <m:ctrlPr>
              <w:rPr>
                <w:rFonts w:ascii="Cambria Math" w:hAnsi="Cambria Math"/>
                <w:i/>
                <w:sz w:val="23"/>
                <w:szCs w:val="23"/>
              </w:rPr>
            </m:ctrlPr>
          </m:sSubPr>
          <m:e>
            <m:r>
              <w:rPr>
                <w:rFonts w:ascii="Cambria Math" w:hAnsi="Cambria Math"/>
                <w:sz w:val="23"/>
                <w:szCs w:val="23"/>
              </w:rPr>
              <m:t>ε</m:t>
            </m:r>
          </m:e>
          <m:sub>
            <m:r>
              <w:rPr>
                <w:rFonts w:ascii="Cambria Math" w:hAnsi="Cambria Math"/>
                <w:sz w:val="23"/>
                <w:szCs w:val="23"/>
              </w:rPr>
              <m:t>i,t</m:t>
            </m:r>
          </m:sub>
        </m:sSub>
      </m:oMath>
      <w:r w:rsidR="003B10F0" w:rsidRPr="008669C3">
        <w:t xml:space="preserve">  (</w:t>
      </w:r>
      <w:r w:rsidR="006C2541" w:rsidRPr="008669C3">
        <w:t>1)</w:t>
      </w:r>
    </w:p>
    <w:p w14:paraId="1C95DD68" w14:textId="3611D6E5" w:rsidR="00D40C7C" w:rsidRPr="008669C3" w:rsidRDefault="006C2541" w:rsidP="00687AF8">
      <w:pPr>
        <w:autoSpaceDE w:val="0"/>
        <w:autoSpaceDN w:val="0"/>
        <w:adjustRightInd w:val="0"/>
        <w:spacing w:line="480" w:lineRule="auto"/>
        <w:jc w:val="both"/>
      </w:pPr>
      <w:r w:rsidRPr="008669C3">
        <w:t xml:space="preserve">The dependent variable is the sensitivity of CEO wealth to stock return volatility, or </w:t>
      </w:r>
      <w:r w:rsidR="00A31244" w:rsidRPr="008669C3">
        <w:rPr>
          <w:i/>
        </w:rPr>
        <w:t>V</w:t>
      </w:r>
      <w:r w:rsidRPr="008669C3">
        <w:rPr>
          <w:i/>
        </w:rPr>
        <w:t>ega</w:t>
      </w:r>
      <w:r w:rsidRPr="008669C3">
        <w:t>, a common measure of managerial risk-taking incentives</w:t>
      </w:r>
      <w:r w:rsidR="004820F0" w:rsidRPr="008669C3">
        <w:t>.</w:t>
      </w:r>
      <w:r w:rsidR="00A31244" w:rsidRPr="008669C3">
        <w:t xml:space="preserve"> </w:t>
      </w:r>
      <w:r w:rsidRPr="008669C3">
        <w:t xml:space="preserve">Specifically, it is defined as the change in the value of the CEO’s wealth due to a 0.01 increase in the annualized standard deviation of the firm’s stock return (Coles et al., 2006). </w:t>
      </w:r>
    </w:p>
    <w:p w14:paraId="6255DFA8" w14:textId="087F4845" w:rsidR="00EC7BF8" w:rsidRPr="008669C3" w:rsidRDefault="00AF7C1E" w:rsidP="00635F61">
      <w:pPr>
        <w:autoSpaceDE w:val="0"/>
        <w:autoSpaceDN w:val="0"/>
        <w:adjustRightInd w:val="0"/>
        <w:spacing w:line="480" w:lineRule="auto"/>
        <w:ind w:firstLine="567"/>
        <w:jc w:val="both"/>
        <w:rPr>
          <w:shd w:val="clear" w:color="auto" w:fill="FFFFFF"/>
          <w:lang w:eastAsia="zh-TW"/>
        </w:rPr>
      </w:pPr>
      <w:r w:rsidRPr="008669C3">
        <w:t>Another plausible measure of risk</w:t>
      </w:r>
      <w:r w:rsidR="00D77B64" w:rsidRPr="008669C3">
        <w:t>-</w:t>
      </w:r>
      <w:r w:rsidRPr="008669C3">
        <w:t xml:space="preserve">taking incentives is </w:t>
      </w:r>
      <w:r w:rsidR="00F97C99" w:rsidRPr="008669C3">
        <w:t xml:space="preserve">CEO option grants, </w:t>
      </w:r>
      <w:r w:rsidR="0073732E" w:rsidRPr="008669C3">
        <w:t>computed</w:t>
      </w:r>
      <w:r w:rsidR="00F97C99" w:rsidRPr="008669C3">
        <w:t xml:space="preserve"> as the natural logarithm of one plus option compensation. However, </w:t>
      </w:r>
      <w:r w:rsidR="00381019" w:rsidRPr="008669C3">
        <w:t>options</w:t>
      </w:r>
      <w:r w:rsidR="00EF24FB" w:rsidRPr="008669C3">
        <w:rPr>
          <w:szCs w:val="16"/>
        </w:rPr>
        <w:t xml:space="preserve"> have ambiguous implications for risk. On the one hand, </w:t>
      </w:r>
      <w:r w:rsidR="00EF24FB" w:rsidRPr="008669C3">
        <w:rPr>
          <w:shd w:val="clear" w:color="auto" w:fill="FFFFFF"/>
          <w:lang w:eastAsia="zh-TW"/>
        </w:rPr>
        <w:t xml:space="preserve">options </w:t>
      </w:r>
      <w:r w:rsidR="00E82E81" w:rsidRPr="008669C3">
        <w:rPr>
          <w:shd w:val="clear" w:color="auto" w:fill="FFFFFF"/>
          <w:lang w:eastAsia="zh-TW"/>
        </w:rPr>
        <w:t xml:space="preserve">increase in value with firm risk. Their convex payoff structure creates an incentive to take risk </w:t>
      </w:r>
      <w:r w:rsidR="00EF24FB" w:rsidRPr="008669C3">
        <w:rPr>
          <w:shd w:val="clear" w:color="auto" w:fill="FFFFFF"/>
          <w:lang w:eastAsia="zh-TW"/>
        </w:rPr>
        <w:t>because managers share in the gains but not all of the losses</w:t>
      </w:r>
      <w:r w:rsidR="00631672" w:rsidRPr="008669C3">
        <w:rPr>
          <w:shd w:val="clear" w:color="auto" w:fill="FFFFFF"/>
          <w:lang w:eastAsia="zh-TW"/>
        </w:rPr>
        <w:t xml:space="preserve">. </w:t>
      </w:r>
      <w:r w:rsidR="00E82E81" w:rsidRPr="008669C3">
        <w:rPr>
          <w:shd w:val="clear" w:color="auto" w:fill="FFFFFF"/>
          <w:lang w:eastAsia="zh-TW"/>
        </w:rPr>
        <w:t xml:space="preserve">On the other hand, </w:t>
      </w:r>
      <w:r w:rsidR="001D2552" w:rsidRPr="008669C3">
        <w:rPr>
          <w:shd w:val="clear" w:color="auto" w:fill="FFFFFF"/>
          <w:lang w:eastAsia="zh-TW"/>
        </w:rPr>
        <w:t xml:space="preserve">options increase the sensitivity of a </w:t>
      </w:r>
      <w:r w:rsidR="00F74830" w:rsidRPr="008669C3">
        <w:rPr>
          <w:shd w:val="clear" w:color="auto" w:fill="FFFFFF"/>
          <w:lang w:eastAsia="zh-TW"/>
        </w:rPr>
        <w:t>risk-averse CEO</w:t>
      </w:r>
      <w:r w:rsidR="001D2552" w:rsidRPr="008669C3">
        <w:rPr>
          <w:shd w:val="clear" w:color="auto" w:fill="FFFFFF"/>
          <w:lang w:eastAsia="zh-TW"/>
        </w:rPr>
        <w:t xml:space="preserve">’s wealth to </w:t>
      </w:r>
      <w:r w:rsidR="00D77B64" w:rsidRPr="008669C3">
        <w:rPr>
          <w:shd w:val="clear" w:color="auto" w:fill="FFFFFF"/>
          <w:lang w:eastAsia="zh-TW"/>
        </w:rPr>
        <w:t xml:space="preserve">the underlying </w:t>
      </w:r>
      <w:r w:rsidR="001D2552" w:rsidRPr="008669C3">
        <w:rPr>
          <w:shd w:val="clear" w:color="auto" w:fill="FFFFFF"/>
          <w:lang w:eastAsia="zh-TW"/>
        </w:rPr>
        <w:t>stock price, weaken</w:t>
      </w:r>
      <w:r w:rsidR="00F74830" w:rsidRPr="008669C3">
        <w:rPr>
          <w:shd w:val="clear" w:color="auto" w:fill="FFFFFF"/>
          <w:lang w:eastAsia="zh-TW"/>
        </w:rPr>
        <w:t>ing</w:t>
      </w:r>
      <w:r w:rsidR="001D2552" w:rsidRPr="008669C3">
        <w:rPr>
          <w:shd w:val="clear" w:color="auto" w:fill="FFFFFF"/>
          <w:lang w:eastAsia="zh-TW"/>
        </w:rPr>
        <w:t xml:space="preserve"> </w:t>
      </w:r>
      <w:r w:rsidR="00F74830" w:rsidRPr="008669C3">
        <w:rPr>
          <w:shd w:val="clear" w:color="auto" w:fill="FFFFFF"/>
          <w:lang w:eastAsia="zh-TW"/>
        </w:rPr>
        <w:t>the</w:t>
      </w:r>
      <w:r w:rsidR="001D2552" w:rsidRPr="008669C3">
        <w:rPr>
          <w:shd w:val="clear" w:color="auto" w:fill="FFFFFF"/>
          <w:lang w:eastAsia="zh-TW"/>
        </w:rPr>
        <w:t xml:space="preserve"> </w:t>
      </w:r>
      <w:r w:rsidR="00F74830" w:rsidRPr="008669C3">
        <w:rPr>
          <w:shd w:val="clear" w:color="auto" w:fill="FFFFFF"/>
          <w:lang w:eastAsia="zh-TW"/>
        </w:rPr>
        <w:t>CEO</w:t>
      </w:r>
      <w:r w:rsidR="001D2552" w:rsidRPr="008669C3">
        <w:rPr>
          <w:shd w:val="clear" w:color="auto" w:fill="FFFFFF"/>
          <w:lang w:eastAsia="zh-TW"/>
        </w:rPr>
        <w:t>’s risk-taking incentives</w:t>
      </w:r>
      <w:r w:rsidR="00F74830" w:rsidRPr="008669C3">
        <w:rPr>
          <w:shd w:val="clear" w:color="auto" w:fill="FFFFFF"/>
          <w:lang w:eastAsia="zh-TW"/>
        </w:rPr>
        <w:t xml:space="preserve"> </w:t>
      </w:r>
      <w:r w:rsidR="00F74830" w:rsidRPr="008669C3">
        <w:rPr>
          <w:color w:val="000000"/>
          <w:shd w:val="clear" w:color="auto" w:fill="FFFFFF"/>
          <w:lang w:eastAsia="zh-TW"/>
        </w:rPr>
        <w:t>(Carpenter, 2000; Ross, 2004)</w:t>
      </w:r>
      <w:r w:rsidR="001D2552" w:rsidRPr="008669C3">
        <w:rPr>
          <w:shd w:val="clear" w:color="auto" w:fill="FFFFFF"/>
          <w:lang w:eastAsia="zh-TW"/>
        </w:rPr>
        <w:t>.</w:t>
      </w:r>
      <w:r w:rsidR="00F74830" w:rsidRPr="008669C3">
        <w:rPr>
          <w:shd w:val="clear" w:color="auto" w:fill="FFFFFF"/>
          <w:lang w:eastAsia="zh-TW"/>
        </w:rPr>
        <w:t xml:space="preserve"> In addition, option compensation increases wealth, which may alter risk tolerance. </w:t>
      </w:r>
      <w:r w:rsidR="00296F2F" w:rsidRPr="008669C3">
        <w:rPr>
          <w:shd w:val="clear" w:color="auto" w:fill="FFFFFF"/>
          <w:lang w:eastAsia="zh-TW"/>
        </w:rPr>
        <w:t>Together, t</w:t>
      </w:r>
      <w:r w:rsidR="00F97C99" w:rsidRPr="008669C3">
        <w:rPr>
          <w:shd w:val="clear" w:color="auto" w:fill="FFFFFF"/>
          <w:lang w:eastAsia="zh-TW"/>
        </w:rPr>
        <w:t>he overall net effect</w:t>
      </w:r>
      <w:r w:rsidR="009B6B00" w:rsidRPr="008669C3">
        <w:rPr>
          <w:shd w:val="clear" w:color="auto" w:fill="FFFFFF"/>
          <w:lang w:eastAsia="zh-TW"/>
        </w:rPr>
        <w:t xml:space="preserve"> of option compensation on risk </w:t>
      </w:r>
      <w:r w:rsidR="00F97C99" w:rsidRPr="008669C3">
        <w:rPr>
          <w:shd w:val="clear" w:color="auto" w:fill="FFFFFF"/>
          <w:lang w:eastAsia="zh-TW"/>
        </w:rPr>
        <w:t xml:space="preserve">taking is </w:t>
      </w:r>
      <w:r w:rsidR="00D77B64" w:rsidRPr="008669C3">
        <w:rPr>
          <w:shd w:val="clear" w:color="auto" w:fill="FFFFFF"/>
          <w:lang w:eastAsia="zh-TW"/>
        </w:rPr>
        <w:t xml:space="preserve">not clear a priori </w:t>
      </w:r>
      <w:r w:rsidR="00F97C99" w:rsidRPr="008669C3">
        <w:rPr>
          <w:shd w:val="clear" w:color="auto" w:fill="FFFFFF"/>
          <w:lang w:eastAsia="zh-TW"/>
        </w:rPr>
        <w:t xml:space="preserve">and depends upon </w:t>
      </w:r>
      <w:r w:rsidR="00F342E7" w:rsidRPr="008669C3">
        <w:rPr>
          <w:shd w:val="clear" w:color="auto" w:fill="FFFFFF"/>
          <w:lang w:eastAsia="zh-TW"/>
        </w:rPr>
        <w:t xml:space="preserve">the level of CEO wealth, the degree of diversification in </w:t>
      </w:r>
      <w:r w:rsidR="00381019" w:rsidRPr="008669C3">
        <w:rPr>
          <w:shd w:val="clear" w:color="auto" w:fill="FFFFFF"/>
          <w:lang w:eastAsia="zh-TW"/>
        </w:rPr>
        <w:t>a</w:t>
      </w:r>
      <w:r w:rsidR="00F342E7" w:rsidRPr="008669C3">
        <w:rPr>
          <w:shd w:val="clear" w:color="auto" w:fill="FFFFFF"/>
          <w:lang w:eastAsia="zh-TW"/>
        </w:rPr>
        <w:t xml:space="preserve"> CEO's</w:t>
      </w:r>
      <w:r w:rsidR="00381019" w:rsidRPr="008669C3">
        <w:rPr>
          <w:shd w:val="clear" w:color="auto" w:fill="FFFFFF"/>
          <w:lang w:eastAsia="zh-TW"/>
        </w:rPr>
        <w:t xml:space="preserve"> personal</w:t>
      </w:r>
      <w:r w:rsidR="00F342E7" w:rsidRPr="008669C3">
        <w:rPr>
          <w:shd w:val="clear" w:color="auto" w:fill="FFFFFF"/>
          <w:lang w:eastAsia="zh-TW"/>
        </w:rPr>
        <w:t xml:space="preserve"> portfolio, and </w:t>
      </w:r>
      <w:r w:rsidR="00381019" w:rsidRPr="008669C3">
        <w:rPr>
          <w:shd w:val="clear" w:color="auto" w:fill="FFFFFF"/>
          <w:lang w:eastAsia="zh-TW"/>
        </w:rPr>
        <w:t>the risk-aversion parameter</w:t>
      </w:r>
      <w:r w:rsidR="00F342E7" w:rsidRPr="008669C3">
        <w:rPr>
          <w:shd w:val="clear" w:color="auto" w:fill="FFFFFF"/>
          <w:lang w:eastAsia="zh-TW"/>
        </w:rPr>
        <w:t>, among others (</w:t>
      </w:r>
      <w:r w:rsidR="004C435B" w:rsidRPr="008669C3">
        <w:rPr>
          <w:shd w:val="clear" w:color="auto" w:fill="FFFFFF"/>
          <w:lang w:eastAsia="zh-TW"/>
        </w:rPr>
        <w:t>Guay, 1999)</w:t>
      </w:r>
      <w:r w:rsidR="00F342E7" w:rsidRPr="008669C3">
        <w:rPr>
          <w:shd w:val="clear" w:color="auto" w:fill="FFFFFF"/>
          <w:lang w:eastAsia="zh-TW"/>
        </w:rPr>
        <w:t>.</w:t>
      </w:r>
      <w:r w:rsidR="004C435B" w:rsidRPr="008669C3">
        <w:rPr>
          <w:shd w:val="clear" w:color="auto" w:fill="FFFFFF"/>
          <w:lang w:eastAsia="zh-TW"/>
        </w:rPr>
        <w:t xml:space="preserve"> </w:t>
      </w:r>
    </w:p>
    <w:p w14:paraId="737FE490" w14:textId="29A968D8" w:rsidR="009E75FE" w:rsidRPr="008669C3" w:rsidRDefault="004C435B" w:rsidP="00635F61">
      <w:pPr>
        <w:autoSpaceDE w:val="0"/>
        <w:autoSpaceDN w:val="0"/>
        <w:adjustRightInd w:val="0"/>
        <w:spacing w:line="480" w:lineRule="auto"/>
        <w:ind w:firstLine="567"/>
        <w:jc w:val="both"/>
        <w:rPr>
          <w:szCs w:val="20"/>
        </w:rPr>
      </w:pPr>
      <w:r w:rsidRPr="008669C3">
        <w:rPr>
          <w:shd w:val="clear" w:color="auto" w:fill="FFFFFF"/>
          <w:lang w:eastAsia="zh-TW"/>
        </w:rPr>
        <w:t>By contr</w:t>
      </w:r>
      <w:r w:rsidR="00635F61" w:rsidRPr="008669C3">
        <w:rPr>
          <w:shd w:val="clear" w:color="auto" w:fill="FFFFFF"/>
          <w:lang w:eastAsia="zh-TW"/>
        </w:rPr>
        <w:t xml:space="preserve">ast, the effect of vega on risk </w:t>
      </w:r>
      <w:r w:rsidRPr="008669C3">
        <w:rPr>
          <w:shd w:val="clear" w:color="auto" w:fill="FFFFFF"/>
          <w:lang w:eastAsia="zh-TW"/>
        </w:rPr>
        <w:t xml:space="preserve">taking is theoretically unambiguous because vega is a measure of convexity. </w:t>
      </w:r>
      <w:r w:rsidR="00025BCE" w:rsidRPr="008669C3">
        <w:rPr>
          <w:shd w:val="clear" w:color="auto" w:fill="FFFFFF"/>
          <w:lang w:eastAsia="zh-TW"/>
        </w:rPr>
        <w:t xml:space="preserve">Increases in vega should increase the convexity of the CEO’s wealth-performance relation, leading to more risk taking. </w:t>
      </w:r>
      <w:r w:rsidR="00155F13" w:rsidRPr="008669C3">
        <w:rPr>
          <w:shd w:val="clear" w:color="auto" w:fill="FFFFFF"/>
          <w:lang w:eastAsia="zh-TW"/>
        </w:rPr>
        <w:t xml:space="preserve">Empirically, </w:t>
      </w:r>
      <w:r w:rsidR="00155F13" w:rsidRPr="008669C3">
        <w:rPr>
          <w:szCs w:val="20"/>
        </w:rPr>
        <w:t xml:space="preserve">Coles et al. (2006), </w:t>
      </w:r>
      <w:r w:rsidR="00D77B64" w:rsidRPr="008669C3">
        <w:rPr>
          <w:szCs w:val="16"/>
        </w:rPr>
        <w:t>Chava</w:t>
      </w:r>
      <w:r w:rsidR="00D77B64" w:rsidRPr="008669C3">
        <w:rPr>
          <w:szCs w:val="20"/>
        </w:rPr>
        <w:t xml:space="preserve"> </w:t>
      </w:r>
      <w:r w:rsidR="00155F13" w:rsidRPr="008669C3">
        <w:rPr>
          <w:szCs w:val="20"/>
        </w:rPr>
        <w:t xml:space="preserve">and </w:t>
      </w:r>
      <w:r w:rsidR="00D77B64" w:rsidRPr="008669C3">
        <w:rPr>
          <w:szCs w:val="16"/>
        </w:rPr>
        <w:t>Purnanandam</w:t>
      </w:r>
      <w:r w:rsidR="00D77B64" w:rsidRPr="008669C3">
        <w:rPr>
          <w:szCs w:val="20"/>
        </w:rPr>
        <w:t xml:space="preserve"> </w:t>
      </w:r>
      <w:r w:rsidR="00155F13" w:rsidRPr="008669C3">
        <w:rPr>
          <w:szCs w:val="20"/>
        </w:rPr>
        <w:t>(201</w:t>
      </w:r>
      <w:r w:rsidR="00D77B64" w:rsidRPr="008669C3">
        <w:rPr>
          <w:szCs w:val="20"/>
        </w:rPr>
        <w:t>0</w:t>
      </w:r>
      <w:r w:rsidR="00155F13" w:rsidRPr="008669C3">
        <w:rPr>
          <w:szCs w:val="20"/>
        </w:rPr>
        <w:t>), Armstrong and Vashishtha (2012), and Hayes</w:t>
      </w:r>
      <w:r w:rsidR="00D77B64" w:rsidRPr="008669C3">
        <w:rPr>
          <w:szCs w:val="20"/>
        </w:rPr>
        <w:t xml:space="preserve"> et al.</w:t>
      </w:r>
      <w:r w:rsidR="00155F13" w:rsidRPr="008669C3">
        <w:rPr>
          <w:szCs w:val="20"/>
        </w:rPr>
        <w:t xml:space="preserve"> (2012) all examine the as</w:t>
      </w:r>
      <w:r w:rsidR="00025BCE" w:rsidRPr="008669C3">
        <w:rPr>
          <w:szCs w:val="20"/>
        </w:rPr>
        <w:t xml:space="preserve">sociation between vega and risk </w:t>
      </w:r>
      <w:r w:rsidR="00155F13" w:rsidRPr="008669C3">
        <w:rPr>
          <w:szCs w:val="20"/>
        </w:rPr>
        <w:t>taking, and find a positive relation.</w:t>
      </w:r>
      <w:r w:rsidR="00761271" w:rsidRPr="008669C3">
        <w:rPr>
          <w:szCs w:val="20"/>
        </w:rPr>
        <w:t xml:space="preserve"> </w:t>
      </w:r>
    </w:p>
    <w:p w14:paraId="7E1ECB1C" w14:textId="6D8E66C6" w:rsidR="00635F61" w:rsidRPr="008669C3" w:rsidRDefault="00676A87" w:rsidP="00635F61">
      <w:pPr>
        <w:autoSpaceDE w:val="0"/>
        <w:autoSpaceDN w:val="0"/>
        <w:adjustRightInd w:val="0"/>
        <w:spacing w:line="480" w:lineRule="auto"/>
        <w:ind w:firstLine="567"/>
        <w:jc w:val="both"/>
        <w:rPr>
          <w:color w:val="FF0000"/>
        </w:rPr>
      </w:pPr>
      <w:r w:rsidRPr="008669C3">
        <w:rPr>
          <w:szCs w:val="20"/>
        </w:rPr>
        <w:lastRenderedPageBreak/>
        <w:t>T</w:t>
      </w:r>
      <w:r w:rsidR="00761271" w:rsidRPr="008669C3">
        <w:rPr>
          <w:szCs w:val="20"/>
        </w:rPr>
        <w:t xml:space="preserve">he focus of </w:t>
      </w:r>
      <w:r w:rsidR="00296F2F" w:rsidRPr="008669C3">
        <w:rPr>
          <w:szCs w:val="20"/>
        </w:rPr>
        <w:t>this</w:t>
      </w:r>
      <w:r w:rsidR="00761271" w:rsidRPr="008669C3">
        <w:rPr>
          <w:szCs w:val="20"/>
        </w:rPr>
        <w:t xml:space="preserve"> paper is on the convexity of a CEO’s personal portfolio and its </w:t>
      </w:r>
      <w:r w:rsidR="00025BCE" w:rsidRPr="008669C3">
        <w:rPr>
          <w:shd w:val="clear" w:color="auto" w:fill="FFFFFF"/>
          <w:lang w:eastAsia="zh-TW"/>
        </w:rPr>
        <w:t xml:space="preserve">unambiguous effect on risk </w:t>
      </w:r>
      <w:r w:rsidR="00761271" w:rsidRPr="008669C3">
        <w:rPr>
          <w:shd w:val="clear" w:color="auto" w:fill="FFFFFF"/>
          <w:lang w:eastAsia="zh-TW"/>
        </w:rPr>
        <w:t xml:space="preserve">taking around CDS introduction, </w:t>
      </w:r>
      <w:r w:rsidR="0070286F" w:rsidRPr="008669C3">
        <w:rPr>
          <w:shd w:val="clear" w:color="auto" w:fill="FFFFFF"/>
          <w:lang w:eastAsia="zh-TW"/>
        </w:rPr>
        <w:t>which is different from</w:t>
      </w:r>
      <w:r w:rsidR="00635F61" w:rsidRPr="008669C3">
        <w:rPr>
          <w:shd w:val="clear" w:color="auto" w:fill="FFFFFF"/>
          <w:lang w:eastAsia="zh-TW"/>
        </w:rPr>
        <w:t xml:space="preserve"> </w:t>
      </w:r>
      <w:r w:rsidR="00761271" w:rsidRPr="008669C3">
        <w:rPr>
          <w:shd w:val="clear" w:color="auto" w:fill="FFFFFF"/>
          <w:lang w:eastAsia="zh-TW"/>
        </w:rPr>
        <w:t xml:space="preserve">the theoretically ambiguous net effect of option </w:t>
      </w:r>
      <w:r w:rsidR="00761271" w:rsidRPr="008669C3">
        <w:rPr>
          <w:szCs w:val="20"/>
        </w:rPr>
        <w:t>compensation</w:t>
      </w:r>
      <w:r w:rsidR="0070286F" w:rsidRPr="008669C3">
        <w:rPr>
          <w:szCs w:val="20"/>
        </w:rPr>
        <w:t>.</w:t>
      </w:r>
      <w:r w:rsidR="00761271" w:rsidRPr="008669C3">
        <w:rPr>
          <w:szCs w:val="20"/>
        </w:rPr>
        <w:t xml:space="preserve"> Therefore, </w:t>
      </w:r>
      <w:r w:rsidR="00026EA4" w:rsidRPr="008669C3">
        <w:rPr>
          <w:szCs w:val="20"/>
        </w:rPr>
        <w:t>our</w:t>
      </w:r>
      <w:r w:rsidR="00A66841" w:rsidRPr="008669C3">
        <w:rPr>
          <w:szCs w:val="20"/>
        </w:rPr>
        <w:t xml:space="preserve"> main measure of </w:t>
      </w:r>
      <w:r w:rsidR="00EC7BF8" w:rsidRPr="008669C3">
        <w:rPr>
          <w:szCs w:val="20"/>
        </w:rPr>
        <w:t xml:space="preserve">risk-taking incentives is vega. </w:t>
      </w:r>
      <w:r w:rsidR="00026EA4" w:rsidRPr="008669C3">
        <w:rPr>
          <w:szCs w:val="20"/>
        </w:rPr>
        <w:t>W</w:t>
      </w:r>
      <w:r w:rsidR="008F20FD" w:rsidRPr="008669C3">
        <w:rPr>
          <w:szCs w:val="20"/>
        </w:rPr>
        <w:t xml:space="preserve">e </w:t>
      </w:r>
      <w:r w:rsidR="0070286F" w:rsidRPr="008669C3">
        <w:rPr>
          <w:szCs w:val="20"/>
        </w:rPr>
        <w:t xml:space="preserve">also </w:t>
      </w:r>
      <w:r w:rsidR="008F20FD" w:rsidRPr="008669C3">
        <w:rPr>
          <w:szCs w:val="20"/>
        </w:rPr>
        <w:t xml:space="preserve">use CEO option compensation as an alternative measure. </w:t>
      </w:r>
      <w:r w:rsidR="0073732E" w:rsidRPr="008669C3">
        <w:rPr>
          <w:szCs w:val="20"/>
        </w:rPr>
        <w:t>Our</w:t>
      </w:r>
      <w:r w:rsidRPr="008669C3">
        <w:rPr>
          <w:szCs w:val="20"/>
        </w:rPr>
        <w:t xml:space="preserve"> finding</w:t>
      </w:r>
      <w:r w:rsidR="008F20FD" w:rsidRPr="008669C3">
        <w:rPr>
          <w:szCs w:val="20"/>
        </w:rPr>
        <w:t xml:space="preserve"> of the post-CDS increase in risk-taking incentives</w:t>
      </w:r>
      <w:r w:rsidRPr="008669C3">
        <w:rPr>
          <w:szCs w:val="20"/>
        </w:rPr>
        <w:t xml:space="preserve"> </w:t>
      </w:r>
      <w:r w:rsidR="008F20FD" w:rsidRPr="008669C3">
        <w:rPr>
          <w:szCs w:val="20"/>
        </w:rPr>
        <w:t>is</w:t>
      </w:r>
      <w:r w:rsidRPr="008669C3">
        <w:rPr>
          <w:szCs w:val="20"/>
        </w:rPr>
        <w:t xml:space="preserve"> </w:t>
      </w:r>
      <w:r w:rsidR="0073732E" w:rsidRPr="008669C3">
        <w:rPr>
          <w:szCs w:val="20"/>
        </w:rPr>
        <w:t>robust</w:t>
      </w:r>
      <w:r w:rsidRPr="008669C3">
        <w:rPr>
          <w:szCs w:val="20"/>
        </w:rPr>
        <w:t xml:space="preserve"> to this alternative measure</w:t>
      </w:r>
      <w:r w:rsidR="008F20FD" w:rsidRPr="008669C3">
        <w:rPr>
          <w:szCs w:val="20"/>
        </w:rPr>
        <w:t>, c</w:t>
      </w:r>
      <w:r w:rsidRPr="008669C3">
        <w:rPr>
          <w:szCs w:val="20"/>
        </w:rPr>
        <w:t xml:space="preserve">onsistent with options being an important source of </w:t>
      </w:r>
      <w:r w:rsidR="0001392D" w:rsidRPr="008669C3">
        <w:rPr>
          <w:szCs w:val="20"/>
        </w:rPr>
        <w:t>pay-risk sensitivity</w:t>
      </w:r>
      <w:r w:rsidRPr="008669C3">
        <w:rPr>
          <w:szCs w:val="20"/>
        </w:rPr>
        <w:t>.</w:t>
      </w:r>
    </w:p>
    <w:p w14:paraId="263678D7" w14:textId="08AC6C8C" w:rsidR="006C2541" w:rsidRPr="008669C3" w:rsidRDefault="006C2541" w:rsidP="00D40C7C">
      <w:pPr>
        <w:autoSpaceDE w:val="0"/>
        <w:autoSpaceDN w:val="0"/>
        <w:adjustRightInd w:val="0"/>
        <w:spacing w:line="480" w:lineRule="auto"/>
        <w:ind w:firstLine="567"/>
        <w:jc w:val="both"/>
      </w:pPr>
      <w:r w:rsidRPr="008669C3">
        <w:t>Follow</w:t>
      </w:r>
      <w:r w:rsidR="00601203" w:rsidRPr="008669C3">
        <w:t xml:space="preserve">ing </w:t>
      </w:r>
      <w:r w:rsidRPr="008669C3">
        <w:t>Saretto and Tookes (2013)</w:t>
      </w:r>
      <w:r w:rsidR="00601203" w:rsidRPr="008669C3">
        <w:t xml:space="preserve"> and</w:t>
      </w:r>
      <w:r w:rsidRPr="008669C3">
        <w:t xml:space="preserve"> </w:t>
      </w:r>
      <w:r w:rsidR="00601203" w:rsidRPr="008669C3">
        <w:t>Subrahmanyam et al. (2014), our main variable of interest</w:t>
      </w:r>
      <w:r w:rsidRPr="008669C3">
        <w:t xml:space="preserve"> </w:t>
      </w:r>
      <w:r w:rsidRPr="008669C3">
        <w:rPr>
          <w:i/>
        </w:rPr>
        <w:t>CDS trading</w:t>
      </w:r>
      <w:r w:rsidRPr="008669C3">
        <w:t xml:space="preserve"> is an indicator variable </w:t>
      </w:r>
      <w:r w:rsidR="00FC7123" w:rsidRPr="008669C3">
        <w:t xml:space="preserve">that equals one for a CDS firm after the inception of the firm’s CDS trading and </w:t>
      </w:r>
      <w:r w:rsidR="00601203" w:rsidRPr="008669C3">
        <w:t xml:space="preserve">zero prior to it. This variable </w:t>
      </w:r>
      <w:r w:rsidRPr="008669C3">
        <w:t xml:space="preserve">allows us to exploit the variation in the timing of CDS introduction to estimate the impact of the availability of CDS contracts on </w:t>
      </w:r>
      <w:r w:rsidR="00114DBF" w:rsidRPr="008669C3">
        <w:t>CEO vega</w:t>
      </w:r>
      <w:r w:rsidRPr="008669C3">
        <w:t>.</w:t>
      </w:r>
    </w:p>
    <w:p w14:paraId="15C16677" w14:textId="3B2F09ED" w:rsidR="00800682" w:rsidRPr="008669C3" w:rsidRDefault="006C2541" w:rsidP="00687AF8">
      <w:pPr>
        <w:autoSpaceDE w:val="0"/>
        <w:autoSpaceDN w:val="0"/>
        <w:adjustRightInd w:val="0"/>
        <w:spacing w:line="480" w:lineRule="auto"/>
        <w:ind w:firstLine="567"/>
        <w:jc w:val="both"/>
      </w:pPr>
      <w:r w:rsidRPr="008669C3">
        <w:rPr>
          <w:i/>
        </w:rPr>
        <w:t>Control</w:t>
      </w:r>
      <w:r w:rsidRPr="008669C3">
        <w:t xml:space="preserve"> stands for a set of determinants of the CEO’s incentive contracts and potential confounders, following the previous literature on the design of CEO incentive compensation (Coles et al., 2006; Low, 2009; Hayes et al., 2012; Custódio et al., 2013; Bakke et al., 2016). First, we control for firm characteristics, including firm size, measured as the natural logarithm of sales (</w:t>
      </w:r>
      <w:r w:rsidRPr="008669C3">
        <w:rPr>
          <w:i/>
        </w:rPr>
        <w:t>Ln</w:t>
      </w:r>
      <w:r w:rsidRPr="008669C3">
        <w:t>(</w:t>
      </w:r>
      <w:r w:rsidRPr="008669C3">
        <w:rPr>
          <w:i/>
        </w:rPr>
        <w:t>Sales</w:t>
      </w:r>
      <w:r w:rsidRPr="008669C3">
        <w:t>)); profitability, measured as both the return on assets (</w:t>
      </w:r>
      <w:r w:rsidRPr="008669C3">
        <w:rPr>
          <w:i/>
        </w:rPr>
        <w:t>ROA</w:t>
      </w:r>
      <w:r w:rsidRPr="008669C3">
        <w:t>) and stock returns (</w:t>
      </w:r>
      <w:r w:rsidRPr="008669C3">
        <w:rPr>
          <w:i/>
        </w:rPr>
        <w:t>Stock return</w:t>
      </w:r>
      <w:r w:rsidRPr="008669C3">
        <w:t>); growth opportunities, measured as Tobin’s q</w:t>
      </w:r>
      <w:r w:rsidRPr="008669C3">
        <w:rPr>
          <w:i/>
        </w:rPr>
        <w:t xml:space="preserve"> </w:t>
      </w:r>
      <w:r w:rsidRPr="008669C3">
        <w:t>(</w:t>
      </w:r>
      <w:r w:rsidRPr="008669C3">
        <w:rPr>
          <w:i/>
        </w:rPr>
        <w:t>Tobin’s q</w:t>
      </w:r>
      <w:r w:rsidRPr="008669C3">
        <w:t>); and firm risk, measured as stock return volatility (</w:t>
      </w:r>
      <w:r w:rsidRPr="008669C3">
        <w:rPr>
          <w:i/>
        </w:rPr>
        <w:t>Volatility</w:t>
      </w:r>
      <w:r w:rsidR="00800682" w:rsidRPr="008669C3">
        <w:t xml:space="preserve">); </w:t>
      </w:r>
      <w:r w:rsidR="00447957" w:rsidRPr="008669C3">
        <w:t>bank-loan dependency</w:t>
      </w:r>
      <w:r w:rsidR="00E37F61" w:rsidRPr="008669C3">
        <w:t>, measured as the bank debt indicator (</w:t>
      </w:r>
      <w:r w:rsidR="00E37F61" w:rsidRPr="008669C3">
        <w:rPr>
          <w:i/>
        </w:rPr>
        <w:t>Bank debt</w:t>
      </w:r>
      <w:r w:rsidR="00E37F61" w:rsidRPr="008669C3">
        <w:t xml:space="preserve">); and firm financial distress risk, measured as both </w:t>
      </w:r>
      <w:r w:rsidR="00E37F61" w:rsidRPr="008669C3">
        <w:rPr>
          <w:i/>
        </w:rPr>
        <w:t>Z-score</w:t>
      </w:r>
      <w:r w:rsidR="00E37F61" w:rsidRPr="008669C3">
        <w:t xml:space="preserve"> and </w:t>
      </w:r>
      <w:r w:rsidR="00E37F61" w:rsidRPr="008669C3">
        <w:rPr>
          <w:i/>
        </w:rPr>
        <w:t>KZ index</w:t>
      </w:r>
      <w:r w:rsidR="00E37F61" w:rsidRPr="008669C3">
        <w:t xml:space="preserve">. </w:t>
      </w:r>
      <w:r w:rsidR="006C0E03" w:rsidRPr="008669C3">
        <w:t xml:space="preserve">In particular, </w:t>
      </w:r>
      <w:r w:rsidR="006C0E03" w:rsidRPr="008669C3">
        <w:rPr>
          <w:i/>
        </w:rPr>
        <w:t>Z-score</w:t>
      </w:r>
      <w:r w:rsidR="006C0E03" w:rsidRPr="008669C3">
        <w:t xml:space="preserve"> is constructed based on the </w:t>
      </w:r>
      <w:r w:rsidR="006C0E03" w:rsidRPr="008669C3">
        <w:rPr>
          <w:szCs w:val="20"/>
        </w:rPr>
        <w:t xml:space="preserve">Z-score model of Altman (1968), and </w:t>
      </w:r>
      <w:r w:rsidR="006C0E03" w:rsidRPr="008669C3">
        <w:rPr>
          <w:i/>
        </w:rPr>
        <w:t>KZ index</w:t>
      </w:r>
      <w:r w:rsidR="006C0E03" w:rsidRPr="008669C3">
        <w:t xml:space="preserve"> is </w:t>
      </w:r>
      <w:r w:rsidR="006C0E03" w:rsidRPr="008669C3">
        <w:rPr>
          <w:szCs w:val="20"/>
        </w:rPr>
        <w:t xml:space="preserve">an index </w:t>
      </w:r>
      <w:r w:rsidR="003666FD" w:rsidRPr="008669C3">
        <w:rPr>
          <w:szCs w:val="20"/>
        </w:rPr>
        <w:t>following</w:t>
      </w:r>
      <w:r w:rsidR="006C0E03" w:rsidRPr="008669C3">
        <w:rPr>
          <w:szCs w:val="20"/>
        </w:rPr>
        <w:t xml:space="preserve"> the work of Kaplan and Zingales (1997).</w:t>
      </w:r>
    </w:p>
    <w:p w14:paraId="12C699FD" w14:textId="22AEA315" w:rsidR="006C2541" w:rsidRPr="008669C3" w:rsidRDefault="006C2541" w:rsidP="00687AF8">
      <w:pPr>
        <w:autoSpaceDE w:val="0"/>
        <w:autoSpaceDN w:val="0"/>
        <w:adjustRightInd w:val="0"/>
        <w:spacing w:line="480" w:lineRule="auto"/>
        <w:ind w:firstLine="567"/>
        <w:jc w:val="both"/>
      </w:pPr>
      <w:r w:rsidRPr="008669C3">
        <w:t>Moreover, the CEO characteristics that we control for include age (</w:t>
      </w:r>
      <w:r w:rsidRPr="008669C3">
        <w:rPr>
          <w:i/>
        </w:rPr>
        <w:t>Age</w:t>
      </w:r>
      <w:r w:rsidRPr="008669C3">
        <w:t>), tenure (</w:t>
      </w:r>
      <w:r w:rsidRPr="008669C3">
        <w:rPr>
          <w:i/>
        </w:rPr>
        <w:t>Tenure</w:t>
      </w:r>
      <w:r w:rsidRPr="008669C3">
        <w:t>), an indicator of whether the CEO is female (</w:t>
      </w:r>
      <w:r w:rsidRPr="008669C3">
        <w:rPr>
          <w:i/>
        </w:rPr>
        <w:t>Female CEO</w:t>
      </w:r>
      <w:r w:rsidRPr="008669C3">
        <w:t>), and the level and structure of compensation packages (</w:t>
      </w:r>
      <w:r w:rsidRPr="008669C3">
        <w:rPr>
          <w:i/>
        </w:rPr>
        <w:t>Ln</w:t>
      </w:r>
      <w:r w:rsidRPr="008669C3">
        <w:t>(</w:t>
      </w:r>
      <w:r w:rsidRPr="008669C3">
        <w:rPr>
          <w:i/>
        </w:rPr>
        <w:t>Total pay</w:t>
      </w:r>
      <w:r w:rsidRPr="008669C3">
        <w:t xml:space="preserve">), </w:t>
      </w:r>
      <w:r w:rsidRPr="008669C3">
        <w:rPr>
          <w:i/>
        </w:rPr>
        <w:t>Equity mix</w:t>
      </w:r>
      <w:r w:rsidRPr="008669C3">
        <w:t xml:space="preserve">, and </w:t>
      </w:r>
      <w:r w:rsidRPr="008669C3">
        <w:rPr>
          <w:i/>
        </w:rPr>
        <w:t>Ln</w:t>
      </w:r>
      <w:r w:rsidRPr="008669C3">
        <w:t>(</w:t>
      </w:r>
      <w:r w:rsidRPr="008669C3">
        <w:rPr>
          <w:i/>
        </w:rPr>
        <w:t>1 + Delta</w:t>
      </w:r>
      <w:r w:rsidRPr="008669C3">
        <w:t xml:space="preserve">)). Finally, to account for the potential impact of corporate governance on the design of managerial </w:t>
      </w:r>
      <w:r w:rsidRPr="008669C3">
        <w:lastRenderedPageBreak/>
        <w:t>compensation, we include the fraction of independent directors on board</w:t>
      </w:r>
      <w:r w:rsidR="00FE5122" w:rsidRPr="008669C3">
        <w:t>s</w:t>
      </w:r>
      <w:r w:rsidRPr="008669C3">
        <w:t xml:space="preserve"> (</w:t>
      </w:r>
      <w:r w:rsidRPr="008669C3">
        <w:rPr>
          <w:i/>
        </w:rPr>
        <w:t>Board independence</w:t>
      </w:r>
      <w:r w:rsidRPr="008669C3">
        <w:t>), the fraction of shares owned by institutional investors (</w:t>
      </w:r>
      <w:r w:rsidRPr="008669C3">
        <w:rPr>
          <w:i/>
        </w:rPr>
        <w:t>Institutional ownership</w:t>
      </w:r>
      <w:r w:rsidRPr="008669C3">
        <w:t>), and the entrenchment index (</w:t>
      </w:r>
      <w:r w:rsidRPr="008669C3">
        <w:rPr>
          <w:i/>
        </w:rPr>
        <w:t>E Index</w:t>
      </w:r>
      <w:r w:rsidRPr="008669C3">
        <w:t xml:space="preserve">) compiled by Bebchuk et al. (2009). Throughout </w:t>
      </w:r>
      <w:r w:rsidR="00FE5122" w:rsidRPr="008669C3">
        <w:t>the empirical</w:t>
      </w:r>
      <w:r w:rsidRPr="008669C3">
        <w:t xml:space="preserve"> analysis, the explanatory variables are lagged by one period </w:t>
      </w:r>
      <w:r w:rsidR="00FE5122" w:rsidRPr="008669C3">
        <w:t xml:space="preserve">relative </w:t>
      </w:r>
      <w:r w:rsidRPr="008669C3">
        <w:t>to the dependent variable to alleviate potential endogeneity problems. Appendix A provides detailed variable definitions.</w:t>
      </w:r>
    </w:p>
    <w:p w14:paraId="680E3621" w14:textId="273AE06A" w:rsidR="006C2541" w:rsidRPr="008669C3" w:rsidRDefault="006C2541" w:rsidP="00687AF8">
      <w:pPr>
        <w:autoSpaceDE w:val="0"/>
        <w:autoSpaceDN w:val="0"/>
        <w:adjustRightInd w:val="0"/>
        <w:spacing w:line="480" w:lineRule="auto"/>
        <w:ind w:firstLine="567"/>
        <w:jc w:val="both"/>
      </w:pPr>
      <w:r w:rsidRPr="008669C3">
        <w:t xml:space="preserve">To further mitigate unobserved heterogeneity in our estimates of the effect of </w:t>
      </w:r>
      <w:r w:rsidRPr="008669C3">
        <w:rPr>
          <w:i/>
        </w:rPr>
        <w:t>CDS trading</w:t>
      </w:r>
      <w:r w:rsidRPr="008669C3">
        <w:t xml:space="preserve"> on </w:t>
      </w:r>
      <w:r w:rsidRPr="008669C3">
        <w:rPr>
          <w:i/>
        </w:rPr>
        <w:t>vega</w:t>
      </w:r>
      <w:r w:rsidRPr="008669C3">
        <w:t xml:space="preserve">, we use a set of fixed effects. First, we include industry–year fixed effects, denoted </w:t>
      </w:r>
      <w:r w:rsidRPr="008669C3">
        <w:rPr>
          <w:i/>
        </w:rPr>
        <w:t xml:space="preserve">Industry </w:t>
      </w:r>
      <m:oMath>
        <m:r>
          <w:rPr>
            <w:rFonts w:ascii="Cambria Math" w:hAnsi="Cambria Math"/>
          </w:rPr>
          <m:t xml:space="preserve">∙ </m:t>
        </m:r>
      </m:oMath>
      <w:r w:rsidRPr="008669C3">
        <w:rPr>
          <w:i/>
        </w:rPr>
        <w:t>year</w:t>
      </w:r>
      <w:r w:rsidRPr="008669C3">
        <w:t xml:space="preserve">. This inclusion ensures that we are comparing CDS and non-CDS firms within the same industry at the same point in time, allowing us to difference away unobserved changes in industry conditions. In addition, we control for firm fixed effects, denoted </w:t>
      </w:r>
      <w:r w:rsidRPr="008669C3">
        <w:rPr>
          <w:i/>
        </w:rPr>
        <w:t>D</w:t>
      </w:r>
      <w:r w:rsidRPr="008669C3">
        <w:rPr>
          <w:i/>
          <w:vertAlign w:val="subscript"/>
        </w:rPr>
        <w:t>i</w:t>
      </w:r>
      <w:r w:rsidRPr="008669C3">
        <w:t xml:space="preserve">, to remove unobserved time-invariant differences between CDS and non-CDS firms. </w:t>
      </w:r>
      <w:r w:rsidR="00FE5122" w:rsidRPr="008669C3">
        <w:t>In</w:t>
      </w:r>
      <w:r w:rsidRPr="008669C3">
        <w:t xml:space="preserve"> more stringent specifications, we replace firm fixed effects with CEO–firm fixed effects to absorb any unobserved CEO and firm heterogeneity that is ﬁxed during the tenure of a given CEO. </w:t>
      </w:r>
      <w:r w:rsidR="00FE5122" w:rsidRPr="008669C3">
        <w:t>U</w:t>
      </w:r>
      <w:r w:rsidRPr="008669C3">
        <w:t>sing the latter fixed effects, we can observe within-CEO–ﬁrm variation</w:t>
      </w:r>
      <w:r w:rsidR="00FE5122" w:rsidRPr="008669C3">
        <w:t>, that is,</w:t>
      </w:r>
      <w:r w:rsidRPr="008669C3">
        <w:t xml:space="preserve"> the change in the vega of the same CEO working for the same ﬁrm for multiple years during which the firm initiates CDS trading. This setting increases the likelihood that any difference in </w:t>
      </w:r>
      <w:r w:rsidR="00114DBF" w:rsidRPr="008669C3">
        <w:t>CEO</w:t>
      </w:r>
      <w:r w:rsidRPr="008669C3">
        <w:t xml:space="preserve"> vega is due to the onset of CDS trading.</w:t>
      </w:r>
    </w:p>
    <w:p w14:paraId="043F8B2D" w14:textId="48AC28CE" w:rsidR="006C2541" w:rsidRPr="008669C3" w:rsidRDefault="006C2541" w:rsidP="00687AF8">
      <w:pPr>
        <w:autoSpaceDE w:val="0"/>
        <w:autoSpaceDN w:val="0"/>
        <w:adjustRightInd w:val="0"/>
        <w:spacing w:line="480" w:lineRule="auto"/>
        <w:ind w:firstLine="567"/>
        <w:jc w:val="both"/>
      </w:pPr>
      <w:r w:rsidRPr="008669C3">
        <w:t xml:space="preserve">Although we control for a broad set of firm, CEO, and governance characteristics and use a variety of fixed effects, unobserved time-varying factors, such as a major shift in the firm’s corporate strategy, could still be driving our results. To mitigate any remaining endogeneity concerns, we employ </w:t>
      </w:r>
      <w:r w:rsidR="00CF7646" w:rsidRPr="008669C3">
        <w:t xml:space="preserve">two approaches, including a matching analysis and </w:t>
      </w:r>
      <w:r w:rsidRPr="008669C3">
        <w:t xml:space="preserve">an IV approach, which </w:t>
      </w:r>
      <w:r w:rsidR="00CF7646" w:rsidRPr="008669C3">
        <w:t>are</w:t>
      </w:r>
      <w:r w:rsidRPr="008669C3">
        <w:t xml:space="preserve"> discussed in more detail below.</w:t>
      </w:r>
    </w:p>
    <w:p w14:paraId="14CAE224" w14:textId="77777777" w:rsidR="006C2541" w:rsidRPr="008669C3" w:rsidRDefault="006C2541" w:rsidP="00687AF8">
      <w:pPr>
        <w:autoSpaceDE w:val="0"/>
        <w:autoSpaceDN w:val="0"/>
        <w:adjustRightInd w:val="0"/>
        <w:spacing w:line="480" w:lineRule="auto"/>
        <w:jc w:val="both"/>
      </w:pPr>
    </w:p>
    <w:p w14:paraId="465239AC" w14:textId="70ECDD1B" w:rsidR="006C2541" w:rsidRPr="008669C3" w:rsidRDefault="00176F8C" w:rsidP="00687AF8">
      <w:pPr>
        <w:keepNext/>
        <w:shd w:val="clear" w:color="auto" w:fill="FFFFFF"/>
        <w:spacing w:line="480" w:lineRule="auto"/>
        <w:jc w:val="both"/>
        <w:rPr>
          <w:i/>
        </w:rPr>
      </w:pPr>
      <w:r w:rsidRPr="008669C3">
        <w:rPr>
          <w:i/>
        </w:rPr>
        <w:lastRenderedPageBreak/>
        <w:t>2</w:t>
      </w:r>
      <w:r w:rsidR="006C2541" w:rsidRPr="008669C3">
        <w:rPr>
          <w:i/>
        </w:rPr>
        <w:t>.3. Descriptive statistics</w:t>
      </w:r>
    </w:p>
    <w:p w14:paraId="5B7B56F8" w14:textId="77777777" w:rsidR="006C2541" w:rsidRPr="008669C3" w:rsidRDefault="006C2541" w:rsidP="00687AF8">
      <w:pPr>
        <w:autoSpaceDE w:val="0"/>
        <w:autoSpaceDN w:val="0"/>
        <w:adjustRightInd w:val="0"/>
        <w:spacing w:before="240" w:after="240" w:line="480" w:lineRule="auto"/>
        <w:jc w:val="center"/>
        <w:rPr>
          <w:b/>
        </w:rPr>
      </w:pPr>
      <w:r w:rsidRPr="008669C3">
        <w:rPr>
          <w:b/>
        </w:rPr>
        <w:t>Insert Table 1 about here</w:t>
      </w:r>
    </w:p>
    <w:p w14:paraId="25C45FFB" w14:textId="5AE21239" w:rsidR="006C2541" w:rsidRPr="008669C3" w:rsidRDefault="006C2541" w:rsidP="00592F2C">
      <w:pPr>
        <w:autoSpaceDE w:val="0"/>
        <w:autoSpaceDN w:val="0"/>
        <w:adjustRightInd w:val="0"/>
        <w:spacing w:line="480" w:lineRule="auto"/>
        <w:jc w:val="both"/>
      </w:pPr>
      <w:r w:rsidRPr="008669C3">
        <w:t xml:space="preserve">Table 1 presents the descriptive statistics of the variables used in our baseline analysis. The dependent variable </w:t>
      </w:r>
      <w:r w:rsidRPr="008669C3">
        <w:rPr>
          <w:i/>
        </w:rPr>
        <w:t>Vega</w:t>
      </w:r>
      <w:r w:rsidRPr="008669C3">
        <w:t xml:space="preserve"> has a mean value of </w:t>
      </w:r>
      <w:r w:rsidR="00A72F3C">
        <w:t>$</w:t>
      </w:r>
      <w:r w:rsidRPr="008669C3">
        <w:t>1</w:t>
      </w:r>
      <w:r w:rsidR="00916041" w:rsidRPr="008669C3">
        <w:t>88</w:t>
      </w:r>
      <w:r w:rsidRPr="008669C3">
        <w:t>,</w:t>
      </w:r>
      <w:r w:rsidR="00916041" w:rsidRPr="008669C3">
        <w:t>925</w:t>
      </w:r>
      <w:r w:rsidRPr="008669C3">
        <w:t xml:space="preserve">, which is comparable to the reported mean of </w:t>
      </w:r>
      <w:r w:rsidR="00A72F3C">
        <w:t>$</w:t>
      </w:r>
      <w:r w:rsidRPr="008669C3">
        <w:t xml:space="preserve">149,453 in Table 1 of Hayes et al. (2012). </w:t>
      </w:r>
      <w:r w:rsidR="00C934D9" w:rsidRPr="008669C3">
        <w:t xml:space="preserve">The mean option compensation is </w:t>
      </w:r>
      <w:r w:rsidR="00A72F3C">
        <w:t>$</w:t>
      </w:r>
      <w:r w:rsidR="00C934D9" w:rsidRPr="008669C3">
        <w:t xml:space="preserve">1,677,698. </w:t>
      </w:r>
      <w:r w:rsidRPr="008669C3">
        <w:t xml:space="preserve">In </w:t>
      </w:r>
      <w:r w:rsidR="00980CB3" w:rsidRPr="008669C3">
        <w:t>10</w:t>
      </w:r>
      <w:r w:rsidRPr="008669C3">
        <w:t>.</w:t>
      </w:r>
      <w:r w:rsidR="00980CB3" w:rsidRPr="008669C3">
        <w:t>5</w:t>
      </w:r>
      <w:r w:rsidRPr="008669C3">
        <w:t>% of the firm–years, CDS contracts are trading. An average firm in our sample has a sales revenue of $</w:t>
      </w:r>
      <w:r w:rsidR="002103F1" w:rsidRPr="008669C3">
        <w:t>7.908</w:t>
      </w:r>
      <w:r w:rsidRPr="008669C3">
        <w:t xml:space="preserve"> </w:t>
      </w:r>
      <w:r w:rsidR="008E000D" w:rsidRPr="008669C3">
        <w:t>billion</w:t>
      </w:r>
      <w:r w:rsidRPr="008669C3">
        <w:t xml:space="preserve">, a return on assets of </w:t>
      </w:r>
      <w:r w:rsidR="002103F1" w:rsidRPr="008669C3">
        <w:t>14.1</w:t>
      </w:r>
      <w:r w:rsidRPr="008669C3">
        <w:t xml:space="preserve">%, a Tobin’s </w:t>
      </w:r>
      <w:r w:rsidR="00A000D2" w:rsidRPr="008669C3">
        <w:t>q</w:t>
      </w:r>
      <w:r w:rsidRPr="008669C3">
        <w:t xml:space="preserve"> of 1.</w:t>
      </w:r>
      <w:r w:rsidR="002103F1" w:rsidRPr="008669C3">
        <w:t>813</w:t>
      </w:r>
      <w:r w:rsidRPr="008669C3">
        <w:t xml:space="preserve">, a stock return of </w:t>
      </w:r>
      <w:r w:rsidR="002103F1" w:rsidRPr="008669C3">
        <w:t>13.8</w:t>
      </w:r>
      <w:r w:rsidRPr="008669C3">
        <w:t>%, stock return volatility of 0.3</w:t>
      </w:r>
      <w:r w:rsidR="002103F1" w:rsidRPr="008669C3">
        <w:t>43</w:t>
      </w:r>
      <w:r w:rsidRPr="008669C3">
        <w:t xml:space="preserve">, </w:t>
      </w:r>
      <w:r w:rsidR="002103F1" w:rsidRPr="008669C3">
        <w:t xml:space="preserve">a Z-score value of 0.068, a KZ index value of 1.981, </w:t>
      </w:r>
      <w:r w:rsidRPr="008669C3">
        <w:t>institutional ownership of 77.</w:t>
      </w:r>
      <w:r w:rsidR="009B38B0" w:rsidRPr="008669C3">
        <w:t>5</w:t>
      </w:r>
      <w:r w:rsidRPr="008669C3">
        <w:t>%, a fraction of independent directors of 7</w:t>
      </w:r>
      <w:r w:rsidR="009B38B0" w:rsidRPr="008669C3">
        <w:t>5</w:t>
      </w:r>
      <w:r w:rsidRPr="008669C3">
        <w:t>.9%, and an E-index value of 2.</w:t>
      </w:r>
      <w:r w:rsidR="009B38B0" w:rsidRPr="008669C3">
        <w:t>567</w:t>
      </w:r>
      <w:r w:rsidRPr="008669C3">
        <w:t>. In addition, 2.</w:t>
      </w:r>
      <w:r w:rsidR="009B38B0" w:rsidRPr="008669C3">
        <w:t>6</w:t>
      </w:r>
      <w:r w:rsidRPr="008669C3">
        <w:t>% of the CEOs are female. The average CEO is 5</w:t>
      </w:r>
      <w:r w:rsidR="00851FFE" w:rsidRPr="008669C3">
        <w:t>6</w:t>
      </w:r>
      <w:r w:rsidRPr="008669C3">
        <w:t xml:space="preserve"> years old, has a tenure of seven years and a total compensation of $5.</w:t>
      </w:r>
      <w:r w:rsidR="00851FFE" w:rsidRPr="008669C3">
        <w:t>978</w:t>
      </w:r>
      <w:r w:rsidRPr="008669C3">
        <w:t xml:space="preserve"> million, </w:t>
      </w:r>
      <w:r w:rsidR="00851FFE" w:rsidRPr="008669C3">
        <w:t>66.9</w:t>
      </w:r>
      <w:r w:rsidRPr="008669C3">
        <w:t>% of which is equity-based compensation. The summary statistics for our controls are consistent with those reported by Hayes et al. (2012), Custódio et al. (2013), Fernandes et al. (2013), B</w:t>
      </w:r>
      <w:r w:rsidR="00FA0CC6">
        <w:t>akke et al. (2016)</w:t>
      </w:r>
      <w:r w:rsidRPr="008669C3">
        <w:t>.</w:t>
      </w:r>
    </w:p>
    <w:p w14:paraId="79A2EBA2" w14:textId="77777777" w:rsidR="006C2541" w:rsidRPr="008669C3" w:rsidRDefault="006C2541" w:rsidP="00687AF8">
      <w:pPr>
        <w:autoSpaceDE w:val="0"/>
        <w:autoSpaceDN w:val="0"/>
        <w:adjustRightInd w:val="0"/>
        <w:spacing w:before="240" w:after="240" w:line="480" w:lineRule="auto"/>
        <w:jc w:val="center"/>
        <w:rPr>
          <w:b/>
        </w:rPr>
      </w:pPr>
      <w:r w:rsidRPr="008669C3">
        <w:rPr>
          <w:b/>
        </w:rPr>
        <w:t>Insert Table 2 about here</w:t>
      </w:r>
    </w:p>
    <w:p w14:paraId="1D0BDEBB" w14:textId="48610B85" w:rsidR="006C2541" w:rsidRPr="008669C3" w:rsidRDefault="006C2541" w:rsidP="00CF5B53">
      <w:pPr>
        <w:autoSpaceDE w:val="0"/>
        <w:autoSpaceDN w:val="0"/>
        <w:adjustRightInd w:val="0"/>
        <w:spacing w:line="480" w:lineRule="auto"/>
        <w:ind w:firstLine="567"/>
        <w:jc w:val="both"/>
      </w:pPr>
      <w:r w:rsidRPr="008669C3">
        <w:t>Comparing the CDS and non-CDS samples in Table 2 provides useful insights. Compared to non-CDS firms, CDS firms offer much str</w:t>
      </w:r>
      <w:r w:rsidR="00151325" w:rsidRPr="008669C3">
        <w:t xml:space="preserve">onger risk-taking incentives in </w:t>
      </w:r>
      <w:r w:rsidRPr="008669C3">
        <w:t xml:space="preserve">managerial compensation. </w:t>
      </w:r>
      <w:r w:rsidR="00F64FFF" w:rsidRPr="008669C3">
        <w:t xml:space="preserve">On average, </w:t>
      </w:r>
      <w:r w:rsidRPr="008669C3">
        <w:t>CEOs at CDS firms gain $</w:t>
      </w:r>
      <w:r w:rsidR="00F64FFF" w:rsidRPr="008669C3">
        <w:t>412</w:t>
      </w:r>
      <w:r w:rsidRPr="008669C3">
        <w:t>,</w:t>
      </w:r>
      <w:r w:rsidR="00F64FFF" w:rsidRPr="008669C3">
        <w:t>424</w:t>
      </w:r>
      <w:r w:rsidRPr="008669C3">
        <w:t xml:space="preserve"> when there is a 0.01 increase in the firm’s stock return volatility, more than twice as much a</w:t>
      </w:r>
      <w:r w:rsidR="00F64FFF" w:rsidRPr="008669C3">
        <w:t>s the corresponding gain of $162</w:t>
      </w:r>
      <w:r w:rsidRPr="008669C3">
        <w:t>,</w:t>
      </w:r>
      <w:r w:rsidR="00F64FFF" w:rsidRPr="008669C3">
        <w:t>780</w:t>
      </w:r>
      <w:r w:rsidRPr="008669C3">
        <w:t xml:space="preserve"> for CEOs at non-CDS firms. </w:t>
      </w:r>
      <w:r w:rsidR="00F64FFF" w:rsidRPr="008669C3">
        <w:t xml:space="preserve">In addition, the mean option compensation </w:t>
      </w:r>
      <w:r w:rsidR="00E13E09" w:rsidRPr="008669C3">
        <w:t xml:space="preserve">for CEOs at CDS firms is </w:t>
      </w:r>
      <w:r w:rsidR="00A72F3C">
        <w:t>$</w:t>
      </w:r>
      <w:r w:rsidR="00F64FFF" w:rsidRPr="008669C3">
        <w:t>2,678,599</w:t>
      </w:r>
      <w:r w:rsidR="00E13E09" w:rsidRPr="008669C3">
        <w:t xml:space="preserve">, whereas it is </w:t>
      </w:r>
      <w:r w:rsidR="00A72F3C">
        <w:t>$</w:t>
      </w:r>
      <w:r w:rsidR="00E13E09" w:rsidRPr="008669C3">
        <w:t xml:space="preserve">1,560,612 for those at non-CDS firms. </w:t>
      </w:r>
      <w:r w:rsidR="00F64FFF" w:rsidRPr="008669C3">
        <w:t>Further</w:t>
      </w:r>
      <w:r w:rsidRPr="008669C3">
        <w:t>, CDS firms are larger and show lower p</w:t>
      </w:r>
      <w:r w:rsidR="00A000D2" w:rsidRPr="008669C3">
        <w:t>erformance in terms of Tobin’s q</w:t>
      </w:r>
      <w:r w:rsidRPr="008669C3">
        <w:t>.</w:t>
      </w:r>
    </w:p>
    <w:p w14:paraId="339DE270" w14:textId="77777777" w:rsidR="00CF5B53" w:rsidRPr="008669C3" w:rsidRDefault="00CF5B53" w:rsidP="00CF5B53">
      <w:pPr>
        <w:autoSpaceDE w:val="0"/>
        <w:autoSpaceDN w:val="0"/>
        <w:adjustRightInd w:val="0"/>
        <w:spacing w:line="480" w:lineRule="auto"/>
        <w:ind w:firstLine="567"/>
        <w:jc w:val="both"/>
        <w:rPr>
          <w:color w:val="FF0000"/>
        </w:rPr>
      </w:pPr>
    </w:p>
    <w:p w14:paraId="6B6C669A" w14:textId="0C2D4EC4" w:rsidR="006C2541" w:rsidRPr="008669C3" w:rsidRDefault="00176F8C" w:rsidP="00687AF8">
      <w:pPr>
        <w:keepNext/>
        <w:autoSpaceDE w:val="0"/>
        <w:autoSpaceDN w:val="0"/>
        <w:adjustRightInd w:val="0"/>
        <w:spacing w:line="480" w:lineRule="auto"/>
        <w:jc w:val="both"/>
        <w:rPr>
          <w:b/>
        </w:rPr>
      </w:pPr>
      <w:r w:rsidRPr="008669C3">
        <w:rPr>
          <w:b/>
        </w:rPr>
        <w:lastRenderedPageBreak/>
        <w:t>3</w:t>
      </w:r>
      <w:r w:rsidR="006C2541" w:rsidRPr="008669C3">
        <w:rPr>
          <w:b/>
        </w:rPr>
        <w:t>. CDS trading and the sensitivity of CEO wealth to firm risk</w:t>
      </w:r>
    </w:p>
    <w:p w14:paraId="37D0E598" w14:textId="211ADC33" w:rsidR="004E24C4" w:rsidRPr="008669C3" w:rsidRDefault="003961B2" w:rsidP="004E24C4">
      <w:pPr>
        <w:keepNext/>
        <w:autoSpaceDE w:val="0"/>
        <w:autoSpaceDN w:val="0"/>
        <w:adjustRightInd w:val="0"/>
        <w:spacing w:line="480" w:lineRule="auto"/>
        <w:jc w:val="both"/>
        <w:rPr>
          <w:i/>
        </w:rPr>
      </w:pPr>
      <w:r w:rsidRPr="008669C3">
        <w:rPr>
          <w:i/>
        </w:rPr>
        <w:t>3</w:t>
      </w:r>
      <w:r w:rsidR="004E24C4" w:rsidRPr="008669C3">
        <w:rPr>
          <w:i/>
        </w:rPr>
        <w:t xml:space="preserve">.1. </w:t>
      </w:r>
      <w:r w:rsidR="00604AC5" w:rsidRPr="008669C3">
        <w:rPr>
          <w:i/>
        </w:rPr>
        <w:t>Changes in managerial risk-taking incentives and firm leverage around CDS introduction</w:t>
      </w:r>
    </w:p>
    <w:p w14:paraId="04BC5260" w14:textId="1676B4C7" w:rsidR="00991B92" w:rsidRPr="008669C3" w:rsidRDefault="006D1F6E" w:rsidP="00991B92">
      <w:pPr>
        <w:autoSpaceDE w:val="0"/>
        <w:autoSpaceDN w:val="0"/>
        <w:adjustRightInd w:val="0"/>
        <w:spacing w:line="480" w:lineRule="auto"/>
        <w:ind w:firstLine="567"/>
        <w:jc w:val="both"/>
      </w:pPr>
      <w:r w:rsidRPr="008669C3">
        <w:t xml:space="preserve">Before </w:t>
      </w:r>
      <w:r w:rsidR="001C4B33" w:rsidRPr="008669C3">
        <w:t>the</w:t>
      </w:r>
      <w:r w:rsidRPr="008669C3">
        <w:t xml:space="preserve"> multivariate regression</w:t>
      </w:r>
      <w:r w:rsidR="001C4B33" w:rsidRPr="008669C3">
        <w:t xml:space="preserve"> analysis</w:t>
      </w:r>
      <w:r w:rsidRPr="008669C3">
        <w:t xml:space="preserve">, we </w:t>
      </w:r>
      <w:r w:rsidR="00991B92" w:rsidRPr="008669C3">
        <w:t>examine</w:t>
      </w:r>
      <w:r w:rsidRPr="008669C3">
        <w:t xml:space="preserve"> </w:t>
      </w:r>
      <w:r w:rsidR="00991B92" w:rsidRPr="008669C3">
        <w:t>the validity of</w:t>
      </w:r>
      <w:r w:rsidRPr="008669C3">
        <w:t xml:space="preserve"> our main hypothes</w:t>
      </w:r>
      <w:r w:rsidR="004F34E9" w:rsidRPr="008669C3">
        <w:t>e</w:t>
      </w:r>
      <w:r w:rsidRPr="008669C3">
        <w:t>s at the univariate level.</w:t>
      </w:r>
      <w:r w:rsidR="00991B92" w:rsidRPr="008669C3">
        <w:t xml:space="preserve"> We first sort our sample into CDS (treatment) and non-CDS (control) firms and into periods around CDS introduc</w:t>
      </w:r>
      <w:r w:rsidR="00CF5B53" w:rsidRPr="008669C3">
        <w:t>tion</w:t>
      </w:r>
      <w:r w:rsidR="000D6079" w:rsidRPr="008669C3">
        <w:t xml:space="preserve">. </w:t>
      </w:r>
      <w:r w:rsidR="00991B92" w:rsidRPr="008669C3">
        <w:t xml:space="preserve">Then we compare </w:t>
      </w:r>
      <w:r w:rsidR="000D6079" w:rsidRPr="008669C3">
        <w:t>the</w:t>
      </w:r>
      <w:r w:rsidR="00991B92" w:rsidRPr="008669C3">
        <w:t xml:space="preserve"> main outcome variables, including risk-taking incentive</w:t>
      </w:r>
      <w:r w:rsidR="000D6079" w:rsidRPr="008669C3">
        <w:t xml:space="preserve"> measures</w:t>
      </w:r>
      <w:r w:rsidR="00991B92" w:rsidRPr="008669C3">
        <w:t xml:space="preserve"> and firm leverage, over time and across treatment and control groups.</w:t>
      </w:r>
      <w:r w:rsidR="000D6079" w:rsidRPr="008669C3">
        <w:t xml:space="preserve"> To </w:t>
      </w:r>
      <w:r w:rsidR="00DF29FD" w:rsidRPr="008669C3">
        <w:t xml:space="preserve">mitigate any bias introduced by firms self-selecting into CDS and non-CDS status, we match treatment </w:t>
      </w:r>
      <w:r w:rsidR="00C64762" w:rsidRPr="008669C3">
        <w:t>firms to c</w:t>
      </w:r>
      <w:r w:rsidR="00DF29FD" w:rsidRPr="008669C3">
        <w:t xml:space="preserve">ontrol firms </w:t>
      </w:r>
      <w:r w:rsidR="00C64762" w:rsidRPr="008669C3">
        <w:t>that have similar characteristics</w:t>
      </w:r>
      <w:r w:rsidR="00DF29FD" w:rsidRPr="008669C3">
        <w:t>.</w:t>
      </w:r>
    </w:p>
    <w:p w14:paraId="6404D55A" w14:textId="622E0485" w:rsidR="004E24C4" w:rsidRPr="008669C3" w:rsidRDefault="00DF29FD" w:rsidP="004E24C4">
      <w:pPr>
        <w:autoSpaceDE w:val="0"/>
        <w:autoSpaceDN w:val="0"/>
        <w:adjustRightInd w:val="0"/>
        <w:spacing w:line="480" w:lineRule="auto"/>
        <w:ind w:firstLine="567"/>
        <w:jc w:val="both"/>
        <w:rPr>
          <w:color w:val="000000" w:themeColor="text1"/>
        </w:rPr>
      </w:pPr>
      <w:r w:rsidRPr="008669C3">
        <w:t>Specifically</w:t>
      </w:r>
      <w:r w:rsidR="004E24C4" w:rsidRPr="008669C3">
        <w:t xml:space="preserve">, we </w:t>
      </w:r>
      <w:r w:rsidR="00CF5B53" w:rsidRPr="008669C3">
        <w:t xml:space="preserve">define the year of CDS trade initiation as event year </w:t>
      </w:r>
      <w:r w:rsidR="00CF5B53" w:rsidRPr="008669C3">
        <w:rPr>
          <w:i/>
        </w:rPr>
        <w:t>t</w:t>
      </w:r>
      <w:r w:rsidR="00CF5B53" w:rsidRPr="008669C3">
        <w:t xml:space="preserve"> and </w:t>
      </w:r>
      <w:r w:rsidR="004E24C4" w:rsidRPr="008669C3">
        <w:t xml:space="preserve">require CDS firms and their potential control firms to have non-missing </w:t>
      </w:r>
      <w:r w:rsidR="004E24C4" w:rsidRPr="008669C3">
        <w:rPr>
          <w:color w:val="000000" w:themeColor="text1"/>
        </w:rPr>
        <w:t xml:space="preserve">data on </w:t>
      </w:r>
      <w:r w:rsidR="005D42E3" w:rsidRPr="008669C3">
        <w:rPr>
          <w:color w:val="000000" w:themeColor="text1"/>
        </w:rPr>
        <w:t>the outcome variables</w:t>
      </w:r>
      <w:r w:rsidR="004E24C4" w:rsidRPr="008669C3">
        <w:rPr>
          <w:color w:val="000000" w:themeColor="text1"/>
        </w:rPr>
        <w:t xml:space="preserve"> from year </w:t>
      </w:r>
      <w:r w:rsidR="004E24C4" w:rsidRPr="008669C3">
        <w:rPr>
          <w:i/>
          <w:color w:val="000000" w:themeColor="text1"/>
        </w:rPr>
        <w:t xml:space="preserve">t </w:t>
      </w:r>
      <w:r w:rsidR="004E24C4" w:rsidRPr="008669C3">
        <w:rPr>
          <w:color w:val="000000" w:themeColor="text1"/>
        </w:rPr>
        <w:t>- 1</w:t>
      </w:r>
      <w:r w:rsidR="004E24C4" w:rsidRPr="008669C3">
        <w:rPr>
          <w:i/>
          <w:color w:val="000000" w:themeColor="text1"/>
        </w:rPr>
        <w:t xml:space="preserve"> </w:t>
      </w:r>
      <w:r w:rsidR="004E24C4" w:rsidRPr="008669C3">
        <w:rPr>
          <w:color w:val="000000" w:themeColor="text1"/>
        </w:rPr>
        <w:t xml:space="preserve">to year </w:t>
      </w:r>
      <w:r w:rsidR="004E24C4" w:rsidRPr="008669C3">
        <w:rPr>
          <w:i/>
          <w:color w:val="000000" w:themeColor="text1"/>
        </w:rPr>
        <w:t xml:space="preserve">t </w:t>
      </w:r>
      <w:r w:rsidR="004E24C4" w:rsidRPr="008669C3">
        <w:rPr>
          <w:color w:val="000000" w:themeColor="text1"/>
        </w:rPr>
        <w:t xml:space="preserve">+ </w:t>
      </w:r>
      <w:r w:rsidR="00F73607" w:rsidRPr="008669C3">
        <w:rPr>
          <w:color w:val="000000" w:themeColor="text1"/>
        </w:rPr>
        <w:t>1</w:t>
      </w:r>
      <w:r w:rsidR="004E24C4" w:rsidRPr="008669C3">
        <w:rPr>
          <w:color w:val="000000" w:themeColor="text1"/>
        </w:rPr>
        <w:t xml:space="preserve"> </w:t>
      </w:r>
      <w:r w:rsidR="000C3FF9" w:rsidRPr="008669C3">
        <w:rPr>
          <w:color w:val="000000" w:themeColor="text1"/>
        </w:rPr>
        <w:t>and from year</w:t>
      </w:r>
      <w:r w:rsidR="000C3FF9" w:rsidRPr="008669C3">
        <w:rPr>
          <w:i/>
          <w:color w:val="000000" w:themeColor="text1"/>
        </w:rPr>
        <w:t xml:space="preserve"> t </w:t>
      </w:r>
      <w:r w:rsidR="000C3FF9" w:rsidRPr="008669C3">
        <w:rPr>
          <w:color w:val="000000" w:themeColor="text1"/>
        </w:rPr>
        <w:t>- 1</w:t>
      </w:r>
      <w:r w:rsidR="000C3FF9" w:rsidRPr="008669C3">
        <w:rPr>
          <w:i/>
          <w:color w:val="000000" w:themeColor="text1"/>
        </w:rPr>
        <w:t xml:space="preserve"> </w:t>
      </w:r>
      <w:r w:rsidR="000C3FF9" w:rsidRPr="008669C3">
        <w:rPr>
          <w:color w:val="000000" w:themeColor="text1"/>
        </w:rPr>
        <w:t xml:space="preserve">to year </w:t>
      </w:r>
      <w:r w:rsidR="000C3FF9" w:rsidRPr="008669C3">
        <w:rPr>
          <w:i/>
          <w:color w:val="000000" w:themeColor="text1"/>
        </w:rPr>
        <w:t xml:space="preserve">t </w:t>
      </w:r>
      <w:r w:rsidR="000C3FF9" w:rsidRPr="008669C3">
        <w:rPr>
          <w:color w:val="000000" w:themeColor="text1"/>
        </w:rPr>
        <w:t>+ 2, respectively, depending on the event window used</w:t>
      </w:r>
      <w:r w:rsidR="004E24C4" w:rsidRPr="008669C3">
        <w:rPr>
          <w:color w:val="000000" w:themeColor="text1"/>
        </w:rPr>
        <w:t xml:space="preserve">. We construct a control sample of non-CDS firms based on propensity scores one year prior to CDS introduction. </w:t>
      </w:r>
      <w:r w:rsidR="00943DAD" w:rsidRPr="008669C3">
        <w:rPr>
          <w:color w:val="000000" w:themeColor="text1"/>
        </w:rPr>
        <w:t>P</w:t>
      </w:r>
      <w:r w:rsidR="004E24C4" w:rsidRPr="008669C3">
        <w:rPr>
          <w:color w:val="000000" w:themeColor="text1"/>
        </w:rPr>
        <w:t>ropensity scores are obtained by estimating a logit model o</w:t>
      </w:r>
      <w:r w:rsidR="00F73607" w:rsidRPr="008669C3">
        <w:rPr>
          <w:color w:val="000000" w:themeColor="text1"/>
        </w:rPr>
        <w:t>f the likelihood of CDS trading</w:t>
      </w:r>
      <w:r w:rsidR="004E24C4" w:rsidRPr="008669C3">
        <w:rPr>
          <w:color w:val="000000" w:themeColor="text1"/>
        </w:rPr>
        <w:t xml:space="preserve"> </w:t>
      </w:r>
      <w:r w:rsidR="00B71EEE" w:rsidRPr="008669C3">
        <w:rPr>
          <w:color w:val="000000" w:themeColor="text1"/>
        </w:rPr>
        <w:t>where</w:t>
      </w:r>
      <w:r w:rsidR="004E24C4" w:rsidRPr="008669C3">
        <w:rPr>
          <w:color w:val="000000" w:themeColor="text1"/>
        </w:rPr>
        <w:t xml:space="preserve"> the independent variables include all the control variables in our baseline model, as well as industry and year </w:t>
      </w:r>
      <w:r w:rsidR="00A72F3C">
        <w:rPr>
          <w:color w:val="000000" w:themeColor="text1"/>
        </w:rPr>
        <w:t xml:space="preserve">fixed </w:t>
      </w:r>
      <w:r w:rsidR="004E24C4" w:rsidRPr="008669C3">
        <w:rPr>
          <w:color w:val="000000" w:themeColor="text1"/>
        </w:rPr>
        <w:t xml:space="preserve">effects. Each CDS firm is matched to a non-CDS firm with the closest propensity score. </w:t>
      </w:r>
      <w:r w:rsidR="00943DAD" w:rsidRPr="008669C3">
        <w:rPr>
          <w:color w:val="000000" w:themeColor="text1"/>
        </w:rPr>
        <w:t>T</w:t>
      </w:r>
      <w:r w:rsidR="004E24C4" w:rsidRPr="008669C3">
        <w:rPr>
          <w:color w:val="000000" w:themeColor="text1"/>
        </w:rPr>
        <w:t xml:space="preserve">o ensure that CDS firms and their matched control firms are sufficiently indistinguishable, we require that the maximum difference between the propensity score of a CDS firm and </w:t>
      </w:r>
      <w:r w:rsidR="004E04BC" w:rsidRPr="008669C3">
        <w:rPr>
          <w:color w:val="000000" w:themeColor="text1"/>
        </w:rPr>
        <w:t xml:space="preserve">that of </w:t>
      </w:r>
      <w:r w:rsidR="004E24C4" w:rsidRPr="008669C3">
        <w:rPr>
          <w:color w:val="000000" w:themeColor="text1"/>
        </w:rPr>
        <w:t xml:space="preserve">its matched control firm </w:t>
      </w:r>
      <w:r w:rsidR="008817B7" w:rsidRPr="008669C3">
        <w:rPr>
          <w:color w:val="000000" w:themeColor="text1"/>
        </w:rPr>
        <w:t>does</w:t>
      </w:r>
      <w:r w:rsidR="004E04BC" w:rsidRPr="008669C3">
        <w:rPr>
          <w:color w:val="000000" w:themeColor="text1"/>
        </w:rPr>
        <w:t xml:space="preserve"> </w:t>
      </w:r>
      <w:r w:rsidR="004E24C4" w:rsidRPr="008669C3">
        <w:rPr>
          <w:color w:val="000000" w:themeColor="text1"/>
        </w:rPr>
        <w:t>not exceed 0.0</w:t>
      </w:r>
      <w:r w:rsidR="00026FB5" w:rsidRPr="008669C3">
        <w:rPr>
          <w:color w:val="000000" w:themeColor="text1"/>
        </w:rPr>
        <w:t>1</w:t>
      </w:r>
      <w:r w:rsidR="004E24C4" w:rsidRPr="008669C3">
        <w:rPr>
          <w:color w:val="000000" w:themeColor="text1"/>
        </w:rPr>
        <w:t xml:space="preserve"> in absolute value. Eventually, we identify matches for 7</w:t>
      </w:r>
      <w:r w:rsidR="00A804F1" w:rsidRPr="008669C3">
        <w:rPr>
          <w:color w:val="000000" w:themeColor="text1"/>
        </w:rPr>
        <w:t>7</w:t>
      </w:r>
      <w:r w:rsidR="00F71AD9" w:rsidRPr="008669C3">
        <w:rPr>
          <w:color w:val="000000" w:themeColor="text1"/>
        </w:rPr>
        <w:t xml:space="preserve"> firms with CDS trade initiation</w:t>
      </w:r>
      <w:r w:rsidR="004E24C4" w:rsidRPr="008669C3">
        <w:rPr>
          <w:color w:val="000000" w:themeColor="text1"/>
        </w:rPr>
        <w:t xml:space="preserve"> during the sample period.</w:t>
      </w:r>
      <w:r w:rsidR="004E24C4" w:rsidRPr="008669C3">
        <w:rPr>
          <w:rStyle w:val="FootnoteReference"/>
          <w:color w:val="000000" w:themeColor="text1"/>
        </w:rPr>
        <w:footnoteReference w:id="7"/>
      </w:r>
    </w:p>
    <w:p w14:paraId="2879D56F" w14:textId="126FDE51" w:rsidR="004E24C4" w:rsidRPr="008669C3" w:rsidRDefault="004E24C4" w:rsidP="004E24C4">
      <w:pPr>
        <w:autoSpaceDE w:val="0"/>
        <w:autoSpaceDN w:val="0"/>
        <w:adjustRightInd w:val="0"/>
        <w:spacing w:before="240" w:after="240" w:line="480" w:lineRule="auto"/>
        <w:jc w:val="center"/>
        <w:rPr>
          <w:b/>
        </w:rPr>
      </w:pPr>
      <w:r w:rsidRPr="008669C3">
        <w:rPr>
          <w:b/>
        </w:rPr>
        <w:lastRenderedPageBreak/>
        <w:t xml:space="preserve">Insert Table </w:t>
      </w:r>
      <w:r w:rsidR="00CC63B3" w:rsidRPr="008669C3">
        <w:rPr>
          <w:b/>
        </w:rPr>
        <w:t>3</w:t>
      </w:r>
      <w:r w:rsidRPr="008669C3">
        <w:rPr>
          <w:b/>
        </w:rPr>
        <w:t xml:space="preserve"> about here</w:t>
      </w:r>
    </w:p>
    <w:p w14:paraId="5B851C4A" w14:textId="4BC3F7F3" w:rsidR="009C50BA" w:rsidRPr="008669C3" w:rsidRDefault="00933E24" w:rsidP="009C50BA">
      <w:pPr>
        <w:autoSpaceDE w:val="0"/>
        <w:autoSpaceDN w:val="0"/>
        <w:adjustRightInd w:val="0"/>
        <w:spacing w:line="480" w:lineRule="auto"/>
        <w:ind w:firstLine="567"/>
        <w:jc w:val="both"/>
        <w:rPr>
          <w:color w:val="000000" w:themeColor="text1"/>
        </w:rPr>
      </w:pPr>
      <w:r w:rsidRPr="008669C3">
        <w:rPr>
          <w:color w:val="000000" w:themeColor="text1"/>
        </w:rPr>
        <w:t>We perform a diagnostic test</w:t>
      </w:r>
      <w:r w:rsidR="009C50BA" w:rsidRPr="008669C3">
        <w:rPr>
          <w:color w:val="000000" w:themeColor="text1"/>
        </w:rPr>
        <w:t xml:space="preserve"> </w:t>
      </w:r>
      <w:r w:rsidRPr="008669C3">
        <w:rPr>
          <w:color w:val="000000" w:themeColor="text1"/>
        </w:rPr>
        <w:t>t</w:t>
      </w:r>
      <w:r w:rsidR="005D42E3" w:rsidRPr="008669C3">
        <w:rPr>
          <w:color w:val="000000" w:themeColor="text1"/>
        </w:rPr>
        <w:t xml:space="preserve">o verify that </w:t>
      </w:r>
      <w:r w:rsidR="00272538" w:rsidRPr="008669C3">
        <w:rPr>
          <w:color w:val="000000" w:themeColor="text1"/>
        </w:rPr>
        <w:t xml:space="preserve">the </w:t>
      </w:r>
      <w:r w:rsidR="005D42E3" w:rsidRPr="008669C3">
        <w:rPr>
          <w:color w:val="000000" w:themeColor="text1"/>
        </w:rPr>
        <w:t xml:space="preserve">treatment and </w:t>
      </w:r>
      <w:r w:rsidR="009C50BA" w:rsidRPr="008669C3">
        <w:rPr>
          <w:color w:val="000000" w:themeColor="text1"/>
        </w:rPr>
        <w:t xml:space="preserve">matched </w:t>
      </w:r>
      <w:r w:rsidR="005D42E3" w:rsidRPr="008669C3">
        <w:rPr>
          <w:color w:val="000000" w:themeColor="text1"/>
        </w:rPr>
        <w:t>control firms are indistinguishable</w:t>
      </w:r>
      <w:r w:rsidR="007B7B9F" w:rsidRPr="008669C3">
        <w:rPr>
          <w:color w:val="000000" w:themeColor="text1"/>
        </w:rPr>
        <w:t xml:space="preserve">. </w:t>
      </w:r>
      <w:r w:rsidR="009C50BA" w:rsidRPr="008669C3">
        <w:rPr>
          <w:color w:val="000000" w:themeColor="text1"/>
        </w:rPr>
        <w:t xml:space="preserve">The results presented </w:t>
      </w:r>
      <w:r w:rsidR="005D42E3" w:rsidRPr="008669C3">
        <w:rPr>
          <w:color w:val="000000" w:themeColor="text1"/>
        </w:rPr>
        <w:t xml:space="preserve">in Appendix </w:t>
      </w:r>
      <w:r w:rsidR="00F81185">
        <w:rPr>
          <w:color w:val="000000" w:themeColor="text1"/>
        </w:rPr>
        <w:t>B</w:t>
      </w:r>
      <w:r w:rsidR="009C50BA" w:rsidRPr="008669C3">
        <w:rPr>
          <w:color w:val="000000" w:themeColor="text1"/>
        </w:rPr>
        <w:t xml:space="preserve"> suggest that</w:t>
      </w:r>
      <w:r w:rsidR="007B7B9F" w:rsidRPr="008669C3">
        <w:rPr>
          <w:color w:val="000000" w:themeColor="text1"/>
        </w:rPr>
        <w:t>,</w:t>
      </w:r>
      <w:r w:rsidR="009C50BA" w:rsidRPr="008669C3">
        <w:rPr>
          <w:color w:val="000000" w:themeColor="text1"/>
        </w:rPr>
        <w:t xml:space="preserve"> in the matched sample</w:t>
      </w:r>
      <w:r w:rsidR="007B7B9F" w:rsidRPr="008669C3">
        <w:rPr>
          <w:color w:val="000000" w:themeColor="text1"/>
        </w:rPr>
        <w:t xml:space="preserve">, </w:t>
      </w:r>
      <w:r w:rsidR="009C50BA" w:rsidRPr="008669C3">
        <w:rPr>
          <w:color w:val="000000" w:themeColor="text1"/>
        </w:rPr>
        <w:t>the two groups are balanced across observable characteristics and no significant differences remain.</w:t>
      </w:r>
    </w:p>
    <w:p w14:paraId="287F5895" w14:textId="4DB7D41B" w:rsidR="00F42585" w:rsidRPr="008669C3" w:rsidRDefault="009B4E87" w:rsidP="00DE5925">
      <w:pPr>
        <w:autoSpaceDE w:val="0"/>
        <w:autoSpaceDN w:val="0"/>
        <w:adjustRightInd w:val="0"/>
        <w:spacing w:line="480" w:lineRule="auto"/>
        <w:ind w:firstLine="567"/>
        <w:jc w:val="both"/>
      </w:pPr>
      <w:r w:rsidRPr="008669C3">
        <w:t xml:space="preserve">The first four columns of Table 3 </w:t>
      </w:r>
      <w:r w:rsidR="00872055" w:rsidRPr="008669C3">
        <w:t>present</w:t>
      </w:r>
      <w:r w:rsidRPr="008669C3">
        <w:t xml:space="preserve"> the </w:t>
      </w:r>
      <w:r w:rsidR="002B1482" w:rsidRPr="008669C3">
        <w:t xml:space="preserve">means and </w:t>
      </w:r>
      <w:r w:rsidRPr="008669C3">
        <w:t xml:space="preserve">average changes </w:t>
      </w:r>
      <w:r w:rsidR="002B1482" w:rsidRPr="008669C3">
        <w:t>of</w:t>
      </w:r>
      <w:r w:rsidRPr="008669C3">
        <w:t xml:space="preserve"> the two risk-taking incentive measures for the periods </w:t>
      </w:r>
      <w:r w:rsidR="00DD5533" w:rsidRPr="008669C3">
        <w:t>around CDS introduction</w:t>
      </w:r>
      <w:r w:rsidR="0044784F" w:rsidRPr="008669C3">
        <w:t xml:space="preserve">. </w:t>
      </w:r>
      <w:r w:rsidR="00800A1D" w:rsidRPr="008669C3">
        <w:t>On average</w:t>
      </w:r>
      <w:r w:rsidRPr="008669C3">
        <w:t xml:space="preserve">, </w:t>
      </w:r>
      <w:r w:rsidR="007A5678" w:rsidRPr="008669C3">
        <w:t>treatment</w:t>
      </w:r>
      <w:r w:rsidRPr="008669C3">
        <w:t xml:space="preserve"> firms </w:t>
      </w:r>
      <w:r w:rsidR="00872055" w:rsidRPr="008669C3">
        <w:t>experience increase</w:t>
      </w:r>
      <w:r w:rsidR="002566FE" w:rsidRPr="008669C3">
        <w:t>s</w:t>
      </w:r>
      <w:r w:rsidR="00872055" w:rsidRPr="008669C3">
        <w:t xml:space="preserve"> in </w:t>
      </w:r>
      <w:r w:rsidR="002566FE" w:rsidRPr="008669C3">
        <w:t xml:space="preserve">CEO </w:t>
      </w:r>
      <w:r w:rsidR="00872055" w:rsidRPr="008669C3">
        <w:t>vega and option compensation</w:t>
      </w:r>
      <w:r w:rsidR="00800A1D" w:rsidRPr="008669C3">
        <w:t xml:space="preserve"> after the onset of CDS trading. By contrast, the </w:t>
      </w:r>
      <w:r w:rsidR="002566FE" w:rsidRPr="008669C3">
        <w:t xml:space="preserve">average changes for </w:t>
      </w:r>
      <w:r w:rsidR="00DE5925" w:rsidRPr="008669C3">
        <w:t>control</w:t>
      </w:r>
      <w:r w:rsidR="002566FE" w:rsidRPr="008669C3">
        <w:t xml:space="preserve"> firms are negative. </w:t>
      </w:r>
      <w:r w:rsidR="00DE5925" w:rsidRPr="008669C3">
        <w:t>As a result, t</w:t>
      </w:r>
      <w:r w:rsidR="002566FE" w:rsidRPr="008669C3">
        <w:t>he difference</w:t>
      </w:r>
      <w:r w:rsidR="00DE5925" w:rsidRPr="008669C3">
        <w:t>s</w:t>
      </w:r>
      <w:r w:rsidR="002566FE" w:rsidRPr="008669C3">
        <w:t xml:space="preserve"> in the changes between CDS and </w:t>
      </w:r>
      <w:r w:rsidR="00DE5925" w:rsidRPr="008669C3">
        <w:t>matched control</w:t>
      </w:r>
      <w:r w:rsidR="002566FE" w:rsidRPr="008669C3">
        <w:t xml:space="preserve"> firms</w:t>
      </w:r>
      <w:r w:rsidR="00DE5925" w:rsidRPr="008669C3">
        <w:t xml:space="preserve"> </w:t>
      </w:r>
      <w:r w:rsidR="007A5678" w:rsidRPr="008669C3">
        <w:t xml:space="preserve">for both event windows </w:t>
      </w:r>
      <w:r w:rsidR="00DE5925" w:rsidRPr="008669C3">
        <w:t xml:space="preserve">are positive and significant, indicating that the positive effect of CDS trading on risk-taking incentives is </w:t>
      </w:r>
      <w:r w:rsidR="007A5678" w:rsidRPr="008669C3">
        <w:t xml:space="preserve">likely to be </w:t>
      </w:r>
      <w:r w:rsidR="00DE5925" w:rsidRPr="008669C3">
        <w:t xml:space="preserve">persistent. </w:t>
      </w:r>
    </w:p>
    <w:p w14:paraId="2CF8B7A3" w14:textId="70DAC325" w:rsidR="00447957" w:rsidRPr="008669C3" w:rsidRDefault="00447957" w:rsidP="00447957">
      <w:pPr>
        <w:autoSpaceDE w:val="0"/>
        <w:autoSpaceDN w:val="0"/>
        <w:adjustRightInd w:val="0"/>
        <w:spacing w:line="480" w:lineRule="auto"/>
        <w:ind w:firstLine="567"/>
        <w:jc w:val="both"/>
      </w:pPr>
      <w:r w:rsidRPr="008669C3">
        <w:t>The observed decline in pay convexity and option compensation in the post-treatment period for non-CDS firms may reflect the fact that the change in the accounting treatment of stock options following the implementation of the Financial Accounting Standard (FAS) 123R in 2005 has subsequently reduced the attractiveness of options. Under the new regulation, firms are required to expense executive stock options at fair value, which results in a significant cutback in option pay, reducing the sensitivity of CEO wealth to stock return volatility (Hayes et al., 2012; Bakke et al., 2016).</w:t>
      </w:r>
      <w:r w:rsidRPr="008669C3">
        <w:rPr>
          <w:rStyle w:val="FootnoteReference"/>
        </w:rPr>
        <w:footnoteReference w:id="8"/>
      </w:r>
      <w:r w:rsidRPr="008669C3">
        <w:t xml:space="preserve"> </w:t>
      </w:r>
      <w:r w:rsidR="005957D3" w:rsidRPr="008669C3">
        <w:t>While i</w:t>
      </w:r>
      <w:r w:rsidRPr="008669C3">
        <w:t xml:space="preserve">t is not the focus of this paper to examine how the accounting treatment of stock options affect their use, it does </w:t>
      </w:r>
      <w:r w:rsidR="00705AEF" w:rsidRPr="008669C3">
        <w:t>evoke</w:t>
      </w:r>
      <w:r w:rsidRPr="008669C3">
        <w:t xml:space="preserve"> the </w:t>
      </w:r>
      <w:r w:rsidRPr="008669C3">
        <w:lastRenderedPageBreak/>
        <w:t xml:space="preserve">importance of using a control sample of non-CDS firms to filter out this time trend in order to draw accurate inferences, which we do. </w:t>
      </w:r>
    </w:p>
    <w:p w14:paraId="324E24D6" w14:textId="2C1106C9" w:rsidR="004E24C4" w:rsidRPr="008669C3" w:rsidRDefault="00F42585" w:rsidP="002E19EA">
      <w:pPr>
        <w:autoSpaceDE w:val="0"/>
        <w:autoSpaceDN w:val="0"/>
        <w:adjustRightInd w:val="0"/>
        <w:spacing w:line="480" w:lineRule="auto"/>
        <w:ind w:firstLine="567"/>
        <w:jc w:val="both"/>
      </w:pPr>
      <w:r w:rsidRPr="008669C3">
        <w:t>The remaining columns of Table 3 report the result</w:t>
      </w:r>
      <w:r w:rsidR="00280F21" w:rsidRPr="008669C3">
        <w:t xml:space="preserve">s for </w:t>
      </w:r>
      <w:r w:rsidR="002E19EA" w:rsidRPr="008669C3">
        <w:t xml:space="preserve">book </w:t>
      </w:r>
      <w:r w:rsidR="00483837">
        <w:t xml:space="preserve">leverage </w:t>
      </w:r>
      <w:r w:rsidR="002E19EA" w:rsidRPr="008669C3">
        <w:t>and market</w:t>
      </w:r>
      <w:r w:rsidR="00280F21" w:rsidRPr="008669C3">
        <w:t xml:space="preserve"> leverage. Consistent with Saretto and Tookes (2013), we observe a positive role for CDSs</w:t>
      </w:r>
      <w:r w:rsidR="00010B10" w:rsidRPr="008669C3">
        <w:t xml:space="preserve"> in affecting leverage decisions</w:t>
      </w:r>
      <w:r w:rsidR="002E19EA" w:rsidRPr="008669C3">
        <w:t xml:space="preserve">. The </w:t>
      </w:r>
      <w:r w:rsidR="00134110" w:rsidRPr="008669C3">
        <w:t>differences</w:t>
      </w:r>
      <w:r w:rsidR="002E19EA" w:rsidRPr="008669C3">
        <w:t xml:space="preserve"> in changes between CDS and matched control firms </w:t>
      </w:r>
      <w:r w:rsidR="00134110" w:rsidRPr="008669C3">
        <w:t>are</w:t>
      </w:r>
      <w:r w:rsidR="002E19EA" w:rsidRPr="008669C3">
        <w:t xml:space="preserve"> positive and statistically significant for both the </w:t>
      </w:r>
      <w:r w:rsidR="002E19EA" w:rsidRPr="008669C3">
        <w:rPr>
          <w:i/>
          <w:color w:val="000000" w:themeColor="text1"/>
        </w:rPr>
        <w:t xml:space="preserve">t </w:t>
      </w:r>
      <w:r w:rsidR="002E19EA" w:rsidRPr="008669C3">
        <w:rPr>
          <w:color w:val="000000" w:themeColor="text1"/>
        </w:rPr>
        <w:t>- 1</w:t>
      </w:r>
      <w:r w:rsidR="002E19EA" w:rsidRPr="008669C3">
        <w:rPr>
          <w:i/>
          <w:color w:val="000000" w:themeColor="text1"/>
        </w:rPr>
        <w:t xml:space="preserve"> </w:t>
      </w:r>
      <w:r w:rsidR="002E19EA" w:rsidRPr="008669C3">
        <w:rPr>
          <w:color w:val="000000" w:themeColor="text1"/>
        </w:rPr>
        <w:t xml:space="preserve">to </w:t>
      </w:r>
      <w:r w:rsidR="002E19EA" w:rsidRPr="008669C3">
        <w:rPr>
          <w:i/>
          <w:color w:val="000000" w:themeColor="text1"/>
        </w:rPr>
        <w:t xml:space="preserve">t </w:t>
      </w:r>
      <w:r w:rsidR="002E19EA" w:rsidRPr="008669C3">
        <w:rPr>
          <w:color w:val="000000" w:themeColor="text1"/>
        </w:rPr>
        <w:t xml:space="preserve">+ 1 and </w:t>
      </w:r>
      <w:r w:rsidR="002E19EA" w:rsidRPr="008669C3">
        <w:rPr>
          <w:i/>
          <w:color w:val="000000" w:themeColor="text1"/>
        </w:rPr>
        <w:t xml:space="preserve">t </w:t>
      </w:r>
      <w:r w:rsidR="002E19EA" w:rsidRPr="008669C3">
        <w:rPr>
          <w:color w:val="000000" w:themeColor="text1"/>
        </w:rPr>
        <w:t>- 1</w:t>
      </w:r>
      <w:r w:rsidR="002E19EA" w:rsidRPr="008669C3">
        <w:rPr>
          <w:i/>
          <w:color w:val="000000" w:themeColor="text1"/>
        </w:rPr>
        <w:t xml:space="preserve"> </w:t>
      </w:r>
      <w:r w:rsidR="002E19EA" w:rsidRPr="008669C3">
        <w:rPr>
          <w:color w:val="000000" w:themeColor="text1"/>
        </w:rPr>
        <w:t xml:space="preserve">to </w:t>
      </w:r>
      <w:r w:rsidR="002E19EA" w:rsidRPr="008669C3">
        <w:rPr>
          <w:i/>
          <w:color w:val="000000" w:themeColor="text1"/>
        </w:rPr>
        <w:t xml:space="preserve">t </w:t>
      </w:r>
      <w:r w:rsidR="002E19EA" w:rsidRPr="008669C3">
        <w:rPr>
          <w:color w:val="000000" w:themeColor="text1"/>
        </w:rPr>
        <w:t>+ 2 horizons, suggesting that firms with traded CDS contracts on their debt are able to maintain higher leverage ratios.</w:t>
      </w:r>
    </w:p>
    <w:p w14:paraId="3A037E1A" w14:textId="77777777" w:rsidR="002E19EA" w:rsidRPr="008669C3" w:rsidRDefault="002E19EA" w:rsidP="002E19EA">
      <w:pPr>
        <w:autoSpaceDE w:val="0"/>
        <w:autoSpaceDN w:val="0"/>
        <w:adjustRightInd w:val="0"/>
        <w:spacing w:line="480" w:lineRule="auto"/>
        <w:ind w:firstLine="567"/>
        <w:jc w:val="both"/>
      </w:pPr>
    </w:p>
    <w:p w14:paraId="38A90467" w14:textId="353F09CE" w:rsidR="006C2541" w:rsidRPr="008669C3" w:rsidRDefault="00176F8C" w:rsidP="00687AF8">
      <w:pPr>
        <w:keepNext/>
        <w:autoSpaceDE w:val="0"/>
        <w:autoSpaceDN w:val="0"/>
        <w:adjustRightInd w:val="0"/>
        <w:spacing w:line="480" w:lineRule="auto"/>
        <w:jc w:val="both"/>
        <w:rPr>
          <w:i/>
        </w:rPr>
      </w:pPr>
      <w:r w:rsidRPr="008669C3">
        <w:rPr>
          <w:i/>
        </w:rPr>
        <w:t>3</w:t>
      </w:r>
      <w:r w:rsidR="006C2541" w:rsidRPr="008669C3">
        <w:rPr>
          <w:i/>
        </w:rPr>
        <w:t>.</w:t>
      </w:r>
      <w:r w:rsidR="004E24C4" w:rsidRPr="008669C3">
        <w:rPr>
          <w:i/>
        </w:rPr>
        <w:t>2</w:t>
      </w:r>
      <w:r w:rsidR="006C2541" w:rsidRPr="008669C3">
        <w:rPr>
          <w:i/>
        </w:rPr>
        <w:t xml:space="preserve">. Impact of CDS trading on </w:t>
      </w:r>
      <w:r w:rsidR="00877121" w:rsidRPr="008669C3">
        <w:rPr>
          <w:i/>
        </w:rPr>
        <w:t>managerial risk-taking incentives</w:t>
      </w:r>
    </w:p>
    <w:p w14:paraId="3D9B6DDA" w14:textId="35956492" w:rsidR="00BA254F" w:rsidRPr="008669C3" w:rsidRDefault="006C2541" w:rsidP="00687AF8">
      <w:pPr>
        <w:autoSpaceDE w:val="0"/>
        <w:autoSpaceDN w:val="0"/>
        <w:adjustRightInd w:val="0"/>
        <w:spacing w:line="480" w:lineRule="auto"/>
        <w:ind w:firstLine="567"/>
        <w:jc w:val="both"/>
      </w:pPr>
      <w:r w:rsidRPr="008669C3">
        <w:t xml:space="preserve">In </w:t>
      </w:r>
      <w:r w:rsidR="00FD0E93" w:rsidRPr="008669C3">
        <w:t xml:space="preserve">Panel A of </w:t>
      </w:r>
      <w:r w:rsidRPr="008669C3">
        <w:t xml:space="preserve">Table </w:t>
      </w:r>
      <w:r w:rsidR="007119D1" w:rsidRPr="008669C3">
        <w:t>4</w:t>
      </w:r>
      <w:r w:rsidRPr="008669C3">
        <w:t xml:space="preserve">, we establish the empirical relation between CDS trading and </w:t>
      </w:r>
      <w:r w:rsidR="00FD0E93" w:rsidRPr="008669C3">
        <w:t>CEO</w:t>
      </w:r>
      <w:r w:rsidRPr="008669C3">
        <w:t xml:space="preserve"> vega. Columns (1) and (2) present the results of firm and CEO–firm fixed effects models, respectively. In both specifications, the coefficient estimates for </w:t>
      </w:r>
      <w:r w:rsidRPr="008669C3">
        <w:rPr>
          <w:i/>
        </w:rPr>
        <w:t xml:space="preserve">CDS trading </w:t>
      </w:r>
      <w:r w:rsidRPr="008669C3">
        <w:t>are positive and statistically significant at the 5% level, suggesting that CDS trade initiation has a positive effect on vega.</w:t>
      </w:r>
      <w:r w:rsidR="00743DED" w:rsidRPr="008669C3">
        <w:rPr>
          <w:rStyle w:val="FootnoteReference"/>
        </w:rPr>
        <w:t xml:space="preserve"> </w:t>
      </w:r>
    </w:p>
    <w:p w14:paraId="6603F3DB" w14:textId="5706C164" w:rsidR="006C2541" w:rsidRPr="008669C3" w:rsidRDefault="006C2541" w:rsidP="00687AF8">
      <w:pPr>
        <w:autoSpaceDE w:val="0"/>
        <w:autoSpaceDN w:val="0"/>
        <w:adjustRightInd w:val="0"/>
        <w:spacing w:before="240" w:after="240" w:line="480" w:lineRule="auto"/>
        <w:jc w:val="center"/>
        <w:rPr>
          <w:b/>
        </w:rPr>
      </w:pPr>
      <w:r w:rsidRPr="008669C3">
        <w:rPr>
          <w:b/>
        </w:rPr>
        <w:t xml:space="preserve">Insert Table </w:t>
      </w:r>
      <w:r w:rsidR="00FD0E93" w:rsidRPr="008669C3">
        <w:rPr>
          <w:b/>
        </w:rPr>
        <w:t>4</w:t>
      </w:r>
      <w:r w:rsidRPr="008669C3">
        <w:rPr>
          <w:b/>
        </w:rPr>
        <w:t xml:space="preserve"> about here</w:t>
      </w:r>
    </w:p>
    <w:p w14:paraId="40AF09A0" w14:textId="3FA0A0BD" w:rsidR="006C2541" w:rsidRPr="008669C3" w:rsidRDefault="006C2541" w:rsidP="00687AF8">
      <w:pPr>
        <w:autoSpaceDE w:val="0"/>
        <w:autoSpaceDN w:val="0"/>
        <w:adjustRightInd w:val="0"/>
        <w:spacing w:line="480" w:lineRule="auto"/>
        <w:ind w:firstLine="567"/>
        <w:jc w:val="both"/>
      </w:pPr>
      <w:r w:rsidRPr="008669C3">
        <w:t xml:space="preserve">The economic magnitudes are also substantial. For example, the coefficient of </w:t>
      </w:r>
      <w:r w:rsidRPr="008669C3">
        <w:rPr>
          <w:i/>
        </w:rPr>
        <w:t>CDS trading</w:t>
      </w:r>
      <w:r w:rsidRPr="008669C3">
        <w:t xml:space="preserve"> in the CEO–</w:t>
      </w:r>
      <w:r w:rsidR="008A01C8" w:rsidRPr="008669C3">
        <w:t xml:space="preserve">firm fixed effect specification in column (2) of </w:t>
      </w:r>
      <w:r w:rsidR="004B1C95">
        <w:t xml:space="preserve">Panel A </w:t>
      </w:r>
      <w:r w:rsidR="008A01C8" w:rsidRPr="008669C3">
        <w:t xml:space="preserve">Table </w:t>
      </w:r>
      <w:r w:rsidR="004B1C95">
        <w:t>4</w:t>
      </w:r>
      <w:r w:rsidRPr="008669C3">
        <w:t xml:space="preserve"> is 0.2</w:t>
      </w:r>
      <w:r w:rsidR="00FD0E93" w:rsidRPr="008669C3">
        <w:t>91</w:t>
      </w:r>
      <w:r w:rsidRPr="008669C3">
        <w:t>, which implies that vega increases by 2</w:t>
      </w:r>
      <w:r w:rsidR="00FD0E93" w:rsidRPr="008669C3">
        <w:t>9</w:t>
      </w:r>
      <w:r w:rsidRPr="008669C3">
        <w:t>.</w:t>
      </w:r>
      <w:r w:rsidR="00FD0E93" w:rsidRPr="008669C3">
        <w:t>1</w:t>
      </w:r>
      <w:r w:rsidRPr="008669C3">
        <w:t xml:space="preserve">% following the onset of CDS trading. This result is not driven by unobserved CEO </w:t>
      </w:r>
      <w:r w:rsidR="00FD0E93" w:rsidRPr="008669C3">
        <w:t>traits</w:t>
      </w:r>
      <w:r w:rsidRPr="008669C3">
        <w:t>, providing additional confidence for a causal interpretation of our findings. Absorbing unobserved CEO heterogeneity also addresses the concern that endogenous CEO–firm matching could bias our results.</w:t>
      </w:r>
    </w:p>
    <w:p w14:paraId="16111CA3" w14:textId="25F4E9B1" w:rsidR="006C2541" w:rsidRPr="008669C3" w:rsidRDefault="006C2541" w:rsidP="00687AF8">
      <w:pPr>
        <w:autoSpaceDE w:val="0"/>
        <w:autoSpaceDN w:val="0"/>
        <w:adjustRightInd w:val="0"/>
        <w:spacing w:line="480" w:lineRule="auto"/>
        <w:ind w:firstLine="567"/>
        <w:jc w:val="both"/>
      </w:pPr>
      <w:r w:rsidRPr="008669C3">
        <w:t>A</w:t>
      </w:r>
      <w:r w:rsidR="008A01C8" w:rsidRPr="008669C3">
        <w:t>nother</w:t>
      </w:r>
      <w:r w:rsidRPr="008669C3">
        <w:t xml:space="preserve"> potential concern about the interpretation of our baseline results pertains to reverse causality: </w:t>
      </w:r>
      <w:r w:rsidR="007A305D" w:rsidRPr="008669C3">
        <w:t>i</w:t>
      </w:r>
      <w:r w:rsidRPr="008669C3">
        <w:t xml:space="preserve">f, observing firms’ managerial compensation decisions, creditors initiate </w:t>
      </w:r>
      <w:r w:rsidRPr="008669C3">
        <w:lastRenderedPageBreak/>
        <w:t xml:space="preserve">hedging contracts and CDS markets emerge, then our results would be driven by reverse causation. To rule out this </w:t>
      </w:r>
      <w:r w:rsidR="008A01C8" w:rsidRPr="008669C3">
        <w:t>possibility</w:t>
      </w:r>
      <w:r w:rsidRPr="008669C3">
        <w:t xml:space="preserve">, we perform additional empirical analyses to examine the dynamics of the CDS effect. Specifically, we replace </w:t>
      </w:r>
      <w:r w:rsidRPr="008669C3">
        <w:rPr>
          <w:i/>
        </w:rPr>
        <w:t>CDS trading</w:t>
      </w:r>
      <w:r w:rsidRPr="008669C3">
        <w:t xml:space="preserve"> with a set of four dummy variables indicating the year prior to CDS introduction (</w:t>
      </w:r>
      <w:r w:rsidRPr="008669C3">
        <w:rPr>
          <w:i/>
        </w:rPr>
        <w:t>CDS trading</w:t>
      </w:r>
      <w:r w:rsidRPr="008669C3">
        <w:rPr>
          <w:i/>
          <w:vertAlign w:val="superscript"/>
        </w:rPr>
        <w:t>-1</w:t>
      </w:r>
      <w:r w:rsidRPr="008669C3">
        <w:t>), the year of CDS introduction (</w:t>
      </w:r>
      <w:r w:rsidRPr="008669C3">
        <w:rPr>
          <w:i/>
        </w:rPr>
        <w:t>CDS trading</w:t>
      </w:r>
      <w:r w:rsidRPr="008669C3">
        <w:rPr>
          <w:i/>
          <w:vertAlign w:val="superscript"/>
        </w:rPr>
        <w:t>0</w:t>
      </w:r>
      <w:r w:rsidRPr="008669C3">
        <w:t>), the first year after CDS introduction (</w:t>
      </w:r>
      <w:r w:rsidRPr="008669C3">
        <w:rPr>
          <w:i/>
        </w:rPr>
        <w:t>CDS trading</w:t>
      </w:r>
      <w:r w:rsidRPr="008669C3">
        <w:rPr>
          <w:i/>
          <w:vertAlign w:val="superscript"/>
        </w:rPr>
        <w:t>+1</w:t>
      </w:r>
      <w:r w:rsidRPr="008669C3">
        <w:t>), and two or more years after CDS introduction (</w:t>
      </w:r>
      <w:r w:rsidRPr="008669C3">
        <w:rPr>
          <w:i/>
        </w:rPr>
        <w:t>CDS trading</w:t>
      </w:r>
      <w:r w:rsidR="001C1BBC" w:rsidRPr="008669C3">
        <w:rPr>
          <w:i/>
          <w:vertAlign w:val="superscript"/>
        </w:rPr>
        <w:t>≥</w:t>
      </w:r>
      <w:r w:rsidRPr="008669C3">
        <w:rPr>
          <w:i/>
          <w:vertAlign w:val="superscript"/>
        </w:rPr>
        <w:t>+2</w:t>
      </w:r>
      <w:r w:rsidRPr="008669C3">
        <w:t xml:space="preserve">). If our results are affected by reverse causation, the likelihood of CDS trading might already be correlated with </w:t>
      </w:r>
      <w:r w:rsidR="008A01C8" w:rsidRPr="008669C3">
        <w:t xml:space="preserve">CEO </w:t>
      </w:r>
      <w:r w:rsidRPr="008669C3">
        <w:t xml:space="preserve">vega before the inception of CDS trading. In that case, we should observe a positive and significant coefficient for </w:t>
      </w:r>
      <w:r w:rsidRPr="008669C3">
        <w:rPr>
          <w:i/>
        </w:rPr>
        <w:t>CDS trading</w:t>
      </w:r>
      <w:r w:rsidRPr="008669C3">
        <w:rPr>
          <w:i/>
          <w:vertAlign w:val="superscript"/>
        </w:rPr>
        <w:t>-1</w:t>
      </w:r>
      <w:r w:rsidRPr="008669C3">
        <w:t>.</w:t>
      </w:r>
    </w:p>
    <w:p w14:paraId="29846711" w14:textId="042DCF2F" w:rsidR="006C2541" w:rsidRPr="008669C3" w:rsidRDefault="006C2541" w:rsidP="00687AF8">
      <w:pPr>
        <w:autoSpaceDE w:val="0"/>
        <w:autoSpaceDN w:val="0"/>
        <w:adjustRightInd w:val="0"/>
        <w:spacing w:line="480" w:lineRule="auto"/>
        <w:ind w:firstLine="567"/>
        <w:jc w:val="both"/>
      </w:pPr>
      <w:r w:rsidRPr="008669C3">
        <w:t xml:space="preserve">The results in columns (3) and (4) </w:t>
      </w:r>
      <w:r w:rsidR="00110178" w:rsidRPr="008669C3">
        <w:t xml:space="preserve">of Panel A </w:t>
      </w:r>
      <w:r w:rsidRPr="008669C3">
        <w:t xml:space="preserve">alleviate concerns about reverse causation or pre-existing trends since, in both specifications, the coefficients of </w:t>
      </w:r>
      <w:r w:rsidRPr="008669C3">
        <w:rPr>
          <w:i/>
        </w:rPr>
        <w:t>CDS trading</w:t>
      </w:r>
      <w:r w:rsidRPr="008669C3">
        <w:rPr>
          <w:i/>
          <w:vertAlign w:val="superscript"/>
        </w:rPr>
        <w:t>-1</w:t>
      </w:r>
      <w:r w:rsidRPr="008669C3">
        <w:t xml:space="preserve"> are insignificant. Interestingly, we find that the coefficient of </w:t>
      </w:r>
      <w:r w:rsidRPr="008669C3">
        <w:rPr>
          <w:i/>
        </w:rPr>
        <w:t>CDS trading</w:t>
      </w:r>
      <w:r w:rsidRPr="008669C3">
        <w:rPr>
          <w:i/>
          <w:vertAlign w:val="superscript"/>
        </w:rPr>
        <w:t>0</w:t>
      </w:r>
      <w:r w:rsidRPr="008669C3">
        <w:t xml:space="preserve"> is also insignificant and the coefficients of both </w:t>
      </w:r>
      <w:r w:rsidRPr="008669C3">
        <w:rPr>
          <w:i/>
        </w:rPr>
        <w:t>CDS trading</w:t>
      </w:r>
      <w:r w:rsidRPr="008669C3">
        <w:rPr>
          <w:i/>
          <w:vertAlign w:val="superscript"/>
        </w:rPr>
        <w:t>+1</w:t>
      </w:r>
      <w:r w:rsidRPr="008669C3">
        <w:t xml:space="preserve"> and </w:t>
      </w:r>
      <w:r w:rsidRPr="008669C3">
        <w:rPr>
          <w:i/>
        </w:rPr>
        <w:t>CDS trading</w:t>
      </w:r>
      <w:r w:rsidRPr="008669C3">
        <w:rPr>
          <w:i/>
          <w:vertAlign w:val="superscript"/>
        </w:rPr>
        <w:t>&gt;=+2</w:t>
      </w:r>
      <w:r w:rsidRPr="008669C3">
        <w:t xml:space="preserve"> are positive and statistically significant. These results indicate that it is only one year after the initiation of CDS trading that the positive effect on vega becomes large and significant. Overall, these findings suggest that the observed effect of </w:t>
      </w:r>
      <w:r w:rsidRPr="008669C3">
        <w:rPr>
          <w:i/>
        </w:rPr>
        <w:t>CDS trading</w:t>
      </w:r>
      <w:r w:rsidRPr="008669C3">
        <w:t xml:space="preserve"> on </w:t>
      </w:r>
      <w:r w:rsidRPr="008669C3">
        <w:rPr>
          <w:i/>
        </w:rPr>
        <w:t>Vega</w:t>
      </w:r>
      <w:r w:rsidRPr="008669C3">
        <w:t xml:space="preserve"> does not reflect reverse causation.</w:t>
      </w:r>
    </w:p>
    <w:p w14:paraId="5772C673" w14:textId="2186236C" w:rsidR="006C2541" w:rsidRPr="008669C3" w:rsidRDefault="00110178" w:rsidP="00110178">
      <w:pPr>
        <w:autoSpaceDE w:val="0"/>
        <w:autoSpaceDN w:val="0"/>
        <w:adjustRightInd w:val="0"/>
        <w:spacing w:line="480" w:lineRule="auto"/>
        <w:ind w:firstLine="567"/>
        <w:jc w:val="both"/>
      </w:pPr>
      <w:r w:rsidRPr="008669C3">
        <w:t>In Panel B of Table 4</w:t>
      </w:r>
      <w:r w:rsidR="00FD0E93" w:rsidRPr="008669C3">
        <w:t xml:space="preserve">, we repeat the regressions in </w:t>
      </w:r>
      <w:r w:rsidRPr="008669C3">
        <w:t>Panel A using</w:t>
      </w:r>
      <w:r w:rsidR="00FD0E93" w:rsidRPr="008669C3">
        <w:t xml:space="preserve"> </w:t>
      </w:r>
      <w:r w:rsidRPr="008669C3">
        <w:t>CEO option pay as an alternative measure of risk-taking incentives</w:t>
      </w:r>
      <w:r w:rsidR="00FD0E93" w:rsidRPr="008669C3">
        <w:t>. We</w:t>
      </w:r>
      <w:r w:rsidRPr="008669C3">
        <w:t xml:space="preserve"> </w:t>
      </w:r>
      <w:r w:rsidR="00FD0E93" w:rsidRPr="008669C3">
        <w:t xml:space="preserve">find a positive </w:t>
      </w:r>
      <w:r w:rsidR="001B65FC" w:rsidRPr="008669C3">
        <w:t>relation</w:t>
      </w:r>
      <w:r w:rsidR="00FD0E93" w:rsidRPr="008669C3">
        <w:t xml:space="preserve"> between </w:t>
      </w:r>
      <w:r w:rsidRPr="008669C3">
        <w:t>CEO option pay</w:t>
      </w:r>
      <w:r w:rsidR="00FD0E93" w:rsidRPr="008669C3">
        <w:t xml:space="preserve"> and the initiation of </w:t>
      </w:r>
      <w:r w:rsidR="001B65FC" w:rsidRPr="008669C3">
        <w:t>CDS trading, indicating that CEOs receive more option compensation in the post-CDS period. The patterns in columns (3) and (4) of Panel B suggest that the observed positive relation cannot be explained by reverse causation.</w:t>
      </w:r>
    </w:p>
    <w:p w14:paraId="441CFA30" w14:textId="77777777" w:rsidR="00FD0E93" w:rsidRPr="008669C3" w:rsidRDefault="00FD0E93" w:rsidP="00687AF8">
      <w:pPr>
        <w:autoSpaceDE w:val="0"/>
        <w:autoSpaceDN w:val="0"/>
        <w:adjustRightInd w:val="0"/>
        <w:spacing w:line="480" w:lineRule="auto"/>
        <w:jc w:val="both"/>
        <w:rPr>
          <w:i/>
        </w:rPr>
      </w:pPr>
    </w:p>
    <w:p w14:paraId="69340A5C" w14:textId="72D9FE1A" w:rsidR="006C2541" w:rsidRPr="008669C3" w:rsidRDefault="008C47CB" w:rsidP="00687AF8">
      <w:pPr>
        <w:keepNext/>
        <w:autoSpaceDE w:val="0"/>
        <w:autoSpaceDN w:val="0"/>
        <w:adjustRightInd w:val="0"/>
        <w:spacing w:line="480" w:lineRule="auto"/>
        <w:jc w:val="both"/>
        <w:rPr>
          <w:i/>
        </w:rPr>
      </w:pPr>
      <w:r w:rsidRPr="008669C3">
        <w:rPr>
          <w:i/>
        </w:rPr>
        <w:t>3</w:t>
      </w:r>
      <w:r w:rsidR="006C2541" w:rsidRPr="008669C3">
        <w:rPr>
          <w:i/>
        </w:rPr>
        <w:t>.</w:t>
      </w:r>
      <w:r w:rsidRPr="008669C3">
        <w:rPr>
          <w:i/>
        </w:rPr>
        <w:t>3</w:t>
      </w:r>
      <w:r w:rsidR="006C2541" w:rsidRPr="008669C3">
        <w:rPr>
          <w:i/>
        </w:rPr>
        <w:t>. Robustness</w:t>
      </w:r>
      <w:r w:rsidR="003961B2" w:rsidRPr="008669C3">
        <w:rPr>
          <w:i/>
        </w:rPr>
        <w:t xml:space="preserve"> checks</w:t>
      </w:r>
    </w:p>
    <w:p w14:paraId="0C7E4A6F" w14:textId="77E62E23" w:rsidR="006C2541" w:rsidRPr="008669C3" w:rsidRDefault="006C2541" w:rsidP="00687AF8">
      <w:pPr>
        <w:autoSpaceDE w:val="0"/>
        <w:autoSpaceDN w:val="0"/>
        <w:adjustRightInd w:val="0"/>
        <w:spacing w:line="480" w:lineRule="auto"/>
        <w:ind w:firstLine="567"/>
        <w:jc w:val="both"/>
      </w:pPr>
      <w:r w:rsidRPr="008669C3">
        <w:t xml:space="preserve">We conduct a number of tests to ensure the robustness of our baseline results. First, we find similar results when we remove the 2007–2008 crisis period from our sample. Second, </w:t>
      </w:r>
      <w:r w:rsidRPr="008669C3">
        <w:lastRenderedPageBreak/>
        <w:t xml:space="preserve">we exclude firms that had never been referenced by CDS trading from the sample and find qualitatively the same results. Third, we test whether the results are robust to alternative clustering and industry classifications. The regressions in Table </w:t>
      </w:r>
      <w:r w:rsidR="00866831">
        <w:t>4</w:t>
      </w:r>
      <w:r w:rsidRPr="008669C3">
        <w:t xml:space="preserve"> include industry–year fixed effects based on the Fama–French 49 industry classifications, with standard errors clustered by firm. We confirm that our findings are robust to the two-digit Standard Industrial Classification (SIC) and the three-digit North American Industry Classification System (NAICS) industry classifications, the exclusion of industry–year fixed effects, clustering by industry and year, and double clustering by industry and year.</w:t>
      </w:r>
    </w:p>
    <w:p w14:paraId="2F5489AD" w14:textId="42C32F14" w:rsidR="00447957" w:rsidRPr="008669C3" w:rsidRDefault="00447957" w:rsidP="00447957">
      <w:pPr>
        <w:autoSpaceDE w:val="0"/>
        <w:autoSpaceDN w:val="0"/>
        <w:adjustRightInd w:val="0"/>
        <w:spacing w:line="480" w:lineRule="auto"/>
        <w:ind w:firstLine="567"/>
        <w:jc w:val="both"/>
      </w:pPr>
      <w:r w:rsidRPr="008669C3">
        <w:t>Moreover, one might be concerned that the results are driven by the changes in accounting rules imposed by FAS 123R. To the extent that industry–year fixed effects</w:t>
      </w:r>
      <w:r w:rsidR="002B4477" w:rsidRPr="008669C3">
        <w:t xml:space="preserve"> and a control sample of non-CDS firms</w:t>
      </w:r>
      <w:r w:rsidRPr="008669C3">
        <w:t xml:space="preserve"> capture trends in compensation practices and relevant accounting requirements over time, this concern is mitigated. Nevertheless, we reestimate our baseline specifications after limiting the sample to the pre-FAS 123R period (i.e., end the sample period in 2004). The positive CDS effect on vega remains, albeit less significantly so.</w:t>
      </w:r>
    </w:p>
    <w:p w14:paraId="32624AB3" w14:textId="77777777" w:rsidR="005C3B61" w:rsidRPr="008669C3" w:rsidRDefault="005C3B61" w:rsidP="00687AF8">
      <w:pPr>
        <w:autoSpaceDE w:val="0"/>
        <w:autoSpaceDN w:val="0"/>
        <w:adjustRightInd w:val="0"/>
        <w:spacing w:line="480" w:lineRule="auto"/>
        <w:jc w:val="both"/>
      </w:pPr>
    </w:p>
    <w:p w14:paraId="04803581" w14:textId="28FD2E0E" w:rsidR="006C2541" w:rsidRPr="008669C3" w:rsidRDefault="00A94122" w:rsidP="00687AF8">
      <w:pPr>
        <w:autoSpaceDE w:val="0"/>
        <w:autoSpaceDN w:val="0"/>
        <w:adjustRightInd w:val="0"/>
        <w:spacing w:line="480" w:lineRule="auto"/>
        <w:jc w:val="both"/>
        <w:rPr>
          <w:i/>
        </w:rPr>
      </w:pPr>
      <w:r w:rsidRPr="008669C3">
        <w:rPr>
          <w:i/>
        </w:rPr>
        <w:t>3</w:t>
      </w:r>
      <w:r w:rsidR="006C2541" w:rsidRPr="008669C3">
        <w:rPr>
          <w:i/>
        </w:rPr>
        <w:t>.4. Instrumental variables approach</w:t>
      </w:r>
    </w:p>
    <w:p w14:paraId="45915B79" w14:textId="57E9B6A1" w:rsidR="006C2541" w:rsidRPr="008669C3" w:rsidRDefault="006C2541" w:rsidP="00687AF8">
      <w:pPr>
        <w:autoSpaceDE w:val="0"/>
        <w:autoSpaceDN w:val="0"/>
        <w:adjustRightInd w:val="0"/>
        <w:spacing w:line="480" w:lineRule="auto"/>
        <w:ind w:firstLine="567"/>
        <w:jc w:val="both"/>
      </w:pPr>
      <w:r w:rsidRPr="008669C3">
        <w:t xml:space="preserve">To address the concern of any remaining time-varying unobserved heterogeneity across firms or CEOs affecting our results, we use the instrumental variables approach to extract the exogenous component of </w:t>
      </w:r>
      <w:r w:rsidRPr="008669C3">
        <w:rPr>
          <w:i/>
        </w:rPr>
        <w:t>CDS trading</w:t>
      </w:r>
      <w:r w:rsidRPr="008669C3">
        <w:t xml:space="preserve"> and use it to explain </w:t>
      </w:r>
      <w:r w:rsidR="00A94122" w:rsidRPr="008669C3">
        <w:t>CEO vega</w:t>
      </w:r>
      <w:r w:rsidRPr="008669C3">
        <w:t>. As sources of exogenous variation, we use three instrumental variables initially proposed by Saretto and Tookes (2013) and Subrahmanyam et al. (2014)</w:t>
      </w:r>
      <w:r w:rsidR="0072699B" w:rsidRPr="008669C3">
        <w:t>.</w:t>
      </w:r>
      <w:r w:rsidRPr="008669C3">
        <w:t xml:space="preserve"> </w:t>
      </w:r>
      <w:r w:rsidR="0072699B" w:rsidRPr="008669C3">
        <w:t>F</w:t>
      </w:r>
      <w:r w:rsidRPr="008669C3">
        <w:t xml:space="preserve">irst, </w:t>
      </w:r>
      <w:r w:rsidRPr="008669C3">
        <w:rPr>
          <w:i/>
        </w:rPr>
        <w:t>Lender FX Hedging</w:t>
      </w:r>
      <w:r w:rsidRPr="008669C3">
        <w:t xml:space="preserve"> is the average notional amount of foreign exchange derivatives used for hedging purposes, relative to total assets, across the banks that have served as either lenders or bond underwriters for our sample </w:t>
      </w:r>
      <w:r w:rsidRPr="008669C3">
        <w:lastRenderedPageBreak/>
        <w:t>firms over the previous five years.</w:t>
      </w:r>
      <w:r w:rsidRPr="008669C3">
        <w:rPr>
          <w:rStyle w:val="FootnoteReference"/>
        </w:rPr>
        <w:footnoteReference w:id="9"/>
      </w:r>
      <w:r w:rsidRPr="008669C3">
        <w:t xml:space="preserve"> Second, </w:t>
      </w:r>
      <w:r w:rsidRPr="008669C3">
        <w:rPr>
          <w:i/>
        </w:rPr>
        <w:t>Lender Tier 1 Capital</w:t>
      </w:r>
      <w:r w:rsidRPr="008669C3">
        <w:t xml:space="preserve"> is the average Tier 1 capital ratios across the banks that have served as either lenders or bond underwriters for our sample firms over the previous five years. </w:t>
      </w:r>
      <w:r w:rsidR="004D1A1F" w:rsidRPr="00C315CF">
        <w:rPr>
          <w:rFonts w:ascii="Times-Roman" w:hAnsi="Times-Roman" w:cs="Times-Roman"/>
        </w:rPr>
        <w:t>We use the Tier 1 capital ratio data from the Compustat bank files to construct this instrument.</w:t>
      </w:r>
      <w:r w:rsidR="004D1A1F">
        <w:rPr>
          <w:rFonts w:ascii="Times-Roman" w:hAnsi="Times-Roman" w:cs="Times-Roman"/>
        </w:rPr>
        <w:t xml:space="preserve"> </w:t>
      </w:r>
      <w:r w:rsidRPr="008669C3">
        <w:t xml:space="preserve">Third, </w:t>
      </w:r>
      <w:r w:rsidRPr="008669C3">
        <w:rPr>
          <w:i/>
        </w:rPr>
        <w:t>TRACE Coverage</w:t>
      </w:r>
      <w:r w:rsidRPr="008669C3">
        <w:t xml:space="preserve"> is the number of bond issues of a firm that have been covered by TRACE. </w:t>
      </w:r>
      <w:r w:rsidR="0072699B" w:rsidRPr="008669C3">
        <w:t>T</w:t>
      </w:r>
      <w:r w:rsidRPr="008669C3">
        <w:t xml:space="preserve">hese instruments </w:t>
      </w:r>
      <w:r w:rsidR="0072699B" w:rsidRPr="008669C3">
        <w:t xml:space="preserve">should be </w:t>
      </w:r>
      <w:r w:rsidRPr="008669C3">
        <w:t>economically sound because they are associated with the overall hedging interest of lenders or credit suppliers. For example, prior literature suggests that lenders with larger hedging positions are more likely to trade the CDSs of their borrowers (Minton et al., 2009)</w:t>
      </w:r>
      <w:r w:rsidR="0072699B" w:rsidRPr="008669C3">
        <w:t>,</w:t>
      </w:r>
      <w:r w:rsidRPr="008669C3">
        <w:t xml:space="preserve"> and that banks with lower capital ratios have greater incentives to hedge the credit risk of their borrowers using CDSs (Subrahmanyam et al., 2014, 201</w:t>
      </w:r>
      <w:r w:rsidR="00C445B4">
        <w:t>7</w:t>
      </w:r>
      <w:r w:rsidRPr="008669C3">
        <w:t xml:space="preserve">). </w:t>
      </w:r>
      <w:r w:rsidR="0072699B" w:rsidRPr="008669C3">
        <w:t xml:space="preserve">In addition, </w:t>
      </w:r>
      <w:r w:rsidRPr="008669C3">
        <w:t xml:space="preserve">Subrahmanyam et al. (2014) indicate that the likelihood of CDS trading increases after the implementation of TRACE. Meanwhile, the instruments we use are expected to be uncorrelated with </w:t>
      </w:r>
      <w:r w:rsidR="0072699B" w:rsidRPr="008669C3">
        <w:t>CEO</w:t>
      </w:r>
      <w:r w:rsidRPr="008669C3">
        <w:t xml:space="preserve"> vega, except through their impact on CDS trading. </w:t>
      </w:r>
      <w:r w:rsidR="002E0A3A" w:rsidRPr="008669C3">
        <w:t>As evidence that this condition is likely to hold</w:t>
      </w:r>
      <w:r w:rsidRPr="008669C3">
        <w:t>, we add the instruments to the ordinary least squares (OLS) regressions of vega both separately and together and find that they are not significant.</w:t>
      </w:r>
    </w:p>
    <w:p w14:paraId="746F00FA" w14:textId="77777777" w:rsidR="006C2541" w:rsidRPr="008669C3" w:rsidRDefault="006C2541" w:rsidP="00687AF8">
      <w:pPr>
        <w:autoSpaceDE w:val="0"/>
        <w:autoSpaceDN w:val="0"/>
        <w:adjustRightInd w:val="0"/>
        <w:spacing w:before="240" w:after="240" w:line="480" w:lineRule="auto"/>
        <w:jc w:val="center"/>
        <w:rPr>
          <w:b/>
        </w:rPr>
      </w:pPr>
      <w:r w:rsidRPr="008669C3">
        <w:rPr>
          <w:b/>
        </w:rPr>
        <w:t>Insert Table 5 about here</w:t>
      </w:r>
    </w:p>
    <w:p w14:paraId="618576B9" w14:textId="06C510E7" w:rsidR="006C2541" w:rsidRPr="008669C3" w:rsidRDefault="0072699B" w:rsidP="00C97454">
      <w:pPr>
        <w:autoSpaceDE w:val="0"/>
        <w:autoSpaceDN w:val="0"/>
        <w:adjustRightInd w:val="0"/>
        <w:spacing w:line="480" w:lineRule="auto"/>
        <w:ind w:firstLine="567"/>
        <w:jc w:val="both"/>
      </w:pPr>
      <w:r w:rsidRPr="008669C3">
        <w:t>Column</w:t>
      </w:r>
      <w:r w:rsidR="006C2541" w:rsidRPr="008669C3">
        <w:t xml:space="preserve"> (1) of Table 5 present</w:t>
      </w:r>
      <w:r w:rsidRPr="008669C3">
        <w:t>s</w:t>
      </w:r>
      <w:r w:rsidR="006C2541" w:rsidRPr="008669C3">
        <w:t xml:space="preserve"> the results of the first-stage regression, where the dependent variable is </w:t>
      </w:r>
      <w:r w:rsidR="006C2541" w:rsidRPr="008669C3">
        <w:rPr>
          <w:i/>
        </w:rPr>
        <w:t>CDS trading</w:t>
      </w:r>
      <w:r w:rsidR="006C2541" w:rsidRPr="008669C3">
        <w:t xml:space="preserve">. </w:t>
      </w:r>
      <w:r w:rsidRPr="008669C3">
        <w:t xml:space="preserve">We </w:t>
      </w:r>
      <w:r w:rsidR="00C97454" w:rsidRPr="008669C3">
        <w:t xml:space="preserve">add the most stringent set of fixed effects that includes both </w:t>
      </w:r>
      <w:r w:rsidRPr="008669C3">
        <w:t xml:space="preserve">CEO-firm </w:t>
      </w:r>
      <w:r w:rsidR="00C97454" w:rsidRPr="008669C3">
        <w:t xml:space="preserve">and industry-year </w:t>
      </w:r>
      <w:r w:rsidRPr="008669C3">
        <w:t xml:space="preserve">fixed effects. </w:t>
      </w:r>
      <w:r w:rsidR="00C97454" w:rsidRPr="008669C3">
        <w:t>W</w:t>
      </w:r>
      <w:r w:rsidR="006C2541" w:rsidRPr="008669C3">
        <w:t xml:space="preserve">e find that the coefficient estimates for the instruments </w:t>
      </w:r>
      <w:r w:rsidR="00C97454" w:rsidRPr="008669C3">
        <w:t>have the expected sign and</w:t>
      </w:r>
      <w:r w:rsidR="006C2541" w:rsidRPr="008669C3">
        <w:t xml:space="preserve"> </w:t>
      </w:r>
      <w:r w:rsidR="00C97454" w:rsidRPr="008669C3">
        <w:t xml:space="preserve">are </w:t>
      </w:r>
      <w:r w:rsidR="006C2541" w:rsidRPr="008669C3">
        <w:t xml:space="preserve">frequently significant. We then conduct two additional tests to verify their validity. First, we test the joint significance of the </w:t>
      </w:r>
      <w:r w:rsidR="006C2541" w:rsidRPr="008669C3">
        <w:lastRenderedPageBreak/>
        <w:t xml:space="preserve">three instruments and find that the values of the </w:t>
      </w:r>
      <w:r w:rsidR="006C2541" w:rsidRPr="008669C3">
        <w:rPr>
          <w:i/>
        </w:rPr>
        <w:t>F</w:t>
      </w:r>
      <w:r w:rsidR="006C2541" w:rsidRPr="008669C3">
        <w:t>-test are large and highly significant (</w:t>
      </w:r>
      <w:r w:rsidR="006C2541" w:rsidRPr="008669C3">
        <w:rPr>
          <w:i/>
        </w:rPr>
        <w:t>p</w:t>
      </w:r>
      <w:r w:rsidR="006C2541" w:rsidRPr="008669C3">
        <w:t>-value &lt; 0.001). Second, the p-values for Hansen’s (1982) J overidentification test are large (0.</w:t>
      </w:r>
      <w:r w:rsidR="00C97454" w:rsidRPr="008669C3">
        <w:t>896</w:t>
      </w:r>
      <w:r w:rsidR="006C2541" w:rsidRPr="008669C3">
        <w:t xml:space="preserve">), </w:t>
      </w:r>
      <w:r w:rsidR="00C97454" w:rsidRPr="008669C3">
        <w:t>implying</w:t>
      </w:r>
      <w:r w:rsidR="006C2541" w:rsidRPr="008669C3">
        <w:t xml:space="preserve"> that </w:t>
      </w:r>
      <w:r w:rsidR="00C97454" w:rsidRPr="008669C3">
        <w:t xml:space="preserve">the hypothesis that </w:t>
      </w:r>
      <w:r w:rsidR="006C2541" w:rsidRPr="008669C3">
        <w:t>the instruments are valid</w:t>
      </w:r>
      <w:r w:rsidR="00C97454" w:rsidRPr="008669C3">
        <w:t xml:space="preserve"> cannot be rejected</w:t>
      </w:r>
      <w:r w:rsidR="006C2541" w:rsidRPr="008669C3">
        <w:t>. Importantly, the second-stage regress</w:t>
      </w:r>
      <w:r w:rsidR="0020383C" w:rsidRPr="008669C3">
        <w:t>ion results reported in column</w:t>
      </w:r>
      <w:r w:rsidR="006C2541" w:rsidRPr="008669C3">
        <w:t xml:space="preserve"> (2) show that </w:t>
      </w:r>
      <w:r w:rsidR="006C2541" w:rsidRPr="008669C3">
        <w:rPr>
          <w:i/>
        </w:rPr>
        <w:t>CDS trading</w:t>
      </w:r>
      <w:r w:rsidR="006C2541" w:rsidRPr="008669C3">
        <w:t xml:space="preserve"> has a positive and significant impact on </w:t>
      </w:r>
      <w:r w:rsidR="006C2541" w:rsidRPr="008669C3">
        <w:rPr>
          <w:i/>
        </w:rPr>
        <w:t>Vega</w:t>
      </w:r>
      <w:r w:rsidR="006C2541" w:rsidRPr="008669C3">
        <w:t xml:space="preserve"> after accounting for the potential endogeneity of managerial incentive contracts, confirming our prior results in Tables 3 and 4.</w:t>
      </w:r>
    </w:p>
    <w:p w14:paraId="58287371" w14:textId="77777777" w:rsidR="006C2541" w:rsidRPr="008669C3" w:rsidRDefault="006C2541" w:rsidP="00687AF8">
      <w:pPr>
        <w:autoSpaceDE w:val="0"/>
        <w:autoSpaceDN w:val="0"/>
        <w:adjustRightInd w:val="0"/>
        <w:spacing w:line="480" w:lineRule="auto"/>
        <w:ind w:firstLine="567"/>
        <w:jc w:val="both"/>
        <w:rPr>
          <w:color w:val="FF0000"/>
        </w:rPr>
      </w:pPr>
    </w:p>
    <w:p w14:paraId="22E1A6E5" w14:textId="53246F27" w:rsidR="006C2541" w:rsidRPr="008669C3" w:rsidRDefault="00203D36" w:rsidP="00687AF8">
      <w:pPr>
        <w:keepNext/>
        <w:autoSpaceDE w:val="0"/>
        <w:autoSpaceDN w:val="0"/>
        <w:adjustRightInd w:val="0"/>
        <w:spacing w:line="480" w:lineRule="auto"/>
        <w:jc w:val="both"/>
        <w:rPr>
          <w:i/>
        </w:rPr>
      </w:pPr>
      <w:r w:rsidRPr="008669C3">
        <w:rPr>
          <w:i/>
        </w:rPr>
        <w:t>3</w:t>
      </w:r>
      <w:r w:rsidR="006C2541" w:rsidRPr="008669C3">
        <w:rPr>
          <w:i/>
        </w:rPr>
        <w:t>.5. Heterogeneity in the effect of CDS introduction on vega</w:t>
      </w:r>
    </w:p>
    <w:p w14:paraId="45CC67CC" w14:textId="57802E31" w:rsidR="006C2541" w:rsidRPr="008669C3" w:rsidRDefault="006C2541" w:rsidP="00687AF8">
      <w:pPr>
        <w:autoSpaceDE w:val="0"/>
        <w:autoSpaceDN w:val="0"/>
        <w:adjustRightInd w:val="0"/>
        <w:spacing w:line="480" w:lineRule="auto"/>
        <w:ind w:firstLine="567"/>
        <w:jc w:val="both"/>
      </w:pPr>
      <w:r w:rsidRPr="008669C3">
        <w:t xml:space="preserve">Our empirical analysis so far suggests a positive effect of CDS introduction on </w:t>
      </w:r>
      <w:r w:rsidR="00EC1CB7" w:rsidRPr="008669C3">
        <w:t>CEO vega</w:t>
      </w:r>
      <w:r w:rsidRPr="008669C3">
        <w:t xml:space="preserve">. In this section, we explore whether this positive effect varies with </w:t>
      </w:r>
      <w:r w:rsidR="00ED7C58">
        <w:t>the CEO’s firm’s</w:t>
      </w:r>
      <w:r w:rsidR="00ED7C58" w:rsidRPr="008669C3">
        <w:t xml:space="preserve"> </w:t>
      </w:r>
      <w:r w:rsidRPr="008669C3">
        <w:t>risk-shifting incentives to shed further light</w:t>
      </w:r>
      <w:r w:rsidR="00230B3B">
        <w:t xml:space="preserve"> on the mechanism</w:t>
      </w:r>
      <w:r w:rsidRPr="008669C3">
        <w:t xml:space="preserve"> through which CDS trading affects managerial incentive contracts.</w:t>
      </w:r>
    </w:p>
    <w:p w14:paraId="678C7338" w14:textId="071797E9" w:rsidR="000C54A9" w:rsidRPr="008669C3" w:rsidRDefault="003E658A" w:rsidP="000C54A9">
      <w:pPr>
        <w:autoSpaceDE w:val="0"/>
        <w:autoSpaceDN w:val="0"/>
        <w:adjustRightInd w:val="0"/>
        <w:spacing w:line="480" w:lineRule="auto"/>
        <w:ind w:firstLine="567"/>
        <w:jc w:val="both"/>
      </w:pPr>
      <w:r w:rsidRPr="008669C3">
        <w:t xml:space="preserve">Table 6 presents the results. For brevity, we report only the coefficients of </w:t>
      </w:r>
      <w:r w:rsidRPr="008669C3">
        <w:rPr>
          <w:i/>
        </w:rPr>
        <w:t>CDS trading</w:t>
      </w:r>
      <w:r w:rsidRPr="008669C3">
        <w:t xml:space="preserve">, although the same set of control variables as in Table </w:t>
      </w:r>
      <w:r w:rsidR="000C54A9" w:rsidRPr="008669C3">
        <w:t>4</w:t>
      </w:r>
      <w:r w:rsidR="00DF07E6" w:rsidRPr="008669C3">
        <w:t xml:space="preserve"> is included.</w:t>
      </w:r>
      <w:r w:rsidR="000C54A9" w:rsidRPr="008669C3">
        <w:t xml:space="preserve"> First, we split the sample based on whether a firm’s institutional ownership is above or below the sample median and estimate the vega regressions separately for firms with high a</w:t>
      </w:r>
      <w:r w:rsidR="00DF07E6" w:rsidRPr="008669C3">
        <w:t xml:space="preserve">nd low institutional ownership. The results reported in columns (1) to (4) of Panel A show that the coefficients of </w:t>
      </w:r>
      <w:r w:rsidR="00DF07E6" w:rsidRPr="008669C3">
        <w:rPr>
          <w:i/>
        </w:rPr>
        <w:t>CDS trading</w:t>
      </w:r>
      <w:r w:rsidR="00DF07E6" w:rsidRPr="008669C3">
        <w:t xml:space="preserve"> are positive and statistically significant in the high institutional ownership subsample, but insignificant in the low institutional ownership subsample. These findings suggest that the boards of firms with larger institutional holdings tend to act in the interests of shareholders by offering managers greater risk-taking incentives following a decline in creditor monitoring. In addition to the split-sample analysis, w</w:t>
      </w:r>
      <w:r w:rsidR="000C54A9" w:rsidRPr="008669C3">
        <w:t xml:space="preserve">e </w:t>
      </w:r>
      <w:r w:rsidR="00DF07E6" w:rsidRPr="008669C3">
        <w:t xml:space="preserve">interact </w:t>
      </w:r>
      <w:r w:rsidR="00DF07E6" w:rsidRPr="008669C3">
        <w:rPr>
          <w:i/>
        </w:rPr>
        <w:t>CDS trading</w:t>
      </w:r>
      <w:r w:rsidR="00DF07E6" w:rsidRPr="008669C3">
        <w:t xml:space="preserve"> with </w:t>
      </w:r>
      <w:r w:rsidR="00DF07E6" w:rsidRPr="008669C3">
        <w:rPr>
          <w:i/>
        </w:rPr>
        <w:t>Institutional ownership</w:t>
      </w:r>
      <w:r w:rsidR="00DF07E6" w:rsidRPr="008669C3">
        <w:t xml:space="preserve"> in columns (5) and (6)</w:t>
      </w:r>
      <w:r w:rsidR="00FB388F" w:rsidRPr="008669C3">
        <w:t xml:space="preserve"> based on the whole sample</w:t>
      </w:r>
      <w:r w:rsidR="00DF07E6" w:rsidRPr="008669C3">
        <w:t>. T</w:t>
      </w:r>
      <w:r w:rsidR="00FB388F" w:rsidRPr="008669C3">
        <w:t>he coefficient</w:t>
      </w:r>
      <w:r w:rsidR="00DF07E6" w:rsidRPr="008669C3">
        <w:t xml:space="preserve"> on the interaction term </w:t>
      </w:r>
      <w:r w:rsidR="00FB388F" w:rsidRPr="008669C3">
        <w:t xml:space="preserve">is </w:t>
      </w:r>
      <w:r w:rsidR="00DF07E6" w:rsidRPr="008669C3">
        <w:t xml:space="preserve">positive as expected </w:t>
      </w:r>
      <w:r w:rsidR="00FB388F" w:rsidRPr="008669C3">
        <w:t xml:space="preserve">in both specifications, </w:t>
      </w:r>
      <w:r w:rsidR="00DF07E6" w:rsidRPr="008669C3">
        <w:t>supporting the results of the split-sample analysis</w:t>
      </w:r>
      <w:r w:rsidR="00FB388F" w:rsidRPr="008669C3">
        <w:t xml:space="preserve"> (albeit one of them is statistically insignificant)</w:t>
      </w:r>
      <w:r w:rsidR="00DF07E6" w:rsidRPr="008669C3">
        <w:t>.</w:t>
      </w:r>
    </w:p>
    <w:p w14:paraId="7A6F594D" w14:textId="77777777" w:rsidR="006C2541" w:rsidRPr="008669C3" w:rsidRDefault="006C2541" w:rsidP="00687AF8">
      <w:pPr>
        <w:autoSpaceDE w:val="0"/>
        <w:autoSpaceDN w:val="0"/>
        <w:adjustRightInd w:val="0"/>
        <w:spacing w:before="240" w:after="240" w:line="480" w:lineRule="auto"/>
        <w:jc w:val="center"/>
        <w:rPr>
          <w:b/>
        </w:rPr>
      </w:pPr>
      <w:r w:rsidRPr="008669C3">
        <w:rPr>
          <w:b/>
        </w:rPr>
        <w:lastRenderedPageBreak/>
        <w:t>Insert Table 6 about here</w:t>
      </w:r>
    </w:p>
    <w:p w14:paraId="1CC1CA1F" w14:textId="603CD814" w:rsidR="006C2541" w:rsidRPr="008669C3" w:rsidRDefault="006C2541" w:rsidP="00687AF8">
      <w:pPr>
        <w:autoSpaceDE w:val="0"/>
        <w:autoSpaceDN w:val="0"/>
        <w:adjustRightInd w:val="0"/>
        <w:spacing w:line="480" w:lineRule="auto"/>
        <w:ind w:firstLine="567"/>
        <w:jc w:val="both"/>
      </w:pPr>
      <w:r w:rsidRPr="008669C3">
        <w:t xml:space="preserve">Second, we investigate whether the positive effect of </w:t>
      </w:r>
      <w:r w:rsidRPr="008669C3">
        <w:rPr>
          <w:i/>
        </w:rPr>
        <w:t>CDS trading</w:t>
      </w:r>
      <w:r w:rsidRPr="008669C3">
        <w:t xml:space="preserve"> on vega is more pronounced in financially distressed firms. Eisdorfer (2008) indicates that financially distressed firms have stronger risk-shifting incentives. Thus, the managers of such firms might be motivated, via more convex incentive structures, to take greater risks after a decrease in creditor monitoring, particularly when their firms are closer to financial distress or operating under stringent financial constraints. To test this</w:t>
      </w:r>
      <w:r w:rsidR="008176D9" w:rsidRPr="008669C3">
        <w:t xml:space="preserve"> conjecture</w:t>
      </w:r>
      <w:r w:rsidRPr="008669C3">
        <w:t xml:space="preserve">, we estimate the vega regressions separately for distressed and non-distressed firms. We use </w:t>
      </w:r>
      <w:r w:rsidRPr="008669C3">
        <w:rPr>
          <w:i/>
        </w:rPr>
        <w:t>Z-score</w:t>
      </w:r>
      <w:r w:rsidR="00127A8C" w:rsidRPr="008669C3">
        <w:t xml:space="preserve">, </w:t>
      </w:r>
      <w:r w:rsidRPr="008669C3">
        <w:t xml:space="preserve">proposed by Altman (1968), and </w:t>
      </w:r>
      <w:r w:rsidRPr="008669C3">
        <w:rPr>
          <w:i/>
        </w:rPr>
        <w:t>KZ index</w:t>
      </w:r>
      <w:r w:rsidR="00127A8C" w:rsidRPr="008669C3">
        <w:t>,</w:t>
      </w:r>
      <w:r w:rsidRPr="008669C3">
        <w:t xml:space="preserve"> proposed by Kaplan and Zingales (1997), to measure the severity of financial distress facing a firm. The lower (higher) the </w:t>
      </w:r>
      <w:r w:rsidRPr="008669C3">
        <w:rPr>
          <w:i/>
        </w:rPr>
        <w:t>Z-score</w:t>
      </w:r>
      <w:r w:rsidRPr="008669C3">
        <w:t xml:space="preserve"> (</w:t>
      </w:r>
      <w:r w:rsidRPr="008669C3">
        <w:rPr>
          <w:i/>
        </w:rPr>
        <w:t>KZ index</w:t>
      </w:r>
      <w:r w:rsidRPr="008669C3">
        <w:t>), the more financially distressed or constrained the firm. The</w:t>
      </w:r>
      <w:r w:rsidR="0073002B" w:rsidRPr="008669C3">
        <w:t xml:space="preserve"> split-sample analysis</w:t>
      </w:r>
      <w:r w:rsidRPr="008669C3">
        <w:t xml:space="preserve"> results in Panels B and C of Table 6 show that, using both measures, the positive effect of </w:t>
      </w:r>
      <w:r w:rsidRPr="008669C3">
        <w:rPr>
          <w:i/>
        </w:rPr>
        <w:t>CDS trading</w:t>
      </w:r>
      <w:r w:rsidRPr="008669C3">
        <w:t xml:space="preserve"> on vega is concentrated on financially distressed firms, consistent with </w:t>
      </w:r>
      <w:r w:rsidR="008176D9" w:rsidRPr="008669C3">
        <w:t>our</w:t>
      </w:r>
      <w:r w:rsidR="0073002B" w:rsidRPr="008669C3">
        <w:t xml:space="preserve"> prediction</w:t>
      </w:r>
      <w:r w:rsidRPr="008669C3">
        <w:t>.</w:t>
      </w:r>
      <w:r w:rsidR="00FC0B7A" w:rsidRPr="008669C3">
        <w:t xml:space="preserve"> </w:t>
      </w:r>
      <w:r w:rsidR="008176D9" w:rsidRPr="008669C3">
        <w:t xml:space="preserve">Interacting </w:t>
      </w:r>
      <w:r w:rsidR="008176D9" w:rsidRPr="008669C3">
        <w:rPr>
          <w:i/>
        </w:rPr>
        <w:t>CDS trading</w:t>
      </w:r>
      <w:r w:rsidR="008176D9" w:rsidRPr="008669C3">
        <w:t xml:space="preserve"> with the financial distress measures,</w:t>
      </w:r>
      <w:r w:rsidR="00196BDA" w:rsidRPr="008669C3">
        <w:t xml:space="preserve"> </w:t>
      </w:r>
      <w:r w:rsidR="00FC0B7A" w:rsidRPr="008669C3">
        <w:t>we find that the coefficient on the interaction term has the expected sign and is frequently significant across specifications, which confirms the split-sample analysis results.</w:t>
      </w:r>
    </w:p>
    <w:p w14:paraId="757A491D" w14:textId="11ECD90F" w:rsidR="00254A4A" w:rsidRPr="008669C3" w:rsidRDefault="00254A4A" w:rsidP="00B64F3D">
      <w:pPr>
        <w:autoSpaceDE w:val="0"/>
        <w:autoSpaceDN w:val="0"/>
        <w:adjustRightInd w:val="0"/>
        <w:spacing w:line="480" w:lineRule="auto"/>
        <w:ind w:firstLine="567"/>
        <w:jc w:val="both"/>
      </w:pPr>
    </w:p>
    <w:p w14:paraId="28318A49" w14:textId="3561D471" w:rsidR="006C2541" w:rsidRPr="008669C3" w:rsidRDefault="00203D36" w:rsidP="00687AF8">
      <w:pPr>
        <w:keepNext/>
        <w:autoSpaceDE w:val="0"/>
        <w:autoSpaceDN w:val="0"/>
        <w:adjustRightInd w:val="0"/>
        <w:spacing w:line="480" w:lineRule="auto"/>
        <w:jc w:val="both"/>
        <w:rPr>
          <w:b/>
        </w:rPr>
      </w:pPr>
      <w:r w:rsidRPr="008669C3">
        <w:rPr>
          <w:b/>
        </w:rPr>
        <w:t>4</w:t>
      </w:r>
      <w:r w:rsidR="006C2541" w:rsidRPr="008669C3">
        <w:rPr>
          <w:b/>
        </w:rPr>
        <w:t>. Managerial risk appetite and exacting creditors</w:t>
      </w:r>
    </w:p>
    <w:p w14:paraId="7A123461" w14:textId="6859C364" w:rsidR="006C2541" w:rsidRPr="008669C3" w:rsidRDefault="006C2541" w:rsidP="00687AF8">
      <w:pPr>
        <w:autoSpaceDE w:val="0"/>
        <w:autoSpaceDN w:val="0"/>
        <w:adjustRightInd w:val="0"/>
        <w:spacing w:line="480" w:lineRule="auto"/>
        <w:ind w:firstLine="567"/>
        <w:jc w:val="both"/>
      </w:pPr>
      <w:r w:rsidRPr="008669C3">
        <w:t>Next, we examine whether CDS trade initiation mitigates the impact of vega on firm leverage. CDS-protected creditors tend to be toug</w:t>
      </w:r>
      <w:r w:rsidR="00DF68D4" w:rsidRPr="008669C3">
        <w:t>her in renegotiation</w:t>
      </w:r>
      <w:r w:rsidRPr="008669C3">
        <w:t>, making distressed borrowers more vulnerable to bankruptcy (Bolton and Oehmke, 2011; Subrahmanyam et al., 2014). Given the significant personal costs associated with corporate bankruptcy, risk-averse, rational CEOs may attempt to avoi</w:t>
      </w:r>
      <w:r w:rsidR="00DF68D4" w:rsidRPr="008669C3">
        <w:t>d renegotiation</w:t>
      </w:r>
      <w:r w:rsidRPr="008669C3">
        <w:t xml:space="preserve"> with exacting creditors by making less aggressive capital structure decisions. Therefore, the decline in managerial risk appetite due to the exacting creditor threat could offset the observed increase in risk-taking incentives </w:t>
      </w:r>
      <w:r w:rsidRPr="008669C3">
        <w:lastRenderedPageBreak/>
        <w:t>embedded in CEO compensation, resulting in a lower sensitivity of leverage to vega after the inception of CDS trading.</w:t>
      </w:r>
    </w:p>
    <w:p w14:paraId="27705FA8" w14:textId="7D9C8082" w:rsidR="006C2541" w:rsidRPr="008669C3" w:rsidRDefault="006C2541" w:rsidP="00687AF8">
      <w:pPr>
        <w:autoSpaceDE w:val="0"/>
        <w:autoSpaceDN w:val="0"/>
        <w:adjustRightInd w:val="0"/>
        <w:spacing w:before="240" w:after="240" w:line="480" w:lineRule="auto"/>
        <w:jc w:val="center"/>
        <w:rPr>
          <w:b/>
        </w:rPr>
      </w:pPr>
      <w:r w:rsidRPr="008669C3">
        <w:rPr>
          <w:b/>
        </w:rPr>
        <w:t xml:space="preserve">Insert Table </w:t>
      </w:r>
      <w:r w:rsidR="00C66AF5">
        <w:rPr>
          <w:b/>
        </w:rPr>
        <w:t>7</w:t>
      </w:r>
      <w:r w:rsidRPr="008669C3">
        <w:rPr>
          <w:b/>
        </w:rPr>
        <w:t xml:space="preserve"> about here</w:t>
      </w:r>
    </w:p>
    <w:p w14:paraId="1D127199" w14:textId="1076B016" w:rsidR="006C2541" w:rsidRPr="008669C3" w:rsidRDefault="006C2541" w:rsidP="00687AF8">
      <w:pPr>
        <w:autoSpaceDE w:val="0"/>
        <w:autoSpaceDN w:val="0"/>
        <w:adjustRightInd w:val="0"/>
        <w:spacing w:line="480" w:lineRule="auto"/>
        <w:ind w:firstLine="567"/>
        <w:jc w:val="both"/>
      </w:pPr>
      <w:r w:rsidRPr="008669C3">
        <w:t xml:space="preserve">We test this conjecture by including an interaction term between </w:t>
      </w:r>
      <w:r w:rsidRPr="008669C3">
        <w:rPr>
          <w:i/>
        </w:rPr>
        <w:t>CDS trading</w:t>
      </w:r>
      <w:r w:rsidRPr="008669C3">
        <w:t xml:space="preserve"> and </w:t>
      </w:r>
      <w:r w:rsidRPr="008669C3">
        <w:rPr>
          <w:i/>
        </w:rPr>
        <w:t>Ln(1 + Vega)</w:t>
      </w:r>
      <w:r w:rsidRPr="008669C3">
        <w:t xml:space="preserve"> in the leverage regressions. Table </w:t>
      </w:r>
      <w:r w:rsidR="00B342AE">
        <w:t>7</w:t>
      </w:r>
      <w:r w:rsidRPr="008669C3">
        <w:t xml:space="preserve"> presents the results. Using both book and market leverage, we find that the coefficients of </w:t>
      </w:r>
      <w:r w:rsidRPr="008669C3">
        <w:rPr>
          <w:i/>
        </w:rPr>
        <w:t>CDS trading × Ln(1 + Vega)</w:t>
      </w:r>
      <w:r w:rsidRPr="008669C3">
        <w:t xml:space="preserve"> are negative and frequently significant</w:t>
      </w:r>
      <w:r w:rsidR="00677094" w:rsidRPr="008669C3">
        <w:t xml:space="preserve">, offsetting the positive baseline effect of vega on leverage. The reduced </w:t>
      </w:r>
      <w:r w:rsidRPr="008669C3">
        <w:t xml:space="preserve">sensitivity of leverage to vega after CDS introduction </w:t>
      </w:r>
      <w:r w:rsidR="00677094" w:rsidRPr="008669C3">
        <w:t>suggests</w:t>
      </w:r>
      <w:r w:rsidRPr="008669C3">
        <w:t xml:space="preserve"> that the presence of CDS-induced exacting creditors reduces managerial risk appetite.</w:t>
      </w:r>
    </w:p>
    <w:p w14:paraId="679CAB95" w14:textId="77777777" w:rsidR="006C2541" w:rsidRPr="008669C3" w:rsidRDefault="006C2541" w:rsidP="00687AF8">
      <w:pPr>
        <w:autoSpaceDE w:val="0"/>
        <w:autoSpaceDN w:val="0"/>
        <w:adjustRightInd w:val="0"/>
        <w:spacing w:line="480" w:lineRule="auto"/>
        <w:ind w:firstLine="567"/>
        <w:jc w:val="both"/>
      </w:pPr>
    </w:p>
    <w:p w14:paraId="670F045A" w14:textId="400BF745" w:rsidR="00A95685" w:rsidRPr="008669C3" w:rsidRDefault="00A95685" w:rsidP="001F6F0C">
      <w:pPr>
        <w:autoSpaceDE w:val="0"/>
        <w:autoSpaceDN w:val="0"/>
        <w:adjustRightInd w:val="0"/>
        <w:spacing w:line="480" w:lineRule="auto"/>
        <w:jc w:val="both"/>
        <w:rPr>
          <w:b/>
        </w:rPr>
      </w:pPr>
      <w:r w:rsidRPr="008669C3">
        <w:rPr>
          <w:b/>
        </w:rPr>
        <w:t>5. Alternative explanations and discussion</w:t>
      </w:r>
    </w:p>
    <w:p w14:paraId="427673B8" w14:textId="076EEA2B" w:rsidR="00926983" w:rsidRPr="008669C3" w:rsidRDefault="001F6F0C" w:rsidP="00D7073F">
      <w:pPr>
        <w:autoSpaceDE w:val="0"/>
        <w:autoSpaceDN w:val="0"/>
        <w:adjustRightInd w:val="0"/>
        <w:spacing w:line="480" w:lineRule="auto"/>
        <w:jc w:val="both"/>
      </w:pPr>
      <w:r w:rsidRPr="008669C3">
        <w:t xml:space="preserve">Another </w:t>
      </w:r>
      <w:r w:rsidR="00903201" w:rsidRPr="008669C3">
        <w:t xml:space="preserve">potential </w:t>
      </w:r>
      <w:r w:rsidRPr="008669C3">
        <w:t>channel through which CDS market</w:t>
      </w:r>
      <w:r w:rsidR="00875DAE" w:rsidRPr="008669C3">
        <w:t>s</w:t>
      </w:r>
      <w:r w:rsidRPr="008669C3">
        <w:t xml:space="preserve"> </w:t>
      </w:r>
      <w:r w:rsidR="005D0BF5" w:rsidRPr="008669C3">
        <w:t>may</w:t>
      </w:r>
      <w:r w:rsidRPr="008669C3">
        <w:t xml:space="preserve"> affect managerial risk-taking incentives is by revealing new information about firms.</w:t>
      </w:r>
      <w:r w:rsidR="00D7073F" w:rsidRPr="008669C3">
        <w:t xml:space="preserve"> CDS </w:t>
      </w:r>
      <w:r w:rsidR="00875DAE" w:rsidRPr="008669C3">
        <w:t xml:space="preserve">spreads </w:t>
      </w:r>
      <w:r w:rsidR="00FF6656" w:rsidRPr="008669C3">
        <w:t>represent more timely and cleaner market information</w:t>
      </w:r>
      <w:r w:rsidR="00875DAE" w:rsidRPr="008669C3">
        <w:t xml:space="preserve"> for equity risk premia that are </w:t>
      </w:r>
      <w:r w:rsidR="00944C32" w:rsidRPr="008669C3">
        <w:t>not otherwise revealed (Friewald et al., 2014).</w:t>
      </w:r>
      <w:r w:rsidR="00944C32" w:rsidRPr="008669C3">
        <w:rPr>
          <w:color w:val="8B8B8B"/>
          <w:sz w:val="21"/>
          <w:szCs w:val="21"/>
        </w:rPr>
        <w:t> </w:t>
      </w:r>
      <w:r w:rsidR="00D7073F" w:rsidRPr="008669C3">
        <w:t xml:space="preserve">If the additional information </w:t>
      </w:r>
      <w:r w:rsidR="00944C32" w:rsidRPr="008669C3">
        <w:t>and thereby</w:t>
      </w:r>
      <w:r w:rsidR="00D7073F" w:rsidRPr="008669C3">
        <w:t xml:space="preserve"> </w:t>
      </w:r>
      <w:r w:rsidR="007E5DD7">
        <w:t>greater</w:t>
      </w:r>
      <w:r w:rsidR="007E5DD7" w:rsidRPr="008669C3">
        <w:t xml:space="preserve"> </w:t>
      </w:r>
      <w:r w:rsidR="00D7073F" w:rsidRPr="008669C3">
        <w:t xml:space="preserve">transparency make </w:t>
      </w:r>
      <w:r w:rsidR="00903201" w:rsidRPr="008669C3">
        <w:t xml:space="preserve">equity compensation </w:t>
      </w:r>
      <w:r w:rsidR="00D7073F" w:rsidRPr="008669C3">
        <w:t xml:space="preserve">more desirable, then </w:t>
      </w:r>
      <w:r w:rsidR="00903201" w:rsidRPr="008669C3">
        <w:t>the</w:t>
      </w:r>
      <w:r w:rsidR="00D7073F" w:rsidRPr="008669C3">
        <w:t xml:space="preserve"> informational role of CDS market</w:t>
      </w:r>
      <w:r w:rsidR="00875DAE" w:rsidRPr="008669C3">
        <w:t>s</w:t>
      </w:r>
      <w:r w:rsidR="00D7073F" w:rsidRPr="008669C3">
        <w:t xml:space="preserve"> could contribute to </w:t>
      </w:r>
      <w:r w:rsidR="00903201" w:rsidRPr="008669C3">
        <w:t xml:space="preserve">the observed </w:t>
      </w:r>
      <w:r w:rsidR="00D7073F" w:rsidRPr="008669C3">
        <w:t>increase in CEO vega</w:t>
      </w:r>
      <w:r w:rsidR="000957E5" w:rsidRPr="008669C3">
        <w:t xml:space="preserve"> in the post-CDS period</w:t>
      </w:r>
      <w:r w:rsidR="00D7073F" w:rsidRPr="008669C3">
        <w:t>.</w:t>
      </w:r>
      <w:r w:rsidR="00944C32" w:rsidRPr="008669C3">
        <w:t xml:space="preserve"> </w:t>
      </w:r>
      <w:r w:rsidR="000957E5" w:rsidRPr="008669C3">
        <w:t xml:space="preserve">A further prediction is that the positive effect of CDS introduction on vega should be </w:t>
      </w:r>
      <w:r w:rsidR="00D923D1" w:rsidRPr="008669C3">
        <w:t xml:space="preserve">more pronounced </w:t>
      </w:r>
      <w:r w:rsidR="000957E5" w:rsidRPr="008669C3">
        <w:t xml:space="preserve">for informationally opaque firms where the informational advantage of CDS markets are more important. </w:t>
      </w:r>
    </w:p>
    <w:p w14:paraId="2DA81AF6" w14:textId="02AF8CDD" w:rsidR="00D923D1" w:rsidRPr="008669C3" w:rsidRDefault="000957E5" w:rsidP="006F2272">
      <w:pPr>
        <w:autoSpaceDE w:val="0"/>
        <w:autoSpaceDN w:val="0"/>
        <w:adjustRightInd w:val="0"/>
        <w:spacing w:line="480" w:lineRule="auto"/>
        <w:ind w:firstLine="567"/>
        <w:jc w:val="both"/>
        <w:rPr>
          <w:lang w:val="en-US"/>
        </w:rPr>
      </w:pPr>
      <w:r w:rsidRPr="008669C3">
        <w:t>To investigate whether the impact of CDS trading on vega varies with the transparency of firms, we consider three proxies for firm transparency:</w:t>
      </w:r>
      <w:r w:rsidR="002E0A3A" w:rsidRPr="008669C3">
        <w:t xml:space="preserve"> firm size,</w:t>
      </w:r>
      <w:r w:rsidRPr="008669C3">
        <w:t xml:space="preserve"> </w:t>
      </w:r>
      <w:r w:rsidR="00331B66" w:rsidRPr="008669C3">
        <w:rPr>
          <w:i/>
        </w:rPr>
        <w:t>ln(Sales)</w:t>
      </w:r>
      <w:r w:rsidR="00917501" w:rsidRPr="008669C3">
        <w:t xml:space="preserve">, </w:t>
      </w:r>
      <w:r w:rsidR="00331B66" w:rsidRPr="008669C3">
        <w:t>defined as the natural logarithm of sales</w:t>
      </w:r>
      <w:r w:rsidR="00917501" w:rsidRPr="008669C3">
        <w:t>;</w:t>
      </w:r>
      <w:r w:rsidR="00331B66" w:rsidRPr="008669C3">
        <w:t xml:space="preserve"> </w:t>
      </w:r>
      <w:r w:rsidR="00917501" w:rsidRPr="008669C3">
        <w:rPr>
          <w:i/>
        </w:rPr>
        <w:t>Analyst coverage</w:t>
      </w:r>
      <w:r w:rsidR="00917501" w:rsidRPr="008669C3">
        <w:t xml:space="preserve">, defined as the number of stock analysts; and </w:t>
      </w:r>
      <w:r w:rsidR="00917501" w:rsidRPr="008669C3">
        <w:rPr>
          <w:i/>
        </w:rPr>
        <w:t>Number of segments</w:t>
      </w:r>
      <w:r w:rsidR="00917501" w:rsidRPr="008669C3">
        <w:t xml:space="preserve">, </w:t>
      </w:r>
      <w:r w:rsidR="00D81087" w:rsidRPr="008669C3">
        <w:t>a measure of firm complexity</w:t>
      </w:r>
      <w:r w:rsidR="00926983" w:rsidRPr="008669C3">
        <w:t>,</w:t>
      </w:r>
      <w:r w:rsidR="00D81087" w:rsidRPr="008669C3">
        <w:t xml:space="preserve"> </w:t>
      </w:r>
      <w:r w:rsidR="00917501" w:rsidRPr="008669C3">
        <w:t>defined as the number of a firm’</w:t>
      </w:r>
      <w:r w:rsidR="00D81087" w:rsidRPr="008669C3">
        <w:t xml:space="preserve">s </w:t>
      </w:r>
      <w:r w:rsidR="00D81087" w:rsidRPr="008669C3">
        <w:lastRenderedPageBreak/>
        <w:t>business segments. Informationally opaque firms are those that are smal</w:t>
      </w:r>
      <w:r w:rsidR="00926983" w:rsidRPr="008669C3">
        <w:t>ler</w:t>
      </w:r>
      <w:r w:rsidR="00D81087" w:rsidRPr="008669C3">
        <w:t xml:space="preserve">, </w:t>
      </w:r>
      <w:r w:rsidR="00926983" w:rsidRPr="008669C3">
        <w:t xml:space="preserve">or more complex, or </w:t>
      </w:r>
      <w:r w:rsidR="00D81087" w:rsidRPr="008669C3">
        <w:t>ha</w:t>
      </w:r>
      <w:r w:rsidR="003D49AE" w:rsidRPr="008669C3">
        <w:t>ve less</w:t>
      </w:r>
      <w:r w:rsidR="00D81087" w:rsidRPr="008669C3">
        <w:t xml:space="preserve"> analyst </w:t>
      </w:r>
      <w:r w:rsidR="003D49AE" w:rsidRPr="008669C3">
        <w:t>coverage</w:t>
      </w:r>
      <w:r w:rsidR="00D81087" w:rsidRPr="008669C3">
        <w:t xml:space="preserve">. In untabulated </w:t>
      </w:r>
      <w:r w:rsidR="003D49AE" w:rsidRPr="008669C3">
        <w:t>tests</w:t>
      </w:r>
      <w:r w:rsidR="00D81087" w:rsidRPr="008669C3">
        <w:t xml:space="preserve">, </w:t>
      </w:r>
      <w:r w:rsidR="00774392" w:rsidRPr="008669C3">
        <w:t xml:space="preserve">we </w:t>
      </w:r>
      <w:r w:rsidR="006F2272" w:rsidRPr="008669C3">
        <w:rPr>
          <w:lang w:val="en-US"/>
        </w:rPr>
        <w:t xml:space="preserve">sort firms into </w:t>
      </w:r>
      <w:r w:rsidR="006F2272" w:rsidRPr="008669C3">
        <w:rPr>
          <w:i/>
          <w:lang w:val="en-US"/>
        </w:rPr>
        <w:t>High</w:t>
      </w:r>
      <w:r w:rsidR="006F2272" w:rsidRPr="008669C3">
        <w:rPr>
          <w:lang w:val="en-US"/>
        </w:rPr>
        <w:t xml:space="preserve"> and </w:t>
      </w:r>
      <w:r w:rsidR="006F2272" w:rsidRPr="008669C3">
        <w:rPr>
          <w:i/>
          <w:lang w:val="en-US"/>
        </w:rPr>
        <w:t>Low</w:t>
      </w:r>
      <w:r w:rsidR="006F2272" w:rsidRPr="008669C3">
        <w:rPr>
          <w:lang w:val="en-US"/>
        </w:rPr>
        <w:t xml:space="preserve"> groups based on the median of each </w:t>
      </w:r>
      <w:r w:rsidR="006F2272" w:rsidRPr="008669C3">
        <w:t>transparency</w:t>
      </w:r>
      <w:r w:rsidR="006F2272" w:rsidRPr="008669C3">
        <w:rPr>
          <w:lang w:val="en-US"/>
        </w:rPr>
        <w:t xml:space="preserve"> measure</w:t>
      </w:r>
      <w:r w:rsidR="00536FF0" w:rsidRPr="008669C3">
        <w:rPr>
          <w:lang w:val="en-US"/>
        </w:rPr>
        <w:t xml:space="preserve"> and estimate </w:t>
      </w:r>
      <w:r w:rsidR="003D49AE" w:rsidRPr="008669C3">
        <w:rPr>
          <w:lang w:val="en-US"/>
        </w:rPr>
        <w:t>our baseline</w:t>
      </w:r>
      <w:r w:rsidR="00536FF0" w:rsidRPr="008669C3">
        <w:rPr>
          <w:lang w:val="en-US"/>
        </w:rPr>
        <w:t xml:space="preserve"> regressions separately for </w:t>
      </w:r>
      <w:r w:rsidR="00536FF0" w:rsidRPr="008669C3">
        <w:rPr>
          <w:i/>
          <w:lang w:val="en-US"/>
        </w:rPr>
        <w:t>High</w:t>
      </w:r>
      <w:r w:rsidR="00536FF0" w:rsidRPr="008669C3">
        <w:rPr>
          <w:lang w:val="en-US"/>
        </w:rPr>
        <w:t xml:space="preserve"> and </w:t>
      </w:r>
      <w:r w:rsidR="00536FF0" w:rsidRPr="008669C3">
        <w:rPr>
          <w:i/>
          <w:lang w:val="en-US"/>
        </w:rPr>
        <w:t>Low</w:t>
      </w:r>
      <w:r w:rsidR="00536FF0" w:rsidRPr="008669C3">
        <w:rPr>
          <w:lang w:val="en-US"/>
        </w:rPr>
        <w:t xml:space="preserve"> subsamples. We also estimate </w:t>
      </w:r>
      <w:r w:rsidR="003D49AE" w:rsidRPr="008669C3">
        <w:rPr>
          <w:lang w:val="en-US"/>
        </w:rPr>
        <w:t xml:space="preserve">vega </w:t>
      </w:r>
      <w:r w:rsidR="00536FF0" w:rsidRPr="008669C3">
        <w:rPr>
          <w:lang w:val="en-US"/>
        </w:rPr>
        <w:t xml:space="preserve">regressions that include an interaction term between </w:t>
      </w:r>
      <w:r w:rsidR="00536FF0" w:rsidRPr="008669C3">
        <w:rPr>
          <w:i/>
          <w:lang w:val="en-US"/>
        </w:rPr>
        <w:t>CDS trading</w:t>
      </w:r>
      <w:r w:rsidR="00536FF0" w:rsidRPr="008669C3">
        <w:rPr>
          <w:lang w:val="en-US"/>
        </w:rPr>
        <w:t xml:space="preserve"> and </w:t>
      </w:r>
      <w:r w:rsidR="00D923D1" w:rsidRPr="008669C3">
        <w:rPr>
          <w:lang w:val="en-US"/>
        </w:rPr>
        <w:t>the</w:t>
      </w:r>
      <w:r w:rsidR="00536FF0" w:rsidRPr="008669C3">
        <w:rPr>
          <w:lang w:val="en-US"/>
        </w:rPr>
        <w:t xml:space="preserve"> </w:t>
      </w:r>
      <w:r w:rsidR="00536FF0" w:rsidRPr="008669C3">
        <w:t>transparency</w:t>
      </w:r>
      <w:r w:rsidR="00536FF0" w:rsidRPr="008669C3">
        <w:rPr>
          <w:lang w:val="en-US"/>
        </w:rPr>
        <w:t xml:space="preserve"> measure</w:t>
      </w:r>
      <w:r w:rsidR="00D923D1" w:rsidRPr="008669C3">
        <w:rPr>
          <w:lang w:val="en-US"/>
        </w:rPr>
        <w:t>s</w:t>
      </w:r>
      <w:r w:rsidR="00536FF0" w:rsidRPr="008669C3">
        <w:rPr>
          <w:lang w:val="en-US"/>
        </w:rPr>
        <w:t xml:space="preserve">. </w:t>
      </w:r>
      <w:r w:rsidR="00D923D1" w:rsidRPr="008669C3">
        <w:rPr>
          <w:lang w:val="en-US"/>
        </w:rPr>
        <w:t xml:space="preserve">Overall, the positive </w:t>
      </w:r>
      <w:r w:rsidR="00752676" w:rsidRPr="008669C3">
        <w:rPr>
          <w:lang w:val="en-US"/>
        </w:rPr>
        <w:t xml:space="preserve">CDS </w:t>
      </w:r>
      <w:r w:rsidR="00D923D1" w:rsidRPr="008669C3">
        <w:rPr>
          <w:lang w:val="en-US"/>
        </w:rPr>
        <w:t>effect is pervasive across firms with different levels of transparency</w:t>
      </w:r>
      <w:r w:rsidR="007353CF" w:rsidRPr="008669C3">
        <w:rPr>
          <w:lang w:val="en-US"/>
        </w:rPr>
        <w:t xml:space="preserve">, which contradicts the </w:t>
      </w:r>
      <w:r w:rsidR="006F51D2" w:rsidRPr="008669C3">
        <w:rPr>
          <w:lang w:val="en-US"/>
        </w:rPr>
        <w:t>view</w:t>
      </w:r>
      <w:r w:rsidR="00752676" w:rsidRPr="008669C3">
        <w:rPr>
          <w:lang w:val="en-US"/>
        </w:rPr>
        <w:t xml:space="preserve"> </w:t>
      </w:r>
      <w:r w:rsidR="007353CF" w:rsidRPr="008669C3">
        <w:rPr>
          <w:lang w:val="en-US"/>
        </w:rPr>
        <w:t>that</w:t>
      </w:r>
      <w:r w:rsidR="00752676" w:rsidRPr="008669C3">
        <w:rPr>
          <w:lang w:val="en-US"/>
        </w:rPr>
        <w:t xml:space="preserve"> CDS trading and vega are related via the improved information environment</w:t>
      </w:r>
      <w:r w:rsidR="006F51D2" w:rsidRPr="008669C3">
        <w:rPr>
          <w:lang w:val="en-US"/>
        </w:rPr>
        <w:t xml:space="preserve"> following CDS trade initiation</w:t>
      </w:r>
      <w:r w:rsidR="00752676" w:rsidRPr="008669C3">
        <w:rPr>
          <w:lang w:val="en-US"/>
        </w:rPr>
        <w:t>.</w:t>
      </w:r>
    </w:p>
    <w:p w14:paraId="7002A60C" w14:textId="3E034D58" w:rsidR="00E23290" w:rsidRPr="008669C3" w:rsidRDefault="00744306" w:rsidP="00683130">
      <w:pPr>
        <w:autoSpaceDE w:val="0"/>
        <w:autoSpaceDN w:val="0"/>
        <w:adjustRightInd w:val="0"/>
        <w:spacing w:line="480" w:lineRule="auto"/>
        <w:ind w:firstLine="567"/>
        <w:jc w:val="both"/>
        <w:rPr>
          <w:lang w:val="en-US"/>
        </w:rPr>
      </w:pPr>
      <w:r w:rsidRPr="008669C3">
        <w:rPr>
          <w:lang w:val="en-US"/>
        </w:rPr>
        <w:t>Several</w:t>
      </w:r>
      <w:r w:rsidR="00DF246F" w:rsidRPr="008669C3">
        <w:rPr>
          <w:lang w:val="en-US"/>
        </w:rPr>
        <w:t xml:space="preserve"> prior studies report evidence that </w:t>
      </w:r>
      <w:r w:rsidR="00C374A8" w:rsidRPr="008669C3">
        <w:rPr>
          <w:lang w:val="en-US"/>
        </w:rPr>
        <w:t>pay convexity</w:t>
      </w:r>
      <w:r w:rsidR="00DF246F" w:rsidRPr="008669C3">
        <w:rPr>
          <w:lang w:val="en-US"/>
        </w:rPr>
        <w:t xml:space="preserve"> increases the firm’s cost of </w:t>
      </w:r>
      <w:r w:rsidR="006F5027" w:rsidRPr="008669C3">
        <w:rPr>
          <w:lang w:val="en-US"/>
        </w:rPr>
        <w:t>capital</w:t>
      </w:r>
      <w:r w:rsidR="00DF246F" w:rsidRPr="008669C3">
        <w:rPr>
          <w:lang w:val="en-US"/>
        </w:rPr>
        <w:t xml:space="preserve"> because creditors understand and account for the effect of incentives on risk-taking </w:t>
      </w:r>
      <w:r w:rsidRPr="008669C3">
        <w:rPr>
          <w:lang w:val="en-US"/>
        </w:rPr>
        <w:t>(</w:t>
      </w:r>
      <w:r w:rsidRPr="008669C3">
        <w:t>Daniel et al., 2004; Billett et al., 2010; Brockman et al., 2010)</w:t>
      </w:r>
      <w:r w:rsidRPr="008669C3">
        <w:rPr>
          <w:lang w:val="en-US"/>
        </w:rPr>
        <w:t xml:space="preserve">. </w:t>
      </w:r>
      <w:r w:rsidR="00260117" w:rsidRPr="008669C3">
        <w:rPr>
          <w:lang w:val="en-US"/>
        </w:rPr>
        <w:t xml:space="preserve">If boards are aware </w:t>
      </w:r>
      <w:r w:rsidR="00DC7DB2" w:rsidRPr="008669C3">
        <w:rPr>
          <w:lang w:val="en-US"/>
        </w:rPr>
        <w:t xml:space="preserve">that </w:t>
      </w:r>
      <w:r w:rsidR="007B5CD6">
        <w:rPr>
          <w:lang w:val="en-US"/>
        </w:rPr>
        <w:t>pay-risk incentives</w:t>
      </w:r>
      <w:r w:rsidR="00DC7DB2" w:rsidRPr="008669C3">
        <w:rPr>
          <w:lang w:val="en-US"/>
        </w:rPr>
        <w:t xml:space="preserve"> </w:t>
      </w:r>
      <w:r w:rsidR="008B71A9" w:rsidRPr="008669C3">
        <w:rPr>
          <w:lang w:val="en-US"/>
        </w:rPr>
        <w:t xml:space="preserve">in managerial compensation </w:t>
      </w:r>
      <w:r w:rsidR="00720380" w:rsidRPr="008669C3">
        <w:rPr>
          <w:lang w:val="en-US"/>
        </w:rPr>
        <w:t>affect</w:t>
      </w:r>
      <w:r w:rsidR="001C0E06" w:rsidRPr="008669C3">
        <w:rPr>
          <w:lang w:val="en-US"/>
        </w:rPr>
        <w:t>s</w:t>
      </w:r>
      <w:r w:rsidR="00DC7DB2" w:rsidRPr="008669C3">
        <w:rPr>
          <w:lang w:val="en-US"/>
        </w:rPr>
        <w:t xml:space="preserve"> cost of </w:t>
      </w:r>
      <w:r w:rsidR="006F5027" w:rsidRPr="008669C3">
        <w:rPr>
          <w:lang w:val="en-US"/>
        </w:rPr>
        <w:t>capital</w:t>
      </w:r>
      <w:r w:rsidR="00DC7DB2" w:rsidRPr="008669C3">
        <w:rPr>
          <w:lang w:val="en-US"/>
        </w:rPr>
        <w:t>, then they</w:t>
      </w:r>
      <w:r w:rsidR="00720380" w:rsidRPr="008669C3">
        <w:rPr>
          <w:lang w:val="en-US"/>
        </w:rPr>
        <w:t xml:space="preserve"> may factor in</w:t>
      </w:r>
      <w:r w:rsidR="00DC7DB2" w:rsidRPr="008669C3">
        <w:rPr>
          <w:lang w:val="en-US"/>
        </w:rPr>
        <w:t xml:space="preserve"> th</w:t>
      </w:r>
      <w:r w:rsidR="006F5027" w:rsidRPr="008669C3">
        <w:rPr>
          <w:lang w:val="en-US"/>
        </w:rPr>
        <w:t>is</w:t>
      </w:r>
      <w:r w:rsidR="00DC7DB2" w:rsidRPr="008669C3">
        <w:rPr>
          <w:lang w:val="en-US"/>
        </w:rPr>
        <w:t xml:space="preserve"> hidden, indirect cost of </w:t>
      </w:r>
      <w:r w:rsidR="00C374A8" w:rsidRPr="008669C3">
        <w:rPr>
          <w:lang w:val="en-US"/>
        </w:rPr>
        <w:t xml:space="preserve">volatility sensitivity </w:t>
      </w:r>
      <w:r w:rsidR="00720380" w:rsidRPr="008669C3">
        <w:rPr>
          <w:lang w:val="en-US"/>
        </w:rPr>
        <w:t>when setting pay</w:t>
      </w:r>
      <w:r w:rsidR="00C374A8" w:rsidRPr="008669C3">
        <w:rPr>
          <w:lang w:val="en-US"/>
        </w:rPr>
        <w:t xml:space="preserve">, putting downward pressure on </w:t>
      </w:r>
      <w:r w:rsidR="001C0E06" w:rsidRPr="008669C3">
        <w:rPr>
          <w:lang w:val="en-US"/>
        </w:rPr>
        <w:t>incentive provision</w:t>
      </w:r>
      <w:r w:rsidR="00720380" w:rsidRPr="008669C3">
        <w:rPr>
          <w:lang w:val="en-US"/>
        </w:rPr>
        <w:t>.</w:t>
      </w:r>
      <w:r w:rsidR="00C374A8" w:rsidRPr="008669C3">
        <w:rPr>
          <w:lang w:val="en-US"/>
        </w:rPr>
        <w:t xml:space="preserve"> Therefore, t</w:t>
      </w:r>
      <w:r w:rsidR="00720380" w:rsidRPr="008669C3">
        <w:rPr>
          <w:lang w:val="en-US"/>
        </w:rPr>
        <w:t xml:space="preserve">his effect </w:t>
      </w:r>
      <w:r w:rsidR="00C374A8" w:rsidRPr="008669C3">
        <w:rPr>
          <w:lang w:val="en-US"/>
        </w:rPr>
        <w:t>should</w:t>
      </w:r>
      <w:r w:rsidR="00720380" w:rsidRPr="008669C3">
        <w:rPr>
          <w:lang w:val="en-US"/>
        </w:rPr>
        <w:t xml:space="preserve"> work against finding a positive</w:t>
      </w:r>
      <w:r w:rsidR="001E562D" w:rsidRPr="008669C3">
        <w:rPr>
          <w:lang w:val="en-US"/>
        </w:rPr>
        <w:t>, significant</w:t>
      </w:r>
      <w:r w:rsidR="00720380" w:rsidRPr="008669C3">
        <w:rPr>
          <w:lang w:val="en-US"/>
        </w:rPr>
        <w:t xml:space="preserve"> impact of CDS </w:t>
      </w:r>
      <w:r w:rsidR="008B71A9" w:rsidRPr="008669C3">
        <w:rPr>
          <w:lang w:val="en-US"/>
        </w:rPr>
        <w:t>trading</w:t>
      </w:r>
      <w:r w:rsidR="0004703D" w:rsidRPr="008669C3">
        <w:rPr>
          <w:lang w:val="en-US"/>
        </w:rPr>
        <w:t xml:space="preserve"> on </w:t>
      </w:r>
      <w:r w:rsidR="008B71A9" w:rsidRPr="008669C3">
        <w:rPr>
          <w:lang w:val="en-US"/>
        </w:rPr>
        <w:t>risk-taking incentives</w:t>
      </w:r>
      <w:r w:rsidR="001E562D" w:rsidRPr="008669C3">
        <w:rPr>
          <w:lang w:val="en-US"/>
        </w:rPr>
        <w:t xml:space="preserve">, </w:t>
      </w:r>
      <w:r w:rsidR="002E0A3A" w:rsidRPr="008669C3">
        <w:rPr>
          <w:lang w:val="en-US"/>
        </w:rPr>
        <w:t>suggesting that</w:t>
      </w:r>
      <w:r w:rsidR="001E562D" w:rsidRPr="008669C3">
        <w:rPr>
          <w:lang w:val="en-US"/>
        </w:rPr>
        <w:t xml:space="preserve"> o</w:t>
      </w:r>
      <w:r w:rsidR="00C374A8" w:rsidRPr="008669C3">
        <w:rPr>
          <w:lang w:val="en-US"/>
        </w:rPr>
        <w:t xml:space="preserve">ur results can be viewed as conservative estimates of the </w:t>
      </w:r>
      <w:r w:rsidR="0004703D" w:rsidRPr="008669C3">
        <w:rPr>
          <w:lang w:val="en-US"/>
        </w:rPr>
        <w:t>CDS-vega relation</w:t>
      </w:r>
      <w:r w:rsidR="00C374A8" w:rsidRPr="008669C3">
        <w:rPr>
          <w:lang w:val="en-US"/>
        </w:rPr>
        <w:t>.</w:t>
      </w:r>
      <w:r w:rsidR="0004703D" w:rsidRPr="008669C3">
        <w:rPr>
          <w:lang w:val="en-US"/>
        </w:rPr>
        <w:t xml:space="preserve"> </w:t>
      </w:r>
    </w:p>
    <w:p w14:paraId="366E84CD" w14:textId="377EB9E4" w:rsidR="006F51D2" w:rsidRPr="008669C3" w:rsidRDefault="0004703D" w:rsidP="00D14BF2">
      <w:pPr>
        <w:autoSpaceDE w:val="0"/>
        <w:autoSpaceDN w:val="0"/>
        <w:adjustRightInd w:val="0"/>
        <w:spacing w:line="480" w:lineRule="auto"/>
        <w:ind w:firstLine="567"/>
        <w:jc w:val="both"/>
        <w:rPr>
          <w:lang w:val="en-US"/>
        </w:rPr>
      </w:pPr>
      <w:r w:rsidRPr="008669C3">
        <w:rPr>
          <w:lang w:val="en-US"/>
        </w:rPr>
        <w:t xml:space="preserve">Nevertheless, </w:t>
      </w:r>
      <w:r w:rsidR="00CA1B88" w:rsidRPr="008669C3">
        <w:rPr>
          <w:lang w:val="en-US"/>
        </w:rPr>
        <w:t xml:space="preserve">we conduct </w:t>
      </w:r>
      <w:r w:rsidR="00DF4D9B" w:rsidRPr="008669C3">
        <w:rPr>
          <w:lang w:val="en-US"/>
        </w:rPr>
        <w:t xml:space="preserve">additional analyses and find that our main results are robust to including </w:t>
      </w:r>
      <w:r w:rsidR="00DF4D9B" w:rsidRPr="008669C3">
        <w:rPr>
          <w:i/>
          <w:lang w:val="en-US"/>
        </w:rPr>
        <w:t>High refinancing needs</w:t>
      </w:r>
      <w:r w:rsidR="00DF4D9B" w:rsidRPr="008669C3">
        <w:rPr>
          <w:lang w:val="en-US"/>
        </w:rPr>
        <w:t xml:space="preserve"> and its interaction with </w:t>
      </w:r>
      <w:r w:rsidR="00DF4D9B" w:rsidRPr="008669C3">
        <w:rPr>
          <w:i/>
          <w:lang w:val="en-US"/>
        </w:rPr>
        <w:t xml:space="preserve">CDS trading </w:t>
      </w:r>
      <w:r w:rsidR="00DF4D9B" w:rsidRPr="008669C3">
        <w:rPr>
          <w:lang w:val="en-US"/>
        </w:rPr>
        <w:t>as additional controls, and to excluding firms with high refinancing needs.</w:t>
      </w:r>
      <w:r w:rsidR="00683130" w:rsidRPr="008669C3">
        <w:rPr>
          <w:lang w:val="en-US"/>
        </w:rPr>
        <w:t xml:space="preserve"> </w:t>
      </w:r>
      <w:r w:rsidR="00DF4D9B" w:rsidRPr="008669C3">
        <w:rPr>
          <w:i/>
          <w:lang w:val="en-US"/>
        </w:rPr>
        <w:t>High refinancing needs</w:t>
      </w:r>
      <w:r w:rsidR="00DF4D9B" w:rsidRPr="008669C3">
        <w:rPr>
          <w:lang w:val="en-US"/>
        </w:rPr>
        <w:t xml:space="preserve"> is a dummy variable equals one if </w:t>
      </w:r>
      <w:r w:rsidR="00DF4D9B" w:rsidRPr="008669C3">
        <w:rPr>
          <w:i/>
          <w:lang w:val="en-US"/>
        </w:rPr>
        <w:t>ST3</w:t>
      </w:r>
      <w:r w:rsidR="00DF4D9B" w:rsidRPr="008669C3">
        <w:rPr>
          <w:lang w:val="en-US"/>
        </w:rPr>
        <w:t xml:space="preserve"> and </w:t>
      </w:r>
      <w:r w:rsidR="00DF4D9B" w:rsidRPr="008669C3">
        <w:rPr>
          <w:i/>
          <w:lang w:val="en-US"/>
        </w:rPr>
        <w:t>Book leverage</w:t>
      </w:r>
      <w:r w:rsidR="00DF4D9B" w:rsidRPr="008669C3">
        <w:rPr>
          <w:lang w:val="en-US"/>
        </w:rPr>
        <w:t xml:space="preserve"> are above </w:t>
      </w:r>
      <w:r w:rsidR="00683130" w:rsidRPr="008669C3">
        <w:rPr>
          <w:lang w:val="en-US"/>
        </w:rPr>
        <w:t>the</w:t>
      </w:r>
      <w:r w:rsidR="00DF4D9B" w:rsidRPr="008669C3">
        <w:rPr>
          <w:lang w:val="en-US"/>
        </w:rPr>
        <w:t xml:space="preserve"> sample median for that fiscal year and zero otherwise, where </w:t>
      </w:r>
      <w:r w:rsidR="00DF4D9B" w:rsidRPr="008669C3">
        <w:rPr>
          <w:i/>
          <w:lang w:val="en-US"/>
        </w:rPr>
        <w:t>ST3</w:t>
      </w:r>
      <w:r w:rsidR="00DF4D9B" w:rsidRPr="008669C3">
        <w:rPr>
          <w:lang w:val="en-US"/>
        </w:rPr>
        <w:t xml:space="preserve"> is the book value of the debt maturing within the next 3 years scaled by the book value of total debt. </w:t>
      </w:r>
      <w:r w:rsidR="004D1A1F" w:rsidRPr="00C315CF">
        <w:t>Debt maturity information is obtained from Capital IQ.</w:t>
      </w:r>
      <w:r w:rsidR="004D1A1F">
        <w:t xml:space="preserve"> </w:t>
      </w:r>
      <w:r w:rsidR="007B5CD6" w:rsidRPr="008669C3">
        <w:rPr>
          <w:lang w:val="en-US"/>
        </w:rPr>
        <w:t xml:space="preserve">In addition, we fail to find evidence that the relation between CDS trading and vega varies with firm refinancing needs. </w:t>
      </w:r>
      <w:r w:rsidR="00E23290" w:rsidRPr="008669C3">
        <w:rPr>
          <w:lang w:val="en-US"/>
        </w:rPr>
        <w:t>If our results are somehow driven by debt governance, then w</w:t>
      </w:r>
      <w:r w:rsidR="00683130" w:rsidRPr="008669C3">
        <w:rPr>
          <w:lang w:val="en-US"/>
        </w:rPr>
        <w:t xml:space="preserve">e </w:t>
      </w:r>
      <w:r w:rsidR="00E23290" w:rsidRPr="008669C3">
        <w:rPr>
          <w:lang w:val="en-US"/>
        </w:rPr>
        <w:t xml:space="preserve">would </w:t>
      </w:r>
      <w:r w:rsidR="00683130" w:rsidRPr="008669C3">
        <w:rPr>
          <w:lang w:val="en-US"/>
        </w:rPr>
        <w:t xml:space="preserve">expect creditors of firms with high refinancing needs to have </w:t>
      </w:r>
      <w:r w:rsidR="00D14BF2" w:rsidRPr="008669C3">
        <w:rPr>
          <w:lang w:val="en-US"/>
        </w:rPr>
        <w:lastRenderedPageBreak/>
        <w:t>greater</w:t>
      </w:r>
      <w:r w:rsidR="00683130" w:rsidRPr="008669C3">
        <w:rPr>
          <w:lang w:val="en-US"/>
        </w:rPr>
        <w:t xml:space="preserve"> impact on the borrowing firm’s </w:t>
      </w:r>
      <w:r w:rsidR="00D14BF2" w:rsidRPr="008669C3">
        <w:rPr>
          <w:lang w:val="en-US"/>
        </w:rPr>
        <w:t>incentive provision. We do not observe this heterogeneity in the CDS effect in our data.</w:t>
      </w:r>
      <w:r w:rsidR="00E23290" w:rsidRPr="008669C3">
        <w:rPr>
          <w:lang w:val="en-US"/>
        </w:rPr>
        <w:t xml:space="preserve"> </w:t>
      </w:r>
    </w:p>
    <w:p w14:paraId="1A370328" w14:textId="4FCE777F" w:rsidR="00926271" w:rsidRPr="008669C3" w:rsidRDefault="00D70266" w:rsidP="006D0E21">
      <w:pPr>
        <w:autoSpaceDE w:val="0"/>
        <w:autoSpaceDN w:val="0"/>
        <w:adjustRightInd w:val="0"/>
        <w:spacing w:line="480" w:lineRule="auto"/>
        <w:ind w:firstLine="567"/>
        <w:jc w:val="both"/>
        <w:rPr>
          <w:lang w:val="en-US"/>
        </w:rPr>
      </w:pPr>
      <w:r w:rsidRPr="008669C3">
        <w:rPr>
          <w:lang w:val="en-US"/>
        </w:rPr>
        <w:t>However, w</w:t>
      </w:r>
      <w:r w:rsidR="006D0E21" w:rsidRPr="008669C3">
        <w:rPr>
          <w:lang w:val="en-US"/>
        </w:rPr>
        <w:t>e wish to emphasize that the</w:t>
      </w:r>
      <w:r w:rsidRPr="008669C3">
        <w:rPr>
          <w:lang w:val="en-US"/>
        </w:rPr>
        <w:t>se</w:t>
      </w:r>
      <w:r w:rsidR="006D0E21" w:rsidRPr="008669C3">
        <w:rPr>
          <w:lang w:val="en-US"/>
        </w:rPr>
        <w:t xml:space="preserve"> additional </w:t>
      </w:r>
      <w:r w:rsidR="006D75BA" w:rsidRPr="008669C3">
        <w:rPr>
          <w:lang w:val="en-US"/>
        </w:rPr>
        <w:t>analys</w:t>
      </w:r>
      <w:r w:rsidR="006D0E21" w:rsidRPr="008669C3">
        <w:rPr>
          <w:lang w:val="en-US"/>
        </w:rPr>
        <w:t>e</w:t>
      </w:r>
      <w:r w:rsidR="006D75BA" w:rsidRPr="008669C3">
        <w:rPr>
          <w:lang w:val="en-US"/>
        </w:rPr>
        <w:t xml:space="preserve">s </w:t>
      </w:r>
      <w:r w:rsidR="006D0E21" w:rsidRPr="008669C3">
        <w:rPr>
          <w:lang w:val="en-US"/>
        </w:rPr>
        <w:t>do</w:t>
      </w:r>
      <w:r w:rsidR="006D75BA" w:rsidRPr="008669C3">
        <w:rPr>
          <w:lang w:val="en-US"/>
        </w:rPr>
        <w:t xml:space="preserve"> not allow us to completely rule out alternative interpretations in general. Rather, we argue based on our evidence that the relation between </w:t>
      </w:r>
      <w:r w:rsidR="006D0E21" w:rsidRPr="008669C3">
        <w:rPr>
          <w:lang w:val="en-US"/>
        </w:rPr>
        <w:t>CDS introduction and vega</w:t>
      </w:r>
      <w:r w:rsidR="006D75BA" w:rsidRPr="008669C3">
        <w:rPr>
          <w:lang w:val="en-US"/>
        </w:rPr>
        <w:t xml:space="preserve"> is </w:t>
      </w:r>
      <w:r w:rsidRPr="008669C3">
        <w:rPr>
          <w:lang w:val="en-US"/>
        </w:rPr>
        <w:t>more</w:t>
      </w:r>
      <w:r w:rsidR="006D75BA" w:rsidRPr="008669C3">
        <w:rPr>
          <w:lang w:val="en-US"/>
        </w:rPr>
        <w:t xml:space="preserve"> consistent with </w:t>
      </w:r>
      <w:r w:rsidR="006D0E21" w:rsidRPr="008669C3">
        <w:rPr>
          <w:lang w:val="en-US"/>
        </w:rPr>
        <w:t xml:space="preserve">the creditor monitoring </w:t>
      </w:r>
      <w:r w:rsidR="00846AF4">
        <w:rPr>
          <w:lang w:val="en-US"/>
        </w:rPr>
        <w:t>explanation</w:t>
      </w:r>
      <w:r w:rsidR="006D75BA" w:rsidRPr="008669C3">
        <w:rPr>
          <w:lang w:val="en-US"/>
        </w:rPr>
        <w:t>.</w:t>
      </w:r>
    </w:p>
    <w:p w14:paraId="4B80E6C1" w14:textId="77777777" w:rsidR="00926271" w:rsidRPr="008669C3" w:rsidRDefault="00926271" w:rsidP="00687AF8">
      <w:pPr>
        <w:autoSpaceDE w:val="0"/>
        <w:autoSpaceDN w:val="0"/>
        <w:adjustRightInd w:val="0"/>
        <w:spacing w:line="480" w:lineRule="auto"/>
        <w:ind w:firstLine="567"/>
        <w:jc w:val="both"/>
        <w:rPr>
          <w:color w:val="FF0000"/>
        </w:rPr>
      </w:pPr>
    </w:p>
    <w:p w14:paraId="006F6B65" w14:textId="77777777" w:rsidR="006C2541" w:rsidRPr="008669C3" w:rsidRDefault="006C2541" w:rsidP="00687AF8">
      <w:pPr>
        <w:keepNext/>
        <w:autoSpaceDE w:val="0"/>
        <w:autoSpaceDN w:val="0"/>
        <w:adjustRightInd w:val="0"/>
        <w:spacing w:line="480" w:lineRule="auto"/>
        <w:jc w:val="both"/>
        <w:rPr>
          <w:b/>
        </w:rPr>
      </w:pPr>
      <w:r w:rsidRPr="008669C3">
        <w:rPr>
          <w:b/>
        </w:rPr>
        <w:t>6. Conclusion</w:t>
      </w:r>
    </w:p>
    <w:p w14:paraId="01BF0335" w14:textId="7CE7D9C8" w:rsidR="006C2541" w:rsidRPr="008669C3" w:rsidRDefault="006C2541" w:rsidP="00D41B45">
      <w:pPr>
        <w:autoSpaceDE w:val="0"/>
        <w:autoSpaceDN w:val="0"/>
        <w:adjustRightInd w:val="0"/>
        <w:spacing w:line="480" w:lineRule="auto"/>
        <w:ind w:firstLine="567"/>
        <w:jc w:val="both"/>
      </w:pPr>
      <w:r w:rsidRPr="008669C3">
        <w:t xml:space="preserve">This paper investigates the impact of CDS trade initiation on reference firms’ managerial compensation policies. We find </w:t>
      </w:r>
      <w:r w:rsidR="00D41B45">
        <w:t xml:space="preserve">significant </w:t>
      </w:r>
      <w:r w:rsidRPr="008669C3">
        <w:t xml:space="preserve">evidence that the introduction of CDS trading on a firm’s debt increases the vega of the firm’s CEO. This finding prevails even after we control for the potential endogeneity of the timing of CDS introduction using matching and IV estimation. </w:t>
      </w:r>
      <w:r w:rsidR="009D5C2C" w:rsidRPr="008669C3">
        <w:t xml:space="preserve">In the cross-section, we </w:t>
      </w:r>
      <w:r w:rsidR="00B37693" w:rsidRPr="008669C3">
        <w:t>show</w:t>
      </w:r>
      <w:r w:rsidR="009D5C2C" w:rsidRPr="008669C3">
        <w:t xml:space="preserve"> that </w:t>
      </w:r>
      <w:r w:rsidR="00B37693" w:rsidRPr="008669C3">
        <w:t>the positive CDS effect on vega is stronger when institutional ownership is higher</w:t>
      </w:r>
      <w:r w:rsidR="00D41B45">
        <w:t xml:space="preserve"> and</w:t>
      </w:r>
      <w:r w:rsidR="00D41B45" w:rsidRPr="008669C3">
        <w:t xml:space="preserve"> </w:t>
      </w:r>
      <w:r w:rsidR="00B37693" w:rsidRPr="008669C3">
        <w:t>when firms are in financial distress.</w:t>
      </w:r>
      <w:r w:rsidR="00845DFA" w:rsidRPr="008669C3">
        <w:t xml:space="preserve"> </w:t>
      </w:r>
      <w:r w:rsidR="00B37693" w:rsidRPr="008669C3">
        <w:t xml:space="preserve">These findings imply that boards offer pay packages that encourage greater risk </w:t>
      </w:r>
      <w:r w:rsidR="00BA3406" w:rsidRPr="008669C3">
        <w:t xml:space="preserve">taking </w:t>
      </w:r>
      <w:r w:rsidR="00C23CAC" w:rsidRPr="008669C3">
        <w:t>to take advantage of</w:t>
      </w:r>
      <w:r w:rsidR="00B37693" w:rsidRPr="008669C3">
        <w:t xml:space="preserve"> </w:t>
      </w:r>
      <w:r w:rsidR="00C23CAC" w:rsidRPr="008669C3">
        <w:t xml:space="preserve">the decline </w:t>
      </w:r>
      <w:r w:rsidR="00845DFA" w:rsidRPr="008669C3">
        <w:t>in</w:t>
      </w:r>
      <w:r w:rsidR="00B37693" w:rsidRPr="008669C3">
        <w:t xml:space="preserve"> creditor monitoring </w:t>
      </w:r>
      <w:r w:rsidR="00BA3406" w:rsidRPr="008669C3">
        <w:t>in the post-CDS period</w:t>
      </w:r>
      <w:r w:rsidR="00845DFA" w:rsidRPr="008669C3">
        <w:t>.</w:t>
      </w:r>
      <w:r w:rsidR="00D41B45">
        <w:t xml:space="preserve"> Finally, we find</w:t>
      </w:r>
      <w:r w:rsidRPr="008669C3">
        <w:t xml:space="preserve"> that the onset of CDS trading attenuates the effect of vega on leverage</w:t>
      </w:r>
      <w:r w:rsidR="00D41B45">
        <w:t xml:space="preserve">, </w:t>
      </w:r>
      <w:r w:rsidRPr="008669C3">
        <w:t>consistent with the view that CDS-induced exacting creditors pose a potential threat to managers and restrain their risk taking.</w:t>
      </w:r>
    </w:p>
    <w:p w14:paraId="17EABA3C" w14:textId="77777777" w:rsidR="006C2541" w:rsidRDefault="006C2541" w:rsidP="006C2541">
      <w:pPr>
        <w:autoSpaceDE w:val="0"/>
        <w:autoSpaceDN w:val="0"/>
        <w:adjustRightInd w:val="0"/>
        <w:spacing w:line="420" w:lineRule="auto"/>
        <w:ind w:firstLine="567"/>
        <w:jc w:val="both"/>
        <w:rPr>
          <w:color w:val="FF0000"/>
        </w:rPr>
      </w:pPr>
    </w:p>
    <w:p w14:paraId="7CBB4783" w14:textId="77777777" w:rsidR="00230B3B" w:rsidRDefault="00230B3B" w:rsidP="006C2541">
      <w:pPr>
        <w:autoSpaceDE w:val="0"/>
        <w:autoSpaceDN w:val="0"/>
        <w:adjustRightInd w:val="0"/>
        <w:spacing w:line="420" w:lineRule="auto"/>
        <w:ind w:firstLine="567"/>
        <w:jc w:val="both"/>
        <w:rPr>
          <w:color w:val="FF0000"/>
        </w:rPr>
      </w:pPr>
    </w:p>
    <w:p w14:paraId="37B37A6E" w14:textId="77777777" w:rsidR="00230B3B" w:rsidRDefault="00230B3B" w:rsidP="006C2541">
      <w:pPr>
        <w:autoSpaceDE w:val="0"/>
        <w:autoSpaceDN w:val="0"/>
        <w:adjustRightInd w:val="0"/>
        <w:spacing w:line="420" w:lineRule="auto"/>
        <w:ind w:firstLine="567"/>
        <w:jc w:val="both"/>
        <w:rPr>
          <w:color w:val="FF0000"/>
        </w:rPr>
      </w:pPr>
    </w:p>
    <w:p w14:paraId="7B6CA1F4" w14:textId="77777777" w:rsidR="00230B3B" w:rsidRDefault="00230B3B" w:rsidP="006C2541">
      <w:pPr>
        <w:autoSpaceDE w:val="0"/>
        <w:autoSpaceDN w:val="0"/>
        <w:adjustRightInd w:val="0"/>
        <w:spacing w:line="420" w:lineRule="auto"/>
        <w:ind w:firstLine="567"/>
        <w:jc w:val="both"/>
        <w:rPr>
          <w:color w:val="FF0000"/>
        </w:rPr>
      </w:pPr>
    </w:p>
    <w:p w14:paraId="118DFF3C" w14:textId="65D115BA" w:rsidR="00230B3B" w:rsidRDefault="00230B3B" w:rsidP="006C2541">
      <w:pPr>
        <w:autoSpaceDE w:val="0"/>
        <w:autoSpaceDN w:val="0"/>
        <w:adjustRightInd w:val="0"/>
        <w:spacing w:line="420" w:lineRule="auto"/>
        <w:ind w:firstLine="567"/>
        <w:jc w:val="both"/>
        <w:rPr>
          <w:color w:val="FF0000"/>
        </w:rPr>
      </w:pPr>
    </w:p>
    <w:p w14:paraId="213B5ED5" w14:textId="77777777" w:rsidR="004F1AF6" w:rsidRDefault="004F1AF6" w:rsidP="006C2541">
      <w:pPr>
        <w:autoSpaceDE w:val="0"/>
        <w:autoSpaceDN w:val="0"/>
        <w:adjustRightInd w:val="0"/>
        <w:spacing w:line="420" w:lineRule="auto"/>
        <w:ind w:firstLine="567"/>
        <w:jc w:val="both"/>
        <w:rPr>
          <w:color w:val="FF0000"/>
        </w:rPr>
      </w:pPr>
    </w:p>
    <w:p w14:paraId="0F85625D" w14:textId="77777777" w:rsidR="00230B3B" w:rsidRPr="008669C3" w:rsidRDefault="00230B3B" w:rsidP="006C2541">
      <w:pPr>
        <w:autoSpaceDE w:val="0"/>
        <w:autoSpaceDN w:val="0"/>
        <w:adjustRightInd w:val="0"/>
        <w:spacing w:line="420" w:lineRule="auto"/>
        <w:ind w:firstLine="567"/>
        <w:jc w:val="both"/>
        <w:rPr>
          <w:color w:val="FF0000"/>
        </w:rPr>
      </w:pPr>
    </w:p>
    <w:p w14:paraId="6295D657" w14:textId="77777777" w:rsidR="001A55F7" w:rsidRPr="008669C3" w:rsidRDefault="001A65BD" w:rsidP="0095247B">
      <w:pPr>
        <w:autoSpaceDE w:val="0"/>
        <w:autoSpaceDN w:val="0"/>
        <w:adjustRightInd w:val="0"/>
        <w:spacing w:line="420" w:lineRule="auto"/>
        <w:jc w:val="both"/>
        <w:rPr>
          <w:b/>
          <w:lang w:val="es-ES"/>
        </w:rPr>
      </w:pPr>
      <w:r w:rsidRPr="008669C3">
        <w:rPr>
          <w:b/>
          <w:lang w:val="es-ES"/>
        </w:rPr>
        <w:lastRenderedPageBreak/>
        <w:t>References</w:t>
      </w:r>
    </w:p>
    <w:p w14:paraId="5855F128" w14:textId="77777777" w:rsidR="001B2E7A" w:rsidRPr="008669C3" w:rsidRDefault="001B2E7A" w:rsidP="0095247B">
      <w:pPr>
        <w:autoSpaceDE w:val="0"/>
        <w:autoSpaceDN w:val="0"/>
        <w:adjustRightInd w:val="0"/>
        <w:jc w:val="both"/>
      </w:pPr>
      <w:r w:rsidRPr="008669C3">
        <w:t>Almazan, A., Hartzell, J.C, Starks, L.T., 2005. Active institutional shareholders and costs of monitoring: Evidence from executive compensation. Financial Management 34, 5–34.</w:t>
      </w:r>
    </w:p>
    <w:p w14:paraId="74118271" w14:textId="77777777" w:rsidR="001B2E7A" w:rsidRPr="008669C3" w:rsidRDefault="001B2E7A" w:rsidP="0095247B">
      <w:pPr>
        <w:autoSpaceDE w:val="0"/>
        <w:autoSpaceDN w:val="0"/>
        <w:adjustRightInd w:val="0"/>
        <w:jc w:val="both"/>
      </w:pPr>
    </w:p>
    <w:p w14:paraId="5EC60D01" w14:textId="77777777" w:rsidR="001B2E7A" w:rsidRPr="008669C3" w:rsidRDefault="001B2E7A" w:rsidP="0095247B">
      <w:pPr>
        <w:autoSpaceDE w:val="0"/>
        <w:autoSpaceDN w:val="0"/>
        <w:adjustRightInd w:val="0"/>
        <w:jc w:val="both"/>
      </w:pPr>
      <w:r w:rsidRPr="008669C3">
        <w:t>Altman, E., 1968. Financial ratios, discriminant analysis and the prediction of corporate bankruptcy. Journal of Finance 23, 589-609.</w:t>
      </w:r>
    </w:p>
    <w:p w14:paraId="6EEDC530" w14:textId="77777777" w:rsidR="00966542" w:rsidRPr="008669C3" w:rsidRDefault="00966542" w:rsidP="0095247B">
      <w:pPr>
        <w:autoSpaceDE w:val="0"/>
        <w:autoSpaceDN w:val="0"/>
        <w:adjustRightInd w:val="0"/>
        <w:jc w:val="both"/>
      </w:pPr>
    </w:p>
    <w:p w14:paraId="7CB1BDFE" w14:textId="0C5F63FD" w:rsidR="00D77B64" w:rsidRPr="008669C3" w:rsidRDefault="00D77B64" w:rsidP="002067A5">
      <w:pPr>
        <w:autoSpaceDE w:val="0"/>
        <w:autoSpaceDN w:val="0"/>
        <w:adjustRightInd w:val="0"/>
        <w:jc w:val="both"/>
        <w:rPr>
          <w:szCs w:val="16"/>
        </w:rPr>
      </w:pPr>
      <w:r w:rsidRPr="008669C3">
        <w:rPr>
          <w:szCs w:val="16"/>
        </w:rPr>
        <w:t>Armstrong, C.S., Vashishtha, R., 2012. Executive stock options, differential risk tak</w:t>
      </w:r>
      <w:r w:rsidR="002067A5">
        <w:rPr>
          <w:szCs w:val="16"/>
        </w:rPr>
        <w:t>ing incentives, and firm value.</w:t>
      </w:r>
      <w:r w:rsidRPr="008669C3">
        <w:rPr>
          <w:szCs w:val="16"/>
        </w:rPr>
        <w:t xml:space="preserve"> </w:t>
      </w:r>
      <w:r w:rsidRPr="008669C3">
        <w:rPr>
          <w:iCs/>
          <w:szCs w:val="16"/>
        </w:rPr>
        <w:t xml:space="preserve">Journal of Financial Economics </w:t>
      </w:r>
      <w:r w:rsidRPr="008669C3">
        <w:rPr>
          <w:szCs w:val="16"/>
        </w:rPr>
        <w:t>104, 70–88.</w:t>
      </w:r>
    </w:p>
    <w:p w14:paraId="0E04895C" w14:textId="77777777" w:rsidR="00966542" w:rsidRPr="008669C3" w:rsidRDefault="00966542" w:rsidP="0095247B">
      <w:pPr>
        <w:autoSpaceDE w:val="0"/>
        <w:autoSpaceDN w:val="0"/>
        <w:adjustRightInd w:val="0"/>
        <w:jc w:val="both"/>
      </w:pPr>
    </w:p>
    <w:p w14:paraId="38300442" w14:textId="77777777" w:rsidR="001B2E7A" w:rsidRPr="008669C3" w:rsidRDefault="001B2E7A" w:rsidP="0095247B">
      <w:pPr>
        <w:autoSpaceDE w:val="0"/>
        <w:autoSpaceDN w:val="0"/>
        <w:adjustRightInd w:val="0"/>
        <w:jc w:val="both"/>
      </w:pPr>
      <w:r w:rsidRPr="008669C3">
        <w:t xml:space="preserve">Bakke, T.E., </w:t>
      </w:r>
      <w:hyperlink r:id="rId8" w:history="1">
        <w:r w:rsidRPr="008669C3">
          <w:t> Mahmudi</w:t>
        </w:r>
      </w:hyperlink>
      <w:r w:rsidRPr="008669C3">
        <w:t xml:space="preserve">, H., </w:t>
      </w:r>
      <w:hyperlink r:id="rId9" w:history="1">
        <w:r w:rsidRPr="008669C3">
          <w:t>Fernando</w:t>
        </w:r>
      </w:hyperlink>
      <w:r w:rsidRPr="008669C3">
        <w:t>, C.S., Salas, J.M., 2016. The causal effect of option pay on corporate risk management. Journal of Financial Economics 120, 623-643.</w:t>
      </w:r>
    </w:p>
    <w:p w14:paraId="25201DF6" w14:textId="77777777" w:rsidR="00966542" w:rsidRPr="008669C3" w:rsidRDefault="00966542" w:rsidP="0095247B">
      <w:pPr>
        <w:autoSpaceDE w:val="0"/>
        <w:autoSpaceDN w:val="0"/>
        <w:adjustRightInd w:val="0"/>
        <w:jc w:val="both"/>
      </w:pPr>
    </w:p>
    <w:p w14:paraId="5C2A32DE" w14:textId="77777777" w:rsidR="001B2E7A" w:rsidRPr="008669C3" w:rsidRDefault="001B2E7A" w:rsidP="0095247B">
      <w:pPr>
        <w:autoSpaceDE w:val="0"/>
        <w:autoSpaceDN w:val="0"/>
        <w:adjustRightInd w:val="0"/>
        <w:jc w:val="both"/>
      </w:pPr>
      <w:r w:rsidRPr="008669C3">
        <w:t>Bebchuk, L., Cohen, A., Ferrell, A., 2009. What matters in corporate governance? Review of Financial Studies 22, 783-827.</w:t>
      </w:r>
    </w:p>
    <w:p w14:paraId="59EE59F2" w14:textId="77777777" w:rsidR="00966542" w:rsidRPr="008669C3" w:rsidRDefault="00966542" w:rsidP="0095247B">
      <w:pPr>
        <w:autoSpaceDE w:val="0"/>
        <w:autoSpaceDN w:val="0"/>
        <w:adjustRightInd w:val="0"/>
        <w:jc w:val="both"/>
      </w:pPr>
    </w:p>
    <w:p w14:paraId="5BF24D49" w14:textId="77777777" w:rsidR="001B2E7A" w:rsidRPr="008669C3" w:rsidRDefault="001B2E7A" w:rsidP="0095247B">
      <w:pPr>
        <w:autoSpaceDE w:val="0"/>
        <w:autoSpaceDN w:val="0"/>
        <w:adjustRightInd w:val="0"/>
        <w:jc w:val="both"/>
      </w:pPr>
      <w:r w:rsidRPr="008669C3">
        <w:t>Billett, M.T., Mauer, D.C., Zhang, Y.L., 2010. Stockholder and bondholder wealth effects of CEO incentive grants. Financial Management 39, 463-487.</w:t>
      </w:r>
    </w:p>
    <w:p w14:paraId="798BCCB9" w14:textId="77777777" w:rsidR="00966542" w:rsidRPr="008669C3" w:rsidRDefault="00966542" w:rsidP="0095247B">
      <w:pPr>
        <w:autoSpaceDE w:val="0"/>
        <w:autoSpaceDN w:val="0"/>
        <w:adjustRightInd w:val="0"/>
        <w:jc w:val="both"/>
      </w:pPr>
    </w:p>
    <w:p w14:paraId="0339C1EF" w14:textId="77777777" w:rsidR="001B2E7A" w:rsidRPr="008669C3" w:rsidRDefault="001B2E7A" w:rsidP="0095247B">
      <w:pPr>
        <w:autoSpaceDE w:val="0"/>
        <w:autoSpaceDN w:val="0"/>
        <w:adjustRightInd w:val="0"/>
        <w:jc w:val="both"/>
      </w:pPr>
      <w:r w:rsidRPr="008669C3">
        <w:t>Bolton, P., Oehmke, M., 2011. Credit default swaps and the empty creditor problem. Review of Financial Studies 24, 2617-2655.</w:t>
      </w:r>
    </w:p>
    <w:p w14:paraId="59D19084" w14:textId="77777777" w:rsidR="00966542" w:rsidRPr="008669C3" w:rsidRDefault="00966542" w:rsidP="0095247B">
      <w:pPr>
        <w:autoSpaceDE w:val="0"/>
        <w:autoSpaceDN w:val="0"/>
        <w:adjustRightInd w:val="0"/>
        <w:jc w:val="both"/>
      </w:pPr>
    </w:p>
    <w:p w14:paraId="57A1F59D" w14:textId="77777777" w:rsidR="001B2E7A" w:rsidRPr="008669C3" w:rsidRDefault="001B2E7A" w:rsidP="0095247B">
      <w:pPr>
        <w:autoSpaceDE w:val="0"/>
        <w:autoSpaceDN w:val="0"/>
        <w:adjustRightInd w:val="0"/>
        <w:jc w:val="both"/>
      </w:pPr>
      <w:r w:rsidRPr="008669C3">
        <w:t>Bolton, P., Oehmke, M., 2013. Strategic conduct in credit derivative markets. International Journal of Industrial Organization 31, 652-658.</w:t>
      </w:r>
    </w:p>
    <w:p w14:paraId="7B587AD2" w14:textId="77777777" w:rsidR="00966542" w:rsidRPr="008669C3" w:rsidRDefault="00966542" w:rsidP="0095247B">
      <w:pPr>
        <w:autoSpaceDE w:val="0"/>
        <w:autoSpaceDN w:val="0"/>
        <w:adjustRightInd w:val="0"/>
        <w:jc w:val="both"/>
      </w:pPr>
    </w:p>
    <w:p w14:paraId="4145585E" w14:textId="77777777" w:rsidR="001B2E7A" w:rsidRPr="008669C3" w:rsidRDefault="001B2E7A" w:rsidP="0095247B">
      <w:pPr>
        <w:autoSpaceDE w:val="0"/>
        <w:autoSpaceDN w:val="0"/>
        <w:adjustRightInd w:val="0"/>
        <w:jc w:val="both"/>
      </w:pPr>
      <w:r w:rsidRPr="008669C3">
        <w:t>Brockman, P., Martin, X.M., Unlu, E., 2010. Executive compensation and the maturity structure of corporate debt. Journal of Finance 65, 1123–1161.</w:t>
      </w:r>
    </w:p>
    <w:p w14:paraId="1C5BE657" w14:textId="77777777" w:rsidR="00966542" w:rsidRPr="008669C3" w:rsidRDefault="00966542" w:rsidP="0095247B">
      <w:pPr>
        <w:autoSpaceDE w:val="0"/>
        <w:autoSpaceDN w:val="0"/>
        <w:adjustRightInd w:val="0"/>
        <w:jc w:val="both"/>
      </w:pPr>
    </w:p>
    <w:p w14:paraId="0CA0696E" w14:textId="77777777" w:rsidR="001B2E7A" w:rsidRPr="008669C3" w:rsidRDefault="001B2E7A" w:rsidP="0095247B">
      <w:pPr>
        <w:autoSpaceDE w:val="0"/>
        <w:autoSpaceDN w:val="0"/>
        <w:adjustRightInd w:val="0"/>
        <w:jc w:val="both"/>
      </w:pPr>
      <w:r w:rsidRPr="008669C3">
        <w:t>Carpenter, J.N., 2000. Does option compensation increase managerial risk appetite? Journal of Finance 55, 2311-2331.</w:t>
      </w:r>
    </w:p>
    <w:p w14:paraId="00F961EE" w14:textId="77777777" w:rsidR="00966542" w:rsidRPr="008669C3" w:rsidRDefault="00966542" w:rsidP="0095247B">
      <w:pPr>
        <w:autoSpaceDE w:val="0"/>
        <w:autoSpaceDN w:val="0"/>
        <w:adjustRightInd w:val="0"/>
        <w:jc w:val="both"/>
      </w:pPr>
    </w:p>
    <w:p w14:paraId="7A2E8714" w14:textId="77777777" w:rsidR="001B2E7A" w:rsidRPr="008669C3" w:rsidRDefault="001B2E7A" w:rsidP="0095247B">
      <w:pPr>
        <w:autoSpaceDE w:val="0"/>
        <w:autoSpaceDN w:val="0"/>
        <w:adjustRightInd w:val="0"/>
        <w:jc w:val="both"/>
      </w:pPr>
      <w:r w:rsidRPr="008669C3">
        <w:t>Castro, P., Keasey, K., Amor-Tapia, B., Tascon, M.T., Vallascas, F., 2016. The incentives of creditors to monitor via debt concentration: The impact of CEO compensation structure and horizon. Working paper, Leeds University and León University.</w:t>
      </w:r>
    </w:p>
    <w:p w14:paraId="6600FD21" w14:textId="77777777" w:rsidR="00966542" w:rsidRPr="008669C3" w:rsidRDefault="00966542" w:rsidP="0095247B">
      <w:pPr>
        <w:autoSpaceDE w:val="0"/>
        <w:autoSpaceDN w:val="0"/>
        <w:adjustRightInd w:val="0"/>
        <w:jc w:val="both"/>
      </w:pPr>
    </w:p>
    <w:p w14:paraId="4EFBD1E6" w14:textId="77777777" w:rsidR="001B2E7A" w:rsidRPr="008669C3" w:rsidRDefault="001B2E7A" w:rsidP="0095247B">
      <w:pPr>
        <w:autoSpaceDE w:val="0"/>
        <w:autoSpaceDN w:val="0"/>
        <w:adjustRightInd w:val="0"/>
        <w:jc w:val="both"/>
      </w:pPr>
      <w:r w:rsidRPr="008669C3">
        <w:t>Chava, S., Purnanandam, A., 2010. CEOs versus CFOs: Incentives and corporate policies. Journal of Financial Economics 97, 263-278.</w:t>
      </w:r>
    </w:p>
    <w:p w14:paraId="2DB04883" w14:textId="77777777" w:rsidR="00966542" w:rsidRPr="008669C3" w:rsidRDefault="00966542" w:rsidP="0095247B">
      <w:pPr>
        <w:autoSpaceDE w:val="0"/>
        <w:autoSpaceDN w:val="0"/>
        <w:adjustRightInd w:val="0"/>
        <w:jc w:val="both"/>
      </w:pPr>
    </w:p>
    <w:p w14:paraId="5EDA88E7" w14:textId="77777777" w:rsidR="001B2E7A" w:rsidRPr="008669C3" w:rsidRDefault="001B2E7A" w:rsidP="0095247B">
      <w:pPr>
        <w:autoSpaceDE w:val="0"/>
        <w:autoSpaceDN w:val="0"/>
        <w:adjustRightInd w:val="0"/>
        <w:jc w:val="both"/>
      </w:pPr>
      <w:r w:rsidRPr="008669C3">
        <w:t>Cohen, D.A., Dey, A., Lys, T.Z., 2013. Corporate governance reform and executive incentives: Implications for investments and risk taking. Contemporary Accounting Research 30, 1296-1332.</w:t>
      </w:r>
    </w:p>
    <w:p w14:paraId="00C2F26B" w14:textId="77777777" w:rsidR="00966542" w:rsidRPr="008669C3" w:rsidRDefault="00966542" w:rsidP="0095247B">
      <w:pPr>
        <w:autoSpaceDE w:val="0"/>
        <w:autoSpaceDN w:val="0"/>
        <w:adjustRightInd w:val="0"/>
        <w:jc w:val="both"/>
      </w:pPr>
    </w:p>
    <w:p w14:paraId="51DAA6F2" w14:textId="77777777" w:rsidR="001B2E7A" w:rsidRPr="008669C3" w:rsidRDefault="001B2E7A" w:rsidP="0095247B">
      <w:pPr>
        <w:autoSpaceDE w:val="0"/>
        <w:autoSpaceDN w:val="0"/>
        <w:adjustRightInd w:val="0"/>
        <w:jc w:val="both"/>
      </w:pPr>
      <w:r w:rsidRPr="008669C3">
        <w:t>Coles, J.L., Daniel, N.D., Naveen, L., 2006. Managerial incentives and risk taking. Journal of Financial Economics 79, 431-468.</w:t>
      </w:r>
    </w:p>
    <w:p w14:paraId="4C4374F8" w14:textId="77777777" w:rsidR="00966542" w:rsidRPr="008669C3" w:rsidRDefault="00966542" w:rsidP="0095247B">
      <w:pPr>
        <w:autoSpaceDE w:val="0"/>
        <w:autoSpaceDN w:val="0"/>
        <w:adjustRightInd w:val="0"/>
        <w:jc w:val="both"/>
      </w:pPr>
    </w:p>
    <w:p w14:paraId="52EB3857" w14:textId="77777777" w:rsidR="001B2E7A" w:rsidRPr="008669C3" w:rsidRDefault="001B2E7A" w:rsidP="0095247B">
      <w:pPr>
        <w:autoSpaceDE w:val="0"/>
        <w:autoSpaceDN w:val="0"/>
        <w:adjustRightInd w:val="0"/>
        <w:jc w:val="both"/>
      </w:pPr>
      <w:r w:rsidRPr="008669C3">
        <w:t>Custódio, C., Ferreira, M.A., Matos, P., 2013. Generalists versus specialists: Lifetime work experience and chief executive officer pay. Journal of Financial Economics 108, 471–492.</w:t>
      </w:r>
    </w:p>
    <w:p w14:paraId="24DD512D" w14:textId="77777777" w:rsidR="00966542" w:rsidRPr="008669C3" w:rsidRDefault="00966542" w:rsidP="0095247B">
      <w:pPr>
        <w:autoSpaceDE w:val="0"/>
        <w:autoSpaceDN w:val="0"/>
        <w:adjustRightInd w:val="0"/>
        <w:jc w:val="both"/>
      </w:pPr>
    </w:p>
    <w:p w14:paraId="597FF095" w14:textId="77777777" w:rsidR="001B2E7A" w:rsidRPr="008669C3" w:rsidRDefault="001B2E7A" w:rsidP="0095247B">
      <w:pPr>
        <w:autoSpaceDE w:val="0"/>
        <w:autoSpaceDN w:val="0"/>
        <w:adjustRightInd w:val="0"/>
        <w:jc w:val="both"/>
      </w:pPr>
      <w:r w:rsidRPr="008669C3">
        <w:lastRenderedPageBreak/>
        <w:t>Daniel, N.D., Martin, J.S., Naveen, L., 2004. The hidden cost of managerial incentives: Evidence from the bond and stock markets. Working paper, Georgia State University and Arizona State University.</w:t>
      </w:r>
    </w:p>
    <w:p w14:paraId="1C3D57AD" w14:textId="77777777" w:rsidR="00966542" w:rsidRPr="008669C3" w:rsidRDefault="00966542" w:rsidP="0095247B">
      <w:pPr>
        <w:autoSpaceDE w:val="0"/>
        <w:autoSpaceDN w:val="0"/>
        <w:adjustRightInd w:val="0"/>
        <w:jc w:val="both"/>
      </w:pPr>
    </w:p>
    <w:p w14:paraId="5327807C" w14:textId="77777777" w:rsidR="001B2E7A" w:rsidRPr="008669C3" w:rsidRDefault="001B2E7A" w:rsidP="0095247B">
      <w:pPr>
        <w:autoSpaceDE w:val="0"/>
        <w:autoSpaceDN w:val="0"/>
        <w:adjustRightInd w:val="0"/>
        <w:jc w:val="both"/>
      </w:pPr>
      <w:r w:rsidRPr="008669C3">
        <w:t xml:space="preserve">Das, S., Kalimipalli, M., Nayak, S., 2014. Did CDS trading improve the market for corporate bonds? Journal of Financial Economics 111, 495-525. </w:t>
      </w:r>
    </w:p>
    <w:p w14:paraId="2D79030B" w14:textId="77777777" w:rsidR="00966542" w:rsidRPr="008669C3" w:rsidRDefault="00966542" w:rsidP="0095247B">
      <w:pPr>
        <w:autoSpaceDE w:val="0"/>
        <w:autoSpaceDN w:val="0"/>
        <w:adjustRightInd w:val="0"/>
        <w:jc w:val="both"/>
      </w:pPr>
    </w:p>
    <w:p w14:paraId="34748494" w14:textId="77777777" w:rsidR="001B2E7A" w:rsidRPr="008669C3" w:rsidRDefault="001B2E7A" w:rsidP="0095247B">
      <w:pPr>
        <w:autoSpaceDE w:val="0"/>
        <w:autoSpaceDN w:val="0"/>
        <w:adjustRightInd w:val="0"/>
        <w:jc w:val="both"/>
      </w:pPr>
      <w:r w:rsidRPr="008669C3">
        <w:t>Diamond, D., 1991. Monitoring and reputation: the choice between bank loans and directly placed debt. Journal of Political Economy 99, 689–721.</w:t>
      </w:r>
    </w:p>
    <w:p w14:paraId="750EF947" w14:textId="77777777" w:rsidR="00966542" w:rsidRPr="008669C3" w:rsidRDefault="00966542" w:rsidP="0095247B">
      <w:pPr>
        <w:autoSpaceDE w:val="0"/>
        <w:autoSpaceDN w:val="0"/>
        <w:adjustRightInd w:val="0"/>
        <w:jc w:val="both"/>
      </w:pPr>
    </w:p>
    <w:p w14:paraId="5A7E1EFD" w14:textId="77777777" w:rsidR="001B2E7A" w:rsidRPr="008669C3" w:rsidRDefault="001B2E7A" w:rsidP="0095247B">
      <w:pPr>
        <w:autoSpaceDE w:val="0"/>
        <w:autoSpaceDN w:val="0"/>
        <w:adjustRightInd w:val="0"/>
        <w:jc w:val="both"/>
      </w:pPr>
      <w:r w:rsidRPr="008669C3">
        <w:t>Eckbo, B.E., Thorburn, K.S., Wang, W., 2016. How costly is corporate bankruptcy for the CEO? Journal of Financial Economics 121, 210-229.</w:t>
      </w:r>
    </w:p>
    <w:p w14:paraId="3377B60A" w14:textId="77777777" w:rsidR="00966542" w:rsidRPr="008669C3" w:rsidRDefault="00966542" w:rsidP="0095247B">
      <w:pPr>
        <w:autoSpaceDE w:val="0"/>
        <w:autoSpaceDN w:val="0"/>
        <w:adjustRightInd w:val="0"/>
        <w:jc w:val="both"/>
      </w:pPr>
    </w:p>
    <w:p w14:paraId="128F6737" w14:textId="77777777" w:rsidR="001B2E7A" w:rsidRPr="008669C3" w:rsidRDefault="001B2E7A" w:rsidP="0095247B">
      <w:pPr>
        <w:autoSpaceDE w:val="0"/>
        <w:autoSpaceDN w:val="0"/>
        <w:adjustRightInd w:val="0"/>
        <w:jc w:val="both"/>
      </w:pPr>
      <w:r w:rsidRPr="008669C3">
        <w:t>Eisdorfer, A., 2008. Empirical evidence of risk shifting in financially distressed firms. Journal of Finance 63, 609–637.</w:t>
      </w:r>
    </w:p>
    <w:p w14:paraId="22776AB2" w14:textId="77777777" w:rsidR="00966542" w:rsidRPr="008669C3" w:rsidRDefault="00966542" w:rsidP="0095247B">
      <w:pPr>
        <w:autoSpaceDE w:val="0"/>
        <w:autoSpaceDN w:val="0"/>
        <w:adjustRightInd w:val="0"/>
        <w:jc w:val="both"/>
      </w:pPr>
    </w:p>
    <w:p w14:paraId="362E218C" w14:textId="77777777" w:rsidR="001B2E7A" w:rsidRPr="008669C3" w:rsidRDefault="001B2E7A" w:rsidP="0095247B">
      <w:pPr>
        <w:autoSpaceDE w:val="0"/>
        <w:autoSpaceDN w:val="0"/>
        <w:adjustRightInd w:val="0"/>
        <w:jc w:val="both"/>
      </w:pPr>
      <w:r w:rsidRPr="008669C3">
        <w:t>Fama, E.F., 1985. What’s different about banks? Journal of Monetary Economics 15, 29-39.</w:t>
      </w:r>
    </w:p>
    <w:p w14:paraId="22C9BD05" w14:textId="77777777" w:rsidR="00966542" w:rsidRPr="008669C3" w:rsidRDefault="00966542" w:rsidP="0095247B">
      <w:pPr>
        <w:autoSpaceDE w:val="0"/>
        <w:autoSpaceDN w:val="0"/>
        <w:adjustRightInd w:val="0"/>
        <w:jc w:val="both"/>
      </w:pPr>
    </w:p>
    <w:p w14:paraId="30653565" w14:textId="77777777" w:rsidR="001B2E7A" w:rsidRPr="008669C3" w:rsidRDefault="001B2E7A" w:rsidP="0095247B">
      <w:pPr>
        <w:autoSpaceDE w:val="0"/>
        <w:autoSpaceDN w:val="0"/>
        <w:adjustRightInd w:val="0"/>
        <w:jc w:val="both"/>
      </w:pPr>
      <w:r w:rsidRPr="008669C3">
        <w:t>Fama, E.F., Miller, M.H., 1972. The theory of finance. Holt, Rinehart, and Winston, New York, NY.</w:t>
      </w:r>
    </w:p>
    <w:p w14:paraId="35BE2F98" w14:textId="77777777" w:rsidR="00966542" w:rsidRPr="008669C3" w:rsidRDefault="00966542" w:rsidP="0095247B">
      <w:pPr>
        <w:autoSpaceDE w:val="0"/>
        <w:autoSpaceDN w:val="0"/>
        <w:adjustRightInd w:val="0"/>
        <w:jc w:val="both"/>
      </w:pPr>
    </w:p>
    <w:p w14:paraId="5C34B422" w14:textId="77777777" w:rsidR="001B2E7A" w:rsidRPr="008669C3" w:rsidRDefault="001B2E7A" w:rsidP="0095247B">
      <w:pPr>
        <w:autoSpaceDE w:val="0"/>
        <w:autoSpaceDN w:val="0"/>
        <w:adjustRightInd w:val="0"/>
        <w:jc w:val="both"/>
      </w:pPr>
      <w:r w:rsidRPr="008669C3">
        <w:rPr>
          <w:lang w:val="es-ES"/>
        </w:rPr>
        <w:t xml:space="preserve">Fernandes, N., Ferreira, M.A., Matos, P., Murphy, K.J., 2013. </w:t>
      </w:r>
      <w:r w:rsidRPr="008669C3">
        <w:t>Are US CEOs paid more? New international evidence. Review of Financial Studies 26, 323-367.</w:t>
      </w:r>
    </w:p>
    <w:p w14:paraId="65B39DEF" w14:textId="77777777" w:rsidR="00944C32" w:rsidRPr="008669C3" w:rsidRDefault="00944C32" w:rsidP="0095247B">
      <w:pPr>
        <w:autoSpaceDE w:val="0"/>
        <w:autoSpaceDN w:val="0"/>
        <w:adjustRightInd w:val="0"/>
        <w:jc w:val="both"/>
      </w:pPr>
    </w:p>
    <w:p w14:paraId="2B0A4606" w14:textId="77777777" w:rsidR="00944C32" w:rsidRDefault="00944C32" w:rsidP="00944C32">
      <w:pPr>
        <w:autoSpaceDE w:val="0"/>
        <w:autoSpaceDN w:val="0"/>
        <w:adjustRightInd w:val="0"/>
        <w:jc w:val="both"/>
        <w:rPr>
          <w:lang w:val="es-ES"/>
        </w:rPr>
      </w:pPr>
      <w:r w:rsidRPr="008669C3">
        <w:rPr>
          <w:lang w:val="es-ES"/>
        </w:rPr>
        <w:t>Friewald, N., Wagner, C., Zechner, J., 2014. The cross‐section of credit risk premia and equity returns. Journal of Finance 69, 2419-2469.</w:t>
      </w:r>
    </w:p>
    <w:p w14:paraId="63F91418" w14:textId="77777777" w:rsidR="002067A5" w:rsidRDefault="002067A5" w:rsidP="00944C32">
      <w:pPr>
        <w:autoSpaceDE w:val="0"/>
        <w:autoSpaceDN w:val="0"/>
        <w:adjustRightInd w:val="0"/>
        <w:jc w:val="both"/>
        <w:rPr>
          <w:lang w:val="es-ES"/>
        </w:rPr>
      </w:pPr>
    </w:p>
    <w:p w14:paraId="33F13FDC" w14:textId="77777777" w:rsidR="002067A5" w:rsidRDefault="002067A5" w:rsidP="002067A5">
      <w:pPr>
        <w:jc w:val="both"/>
        <w:rPr>
          <w:lang w:eastAsia="en-US"/>
        </w:rPr>
      </w:pPr>
      <w:r w:rsidRPr="00722D0C">
        <w:t xml:space="preserve">Gehde-Trapp, M., Gündüz, Y., Nasev, J., 2015. </w:t>
      </w:r>
      <w:r>
        <w:t>The liquidity premium in CDS transaction prices: Do frictions matter? Journal of Banking and Finance 61, 184-205.</w:t>
      </w:r>
    </w:p>
    <w:p w14:paraId="6CEF54FD" w14:textId="77777777" w:rsidR="00966542" w:rsidRPr="008669C3" w:rsidRDefault="00966542" w:rsidP="0095247B">
      <w:pPr>
        <w:autoSpaceDE w:val="0"/>
        <w:autoSpaceDN w:val="0"/>
        <w:adjustRightInd w:val="0"/>
        <w:jc w:val="both"/>
      </w:pPr>
    </w:p>
    <w:p w14:paraId="349C698B" w14:textId="77777777" w:rsidR="001B2E7A" w:rsidRPr="008669C3" w:rsidRDefault="001B2E7A" w:rsidP="0095247B">
      <w:pPr>
        <w:autoSpaceDE w:val="0"/>
        <w:autoSpaceDN w:val="0"/>
        <w:adjustRightInd w:val="0"/>
        <w:jc w:val="both"/>
      </w:pPr>
      <w:r w:rsidRPr="008669C3">
        <w:t>Gillan, S., Starks, L., 2000. Corporate governance proposals and shareholder activism: The role of institutional investors. Journal of Financial Economics 57, 275–305.</w:t>
      </w:r>
    </w:p>
    <w:p w14:paraId="6F89C83E" w14:textId="77777777" w:rsidR="00966542" w:rsidRPr="008669C3" w:rsidRDefault="00966542" w:rsidP="0095247B">
      <w:pPr>
        <w:autoSpaceDE w:val="0"/>
        <w:autoSpaceDN w:val="0"/>
        <w:adjustRightInd w:val="0"/>
        <w:jc w:val="both"/>
      </w:pPr>
    </w:p>
    <w:p w14:paraId="7D15B5DF" w14:textId="77777777" w:rsidR="001B2E7A" w:rsidRPr="008669C3" w:rsidRDefault="001B2E7A" w:rsidP="0095247B">
      <w:pPr>
        <w:autoSpaceDE w:val="0"/>
        <w:autoSpaceDN w:val="0"/>
        <w:adjustRightInd w:val="0"/>
        <w:jc w:val="both"/>
      </w:pPr>
      <w:r w:rsidRPr="008669C3">
        <w:t>Gormley, T.A., Matsa, D.A., Milbourn, T., 2013. CEO compensation and corporate risk: Evidence from a natural experiment. Journal of Accounting and Economics 56, 79-101.</w:t>
      </w:r>
    </w:p>
    <w:p w14:paraId="44EF2EFD" w14:textId="77777777" w:rsidR="00966542" w:rsidRPr="008669C3" w:rsidRDefault="00966542" w:rsidP="0095247B">
      <w:pPr>
        <w:autoSpaceDE w:val="0"/>
        <w:autoSpaceDN w:val="0"/>
        <w:adjustRightInd w:val="0"/>
        <w:jc w:val="both"/>
      </w:pPr>
    </w:p>
    <w:p w14:paraId="26EA66DE" w14:textId="77777777" w:rsidR="001B2E7A" w:rsidRPr="008669C3" w:rsidRDefault="001B2E7A" w:rsidP="0095247B">
      <w:pPr>
        <w:autoSpaceDE w:val="0"/>
        <w:autoSpaceDN w:val="0"/>
        <w:adjustRightInd w:val="0"/>
        <w:jc w:val="both"/>
      </w:pPr>
      <w:r w:rsidRPr="008669C3">
        <w:t>Guay, W.R., 1999. The sensitivity of CEO wealth to equity risk: an analysis of the magnitude and determinants. Journal of Financial Economics 53, 43-71.</w:t>
      </w:r>
    </w:p>
    <w:p w14:paraId="09792D04" w14:textId="77777777" w:rsidR="00966542" w:rsidRPr="008669C3" w:rsidRDefault="00966542" w:rsidP="0095247B">
      <w:pPr>
        <w:autoSpaceDE w:val="0"/>
        <w:autoSpaceDN w:val="0"/>
        <w:adjustRightInd w:val="0"/>
        <w:jc w:val="both"/>
      </w:pPr>
    </w:p>
    <w:p w14:paraId="7CE13CE0" w14:textId="77777777" w:rsidR="000A54C4" w:rsidRPr="008669C3" w:rsidRDefault="000A54C4" w:rsidP="0095247B">
      <w:pPr>
        <w:autoSpaceDE w:val="0"/>
        <w:autoSpaceDN w:val="0"/>
        <w:adjustRightInd w:val="0"/>
        <w:jc w:val="both"/>
      </w:pPr>
    </w:p>
    <w:p w14:paraId="4E69F376" w14:textId="77777777" w:rsidR="001B2E7A" w:rsidRPr="008669C3" w:rsidRDefault="001B2E7A" w:rsidP="0095247B">
      <w:pPr>
        <w:autoSpaceDE w:val="0"/>
        <w:autoSpaceDN w:val="0"/>
        <w:adjustRightInd w:val="0"/>
        <w:jc w:val="both"/>
      </w:pPr>
      <w:r w:rsidRPr="008669C3">
        <w:t>Hansen, L.P., 1982. Large sample properties of generalized method of moments estimators. Econometrica 50, 1029–1054.</w:t>
      </w:r>
    </w:p>
    <w:p w14:paraId="51ADCF55" w14:textId="77777777" w:rsidR="00966542" w:rsidRPr="008669C3" w:rsidRDefault="00966542" w:rsidP="0095247B">
      <w:pPr>
        <w:autoSpaceDE w:val="0"/>
        <w:autoSpaceDN w:val="0"/>
        <w:adjustRightInd w:val="0"/>
        <w:jc w:val="both"/>
      </w:pPr>
    </w:p>
    <w:p w14:paraId="13F7C513" w14:textId="77777777" w:rsidR="001B2E7A" w:rsidRPr="008669C3" w:rsidRDefault="001B2E7A" w:rsidP="0095247B">
      <w:pPr>
        <w:autoSpaceDE w:val="0"/>
        <w:autoSpaceDN w:val="0"/>
        <w:adjustRightInd w:val="0"/>
        <w:jc w:val="both"/>
      </w:pPr>
      <w:r w:rsidRPr="008669C3">
        <w:t>Hartzell, J.C, Starks, L.T., 2003. Institutional investors and executive compensation. Journal of Finance 58, 2351-2374.</w:t>
      </w:r>
    </w:p>
    <w:p w14:paraId="23503189" w14:textId="77777777" w:rsidR="00966542" w:rsidRPr="008669C3" w:rsidRDefault="00966542" w:rsidP="0095247B">
      <w:pPr>
        <w:autoSpaceDE w:val="0"/>
        <w:autoSpaceDN w:val="0"/>
        <w:adjustRightInd w:val="0"/>
        <w:jc w:val="both"/>
      </w:pPr>
    </w:p>
    <w:p w14:paraId="5689211F" w14:textId="4394DFC5" w:rsidR="001B2E7A" w:rsidRPr="008669C3" w:rsidRDefault="001B2E7A" w:rsidP="0095247B">
      <w:pPr>
        <w:autoSpaceDE w:val="0"/>
        <w:autoSpaceDN w:val="0"/>
        <w:adjustRightInd w:val="0"/>
        <w:jc w:val="both"/>
      </w:pPr>
      <w:r w:rsidRPr="008669C3">
        <w:t>H</w:t>
      </w:r>
      <w:r w:rsidR="00FB5EA8" w:rsidRPr="008669C3">
        <w:t>ayes, R.M., Lemmon, M., Qiu, M.</w:t>
      </w:r>
      <w:r w:rsidRPr="008669C3">
        <w:t>, 2012. Stock options and managerial incentives for risk taking: Evidence from FAS 123R.</w:t>
      </w:r>
      <w:r w:rsidR="002067A5">
        <w:t xml:space="preserve"> </w:t>
      </w:r>
      <w:r w:rsidRPr="008669C3">
        <w:t xml:space="preserve">Journal of Financial Economics 105, 174-190. </w:t>
      </w:r>
    </w:p>
    <w:p w14:paraId="13D04B2A" w14:textId="77777777" w:rsidR="00617F3C" w:rsidRPr="008669C3" w:rsidRDefault="00617F3C" w:rsidP="00617F3C">
      <w:pPr>
        <w:autoSpaceDE w:val="0"/>
        <w:autoSpaceDN w:val="0"/>
        <w:adjustRightInd w:val="0"/>
        <w:jc w:val="both"/>
      </w:pPr>
    </w:p>
    <w:p w14:paraId="65C87F9F" w14:textId="77777777" w:rsidR="00966542" w:rsidRPr="008669C3" w:rsidRDefault="00966542" w:rsidP="0095247B">
      <w:pPr>
        <w:autoSpaceDE w:val="0"/>
        <w:autoSpaceDN w:val="0"/>
        <w:adjustRightInd w:val="0"/>
        <w:jc w:val="both"/>
      </w:pPr>
    </w:p>
    <w:p w14:paraId="57D4DD0A" w14:textId="77777777" w:rsidR="001B2E7A" w:rsidRPr="008669C3" w:rsidRDefault="001B2E7A" w:rsidP="0095247B">
      <w:pPr>
        <w:autoSpaceDE w:val="0"/>
        <w:autoSpaceDN w:val="0"/>
        <w:adjustRightInd w:val="0"/>
        <w:jc w:val="both"/>
      </w:pPr>
      <w:r w:rsidRPr="008669C3">
        <w:lastRenderedPageBreak/>
        <w:t>Holmström, B., 1999. Managerial incentive problems: a dynamic perspective. Review of Economic Studies 66, 169–182.</w:t>
      </w:r>
    </w:p>
    <w:p w14:paraId="1C30A027" w14:textId="77777777" w:rsidR="00966542" w:rsidRPr="008669C3" w:rsidRDefault="00966542" w:rsidP="0095247B">
      <w:pPr>
        <w:autoSpaceDE w:val="0"/>
        <w:autoSpaceDN w:val="0"/>
        <w:adjustRightInd w:val="0"/>
        <w:jc w:val="both"/>
      </w:pPr>
    </w:p>
    <w:p w14:paraId="41AABF05" w14:textId="77777777" w:rsidR="001B2E7A" w:rsidRPr="008669C3" w:rsidRDefault="001B2E7A" w:rsidP="0095247B">
      <w:pPr>
        <w:autoSpaceDE w:val="0"/>
        <w:autoSpaceDN w:val="0"/>
        <w:adjustRightInd w:val="0"/>
        <w:jc w:val="both"/>
      </w:pPr>
      <w:r w:rsidRPr="00746A16">
        <w:t xml:space="preserve">Jensen, M.C., Meckling, W.H., 1976. </w:t>
      </w:r>
      <w:r w:rsidRPr="008669C3">
        <w:t>Theory of the firm: managerial behavior, agency costs and ownership structure. Journal of Financial Economics 3, 305–360.</w:t>
      </w:r>
    </w:p>
    <w:p w14:paraId="4E6F0246" w14:textId="77777777" w:rsidR="00966542" w:rsidRPr="008669C3" w:rsidRDefault="00966542" w:rsidP="0095247B">
      <w:pPr>
        <w:autoSpaceDE w:val="0"/>
        <w:autoSpaceDN w:val="0"/>
        <w:adjustRightInd w:val="0"/>
        <w:jc w:val="both"/>
      </w:pPr>
    </w:p>
    <w:p w14:paraId="298EEA17" w14:textId="77777777" w:rsidR="001B2E7A" w:rsidRPr="008669C3" w:rsidRDefault="001B2E7A" w:rsidP="0095247B">
      <w:pPr>
        <w:autoSpaceDE w:val="0"/>
        <w:autoSpaceDN w:val="0"/>
        <w:adjustRightInd w:val="0"/>
        <w:jc w:val="both"/>
        <w:rPr>
          <w:iCs/>
        </w:rPr>
      </w:pPr>
      <w:r w:rsidRPr="00331F7A">
        <w:rPr>
          <w:iCs/>
        </w:rPr>
        <w:t xml:space="preserve">Kaplan, S.N., Zingales, L., 1997. </w:t>
      </w:r>
      <w:r w:rsidRPr="008669C3">
        <w:rPr>
          <w:iCs/>
        </w:rPr>
        <w:t>Do financing constraints explain why investment is correlated with cash flow? Quarterly Journal of Economics 112, 168-216.</w:t>
      </w:r>
    </w:p>
    <w:p w14:paraId="6AB7449A" w14:textId="77777777" w:rsidR="00966542" w:rsidRPr="008669C3" w:rsidRDefault="00966542" w:rsidP="0095247B">
      <w:pPr>
        <w:autoSpaceDE w:val="0"/>
        <w:autoSpaceDN w:val="0"/>
        <w:adjustRightInd w:val="0"/>
        <w:jc w:val="both"/>
      </w:pPr>
    </w:p>
    <w:p w14:paraId="6B569D44" w14:textId="77777777" w:rsidR="001B2E7A" w:rsidRPr="008669C3" w:rsidRDefault="001B2E7A" w:rsidP="0095247B">
      <w:pPr>
        <w:autoSpaceDE w:val="0"/>
        <w:autoSpaceDN w:val="0"/>
        <w:adjustRightInd w:val="0"/>
        <w:jc w:val="both"/>
      </w:pPr>
      <w:r w:rsidRPr="008669C3">
        <w:t>Li, J.Y., Tang, D.Y., 2016. The leverage externalities of credit default swaps. Journal of Financial Economics 120, 491-513.</w:t>
      </w:r>
    </w:p>
    <w:p w14:paraId="74DC375B" w14:textId="77777777" w:rsidR="001B2E7A" w:rsidRPr="008669C3" w:rsidRDefault="001B2E7A" w:rsidP="0095247B">
      <w:pPr>
        <w:autoSpaceDE w:val="0"/>
        <w:autoSpaceDN w:val="0"/>
        <w:adjustRightInd w:val="0"/>
        <w:jc w:val="both"/>
      </w:pPr>
    </w:p>
    <w:p w14:paraId="44164000" w14:textId="77777777" w:rsidR="001B2E7A" w:rsidRPr="008669C3" w:rsidRDefault="001B2E7A" w:rsidP="0095247B">
      <w:pPr>
        <w:autoSpaceDE w:val="0"/>
        <w:autoSpaceDN w:val="0"/>
        <w:adjustRightInd w:val="0"/>
        <w:jc w:val="both"/>
      </w:pPr>
      <w:r w:rsidRPr="008669C3">
        <w:t>Low, A., 2009. Managerial risk-taking behavior and equity-based compensation. Journal of Financial Economics 92, 470-490.</w:t>
      </w:r>
    </w:p>
    <w:p w14:paraId="24A20CA7" w14:textId="77777777" w:rsidR="001B2E7A" w:rsidRPr="008669C3" w:rsidRDefault="001B2E7A" w:rsidP="0095247B">
      <w:pPr>
        <w:autoSpaceDE w:val="0"/>
        <w:autoSpaceDN w:val="0"/>
        <w:adjustRightInd w:val="0"/>
        <w:jc w:val="both"/>
      </w:pPr>
    </w:p>
    <w:p w14:paraId="4D459130" w14:textId="77777777" w:rsidR="001B2E7A" w:rsidRPr="008669C3" w:rsidRDefault="001B2E7A" w:rsidP="0095247B">
      <w:pPr>
        <w:autoSpaceDE w:val="0"/>
        <w:autoSpaceDN w:val="0"/>
        <w:adjustRightInd w:val="0"/>
        <w:jc w:val="both"/>
      </w:pPr>
      <w:r w:rsidRPr="008669C3">
        <w:t>Minton, B.A., Stulz, R.M., Williamson, R., 2009. How much do banks use credit derivatives to hedge loans? Journal of Financial Services Research 35, 1-31.</w:t>
      </w:r>
    </w:p>
    <w:p w14:paraId="00DFB73B" w14:textId="77777777" w:rsidR="001B2E7A" w:rsidRPr="008669C3" w:rsidRDefault="001B2E7A" w:rsidP="0095247B">
      <w:pPr>
        <w:autoSpaceDE w:val="0"/>
        <w:autoSpaceDN w:val="0"/>
        <w:adjustRightInd w:val="0"/>
        <w:jc w:val="both"/>
      </w:pPr>
    </w:p>
    <w:p w14:paraId="2ADBF5A7" w14:textId="77777777" w:rsidR="001B2E7A" w:rsidRPr="008669C3" w:rsidRDefault="001B2E7A" w:rsidP="0095247B">
      <w:pPr>
        <w:autoSpaceDE w:val="0"/>
        <w:autoSpaceDN w:val="0"/>
        <w:adjustRightInd w:val="0"/>
        <w:jc w:val="both"/>
      </w:pPr>
      <w:r w:rsidRPr="008669C3">
        <w:t>Morrison, A.D., 2005. Credit derivatives, disintermediation, and investment decisions. Journal of Business 78, 621-648.</w:t>
      </w:r>
    </w:p>
    <w:p w14:paraId="536BC6A5" w14:textId="77777777" w:rsidR="001B2E7A" w:rsidRPr="008669C3" w:rsidRDefault="001B2E7A" w:rsidP="0095247B">
      <w:pPr>
        <w:autoSpaceDE w:val="0"/>
        <w:autoSpaceDN w:val="0"/>
        <w:adjustRightInd w:val="0"/>
        <w:jc w:val="both"/>
      </w:pPr>
    </w:p>
    <w:p w14:paraId="7558584B" w14:textId="77777777" w:rsidR="001B2E7A" w:rsidRPr="008669C3" w:rsidRDefault="001B2E7A" w:rsidP="0095247B">
      <w:pPr>
        <w:autoSpaceDE w:val="0"/>
        <w:autoSpaceDN w:val="0"/>
        <w:adjustRightInd w:val="0"/>
        <w:jc w:val="both"/>
      </w:pPr>
      <w:r w:rsidRPr="008669C3">
        <w:t>Parlour, C.A., Winton, A., 2013. Laying off credit risk: Loan sales versus credit default swaps. Journal of Financial Economics 107, 25-45.</w:t>
      </w:r>
    </w:p>
    <w:p w14:paraId="59402AE2" w14:textId="77777777" w:rsidR="001B2E7A" w:rsidRPr="008669C3" w:rsidRDefault="001B2E7A" w:rsidP="0095247B">
      <w:pPr>
        <w:autoSpaceDE w:val="0"/>
        <w:autoSpaceDN w:val="0"/>
        <w:adjustRightInd w:val="0"/>
        <w:jc w:val="both"/>
      </w:pPr>
    </w:p>
    <w:p w14:paraId="0DBA00D6" w14:textId="77777777" w:rsidR="001B2E7A" w:rsidRPr="008669C3" w:rsidRDefault="001B2E7A" w:rsidP="0095247B">
      <w:pPr>
        <w:autoSpaceDE w:val="0"/>
        <w:autoSpaceDN w:val="0"/>
        <w:adjustRightInd w:val="0"/>
        <w:jc w:val="both"/>
      </w:pPr>
      <w:r w:rsidRPr="008669C3">
        <w:t>Rajan, R., 1992. Insiders and outsiders: the choice between informed and arm’s length debt. Journal of Finance 47, 1367–1400.</w:t>
      </w:r>
    </w:p>
    <w:p w14:paraId="33BED853" w14:textId="77777777" w:rsidR="001B2E7A" w:rsidRPr="008669C3" w:rsidRDefault="001B2E7A" w:rsidP="0095247B">
      <w:pPr>
        <w:autoSpaceDE w:val="0"/>
        <w:autoSpaceDN w:val="0"/>
        <w:adjustRightInd w:val="0"/>
        <w:jc w:val="both"/>
      </w:pPr>
    </w:p>
    <w:p w14:paraId="3FBA4EFE" w14:textId="77777777" w:rsidR="001B2E7A" w:rsidRPr="008669C3" w:rsidRDefault="001B2E7A" w:rsidP="0095247B">
      <w:pPr>
        <w:autoSpaceDE w:val="0"/>
        <w:autoSpaceDN w:val="0"/>
        <w:adjustRightInd w:val="0"/>
        <w:jc w:val="both"/>
      </w:pPr>
      <w:r w:rsidRPr="008669C3">
        <w:t>Ross, S.A., 2004. Compensation, incentives, and the duality of risk aversion and riskiness. Journal of Finance 59, 207-225.</w:t>
      </w:r>
    </w:p>
    <w:p w14:paraId="69753219" w14:textId="77777777" w:rsidR="001B2E7A" w:rsidRPr="008669C3" w:rsidRDefault="001B2E7A" w:rsidP="0095247B">
      <w:pPr>
        <w:autoSpaceDE w:val="0"/>
        <w:autoSpaceDN w:val="0"/>
        <w:adjustRightInd w:val="0"/>
        <w:jc w:val="both"/>
      </w:pPr>
    </w:p>
    <w:p w14:paraId="500FE264" w14:textId="77777777" w:rsidR="001B2E7A" w:rsidRPr="008669C3" w:rsidRDefault="001B2E7A" w:rsidP="0095247B">
      <w:pPr>
        <w:autoSpaceDE w:val="0"/>
        <w:autoSpaceDN w:val="0"/>
        <w:adjustRightInd w:val="0"/>
        <w:jc w:val="both"/>
      </w:pPr>
      <w:r w:rsidRPr="008669C3">
        <w:t>Saretto, A., Tookes, H.E., 2013. Corporate leverage, debt maturity, and credit supply: The role of credit default swaps. Review of Financial Studies 26, 1190-1247.</w:t>
      </w:r>
    </w:p>
    <w:p w14:paraId="0C6CF318" w14:textId="77777777" w:rsidR="001B2E7A" w:rsidRPr="008669C3" w:rsidRDefault="001B2E7A" w:rsidP="0095247B">
      <w:pPr>
        <w:autoSpaceDE w:val="0"/>
        <w:autoSpaceDN w:val="0"/>
        <w:adjustRightInd w:val="0"/>
        <w:jc w:val="both"/>
      </w:pPr>
    </w:p>
    <w:p w14:paraId="587BFF5F" w14:textId="77777777" w:rsidR="001B2E7A" w:rsidRPr="008669C3" w:rsidRDefault="001B2E7A" w:rsidP="0095247B">
      <w:pPr>
        <w:autoSpaceDE w:val="0"/>
        <w:autoSpaceDN w:val="0"/>
        <w:adjustRightInd w:val="0"/>
        <w:jc w:val="both"/>
      </w:pPr>
    </w:p>
    <w:p w14:paraId="22159D47" w14:textId="77777777" w:rsidR="001B2E7A" w:rsidRPr="008669C3" w:rsidRDefault="001B2E7A" w:rsidP="0095247B">
      <w:pPr>
        <w:autoSpaceDE w:val="0"/>
        <w:autoSpaceDN w:val="0"/>
        <w:adjustRightInd w:val="0"/>
        <w:jc w:val="both"/>
      </w:pPr>
      <w:r w:rsidRPr="008669C3">
        <w:t>Subrahmanyam, M.G., Tang, D.Y., Wang, S.Q., 2014. Does the tail wag the dog? The effect of credit default swaps on credit risk. Review of Financial Studies 27, 2927</w:t>
      </w:r>
      <w:r w:rsidRPr="008669C3">
        <w:sym w:font="Symbol" w:char="F02D"/>
      </w:r>
      <w:r w:rsidRPr="008669C3">
        <w:t>2960.</w:t>
      </w:r>
    </w:p>
    <w:p w14:paraId="323F7C5E" w14:textId="77777777" w:rsidR="001B2E7A" w:rsidRPr="008669C3" w:rsidRDefault="001B2E7A" w:rsidP="0095247B">
      <w:pPr>
        <w:autoSpaceDE w:val="0"/>
        <w:autoSpaceDN w:val="0"/>
        <w:adjustRightInd w:val="0"/>
        <w:jc w:val="both"/>
      </w:pPr>
    </w:p>
    <w:p w14:paraId="4892F83E" w14:textId="021292B6" w:rsidR="001B2E7A" w:rsidRPr="008669C3" w:rsidRDefault="001B2E7A" w:rsidP="0095247B">
      <w:pPr>
        <w:autoSpaceDE w:val="0"/>
        <w:autoSpaceDN w:val="0"/>
        <w:adjustRightInd w:val="0"/>
        <w:jc w:val="both"/>
      </w:pPr>
      <w:r w:rsidRPr="008669C3">
        <w:t>Subrahmanyam, M.G., Tang, D.Y., Wang, S.Q., 201</w:t>
      </w:r>
      <w:r w:rsidR="00C445B4">
        <w:t>7</w:t>
      </w:r>
      <w:r w:rsidRPr="008669C3">
        <w:t>. Credit default swaps, exacting creditors, and corporate liquidity management. Journal of Financial Economics</w:t>
      </w:r>
      <w:r w:rsidR="002067A5">
        <w:t xml:space="preserve"> 124</w:t>
      </w:r>
      <w:r w:rsidR="002067A5" w:rsidRPr="00C315CF">
        <w:t>,</w:t>
      </w:r>
      <w:r w:rsidR="002067A5">
        <w:t xml:space="preserve"> 395-414</w:t>
      </w:r>
      <w:r w:rsidR="002067A5" w:rsidRPr="00C315CF">
        <w:t>.</w:t>
      </w:r>
    </w:p>
    <w:p w14:paraId="494A310C" w14:textId="77777777" w:rsidR="001B2E7A" w:rsidRPr="008669C3" w:rsidRDefault="001B2E7A" w:rsidP="0095247B">
      <w:pPr>
        <w:autoSpaceDE w:val="0"/>
        <w:autoSpaceDN w:val="0"/>
        <w:adjustRightInd w:val="0"/>
        <w:jc w:val="both"/>
      </w:pPr>
    </w:p>
    <w:p w14:paraId="3E4880FC" w14:textId="77777777" w:rsidR="001B2E7A" w:rsidRPr="008669C3" w:rsidRDefault="001B2E7A" w:rsidP="0095247B">
      <w:pPr>
        <w:autoSpaceDE w:val="0"/>
        <w:autoSpaceDN w:val="0"/>
        <w:adjustRightInd w:val="0"/>
        <w:jc w:val="both"/>
      </w:pPr>
      <w:r w:rsidRPr="008669C3">
        <w:t>Sufi, A., 2007. Information asymmetry and financing arrangements: Evidence from syndicated loans. Journal of Finance 62, 629–668.</w:t>
      </w:r>
    </w:p>
    <w:p w14:paraId="5D79F8FB" w14:textId="77777777" w:rsidR="001B2E7A" w:rsidRPr="008669C3" w:rsidRDefault="001B2E7A" w:rsidP="0095247B">
      <w:pPr>
        <w:autoSpaceDE w:val="0"/>
        <w:autoSpaceDN w:val="0"/>
        <w:adjustRightInd w:val="0"/>
        <w:jc w:val="both"/>
      </w:pPr>
    </w:p>
    <w:p w14:paraId="727B6FC3" w14:textId="77777777" w:rsidR="001A55F7" w:rsidRPr="008669C3" w:rsidRDefault="001A55F7" w:rsidP="001646FA">
      <w:pPr>
        <w:spacing w:line="480" w:lineRule="auto"/>
        <w:jc w:val="both"/>
        <w:rPr>
          <w:color w:val="FF0000"/>
        </w:rPr>
      </w:pPr>
    </w:p>
    <w:p w14:paraId="3DF12346" w14:textId="77777777" w:rsidR="00FD5BF0" w:rsidRPr="008669C3" w:rsidRDefault="00FD5BF0" w:rsidP="001646FA">
      <w:pPr>
        <w:spacing w:line="480" w:lineRule="auto"/>
        <w:jc w:val="both"/>
        <w:rPr>
          <w:color w:val="FF0000"/>
        </w:rPr>
      </w:pPr>
    </w:p>
    <w:p w14:paraId="31144E51" w14:textId="77777777" w:rsidR="00FD5BF0" w:rsidRPr="008669C3" w:rsidRDefault="00FD5BF0" w:rsidP="001646FA">
      <w:pPr>
        <w:spacing w:line="480" w:lineRule="auto"/>
        <w:jc w:val="both"/>
        <w:rPr>
          <w:color w:val="FF0000"/>
        </w:rPr>
      </w:pPr>
    </w:p>
    <w:p w14:paraId="730D3A29" w14:textId="77777777" w:rsidR="00FD5BF0" w:rsidRPr="008669C3" w:rsidRDefault="00FD5BF0" w:rsidP="001646FA">
      <w:pPr>
        <w:spacing w:line="480" w:lineRule="auto"/>
        <w:jc w:val="both"/>
        <w:rPr>
          <w:color w:val="FF0000"/>
        </w:rPr>
      </w:pPr>
    </w:p>
    <w:p w14:paraId="3E65E9FB" w14:textId="77777777" w:rsidR="00D90930" w:rsidRPr="008669C3" w:rsidRDefault="00D90930" w:rsidP="001900E3">
      <w:pPr>
        <w:jc w:val="center"/>
        <w:rPr>
          <w:b/>
          <w:color w:val="FF0000"/>
        </w:rPr>
      </w:pPr>
    </w:p>
    <w:p w14:paraId="66CE1A39" w14:textId="77777777" w:rsidR="00D90930" w:rsidRDefault="00D90930" w:rsidP="001900E3">
      <w:pPr>
        <w:jc w:val="center"/>
        <w:rPr>
          <w:b/>
        </w:rPr>
      </w:pPr>
    </w:p>
    <w:p w14:paraId="0B1B3ACB" w14:textId="77777777" w:rsidR="00230B3B" w:rsidRDefault="00230B3B" w:rsidP="001900E3">
      <w:pPr>
        <w:jc w:val="center"/>
        <w:rPr>
          <w:b/>
        </w:rPr>
      </w:pPr>
    </w:p>
    <w:p w14:paraId="2EAB2948" w14:textId="77777777" w:rsidR="00230B3B" w:rsidRPr="008669C3" w:rsidRDefault="00230B3B" w:rsidP="001900E3">
      <w:pPr>
        <w:jc w:val="center"/>
        <w:rPr>
          <w:b/>
        </w:rPr>
      </w:pPr>
    </w:p>
    <w:p w14:paraId="371C90D3" w14:textId="77777777" w:rsidR="001900E3" w:rsidRPr="008669C3" w:rsidRDefault="001900E3" w:rsidP="001900E3">
      <w:pPr>
        <w:jc w:val="center"/>
        <w:rPr>
          <w:b/>
        </w:rPr>
      </w:pPr>
      <w:r w:rsidRPr="008669C3">
        <w:rPr>
          <w:b/>
        </w:rPr>
        <w:t>Table 1</w:t>
      </w:r>
    </w:p>
    <w:p w14:paraId="5DECB502" w14:textId="77777777" w:rsidR="001900E3" w:rsidRPr="008669C3" w:rsidRDefault="001900E3" w:rsidP="001900E3">
      <w:pPr>
        <w:jc w:val="center"/>
      </w:pPr>
      <w:r w:rsidRPr="008669C3">
        <w:t>Descriptive statistics</w:t>
      </w:r>
    </w:p>
    <w:p w14:paraId="5CE8FD12" w14:textId="77777777" w:rsidR="001900E3" w:rsidRPr="008669C3" w:rsidRDefault="001900E3" w:rsidP="001900E3"/>
    <w:p w14:paraId="5E0B62A5" w14:textId="75D432F3" w:rsidR="000445AC" w:rsidRPr="008669C3" w:rsidRDefault="001900E3" w:rsidP="001900E3">
      <w:pPr>
        <w:jc w:val="both"/>
        <w:rPr>
          <w:sz w:val="20"/>
          <w:szCs w:val="20"/>
        </w:rPr>
      </w:pPr>
      <w:r w:rsidRPr="008669C3">
        <w:rPr>
          <w:sz w:val="20"/>
          <w:szCs w:val="20"/>
        </w:rPr>
        <w:t xml:space="preserve">This table presents the summary statistics for the variables used in our baseline analysis. </w:t>
      </w:r>
      <w:r w:rsidRPr="008669C3">
        <w:rPr>
          <w:i/>
          <w:sz w:val="20"/>
          <w:szCs w:val="20"/>
        </w:rPr>
        <w:t>Vega</w:t>
      </w:r>
      <w:r w:rsidRPr="008669C3">
        <w:rPr>
          <w:sz w:val="20"/>
          <w:szCs w:val="20"/>
        </w:rPr>
        <w:t xml:space="preserve"> is defined as the change in the value of the CEO’s wealth due to a 0.01 increase in the annualized standard deviation of the firm’s stock return. </w:t>
      </w:r>
      <w:r w:rsidR="006A4DF9" w:rsidRPr="008669C3">
        <w:rPr>
          <w:i/>
          <w:sz w:val="20"/>
          <w:szCs w:val="20"/>
        </w:rPr>
        <w:t>Option pay</w:t>
      </w:r>
      <w:r w:rsidR="006A4DF9" w:rsidRPr="008669C3">
        <w:rPr>
          <w:sz w:val="20"/>
          <w:szCs w:val="20"/>
        </w:rPr>
        <w:t xml:space="preserve"> is the CEO option compensation.</w:t>
      </w:r>
      <w:r w:rsidR="006A4DF9" w:rsidRPr="008669C3">
        <w:rPr>
          <w:iCs/>
        </w:rPr>
        <w:t xml:space="preserve"> </w:t>
      </w:r>
      <w:r w:rsidRPr="008669C3">
        <w:rPr>
          <w:i/>
          <w:sz w:val="20"/>
          <w:szCs w:val="20"/>
        </w:rPr>
        <w:t>CDS trading</w:t>
      </w:r>
      <w:r w:rsidRPr="008669C3">
        <w:rPr>
          <w:sz w:val="20"/>
          <w:szCs w:val="20"/>
        </w:rPr>
        <w:t xml:space="preserve"> </w:t>
      </w:r>
      <w:r w:rsidR="000C58DD" w:rsidRPr="008669C3">
        <w:rPr>
          <w:sz w:val="20"/>
          <w:szCs w:val="20"/>
        </w:rPr>
        <w:t xml:space="preserve">is an indicator variable that equals one for a CDS firm after the inception of the firm’s CDS trading and zero prior to it. </w:t>
      </w:r>
      <w:r w:rsidRPr="008669C3">
        <w:rPr>
          <w:i/>
          <w:sz w:val="20"/>
          <w:szCs w:val="20"/>
        </w:rPr>
        <w:t>Sales</w:t>
      </w:r>
      <w:r w:rsidRPr="008669C3">
        <w:rPr>
          <w:sz w:val="20"/>
          <w:szCs w:val="20"/>
        </w:rPr>
        <w:t xml:space="preserve"> is the sales revenue. </w:t>
      </w:r>
      <w:r w:rsidRPr="008669C3">
        <w:rPr>
          <w:i/>
          <w:sz w:val="20"/>
          <w:szCs w:val="20"/>
        </w:rPr>
        <w:t>ROA</w:t>
      </w:r>
      <w:r w:rsidRPr="008669C3">
        <w:rPr>
          <w:sz w:val="20"/>
          <w:szCs w:val="20"/>
        </w:rPr>
        <w:t xml:space="preserve"> is earnings before interest and taxes divided by total assets. </w:t>
      </w:r>
      <w:r w:rsidRPr="008669C3">
        <w:rPr>
          <w:i/>
          <w:sz w:val="20"/>
          <w:szCs w:val="20"/>
        </w:rPr>
        <w:t>Tobin’s q</w:t>
      </w:r>
      <w:r w:rsidRPr="008669C3">
        <w:rPr>
          <w:sz w:val="20"/>
          <w:szCs w:val="20"/>
        </w:rPr>
        <w:t xml:space="preserve"> is the sum of total assets plus market value of equity minus book value of equity divided by total assets. </w:t>
      </w:r>
      <w:r w:rsidRPr="008669C3">
        <w:rPr>
          <w:i/>
          <w:sz w:val="20"/>
          <w:szCs w:val="20"/>
        </w:rPr>
        <w:t>Stock return</w:t>
      </w:r>
      <w:r w:rsidRPr="008669C3">
        <w:rPr>
          <w:sz w:val="20"/>
          <w:szCs w:val="20"/>
        </w:rPr>
        <w:t xml:space="preserve"> is the annual returns over the past year. </w:t>
      </w:r>
      <w:r w:rsidRPr="008669C3">
        <w:rPr>
          <w:i/>
          <w:sz w:val="20"/>
          <w:szCs w:val="20"/>
        </w:rPr>
        <w:t xml:space="preserve">Volatility </w:t>
      </w:r>
      <w:r w:rsidRPr="008669C3">
        <w:rPr>
          <w:sz w:val="20"/>
          <w:szCs w:val="20"/>
        </w:rPr>
        <w:t xml:space="preserve">is the annualized standard deviation of monthly stock return over the past year. </w:t>
      </w:r>
      <w:r w:rsidRPr="008669C3">
        <w:rPr>
          <w:i/>
          <w:sz w:val="20"/>
          <w:szCs w:val="20"/>
        </w:rPr>
        <w:t>Age</w:t>
      </w:r>
      <w:r w:rsidRPr="008669C3">
        <w:rPr>
          <w:sz w:val="20"/>
          <w:szCs w:val="20"/>
        </w:rPr>
        <w:t xml:space="preserve"> is the age of the CEO in years.</w:t>
      </w:r>
      <w:r w:rsidR="005D27B8" w:rsidRPr="008669C3">
        <w:rPr>
          <w:sz w:val="20"/>
          <w:szCs w:val="20"/>
        </w:rPr>
        <w:t xml:space="preserve"> </w:t>
      </w:r>
      <w:r w:rsidR="005D27B8" w:rsidRPr="008669C3">
        <w:rPr>
          <w:i/>
          <w:sz w:val="20"/>
          <w:szCs w:val="20"/>
        </w:rPr>
        <w:t>Z-score</w:t>
      </w:r>
      <w:r w:rsidR="005D27B8" w:rsidRPr="008669C3">
        <w:rPr>
          <w:sz w:val="20"/>
          <w:szCs w:val="20"/>
        </w:rPr>
        <w:t xml:space="preserve"> is a measure of firm distress risk based on the </w:t>
      </w:r>
      <w:r w:rsidR="00C934D9" w:rsidRPr="008669C3">
        <w:rPr>
          <w:sz w:val="20"/>
          <w:szCs w:val="20"/>
        </w:rPr>
        <w:t>Z</w:t>
      </w:r>
      <w:r w:rsidR="005D27B8" w:rsidRPr="008669C3">
        <w:rPr>
          <w:sz w:val="20"/>
          <w:szCs w:val="20"/>
        </w:rPr>
        <w:t xml:space="preserve">-score model of </w:t>
      </w:r>
      <w:r w:rsidR="006A4DF9" w:rsidRPr="008669C3">
        <w:rPr>
          <w:sz w:val="20"/>
          <w:szCs w:val="20"/>
        </w:rPr>
        <w:t>Altman (1968)</w:t>
      </w:r>
      <w:r w:rsidR="005D27B8" w:rsidRPr="008669C3">
        <w:rPr>
          <w:sz w:val="20"/>
          <w:szCs w:val="20"/>
        </w:rPr>
        <w:t xml:space="preserve">. </w:t>
      </w:r>
      <w:r w:rsidR="005D27B8" w:rsidRPr="008669C3">
        <w:rPr>
          <w:i/>
          <w:sz w:val="20"/>
          <w:szCs w:val="20"/>
        </w:rPr>
        <w:t>KZ index</w:t>
      </w:r>
      <w:r w:rsidR="005D27B8" w:rsidRPr="008669C3">
        <w:rPr>
          <w:sz w:val="20"/>
          <w:szCs w:val="20"/>
        </w:rPr>
        <w:t xml:space="preserve"> is an index of financial constraints proposed by </w:t>
      </w:r>
      <w:r w:rsidR="00B135CC" w:rsidRPr="008669C3">
        <w:rPr>
          <w:sz w:val="20"/>
          <w:szCs w:val="20"/>
        </w:rPr>
        <w:t>Kaplan and Zingales (1997)</w:t>
      </w:r>
      <w:r w:rsidR="005D27B8" w:rsidRPr="008669C3">
        <w:rPr>
          <w:sz w:val="20"/>
          <w:szCs w:val="20"/>
        </w:rPr>
        <w:t xml:space="preserve">. </w:t>
      </w:r>
      <w:r w:rsidR="005D27B8" w:rsidRPr="008669C3">
        <w:rPr>
          <w:i/>
          <w:sz w:val="20"/>
          <w:szCs w:val="20"/>
        </w:rPr>
        <w:t>Bank debt</w:t>
      </w:r>
      <w:r w:rsidR="00D56275" w:rsidRPr="008669C3">
        <w:rPr>
          <w:sz w:val="20"/>
          <w:szCs w:val="20"/>
        </w:rPr>
        <w:t xml:space="preserve"> is a dummy variable equals one if the firm has bank debt, and zero otherwise.</w:t>
      </w:r>
      <w:r w:rsidR="009738B1" w:rsidRPr="008669C3">
        <w:rPr>
          <w:sz w:val="20"/>
          <w:szCs w:val="20"/>
        </w:rPr>
        <w:t xml:space="preserve"> </w:t>
      </w:r>
      <w:r w:rsidR="009738B1" w:rsidRPr="008669C3">
        <w:rPr>
          <w:i/>
          <w:sz w:val="20"/>
          <w:szCs w:val="20"/>
        </w:rPr>
        <w:t>Book leverage</w:t>
      </w:r>
      <w:r w:rsidR="009738B1" w:rsidRPr="008669C3">
        <w:rPr>
          <w:sz w:val="20"/>
          <w:szCs w:val="20"/>
        </w:rPr>
        <w:t xml:space="preserve"> is the sum of debt in current liabilities plus long-term debts and divided by total assets. </w:t>
      </w:r>
      <w:r w:rsidR="009738B1" w:rsidRPr="008669C3">
        <w:rPr>
          <w:i/>
          <w:sz w:val="20"/>
          <w:szCs w:val="20"/>
        </w:rPr>
        <w:t>Market leverage</w:t>
      </w:r>
      <w:r w:rsidR="009738B1" w:rsidRPr="008669C3">
        <w:rPr>
          <w:sz w:val="20"/>
          <w:szCs w:val="20"/>
        </w:rPr>
        <w:t xml:space="preserve"> is the sum of debt in current liabilities plus long-term debts and dividend by firm value, where firm value is defined as book value of total assets plus market value of equity minus book value of common equity.</w:t>
      </w:r>
      <w:r w:rsidR="00D56275" w:rsidRPr="008669C3">
        <w:rPr>
          <w:sz w:val="20"/>
          <w:szCs w:val="20"/>
        </w:rPr>
        <w:t xml:space="preserve"> </w:t>
      </w:r>
      <w:r w:rsidRPr="008669C3">
        <w:rPr>
          <w:i/>
          <w:sz w:val="20"/>
          <w:szCs w:val="20"/>
        </w:rPr>
        <w:t>Tenure</w:t>
      </w:r>
      <w:r w:rsidRPr="008669C3">
        <w:rPr>
          <w:sz w:val="20"/>
          <w:szCs w:val="20"/>
        </w:rPr>
        <w:t xml:space="preserve"> is the number of years as CEO in the current position. </w:t>
      </w:r>
      <w:r w:rsidRPr="008669C3">
        <w:rPr>
          <w:i/>
          <w:sz w:val="20"/>
          <w:szCs w:val="20"/>
        </w:rPr>
        <w:t>Female CEO</w:t>
      </w:r>
      <w:r w:rsidRPr="008669C3">
        <w:rPr>
          <w:sz w:val="20"/>
          <w:szCs w:val="20"/>
        </w:rPr>
        <w:t xml:space="preserve"> is a dummy variable equal to one if CEO is female, and zero otherwise. </w:t>
      </w:r>
      <w:r w:rsidRPr="008669C3">
        <w:rPr>
          <w:i/>
          <w:sz w:val="20"/>
          <w:szCs w:val="20"/>
        </w:rPr>
        <w:t>Delta</w:t>
      </w:r>
      <w:r w:rsidRPr="008669C3">
        <w:rPr>
          <w:sz w:val="20"/>
          <w:szCs w:val="20"/>
        </w:rPr>
        <w:t xml:space="preserve"> is defined as the change in the value of the CEO’s wealth due to a 1% increase in the firm’s stock price. </w:t>
      </w:r>
      <w:r w:rsidRPr="008669C3">
        <w:rPr>
          <w:i/>
          <w:sz w:val="20"/>
          <w:szCs w:val="20"/>
        </w:rPr>
        <w:t>Total pay</w:t>
      </w:r>
      <w:r w:rsidRPr="008669C3">
        <w:rPr>
          <w:sz w:val="20"/>
          <w:szCs w:val="20"/>
        </w:rPr>
        <w:t xml:space="preserve"> is the total CEO pay, which consists of salary, bonus, restricted stocks, options, long-term incentive plans, and other compensation. </w:t>
      </w:r>
      <w:r w:rsidRPr="008669C3">
        <w:rPr>
          <w:i/>
          <w:sz w:val="20"/>
          <w:szCs w:val="20"/>
        </w:rPr>
        <w:t>Equity mix</w:t>
      </w:r>
      <w:r w:rsidRPr="008669C3">
        <w:rPr>
          <w:sz w:val="20"/>
          <w:szCs w:val="20"/>
        </w:rPr>
        <w:t xml:space="preserve"> is the CEO equity pay divided by total pay, where equity pay is the sum of restricted stocks and options. </w:t>
      </w:r>
      <w:r w:rsidRPr="008669C3">
        <w:rPr>
          <w:i/>
          <w:sz w:val="20"/>
          <w:szCs w:val="20"/>
        </w:rPr>
        <w:t>Board independence</w:t>
      </w:r>
      <w:r w:rsidRPr="008669C3">
        <w:rPr>
          <w:sz w:val="20"/>
          <w:szCs w:val="20"/>
        </w:rPr>
        <w:t xml:space="preserve"> is the fraction of independent directors on the board. </w:t>
      </w:r>
      <w:r w:rsidRPr="008669C3">
        <w:rPr>
          <w:i/>
          <w:sz w:val="20"/>
          <w:szCs w:val="20"/>
        </w:rPr>
        <w:t>Institutional ownership</w:t>
      </w:r>
      <w:r w:rsidRPr="008669C3">
        <w:rPr>
          <w:sz w:val="20"/>
          <w:szCs w:val="20"/>
        </w:rPr>
        <w:t xml:space="preserve"> is the number of shares owned by institutional investors divided by total number of shares outstanding. </w:t>
      </w:r>
      <w:r w:rsidRPr="008669C3">
        <w:rPr>
          <w:i/>
          <w:sz w:val="20"/>
          <w:szCs w:val="20"/>
        </w:rPr>
        <w:t xml:space="preserve">E index </w:t>
      </w:r>
      <w:r w:rsidRPr="008669C3">
        <w:rPr>
          <w:sz w:val="20"/>
          <w:szCs w:val="20"/>
        </w:rPr>
        <w:t>is the Bebchuk et al. (2009) entrenchment index.</w:t>
      </w:r>
    </w:p>
    <w:tbl>
      <w:tblPr>
        <w:tblW w:w="5000" w:type="pct"/>
        <w:tblLook w:val="04A0" w:firstRow="1" w:lastRow="0" w:firstColumn="1" w:lastColumn="0" w:noHBand="0" w:noVBand="1"/>
      </w:tblPr>
      <w:tblGrid>
        <w:gridCol w:w="2546"/>
        <w:gridCol w:w="736"/>
        <w:gridCol w:w="1168"/>
        <w:gridCol w:w="1292"/>
        <w:gridCol w:w="1168"/>
        <w:gridCol w:w="1168"/>
        <w:gridCol w:w="1165"/>
      </w:tblGrid>
      <w:tr w:rsidR="006A4DF9" w:rsidRPr="008669C3" w14:paraId="440E2579" w14:textId="77777777" w:rsidTr="006A4DF9">
        <w:trPr>
          <w:trHeight w:val="20"/>
        </w:trPr>
        <w:tc>
          <w:tcPr>
            <w:tcW w:w="1377" w:type="pct"/>
            <w:tcBorders>
              <w:top w:val="single" w:sz="4" w:space="0" w:color="auto"/>
              <w:left w:val="nil"/>
              <w:bottom w:val="single" w:sz="4" w:space="0" w:color="auto"/>
              <w:right w:val="nil"/>
            </w:tcBorders>
            <w:shd w:val="clear" w:color="auto" w:fill="auto"/>
            <w:noWrap/>
            <w:vAlign w:val="center"/>
            <w:hideMark/>
          </w:tcPr>
          <w:p w14:paraId="76C82157" w14:textId="77777777" w:rsidR="001900E3" w:rsidRPr="008669C3" w:rsidRDefault="001900E3" w:rsidP="00A94131">
            <w:pPr>
              <w:rPr>
                <w:sz w:val="22"/>
                <w:szCs w:val="22"/>
              </w:rPr>
            </w:pPr>
          </w:p>
        </w:tc>
        <w:tc>
          <w:tcPr>
            <w:tcW w:w="398" w:type="pct"/>
            <w:tcBorders>
              <w:top w:val="single" w:sz="4" w:space="0" w:color="auto"/>
              <w:left w:val="nil"/>
              <w:bottom w:val="single" w:sz="4" w:space="0" w:color="auto"/>
              <w:right w:val="nil"/>
            </w:tcBorders>
            <w:shd w:val="clear" w:color="auto" w:fill="auto"/>
            <w:noWrap/>
            <w:vAlign w:val="center"/>
            <w:hideMark/>
          </w:tcPr>
          <w:p w14:paraId="76B3F3A0" w14:textId="77777777" w:rsidR="001900E3" w:rsidRPr="008669C3" w:rsidRDefault="001900E3" w:rsidP="00A94131">
            <w:pPr>
              <w:jc w:val="center"/>
              <w:rPr>
                <w:sz w:val="22"/>
                <w:szCs w:val="22"/>
              </w:rPr>
            </w:pPr>
            <w:r w:rsidRPr="008669C3">
              <w:rPr>
                <w:sz w:val="22"/>
                <w:szCs w:val="22"/>
              </w:rPr>
              <w:t>Obs.</w:t>
            </w:r>
          </w:p>
        </w:tc>
        <w:tc>
          <w:tcPr>
            <w:tcW w:w="632" w:type="pct"/>
            <w:tcBorders>
              <w:top w:val="single" w:sz="4" w:space="0" w:color="auto"/>
              <w:left w:val="nil"/>
              <w:bottom w:val="single" w:sz="4" w:space="0" w:color="auto"/>
              <w:right w:val="nil"/>
            </w:tcBorders>
            <w:shd w:val="clear" w:color="auto" w:fill="auto"/>
            <w:noWrap/>
            <w:vAlign w:val="center"/>
            <w:hideMark/>
          </w:tcPr>
          <w:p w14:paraId="7096260D" w14:textId="77777777" w:rsidR="001900E3" w:rsidRPr="008669C3" w:rsidRDefault="001900E3" w:rsidP="00A94131">
            <w:pPr>
              <w:jc w:val="center"/>
              <w:rPr>
                <w:sz w:val="22"/>
                <w:szCs w:val="22"/>
              </w:rPr>
            </w:pPr>
            <w:r w:rsidRPr="008669C3">
              <w:rPr>
                <w:sz w:val="22"/>
                <w:szCs w:val="22"/>
              </w:rPr>
              <w:t>Mean</w:t>
            </w:r>
          </w:p>
        </w:tc>
        <w:tc>
          <w:tcPr>
            <w:tcW w:w="699" w:type="pct"/>
            <w:tcBorders>
              <w:top w:val="single" w:sz="4" w:space="0" w:color="auto"/>
              <w:left w:val="nil"/>
              <w:bottom w:val="single" w:sz="4" w:space="0" w:color="auto"/>
              <w:right w:val="nil"/>
            </w:tcBorders>
            <w:shd w:val="clear" w:color="auto" w:fill="auto"/>
            <w:noWrap/>
            <w:vAlign w:val="center"/>
            <w:hideMark/>
          </w:tcPr>
          <w:p w14:paraId="4B3EB456" w14:textId="77777777" w:rsidR="001900E3" w:rsidRPr="008669C3" w:rsidRDefault="001900E3" w:rsidP="00A94131">
            <w:pPr>
              <w:jc w:val="center"/>
              <w:rPr>
                <w:sz w:val="22"/>
                <w:szCs w:val="22"/>
              </w:rPr>
            </w:pPr>
            <w:r w:rsidRPr="008669C3">
              <w:rPr>
                <w:sz w:val="22"/>
                <w:szCs w:val="22"/>
              </w:rPr>
              <w:t>Stdev</w:t>
            </w:r>
          </w:p>
        </w:tc>
        <w:tc>
          <w:tcPr>
            <w:tcW w:w="632" w:type="pct"/>
            <w:tcBorders>
              <w:top w:val="single" w:sz="4" w:space="0" w:color="auto"/>
              <w:left w:val="nil"/>
              <w:bottom w:val="single" w:sz="4" w:space="0" w:color="auto"/>
              <w:right w:val="nil"/>
            </w:tcBorders>
            <w:shd w:val="clear" w:color="auto" w:fill="auto"/>
            <w:noWrap/>
            <w:vAlign w:val="center"/>
            <w:hideMark/>
          </w:tcPr>
          <w:p w14:paraId="3F992B92" w14:textId="77777777" w:rsidR="001900E3" w:rsidRPr="008669C3" w:rsidRDefault="001900E3" w:rsidP="00A94131">
            <w:pPr>
              <w:jc w:val="center"/>
              <w:rPr>
                <w:sz w:val="22"/>
                <w:szCs w:val="22"/>
              </w:rPr>
            </w:pPr>
            <w:r w:rsidRPr="008669C3">
              <w:rPr>
                <w:sz w:val="22"/>
                <w:szCs w:val="22"/>
              </w:rPr>
              <w:t>25%</w:t>
            </w:r>
          </w:p>
        </w:tc>
        <w:tc>
          <w:tcPr>
            <w:tcW w:w="632" w:type="pct"/>
            <w:tcBorders>
              <w:top w:val="single" w:sz="4" w:space="0" w:color="auto"/>
              <w:left w:val="nil"/>
              <w:bottom w:val="single" w:sz="4" w:space="0" w:color="auto"/>
              <w:right w:val="nil"/>
            </w:tcBorders>
            <w:shd w:val="clear" w:color="auto" w:fill="auto"/>
            <w:noWrap/>
            <w:vAlign w:val="center"/>
            <w:hideMark/>
          </w:tcPr>
          <w:p w14:paraId="72296231" w14:textId="77777777" w:rsidR="001900E3" w:rsidRPr="008669C3" w:rsidRDefault="001900E3" w:rsidP="00A94131">
            <w:pPr>
              <w:jc w:val="center"/>
              <w:rPr>
                <w:sz w:val="22"/>
                <w:szCs w:val="22"/>
              </w:rPr>
            </w:pPr>
            <w:r w:rsidRPr="008669C3">
              <w:rPr>
                <w:sz w:val="22"/>
                <w:szCs w:val="22"/>
              </w:rPr>
              <w:t>50%</w:t>
            </w:r>
          </w:p>
        </w:tc>
        <w:tc>
          <w:tcPr>
            <w:tcW w:w="630" w:type="pct"/>
            <w:tcBorders>
              <w:top w:val="single" w:sz="4" w:space="0" w:color="auto"/>
              <w:left w:val="nil"/>
              <w:bottom w:val="single" w:sz="4" w:space="0" w:color="auto"/>
              <w:right w:val="nil"/>
            </w:tcBorders>
            <w:shd w:val="clear" w:color="auto" w:fill="auto"/>
            <w:noWrap/>
            <w:vAlign w:val="center"/>
            <w:hideMark/>
          </w:tcPr>
          <w:p w14:paraId="38A8F00E" w14:textId="77777777" w:rsidR="001900E3" w:rsidRPr="008669C3" w:rsidRDefault="001900E3" w:rsidP="00A94131">
            <w:pPr>
              <w:jc w:val="center"/>
              <w:rPr>
                <w:sz w:val="22"/>
                <w:szCs w:val="22"/>
              </w:rPr>
            </w:pPr>
            <w:r w:rsidRPr="008669C3">
              <w:rPr>
                <w:sz w:val="22"/>
                <w:szCs w:val="22"/>
              </w:rPr>
              <w:t>75%</w:t>
            </w:r>
          </w:p>
        </w:tc>
      </w:tr>
      <w:tr w:rsidR="00CC3715" w:rsidRPr="008669C3" w14:paraId="04887B83" w14:textId="77777777" w:rsidTr="006A4DF9">
        <w:trPr>
          <w:trHeight w:val="20"/>
        </w:trPr>
        <w:tc>
          <w:tcPr>
            <w:tcW w:w="1377" w:type="pct"/>
            <w:tcBorders>
              <w:top w:val="nil"/>
              <w:left w:val="nil"/>
              <w:bottom w:val="nil"/>
              <w:right w:val="nil"/>
            </w:tcBorders>
            <w:shd w:val="clear" w:color="auto" w:fill="auto"/>
            <w:noWrap/>
            <w:vAlign w:val="center"/>
            <w:hideMark/>
          </w:tcPr>
          <w:p w14:paraId="6DC06B5F" w14:textId="77777777" w:rsidR="00CC3715" w:rsidRPr="008669C3" w:rsidRDefault="00CC3715" w:rsidP="00CC3715">
            <w:pPr>
              <w:rPr>
                <w:iCs/>
                <w:sz w:val="22"/>
                <w:szCs w:val="22"/>
              </w:rPr>
            </w:pPr>
            <w:r w:rsidRPr="008669C3">
              <w:rPr>
                <w:iCs/>
                <w:sz w:val="22"/>
                <w:szCs w:val="22"/>
              </w:rPr>
              <w:t>Vega (thousand $)</w:t>
            </w:r>
          </w:p>
        </w:tc>
        <w:tc>
          <w:tcPr>
            <w:tcW w:w="398" w:type="pct"/>
            <w:tcBorders>
              <w:top w:val="nil"/>
              <w:left w:val="nil"/>
              <w:bottom w:val="nil"/>
              <w:right w:val="nil"/>
            </w:tcBorders>
            <w:shd w:val="clear" w:color="auto" w:fill="auto"/>
            <w:noWrap/>
            <w:vAlign w:val="bottom"/>
            <w:hideMark/>
          </w:tcPr>
          <w:p w14:paraId="09E4023E" w14:textId="58B7B076" w:rsidR="00CC3715" w:rsidRPr="008669C3" w:rsidRDefault="00CC3715" w:rsidP="00CC3715">
            <w:pPr>
              <w:jc w:val="center"/>
              <w:rPr>
                <w:sz w:val="22"/>
                <w:szCs w:val="22"/>
              </w:rPr>
            </w:pPr>
            <w:r w:rsidRPr="008669C3">
              <w:rPr>
                <w:sz w:val="22"/>
                <w:szCs w:val="22"/>
              </w:rPr>
              <w:t>9176</w:t>
            </w:r>
          </w:p>
        </w:tc>
        <w:tc>
          <w:tcPr>
            <w:tcW w:w="632" w:type="pct"/>
            <w:tcBorders>
              <w:top w:val="nil"/>
              <w:left w:val="nil"/>
              <w:bottom w:val="nil"/>
              <w:right w:val="nil"/>
            </w:tcBorders>
            <w:shd w:val="clear" w:color="auto" w:fill="auto"/>
            <w:noWrap/>
            <w:vAlign w:val="bottom"/>
            <w:hideMark/>
          </w:tcPr>
          <w:p w14:paraId="0B36B934" w14:textId="0CFAFF56" w:rsidR="00CC3715" w:rsidRPr="008669C3" w:rsidRDefault="00CC3715" w:rsidP="00CC3715">
            <w:pPr>
              <w:jc w:val="center"/>
              <w:rPr>
                <w:sz w:val="22"/>
                <w:szCs w:val="22"/>
              </w:rPr>
            </w:pPr>
            <w:r w:rsidRPr="008669C3">
              <w:rPr>
                <w:color w:val="000000"/>
                <w:sz w:val="22"/>
                <w:szCs w:val="22"/>
              </w:rPr>
              <w:t>188.925</w:t>
            </w:r>
          </w:p>
        </w:tc>
        <w:tc>
          <w:tcPr>
            <w:tcW w:w="699" w:type="pct"/>
            <w:tcBorders>
              <w:top w:val="nil"/>
              <w:left w:val="nil"/>
              <w:bottom w:val="nil"/>
              <w:right w:val="nil"/>
            </w:tcBorders>
            <w:shd w:val="clear" w:color="auto" w:fill="auto"/>
            <w:noWrap/>
            <w:vAlign w:val="bottom"/>
            <w:hideMark/>
          </w:tcPr>
          <w:p w14:paraId="4D6BA79A" w14:textId="00C7F11D" w:rsidR="00CC3715" w:rsidRPr="008669C3" w:rsidRDefault="00CC3715" w:rsidP="00CC3715">
            <w:pPr>
              <w:jc w:val="center"/>
              <w:rPr>
                <w:sz w:val="22"/>
                <w:szCs w:val="22"/>
              </w:rPr>
            </w:pPr>
            <w:r w:rsidRPr="008669C3">
              <w:rPr>
                <w:color w:val="000000"/>
                <w:sz w:val="22"/>
                <w:szCs w:val="22"/>
              </w:rPr>
              <w:t>348.391</w:t>
            </w:r>
          </w:p>
        </w:tc>
        <w:tc>
          <w:tcPr>
            <w:tcW w:w="632" w:type="pct"/>
            <w:tcBorders>
              <w:top w:val="nil"/>
              <w:left w:val="nil"/>
              <w:bottom w:val="nil"/>
              <w:right w:val="nil"/>
            </w:tcBorders>
            <w:shd w:val="clear" w:color="auto" w:fill="auto"/>
            <w:noWrap/>
            <w:vAlign w:val="bottom"/>
            <w:hideMark/>
          </w:tcPr>
          <w:p w14:paraId="3609A320" w14:textId="00F87961" w:rsidR="00CC3715" w:rsidRPr="008669C3" w:rsidRDefault="00CC3715" w:rsidP="00CC3715">
            <w:pPr>
              <w:jc w:val="center"/>
              <w:rPr>
                <w:sz w:val="22"/>
                <w:szCs w:val="22"/>
              </w:rPr>
            </w:pPr>
            <w:r w:rsidRPr="008669C3">
              <w:rPr>
                <w:color w:val="000000"/>
                <w:sz w:val="22"/>
                <w:szCs w:val="22"/>
              </w:rPr>
              <w:t>22.501</w:t>
            </w:r>
          </w:p>
        </w:tc>
        <w:tc>
          <w:tcPr>
            <w:tcW w:w="632" w:type="pct"/>
            <w:tcBorders>
              <w:top w:val="nil"/>
              <w:left w:val="nil"/>
              <w:bottom w:val="nil"/>
              <w:right w:val="nil"/>
            </w:tcBorders>
            <w:shd w:val="clear" w:color="auto" w:fill="auto"/>
            <w:noWrap/>
            <w:vAlign w:val="bottom"/>
            <w:hideMark/>
          </w:tcPr>
          <w:p w14:paraId="2AC3D6D9" w14:textId="7A2EBD6A" w:rsidR="00CC3715" w:rsidRPr="008669C3" w:rsidRDefault="00CC3715" w:rsidP="00CC3715">
            <w:pPr>
              <w:jc w:val="center"/>
              <w:rPr>
                <w:sz w:val="22"/>
                <w:szCs w:val="22"/>
              </w:rPr>
            </w:pPr>
            <w:r w:rsidRPr="008669C3">
              <w:rPr>
                <w:color w:val="000000"/>
                <w:sz w:val="22"/>
                <w:szCs w:val="22"/>
              </w:rPr>
              <w:t>82.202</w:t>
            </w:r>
          </w:p>
        </w:tc>
        <w:tc>
          <w:tcPr>
            <w:tcW w:w="630" w:type="pct"/>
            <w:tcBorders>
              <w:top w:val="nil"/>
              <w:left w:val="nil"/>
              <w:bottom w:val="nil"/>
              <w:right w:val="nil"/>
            </w:tcBorders>
            <w:shd w:val="clear" w:color="auto" w:fill="auto"/>
            <w:noWrap/>
            <w:vAlign w:val="bottom"/>
            <w:hideMark/>
          </w:tcPr>
          <w:p w14:paraId="3615FC9A" w14:textId="2F84ECDA" w:rsidR="00CC3715" w:rsidRPr="008669C3" w:rsidRDefault="00CC3715" w:rsidP="00CC3715">
            <w:pPr>
              <w:jc w:val="center"/>
              <w:rPr>
                <w:sz w:val="22"/>
                <w:szCs w:val="22"/>
              </w:rPr>
            </w:pPr>
            <w:r w:rsidRPr="008669C3">
              <w:rPr>
                <w:color w:val="000000"/>
                <w:sz w:val="22"/>
                <w:szCs w:val="22"/>
              </w:rPr>
              <w:t>216.658</w:t>
            </w:r>
          </w:p>
        </w:tc>
      </w:tr>
      <w:tr w:rsidR="00CC3715" w:rsidRPr="008669C3" w14:paraId="582AAE7D" w14:textId="77777777" w:rsidTr="006A4DF9">
        <w:trPr>
          <w:trHeight w:val="20"/>
        </w:trPr>
        <w:tc>
          <w:tcPr>
            <w:tcW w:w="1377" w:type="pct"/>
            <w:tcBorders>
              <w:top w:val="nil"/>
              <w:left w:val="nil"/>
              <w:bottom w:val="nil"/>
              <w:right w:val="nil"/>
            </w:tcBorders>
            <w:shd w:val="clear" w:color="auto" w:fill="auto"/>
            <w:noWrap/>
            <w:vAlign w:val="center"/>
          </w:tcPr>
          <w:p w14:paraId="135B6FDD" w14:textId="2915428F" w:rsidR="00CC3715" w:rsidRPr="008669C3" w:rsidRDefault="00CC3715" w:rsidP="00CC3715">
            <w:pPr>
              <w:rPr>
                <w:iCs/>
                <w:sz w:val="22"/>
                <w:szCs w:val="22"/>
              </w:rPr>
            </w:pPr>
            <w:r w:rsidRPr="008669C3">
              <w:rPr>
                <w:iCs/>
                <w:sz w:val="22"/>
                <w:szCs w:val="22"/>
              </w:rPr>
              <w:t>Option pay (thousand $)</w:t>
            </w:r>
          </w:p>
        </w:tc>
        <w:tc>
          <w:tcPr>
            <w:tcW w:w="398" w:type="pct"/>
            <w:tcBorders>
              <w:top w:val="nil"/>
              <w:left w:val="nil"/>
              <w:bottom w:val="nil"/>
              <w:right w:val="nil"/>
            </w:tcBorders>
            <w:shd w:val="clear" w:color="auto" w:fill="auto"/>
            <w:noWrap/>
            <w:vAlign w:val="bottom"/>
          </w:tcPr>
          <w:p w14:paraId="35DF33E6" w14:textId="6D5A0609" w:rsidR="00CC3715" w:rsidRPr="008669C3" w:rsidRDefault="00CC3715" w:rsidP="00CC3715">
            <w:pPr>
              <w:jc w:val="center"/>
              <w:rPr>
                <w:sz w:val="22"/>
                <w:szCs w:val="22"/>
              </w:rPr>
            </w:pPr>
            <w:r w:rsidRPr="008669C3">
              <w:rPr>
                <w:sz w:val="22"/>
                <w:szCs w:val="22"/>
              </w:rPr>
              <w:t>9176</w:t>
            </w:r>
          </w:p>
        </w:tc>
        <w:tc>
          <w:tcPr>
            <w:tcW w:w="632" w:type="pct"/>
            <w:tcBorders>
              <w:top w:val="nil"/>
              <w:left w:val="nil"/>
              <w:bottom w:val="nil"/>
              <w:right w:val="nil"/>
            </w:tcBorders>
            <w:shd w:val="clear" w:color="auto" w:fill="auto"/>
            <w:noWrap/>
            <w:vAlign w:val="bottom"/>
          </w:tcPr>
          <w:p w14:paraId="4ED6C463" w14:textId="43C7D102" w:rsidR="00CC3715" w:rsidRPr="008669C3" w:rsidRDefault="00CC3715" w:rsidP="00CC3715">
            <w:pPr>
              <w:jc w:val="center"/>
              <w:rPr>
                <w:sz w:val="22"/>
                <w:szCs w:val="22"/>
              </w:rPr>
            </w:pPr>
            <w:r w:rsidRPr="008669C3">
              <w:rPr>
                <w:color w:val="000000"/>
                <w:sz w:val="22"/>
                <w:szCs w:val="22"/>
              </w:rPr>
              <w:t>1</w:t>
            </w:r>
            <w:r w:rsidR="00326FEB" w:rsidRPr="008669C3">
              <w:rPr>
                <w:color w:val="000000"/>
                <w:sz w:val="22"/>
                <w:szCs w:val="22"/>
              </w:rPr>
              <w:t>,</w:t>
            </w:r>
            <w:r w:rsidRPr="008669C3">
              <w:rPr>
                <w:color w:val="000000"/>
                <w:sz w:val="22"/>
                <w:szCs w:val="22"/>
              </w:rPr>
              <w:t>677.698</w:t>
            </w:r>
          </w:p>
        </w:tc>
        <w:tc>
          <w:tcPr>
            <w:tcW w:w="699" w:type="pct"/>
            <w:tcBorders>
              <w:top w:val="nil"/>
              <w:left w:val="nil"/>
              <w:bottom w:val="nil"/>
              <w:right w:val="nil"/>
            </w:tcBorders>
            <w:shd w:val="clear" w:color="auto" w:fill="auto"/>
            <w:noWrap/>
            <w:vAlign w:val="bottom"/>
          </w:tcPr>
          <w:p w14:paraId="2038EEE5" w14:textId="63AA19DC" w:rsidR="00CC3715" w:rsidRPr="008669C3" w:rsidRDefault="00CC3715" w:rsidP="00CC3715">
            <w:pPr>
              <w:jc w:val="center"/>
              <w:rPr>
                <w:sz w:val="22"/>
                <w:szCs w:val="22"/>
              </w:rPr>
            </w:pPr>
            <w:r w:rsidRPr="008669C3">
              <w:rPr>
                <w:color w:val="000000"/>
                <w:sz w:val="22"/>
                <w:szCs w:val="22"/>
              </w:rPr>
              <w:t>3</w:t>
            </w:r>
            <w:r w:rsidR="00326FEB" w:rsidRPr="008669C3">
              <w:rPr>
                <w:color w:val="000000"/>
                <w:sz w:val="22"/>
                <w:szCs w:val="22"/>
              </w:rPr>
              <w:t>,</w:t>
            </w:r>
            <w:r w:rsidRPr="008669C3">
              <w:rPr>
                <w:color w:val="000000"/>
                <w:sz w:val="22"/>
                <w:szCs w:val="22"/>
              </w:rPr>
              <w:t>871.918</w:t>
            </w:r>
          </w:p>
        </w:tc>
        <w:tc>
          <w:tcPr>
            <w:tcW w:w="632" w:type="pct"/>
            <w:tcBorders>
              <w:top w:val="nil"/>
              <w:left w:val="nil"/>
              <w:bottom w:val="nil"/>
              <w:right w:val="nil"/>
            </w:tcBorders>
            <w:shd w:val="clear" w:color="auto" w:fill="auto"/>
            <w:noWrap/>
            <w:vAlign w:val="bottom"/>
          </w:tcPr>
          <w:p w14:paraId="4331945E" w14:textId="6CA5A56F" w:rsidR="00CC3715" w:rsidRPr="008669C3" w:rsidRDefault="00CC3715" w:rsidP="00CC3715">
            <w:pPr>
              <w:jc w:val="center"/>
              <w:rPr>
                <w:sz w:val="22"/>
                <w:szCs w:val="22"/>
              </w:rPr>
            </w:pPr>
            <w:r w:rsidRPr="008669C3">
              <w:rPr>
                <w:color w:val="000000"/>
                <w:sz w:val="22"/>
                <w:szCs w:val="22"/>
              </w:rPr>
              <w:t>0.000</w:t>
            </w:r>
          </w:p>
        </w:tc>
        <w:tc>
          <w:tcPr>
            <w:tcW w:w="632" w:type="pct"/>
            <w:tcBorders>
              <w:top w:val="nil"/>
              <w:left w:val="nil"/>
              <w:bottom w:val="nil"/>
              <w:right w:val="nil"/>
            </w:tcBorders>
            <w:shd w:val="clear" w:color="auto" w:fill="auto"/>
            <w:noWrap/>
            <w:vAlign w:val="bottom"/>
          </w:tcPr>
          <w:p w14:paraId="6015B76F" w14:textId="0EEA528E" w:rsidR="00CC3715" w:rsidRPr="008669C3" w:rsidRDefault="00CC3715" w:rsidP="00CC3715">
            <w:pPr>
              <w:jc w:val="center"/>
              <w:rPr>
                <w:sz w:val="22"/>
                <w:szCs w:val="22"/>
              </w:rPr>
            </w:pPr>
            <w:r w:rsidRPr="008669C3">
              <w:rPr>
                <w:color w:val="000000"/>
                <w:sz w:val="22"/>
                <w:szCs w:val="22"/>
              </w:rPr>
              <w:t>669.843</w:t>
            </w:r>
          </w:p>
        </w:tc>
        <w:tc>
          <w:tcPr>
            <w:tcW w:w="630" w:type="pct"/>
            <w:tcBorders>
              <w:top w:val="nil"/>
              <w:left w:val="nil"/>
              <w:bottom w:val="nil"/>
              <w:right w:val="nil"/>
            </w:tcBorders>
            <w:shd w:val="clear" w:color="auto" w:fill="auto"/>
            <w:noWrap/>
            <w:vAlign w:val="bottom"/>
          </w:tcPr>
          <w:p w14:paraId="3C2AFCA2" w14:textId="0FAEE87D" w:rsidR="00CC3715" w:rsidRPr="008669C3" w:rsidRDefault="00CC3715" w:rsidP="00CC3715">
            <w:pPr>
              <w:jc w:val="center"/>
              <w:rPr>
                <w:sz w:val="22"/>
                <w:szCs w:val="22"/>
              </w:rPr>
            </w:pPr>
            <w:r w:rsidRPr="008669C3">
              <w:rPr>
                <w:color w:val="000000"/>
                <w:sz w:val="22"/>
                <w:szCs w:val="22"/>
              </w:rPr>
              <w:t>2</w:t>
            </w:r>
            <w:r w:rsidR="00326FEB" w:rsidRPr="008669C3">
              <w:rPr>
                <w:color w:val="000000"/>
                <w:sz w:val="22"/>
                <w:szCs w:val="22"/>
              </w:rPr>
              <w:t>,</w:t>
            </w:r>
            <w:r w:rsidRPr="008669C3">
              <w:rPr>
                <w:color w:val="000000"/>
                <w:sz w:val="22"/>
                <w:szCs w:val="22"/>
              </w:rPr>
              <w:t>021.816</w:t>
            </w:r>
          </w:p>
        </w:tc>
      </w:tr>
      <w:tr w:rsidR="00CC3715" w:rsidRPr="008669C3" w14:paraId="3FBCDF77" w14:textId="77777777" w:rsidTr="006A4DF9">
        <w:trPr>
          <w:trHeight w:val="20"/>
        </w:trPr>
        <w:tc>
          <w:tcPr>
            <w:tcW w:w="1377" w:type="pct"/>
            <w:tcBorders>
              <w:top w:val="nil"/>
              <w:left w:val="nil"/>
              <w:bottom w:val="nil"/>
              <w:right w:val="nil"/>
            </w:tcBorders>
            <w:shd w:val="clear" w:color="auto" w:fill="auto"/>
            <w:noWrap/>
            <w:vAlign w:val="center"/>
            <w:hideMark/>
          </w:tcPr>
          <w:p w14:paraId="02F702B9" w14:textId="77777777" w:rsidR="00CC3715" w:rsidRPr="008669C3" w:rsidRDefault="00CC3715" w:rsidP="00CC3715">
            <w:pPr>
              <w:rPr>
                <w:iCs/>
                <w:sz w:val="22"/>
                <w:szCs w:val="22"/>
              </w:rPr>
            </w:pPr>
            <w:r w:rsidRPr="008669C3">
              <w:rPr>
                <w:iCs/>
                <w:sz w:val="22"/>
                <w:szCs w:val="22"/>
              </w:rPr>
              <w:t>CDS trading</w:t>
            </w:r>
          </w:p>
        </w:tc>
        <w:tc>
          <w:tcPr>
            <w:tcW w:w="398" w:type="pct"/>
            <w:tcBorders>
              <w:top w:val="nil"/>
              <w:left w:val="nil"/>
              <w:bottom w:val="nil"/>
              <w:right w:val="nil"/>
            </w:tcBorders>
            <w:shd w:val="clear" w:color="auto" w:fill="auto"/>
            <w:noWrap/>
            <w:vAlign w:val="bottom"/>
            <w:hideMark/>
          </w:tcPr>
          <w:p w14:paraId="5930142D" w14:textId="62146A00" w:rsidR="00CC3715" w:rsidRPr="008669C3" w:rsidRDefault="00CC3715" w:rsidP="00CC3715">
            <w:pPr>
              <w:jc w:val="center"/>
              <w:rPr>
                <w:sz w:val="22"/>
                <w:szCs w:val="22"/>
              </w:rPr>
            </w:pPr>
            <w:r w:rsidRPr="008669C3">
              <w:rPr>
                <w:sz w:val="22"/>
                <w:szCs w:val="22"/>
              </w:rPr>
              <w:t>9176</w:t>
            </w:r>
          </w:p>
        </w:tc>
        <w:tc>
          <w:tcPr>
            <w:tcW w:w="632" w:type="pct"/>
            <w:tcBorders>
              <w:top w:val="nil"/>
              <w:left w:val="nil"/>
              <w:bottom w:val="nil"/>
              <w:right w:val="nil"/>
            </w:tcBorders>
            <w:shd w:val="clear" w:color="auto" w:fill="auto"/>
            <w:noWrap/>
            <w:vAlign w:val="bottom"/>
            <w:hideMark/>
          </w:tcPr>
          <w:p w14:paraId="2482D932" w14:textId="064D9F9E" w:rsidR="00CC3715" w:rsidRPr="008669C3" w:rsidRDefault="00CC3715" w:rsidP="00CC3715">
            <w:pPr>
              <w:jc w:val="center"/>
              <w:rPr>
                <w:sz w:val="22"/>
                <w:szCs w:val="22"/>
              </w:rPr>
            </w:pPr>
            <w:r w:rsidRPr="008669C3">
              <w:rPr>
                <w:sz w:val="22"/>
                <w:szCs w:val="22"/>
              </w:rPr>
              <w:t>0.105</w:t>
            </w:r>
          </w:p>
        </w:tc>
        <w:tc>
          <w:tcPr>
            <w:tcW w:w="699" w:type="pct"/>
            <w:tcBorders>
              <w:top w:val="nil"/>
              <w:left w:val="nil"/>
              <w:bottom w:val="nil"/>
              <w:right w:val="nil"/>
            </w:tcBorders>
            <w:shd w:val="clear" w:color="auto" w:fill="auto"/>
            <w:noWrap/>
            <w:vAlign w:val="bottom"/>
            <w:hideMark/>
          </w:tcPr>
          <w:p w14:paraId="4AD30B49" w14:textId="42E5786C" w:rsidR="00CC3715" w:rsidRPr="008669C3" w:rsidRDefault="00CC3715" w:rsidP="00CC3715">
            <w:pPr>
              <w:jc w:val="center"/>
              <w:rPr>
                <w:sz w:val="22"/>
                <w:szCs w:val="22"/>
              </w:rPr>
            </w:pPr>
            <w:r w:rsidRPr="008669C3">
              <w:rPr>
                <w:sz w:val="22"/>
                <w:szCs w:val="22"/>
              </w:rPr>
              <w:t>0.306</w:t>
            </w:r>
          </w:p>
        </w:tc>
        <w:tc>
          <w:tcPr>
            <w:tcW w:w="632" w:type="pct"/>
            <w:tcBorders>
              <w:top w:val="nil"/>
              <w:left w:val="nil"/>
              <w:bottom w:val="nil"/>
              <w:right w:val="nil"/>
            </w:tcBorders>
            <w:shd w:val="clear" w:color="auto" w:fill="auto"/>
            <w:noWrap/>
            <w:vAlign w:val="bottom"/>
            <w:hideMark/>
          </w:tcPr>
          <w:p w14:paraId="1D64CB3C" w14:textId="3C112370" w:rsidR="00CC3715" w:rsidRPr="008669C3" w:rsidRDefault="00CC3715" w:rsidP="00CC3715">
            <w:pPr>
              <w:jc w:val="center"/>
              <w:rPr>
                <w:sz w:val="22"/>
                <w:szCs w:val="22"/>
              </w:rPr>
            </w:pPr>
            <w:r w:rsidRPr="008669C3">
              <w:rPr>
                <w:sz w:val="22"/>
                <w:szCs w:val="22"/>
              </w:rPr>
              <w:t>0.000</w:t>
            </w:r>
          </w:p>
        </w:tc>
        <w:tc>
          <w:tcPr>
            <w:tcW w:w="632" w:type="pct"/>
            <w:tcBorders>
              <w:top w:val="nil"/>
              <w:left w:val="nil"/>
              <w:bottom w:val="nil"/>
              <w:right w:val="nil"/>
            </w:tcBorders>
            <w:shd w:val="clear" w:color="auto" w:fill="auto"/>
            <w:noWrap/>
            <w:vAlign w:val="bottom"/>
            <w:hideMark/>
          </w:tcPr>
          <w:p w14:paraId="3ED57CDC" w14:textId="45ACFF33" w:rsidR="00CC3715" w:rsidRPr="008669C3" w:rsidRDefault="00CC3715" w:rsidP="00CC3715">
            <w:pPr>
              <w:jc w:val="center"/>
              <w:rPr>
                <w:sz w:val="22"/>
                <w:szCs w:val="22"/>
              </w:rPr>
            </w:pPr>
            <w:r w:rsidRPr="008669C3">
              <w:rPr>
                <w:sz w:val="22"/>
                <w:szCs w:val="22"/>
              </w:rPr>
              <w:t>0.000</w:t>
            </w:r>
          </w:p>
        </w:tc>
        <w:tc>
          <w:tcPr>
            <w:tcW w:w="630" w:type="pct"/>
            <w:tcBorders>
              <w:top w:val="nil"/>
              <w:left w:val="nil"/>
              <w:bottom w:val="nil"/>
              <w:right w:val="nil"/>
            </w:tcBorders>
            <w:shd w:val="clear" w:color="auto" w:fill="auto"/>
            <w:noWrap/>
            <w:vAlign w:val="bottom"/>
            <w:hideMark/>
          </w:tcPr>
          <w:p w14:paraId="1F23E961" w14:textId="2D20C4C0" w:rsidR="00CC3715" w:rsidRPr="008669C3" w:rsidRDefault="00CC3715" w:rsidP="00CC3715">
            <w:pPr>
              <w:jc w:val="center"/>
              <w:rPr>
                <w:sz w:val="22"/>
                <w:szCs w:val="22"/>
              </w:rPr>
            </w:pPr>
            <w:r w:rsidRPr="008669C3">
              <w:rPr>
                <w:sz w:val="22"/>
                <w:szCs w:val="22"/>
              </w:rPr>
              <w:t>0.000</w:t>
            </w:r>
          </w:p>
        </w:tc>
      </w:tr>
      <w:tr w:rsidR="00CC3715" w:rsidRPr="008669C3" w14:paraId="29061274" w14:textId="77777777" w:rsidTr="006A4DF9">
        <w:trPr>
          <w:trHeight w:val="20"/>
        </w:trPr>
        <w:tc>
          <w:tcPr>
            <w:tcW w:w="1377" w:type="pct"/>
            <w:tcBorders>
              <w:top w:val="nil"/>
              <w:left w:val="nil"/>
              <w:bottom w:val="nil"/>
              <w:right w:val="nil"/>
            </w:tcBorders>
            <w:shd w:val="clear" w:color="auto" w:fill="auto"/>
            <w:noWrap/>
            <w:vAlign w:val="center"/>
            <w:hideMark/>
          </w:tcPr>
          <w:p w14:paraId="4BD5BF08" w14:textId="77777777" w:rsidR="00CC3715" w:rsidRPr="008669C3" w:rsidRDefault="00CC3715" w:rsidP="00CC3715">
            <w:pPr>
              <w:rPr>
                <w:iCs/>
                <w:sz w:val="22"/>
                <w:szCs w:val="22"/>
              </w:rPr>
            </w:pPr>
            <w:r w:rsidRPr="008669C3">
              <w:rPr>
                <w:iCs/>
                <w:sz w:val="22"/>
                <w:szCs w:val="22"/>
              </w:rPr>
              <w:t>Sales (million $)</w:t>
            </w:r>
          </w:p>
        </w:tc>
        <w:tc>
          <w:tcPr>
            <w:tcW w:w="398" w:type="pct"/>
            <w:tcBorders>
              <w:top w:val="nil"/>
              <w:left w:val="nil"/>
              <w:bottom w:val="nil"/>
              <w:right w:val="nil"/>
            </w:tcBorders>
            <w:shd w:val="clear" w:color="auto" w:fill="auto"/>
            <w:noWrap/>
            <w:vAlign w:val="bottom"/>
            <w:hideMark/>
          </w:tcPr>
          <w:p w14:paraId="620E77D6" w14:textId="7E8A04B8" w:rsidR="00CC3715" w:rsidRPr="008669C3" w:rsidRDefault="00CC3715" w:rsidP="00CC3715">
            <w:pPr>
              <w:jc w:val="center"/>
              <w:rPr>
                <w:iCs/>
                <w:sz w:val="22"/>
                <w:szCs w:val="22"/>
              </w:rPr>
            </w:pPr>
            <w:r w:rsidRPr="008669C3">
              <w:rPr>
                <w:iCs/>
                <w:sz w:val="22"/>
                <w:szCs w:val="22"/>
              </w:rPr>
              <w:t>9176</w:t>
            </w:r>
          </w:p>
        </w:tc>
        <w:tc>
          <w:tcPr>
            <w:tcW w:w="632" w:type="pct"/>
            <w:tcBorders>
              <w:top w:val="nil"/>
              <w:left w:val="nil"/>
              <w:bottom w:val="nil"/>
              <w:right w:val="nil"/>
            </w:tcBorders>
            <w:shd w:val="clear" w:color="auto" w:fill="auto"/>
            <w:noWrap/>
            <w:vAlign w:val="bottom"/>
            <w:hideMark/>
          </w:tcPr>
          <w:p w14:paraId="60183617" w14:textId="4419B58A" w:rsidR="00CC3715" w:rsidRPr="008669C3" w:rsidRDefault="00CC3715" w:rsidP="00CC3715">
            <w:pPr>
              <w:jc w:val="center"/>
              <w:rPr>
                <w:iCs/>
                <w:sz w:val="22"/>
                <w:szCs w:val="22"/>
              </w:rPr>
            </w:pPr>
            <w:r w:rsidRPr="008669C3">
              <w:rPr>
                <w:iCs/>
                <w:sz w:val="22"/>
                <w:szCs w:val="22"/>
              </w:rPr>
              <w:t>7</w:t>
            </w:r>
            <w:r w:rsidR="00326FEB" w:rsidRPr="008669C3">
              <w:rPr>
                <w:iCs/>
                <w:sz w:val="22"/>
                <w:szCs w:val="22"/>
              </w:rPr>
              <w:t>,</w:t>
            </w:r>
            <w:r w:rsidRPr="008669C3">
              <w:rPr>
                <w:iCs/>
                <w:sz w:val="22"/>
                <w:szCs w:val="22"/>
              </w:rPr>
              <w:t>907.888</w:t>
            </w:r>
          </w:p>
        </w:tc>
        <w:tc>
          <w:tcPr>
            <w:tcW w:w="699" w:type="pct"/>
            <w:tcBorders>
              <w:top w:val="nil"/>
              <w:left w:val="nil"/>
              <w:bottom w:val="nil"/>
              <w:right w:val="nil"/>
            </w:tcBorders>
            <w:shd w:val="clear" w:color="auto" w:fill="auto"/>
            <w:noWrap/>
            <w:vAlign w:val="bottom"/>
            <w:hideMark/>
          </w:tcPr>
          <w:p w14:paraId="1BDFF908" w14:textId="29563677" w:rsidR="00CC3715" w:rsidRPr="008669C3" w:rsidRDefault="00CC3715" w:rsidP="00CC3715">
            <w:pPr>
              <w:jc w:val="center"/>
              <w:rPr>
                <w:sz w:val="22"/>
                <w:szCs w:val="22"/>
              </w:rPr>
            </w:pPr>
            <w:r w:rsidRPr="008669C3">
              <w:rPr>
                <w:color w:val="000000"/>
                <w:sz w:val="22"/>
                <w:szCs w:val="22"/>
              </w:rPr>
              <w:t>23</w:t>
            </w:r>
            <w:r w:rsidR="00326FEB" w:rsidRPr="008669C3">
              <w:rPr>
                <w:color w:val="000000"/>
                <w:sz w:val="22"/>
                <w:szCs w:val="22"/>
              </w:rPr>
              <w:t>,</w:t>
            </w:r>
            <w:r w:rsidRPr="008669C3">
              <w:rPr>
                <w:color w:val="000000"/>
                <w:sz w:val="22"/>
                <w:szCs w:val="22"/>
              </w:rPr>
              <w:t>519.970</w:t>
            </w:r>
          </w:p>
        </w:tc>
        <w:tc>
          <w:tcPr>
            <w:tcW w:w="632" w:type="pct"/>
            <w:tcBorders>
              <w:top w:val="nil"/>
              <w:left w:val="nil"/>
              <w:bottom w:val="nil"/>
              <w:right w:val="nil"/>
            </w:tcBorders>
            <w:shd w:val="clear" w:color="auto" w:fill="auto"/>
            <w:noWrap/>
            <w:vAlign w:val="bottom"/>
            <w:hideMark/>
          </w:tcPr>
          <w:p w14:paraId="7A61783A" w14:textId="0AF733E3" w:rsidR="00CC3715" w:rsidRPr="008669C3" w:rsidRDefault="00CC3715" w:rsidP="00CC3715">
            <w:pPr>
              <w:jc w:val="center"/>
              <w:rPr>
                <w:sz w:val="22"/>
                <w:szCs w:val="22"/>
              </w:rPr>
            </w:pPr>
            <w:r w:rsidRPr="008669C3">
              <w:rPr>
                <w:color w:val="000000"/>
                <w:sz w:val="22"/>
                <w:szCs w:val="22"/>
              </w:rPr>
              <w:t>844.082</w:t>
            </w:r>
          </w:p>
        </w:tc>
        <w:tc>
          <w:tcPr>
            <w:tcW w:w="632" w:type="pct"/>
            <w:tcBorders>
              <w:top w:val="nil"/>
              <w:left w:val="nil"/>
              <w:bottom w:val="nil"/>
              <w:right w:val="nil"/>
            </w:tcBorders>
            <w:shd w:val="clear" w:color="auto" w:fill="auto"/>
            <w:noWrap/>
            <w:vAlign w:val="bottom"/>
            <w:hideMark/>
          </w:tcPr>
          <w:p w14:paraId="084E3E7D" w14:textId="6B744A12" w:rsidR="00CC3715" w:rsidRPr="008669C3" w:rsidRDefault="00CC3715" w:rsidP="00CC3715">
            <w:pPr>
              <w:jc w:val="center"/>
              <w:rPr>
                <w:sz w:val="22"/>
                <w:szCs w:val="22"/>
              </w:rPr>
            </w:pPr>
            <w:r w:rsidRPr="008669C3">
              <w:rPr>
                <w:color w:val="000000"/>
                <w:sz w:val="22"/>
                <w:szCs w:val="22"/>
              </w:rPr>
              <w:t>2</w:t>
            </w:r>
            <w:r w:rsidR="00326FEB" w:rsidRPr="008669C3">
              <w:rPr>
                <w:color w:val="000000"/>
                <w:sz w:val="22"/>
                <w:szCs w:val="22"/>
              </w:rPr>
              <w:t>,</w:t>
            </w:r>
            <w:r w:rsidRPr="008669C3">
              <w:rPr>
                <w:color w:val="000000"/>
                <w:sz w:val="22"/>
                <w:szCs w:val="22"/>
              </w:rPr>
              <w:t>061.625</w:t>
            </w:r>
          </w:p>
        </w:tc>
        <w:tc>
          <w:tcPr>
            <w:tcW w:w="630" w:type="pct"/>
            <w:tcBorders>
              <w:top w:val="nil"/>
              <w:left w:val="nil"/>
              <w:bottom w:val="nil"/>
              <w:right w:val="nil"/>
            </w:tcBorders>
            <w:shd w:val="clear" w:color="auto" w:fill="auto"/>
            <w:noWrap/>
            <w:vAlign w:val="bottom"/>
            <w:hideMark/>
          </w:tcPr>
          <w:p w14:paraId="3CBFE6CD" w14:textId="674A8262" w:rsidR="00CC3715" w:rsidRPr="008669C3" w:rsidRDefault="00CC3715" w:rsidP="00CC3715">
            <w:pPr>
              <w:jc w:val="center"/>
              <w:rPr>
                <w:sz w:val="22"/>
                <w:szCs w:val="22"/>
              </w:rPr>
            </w:pPr>
            <w:r w:rsidRPr="008669C3">
              <w:rPr>
                <w:color w:val="000000"/>
                <w:sz w:val="22"/>
                <w:szCs w:val="22"/>
              </w:rPr>
              <w:t>6</w:t>
            </w:r>
            <w:r w:rsidR="00326FEB" w:rsidRPr="008669C3">
              <w:rPr>
                <w:color w:val="000000"/>
                <w:sz w:val="22"/>
                <w:szCs w:val="22"/>
              </w:rPr>
              <w:t>,</w:t>
            </w:r>
            <w:r w:rsidRPr="008669C3">
              <w:rPr>
                <w:color w:val="000000"/>
                <w:sz w:val="22"/>
                <w:szCs w:val="22"/>
              </w:rPr>
              <w:t>068.784</w:t>
            </w:r>
          </w:p>
        </w:tc>
      </w:tr>
      <w:tr w:rsidR="00CC3715" w:rsidRPr="008669C3" w14:paraId="2BB59070" w14:textId="77777777" w:rsidTr="006A4DF9">
        <w:trPr>
          <w:trHeight w:val="20"/>
        </w:trPr>
        <w:tc>
          <w:tcPr>
            <w:tcW w:w="1377" w:type="pct"/>
            <w:tcBorders>
              <w:top w:val="nil"/>
              <w:left w:val="nil"/>
              <w:bottom w:val="nil"/>
              <w:right w:val="nil"/>
            </w:tcBorders>
            <w:shd w:val="clear" w:color="auto" w:fill="auto"/>
            <w:noWrap/>
            <w:vAlign w:val="center"/>
            <w:hideMark/>
          </w:tcPr>
          <w:p w14:paraId="68FEA6A8" w14:textId="77777777" w:rsidR="00CC3715" w:rsidRPr="008669C3" w:rsidRDefault="00CC3715" w:rsidP="00CC3715">
            <w:pPr>
              <w:rPr>
                <w:iCs/>
                <w:sz w:val="22"/>
                <w:szCs w:val="22"/>
              </w:rPr>
            </w:pPr>
            <w:r w:rsidRPr="008669C3">
              <w:rPr>
                <w:iCs/>
                <w:sz w:val="22"/>
                <w:szCs w:val="22"/>
              </w:rPr>
              <w:t>ROA</w:t>
            </w:r>
          </w:p>
        </w:tc>
        <w:tc>
          <w:tcPr>
            <w:tcW w:w="398" w:type="pct"/>
            <w:tcBorders>
              <w:top w:val="nil"/>
              <w:left w:val="nil"/>
              <w:bottom w:val="nil"/>
              <w:right w:val="nil"/>
            </w:tcBorders>
            <w:shd w:val="clear" w:color="auto" w:fill="auto"/>
            <w:noWrap/>
            <w:vAlign w:val="bottom"/>
            <w:hideMark/>
          </w:tcPr>
          <w:p w14:paraId="0C4C75EB" w14:textId="25A7D7D7" w:rsidR="00CC3715" w:rsidRPr="008669C3" w:rsidRDefault="00CC3715" w:rsidP="00CC3715">
            <w:pPr>
              <w:jc w:val="center"/>
              <w:rPr>
                <w:sz w:val="22"/>
                <w:szCs w:val="22"/>
              </w:rPr>
            </w:pPr>
            <w:r w:rsidRPr="008669C3">
              <w:rPr>
                <w:sz w:val="22"/>
                <w:szCs w:val="22"/>
              </w:rPr>
              <w:t>9176</w:t>
            </w:r>
          </w:p>
        </w:tc>
        <w:tc>
          <w:tcPr>
            <w:tcW w:w="632" w:type="pct"/>
            <w:tcBorders>
              <w:top w:val="nil"/>
              <w:left w:val="nil"/>
              <w:bottom w:val="nil"/>
              <w:right w:val="nil"/>
            </w:tcBorders>
            <w:shd w:val="clear" w:color="auto" w:fill="auto"/>
            <w:noWrap/>
            <w:vAlign w:val="bottom"/>
            <w:hideMark/>
          </w:tcPr>
          <w:p w14:paraId="6C5467A6" w14:textId="0E00B872" w:rsidR="00CC3715" w:rsidRPr="008669C3" w:rsidRDefault="00CC3715" w:rsidP="00CC3715">
            <w:pPr>
              <w:jc w:val="center"/>
              <w:rPr>
                <w:sz w:val="22"/>
                <w:szCs w:val="22"/>
              </w:rPr>
            </w:pPr>
            <w:r w:rsidRPr="008669C3">
              <w:rPr>
                <w:sz w:val="22"/>
                <w:szCs w:val="22"/>
              </w:rPr>
              <w:t>0.141</w:t>
            </w:r>
          </w:p>
        </w:tc>
        <w:tc>
          <w:tcPr>
            <w:tcW w:w="699" w:type="pct"/>
            <w:tcBorders>
              <w:top w:val="nil"/>
              <w:left w:val="nil"/>
              <w:bottom w:val="nil"/>
              <w:right w:val="nil"/>
            </w:tcBorders>
            <w:shd w:val="clear" w:color="auto" w:fill="auto"/>
            <w:noWrap/>
            <w:vAlign w:val="bottom"/>
            <w:hideMark/>
          </w:tcPr>
          <w:p w14:paraId="7D193CBE" w14:textId="2D449195" w:rsidR="00CC3715" w:rsidRPr="008669C3" w:rsidRDefault="00CC3715" w:rsidP="00CC3715">
            <w:pPr>
              <w:jc w:val="center"/>
              <w:rPr>
                <w:sz w:val="22"/>
                <w:szCs w:val="22"/>
              </w:rPr>
            </w:pPr>
            <w:r w:rsidRPr="008669C3">
              <w:rPr>
                <w:sz w:val="22"/>
                <w:szCs w:val="22"/>
              </w:rPr>
              <w:t>0.074</w:t>
            </w:r>
          </w:p>
        </w:tc>
        <w:tc>
          <w:tcPr>
            <w:tcW w:w="632" w:type="pct"/>
            <w:tcBorders>
              <w:top w:val="nil"/>
              <w:left w:val="nil"/>
              <w:bottom w:val="nil"/>
              <w:right w:val="nil"/>
            </w:tcBorders>
            <w:shd w:val="clear" w:color="auto" w:fill="auto"/>
            <w:noWrap/>
            <w:vAlign w:val="bottom"/>
            <w:hideMark/>
          </w:tcPr>
          <w:p w14:paraId="4C3C4586" w14:textId="05A76F02" w:rsidR="00CC3715" w:rsidRPr="008669C3" w:rsidRDefault="00CC3715" w:rsidP="00CC3715">
            <w:pPr>
              <w:jc w:val="center"/>
              <w:rPr>
                <w:sz w:val="22"/>
                <w:szCs w:val="22"/>
              </w:rPr>
            </w:pPr>
            <w:r w:rsidRPr="008669C3">
              <w:rPr>
                <w:sz w:val="22"/>
                <w:szCs w:val="22"/>
              </w:rPr>
              <w:t>0.094</w:t>
            </w:r>
          </w:p>
        </w:tc>
        <w:tc>
          <w:tcPr>
            <w:tcW w:w="632" w:type="pct"/>
            <w:tcBorders>
              <w:top w:val="nil"/>
              <w:left w:val="nil"/>
              <w:bottom w:val="nil"/>
              <w:right w:val="nil"/>
            </w:tcBorders>
            <w:shd w:val="clear" w:color="auto" w:fill="auto"/>
            <w:noWrap/>
            <w:vAlign w:val="bottom"/>
            <w:hideMark/>
          </w:tcPr>
          <w:p w14:paraId="3F44134D" w14:textId="38E3BE55" w:rsidR="00CC3715" w:rsidRPr="008669C3" w:rsidRDefault="00CC3715" w:rsidP="00CC3715">
            <w:pPr>
              <w:jc w:val="center"/>
              <w:rPr>
                <w:sz w:val="22"/>
                <w:szCs w:val="22"/>
              </w:rPr>
            </w:pPr>
            <w:r w:rsidRPr="008669C3">
              <w:rPr>
                <w:sz w:val="22"/>
                <w:szCs w:val="22"/>
              </w:rPr>
              <w:t>0.133</w:t>
            </w:r>
          </w:p>
        </w:tc>
        <w:tc>
          <w:tcPr>
            <w:tcW w:w="630" w:type="pct"/>
            <w:tcBorders>
              <w:top w:val="nil"/>
              <w:left w:val="nil"/>
              <w:bottom w:val="nil"/>
              <w:right w:val="nil"/>
            </w:tcBorders>
            <w:shd w:val="clear" w:color="auto" w:fill="auto"/>
            <w:noWrap/>
            <w:vAlign w:val="bottom"/>
            <w:hideMark/>
          </w:tcPr>
          <w:p w14:paraId="31A540D9" w14:textId="5118A1A4" w:rsidR="00CC3715" w:rsidRPr="008669C3" w:rsidRDefault="00CC3715" w:rsidP="00CC3715">
            <w:pPr>
              <w:jc w:val="center"/>
              <w:rPr>
                <w:sz w:val="22"/>
                <w:szCs w:val="22"/>
              </w:rPr>
            </w:pPr>
            <w:r w:rsidRPr="008669C3">
              <w:rPr>
                <w:sz w:val="22"/>
                <w:szCs w:val="22"/>
              </w:rPr>
              <w:t>0.181</w:t>
            </w:r>
          </w:p>
        </w:tc>
      </w:tr>
      <w:tr w:rsidR="00CC3715" w:rsidRPr="008669C3" w14:paraId="6102C40F" w14:textId="77777777" w:rsidTr="006A4DF9">
        <w:trPr>
          <w:trHeight w:val="20"/>
        </w:trPr>
        <w:tc>
          <w:tcPr>
            <w:tcW w:w="1377" w:type="pct"/>
            <w:tcBorders>
              <w:top w:val="nil"/>
              <w:left w:val="nil"/>
              <w:bottom w:val="nil"/>
              <w:right w:val="nil"/>
            </w:tcBorders>
            <w:shd w:val="clear" w:color="auto" w:fill="auto"/>
            <w:noWrap/>
            <w:vAlign w:val="center"/>
            <w:hideMark/>
          </w:tcPr>
          <w:p w14:paraId="6F72D6BA" w14:textId="77777777" w:rsidR="00CC3715" w:rsidRPr="008669C3" w:rsidRDefault="00CC3715" w:rsidP="00CC3715">
            <w:pPr>
              <w:rPr>
                <w:iCs/>
                <w:sz w:val="22"/>
                <w:szCs w:val="22"/>
              </w:rPr>
            </w:pPr>
            <w:r w:rsidRPr="008669C3">
              <w:rPr>
                <w:iCs/>
                <w:sz w:val="22"/>
                <w:szCs w:val="22"/>
              </w:rPr>
              <w:t>Tobin's q</w:t>
            </w:r>
          </w:p>
        </w:tc>
        <w:tc>
          <w:tcPr>
            <w:tcW w:w="398" w:type="pct"/>
            <w:tcBorders>
              <w:top w:val="nil"/>
              <w:left w:val="nil"/>
              <w:bottom w:val="nil"/>
              <w:right w:val="nil"/>
            </w:tcBorders>
            <w:shd w:val="clear" w:color="auto" w:fill="auto"/>
            <w:noWrap/>
            <w:vAlign w:val="bottom"/>
            <w:hideMark/>
          </w:tcPr>
          <w:p w14:paraId="23A486B2" w14:textId="03BD1284" w:rsidR="00CC3715" w:rsidRPr="008669C3" w:rsidRDefault="00CC3715" w:rsidP="00CC3715">
            <w:pPr>
              <w:jc w:val="center"/>
              <w:rPr>
                <w:sz w:val="22"/>
                <w:szCs w:val="22"/>
              </w:rPr>
            </w:pPr>
            <w:r w:rsidRPr="008669C3">
              <w:rPr>
                <w:sz w:val="22"/>
                <w:szCs w:val="22"/>
              </w:rPr>
              <w:t>9176</w:t>
            </w:r>
          </w:p>
        </w:tc>
        <w:tc>
          <w:tcPr>
            <w:tcW w:w="632" w:type="pct"/>
            <w:tcBorders>
              <w:top w:val="nil"/>
              <w:left w:val="nil"/>
              <w:bottom w:val="nil"/>
              <w:right w:val="nil"/>
            </w:tcBorders>
            <w:shd w:val="clear" w:color="auto" w:fill="auto"/>
            <w:noWrap/>
            <w:vAlign w:val="bottom"/>
            <w:hideMark/>
          </w:tcPr>
          <w:p w14:paraId="79D02E81" w14:textId="3C593997" w:rsidR="00CC3715" w:rsidRPr="008669C3" w:rsidRDefault="00CC3715" w:rsidP="00CC3715">
            <w:pPr>
              <w:jc w:val="center"/>
              <w:rPr>
                <w:sz w:val="22"/>
                <w:szCs w:val="22"/>
              </w:rPr>
            </w:pPr>
            <w:r w:rsidRPr="008669C3">
              <w:rPr>
                <w:sz w:val="22"/>
                <w:szCs w:val="22"/>
              </w:rPr>
              <w:t>1.813</w:t>
            </w:r>
          </w:p>
        </w:tc>
        <w:tc>
          <w:tcPr>
            <w:tcW w:w="699" w:type="pct"/>
            <w:tcBorders>
              <w:top w:val="nil"/>
              <w:left w:val="nil"/>
              <w:bottom w:val="nil"/>
              <w:right w:val="nil"/>
            </w:tcBorders>
            <w:shd w:val="clear" w:color="auto" w:fill="auto"/>
            <w:noWrap/>
            <w:vAlign w:val="bottom"/>
            <w:hideMark/>
          </w:tcPr>
          <w:p w14:paraId="429514E2" w14:textId="02217EA9" w:rsidR="00CC3715" w:rsidRPr="008669C3" w:rsidRDefault="00CC3715" w:rsidP="00CC3715">
            <w:pPr>
              <w:jc w:val="center"/>
              <w:rPr>
                <w:sz w:val="22"/>
                <w:szCs w:val="22"/>
              </w:rPr>
            </w:pPr>
            <w:r w:rsidRPr="008669C3">
              <w:rPr>
                <w:sz w:val="22"/>
                <w:szCs w:val="22"/>
              </w:rPr>
              <w:t>0.914</w:t>
            </w:r>
          </w:p>
        </w:tc>
        <w:tc>
          <w:tcPr>
            <w:tcW w:w="632" w:type="pct"/>
            <w:tcBorders>
              <w:top w:val="nil"/>
              <w:left w:val="nil"/>
              <w:bottom w:val="nil"/>
              <w:right w:val="nil"/>
            </w:tcBorders>
            <w:shd w:val="clear" w:color="auto" w:fill="auto"/>
            <w:noWrap/>
            <w:vAlign w:val="bottom"/>
            <w:hideMark/>
          </w:tcPr>
          <w:p w14:paraId="6C4EEC0E" w14:textId="0581F533" w:rsidR="00CC3715" w:rsidRPr="008669C3" w:rsidRDefault="00CC3715" w:rsidP="00CC3715">
            <w:pPr>
              <w:jc w:val="center"/>
              <w:rPr>
                <w:sz w:val="22"/>
                <w:szCs w:val="22"/>
              </w:rPr>
            </w:pPr>
            <w:r w:rsidRPr="008669C3">
              <w:rPr>
                <w:sz w:val="22"/>
                <w:szCs w:val="22"/>
              </w:rPr>
              <w:t>1.204</w:t>
            </w:r>
          </w:p>
        </w:tc>
        <w:tc>
          <w:tcPr>
            <w:tcW w:w="632" w:type="pct"/>
            <w:tcBorders>
              <w:top w:val="nil"/>
              <w:left w:val="nil"/>
              <w:bottom w:val="nil"/>
              <w:right w:val="nil"/>
            </w:tcBorders>
            <w:shd w:val="clear" w:color="auto" w:fill="auto"/>
            <w:noWrap/>
            <w:vAlign w:val="bottom"/>
            <w:hideMark/>
          </w:tcPr>
          <w:p w14:paraId="2AC2B9A4" w14:textId="049F61BB" w:rsidR="00CC3715" w:rsidRPr="008669C3" w:rsidRDefault="00CC3715" w:rsidP="00CC3715">
            <w:pPr>
              <w:jc w:val="center"/>
              <w:rPr>
                <w:sz w:val="22"/>
                <w:szCs w:val="22"/>
              </w:rPr>
            </w:pPr>
            <w:r w:rsidRPr="008669C3">
              <w:rPr>
                <w:sz w:val="22"/>
                <w:szCs w:val="22"/>
              </w:rPr>
              <w:t>1.526</w:t>
            </w:r>
          </w:p>
        </w:tc>
        <w:tc>
          <w:tcPr>
            <w:tcW w:w="630" w:type="pct"/>
            <w:tcBorders>
              <w:top w:val="nil"/>
              <w:left w:val="nil"/>
              <w:bottom w:val="nil"/>
              <w:right w:val="nil"/>
            </w:tcBorders>
            <w:shd w:val="clear" w:color="auto" w:fill="auto"/>
            <w:noWrap/>
            <w:vAlign w:val="bottom"/>
            <w:hideMark/>
          </w:tcPr>
          <w:p w14:paraId="0B58996E" w14:textId="3020A02E" w:rsidR="00CC3715" w:rsidRPr="008669C3" w:rsidRDefault="00CC3715" w:rsidP="00CC3715">
            <w:pPr>
              <w:jc w:val="center"/>
              <w:rPr>
                <w:sz w:val="22"/>
                <w:szCs w:val="22"/>
              </w:rPr>
            </w:pPr>
            <w:r w:rsidRPr="008669C3">
              <w:rPr>
                <w:sz w:val="22"/>
                <w:szCs w:val="22"/>
              </w:rPr>
              <w:t>2.104</w:t>
            </w:r>
          </w:p>
        </w:tc>
      </w:tr>
      <w:tr w:rsidR="00CC3715" w:rsidRPr="008669C3" w14:paraId="2E3EF248" w14:textId="77777777" w:rsidTr="006A4DF9">
        <w:trPr>
          <w:trHeight w:val="20"/>
        </w:trPr>
        <w:tc>
          <w:tcPr>
            <w:tcW w:w="1377" w:type="pct"/>
            <w:tcBorders>
              <w:top w:val="nil"/>
              <w:left w:val="nil"/>
              <w:bottom w:val="nil"/>
              <w:right w:val="nil"/>
            </w:tcBorders>
            <w:shd w:val="clear" w:color="auto" w:fill="auto"/>
            <w:noWrap/>
            <w:vAlign w:val="center"/>
            <w:hideMark/>
          </w:tcPr>
          <w:p w14:paraId="42286F02" w14:textId="77777777" w:rsidR="00CC3715" w:rsidRPr="008669C3" w:rsidRDefault="00CC3715" w:rsidP="00CC3715">
            <w:pPr>
              <w:rPr>
                <w:iCs/>
                <w:sz w:val="22"/>
                <w:szCs w:val="22"/>
              </w:rPr>
            </w:pPr>
            <w:r w:rsidRPr="008669C3">
              <w:rPr>
                <w:iCs/>
                <w:sz w:val="22"/>
                <w:szCs w:val="22"/>
              </w:rPr>
              <w:t>Stock return</w:t>
            </w:r>
          </w:p>
        </w:tc>
        <w:tc>
          <w:tcPr>
            <w:tcW w:w="398" w:type="pct"/>
            <w:tcBorders>
              <w:top w:val="nil"/>
              <w:left w:val="nil"/>
              <w:bottom w:val="nil"/>
              <w:right w:val="nil"/>
            </w:tcBorders>
            <w:shd w:val="clear" w:color="auto" w:fill="auto"/>
            <w:noWrap/>
            <w:vAlign w:val="bottom"/>
            <w:hideMark/>
          </w:tcPr>
          <w:p w14:paraId="2437675C" w14:textId="1B5745E7" w:rsidR="00CC3715" w:rsidRPr="008669C3" w:rsidRDefault="00CC3715" w:rsidP="00CC3715">
            <w:pPr>
              <w:jc w:val="center"/>
              <w:rPr>
                <w:sz w:val="22"/>
                <w:szCs w:val="22"/>
              </w:rPr>
            </w:pPr>
            <w:r w:rsidRPr="008669C3">
              <w:rPr>
                <w:sz w:val="22"/>
                <w:szCs w:val="22"/>
              </w:rPr>
              <w:t>9176</w:t>
            </w:r>
          </w:p>
        </w:tc>
        <w:tc>
          <w:tcPr>
            <w:tcW w:w="632" w:type="pct"/>
            <w:tcBorders>
              <w:top w:val="nil"/>
              <w:left w:val="nil"/>
              <w:bottom w:val="nil"/>
              <w:right w:val="nil"/>
            </w:tcBorders>
            <w:shd w:val="clear" w:color="auto" w:fill="auto"/>
            <w:noWrap/>
            <w:vAlign w:val="bottom"/>
            <w:hideMark/>
          </w:tcPr>
          <w:p w14:paraId="7C8500C5" w14:textId="63F07588" w:rsidR="00CC3715" w:rsidRPr="008669C3" w:rsidRDefault="00CC3715" w:rsidP="00CC3715">
            <w:pPr>
              <w:jc w:val="center"/>
              <w:rPr>
                <w:sz w:val="22"/>
                <w:szCs w:val="22"/>
              </w:rPr>
            </w:pPr>
            <w:r w:rsidRPr="008669C3">
              <w:rPr>
                <w:sz w:val="22"/>
                <w:szCs w:val="22"/>
              </w:rPr>
              <w:t>0.138</w:t>
            </w:r>
          </w:p>
        </w:tc>
        <w:tc>
          <w:tcPr>
            <w:tcW w:w="699" w:type="pct"/>
            <w:tcBorders>
              <w:top w:val="nil"/>
              <w:left w:val="nil"/>
              <w:bottom w:val="nil"/>
              <w:right w:val="nil"/>
            </w:tcBorders>
            <w:shd w:val="clear" w:color="auto" w:fill="auto"/>
            <w:noWrap/>
            <w:vAlign w:val="bottom"/>
            <w:hideMark/>
          </w:tcPr>
          <w:p w14:paraId="157B894B" w14:textId="3033F63F" w:rsidR="00CC3715" w:rsidRPr="008669C3" w:rsidRDefault="00CC3715" w:rsidP="00CC3715">
            <w:pPr>
              <w:jc w:val="center"/>
              <w:rPr>
                <w:sz w:val="22"/>
                <w:szCs w:val="22"/>
              </w:rPr>
            </w:pPr>
            <w:r w:rsidRPr="008669C3">
              <w:rPr>
                <w:sz w:val="22"/>
                <w:szCs w:val="22"/>
              </w:rPr>
              <w:t>0.393</w:t>
            </w:r>
          </w:p>
        </w:tc>
        <w:tc>
          <w:tcPr>
            <w:tcW w:w="632" w:type="pct"/>
            <w:tcBorders>
              <w:top w:val="nil"/>
              <w:left w:val="nil"/>
              <w:bottom w:val="nil"/>
              <w:right w:val="nil"/>
            </w:tcBorders>
            <w:shd w:val="clear" w:color="auto" w:fill="auto"/>
            <w:noWrap/>
            <w:vAlign w:val="bottom"/>
            <w:hideMark/>
          </w:tcPr>
          <w:p w14:paraId="3F4EC24F" w14:textId="7F7706F2" w:rsidR="00CC3715" w:rsidRPr="008669C3" w:rsidRDefault="00CC3715" w:rsidP="00CC3715">
            <w:pPr>
              <w:jc w:val="center"/>
              <w:rPr>
                <w:sz w:val="22"/>
                <w:szCs w:val="22"/>
              </w:rPr>
            </w:pPr>
            <w:r w:rsidRPr="008669C3">
              <w:rPr>
                <w:sz w:val="22"/>
                <w:szCs w:val="22"/>
              </w:rPr>
              <w:t>-0.097</w:t>
            </w:r>
          </w:p>
        </w:tc>
        <w:tc>
          <w:tcPr>
            <w:tcW w:w="632" w:type="pct"/>
            <w:tcBorders>
              <w:top w:val="nil"/>
              <w:left w:val="nil"/>
              <w:bottom w:val="nil"/>
              <w:right w:val="nil"/>
            </w:tcBorders>
            <w:shd w:val="clear" w:color="auto" w:fill="auto"/>
            <w:noWrap/>
            <w:vAlign w:val="bottom"/>
            <w:hideMark/>
          </w:tcPr>
          <w:p w14:paraId="4B813627" w14:textId="3C18A1D1" w:rsidR="00CC3715" w:rsidRPr="008669C3" w:rsidRDefault="00CC3715" w:rsidP="00CC3715">
            <w:pPr>
              <w:jc w:val="center"/>
              <w:rPr>
                <w:sz w:val="22"/>
                <w:szCs w:val="22"/>
              </w:rPr>
            </w:pPr>
            <w:r w:rsidRPr="008669C3">
              <w:rPr>
                <w:sz w:val="22"/>
                <w:szCs w:val="22"/>
              </w:rPr>
              <w:t>0.117</w:t>
            </w:r>
          </w:p>
        </w:tc>
        <w:tc>
          <w:tcPr>
            <w:tcW w:w="630" w:type="pct"/>
            <w:tcBorders>
              <w:top w:val="nil"/>
              <w:left w:val="nil"/>
              <w:bottom w:val="nil"/>
              <w:right w:val="nil"/>
            </w:tcBorders>
            <w:shd w:val="clear" w:color="auto" w:fill="auto"/>
            <w:noWrap/>
            <w:vAlign w:val="bottom"/>
            <w:hideMark/>
          </w:tcPr>
          <w:p w14:paraId="37074DC3" w14:textId="032D7703" w:rsidR="00CC3715" w:rsidRPr="008669C3" w:rsidRDefault="00CC3715" w:rsidP="00CC3715">
            <w:pPr>
              <w:jc w:val="center"/>
              <w:rPr>
                <w:sz w:val="22"/>
                <w:szCs w:val="22"/>
              </w:rPr>
            </w:pPr>
            <w:r w:rsidRPr="008669C3">
              <w:rPr>
                <w:sz w:val="22"/>
                <w:szCs w:val="22"/>
              </w:rPr>
              <w:t>0.331</w:t>
            </w:r>
          </w:p>
        </w:tc>
      </w:tr>
      <w:tr w:rsidR="00CC3715" w:rsidRPr="008669C3" w14:paraId="14059F65" w14:textId="77777777" w:rsidTr="006A4DF9">
        <w:trPr>
          <w:trHeight w:val="20"/>
        </w:trPr>
        <w:tc>
          <w:tcPr>
            <w:tcW w:w="1377" w:type="pct"/>
            <w:tcBorders>
              <w:top w:val="nil"/>
              <w:left w:val="nil"/>
              <w:bottom w:val="nil"/>
              <w:right w:val="nil"/>
            </w:tcBorders>
            <w:shd w:val="clear" w:color="auto" w:fill="auto"/>
            <w:noWrap/>
            <w:vAlign w:val="center"/>
            <w:hideMark/>
          </w:tcPr>
          <w:p w14:paraId="3FE16FB9" w14:textId="77777777" w:rsidR="00CC3715" w:rsidRPr="008669C3" w:rsidRDefault="00CC3715" w:rsidP="00CC3715">
            <w:pPr>
              <w:rPr>
                <w:iCs/>
                <w:sz w:val="22"/>
                <w:szCs w:val="22"/>
              </w:rPr>
            </w:pPr>
            <w:r w:rsidRPr="008669C3">
              <w:rPr>
                <w:iCs/>
                <w:sz w:val="22"/>
                <w:szCs w:val="22"/>
              </w:rPr>
              <w:t xml:space="preserve">Volatility </w:t>
            </w:r>
          </w:p>
        </w:tc>
        <w:tc>
          <w:tcPr>
            <w:tcW w:w="398" w:type="pct"/>
            <w:tcBorders>
              <w:top w:val="nil"/>
              <w:left w:val="nil"/>
              <w:bottom w:val="nil"/>
              <w:right w:val="nil"/>
            </w:tcBorders>
            <w:shd w:val="clear" w:color="auto" w:fill="auto"/>
            <w:noWrap/>
            <w:vAlign w:val="bottom"/>
            <w:hideMark/>
          </w:tcPr>
          <w:p w14:paraId="4687F58E" w14:textId="3B34A830" w:rsidR="00CC3715" w:rsidRPr="008669C3" w:rsidRDefault="00CC3715" w:rsidP="00CC3715">
            <w:pPr>
              <w:jc w:val="center"/>
              <w:rPr>
                <w:sz w:val="22"/>
                <w:szCs w:val="22"/>
              </w:rPr>
            </w:pPr>
            <w:r w:rsidRPr="008669C3">
              <w:rPr>
                <w:sz w:val="22"/>
                <w:szCs w:val="22"/>
              </w:rPr>
              <w:t>9176</w:t>
            </w:r>
          </w:p>
        </w:tc>
        <w:tc>
          <w:tcPr>
            <w:tcW w:w="632" w:type="pct"/>
            <w:tcBorders>
              <w:top w:val="nil"/>
              <w:left w:val="nil"/>
              <w:bottom w:val="nil"/>
              <w:right w:val="nil"/>
            </w:tcBorders>
            <w:shd w:val="clear" w:color="auto" w:fill="auto"/>
            <w:noWrap/>
            <w:vAlign w:val="bottom"/>
            <w:hideMark/>
          </w:tcPr>
          <w:p w14:paraId="68E43142" w14:textId="1D33878D" w:rsidR="00CC3715" w:rsidRPr="008669C3" w:rsidRDefault="00CC3715" w:rsidP="00CC3715">
            <w:pPr>
              <w:jc w:val="center"/>
              <w:rPr>
                <w:sz w:val="22"/>
                <w:szCs w:val="22"/>
              </w:rPr>
            </w:pPr>
            <w:r w:rsidRPr="008669C3">
              <w:rPr>
                <w:sz w:val="22"/>
                <w:szCs w:val="22"/>
              </w:rPr>
              <w:t>0.343</w:t>
            </w:r>
          </w:p>
        </w:tc>
        <w:tc>
          <w:tcPr>
            <w:tcW w:w="699" w:type="pct"/>
            <w:tcBorders>
              <w:top w:val="nil"/>
              <w:left w:val="nil"/>
              <w:bottom w:val="nil"/>
              <w:right w:val="nil"/>
            </w:tcBorders>
            <w:shd w:val="clear" w:color="auto" w:fill="auto"/>
            <w:noWrap/>
            <w:vAlign w:val="bottom"/>
            <w:hideMark/>
          </w:tcPr>
          <w:p w14:paraId="1542A7AA" w14:textId="2ECA1387" w:rsidR="00CC3715" w:rsidRPr="008669C3" w:rsidRDefault="00CC3715" w:rsidP="00CC3715">
            <w:pPr>
              <w:jc w:val="center"/>
              <w:rPr>
                <w:sz w:val="22"/>
                <w:szCs w:val="22"/>
              </w:rPr>
            </w:pPr>
            <w:r w:rsidRPr="008669C3">
              <w:rPr>
                <w:sz w:val="22"/>
                <w:szCs w:val="22"/>
              </w:rPr>
              <w:t>0.184</w:t>
            </w:r>
          </w:p>
        </w:tc>
        <w:tc>
          <w:tcPr>
            <w:tcW w:w="632" w:type="pct"/>
            <w:tcBorders>
              <w:top w:val="nil"/>
              <w:left w:val="nil"/>
              <w:bottom w:val="nil"/>
              <w:right w:val="nil"/>
            </w:tcBorders>
            <w:shd w:val="clear" w:color="auto" w:fill="auto"/>
            <w:noWrap/>
            <w:vAlign w:val="bottom"/>
            <w:hideMark/>
          </w:tcPr>
          <w:p w14:paraId="3926F3CF" w14:textId="746E51BA" w:rsidR="00CC3715" w:rsidRPr="008669C3" w:rsidRDefault="00CC3715" w:rsidP="00CC3715">
            <w:pPr>
              <w:jc w:val="center"/>
              <w:rPr>
                <w:sz w:val="22"/>
                <w:szCs w:val="22"/>
              </w:rPr>
            </w:pPr>
            <w:r w:rsidRPr="008669C3">
              <w:rPr>
                <w:sz w:val="22"/>
                <w:szCs w:val="22"/>
              </w:rPr>
              <w:t>0.215</w:t>
            </w:r>
          </w:p>
        </w:tc>
        <w:tc>
          <w:tcPr>
            <w:tcW w:w="632" w:type="pct"/>
            <w:tcBorders>
              <w:top w:val="nil"/>
              <w:left w:val="nil"/>
              <w:bottom w:val="nil"/>
              <w:right w:val="nil"/>
            </w:tcBorders>
            <w:shd w:val="clear" w:color="auto" w:fill="auto"/>
            <w:noWrap/>
            <w:vAlign w:val="bottom"/>
            <w:hideMark/>
          </w:tcPr>
          <w:p w14:paraId="266417E1" w14:textId="51944733" w:rsidR="00CC3715" w:rsidRPr="008669C3" w:rsidRDefault="00CC3715" w:rsidP="00CC3715">
            <w:pPr>
              <w:jc w:val="center"/>
              <w:rPr>
                <w:sz w:val="22"/>
                <w:szCs w:val="22"/>
              </w:rPr>
            </w:pPr>
            <w:r w:rsidRPr="008669C3">
              <w:rPr>
                <w:sz w:val="22"/>
                <w:szCs w:val="22"/>
              </w:rPr>
              <w:t>0.298</w:t>
            </w:r>
          </w:p>
        </w:tc>
        <w:tc>
          <w:tcPr>
            <w:tcW w:w="630" w:type="pct"/>
            <w:tcBorders>
              <w:top w:val="nil"/>
              <w:left w:val="nil"/>
              <w:bottom w:val="nil"/>
              <w:right w:val="nil"/>
            </w:tcBorders>
            <w:shd w:val="clear" w:color="auto" w:fill="auto"/>
            <w:noWrap/>
            <w:vAlign w:val="bottom"/>
            <w:hideMark/>
          </w:tcPr>
          <w:p w14:paraId="68F4D7BF" w14:textId="7AFD8DFB" w:rsidR="00CC3715" w:rsidRPr="008669C3" w:rsidRDefault="00CC3715" w:rsidP="00CC3715">
            <w:pPr>
              <w:jc w:val="center"/>
              <w:rPr>
                <w:sz w:val="22"/>
                <w:szCs w:val="22"/>
              </w:rPr>
            </w:pPr>
            <w:r w:rsidRPr="008669C3">
              <w:rPr>
                <w:sz w:val="22"/>
                <w:szCs w:val="22"/>
              </w:rPr>
              <w:t>0.422</w:t>
            </w:r>
          </w:p>
        </w:tc>
      </w:tr>
      <w:tr w:rsidR="00CC3715" w:rsidRPr="008669C3" w14:paraId="54EF7841" w14:textId="77777777" w:rsidTr="006A4DF9">
        <w:trPr>
          <w:trHeight w:val="20"/>
        </w:trPr>
        <w:tc>
          <w:tcPr>
            <w:tcW w:w="1377" w:type="pct"/>
            <w:tcBorders>
              <w:top w:val="nil"/>
              <w:left w:val="nil"/>
              <w:bottom w:val="nil"/>
              <w:right w:val="nil"/>
            </w:tcBorders>
            <w:shd w:val="clear" w:color="auto" w:fill="auto"/>
            <w:noWrap/>
            <w:vAlign w:val="bottom"/>
          </w:tcPr>
          <w:p w14:paraId="40FFCA02" w14:textId="65DD2962" w:rsidR="00CC3715" w:rsidRPr="008669C3" w:rsidRDefault="00CC3715" w:rsidP="00CC3715">
            <w:pPr>
              <w:rPr>
                <w:iCs/>
                <w:sz w:val="22"/>
                <w:szCs w:val="22"/>
              </w:rPr>
            </w:pPr>
            <w:r w:rsidRPr="008669C3">
              <w:rPr>
                <w:iCs/>
                <w:sz w:val="22"/>
                <w:szCs w:val="22"/>
              </w:rPr>
              <w:t>Z-score</w:t>
            </w:r>
          </w:p>
        </w:tc>
        <w:tc>
          <w:tcPr>
            <w:tcW w:w="398" w:type="pct"/>
            <w:tcBorders>
              <w:top w:val="nil"/>
              <w:left w:val="nil"/>
              <w:bottom w:val="nil"/>
              <w:right w:val="nil"/>
            </w:tcBorders>
            <w:shd w:val="clear" w:color="auto" w:fill="auto"/>
            <w:noWrap/>
            <w:vAlign w:val="bottom"/>
          </w:tcPr>
          <w:p w14:paraId="2FF59036" w14:textId="6C3CD4A9" w:rsidR="00CC3715" w:rsidRPr="008669C3" w:rsidRDefault="00CC3715" w:rsidP="00CC3715">
            <w:pPr>
              <w:jc w:val="center"/>
              <w:rPr>
                <w:sz w:val="22"/>
                <w:szCs w:val="22"/>
              </w:rPr>
            </w:pPr>
            <w:r w:rsidRPr="008669C3">
              <w:rPr>
                <w:sz w:val="22"/>
                <w:szCs w:val="22"/>
              </w:rPr>
              <w:t>9176</w:t>
            </w:r>
          </w:p>
        </w:tc>
        <w:tc>
          <w:tcPr>
            <w:tcW w:w="632" w:type="pct"/>
            <w:tcBorders>
              <w:top w:val="nil"/>
              <w:left w:val="nil"/>
              <w:bottom w:val="nil"/>
              <w:right w:val="nil"/>
            </w:tcBorders>
            <w:shd w:val="clear" w:color="auto" w:fill="auto"/>
            <w:noWrap/>
            <w:vAlign w:val="bottom"/>
          </w:tcPr>
          <w:p w14:paraId="7AAA2727" w14:textId="74B7489C" w:rsidR="00CC3715" w:rsidRPr="008669C3" w:rsidRDefault="00CC3715" w:rsidP="00CC3715">
            <w:pPr>
              <w:jc w:val="center"/>
              <w:rPr>
                <w:sz w:val="22"/>
                <w:szCs w:val="22"/>
              </w:rPr>
            </w:pPr>
            <w:r w:rsidRPr="008669C3">
              <w:rPr>
                <w:sz w:val="22"/>
                <w:szCs w:val="22"/>
              </w:rPr>
              <w:t>0.068</w:t>
            </w:r>
          </w:p>
        </w:tc>
        <w:tc>
          <w:tcPr>
            <w:tcW w:w="699" w:type="pct"/>
            <w:tcBorders>
              <w:top w:val="nil"/>
              <w:left w:val="nil"/>
              <w:bottom w:val="nil"/>
              <w:right w:val="nil"/>
            </w:tcBorders>
            <w:shd w:val="clear" w:color="auto" w:fill="auto"/>
            <w:noWrap/>
            <w:vAlign w:val="bottom"/>
          </w:tcPr>
          <w:p w14:paraId="6CAD0491" w14:textId="36697432" w:rsidR="00CC3715" w:rsidRPr="008669C3" w:rsidRDefault="00CC3715" w:rsidP="00CC3715">
            <w:pPr>
              <w:jc w:val="center"/>
              <w:rPr>
                <w:sz w:val="22"/>
                <w:szCs w:val="22"/>
              </w:rPr>
            </w:pPr>
            <w:r w:rsidRPr="008669C3">
              <w:rPr>
                <w:sz w:val="22"/>
                <w:szCs w:val="22"/>
              </w:rPr>
              <w:t>0.324</w:t>
            </w:r>
          </w:p>
        </w:tc>
        <w:tc>
          <w:tcPr>
            <w:tcW w:w="632" w:type="pct"/>
            <w:tcBorders>
              <w:top w:val="nil"/>
              <w:left w:val="nil"/>
              <w:bottom w:val="nil"/>
              <w:right w:val="nil"/>
            </w:tcBorders>
            <w:shd w:val="clear" w:color="auto" w:fill="auto"/>
            <w:noWrap/>
            <w:vAlign w:val="bottom"/>
          </w:tcPr>
          <w:p w14:paraId="44952330" w14:textId="069B6ED2" w:rsidR="00CC3715" w:rsidRPr="008669C3" w:rsidRDefault="00CC3715" w:rsidP="00CC3715">
            <w:pPr>
              <w:jc w:val="center"/>
              <w:rPr>
                <w:sz w:val="22"/>
                <w:szCs w:val="22"/>
              </w:rPr>
            </w:pPr>
            <w:r w:rsidRPr="008669C3">
              <w:rPr>
                <w:sz w:val="22"/>
                <w:szCs w:val="22"/>
              </w:rPr>
              <w:t>0.003</w:t>
            </w:r>
          </w:p>
        </w:tc>
        <w:tc>
          <w:tcPr>
            <w:tcW w:w="632" w:type="pct"/>
            <w:tcBorders>
              <w:top w:val="nil"/>
              <w:left w:val="nil"/>
              <w:bottom w:val="nil"/>
              <w:right w:val="nil"/>
            </w:tcBorders>
            <w:shd w:val="clear" w:color="auto" w:fill="auto"/>
            <w:noWrap/>
            <w:vAlign w:val="bottom"/>
          </w:tcPr>
          <w:p w14:paraId="2873D3A9" w14:textId="13F71ACD" w:rsidR="00CC3715" w:rsidRPr="008669C3" w:rsidRDefault="00CC3715" w:rsidP="00CC3715">
            <w:pPr>
              <w:jc w:val="center"/>
              <w:rPr>
                <w:sz w:val="22"/>
                <w:szCs w:val="22"/>
              </w:rPr>
            </w:pPr>
            <w:r w:rsidRPr="008669C3">
              <w:rPr>
                <w:sz w:val="22"/>
                <w:szCs w:val="22"/>
              </w:rPr>
              <w:t>0.005</w:t>
            </w:r>
          </w:p>
        </w:tc>
        <w:tc>
          <w:tcPr>
            <w:tcW w:w="630" w:type="pct"/>
            <w:tcBorders>
              <w:top w:val="nil"/>
              <w:left w:val="nil"/>
              <w:bottom w:val="nil"/>
              <w:right w:val="nil"/>
            </w:tcBorders>
            <w:shd w:val="clear" w:color="auto" w:fill="auto"/>
            <w:noWrap/>
            <w:vAlign w:val="bottom"/>
          </w:tcPr>
          <w:p w14:paraId="7E8BD175" w14:textId="09CBD9E8" w:rsidR="00CC3715" w:rsidRPr="008669C3" w:rsidRDefault="00CC3715" w:rsidP="00CC3715">
            <w:pPr>
              <w:jc w:val="center"/>
              <w:rPr>
                <w:sz w:val="22"/>
                <w:szCs w:val="22"/>
              </w:rPr>
            </w:pPr>
            <w:r w:rsidRPr="008669C3">
              <w:rPr>
                <w:sz w:val="22"/>
                <w:szCs w:val="22"/>
              </w:rPr>
              <w:t>0.010</w:t>
            </w:r>
          </w:p>
        </w:tc>
      </w:tr>
      <w:tr w:rsidR="00CC3715" w:rsidRPr="008669C3" w14:paraId="38764BCA" w14:textId="77777777" w:rsidTr="006A4DF9">
        <w:trPr>
          <w:trHeight w:val="20"/>
        </w:trPr>
        <w:tc>
          <w:tcPr>
            <w:tcW w:w="1377" w:type="pct"/>
            <w:tcBorders>
              <w:top w:val="nil"/>
              <w:left w:val="nil"/>
              <w:bottom w:val="nil"/>
              <w:right w:val="nil"/>
            </w:tcBorders>
            <w:shd w:val="clear" w:color="auto" w:fill="auto"/>
            <w:noWrap/>
            <w:vAlign w:val="bottom"/>
          </w:tcPr>
          <w:p w14:paraId="01E52E1C" w14:textId="708982F8" w:rsidR="00CC3715" w:rsidRPr="008669C3" w:rsidRDefault="00CC3715" w:rsidP="00CC3715">
            <w:pPr>
              <w:rPr>
                <w:iCs/>
                <w:sz w:val="22"/>
                <w:szCs w:val="22"/>
              </w:rPr>
            </w:pPr>
            <w:r w:rsidRPr="008669C3">
              <w:rPr>
                <w:iCs/>
                <w:sz w:val="22"/>
                <w:szCs w:val="22"/>
              </w:rPr>
              <w:t>KZ index</w:t>
            </w:r>
          </w:p>
        </w:tc>
        <w:tc>
          <w:tcPr>
            <w:tcW w:w="398" w:type="pct"/>
            <w:tcBorders>
              <w:top w:val="nil"/>
              <w:left w:val="nil"/>
              <w:bottom w:val="nil"/>
              <w:right w:val="nil"/>
            </w:tcBorders>
            <w:shd w:val="clear" w:color="auto" w:fill="auto"/>
            <w:noWrap/>
            <w:vAlign w:val="bottom"/>
          </w:tcPr>
          <w:p w14:paraId="50268924" w14:textId="6C734BEE" w:rsidR="00CC3715" w:rsidRPr="008669C3" w:rsidRDefault="00CC3715" w:rsidP="00CC3715">
            <w:pPr>
              <w:jc w:val="center"/>
              <w:rPr>
                <w:sz w:val="22"/>
                <w:szCs w:val="22"/>
              </w:rPr>
            </w:pPr>
            <w:r w:rsidRPr="008669C3">
              <w:rPr>
                <w:sz w:val="22"/>
                <w:szCs w:val="22"/>
              </w:rPr>
              <w:t>9176</w:t>
            </w:r>
          </w:p>
        </w:tc>
        <w:tc>
          <w:tcPr>
            <w:tcW w:w="632" w:type="pct"/>
            <w:tcBorders>
              <w:top w:val="nil"/>
              <w:left w:val="nil"/>
              <w:bottom w:val="nil"/>
              <w:right w:val="nil"/>
            </w:tcBorders>
            <w:shd w:val="clear" w:color="auto" w:fill="auto"/>
            <w:noWrap/>
            <w:vAlign w:val="bottom"/>
          </w:tcPr>
          <w:p w14:paraId="716800EB" w14:textId="1E34E193" w:rsidR="00CC3715" w:rsidRPr="008669C3" w:rsidRDefault="00CC3715" w:rsidP="00CC3715">
            <w:pPr>
              <w:jc w:val="center"/>
              <w:rPr>
                <w:sz w:val="22"/>
                <w:szCs w:val="22"/>
              </w:rPr>
            </w:pPr>
            <w:r w:rsidRPr="008669C3">
              <w:rPr>
                <w:sz w:val="22"/>
                <w:szCs w:val="22"/>
              </w:rPr>
              <w:t>1.981</w:t>
            </w:r>
          </w:p>
        </w:tc>
        <w:tc>
          <w:tcPr>
            <w:tcW w:w="699" w:type="pct"/>
            <w:tcBorders>
              <w:top w:val="nil"/>
              <w:left w:val="nil"/>
              <w:bottom w:val="nil"/>
              <w:right w:val="nil"/>
            </w:tcBorders>
            <w:shd w:val="clear" w:color="auto" w:fill="auto"/>
            <w:noWrap/>
            <w:vAlign w:val="bottom"/>
          </w:tcPr>
          <w:p w14:paraId="3DF83C38" w14:textId="6DBE7E78" w:rsidR="00CC3715" w:rsidRPr="008669C3" w:rsidRDefault="00CC3715" w:rsidP="00CC3715">
            <w:pPr>
              <w:jc w:val="center"/>
              <w:rPr>
                <w:sz w:val="22"/>
                <w:szCs w:val="22"/>
              </w:rPr>
            </w:pPr>
            <w:r w:rsidRPr="008669C3">
              <w:rPr>
                <w:sz w:val="22"/>
                <w:szCs w:val="22"/>
              </w:rPr>
              <w:t>3.284</w:t>
            </w:r>
          </w:p>
        </w:tc>
        <w:tc>
          <w:tcPr>
            <w:tcW w:w="632" w:type="pct"/>
            <w:tcBorders>
              <w:top w:val="nil"/>
              <w:left w:val="nil"/>
              <w:bottom w:val="nil"/>
              <w:right w:val="nil"/>
            </w:tcBorders>
            <w:shd w:val="clear" w:color="auto" w:fill="auto"/>
            <w:noWrap/>
            <w:vAlign w:val="bottom"/>
          </w:tcPr>
          <w:p w14:paraId="772B0C21" w14:textId="4006B908" w:rsidR="00CC3715" w:rsidRPr="008669C3" w:rsidRDefault="00CC3715" w:rsidP="00CC3715">
            <w:pPr>
              <w:jc w:val="center"/>
              <w:rPr>
                <w:sz w:val="22"/>
                <w:szCs w:val="22"/>
              </w:rPr>
            </w:pPr>
            <w:r w:rsidRPr="008669C3">
              <w:rPr>
                <w:sz w:val="22"/>
                <w:szCs w:val="22"/>
              </w:rPr>
              <w:t>0.455</w:t>
            </w:r>
          </w:p>
        </w:tc>
        <w:tc>
          <w:tcPr>
            <w:tcW w:w="632" w:type="pct"/>
            <w:tcBorders>
              <w:top w:val="nil"/>
              <w:left w:val="nil"/>
              <w:bottom w:val="nil"/>
              <w:right w:val="nil"/>
            </w:tcBorders>
            <w:shd w:val="clear" w:color="auto" w:fill="auto"/>
            <w:noWrap/>
            <w:vAlign w:val="bottom"/>
          </w:tcPr>
          <w:p w14:paraId="497D3B62" w14:textId="5CF53010" w:rsidR="00CC3715" w:rsidRPr="008669C3" w:rsidRDefault="00CC3715" w:rsidP="00CC3715">
            <w:pPr>
              <w:jc w:val="center"/>
              <w:rPr>
                <w:sz w:val="22"/>
                <w:szCs w:val="22"/>
              </w:rPr>
            </w:pPr>
            <w:r w:rsidRPr="008669C3">
              <w:rPr>
                <w:sz w:val="22"/>
                <w:szCs w:val="22"/>
              </w:rPr>
              <w:t>1.362</w:t>
            </w:r>
          </w:p>
        </w:tc>
        <w:tc>
          <w:tcPr>
            <w:tcW w:w="630" w:type="pct"/>
            <w:tcBorders>
              <w:top w:val="nil"/>
              <w:left w:val="nil"/>
              <w:bottom w:val="nil"/>
              <w:right w:val="nil"/>
            </w:tcBorders>
            <w:shd w:val="clear" w:color="auto" w:fill="auto"/>
            <w:noWrap/>
            <w:vAlign w:val="bottom"/>
          </w:tcPr>
          <w:p w14:paraId="645BFFEE" w14:textId="4541AC94" w:rsidR="00CC3715" w:rsidRPr="008669C3" w:rsidRDefault="00CC3715" w:rsidP="00CC3715">
            <w:pPr>
              <w:jc w:val="center"/>
              <w:rPr>
                <w:sz w:val="22"/>
                <w:szCs w:val="22"/>
              </w:rPr>
            </w:pPr>
            <w:r w:rsidRPr="008669C3">
              <w:rPr>
                <w:sz w:val="22"/>
                <w:szCs w:val="22"/>
              </w:rPr>
              <w:t>2.678</w:t>
            </w:r>
          </w:p>
        </w:tc>
      </w:tr>
      <w:tr w:rsidR="00CC3715" w:rsidRPr="008669C3" w14:paraId="345F49B7" w14:textId="77777777" w:rsidTr="006A4DF9">
        <w:trPr>
          <w:trHeight w:val="20"/>
        </w:trPr>
        <w:tc>
          <w:tcPr>
            <w:tcW w:w="1377" w:type="pct"/>
            <w:tcBorders>
              <w:top w:val="nil"/>
              <w:left w:val="nil"/>
              <w:bottom w:val="nil"/>
              <w:right w:val="nil"/>
            </w:tcBorders>
            <w:shd w:val="clear" w:color="auto" w:fill="auto"/>
            <w:noWrap/>
            <w:vAlign w:val="bottom"/>
          </w:tcPr>
          <w:p w14:paraId="2D4667AA" w14:textId="66725349" w:rsidR="00CC3715" w:rsidRPr="008669C3" w:rsidRDefault="00CC3715" w:rsidP="00CC3715">
            <w:pPr>
              <w:rPr>
                <w:iCs/>
                <w:sz w:val="22"/>
                <w:szCs w:val="22"/>
              </w:rPr>
            </w:pPr>
            <w:r w:rsidRPr="008669C3">
              <w:rPr>
                <w:iCs/>
                <w:sz w:val="22"/>
                <w:szCs w:val="22"/>
              </w:rPr>
              <w:t>Bank debt</w:t>
            </w:r>
          </w:p>
        </w:tc>
        <w:tc>
          <w:tcPr>
            <w:tcW w:w="398" w:type="pct"/>
            <w:tcBorders>
              <w:top w:val="nil"/>
              <w:left w:val="nil"/>
              <w:bottom w:val="nil"/>
              <w:right w:val="nil"/>
            </w:tcBorders>
            <w:shd w:val="clear" w:color="auto" w:fill="auto"/>
            <w:noWrap/>
            <w:vAlign w:val="bottom"/>
          </w:tcPr>
          <w:p w14:paraId="0103B217" w14:textId="038690A5" w:rsidR="00CC3715" w:rsidRPr="008669C3" w:rsidRDefault="00CC3715" w:rsidP="00CC3715">
            <w:pPr>
              <w:jc w:val="center"/>
              <w:rPr>
                <w:sz w:val="22"/>
                <w:szCs w:val="22"/>
              </w:rPr>
            </w:pPr>
            <w:r w:rsidRPr="008669C3">
              <w:rPr>
                <w:sz w:val="22"/>
                <w:szCs w:val="22"/>
              </w:rPr>
              <w:t>9176</w:t>
            </w:r>
          </w:p>
        </w:tc>
        <w:tc>
          <w:tcPr>
            <w:tcW w:w="632" w:type="pct"/>
            <w:tcBorders>
              <w:top w:val="nil"/>
              <w:left w:val="nil"/>
              <w:bottom w:val="nil"/>
              <w:right w:val="nil"/>
            </w:tcBorders>
            <w:shd w:val="clear" w:color="auto" w:fill="auto"/>
            <w:noWrap/>
            <w:vAlign w:val="bottom"/>
          </w:tcPr>
          <w:p w14:paraId="05D3BADB" w14:textId="33C5A791" w:rsidR="00CC3715" w:rsidRPr="008669C3" w:rsidRDefault="00CC3715" w:rsidP="00CC3715">
            <w:pPr>
              <w:jc w:val="center"/>
              <w:rPr>
                <w:sz w:val="22"/>
                <w:szCs w:val="22"/>
              </w:rPr>
            </w:pPr>
            <w:r w:rsidRPr="008669C3">
              <w:rPr>
                <w:sz w:val="22"/>
                <w:szCs w:val="22"/>
              </w:rPr>
              <w:t>0.739</w:t>
            </w:r>
          </w:p>
        </w:tc>
        <w:tc>
          <w:tcPr>
            <w:tcW w:w="699" w:type="pct"/>
            <w:tcBorders>
              <w:top w:val="nil"/>
              <w:left w:val="nil"/>
              <w:bottom w:val="nil"/>
              <w:right w:val="nil"/>
            </w:tcBorders>
            <w:shd w:val="clear" w:color="auto" w:fill="auto"/>
            <w:noWrap/>
            <w:vAlign w:val="bottom"/>
          </w:tcPr>
          <w:p w14:paraId="26B41444" w14:textId="151C498D" w:rsidR="00CC3715" w:rsidRPr="008669C3" w:rsidRDefault="00CC3715" w:rsidP="00CC3715">
            <w:pPr>
              <w:jc w:val="center"/>
              <w:rPr>
                <w:sz w:val="22"/>
                <w:szCs w:val="22"/>
              </w:rPr>
            </w:pPr>
            <w:r w:rsidRPr="008669C3">
              <w:rPr>
                <w:sz w:val="22"/>
                <w:szCs w:val="22"/>
              </w:rPr>
              <w:t>0.427</w:t>
            </w:r>
          </w:p>
        </w:tc>
        <w:tc>
          <w:tcPr>
            <w:tcW w:w="632" w:type="pct"/>
            <w:tcBorders>
              <w:top w:val="nil"/>
              <w:left w:val="nil"/>
              <w:bottom w:val="nil"/>
              <w:right w:val="nil"/>
            </w:tcBorders>
            <w:shd w:val="clear" w:color="auto" w:fill="auto"/>
            <w:noWrap/>
            <w:vAlign w:val="bottom"/>
          </w:tcPr>
          <w:p w14:paraId="657A3639" w14:textId="793E68E8" w:rsidR="00CC3715" w:rsidRPr="008669C3" w:rsidRDefault="00CC3715" w:rsidP="00CC3715">
            <w:pPr>
              <w:jc w:val="center"/>
              <w:rPr>
                <w:sz w:val="22"/>
                <w:szCs w:val="22"/>
              </w:rPr>
            </w:pPr>
            <w:r w:rsidRPr="008669C3">
              <w:rPr>
                <w:sz w:val="22"/>
                <w:szCs w:val="22"/>
              </w:rPr>
              <w:t>1.000</w:t>
            </w:r>
          </w:p>
        </w:tc>
        <w:tc>
          <w:tcPr>
            <w:tcW w:w="632" w:type="pct"/>
            <w:tcBorders>
              <w:top w:val="nil"/>
              <w:left w:val="nil"/>
              <w:bottom w:val="nil"/>
              <w:right w:val="nil"/>
            </w:tcBorders>
            <w:shd w:val="clear" w:color="auto" w:fill="auto"/>
            <w:noWrap/>
            <w:vAlign w:val="bottom"/>
          </w:tcPr>
          <w:p w14:paraId="1C7F0821" w14:textId="6A4B7F72" w:rsidR="00CC3715" w:rsidRPr="008669C3" w:rsidRDefault="00CC3715" w:rsidP="00CC3715">
            <w:pPr>
              <w:jc w:val="center"/>
              <w:rPr>
                <w:sz w:val="22"/>
                <w:szCs w:val="22"/>
              </w:rPr>
            </w:pPr>
            <w:r w:rsidRPr="008669C3">
              <w:rPr>
                <w:sz w:val="22"/>
                <w:szCs w:val="22"/>
              </w:rPr>
              <w:t>1.000</w:t>
            </w:r>
          </w:p>
        </w:tc>
        <w:tc>
          <w:tcPr>
            <w:tcW w:w="630" w:type="pct"/>
            <w:tcBorders>
              <w:top w:val="nil"/>
              <w:left w:val="nil"/>
              <w:bottom w:val="nil"/>
              <w:right w:val="nil"/>
            </w:tcBorders>
            <w:shd w:val="clear" w:color="auto" w:fill="auto"/>
            <w:noWrap/>
            <w:vAlign w:val="bottom"/>
          </w:tcPr>
          <w:p w14:paraId="5067ACDC" w14:textId="6D65194B" w:rsidR="00CC3715" w:rsidRPr="008669C3" w:rsidRDefault="00CC3715" w:rsidP="00CC3715">
            <w:pPr>
              <w:jc w:val="center"/>
              <w:rPr>
                <w:sz w:val="22"/>
                <w:szCs w:val="22"/>
              </w:rPr>
            </w:pPr>
            <w:r w:rsidRPr="008669C3">
              <w:rPr>
                <w:sz w:val="22"/>
                <w:szCs w:val="22"/>
              </w:rPr>
              <w:t>0.000</w:t>
            </w:r>
          </w:p>
        </w:tc>
      </w:tr>
      <w:tr w:rsidR="009738B1" w:rsidRPr="008669C3" w14:paraId="1C031BA4" w14:textId="77777777" w:rsidTr="006A4DF9">
        <w:trPr>
          <w:trHeight w:val="20"/>
        </w:trPr>
        <w:tc>
          <w:tcPr>
            <w:tcW w:w="1377" w:type="pct"/>
            <w:tcBorders>
              <w:top w:val="nil"/>
              <w:left w:val="nil"/>
              <w:bottom w:val="nil"/>
              <w:right w:val="nil"/>
            </w:tcBorders>
            <w:shd w:val="clear" w:color="auto" w:fill="auto"/>
            <w:noWrap/>
            <w:vAlign w:val="bottom"/>
          </w:tcPr>
          <w:p w14:paraId="38CBEA1F" w14:textId="3E790896" w:rsidR="009738B1" w:rsidRPr="008669C3" w:rsidRDefault="009738B1" w:rsidP="009738B1">
            <w:pPr>
              <w:rPr>
                <w:iCs/>
                <w:sz w:val="22"/>
                <w:szCs w:val="22"/>
              </w:rPr>
            </w:pPr>
            <w:r w:rsidRPr="008669C3">
              <w:rPr>
                <w:iCs/>
                <w:sz w:val="22"/>
                <w:szCs w:val="22"/>
              </w:rPr>
              <w:t>Book leverage</w:t>
            </w:r>
          </w:p>
        </w:tc>
        <w:tc>
          <w:tcPr>
            <w:tcW w:w="398" w:type="pct"/>
            <w:tcBorders>
              <w:top w:val="nil"/>
              <w:left w:val="nil"/>
              <w:bottom w:val="nil"/>
              <w:right w:val="nil"/>
            </w:tcBorders>
            <w:shd w:val="clear" w:color="auto" w:fill="auto"/>
            <w:noWrap/>
            <w:vAlign w:val="bottom"/>
          </w:tcPr>
          <w:p w14:paraId="01E1763E" w14:textId="444B38A9" w:rsidR="009738B1" w:rsidRPr="008669C3" w:rsidRDefault="009738B1" w:rsidP="009738B1">
            <w:pPr>
              <w:jc w:val="center"/>
              <w:rPr>
                <w:sz w:val="22"/>
                <w:szCs w:val="22"/>
              </w:rPr>
            </w:pPr>
            <w:r w:rsidRPr="008669C3">
              <w:rPr>
                <w:sz w:val="22"/>
                <w:szCs w:val="22"/>
              </w:rPr>
              <w:t>9176</w:t>
            </w:r>
          </w:p>
        </w:tc>
        <w:tc>
          <w:tcPr>
            <w:tcW w:w="632" w:type="pct"/>
            <w:tcBorders>
              <w:top w:val="nil"/>
              <w:left w:val="nil"/>
              <w:bottom w:val="nil"/>
              <w:right w:val="nil"/>
            </w:tcBorders>
            <w:shd w:val="clear" w:color="auto" w:fill="auto"/>
            <w:noWrap/>
            <w:vAlign w:val="bottom"/>
          </w:tcPr>
          <w:p w14:paraId="4181C6DF" w14:textId="14C980E4" w:rsidR="009738B1" w:rsidRPr="008669C3" w:rsidRDefault="009738B1" w:rsidP="009738B1">
            <w:pPr>
              <w:jc w:val="center"/>
              <w:rPr>
                <w:sz w:val="22"/>
                <w:szCs w:val="22"/>
              </w:rPr>
            </w:pPr>
            <w:r w:rsidRPr="008669C3">
              <w:rPr>
                <w:sz w:val="22"/>
                <w:szCs w:val="22"/>
              </w:rPr>
              <w:t>0.237</w:t>
            </w:r>
          </w:p>
        </w:tc>
        <w:tc>
          <w:tcPr>
            <w:tcW w:w="699" w:type="pct"/>
            <w:tcBorders>
              <w:top w:val="nil"/>
              <w:left w:val="nil"/>
              <w:bottom w:val="nil"/>
              <w:right w:val="nil"/>
            </w:tcBorders>
            <w:shd w:val="clear" w:color="auto" w:fill="auto"/>
            <w:noWrap/>
            <w:vAlign w:val="bottom"/>
          </w:tcPr>
          <w:p w14:paraId="2AB72225" w14:textId="116267F9" w:rsidR="009738B1" w:rsidRPr="008669C3" w:rsidRDefault="009738B1" w:rsidP="009738B1">
            <w:pPr>
              <w:jc w:val="center"/>
              <w:rPr>
                <w:sz w:val="22"/>
                <w:szCs w:val="22"/>
              </w:rPr>
            </w:pPr>
            <w:r w:rsidRPr="008669C3">
              <w:rPr>
                <w:sz w:val="22"/>
                <w:szCs w:val="22"/>
              </w:rPr>
              <w:t>0.150</w:t>
            </w:r>
          </w:p>
        </w:tc>
        <w:tc>
          <w:tcPr>
            <w:tcW w:w="632" w:type="pct"/>
            <w:tcBorders>
              <w:top w:val="nil"/>
              <w:left w:val="nil"/>
              <w:bottom w:val="nil"/>
              <w:right w:val="nil"/>
            </w:tcBorders>
            <w:shd w:val="clear" w:color="auto" w:fill="auto"/>
            <w:noWrap/>
            <w:vAlign w:val="bottom"/>
          </w:tcPr>
          <w:p w14:paraId="4EA5BAB6" w14:textId="073B7754" w:rsidR="009738B1" w:rsidRPr="008669C3" w:rsidRDefault="009738B1" w:rsidP="009738B1">
            <w:pPr>
              <w:jc w:val="center"/>
              <w:rPr>
                <w:sz w:val="22"/>
                <w:szCs w:val="22"/>
              </w:rPr>
            </w:pPr>
            <w:r w:rsidRPr="008669C3">
              <w:rPr>
                <w:sz w:val="22"/>
                <w:szCs w:val="22"/>
              </w:rPr>
              <w:t>0.125</w:t>
            </w:r>
          </w:p>
        </w:tc>
        <w:tc>
          <w:tcPr>
            <w:tcW w:w="632" w:type="pct"/>
            <w:tcBorders>
              <w:top w:val="nil"/>
              <w:left w:val="nil"/>
              <w:bottom w:val="nil"/>
              <w:right w:val="nil"/>
            </w:tcBorders>
            <w:shd w:val="clear" w:color="auto" w:fill="auto"/>
            <w:noWrap/>
            <w:vAlign w:val="bottom"/>
          </w:tcPr>
          <w:p w14:paraId="46F8A6B8" w14:textId="0F5D8A04" w:rsidR="009738B1" w:rsidRPr="008669C3" w:rsidRDefault="009738B1" w:rsidP="009738B1">
            <w:pPr>
              <w:jc w:val="center"/>
              <w:rPr>
                <w:sz w:val="22"/>
                <w:szCs w:val="22"/>
              </w:rPr>
            </w:pPr>
            <w:r w:rsidRPr="008669C3">
              <w:rPr>
                <w:sz w:val="22"/>
                <w:szCs w:val="22"/>
              </w:rPr>
              <w:t>0.232</w:t>
            </w:r>
          </w:p>
        </w:tc>
        <w:tc>
          <w:tcPr>
            <w:tcW w:w="630" w:type="pct"/>
            <w:tcBorders>
              <w:top w:val="nil"/>
              <w:left w:val="nil"/>
              <w:bottom w:val="nil"/>
              <w:right w:val="nil"/>
            </w:tcBorders>
            <w:shd w:val="clear" w:color="auto" w:fill="auto"/>
            <w:noWrap/>
            <w:vAlign w:val="bottom"/>
          </w:tcPr>
          <w:p w14:paraId="4C20A913" w14:textId="12846D49" w:rsidR="009738B1" w:rsidRPr="008669C3" w:rsidRDefault="009738B1" w:rsidP="009738B1">
            <w:pPr>
              <w:jc w:val="center"/>
              <w:rPr>
                <w:sz w:val="22"/>
                <w:szCs w:val="22"/>
              </w:rPr>
            </w:pPr>
            <w:r w:rsidRPr="008669C3">
              <w:rPr>
                <w:sz w:val="22"/>
                <w:szCs w:val="22"/>
              </w:rPr>
              <w:t>0.334</w:t>
            </w:r>
          </w:p>
        </w:tc>
      </w:tr>
      <w:tr w:rsidR="009738B1" w:rsidRPr="008669C3" w14:paraId="613E009B" w14:textId="77777777" w:rsidTr="006A4DF9">
        <w:trPr>
          <w:trHeight w:val="20"/>
        </w:trPr>
        <w:tc>
          <w:tcPr>
            <w:tcW w:w="1377" w:type="pct"/>
            <w:tcBorders>
              <w:top w:val="nil"/>
              <w:left w:val="nil"/>
              <w:bottom w:val="nil"/>
              <w:right w:val="nil"/>
            </w:tcBorders>
            <w:shd w:val="clear" w:color="auto" w:fill="auto"/>
            <w:noWrap/>
            <w:vAlign w:val="bottom"/>
          </w:tcPr>
          <w:p w14:paraId="3E481EF9" w14:textId="7D6134F9" w:rsidR="009738B1" w:rsidRPr="008669C3" w:rsidRDefault="009738B1" w:rsidP="009738B1">
            <w:pPr>
              <w:rPr>
                <w:iCs/>
                <w:sz w:val="22"/>
                <w:szCs w:val="22"/>
              </w:rPr>
            </w:pPr>
            <w:r w:rsidRPr="008669C3">
              <w:rPr>
                <w:iCs/>
                <w:sz w:val="22"/>
                <w:szCs w:val="22"/>
              </w:rPr>
              <w:t>Market leverage</w:t>
            </w:r>
          </w:p>
        </w:tc>
        <w:tc>
          <w:tcPr>
            <w:tcW w:w="398" w:type="pct"/>
            <w:tcBorders>
              <w:top w:val="nil"/>
              <w:left w:val="nil"/>
              <w:bottom w:val="nil"/>
              <w:right w:val="nil"/>
            </w:tcBorders>
            <w:shd w:val="clear" w:color="auto" w:fill="auto"/>
            <w:noWrap/>
            <w:vAlign w:val="bottom"/>
          </w:tcPr>
          <w:p w14:paraId="6FD8F95E" w14:textId="42D2AB52" w:rsidR="009738B1" w:rsidRPr="008669C3" w:rsidRDefault="009738B1" w:rsidP="009738B1">
            <w:pPr>
              <w:jc w:val="center"/>
              <w:rPr>
                <w:sz w:val="22"/>
                <w:szCs w:val="22"/>
              </w:rPr>
            </w:pPr>
            <w:r w:rsidRPr="008669C3">
              <w:rPr>
                <w:sz w:val="22"/>
                <w:szCs w:val="22"/>
              </w:rPr>
              <w:t>9176</w:t>
            </w:r>
          </w:p>
        </w:tc>
        <w:tc>
          <w:tcPr>
            <w:tcW w:w="632" w:type="pct"/>
            <w:tcBorders>
              <w:top w:val="nil"/>
              <w:left w:val="nil"/>
              <w:bottom w:val="nil"/>
              <w:right w:val="nil"/>
            </w:tcBorders>
            <w:shd w:val="clear" w:color="auto" w:fill="auto"/>
            <w:noWrap/>
            <w:vAlign w:val="bottom"/>
          </w:tcPr>
          <w:p w14:paraId="71E36CDA" w14:textId="770871DC" w:rsidR="009738B1" w:rsidRPr="008669C3" w:rsidRDefault="009738B1" w:rsidP="009738B1">
            <w:pPr>
              <w:jc w:val="center"/>
              <w:rPr>
                <w:sz w:val="22"/>
                <w:szCs w:val="22"/>
              </w:rPr>
            </w:pPr>
            <w:r w:rsidRPr="008669C3">
              <w:rPr>
                <w:sz w:val="22"/>
                <w:szCs w:val="22"/>
              </w:rPr>
              <w:t>0.161</w:t>
            </w:r>
          </w:p>
        </w:tc>
        <w:tc>
          <w:tcPr>
            <w:tcW w:w="699" w:type="pct"/>
            <w:tcBorders>
              <w:top w:val="nil"/>
              <w:left w:val="nil"/>
              <w:bottom w:val="nil"/>
              <w:right w:val="nil"/>
            </w:tcBorders>
            <w:shd w:val="clear" w:color="auto" w:fill="auto"/>
            <w:noWrap/>
            <w:vAlign w:val="bottom"/>
          </w:tcPr>
          <w:p w14:paraId="3CD3E201" w14:textId="1A04FEC2" w:rsidR="009738B1" w:rsidRPr="008669C3" w:rsidRDefault="009738B1" w:rsidP="009738B1">
            <w:pPr>
              <w:jc w:val="center"/>
              <w:rPr>
                <w:sz w:val="22"/>
                <w:szCs w:val="22"/>
              </w:rPr>
            </w:pPr>
            <w:r w:rsidRPr="008669C3">
              <w:rPr>
                <w:sz w:val="22"/>
                <w:szCs w:val="22"/>
              </w:rPr>
              <w:t>0.125</w:t>
            </w:r>
          </w:p>
        </w:tc>
        <w:tc>
          <w:tcPr>
            <w:tcW w:w="632" w:type="pct"/>
            <w:tcBorders>
              <w:top w:val="nil"/>
              <w:left w:val="nil"/>
              <w:bottom w:val="nil"/>
              <w:right w:val="nil"/>
            </w:tcBorders>
            <w:shd w:val="clear" w:color="auto" w:fill="auto"/>
            <w:noWrap/>
            <w:vAlign w:val="bottom"/>
          </w:tcPr>
          <w:p w14:paraId="27920F1D" w14:textId="4CAE1970" w:rsidR="009738B1" w:rsidRPr="008669C3" w:rsidRDefault="009738B1" w:rsidP="009738B1">
            <w:pPr>
              <w:jc w:val="center"/>
              <w:rPr>
                <w:sz w:val="22"/>
                <w:szCs w:val="22"/>
              </w:rPr>
            </w:pPr>
            <w:r w:rsidRPr="008669C3">
              <w:rPr>
                <w:sz w:val="22"/>
                <w:szCs w:val="22"/>
              </w:rPr>
              <w:t>0.066</w:t>
            </w:r>
          </w:p>
        </w:tc>
        <w:tc>
          <w:tcPr>
            <w:tcW w:w="632" w:type="pct"/>
            <w:tcBorders>
              <w:top w:val="nil"/>
              <w:left w:val="nil"/>
              <w:bottom w:val="nil"/>
              <w:right w:val="nil"/>
            </w:tcBorders>
            <w:shd w:val="clear" w:color="auto" w:fill="auto"/>
            <w:noWrap/>
            <w:vAlign w:val="bottom"/>
          </w:tcPr>
          <w:p w14:paraId="295AA1B4" w14:textId="4E12CA09" w:rsidR="009738B1" w:rsidRPr="008669C3" w:rsidRDefault="009738B1" w:rsidP="009738B1">
            <w:pPr>
              <w:jc w:val="center"/>
              <w:rPr>
                <w:sz w:val="22"/>
                <w:szCs w:val="22"/>
              </w:rPr>
            </w:pPr>
            <w:r w:rsidRPr="008669C3">
              <w:rPr>
                <w:sz w:val="22"/>
                <w:szCs w:val="22"/>
              </w:rPr>
              <w:t>0.140</w:t>
            </w:r>
          </w:p>
        </w:tc>
        <w:tc>
          <w:tcPr>
            <w:tcW w:w="630" w:type="pct"/>
            <w:tcBorders>
              <w:top w:val="nil"/>
              <w:left w:val="nil"/>
              <w:bottom w:val="nil"/>
              <w:right w:val="nil"/>
            </w:tcBorders>
            <w:shd w:val="clear" w:color="auto" w:fill="auto"/>
            <w:noWrap/>
            <w:vAlign w:val="bottom"/>
          </w:tcPr>
          <w:p w14:paraId="14FA4BE3" w14:textId="41DD87C6" w:rsidR="009738B1" w:rsidRPr="008669C3" w:rsidRDefault="009738B1" w:rsidP="009738B1">
            <w:pPr>
              <w:jc w:val="center"/>
              <w:rPr>
                <w:sz w:val="22"/>
                <w:szCs w:val="22"/>
              </w:rPr>
            </w:pPr>
            <w:r w:rsidRPr="008669C3">
              <w:rPr>
                <w:sz w:val="22"/>
                <w:szCs w:val="22"/>
              </w:rPr>
              <w:t>0.235</w:t>
            </w:r>
          </w:p>
        </w:tc>
      </w:tr>
      <w:tr w:rsidR="009738B1" w:rsidRPr="008669C3" w14:paraId="76D9ACC6" w14:textId="77777777" w:rsidTr="006A4DF9">
        <w:trPr>
          <w:trHeight w:val="20"/>
        </w:trPr>
        <w:tc>
          <w:tcPr>
            <w:tcW w:w="1377" w:type="pct"/>
            <w:tcBorders>
              <w:top w:val="nil"/>
              <w:left w:val="nil"/>
              <w:bottom w:val="nil"/>
              <w:right w:val="nil"/>
            </w:tcBorders>
            <w:shd w:val="clear" w:color="auto" w:fill="auto"/>
            <w:noWrap/>
            <w:vAlign w:val="center"/>
            <w:hideMark/>
          </w:tcPr>
          <w:p w14:paraId="36C09379" w14:textId="77777777" w:rsidR="009738B1" w:rsidRPr="008669C3" w:rsidRDefault="009738B1" w:rsidP="009738B1">
            <w:pPr>
              <w:rPr>
                <w:iCs/>
                <w:sz w:val="22"/>
                <w:szCs w:val="22"/>
              </w:rPr>
            </w:pPr>
            <w:r w:rsidRPr="008669C3">
              <w:rPr>
                <w:iCs/>
                <w:sz w:val="22"/>
                <w:szCs w:val="22"/>
              </w:rPr>
              <w:t>Age</w:t>
            </w:r>
          </w:p>
        </w:tc>
        <w:tc>
          <w:tcPr>
            <w:tcW w:w="398" w:type="pct"/>
            <w:tcBorders>
              <w:top w:val="nil"/>
              <w:left w:val="nil"/>
              <w:bottom w:val="nil"/>
              <w:right w:val="nil"/>
            </w:tcBorders>
            <w:shd w:val="clear" w:color="auto" w:fill="auto"/>
            <w:noWrap/>
            <w:vAlign w:val="bottom"/>
            <w:hideMark/>
          </w:tcPr>
          <w:p w14:paraId="14E66220" w14:textId="3A03C0A2" w:rsidR="009738B1" w:rsidRPr="008669C3" w:rsidRDefault="009738B1" w:rsidP="009738B1">
            <w:pPr>
              <w:jc w:val="center"/>
              <w:rPr>
                <w:sz w:val="22"/>
                <w:szCs w:val="22"/>
              </w:rPr>
            </w:pPr>
            <w:r w:rsidRPr="008669C3">
              <w:rPr>
                <w:sz w:val="22"/>
                <w:szCs w:val="22"/>
              </w:rPr>
              <w:t>9176</w:t>
            </w:r>
          </w:p>
        </w:tc>
        <w:tc>
          <w:tcPr>
            <w:tcW w:w="632" w:type="pct"/>
            <w:tcBorders>
              <w:top w:val="nil"/>
              <w:left w:val="nil"/>
              <w:bottom w:val="nil"/>
              <w:right w:val="nil"/>
            </w:tcBorders>
            <w:shd w:val="clear" w:color="auto" w:fill="auto"/>
            <w:noWrap/>
            <w:vAlign w:val="bottom"/>
            <w:hideMark/>
          </w:tcPr>
          <w:p w14:paraId="654F1EF1" w14:textId="09DF7174" w:rsidR="009738B1" w:rsidRPr="008669C3" w:rsidRDefault="009738B1" w:rsidP="009738B1">
            <w:pPr>
              <w:jc w:val="center"/>
              <w:rPr>
                <w:sz w:val="22"/>
                <w:szCs w:val="22"/>
              </w:rPr>
            </w:pPr>
            <w:r w:rsidRPr="008669C3">
              <w:rPr>
                <w:sz w:val="22"/>
                <w:szCs w:val="22"/>
              </w:rPr>
              <w:t>55.900</w:t>
            </w:r>
          </w:p>
        </w:tc>
        <w:tc>
          <w:tcPr>
            <w:tcW w:w="699" w:type="pct"/>
            <w:tcBorders>
              <w:top w:val="nil"/>
              <w:left w:val="nil"/>
              <w:bottom w:val="nil"/>
              <w:right w:val="nil"/>
            </w:tcBorders>
            <w:shd w:val="clear" w:color="auto" w:fill="auto"/>
            <w:noWrap/>
            <w:vAlign w:val="bottom"/>
            <w:hideMark/>
          </w:tcPr>
          <w:p w14:paraId="27630208" w14:textId="72EA2F1C" w:rsidR="009738B1" w:rsidRPr="008669C3" w:rsidRDefault="009738B1" w:rsidP="009738B1">
            <w:pPr>
              <w:jc w:val="center"/>
              <w:rPr>
                <w:sz w:val="22"/>
                <w:szCs w:val="22"/>
              </w:rPr>
            </w:pPr>
            <w:r w:rsidRPr="008669C3">
              <w:rPr>
                <w:sz w:val="22"/>
                <w:szCs w:val="22"/>
              </w:rPr>
              <w:t>6.665</w:t>
            </w:r>
          </w:p>
        </w:tc>
        <w:tc>
          <w:tcPr>
            <w:tcW w:w="632" w:type="pct"/>
            <w:tcBorders>
              <w:top w:val="nil"/>
              <w:left w:val="nil"/>
              <w:bottom w:val="nil"/>
              <w:right w:val="nil"/>
            </w:tcBorders>
            <w:shd w:val="clear" w:color="auto" w:fill="auto"/>
            <w:noWrap/>
            <w:vAlign w:val="bottom"/>
            <w:hideMark/>
          </w:tcPr>
          <w:p w14:paraId="1C51B7C3" w14:textId="2BB77873" w:rsidR="009738B1" w:rsidRPr="008669C3" w:rsidRDefault="009738B1" w:rsidP="009738B1">
            <w:pPr>
              <w:jc w:val="center"/>
              <w:rPr>
                <w:sz w:val="22"/>
                <w:szCs w:val="22"/>
              </w:rPr>
            </w:pPr>
            <w:r w:rsidRPr="008669C3">
              <w:rPr>
                <w:sz w:val="22"/>
                <w:szCs w:val="22"/>
              </w:rPr>
              <w:t>51.000</w:t>
            </w:r>
          </w:p>
        </w:tc>
        <w:tc>
          <w:tcPr>
            <w:tcW w:w="632" w:type="pct"/>
            <w:tcBorders>
              <w:top w:val="nil"/>
              <w:left w:val="nil"/>
              <w:bottom w:val="nil"/>
              <w:right w:val="nil"/>
            </w:tcBorders>
            <w:shd w:val="clear" w:color="auto" w:fill="auto"/>
            <w:noWrap/>
            <w:vAlign w:val="bottom"/>
            <w:hideMark/>
          </w:tcPr>
          <w:p w14:paraId="060378ED" w14:textId="3A6AFCDB" w:rsidR="009738B1" w:rsidRPr="008669C3" w:rsidRDefault="009738B1" w:rsidP="009738B1">
            <w:pPr>
              <w:jc w:val="center"/>
              <w:rPr>
                <w:sz w:val="22"/>
                <w:szCs w:val="22"/>
              </w:rPr>
            </w:pPr>
            <w:r w:rsidRPr="008669C3">
              <w:rPr>
                <w:sz w:val="22"/>
                <w:szCs w:val="22"/>
              </w:rPr>
              <w:t>56.000</w:t>
            </w:r>
          </w:p>
        </w:tc>
        <w:tc>
          <w:tcPr>
            <w:tcW w:w="630" w:type="pct"/>
            <w:tcBorders>
              <w:top w:val="nil"/>
              <w:left w:val="nil"/>
              <w:bottom w:val="nil"/>
              <w:right w:val="nil"/>
            </w:tcBorders>
            <w:shd w:val="clear" w:color="auto" w:fill="auto"/>
            <w:noWrap/>
            <w:vAlign w:val="bottom"/>
            <w:hideMark/>
          </w:tcPr>
          <w:p w14:paraId="4E42E1B5" w14:textId="1FEA7830" w:rsidR="009738B1" w:rsidRPr="008669C3" w:rsidRDefault="009738B1" w:rsidP="009738B1">
            <w:pPr>
              <w:jc w:val="center"/>
              <w:rPr>
                <w:sz w:val="22"/>
                <w:szCs w:val="22"/>
              </w:rPr>
            </w:pPr>
            <w:r w:rsidRPr="008669C3">
              <w:rPr>
                <w:sz w:val="22"/>
                <w:szCs w:val="22"/>
              </w:rPr>
              <w:t>60.000</w:t>
            </w:r>
          </w:p>
        </w:tc>
      </w:tr>
      <w:tr w:rsidR="009738B1" w:rsidRPr="008669C3" w14:paraId="456CE287" w14:textId="77777777" w:rsidTr="006A4DF9">
        <w:trPr>
          <w:trHeight w:val="20"/>
        </w:trPr>
        <w:tc>
          <w:tcPr>
            <w:tcW w:w="1377" w:type="pct"/>
            <w:tcBorders>
              <w:top w:val="nil"/>
              <w:left w:val="nil"/>
              <w:bottom w:val="nil"/>
              <w:right w:val="nil"/>
            </w:tcBorders>
            <w:shd w:val="clear" w:color="auto" w:fill="auto"/>
            <w:noWrap/>
            <w:vAlign w:val="center"/>
            <w:hideMark/>
          </w:tcPr>
          <w:p w14:paraId="17C627D6" w14:textId="77777777" w:rsidR="009738B1" w:rsidRPr="008669C3" w:rsidRDefault="009738B1" w:rsidP="009738B1">
            <w:pPr>
              <w:rPr>
                <w:iCs/>
                <w:sz w:val="22"/>
                <w:szCs w:val="22"/>
              </w:rPr>
            </w:pPr>
            <w:r w:rsidRPr="008669C3">
              <w:rPr>
                <w:iCs/>
                <w:sz w:val="22"/>
                <w:szCs w:val="22"/>
              </w:rPr>
              <w:t>Tenure</w:t>
            </w:r>
          </w:p>
        </w:tc>
        <w:tc>
          <w:tcPr>
            <w:tcW w:w="398" w:type="pct"/>
            <w:tcBorders>
              <w:top w:val="nil"/>
              <w:left w:val="nil"/>
              <w:bottom w:val="nil"/>
              <w:right w:val="nil"/>
            </w:tcBorders>
            <w:shd w:val="clear" w:color="auto" w:fill="auto"/>
            <w:noWrap/>
            <w:vAlign w:val="bottom"/>
            <w:hideMark/>
          </w:tcPr>
          <w:p w14:paraId="27F2F29E" w14:textId="171D0CBE" w:rsidR="009738B1" w:rsidRPr="008669C3" w:rsidRDefault="009738B1" w:rsidP="009738B1">
            <w:pPr>
              <w:jc w:val="center"/>
              <w:rPr>
                <w:sz w:val="22"/>
                <w:szCs w:val="22"/>
              </w:rPr>
            </w:pPr>
            <w:r w:rsidRPr="008669C3">
              <w:rPr>
                <w:sz w:val="22"/>
                <w:szCs w:val="22"/>
              </w:rPr>
              <w:t>9176</w:t>
            </w:r>
          </w:p>
        </w:tc>
        <w:tc>
          <w:tcPr>
            <w:tcW w:w="632" w:type="pct"/>
            <w:tcBorders>
              <w:top w:val="nil"/>
              <w:left w:val="nil"/>
              <w:bottom w:val="nil"/>
              <w:right w:val="nil"/>
            </w:tcBorders>
            <w:shd w:val="clear" w:color="auto" w:fill="auto"/>
            <w:noWrap/>
            <w:vAlign w:val="bottom"/>
            <w:hideMark/>
          </w:tcPr>
          <w:p w14:paraId="2E5261E1" w14:textId="23723AB7" w:rsidR="009738B1" w:rsidRPr="008669C3" w:rsidRDefault="009738B1" w:rsidP="009738B1">
            <w:pPr>
              <w:jc w:val="center"/>
              <w:rPr>
                <w:sz w:val="22"/>
                <w:szCs w:val="22"/>
              </w:rPr>
            </w:pPr>
            <w:r w:rsidRPr="008669C3">
              <w:rPr>
                <w:sz w:val="22"/>
                <w:szCs w:val="22"/>
              </w:rPr>
              <w:t>6.750</w:t>
            </w:r>
          </w:p>
        </w:tc>
        <w:tc>
          <w:tcPr>
            <w:tcW w:w="699" w:type="pct"/>
            <w:tcBorders>
              <w:top w:val="nil"/>
              <w:left w:val="nil"/>
              <w:bottom w:val="nil"/>
              <w:right w:val="nil"/>
            </w:tcBorders>
            <w:shd w:val="clear" w:color="auto" w:fill="auto"/>
            <w:noWrap/>
            <w:vAlign w:val="bottom"/>
            <w:hideMark/>
          </w:tcPr>
          <w:p w14:paraId="2981BD58" w14:textId="608C4B62" w:rsidR="009738B1" w:rsidRPr="008669C3" w:rsidRDefault="009738B1" w:rsidP="009738B1">
            <w:pPr>
              <w:jc w:val="center"/>
              <w:rPr>
                <w:sz w:val="22"/>
                <w:szCs w:val="22"/>
              </w:rPr>
            </w:pPr>
            <w:r w:rsidRPr="008669C3">
              <w:rPr>
                <w:sz w:val="22"/>
                <w:szCs w:val="22"/>
              </w:rPr>
              <w:t>6.667</w:t>
            </w:r>
          </w:p>
        </w:tc>
        <w:tc>
          <w:tcPr>
            <w:tcW w:w="632" w:type="pct"/>
            <w:tcBorders>
              <w:top w:val="nil"/>
              <w:left w:val="nil"/>
              <w:bottom w:val="nil"/>
              <w:right w:val="nil"/>
            </w:tcBorders>
            <w:shd w:val="clear" w:color="auto" w:fill="auto"/>
            <w:noWrap/>
            <w:vAlign w:val="bottom"/>
            <w:hideMark/>
          </w:tcPr>
          <w:p w14:paraId="7149B32E" w14:textId="65F0EF8F" w:rsidR="009738B1" w:rsidRPr="008669C3" w:rsidRDefault="009738B1" w:rsidP="009738B1">
            <w:pPr>
              <w:jc w:val="center"/>
              <w:rPr>
                <w:sz w:val="22"/>
                <w:szCs w:val="22"/>
              </w:rPr>
            </w:pPr>
            <w:r w:rsidRPr="008669C3">
              <w:rPr>
                <w:sz w:val="22"/>
                <w:szCs w:val="22"/>
              </w:rPr>
              <w:t>2.000</w:t>
            </w:r>
          </w:p>
        </w:tc>
        <w:tc>
          <w:tcPr>
            <w:tcW w:w="632" w:type="pct"/>
            <w:tcBorders>
              <w:top w:val="nil"/>
              <w:left w:val="nil"/>
              <w:bottom w:val="nil"/>
              <w:right w:val="nil"/>
            </w:tcBorders>
            <w:shd w:val="clear" w:color="auto" w:fill="auto"/>
            <w:noWrap/>
            <w:vAlign w:val="bottom"/>
            <w:hideMark/>
          </w:tcPr>
          <w:p w14:paraId="336BE03A" w14:textId="4BB2F2E5" w:rsidR="009738B1" w:rsidRPr="008669C3" w:rsidRDefault="009738B1" w:rsidP="009738B1">
            <w:pPr>
              <w:jc w:val="center"/>
              <w:rPr>
                <w:sz w:val="22"/>
                <w:szCs w:val="22"/>
              </w:rPr>
            </w:pPr>
            <w:r w:rsidRPr="008669C3">
              <w:rPr>
                <w:sz w:val="22"/>
                <w:szCs w:val="22"/>
              </w:rPr>
              <w:t>5.000</w:t>
            </w:r>
          </w:p>
        </w:tc>
        <w:tc>
          <w:tcPr>
            <w:tcW w:w="630" w:type="pct"/>
            <w:tcBorders>
              <w:top w:val="nil"/>
              <w:left w:val="nil"/>
              <w:bottom w:val="nil"/>
              <w:right w:val="nil"/>
            </w:tcBorders>
            <w:shd w:val="clear" w:color="auto" w:fill="auto"/>
            <w:noWrap/>
            <w:vAlign w:val="bottom"/>
            <w:hideMark/>
          </w:tcPr>
          <w:p w14:paraId="4C85D5EE" w14:textId="14DF4F8A" w:rsidR="009738B1" w:rsidRPr="008669C3" w:rsidRDefault="009738B1" w:rsidP="009738B1">
            <w:pPr>
              <w:jc w:val="center"/>
              <w:rPr>
                <w:sz w:val="22"/>
                <w:szCs w:val="22"/>
              </w:rPr>
            </w:pPr>
            <w:r w:rsidRPr="008669C3">
              <w:rPr>
                <w:sz w:val="22"/>
                <w:szCs w:val="22"/>
              </w:rPr>
              <w:t>9.000</w:t>
            </w:r>
          </w:p>
        </w:tc>
      </w:tr>
      <w:tr w:rsidR="009738B1" w:rsidRPr="008669C3" w14:paraId="7E57BB54" w14:textId="77777777" w:rsidTr="006A4DF9">
        <w:trPr>
          <w:trHeight w:val="20"/>
        </w:trPr>
        <w:tc>
          <w:tcPr>
            <w:tcW w:w="1377" w:type="pct"/>
            <w:tcBorders>
              <w:top w:val="nil"/>
              <w:left w:val="nil"/>
              <w:bottom w:val="nil"/>
              <w:right w:val="nil"/>
            </w:tcBorders>
            <w:shd w:val="clear" w:color="auto" w:fill="auto"/>
            <w:noWrap/>
            <w:vAlign w:val="center"/>
            <w:hideMark/>
          </w:tcPr>
          <w:p w14:paraId="7D3B316D" w14:textId="77777777" w:rsidR="009738B1" w:rsidRPr="008669C3" w:rsidRDefault="009738B1" w:rsidP="009738B1">
            <w:pPr>
              <w:rPr>
                <w:iCs/>
                <w:sz w:val="22"/>
                <w:szCs w:val="22"/>
              </w:rPr>
            </w:pPr>
            <w:r w:rsidRPr="008669C3">
              <w:rPr>
                <w:iCs/>
                <w:sz w:val="22"/>
                <w:szCs w:val="22"/>
              </w:rPr>
              <w:t>Female CEO</w:t>
            </w:r>
          </w:p>
        </w:tc>
        <w:tc>
          <w:tcPr>
            <w:tcW w:w="398" w:type="pct"/>
            <w:tcBorders>
              <w:top w:val="nil"/>
              <w:left w:val="nil"/>
              <w:bottom w:val="nil"/>
              <w:right w:val="nil"/>
            </w:tcBorders>
            <w:shd w:val="clear" w:color="auto" w:fill="auto"/>
            <w:noWrap/>
            <w:vAlign w:val="bottom"/>
            <w:hideMark/>
          </w:tcPr>
          <w:p w14:paraId="62E42160" w14:textId="1DD0C525" w:rsidR="009738B1" w:rsidRPr="008669C3" w:rsidRDefault="009738B1" w:rsidP="009738B1">
            <w:pPr>
              <w:jc w:val="center"/>
              <w:rPr>
                <w:sz w:val="22"/>
                <w:szCs w:val="22"/>
              </w:rPr>
            </w:pPr>
            <w:r w:rsidRPr="008669C3">
              <w:rPr>
                <w:sz w:val="22"/>
                <w:szCs w:val="22"/>
              </w:rPr>
              <w:t>9176</w:t>
            </w:r>
          </w:p>
        </w:tc>
        <w:tc>
          <w:tcPr>
            <w:tcW w:w="632" w:type="pct"/>
            <w:tcBorders>
              <w:top w:val="nil"/>
              <w:left w:val="nil"/>
              <w:bottom w:val="nil"/>
              <w:right w:val="nil"/>
            </w:tcBorders>
            <w:shd w:val="clear" w:color="auto" w:fill="auto"/>
            <w:noWrap/>
            <w:vAlign w:val="bottom"/>
            <w:hideMark/>
          </w:tcPr>
          <w:p w14:paraId="64E1469A" w14:textId="2F682D9E" w:rsidR="009738B1" w:rsidRPr="008669C3" w:rsidRDefault="009738B1" w:rsidP="009738B1">
            <w:pPr>
              <w:jc w:val="center"/>
              <w:rPr>
                <w:sz w:val="22"/>
                <w:szCs w:val="22"/>
              </w:rPr>
            </w:pPr>
            <w:r w:rsidRPr="008669C3">
              <w:rPr>
                <w:sz w:val="22"/>
                <w:szCs w:val="22"/>
              </w:rPr>
              <w:t>0.026</w:t>
            </w:r>
          </w:p>
        </w:tc>
        <w:tc>
          <w:tcPr>
            <w:tcW w:w="699" w:type="pct"/>
            <w:tcBorders>
              <w:top w:val="nil"/>
              <w:left w:val="nil"/>
              <w:bottom w:val="nil"/>
              <w:right w:val="nil"/>
            </w:tcBorders>
            <w:shd w:val="clear" w:color="auto" w:fill="auto"/>
            <w:noWrap/>
            <w:vAlign w:val="bottom"/>
            <w:hideMark/>
          </w:tcPr>
          <w:p w14:paraId="315E5CE9" w14:textId="151C3BDB" w:rsidR="009738B1" w:rsidRPr="008669C3" w:rsidRDefault="009738B1" w:rsidP="009738B1">
            <w:pPr>
              <w:jc w:val="center"/>
              <w:rPr>
                <w:sz w:val="22"/>
                <w:szCs w:val="22"/>
              </w:rPr>
            </w:pPr>
            <w:r w:rsidRPr="008669C3">
              <w:rPr>
                <w:sz w:val="22"/>
                <w:szCs w:val="22"/>
              </w:rPr>
              <w:t>0.158</w:t>
            </w:r>
          </w:p>
        </w:tc>
        <w:tc>
          <w:tcPr>
            <w:tcW w:w="632" w:type="pct"/>
            <w:tcBorders>
              <w:top w:val="nil"/>
              <w:left w:val="nil"/>
              <w:bottom w:val="nil"/>
              <w:right w:val="nil"/>
            </w:tcBorders>
            <w:shd w:val="clear" w:color="auto" w:fill="auto"/>
            <w:noWrap/>
            <w:vAlign w:val="bottom"/>
            <w:hideMark/>
          </w:tcPr>
          <w:p w14:paraId="0C1F1DC1" w14:textId="2F56292E" w:rsidR="009738B1" w:rsidRPr="008669C3" w:rsidRDefault="009738B1" w:rsidP="009738B1">
            <w:pPr>
              <w:jc w:val="center"/>
              <w:rPr>
                <w:sz w:val="22"/>
                <w:szCs w:val="22"/>
              </w:rPr>
            </w:pPr>
            <w:r w:rsidRPr="008669C3">
              <w:rPr>
                <w:sz w:val="22"/>
                <w:szCs w:val="22"/>
              </w:rPr>
              <w:t>0.000</w:t>
            </w:r>
          </w:p>
        </w:tc>
        <w:tc>
          <w:tcPr>
            <w:tcW w:w="632" w:type="pct"/>
            <w:tcBorders>
              <w:top w:val="nil"/>
              <w:left w:val="nil"/>
              <w:bottom w:val="nil"/>
              <w:right w:val="nil"/>
            </w:tcBorders>
            <w:shd w:val="clear" w:color="auto" w:fill="auto"/>
            <w:noWrap/>
            <w:vAlign w:val="bottom"/>
            <w:hideMark/>
          </w:tcPr>
          <w:p w14:paraId="20C5370D" w14:textId="3B4542BA" w:rsidR="009738B1" w:rsidRPr="008669C3" w:rsidRDefault="009738B1" w:rsidP="009738B1">
            <w:pPr>
              <w:jc w:val="center"/>
              <w:rPr>
                <w:sz w:val="22"/>
                <w:szCs w:val="22"/>
              </w:rPr>
            </w:pPr>
            <w:r w:rsidRPr="008669C3">
              <w:rPr>
                <w:sz w:val="22"/>
                <w:szCs w:val="22"/>
              </w:rPr>
              <w:t>0.000</w:t>
            </w:r>
          </w:p>
        </w:tc>
        <w:tc>
          <w:tcPr>
            <w:tcW w:w="630" w:type="pct"/>
            <w:tcBorders>
              <w:top w:val="nil"/>
              <w:left w:val="nil"/>
              <w:bottom w:val="nil"/>
              <w:right w:val="nil"/>
            </w:tcBorders>
            <w:shd w:val="clear" w:color="auto" w:fill="auto"/>
            <w:noWrap/>
            <w:vAlign w:val="bottom"/>
            <w:hideMark/>
          </w:tcPr>
          <w:p w14:paraId="48DDC191" w14:textId="6B3F6E6C" w:rsidR="009738B1" w:rsidRPr="008669C3" w:rsidRDefault="009738B1" w:rsidP="009738B1">
            <w:pPr>
              <w:jc w:val="center"/>
              <w:rPr>
                <w:sz w:val="22"/>
                <w:szCs w:val="22"/>
              </w:rPr>
            </w:pPr>
            <w:r w:rsidRPr="008669C3">
              <w:rPr>
                <w:sz w:val="22"/>
                <w:szCs w:val="22"/>
              </w:rPr>
              <w:t>0.000</w:t>
            </w:r>
          </w:p>
        </w:tc>
      </w:tr>
      <w:tr w:rsidR="009738B1" w:rsidRPr="008669C3" w14:paraId="25B7EE22" w14:textId="77777777" w:rsidTr="006A4DF9">
        <w:trPr>
          <w:trHeight w:val="20"/>
        </w:trPr>
        <w:tc>
          <w:tcPr>
            <w:tcW w:w="1377" w:type="pct"/>
            <w:tcBorders>
              <w:top w:val="nil"/>
              <w:left w:val="nil"/>
              <w:bottom w:val="nil"/>
              <w:right w:val="nil"/>
            </w:tcBorders>
            <w:shd w:val="clear" w:color="auto" w:fill="auto"/>
            <w:noWrap/>
            <w:vAlign w:val="center"/>
            <w:hideMark/>
          </w:tcPr>
          <w:p w14:paraId="06BA75B0" w14:textId="77777777" w:rsidR="009738B1" w:rsidRPr="008669C3" w:rsidRDefault="009738B1" w:rsidP="009738B1">
            <w:pPr>
              <w:rPr>
                <w:iCs/>
                <w:sz w:val="22"/>
                <w:szCs w:val="22"/>
              </w:rPr>
            </w:pPr>
            <w:r w:rsidRPr="008669C3">
              <w:rPr>
                <w:iCs/>
                <w:sz w:val="22"/>
                <w:szCs w:val="22"/>
              </w:rPr>
              <w:t>Delta (thousand $)</w:t>
            </w:r>
          </w:p>
        </w:tc>
        <w:tc>
          <w:tcPr>
            <w:tcW w:w="398" w:type="pct"/>
            <w:tcBorders>
              <w:top w:val="nil"/>
              <w:left w:val="nil"/>
              <w:bottom w:val="nil"/>
              <w:right w:val="nil"/>
            </w:tcBorders>
            <w:shd w:val="clear" w:color="auto" w:fill="auto"/>
            <w:noWrap/>
            <w:vAlign w:val="bottom"/>
            <w:hideMark/>
          </w:tcPr>
          <w:p w14:paraId="3A419144" w14:textId="6070BC94" w:rsidR="009738B1" w:rsidRPr="008669C3" w:rsidRDefault="009738B1" w:rsidP="009738B1">
            <w:pPr>
              <w:jc w:val="center"/>
              <w:rPr>
                <w:sz w:val="22"/>
                <w:szCs w:val="22"/>
              </w:rPr>
            </w:pPr>
            <w:r w:rsidRPr="008669C3">
              <w:rPr>
                <w:sz w:val="22"/>
                <w:szCs w:val="22"/>
              </w:rPr>
              <w:t>9176</w:t>
            </w:r>
          </w:p>
        </w:tc>
        <w:tc>
          <w:tcPr>
            <w:tcW w:w="632" w:type="pct"/>
            <w:tcBorders>
              <w:top w:val="nil"/>
              <w:left w:val="nil"/>
              <w:bottom w:val="nil"/>
              <w:right w:val="nil"/>
            </w:tcBorders>
            <w:shd w:val="clear" w:color="auto" w:fill="auto"/>
            <w:noWrap/>
            <w:vAlign w:val="bottom"/>
            <w:hideMark/>
          </w:tcPr>
          <w:p w14:paraId="006EBD9E" w14:textId="5D8DBAC2" w:rsidR="009738B1" w:rsidRPr="008669C3" w:rsidRDefault="009738B1" w:rsidP="009738B1">
            <w:pPr>
              <w:jc w:val="center"/>
              <w:rPr>
                <w:sz w:val="22"/>
                <w:szCs w:val="22"/>
              </w:rPr>
            </w:pPr>
            <w:r w:rsidRPr="008669C3">
              <w:rPr>
                <w:color w:val="000000"/>
                <w:sz w:val="22"/>
                <w:szCs w:val="22"/>
              </w:rPr>
              <w:t>971.496</w:t>
            </w:r>
          </w:p>
        </w:tc>
        <w:tc>
          <w:tcPr>
            <w:tcW w:w="699" w:type="pct"/>
            <w:tcBorders>
              <w:top w:val="nil"/>
              <w:left w:val="nil"/>
              <w:bottom w:val="nil"/>
              <w:right w:val="nil"/>
            </w:tcBorders>
            <w:shd w:val="clear" w:color="auto" w:fill="auto"/>
            <w:noWrap/>
            <w:vAlign w:val="bottom"/>
            <w:hideMark/>
          </w:tcPr>
          <w:p w14:paraId="336CF6B2" w14:textId="3078CE88" w:rsidR="009738B1" w:rsidRPr="008669C3" w:rsidRDefault="009738B1" w:rsidP="009738B1">
            <w:pPr>
              <w:jc w:val="center"/>
              <w:rPr>
                <w:sz w:val="22"/>
                <w:szCs w:val="22"/>
              </w:rPr>
            </w:pPr>
            <w:r w:rsidRPr="008669C3">
              <w:rPr>
                <w:color w:val="000000"/>
                <w:sz w:val="22"/>
                <w:szCs w:val="22"/>
              </w:rPr>
              <w:t>8,939.381</w:t>
            </w:r>
          </w:p>
        </w:tc>
        <w:tc>
          <w:tcPr>
            <w:tcW w:w="632" w:type="pct"/>
            <w:tcBorders>
              <w:top w:val="nil"/>
              <w:left w:val="nil"/>
              <w:bottom w:val="nil"/>
              <w:right w:val="nil"/>
            </w:tcBorders>
            <w:shd w:val="clear" w:color="auto" w:fill="auto"/>
            <w:noWrap/>
            <w:vAlign w:val="bottom"/>
            <w:hideMark/>
          </w:tcPr>
          <w:p w14:paraId="7640C927" w14:textId="56F551F2" w:rsidR="009738B1" w:rsidRPr="008669C3" w:rsidRDefault="009738B1" w:rsidP="009738B1">
            <w:pPr>
              <w:jc w:val="center"/>
              <w:rPr>
                <w:sz w:val="22"/>
                <w:szCs w:val="22"/>
              </w:rPr>
            </w:pPr>
            <w:r w:rsidRPr="008669C3">
              <w:rPr>
                <w:color w:val="000000"/>
                <w:sz w:val="22"/>
                <w:szCs w:val="22"/>
              </w:rPr>
              <w:t>100.654</w:t>
            </w:r>
          </w:p>
        </w:tc>
        <w:tc>
          <w:tcPr>
            <w:tcW w:w="632" w:type="pct"/>
            <w:tcBorders>
              <w:top w:val="nil"/>
              <w:left w:val="nil"/>
              <w:bottom w:val="nil"/>
              <w:right w:val="nil"/>
            </w:tcBorders>
            <w:shd w:val="clear" w:color="auto" w:fill="auto"/>
            <w:noWrap/>
            <w:vAlign w:val="bottom"/>
            <w:hideMark/>
          </w:tcPr>
          <w:p w14:paraId="2E71D53E" w14:textId="1C259858" w:rsidR="009738B1" w:rsidRPr="008669C3" w:rsidRDefault="009738B1" w:rsidP="009738B1">
            <w:pPr>
              <w:jc w:val="center"/>
              <w:rPr>
                <w:sz w:val="22"/>
                <w:szCs w:val="22"/>
              </w:rPr>
            </w:pPr>
            <w:r w:rsidRPr="008669C3">
              <w:rPr>
                <w:color w:val="000000"/>
                <w:sz w:val="22"/>
                <w:szCs w:val="22"/>
              </w:rPr>
              <w:t>255.437</w:t>
            </w:r>
          </w:p>
        </w:tc>
        <w:tc>
          <w:tcPr>
            <w:tcW w:w="630" w:type="pct"/>
            <w:tcBorders>
              <w:top w:val="nil"/>
              <w:left w:val="nil"/>
              <w:bottom w:val="nil"/>
              <w:right w:val="nil"/>
            </w:tcBorders>
            <w:shd w:val="clear" w:color="auto" w:fill="auto"/>
            <w:noWrap/>
            <w:vAlign w:val="bottom"/>
            <w:hideMark/>
          </w:tcPr>
          <w:p w14:paraId="600E7554" w14:textId="0F3E4737" w:rsidR="009738B1" w:rsidRPr="008669C3" w:rsidRDefault="009738B1" w:rsidP="009738B1">
            <w:pPr>
              <w:jc w:val="center"/>
              <w:rPr>
                <w:sz w:val="22"/>
                <w:szCs w:val="22"/>
              </w:rPr>
            </w:pPr>
            <w:r w:rsidRPr="008669C3">
              <w:rPr>
                <w:color w:val="000000"/>
                <w:sz w:val="22"/>
                <w:szCs w:val="22"/>
              </w:rPr>
              <w:t>621.165</w:t>
            </w:r>
          </w:p>
        </w:tc>
      </w:tr>
      <w:tr w:rsidR="009738B1" w:rsidRPr="008669C3" w14:paraId="3066BD59" w14:textId="77777777" w:rsidTr="006A4DF9">
        <w:trPr>
          <w:trHeight w:val="20"/>
        </w:trPr>
        <w:tc>
          <w:tcPr>
            <w:tcW w:w="1377" w:type="pct"/>
            <w:tcBorders>
              <w:top w:val="nil"/>
              <w:left w:val="nil"/>
              <w:bottom w:val="nil"/>
              <w:right w:val="nil"/>
            </w:tcBorders>
            <w:shd w:val="clear" w:color="auto" w:fill="auto"/>
            <w:noWrap/>
            <w:vAlign w:val="center"/>
            <w:hideMark/>
          </w:tcPr>
          <w:p w14:paraId="1C37674B" w14:textId="77777777" w:rsidR="009738B1" w:rsidRPr="008669C3" w:rsidRDefault="009738B1" w:rsidP="009738B1">
            <w:pPr>
              <w:rPr>
                <w:iCs/>
                <w:sz w:val="22"/>
                <w:szCs w:val="22"/>
              </w:rPr>
            </w:pPr>
            <w:r w:rsidRPr="008669C3">
              <w:rPr>
                <w:iCs/>
                <w:sz w:val="22"/>
                <w:szCs w:val="22"/>
              </w:rPr>
              <w:t>Total pay (thousand $)</w:t>
            </w:r>
          </w:p>
        </w:tc>
        <w:tc>
          <w:tcPr>
            <w:tcW w:w="398" w:type="pct"/>
            <w:tcBorders>
              <w:top w:val="nil"/>
              <w:left w:val="nil"/>
              <w:bottom w:val="nil"/>
              <w:right w:val="nil"/>
            </w:tcBorders>
            <w:shd w:val="clear" w:color="auto" w:fill="auto"/>
            <w:noWrap/>
            <w:vAlign w:val="bottom"/>
            <w:hideMark/>
          </w:tcPr>
          <w:p w14:paraId="14827307" w14:textId="3BF2DE60" w:rsidR="009738B1" w:rsidRPr="008669C3" w:rsidRDefault="009738B1" w:rsidP="009738B1">
            <w:pPr>
              <w:jc w:val="center"/>
              <w:rPr>
                <w:sz w:val="22"/>
                <w:szCs w:val="22"/>
              </w:rPr>
            </w:pPr>
            <w:r w:rsidRPr="008669C3">
              <w:rPr>
                <w:sz w:val="22"/>
                <w:szCs w:val="22"/>
              </w:rPr>
              <w:t>9176</w:t>
            </w:r>
          </w:p>
        </w:tc>
        <w:tc>
          <w:tcPr>
            <w:tcW w:w="632" w:type="pct"/>
            <w:tcBorders>
              <w:top w:val="nil"/>
              <w:left w:val="nil"/>
              <w:bottom w:val="nil"/>
              <w:right w:val="nil"/>
            </w:tcBorders>
            <w:shd w:val="clear" w:color="auto" w:fill="auto"/>
            <w:noWrap/>
            <w:vAlign w:val="bottom"/>
            <w:hideMark/>
          </w:tcPr>
          <w:p w14:paraId="6B8391A8" w14:textId="25980496" w:rsidR="009738B1" w:rsidRPr="008669C3" w:rsidRDefault="009738B1" w:rsidP="009738B1">
            <w:pPr>
              <w:jc w:val="center"/>
              <w:rPr>
                <w:sz w:val="22"/>
                <w:szCs w:val="22"/>
              </w:rPr>
            </w:pPr>
            <w:r w:rsidRPr="008669C3">
              <w:rPr>
                <w:color w:val="000000"/>
                <w:sz w:val="22"/>
                <w:szCs w:val="22"/>
              </w:rPr>
              <w:t>5,978.463</w:t>
            </w:r>
          </w:p>
        </w:tc>
        <w:tc>
          <w:tcPr>
            <w:tcW w:w="699" w:type="pct"/>
            <w:tcBorders>
              <w:top w:val="nil"/>
              <w:left w:val="nil"/>
              <w:bottom w:val="nil"/>
              <w:right w:val="nil"/>
            </w:tcBorders>
            <w:shd w:val="clear" w:color="auto" w:fill="auto"/>
            <w:noWrap/>
            <w:vAlign w:val="bottom"/>
            <w:hideMark/>
          </w:tcPr>
          <w:p w14:paraId="3177CA20" w14:textId="53F4A56A" w:rsidR="009738B1" w:rsidRPr="008669C3" w:rsidRDefault="009738B1" w:rsidP="009738B1">
            <w:pPr>
              <w:jc w:val="center"/>
              <w:rPr>
                <w:sz w:val="22"/>
                <w:szCs w:val="22"/>
              </w:rPr>
            </w:pPr>
            <w:r w:rsidRPr="008669C3">
              <w:rPr>
                <w:color w:val="000000"/>
                <w:sz w:val="22"/>
                <w:szCs w:val="22"/>
              </w:rPr>
              <w:t>6,851.350</w:t>
            </w:r>
          </w:p>
        </w:tc>
        <w:tc>
          <w:tcPr>
            <w:tcW w:w="632" w:type="pct"/>
            <w:tcBorders>
              <w:top w:val="nil"/>
              <w:left w:val="nil"/>
              <w:bottom w:val="nil"/>
              <w:right w:val="nil"/>
            </w:tcBorders>
            <w:shd w:val="clear" w:color="auto" w:fill="auto"/>
            <w:noWrap/>
            <w:vAlign w:val="bottom"/>
            <w:hideMark/>
          </w:tcPr>
          <w:p w14:paraId="5B91FD46" w14:textId="6B7AB2D0" w:rsidR="009738B1" w:rsidRPr="008669C3" w:rsidRDefault="009738B1" w:rsidP="009738B1">
            <w:pPr>
              <w:jc w:val="center"/>
              <w:rPr>
                <w:sz w:val="22"/>
                <w:szCs w:val="22"/>
              </w:rPr>
            </w:pPr>
            <w:r w:rsidRPr="008669C3">
              <w:rPr>
                <w:color w:val="000000"/>
                <w:sz w:val="22"/>
                <w:szCs w:val="22"/>
              </w:rPr>
              <w:t>2,073.629</w:t>
            </w:r>
          </w:p>
        </w:tc>
        <w:tc>
          <w:tcPr>
            <w:tcW w:w="632" w:type="pct"/>
            <w:tcBorders>
              <w:top w:val="nil"/>
              <w:left w:val="nil"/>
              <w:bottom w:val="nil"/>
              <w:right w:val="nil"/>
            </w:tcBorders>
            <w:shd w:val="clear" w:color="auto" w:fill="auto"/>
            <w:noWrap/>
            <w:vAlign w:val="bottom"/>
            <w:hideMark/>
          </w:tcPr>
          <w:p w14:paraId="0AAE437F" w14:textId="5D2AD790" w:rsidR="009738B1" w:rsidRPr="008669C3" w:rsidRDefault="009738B1" w:rsidP="009738B1">
            <w:pPr>
              <w:jc w:val="center"/>
              <w:rPr>
                <w:sz w:val="22"/>
                <w:szCs w:val="22"/>
              </w:rPr>
            </w:pPr>
            <w:r w:rsidRPr="008669C3">
              <w:rPr>
                <w:color w:val="000000"/>
                <w:sz w:val="22"/>
                <w:szCs w:val="22"/>
              </w:rPr>
              <w:t>4,084.310</w:t>
            </w:r>
          </w:p>
        </w:tc>
        <w:tc>
          <w:tcPr>
            <w:tcW w:w="630" w:type="pct"/>
            <w:tcBorders>
              <w:top w:val="nil"/>
              <w:left w:val="nil"/>
              <w:bottom w:val="nil"/>
              <w:right w:val="nil"/>
            </w:tcBorders>
            <w:shd w:val="clear" w:color="auto" w:fill="auto"/>
            <w:noWrap/>
            <w:vAlign w:val="bottom"/>
            <w:hideMark/>
          </w:tcPr>
          <w:p w14:paraId="5A60032D" w14:textId="4F9C8ED8" w:rsidR="009738B1" w:rsidRPr="008669C3" w:rsidRDefault="009738B1" w:rsidP="009738B1">
            <w:pPr>
              <w:jc w:val="center"/>
              <w:rPr>
                <w:sz w:val="22"/>
                <w:szCs w:val="22"/>
              </w:rPr>
            </w:pPr>
            <w:r w:rsidRPr="008669C3">
              <w:rPr>
                <w:color w:val="000000"/>
                <w:sz w:val="22"/>
                <w:szCs w:val="22"/>
              </w:rPr>
              <w:t>7,436.689</w:t>
            </w:r>
          </w:p>
        </w:tc>
      </w:tr>
      <w:tr w:rsidR="009738B1" w:rsidRPr="008669C3" w14:paraId="47819F4A" w14:textId="77777777" w:rsidTr="006A4DF9">
        <w:trPr>
          <w:trHeight w:val="20"/>
        </w:trPr>
        <w:tc>
          <w:tcPr>
            <w:tcW w:w="1377" w:type="pct"/>
            <w:tcBorders>
              <w:top w:val="nil"/>
              <w:left w:val="nil"/>
              <w:bottom w:val="nil"/>
              <w:right w:val="nil"/>
            </w:tcBorders>
            <w:shd w:val="clear" w:color="auto" w:fill="auto"/>
            <w:noWrap/>
            <w:vAlign w:val="center"/>
            <w:hideMark/>
          </w:tcPr>
          <w:p w14:paraId="707ADDAA" w14:textId="77777777" w:rsidR="009738B1" w:rsidRPr="008669C3" w:rsidRDefault="009738B1" w:rsidP="009738B1">
            <w:pPr>
              <w:rPr>
                <w:iCs/>
                <w:sz w:val="22"/>
                <w:szCs w:val="22"/>
              </w:rPr>
            </w:pPr>
            <w:r w:rsidRPr="008669C3">
              <w:rPr>
                <w:iCs/>
                <w:sz w:val="22"/>
                <w:szCs w:val="22"/>
              </w:rPr>
              <w:t>Equity mix</w:t>
            </w:r>
          </w:p>
        </w:tc>
        <w:tc>
          <w:tcPr>
            <w:tcW w:w="398" w:type="pct"/>
            <w:tcBorders>
              <w:top w:val="nil"/>
              <w:left w:val="nil"/>
              <w:bottom w:val="nil"/>
              <w:right w:val="nil"/>
            </w:tcBorders>
            <w:shd w:val="clear" w:color="auto" w:fill="auto"/>
            <w:noWrap/>
            <w:vAlign w:val="bottom"/>
            <w:hideMark/>
          </w:tcPr>
          <w:p w14:paraId="3496B6E6" w14:textId="319A39BB" w:rsidR="009738B1" w:rsidRPr="008669C3" w:rsidRDefault="009738B1" w:rsidP="009738B1">
            <w:pPr>
              <w:jc w:val="center"/>
              <w:rPr>
                <w:sz w:val="22"/>
                <w:szCs w:val="22"/>
              </w:rPr>
            </w:pPr>
            <w:r w:rsidRPr="008669C3">
              <w:rPr>
                <w:sz w:val="22"/>
                <w:szCs w:val="22"/>
              </w:rPr>
              <w:t>9176</w:t>
            </w:r>
          </w:p>
        </w:tc>
        <w:tc>
          <w:tcPr>
            <w:tcW w:w="632" w:type="pct"/>
            <w:tcBorders>
              <w:top w:val="nil"/>
              <w:left w:val="nil"/>
              <w:bottom w:val="nil"/>
              <w:right w:val="nil"/>
            </w:tcBorders>
            <w:shd w:val="clear" w:color="auto" w:fill="auto"/>
            <w:noWrap/>
            <w:vAlign w:val="bottom"/>
            <w:hideMark/>
          </w:tcPr>
          <w:p w14:paraId="14F35E03" w14:textId="5ABFF5D9" w:rsidR="009738B1" w:rsidRPr="008669C3" w:rsidRDefault="009738B1" w:rsidP="009738B1">
            <w:pPr>
              <w:jc w:val="center"/>
              <w:rPr>
                <w:sz w:val="22"/>
                <w:szCs w:val="22"/>
              </w:rPr>
            </w:pPr>
            <w:r w:rsidRPr="008669C3">
              <w:rPr>
                <w:sz w:val="22"/>
                <w:szCs w:val="22"/>
              </w:rPr>
              <w:t>0.669</w:t>
            </w:r>
          </w:p>
        </w:tc>
        <w:tc>
          <w:tcPr>
            <w:tcW w:w="699" w:type="pct"/>
            <w:tcBorders>
              <w:top w:val="nil"/>
              <w:left w:val="nil"/>
              <w:bottom w:val="nil"/>
              <w:right w:val="nil"/>
            </w:tcBorders>
            <w:shd w:val="clear" w:color="auto" w:fill="auto"/>
            <w:noWrap/>
            <w:vAlign w:val="bottom"/>
            <w:hideMark/>
          </w:tcPr>
          <w:p w14:paraId="576A655E" w14:textId="7C67418C" w:rsidR="009738B1" w:rsidRPr="008669C3" w:rsidRDefault="009738B1" w:rsidP="009738B1">
            <w:pPr>
              <w:jc w:val="center"/>
              <w:rPr>
                <w:sz w:val="22"/>
                <w:szCs w:val="22"/>
              </w:rPr>
            </w:pPr>
            <w:r w:rsidRPr="008669C3">
              <w:rPr>
                <w:sz w:val="22"/>
                <w:szCs w:val="22"/>
              </w:rPr>
              <w:t>0.242</w:t>
            </w:r>
          </w:p>
        </w:tc>
        <w:tc>
          <w:tcPr>
            <w:tcW w:w="632" w:type="pct"/>
            <w:tcBorders>
              <w:top w:val="nil"/>
              <w:left w:val="nil"/>
              <w:bottom w:val="nil"/>
              <w:right w:val="nil"/>
            </w:tcBorders>
            <w:shd w:val="clear" w:color="auto" w:fill="auto"/>
            <w:noWrap/>
            <w:vAlign w:val="bottom"/>
            <w:hideMark/>
          </w:tcPr>
          <w:p w14:paraId="27BF9D8B" w14:textId="671A822E" w:rsidR="009738B1" w:rsidRPr="008669C3" w:rsidRDefault="009738B1" w:rsidP="009738B1">
            <w:pPr>
              <w:jc w:val="center"/>
              <w:rPr>
                <w:sz w:val="22"/>
                <w:szCs w:val="22"/>
              </w:rPr>
            </w:pPr>
            <w:r w:rsidRPr="008669C3">
              <w:rPr>
                <w:sz w:val="22"/>
                <w:szCs w:val="22"/>
              </w:rPr>
              <w:t>0.556</w:t>
            </w:r>
          </w:p>
        </w:tc>
        <w:tc>
          <w:tcPr>
            <w:tcW w:w="632" w:type="pct"/>
            <w:tcBorders>
              <w:top w:val="nil"/>
              <w:left w:val="nil"/>
              <w:bottom w:val="nil"/>
              <w:right w:val="nil"/>
            </w:tcBorders>
            <w:shd w:val="clear" w:color="auto" w:fill="auto"/>
            <w:noWrap/>
            <w:vAlign w:val="bottom"/>
            <w:hideMark/>
          </w:tcPr>
          <w:p w14:paraId="7D0BA187" w14:textId="66F8009A" w:rsidR="009738B1" w:rsidRPr="008669C3" w:rsidRDefault="009738B1" w:rsidP="009738B1">
            <w:pPr>
              <w:jc w:val="center"/>
              <w:rPr>
                <w:sz w:val="22"/>
                <w:szCs w:val="22"/>
              </w:rPr>
            </w:pPr>
            <w:r w:rsidRPr="008669C3">
              <w:rPr>
                <w:sz w:val="22"/>
                <w:szCs w:val="22"/>
              </w:rPr>
              <w:t>0.750</w:t>
            </w:r>
          </w:p>
        </w:tc>
        <w:tc>
          <w:tcPr>
            <w:tcW w:w="630" w:type="pct"/>
            <w:tcBorders>
              <w:top w:val="nil"/>
              <w:left w:val="nil"/>
              <w:bottom w:val="nil"/>
              <w:right w:val="nil"/>
            </w:tcBorders>
            <w:shd w:val="clear" w:color="auto" w:fill="auto"/>
            <w:noWrap/>
            <w:vAlign w:val="bottom"/>
            <w:hideMark/>
          </w:tcPr>
          <w:p w14:paraId="4240B58C" w14:textId="42149088" w:rsidR="009738B1" w:rsidRPr="008669C3" w:rsidRDefault="009738B1" w:rsidP="009738B1">
            <w:pPr>
              <w:jc w:val="center"/>
              <w:rPr>
                <w:sz w:val="22"/>
                <w:szCs w:val="22"/>
              </w:rPr>
            </w:pPr>
            <w:r w:rsidRPr="008669C3">
              <w:rPr>
                <w:sz w:val="22"/>
                <w:szCs w:val="22"/>
              </w:rPr>
              <w:t>0.850</w:t>
            </w:r>
          </w:p>
        </w:tc>
      </w:tr>
      <w:tr w:rsidR="009738B1" w:rsidRPr="008669C3" w14:paraId="2386D81F" w14:textId="77777777" w:rsidTr="006A4DF9">
        <w:trPr>
          <w:trHeight w:val="20"/>
        </w:trPr>
        <w:tc>
          <w:tcPr>
            <w:tcW w:w="1377" w:type="pct"/>
            <w:tcBorders>
              <w:top w:val="nil"/>
              <w:left w:val="nil"/>
              <w:bottom w:val="nil"/>
              <w:right w:val="nil"/>
            </w:tcBorders>
            <w:shd w:val="clear" w:color="auto" w:fill="auto"/>
            <w:noWrap/>
            <w:vAlign w:val="center"/>
            <w:hideMark/>
          </w:tcPr>
          <w:p w14:paraId="52C8B525" w14:textId="77777777" w:rsidR="009738B1" w:rsidRPr="008669C3" w:rsidRDefault="009738B1" w:rsidP="009738B1">
            <w:pPr>
              <w:rPr>
                <w:iCs/>
                <w:sz w:val="22"/>
                <w:szCs w:val="22"/>
              </w:rPr>
            </w:pPr>
            <w:r w:rsidRPr="008669C3">
              <w:rPr>
                <w:iCs/>
                <w:sz w:val="22"/>
                <w:szCs w:val="22"/>
              </w:rPr>
              <w:t xml:space="preserve">Board independence </w:t>
            </w:r>
          </w:p>
        </w:tc>
        <w:tc>
          <w:tcPr>
            <w:tcW w:w="398" w:type="pct"/>
            <w:tcBorders>
              <w:top w:val="nil"/>
              <w:left w:val="nil"/>
              <w:bottom w:val="nil"/>
              <w:right w:val="nil"/>
            </w:tcBorders>
            <w:shd w:val="clear" w:color="auto" w:fill="auto"/>
            <w:noWrap/>
            <w:vAlign w:val="bottom"/>
            <w:hideMark/>
          </w:tcPr>
          <w:p w14:paraId="78DA2F6B" w14:textId="628B6226" w:rsidR="009738B1" w:rsidRPr="008669C3" w:rsidRDefault="009738B1" w:rsidP="009738B1">
            <w:pPr>
              <w:jc w:val="center"/>
              <w:rPr>
                <w:sz w:val="22"/>
                <w:szCs w:val="22"/>
              </w:rPr>
            </w:pPr>
            <w:r w:rsidRPr="008669C3">
              <w:rPr>
                <w:sz w:val="22"/>
                <w:szCs w:val="22"/>
              </w:rPr>
              <w:t>9176</w:t>
            </w:r>
          </w:p>
        </w:tc>
        <w:tc>
          <w:tcPr>
            <w:tcW w:w="632" w:type="pct"/>
            <w:tcBorders>
              <w:top w:val="nil"/>
              <w:left w:val="nil"/>
              <w:bottom w:val="nil"/>
              <w:right w:val="nil"/>
            </w:tcBorders>
            <w:shd w:val="clear" w:color="auto" w:fill="auto"/>
            <w:noWrap/>
            <w:vAlign w:val="bottom"/>
            <w:hideMark/>
          </w:tcPr>
          <w:p w14:paraId="655A1A0C" w14:textId="16A438BC" w:rsidR="009738B1" w:rsidRPr="008669C3" w:rsidRDefault="009738B1" w:rsidP="009738B1">
            <w:pPr>
              <w:jc w:val="center"/>
              <w:rPr>
                <w:sz w:val="22"/>
                <w:szCs w:val="22"/>
              </w:rPr>
            </w:pPr>
            <w:r w:rsidRPr="008669C3">
              <w:rPr>
                <w:sz w:val="22"/>
                <w:szCs w:val="22"/>
              </w:rPr>
              <w:t>0.759</w:t>
            </w:r>
          </w:p>
        </w:tc>
        <w:tc>
          <w:tcPr>
            <w:tcW w:w="699" w:type="pct"/>
            <w:tcBorders>
              <w:top w:val="nil"/>
              <w:left w:val="nil"/>
              <w:bottom w:val="nil"/>
              <w:right w:val="nil"/>
            </w:tcBorders>
            <w:shd w:val="clear" w:color="auto" w:fill="auto"/>
            <w:noWrap/>
            <w:vAlign w:val="bottom"/>
            <w:hideMark/>
          </w:tcPr>
          <w:p w14:paraId="4CA63A11" w14:textId="5ACC45E8" w:rsidR="009738B1" w:rsidRPr="008669C3" w:rsidRDefault="009738B1" w:rsidP="009738B1">
            <w:pPr>
              <w:jc w:val="center"/>
              <w:rPr>
                <w:sz w:val="22"/>
                <w:szCs w:val="22"/>
              </w:rPr>
            </w:pPr>
            <w:r w:rsidRPr="008669C3">
              <w:rPr>
                <w:sz w:val="22"/>
                <w:szCs w:val="22"/>
              </w:rPr>
              <w:t>0.138</w:t>
            </w:r>
          </w:p>
        </w:tc>
        <w:tc>
          <w:tcPr>
            <w:tcW w:w="632" w:type="pct"/>
            <w:tcBorders>
              <w:top w:val="nil"/>
              <w:left w:val="nil"/>
              <w:bottom w:val="nil"/>
              <w:right w:val="nil"/>
            </w:tcBorders>
            <w:shd w:val="clear" w:color="auto" w:fill="auto"/>
            <w:noWrap/>
            <w:vAlign w:val="bottom"/>
            <w:hideMark/>
          </w:tcPr>
          <w:p w14:paraId="200E73BF" w14:textId="2072D1F4" w:rsidR="009738B1" w:rsidRPr="008669C3" w:rsidRDefault="009738B1" w:rsidP="009738B1">
            <w:pPr>
              <w:jc w:val="center"/>
              <w:rPr>
                <w:sz w:val="22"/>
                <w:szCs w:val="22"/>
              </w:rPr>
            </w:pPr>
            <w:r w:rsidRPr="008669C3">
              <w:rPr>
                <w:sz w:val="22"/>
                <w:szCs w:val="22"/>
              </w:rPr>
              <w:t>0.667</w:t>
            </w:r>
          </w:p>
        </w:tc>
        <w:tc>
          <w:tcPr>
            <w:tcW w:w="632" w:type="pct"/>
            <w:tcBorders>
              <w:top w:val="nil"/>
              <w:left w:val="nil"/>
              <w:bottom w:val="nil"/>
              <w:right w:val="nil"/>
            </w:tcBorders>
            <w:shd w:val="clear" w:color="auto" w:fill="auto"/>
            <w:noWrap/>
            <w:vAlign w:val="bottom"/>
            <w:hideMark/>
          </w:tcPr>
          <w:p w14:paraId="657B2A7F" w14:textId="7D3C72A1" w:rsidR="009738B1" w:rsidRPr="008669C3" w:rsidRDefault="009738B1" w:rsidP="009738B1">
            <w:pPr>
              <w:jc w:val="center"/>
              <w:rPr>
                <w:sz w:val="22"/>
                <w:szCs w:val="22"/>
              </w:rPr>
            </w:pPr>
            <w:r w:rsidRPr="008669C3">
              <w:rPr>
                <w:sz w:val="22"/>
                <w:szCs w:val="22"/>
              </w:rPr>
              <w:t>0.778</w:t>
            </w:r>
          </w:p>
        </w:tc>
        <w:tc>
          <w:tcPr>
            <w:tcW w:w="630" w:type="pct"/>
            <w:tcBorders>
              <w:top w:val="nil"/>
              <w:left w:val="nil"/>
              <w:bottom w:val="nil"/>
              <w:right w:val="nil"/>
            </w:tcBorders>
            <w:shd w:val="clear" w:color="auto" w:fill="auto"/>
            <w:noWrap/>
            <w:vAlign w:val="bottom"/>
            <w:hideMark/>
          </w:tcPr>
          <w:p w14:paraId="411A283F" w14:textId="7EE66451" w:rsidR="009738B1" w:rsidRPr="008669C3" w:rsidRDefault="009738B1" w:rsidP="009738B1">
            <w:pPr>
              <w:jc w:val="center"/>
              <w:rPr>
                <w:sz w:val="22"/>
                <w:szCs w:val="22"/>
              </w:rPr>
            </w:pPr>
            <w:r w:rsidRPr="008669C3">
              <w:rPr>
                <w:sz w:val="22"/>
                <w:szCs w:val="22"/>
              </w:rPr>
              <w:t>0.875</w:t>
            </w:r>
          </w:p>
        </w:tc>
      </w:tr>
      <w:tr w:rsidR="009738B1" w:rsidRPr="008669C3" w14:paraId="2A6CDCD9" w14:textId="77777777" w:rsidTr="00A66841">
        <w:trPr>
          <w:trHeight w:val="20"/>
        </w:trPr>
        <w:tc>
          <w:tcPr>
            <w:tcW w:w="1377" w:type="pct"/>
            <w:tcBorders>
              <w:top w:val="nil"/>
              <w:left w:val="nil"/>
              <w:right w:val="nil"/>
            </w:tcBorders>
            <w:shd w:val="clear" w:color="auto" w:fill="auto"/>
            <w:noWrap/>
            <w:vAlign w:val="center"/>
            <w:hideMark/>
          </w:tcPr>
          <w:p w14:paraId="071DF1EF" w14:textId="77777777" w:rsidR="009738B1" w:rsidRPr="008669C3" w:rsidRDefault="009738B1" w:rsidP="009738B1">
            <w:pPr>
              <w:rPr>
                <w:iCs/>
                <w:sz w:val="22"/>
                <w:szCs w:val="22"/>
              </w:rPr>
            </w:pPr>
            <w:r w:rsidRPr="008669C3">
              <w:rPr>
                <w:iCs/>
                <w:sz w:val="22"/>
                <w:szCs w:val="22"/>
              </w:rPr>
              <w:t>Institutional ownership</w:t>
            </w:r>
          </w:p>
        </w:tc>
        <w:tc>
          <w:tcPr>
            <w:tcW w:w="398" w:type="pct"/>
            <w:tcBorders>
              <w:top w:val="nil"/>
              <w:left w:val="nil"/>
              <w:right w:val="nil"/>
            </w:tcBorders>
            <w:shd w:val="clear" w:color="auto" w:fill="auto"/>
            <w:noWrap/>
            <w:vAlign w:val="bottom"/>
            <w:hideMark/>
          </w:tcPr>
          <w:p w14:paraId="22D71B0B" w14:textId="05E6452B" w:rsidR="009738B1" w:rsidRPr="008669C3" w:rsidRDefault="009738B1" w:rsidP="009738B1">
            <w:pPr>
              <w:jc w:val="center"/>
              <w:rPr>
                <w:sz w:val="22"/>
                <w:szCs w:val="22"/>
              </w:rPr>
            </w:pPr>
            <w:r w:rsidRPr="008669C3">
              <w:rPr>
                <w:sz w:val="22"/>
                <w:szCs w:val="22"/>
              </w:rPr>
              <w:t>9176</w:t>
            </w:r>
          </w:p>
        </w:tc>
        <w:tc>
          <w:tcPr>
            <w:tcW w:w="632" w:type="pct"/>
            <w:tcBorders>
              <w:top w:val="nil"/>
              <w:left w:val="nil"/>
              <w:right w:val="nil"/>
            </w:tcBorders>
            <w:shd w:val="clear" w:color="auto" w:fill="auto"/>
            <w:noWrap/>
            <w:vAlign w:val="bottom"/>
            <w:hideMark/>
          </w:tcPr>
          <w:p w14:paraId="313537D5" w14:textId="63DBEA4C" w:rsidR="009738B1" w:rsidRPr="008669C3" w:rsidRDefault="009738B1" w:rsidP="009738B1">
            <w:pPr>
              <w:jc w:val="center"/>
              <w:rPr>
                <w:sz w:val="22"/>
                <w:szCs w:val="22"/>
              </w:rPr>
            </w:pPr>
            <w:r w:rsidRPr="008669C3">
              <w:rPr>
                <w:sz w:val="22"/>
                <w:szCs w:val="22"/>
              </w:rPr>
              <w:t>0.775</w:t>
            </w:r>
          </w:p>
        </w:tc>
        <w:tc>
          <w:tcPr>
            <w:tcW w:w="699" w:type="pct"/>
            <w:tcBorders>
              <w:top w:val="nil"/>
              <w:left w:val="nil"/>
              <w:right w:val="nil"/>
            </w:tcBorders>
            <w:shd w:val="clear" w:color="auto" w:fill="auto"/>
            <w:noWrap/>
            <w:vAlign w:val="bottom"/>
            <w:hideMark/>
          </w:tcPr>
          <w:p w14:paraId="61ABC11E" w14:textId="6A68F6C5" w:rsidR="009738B1" w:rsidRPr="008669C3" w:rsidRDefault="009738B1" w:rsidP="009738B1">
            <w:pPr>
              <w:jc w:val="center"/>
              <w:rPr>
                <w:sz w:val="22"/>
                <w:szCs w:val="22"/>
              </w:rPr>
            </w:pPr>
            <w:r w:rsidRPr="008669C3">
              <w:rPr>
                <w:sz w:val="22"/>
                <w:szCs w:val="22"/>
              </w:rPr>
              <w:t>0.171</w:t>
            </w:r>
          </w:p>
        </w:tc>
        <w:tc>
          <w:tcPr>
            <w:tcW w:w="632" w:type="pct"/>
            <w:tcBorders>
              <w:top w:val="nil"/>
              <w:left w:val="nil"/>
              <w:right w:val="nil"/>
            </w:tcBorders>
            <w:shd w:val="clear" w:color="auto" w:fill="auto"/>
            <w:noWrap/>
            <w:vAlign w:val="bottom"/>
            <w:hideMark/>
          </w:tcPr>
          <w:p w14:paraId="151C7477" w14:textId="58150B47" w:rsidR="009738B1" w:rsidRPr="008669C3" w:rsidRDefault="009738B1" w:rsidP="009738B1">
            <w:pPr>
              <w:jc w:val="center"/>
              <w:rPr>
                <w:sz w:val="22"/>
                <w:szCs w:val="22"/>
              </w:rPr>
            </w:pPr>
            <w:r w:rsidRPr="008669C3">
              <w:rPr>
                <w:sz w:val="22"/>
                <w:szCs w:val="22"/>
              </w:rPr>
              <w:t>0.672</w:t>
            </w:r>
          </w:p>
        </w:tc>
        <w:tc>
          <w:tcPr>
            <w:tcW w:w="632" w:type="pct"/>
            <w:tcBorders>
              <w:top w:val="nil"/>
              <w:left w:val="nil"/>
              <w:right w:val="nil"/>
            </w:tcBorders>
            <w:shd w:val="clear" w:color="auto" w:fill="auto"/>
            <w:noWrap/>
            <w:vAlign w:val="bottom"/>
            <w:hideMark/>
          </w:tcPr>
          <w:p w14:paraId="7FACC787" w14:textId="59D9B6BE" w:rsidR="009738B1" w:rsidRPr="008669C3" w:rsidRDefault="009738B1" w:rsidP="009738B1">
            <w:pPr>
              <w:jc w:val="center"/>
              <w:rPr>
                <w:sz w:val="22"/>
                <w:szCs w:val="22"/>
              </w:rPr>
            </w:pPr>
            <w:r w:rsidRPr="008669C3">
              <w:rPr>
                <w:sz w:val="22"/>
                <w:szCs w:val="22"/>
              </w:rPr>
              <w:t>0.790</w:t>
            </w:r>
          </w:p>
        </w:tc>
        <w:tc>
          <w:tcPr>
            <w:tcW w:w="630" w:type="pct"/>
            <w:tcBorders>
              <w:top w:val="nil"/>
              <w:left w:val="nil"/>
              <w:right w:val="nil"/>
            </w:tcBorders>
            <w:shd w:val="clear" w:color="auto" w:fill="auto"/>
            <w:noWrap/>
            <w:vAlign w:val="bottom"/>
            <w:hideMark/>
          </w:tcPr>
          <w:p w14:paraId="226F7F21" w14:textId="2C71228C" w:rsidR="009738B1" w:rsidRPr="008669C3" w:rsidRDefault="009738B1" w:rsidP="009738B1">
            <w:pPr>
              <w:jc w:val="center"/>
              <w:rPr>
                <w:sz w:val="22"/>
                <w:szCs w:val="22"/>
              </w:rPr>
            </w:pPr>
            <w:r w:rsidRPr="008669C3">
              <w:rPr>
                <w:sz w:val="22"/>
                <w:szCs w:val="22"/>
              </w:rPr>
              <w:t>0.889</w:t>
            </w:r>
          </w:p>
        </w:tc>
      </w:tr>
      <w:tr w:rsidR="009738B1" w:rsidRPr="008669C3" w14:paraId="65FE784A" w14:textId="77777777" w:rsidTr="00A66841">
        <w:trPr>
          <w:trHeight w:val="20"/>
        </w:trPr>
        <w:tc>
          <w:tcPr>
            <w:tcW w:w="1377" w:type="pct"/>
            <w:tcBorders>
              <w:top w:val="nil"/>
              <w:left w:val="nil"/>
              <w:bottom w:val="single" w:sz="4" w:space="0" w:color="auto"/>
              <w:right w:val="nil"/>
            </w:tcBorders>
            <w:shd w:val="clear" w:color="auto" w:fill="auto"/>
            <w:noWrap/>
            <w:vAlign w:val="center"/>
            <w:hideMark/>
          </w:tcPr>
          <w:p w14:paraId="2D612BBA" w14:textId="77777777" w:rsidR="009738B1" w:rsidRPr="008669C3" w:rsidRDefault="009738B1" w:rsidP="009738B1">
            <w:pPr>
              <w:rPr>
                <w:iCs/>
                <w:sz w:val="22"/>
                <w:szCs w:val="22"/>
              </w:rPr>
            </w:pPr>
            <w:r w:rsidRPr="008669C3">
              <w:rPr>
                <w:iCs/>
                <w:sz w:val="22"/>
                <w:szCs w:val="22"/>
              </w:rPr>
              <w:t>E index</w:t>
            </w:r>
          </w:p>
        </w:tc>
        <w:tc>
          <w:tcPr>
            <w:tcW w:w="398" w:type="pct"/>
            <w:tcBorders>
              <w:top w:val="nil"/>
              <w:left w:val="nil"/>
              <w:bottom w:val="single" w:sz="4" w:space="0" w:color="auto"/>
              <w:right w:val="nil"/>
            </w:tcBorders>
            <w:shd w:val="clear" w:color="auto" w:fill="auto"/>
            <w:noWrap/>
            <w:vAlign w:val="bottom"/>
            <w:hideMark/>
          </w:tcPr>
          <w:p w14:paraId="03D74F92" w14:textId="3FE0D3DD" w:rsidR="009738B1" w:rsidRPr="008669C3" w:rsidRDefault="009738B1" w:rsidP="009738B1">
            <w:pPr>
              <w:jc w:val="center"/>
              <w:rPr>
                <w:sz w:val="22"/>
                <w:szCs w:val="22"/>
              </w:rPr>
            </w:pPr>
            <w:r w:rsidRPr="008669C3">
              <w:rPr>
                <w:sz w:val="22"/>
                <w:szCs w:val="22"/>
              </w:rPr>
              <w:t>9176</w:t>
            </w:r>
          </w:p>
        </w:tc>
        <w:tc>
          <w:tcPr>
            <w:tcW w:w="632" w:type="pct"/>
            <w:tcBorders>
              <w:top w:val="nil"/>
              <w:left w:val="nil"/>
              <w:bottom w:val="single" w:sz="4" w:space="0" w:color="auto"/>
              <w:right w:val="nil"/>
            </w:tcBorders>
            <w:shd w:val="clear" w:color="auto" w:fill="auto"/>
            <w:noWrap/>
            <w:vAlign w:val="bottom"/>
            <w:hideMark/>
          </w:tcPr>
          <w:p w14:paraId="76145513" w14:textId="5AD38379" w:rsidR="009738B1" w:rsidRPr="008669C3" w:rsidRDefault="009738B1" w:rsidP="009738B1">
            <w:pPr>
              <w:jc w:val="center"/>
              <w:rPr>
                <w:sz w:val="22"/>
                <w:szCs w:val="22"/>
              </w:rPr>
            </w:pPr>
            <w:r w:rsidRPr="008669C3">
              <w:rPr>
                <w:sz w:val="22"/>
                <w:szCs w:val="22"/>
              </w:rPr>
              <w:t>2.567</w:t>
            </w:r>
          </w:p>
        </w:tc>
        <w:tc>
          <w:tcPr>
            <w:tcW w:w="699" w:type="pct"/>
            <w:tcBorders>
              <w:top w:val="nil"/>
              <w:left w:val="nil"/>
              <w:bottom w:val="single" w:sz="4" w:space="0" w:color="auto"/>
              <w:right w:val="nil"/>
            </w:tcBorders>
            <w:shd w:val="clear" w:color="auto" w:fill="auto"/>
            <w:noWrap/>
            <w:vAlign w:val="bottom"/>
            <w:hideMark/>
          </w:tcPr>
          <w:p w14:paraId="0510AD39" w14:textId="44A82013" w:rsidR="009738B1" w:rsidRPr="008669C3" w:rsidRDefault="009738B1" w:rsidP="009738B1">
            <w:pPr>
              <w:jc w:val="center"/>
              <w:rPr>
                <w:sz w:val="22"/>
                <w:szCs w:val="22"/>
              </w:rPr>
            </w:pPr>
            <w:r w:rsidRPr="008669C3">
              <w:rPr>
                <w:sz w:val="22"/>
                <w:szCs w:val="22"/>
              </w:rPr>
              <w:t>1.232</w:t>
            </w:r>
          </w:p>
        </w:tc>
        <w:tc>
          <w:tcPr>
            <w:tcW w:w="632" w:type="pct"/>
            <w:tcBorders>
              <w:top w:val="nil"/>
              <w:left w:val="nil"/>
              <w:bottom w:val="single" w:sz="4" w:space="0" w:color="auto"/>
              <w:right w:val="nil"/>
            </w:tcBorders>
            <w:shd w:val="clear" w:color="auto" w:fill="auto"/>
            <w:noWrap/>
            <w:vAlign w:val="bottom"/>
            <w:hideMark/>
          </w:tcPr>
          <w:p w14:paraId="6BD205CC" w14:textId="299FAF14" w:rsidR="009738B1" w:rsidRPr="008669C3" w:rsidRDefault="009738B1" w:rsidP="009738B1">
            <w:pPr>
              <w:jc w:val="center"/>
              <w:rPr>
                <w:sz w:val="22"/>
                <w:szCs w:val="22"/>
              </w:rPr>
            </w:pPr>
            <w:r w:rsidRPr="008669C3">
              <w:rPr>
                <w:sz w:val="22"/>
                <w:szCs w:val="22"/>
              </w:rPr>
              <w:t>2.000</w:t>
            </w:r>
          </w:p>
        </w:tc>
        <w:tc>
          <w:tcPr>
            <w:tcW w:w="632" w:type="pct"/>
            <w:tcBorders>
              <w:top w:val="nil"/>
              <w:left w:val="nil"/>
              <w:bottom w:val="single" w:sz="4" w:space="0" w:color="auto"/>
              <w:right w:val="nil"/>
            </w:tcBorders>
            <w:shd w:val="clear" w:color="auto" w:fill="auto"/>
            <w:noWrap/>
            <w:vAlign w:val="bottom"/>
            <w:hideMark/>
          </w:tcPr>
          <w:p w14:paraId="733555BF" w14:textId="6D0C6B72" w:rsidR="009738B1" w:rsidRPr="008669C3" w:rsidRDefault="009738B1" w:rsidP="009738B1">
            <w:pPr>
              <w:jc w:val="center"/>
              <w:rPr>
                <w:sz w:val="22"/>
                <w:szCs w:val="22"/>
              </w:rPr>
            </w:pPr>
            <w:r w:rsidRPr="008669C3">
              <w:rPr>
                <w:sz w:val="22"/>
                <w:szCs w:val="22"/>
              </w:rPr>
              <w:t>3.000</w:t>
            </w:r>
          </w:p>
        </w:tc>
        <w:tc>
          <w:tcPr>
            <w:tcW w:w="630" w:type="pct"/>
            <w:tcBorders>
              <w:top w:val="nil"/>
              <w:left w:val="nil"/>
              <w:bottom w:val="single" w:sz="4" w:space="0" w:color="auto"/>
              <w:right w:val="nil"/>
            </w:tcBorders>
            <w:shd w:val="clear" w:color="auto" w:fill="auto"/>
            <w:noWrap/>
            <w:vAlign w:val="bottom"/>
            <w:hideMark/>
          </w:tcPr>
          <w:p w14:paraId="60277D4A" w14:textId="0973B438" w:rsidR="009738B1" w:rsidRPr="008669C3" w:rsidRDefault="009738B1" w:rsidP="009738B1">
            <w:pPr>
              <w:jc w:val="center"/>
              <w:rPr>
                <w:sz w:val="22"/>
                <w:szCs w:val="22"/>
              </w:rPr>
            </w:pPr>
            <w:r w:rsidRPr="008669C3">
              <w:rPr>
                <w:sz w:val="22"/>
                <w:szCs w:val="22"/>
              </w:rPr>
              <w:t>3.000</w:t>
            </w:r>
          </w:p>
        </w:tc>
      </w:tr>
    </w:tbl>
    <w:p w14:paraId="30F5C3BD" w14:textId="77777777" w:rsidR="001900E3" w:rsidRPr="008669C3" w:rsidRDefault="001900E3" w:rsidP="001900E3">
      <w:pPr>
        <w:jc w:val="both"/>
        <w:rPr>
          <w:color w:val="FF0000"/>
        </w:rPr>
      </w:pPr>
    </w:p>
    <w:p w14:paraId="5F63096B" w14:textId="77777777" w:rsidR="001900E3" w:rsidRPr="008669C3" w:rsidRDefault="001900E3" w:rsidP="001900E3">
      <w:pPr>
        <w:jc w:val="center"/>
        <w:rPr>
          <w:b/>
          <w:color w:val="FF0000"/>
        </w:rPr>
      </w:pPr>
    </w:p>
    <w:p w14:paraId="40214556" w14:textId="77777777" w:rsidR="009738B1" w:rsidRPr="008669C3" w:rsidRDefault="009738B1" w:rsidP="001900E3">
      <w:pPr>
        <w:jc w:val="center"/>
        <w:rPr>
          <w:b/>
          <w:color w:val="FF0000"/>
        </w:rPr>
      </w:pPr>
    </w:p>
    <w:p w14:paraId="1AB7DEAE" w14:textId="45365627" w:rsidR="009738B1" w:rsidRPr="008669C3" w:rsidRDefault="009738B1" w:rsidP="009738B1">
      <w:pPr>
        <w:rPr>
          <w:b/>
          <w:color w:val="FF0000"/>
        </w:rPr>
        <w:sectPr w:rsidR="009738B1" w:rsidRPr="008669C3" w:rsidSect="009021B9">
          <w:footerReference w:type="default" r:id="rId10"/>
          <w:pgSz w:w="11907" w:h="16839" w:code="9"/>
          <w:pgMar w:top="1440" w:right="1440" w:bottom="1440" w:left="1440" w:header="708" w:footer="708" w:gutter="0"/>
          <w:cols w:space="708"/>
          <w:docGrid w:linePitch="360"/>
        </w:sectPr>
      </w:pPr>
    </w:p>
    <w:p w14:paraId="756D43F5" w14:textId="77777777" w:rsidR="001900E3" w:rsidRPr="008669C3" w:rsidRDefault="001900E3" w:rsidP="001900E3">
      <w:pPr>
        <w:jc w:val="center"/>
        <w:rPr>
          <w:b/>
        </w:rPr>
      </w:pPr>
    </w:p>
    <w:p w14:paraId="7BD4F208" w14:textId="77777777" w:rsidR="001900E3" w:rsidRPr="008669C3" w:rsidRDefault="001900E3" w:rsidP="001900E3">
      <w:pPr>
        <w:jc w:val="center"/>
        <w:rPr>
          <w:b/>
        </w:rPr>
      </w:pPr>
      <w:r w:rsidRPr="008669C3">
        <w:rPr>
          <w:b/>
        </w:rPr>
        <w:t>Table 2</w:t>
      </w:r>
    </w:p>
    <w:p w14:paraId="335609A1" w14:textId="77777777" w:rsidR="001900E3" w:rsidRPr="008669C3" w:rsidRDefault="001900E3" w:rsidP="001900E3">
      <w:pPr>
        <w:jc w:val="center"/>
      </w:pPr>
      <w:r w:rsidRPr="008669C3">
        <w:t>Univariate analysis</w:t>
      </w:r>
    </w:p>
    <w:p w14:paraId="06BC2E8C" w14:textId="77777777" w:rsidR="001900E3" w:rsidRPr="008669C3" w:rsidRDefault="001900E3" w:rsidP="001900E3"/>
    <w:p w14:paraId="7C526827" w14:textId="346030D3" w:rsidR="001900E3" w:rsidRPr="008669C3" w:rsidRDefault="001900E3" w:rsidP="001900E3">
      <w:pPr>
        <w:jc w:val="both"/>
        <w:rPr>
          <w:sz w:val="20"/>
          <w:szCs w:val="20"/>
        </w:rPr>
      </w:pPr>
      <w:r w:rsidRPr="008669C3">
        <w:rPr>
          <w:sz w:val="20"/>
        </w:rPr>
        <w:t xml:space="preserve">This table compares the means and medians of firm, CEO and governance characteristics for firm-years with CDS contracts and those without. </w:t>
      </w:r>
      <w:r w:rsidRPr="008669C3">
        <w:rPr>
          <w:sz w:val="20"/>
          <w:szCs w:val="20"/>
        </w:rPr>
        <w:t xml:space="preserve">The total number of observations is </w:t>
      </w:r>
      <w:r w:rsidR="00B37C80" w:rsidRPr="008669C3">
        <w:rPr>
          <w:sz w:val="20"/>
          <w:szCs w:val="20"/>
        </w:rPr>
        <w:t>9178</w:t>
      </w:r>
      <w:r w:rsidRPr="008669C3">
        <w:rPr>
          <w:sz w:val="20"/>
          <w:szCs w:val="20"/>
        </w:rPr>
        <w:t xml:space="preserve">. </w:t>
      </w:r>
      <w:r w:rsidRPr="008669C3">
        <w:rPr>
          <w:sz w:val="20"/>
        </w:rPr>
        <w:t>All variables are defined in Appendix A. t-tests (Wilcoxon-Mann-Whitney tests) are conducted to test for differences in the means (medians). ***, ** and * indicate significance at the 1%, 5%, and 10% level, respectively.</w:t>
      </w:r>
      <w:r w:rsidRPr="008669C3">
        <w:rPr>
          <w:sz w:val="20"/>
          <w:szCs w:val="20"/>
        </w:rPr>
        <w:t xml:space="preserv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444"/>
        <w:gridCol w:w="1444"/>
        <w:gridCol w:w="340"/>
        <w:gridCol w:w="1304"/>
        <w:gridCol w:w="1304"/>
        <w:gridCol w:w="343"/>
        <w:gridCol w:w="1444"/>
        <w:gridCol w:w="685"/>
        <w:gridCol w:w="1444"/>
        <w:gridCol w:w="764"/>
      </w:tblGrid>
      <w:tr w:rsidR="00B37C80" w:rsidRPr="008669C3" w14:paraId="1FCA979F" w14:textId="77777777" w:rsidTr="00472AD9">
        <w:trPr>
          <w:trHeight w:val="20"/>
          <w:jc w:val="center"/>
        </w:trPr>
        <w:tc>
          <w:tcPr>
            <w:tcW w:w="1009" w:type="pct"/>
            <w:tcBorders>
              <w:top w:val="single" w:sz="4" w:space="0" w:color="auto"/>
            </w:tcBorders>
            <w:noWrap/>
            <w:hideMark/>
          </w:tcPr>
          <w:p w14:paraId="0072A253" w14:textId="77777777" w:rsidR="001900E3" w:rsidRPr="008669C3" w:rsidRDefault="001900E3" w:rsidP="00A94131">
            <w:pPr>
              <w:jc w:val="both"/>
              <w:rPr>
                <w:sz w:val="22"/>
                <w:szCs w:val="22"/>
              </w:rPr>
            </w:pPr>
            <w:r w:rsidRPr="008669C3">
              <w:rPr>
                <w:sz w:val="22"/>
                <w:szCs w:val="22"/>
              </w:rPr>
              <w:t> </w:t>
            </w:r>
          </w:p>
        </w:tc>
        <w:tc>
          <w:tcPr>
            <w:tcW w:w="1096" w:type="pct"/>
            <w:gridSpan w:val="2"/>
            <w:tcBorders>
              <w:top w:val="single" w:sz="4" w:space="0" w:color="auto"/>
              <w:bottom w:val="single" w:sz="4" w:space="0" w:color="auto"/>
            </w:tcBorders>
            <w:noWrap/>
            <w:hideMark/>
          </w:tcPr>
          <w:p w14:paraId="48C9EAE5" w14:textId="77777777" w:rsidR="001900E3" w:rsidRPr="008669C3" w:rsidRDefault="001900E3" w:rsidP="00A94131">
            <w:pPr>
              <w:jc w:val="center"/>
              <w:rPr>
                <w:sz w:val="22"/>
                <w:szCs w:val="22"/>
              </w:rPr>
            </w:pPr>
            <w:r w:rsidRPr="008669C3">
              <w:rPr>
                <w:sz w:val="22"/>
                <w:szCs w:val="22"/>
              </w:rPr>
              <w:t>CDS</w:t>
            </w:r>
          </w:p>
        </w:tc>
        <w:tc>
          <w:tcPr>
            <w:tcW w:w="129" w:type="pct"/>
            <w:tcBorders>
              <w:top w:val="single" w:sz="4" w:space="0" w:color="auto"/>
            </w:tcBorders>
            <w:noWrap/>
            <w:hideMark/>
          </w:tcPr>
          <w:p w14:paraId="05453B7F" w14:textId="77777777" w:rsidR="001900E3" w:rsidRPr="008669C3" w:rsidRDefault="001900E3" w:rsidP="00A94131">
            <w:pPr>
              <w:jc w:val="center"/>
              <w:rPr>
                <w:sz w:val="22"/>
                <w:szCs w:val="22"/>
              </w:rPr>
            </w:pPr>
          </w:p>
        </w:tc>
        <w:tc>
          <w:tcPr>
            <w:tcW w:w="990" w:type="pct"/>
            <w:gridSpan w:val="2"/>
            <w:tcBorders>
              <w:top w:val="single" w:sz="4" w:space="0" w:color="auto"/>
              <w:bottom w:val="single" w:sz="4" w:space="0" w:color="auto"/>
            </w:tcBorders>
            <w:noWrap/>
            <w:hideMark/>
          </w:tcPr>
          <w:p w14:paraId="4C083015" w14:textId="77777777" w:rsidR="001900E3" w:rsidRPr="008669C3" w:rsidRDefault="001900E3" w:rsidP="00A94131">
            <w:pPr>
              <w:jc w:val="center"/>
              <w:rPr>
                <w:sz w:val="22"/>
                <w:szCs w:val="22"/>
              </w:rPr>
            </w:pPr>
            <w:r w:rsidRPr="008669C3">
              <w:rPr>
                <w:sz w:val="22"/>
                <w:szCs w:val="22"/>
              </w:rPr>
              <w:t>Non-CDS</w:t>
            </w:r>
          </w:p>
        </w:tc>
        <w:tc>
          <w:tcPr>
            <w:tcW w:w="130" w:type="pct"/>
            <w:tcBorders>
              <w:top w:val="single" w:sz="4" w:space="0" w:color="auto"/>
            </w:tcBorders>
            <w:noWrap/>
            <w:hideMark/>
          </w:tcPr>
          <w:p w14:paraId="71297143" w14:textId="77777777" w:rsidR="001900E3" w:rsidRPr="008669C3" w:rsidRDefault="001900E3" w:rsidP="00A94131">
            <w:pPr>
              <w:jc w:val="center"/>
              <w:rPr>
                <w:sz w:val="22"/>
                <w:szCs w:val="22"/>
              </w:rPr>
            </w:pPr>
          </w:p>
        </w:tc>
        <w:tc>
          <w:tcPr>
            <w:tcW w:w="1646" w:type="pct"/>
            <w:gridSpan w:val="4"/>
            <w:tcBorders>
              <w:top w:val="single" w:sz="4" w:space="0" w:color="auto"/>
              <w:bottom w:val="single" w:sz="4" w:space="0" w:color="auto"/>
            </w:tcBorders>
            <w:noWrap/>
            <w:hideMark/>
          </w:tcPr>
          <w:p w14:paraId="5DEB1D29" w14:textId="77777777" w:rsidR="001900E3" w:rsidRPr="008669C3" w:rsidRDefault="001900E3" w:rsidP="00A94131">
            <w:pPr>
              <w:jc w:val="center"/>
              <w:rPr>
                <w:sz w:val="22"/>
                <w:szCs w:val="22"/>
              </w:rPr>
            </w:pPr>
            <w:r w:rsidRPr="008669C3">
              <w:rPr>
                <w:sz w:val="22"/>
                <w:szCs w:val="22"/>
              </w:rPr>
              <w:t>Differences</w:t>
            </w:r>
          </w:p>
        </w:tc>
      </w:tr>
      <w:tr w:rsidR="00B37C80" w:rsidRPr="008669C3" w14:paraId="1AFE7087" w14:textId="77777777" w:rsidTr="00472AD9">
        <w:trPr>
          <w:trHeight w:val="20"/>
          <w:jc w:val="center"/>
        </w:trPr>
        <w:tc>
          <w:tcPr>
            <w:tcW w:w="1009" w:type="pct"/>
            <w:tcBorders>
              <w:bottom w:val="single" w:sz="4" w:space="0" w:color="auto"/>
            </w:tcBorders>
            <w:noWrap/>
            <w:hideMark/>
          </w:tcPr>
          <w:p w14:paraId="3A276D8D" w14:textId="77777777" w:rsidR="001900E3" w:rsidRPr="008669C3" w:rsidRDefault="001900E3" w:rsidP="00A94131">
            <w:pPr>
              <w:jc w:val="both"/>
              <w:rPr>
                <w:sz w:val="22"/>
                <w:szCs w:val="22"/>
              </w:rPr>
            </w:pPr>
          </w:p>
        </w:tc>
        <w:tc>
          <w:tcPr>
            <w:tcW w:w="548" w:type="pct"/>
            <w:tcBorders>
              <w:top w:val="single" w:sz="4" w:space="0" w:color="auto"/>
              <w:bottom w:val="single" w:sz="4" w:space="0" w:color="auto"/>
            </w:tcBorders>
            <w:noWrap/>
            <w:hideMark/>
          </w:tcPr>
          <w:p w14:paraId="15A29C4F" w14:textId="77777777" w:rsidR="001900E3" w:rsidRPr="008669C3" w:rsidRDefault="001900E3" w:rsidP="00A94131">
            <w:pPr>
              <w:jc w:val="center"/>
              <w:rPr>
                <w:sz w:val="22"/>
                <w:szCs w:val="22"/>
              </w:rPr>
            </w:pPr>
            <w:r w:rsidRPr="008669C3">
              <w:rPr>
                <w:sz w:val="22"/>
                <w:szCs w:val="22"/>
              </w:rPr>
              <w:t>Mean</w:t>
            </w:r>
          </w:p>
        </w:tc>
        <w:tc>
          <w:tcPr>
            <w:tcW w:w="548" w:type="pct"/>
            <w:tcBorders>
              <w:top w:val="single" w:sz="4" w:space="0" w:color="auto"/>
              <w:bottom w:val="single" w:sz="4" w:space="0" w:color="auto"/>
            </w:tcBorders>
            <w:noWrap/>
            <w:hideMark/>
          </w:tcPr>
          <w:p w14:paraId="1A532D43" w14:textId="77777777" w:rsidR="001900E3" w:rsidRPr="008669C3" w:rsidRDefault="001900E3" w:rsidP="00A94131">
            <w:pPr>
              <w:jc w:val="center"/>
              <w:rPr>
                <w:sz w:val="22"/>
                <w:szCs w:val="22"/>
              </w:rPr>
            </w:pPr>
            <w:r w:rsidRPr="008669C3">
              <w:rPr>
                <w:sz w:val="22"/>
                <w:szCs w:val="22"/>
              </w:rPr>
              <w:t>Median</w:t>
            </w:r>
          </w:p>
        </w:tc>
        <w:tc>
          <w:tcPr>
            <w:tcW w:w="129" w:type="pct"/>
            <w:tcBorders>
              <w:bottom w:val="single" w:sz="4" w:space="0" w:color="auto"/>
            </w:tcBorders>
            <w:noWrap/>
            <w:hideMark/>
          </w:tcPr>
          <w:p w14:paraId="03FC1D6A" w14:textId="77777777" w:rsidR="001900E3" w:rsidRPr="008669C3" w:rsidRDefault="001900E3" w:rsidP="00A94131">
            <w:pPr>
              <w:jc w:val="both"/>
              <w:rPr>
                <w:sz w:val="22"/>
                <w:szCs w:val="22"/>
              </w:rPr>
            </w:pPr>
            <w:r w:rsidRPr="008669C3">
              <w:rPr>
                <w:sz w:val="22"/>
                <w:szCs w:val="22"/>
              </w:rPr>
              <w:t> </w:t>
            </w:r>
          </w:p>
        </w:tc>
        <w:tc>
          <w:tcPr>
            <w:tcW w:w="495" w:type="pct"/>
            <w:tcBorders>
              <w:top w:val="single" w:sz="4" w:space="0" w:color="auto"/>
              <w:bottom w:val="single" w:sz="4" w:space="0" w:color="auto"/>
            </w:tcBorders>
            <w:noWrap/>
            <w:hideMark/>
          </w:tcPr>
          <w:p w14:paraId="7A011637" w14:textId="77777777" w:rsidR="001900E3" w:rsidRPr="008669C3" w:rsidRDefault="001900E3" w:rsidP="00A94131">
            <w:pPr>
              <w:jc w:val="center"/>
              <w:rPr>
                <w:sz w:val="22"/>
                <w:szCs w:val="22"/>
              </w:rPr>
            </w:pPr>
            <w:r w:rsidRPr="008669C3">
              <w:rPr>
                <w:sz w:val="22"/>
                <w:szCs w:val="22"/>
              </w:rPr>
              <w:t>Mean</w:t>
            </w:r>
          </w:p>
        </w:tc>
        <w:tc>
          <w:tcPr>
            <w:tcW w:w="495" w:type="pct"/>
            <w:tcBorders>
              <w:top w:val="single" w:sz="4" w:space="0" w:color="auto"/>
              <w:bottom w:val="single" w:sz="4" w:space="0" w:color="auto"/>
            </w:tcBorders>
            <w:noWrap/>
            <w:hideMark/>
          </w:tcPr>
          <w:p w14:paraId="16BE2A5A" w14:textId="77777777" w:rsidR="001900E3" w:rsidRPr="008669C3" w:rsidRDefault="001900E3" w:rsidP="00A94131">
            <w:pPr>
              <w:jc w:val="center"/>
              <w:rPr>
                <w:sz w:val="22"/>
                <w:szCs w:val="22"/>
              </w:rPr>
            </w:pPr>
            <w:r w:rsidRPr="008669C3">
              <w:rPr>
                <w:sz w:val="22"/>
                <w:szCs w:val="22"/>
              </w:rPr>
              <w:t>Median</w:t>
            </w:r>
          </w:p>
        </w:tc>
        <w:tc>
          <w:tcPr>
            <w:tcW w:w="130" w:type="pct"/>
            <w:tcBorders>
              <w:bottom w:val="single" w:sz="4" w:space="0" w:color="auto"/>
            </w:tcBorders>
            <w:noWrap/>
            <w:hideMark/>
          </w:tcPr>
          <w:p w14:paraId="186B879A" w14:textId="77777777" w:rsidR="001900E3" w:rsidRPr="008669C3" w:rsidRDefault="001900E3" w:rsidP="00A94131">
            <w:pPr>
              <w:jc w:val="both"/>
              <w:rPr>
                <w:sz w:val="22"/>
                <w:szCs w:val="22"/>
              </w:rPr>
            </w:pPr>
            <w:r w:rsidRPr="008669C3">
              <w:rPr>
                <w:sz w:val="22"/>
                <w:szCs w:val="22"/>
              </w:rPr>
              <w:t> </w:t>
            </w:r>
          </w:p>
        </w:tc>
        <w:tc>
          <w:tcPr>
            <w:tcW w:w="808" w:type="pct"/>
            <w:gridSpan w:val="2"/>
            <w:tcBorders>
              <w:top w:val="single" w:sz="4" w:space="0" w:color="auto"/>
              <w:bottom w:val="single" w:sz="4" w:space="0" w:color="auto"/>
            </w:tcBorders>
            <w:noWrap/>
            <w:hideMark/>
          </w:tcPr>
          <w:p w14:paraId="703DEEAB" w14:textId="77777777" w:rsidR="001900E3" w:rsidRPr="008669C3" w:rsidRDefault="001900E3" w:rsidP="00A94131">
            <w:pPr>
              <w:rPr>
                <w:sz w:val="22"/>
                <w:szCs w:val="22"/>
              </w:rPr>
            </w:pPr>
            <w:r w:rsidRPr="008669C3">
              <w:rPr>
                <w:sz w:val="22"/>
                <w:szCs w:val="22"/>
              </w:rPr>
              <w:t xml:space="preserve">   Mean</w:t>
            </w:r>
          </w:p>
        </w:tc>
        <w:tc>
          <w:tcPr>
            <w:tcW w:w="838" w:type="pct"/>
            <w:gridSpan w:val="2"/>
            <w:tcBorders>
              <w:top w:val="single" w:sz="4" w:space="0" w:color="auto"/>
              <w:bottom w:val="single" w:sz="4" w:space="0" w:color="auto"/>
            </w:tcBorders>
            <w:noWrap/>
            <w:hideMark/>
          </w:tcPr>
          <w:p w14:paraId="12F9FA27" w14:textId="77777777" w:rsidR="001900E3" w:rsidRPr="008669C3" w:rsidRDefault="001900E3" w:rsidP="00A94131">
            <w:pPr>
              <w:rPr>
                <w:sz w:val="22"/>
                <w:szCs w:val="22"/>
              </w:rPr>
            </w:pPr>
            <w:r w:rsidRPr="008669C3">
              <w:rPr>
                <w:sz w:val="22"/>
                <w:szCs w:val="22"/>
              </w:rPr>
              <w:t xml:space="preserve">  Median</w:t>
            </w:r>
          </w:p>
        </w:tc>
      </w:tr>
      <w:tr w:rsidR="00F64FFF" w:rsidRPr="008669C3" w14:paraId="567E7889" w14:textId="77777777" w:rsidTr="00472AD9">
        <w:trPr>
          <w:trHeight w:val="20"/>
          <w:jc w:val="center"/>
        </w:trPr>
        <w:tc>
          <w:tcPr>
            <w:tcW w:w="1009" w:type="pct"/>
            <w:tcBorders>
              <w:top w:val="single" w:sz="4" w:space="0" w:color="auto"/>
            </w:tcBorders>
            <w:noWrap/>
            <w:hideMark/>
          </w:tcPr>
          <w:p w14:paraId="2E2FB406" w14:textId="77777777" w:rsidR="00F64FFF" w:rsidRPr="008669C3" w:rsidRDefault="00F64FFF" w:rsidP="00F64FFF">
            <w:pPr>
              <w:jc w:val="both"/>
              <w:rPr>
                <w:iCs/>
                <w:sz w:val="22"/>
                <w:szCs w:val="22"/>
              </w:rPr>
            </w:pPr>
            <w:r w:rsidRPr="008669C3">
              <w:rPr>
                <w:iCs/>
                <w:sz w:val="22"/>
                <w:szCs w:val="22"/>
              </w:rPr>
              <w:t xml:space="preserve">Vega </w:t>
            </w:r>
            <w:r w:rsidRPr="008669C3">
              <w:rPr>
                <w:iCs/>
                <w:sz w:val="22"/>
                <w:szCs w:val="22"/>
                <w:lang w:val="en-GB"/>
              </w:rPr>
              <w:t>(thousand $)</w:t>
            </w:r>
          </w:p>
        </w:tc>
        <w:tc>
          <w:tcPr>
            <w:tcW w:w="548" w:type="pct"/>
            <w:tcBorders>
              <w:top w:val="single" w:sz="4" w:space="0" w:color="auto"/>
            </w:tcBorders>
            <w:noWrap/>
            <w:vAlign w:val="bottom"/>
            <w:hideMark/>
          </w:tcPr>
          <w:p w14:paraId="771A20DE" w14:textId="0B8EE257" w:rsidR="00F64FFF" w:rsidRPr="008669C3" w:rsidRDefault="00F64FFF" w:rsidP="00F64FFF">
            <w:pPr>
              <w:jc w:val="center"/>
              <w:rPr>
                <w:sz w:val="22"/>
                <w:szCs w:val="22"/>
              </w:rPr>
            </w:pPr>
            <w:r w:rsidRPr="008669C3">
              <w:rPr>
                <w:color w:val="000000"/>
                <w:sz w:val="22"/>
                <w:szCs w:val="22"/>
                <w:lang w:val="en-GB"/>
              </w:rPr>
              <w:t>412.424</w:t>
            </w:r>
          </w:p>
        </w:tc>
        <w:tc>
          <w:tcPr>
            <w:tcW w:w="548" w:type="pct"/>
            <w:tcBorders>
              <w:top w:val="single" w:sz="4" w:space="0" w:color="auto"/>
            </w:tcBorders>
            <w:noWrap/>
            <w:vAlign w:val="bottom"/>
            <w:hideMark/>
          </w:tcPr>
          <w:p w14:paraId="406BEAEC" w14:textId="75B758D2" w:rsidR="00F64FFF" w:rsidRPr="008669C3" w:rsidRDefault="00F64FFF" w:rsidP="00F64FFF">
            <w:pPr>
              <w:jc w:val="center"/>
              <w:rPr>
                <w:sz w:val="22"/>
                <w:szCs w:val="22"/>
              </w:rPr>
            </w:pPr>
            <w:r w:rsidRPr="008669C3">
              <w:rPr>
                <w:color w:val="000000"/>
                <w:sz w:val="22"/>
                <w:szCs w:val="22"/>
                <w:lang w:val="en-GB"/>
              </w:rPr>
              <w:t>261.039</w:t>
            </w:r>
          </w:p>
        </w:tc>
        <w:tc>
          <w:tcPr>
            <w:tcW w:w="129" w:type="pct"/>
            <w:tcBorders>
              <w:top w:val="single" w:sz="4" w:space="0" w:color="auto"/>
            </w:tcBorders>
            <w:noWrap/>
            <w:hideMark/>
          </w:tcPr>
          <w:p w14:paraId="07202665" w14:textId="77777777" w:rsidR="00F64FFF" w:rsidRPr="008669C3" w:rsidRDefault="00F64FFF" w:rsidP="00F64FFF">
            <w:pPr>
              <w:jc w:val="center"/>
              <w:rPr>
                <w:sz w:val="22"/>
                <w:szCs w:val="22"/>
              </w:rPr>
            </w:pPr>
          </w:p>
        </w:tc>
        <w:tc>
          <w:tcPr>
            <w:tcW w:w="495" w:type="pct"/>
            <w:tcBorders>
              <w:top w:val="single" w:sz="4" w:space="0" w:color="auto"/>
            </w:tcBorders>
            <w:noWrap/>
            <w:vAlign w:val="bottom"/>
            <w:hideMark/>
          </w:tcPr>
          <w:p w14:paraId="776DAF2E" w14:textId="3E7415FE" w:rsidR="00F64FFF" w:rsidRPr="008669C3" w:rsidRDefault="00F64FFF" w:rsidP="00F64FFF">
            <w:pPr>
              <w:jc w:val="center"/>
              <w:rPr>
                <w:sz w:val="22"/>
                <w:szCs w:val="22"/>
              </w:rPr>
            </w:pPr>
            <w:r w:rsidRPr="008669C3">
              <w:rPr>
                <w:color w:val="000000"/>
                <w:sz w:val="22"/>
                <w:szCs w:val="22"/>
                <w:lang w:val="en-GB"/>
              </w:rPr>
              <w:t>162.780</w:t>
            </w:r>
          </w:p>
        </w:tc>
        <w:tc>
          <w:tcPr>
            <w:tcW w:w="495" w:type="pct"/>
            <w:tcBorders>
              <w:top w:val="single" w:sz="4" w:space="0" w:color="auto"/>
            </w:tcBorders>
            <w:noWrap/>
            <w:vAlign w:val="bottom"/>
            <w:hideMark/>
          </w:tcPr>
          <w:p w14:paraId="45E66448" w14:textId="703CE85F" w:rsidR="00F64FFF" w:rsidRPr="008669C3" w:rsidRDefault="00F64FFF" w:rsidP="00F64FFF">
            <w:pPr>
              <w:jc w:val="center"/>
              <w:rPr>
                <w:sz w:val="22"/>
                <w:szCs w:val="22"/>
              </w:rPr>
            </w:pPr>
            <w:r w:rsidRPr="008669C3">
              <w:rPr>
                <w:color w:val="000000"/>
                <w:sz w:val="22"/>
                <w:szCs w:val="22"/>
                <w:lang w:val="en-GB"/>
              </w:rPr>
              <w:t>73.083</w:t>
            </w:r>
          </w:p>
        </w:tc>
        <w:tc>
          <w:tcPr>
            <w:tcW w:w="130" w:type="pct"/>
            <w:tcBorders>
              <w:top w:val="single" w:sz="4" w:space="0" w:color="auto"/>
            </w:tcBorders>
            <w:noWrap/>
            <w:hideMark/>
          </w:tcPr>
          <w:p w14:paraId="32A1FFA4" w14:textId="77777777" w:rsidR="00F64FFF" w:rsidRPr="008669C3" w:rsidRDefault="00F64FFF" w:rsidP="00F64FFF">
            <w:pPr>
              <w:jc w:val="center"/>
              <w:rPr>
                <w:sz w:val="22"/>
                <w:szCs w:val="22"/>
              </w:rPr>
            </w:pPr>
          </w:p>
        </w:tc>
        <w:tc>
          <w:tcPr>
            <w:tcW w:w="548" w:type="pct"/>
            <w:tcBorders>
              <w:top w:val="single" w:sz="4" w:space="0" w:color="auto"/>
            </w:tcBorders>
            <w:noWrap/>
            <w:vAlign w:val="bottom"/>
            <w:hideMark/>
          </w:tcPr>
          <w:p w14:paraId="0BD8F61F" w14:textId="19475464" w:rsidR="00F64FFF" w:rsidRPr="008669C3" w:rsidRDefault="00F64FFF" w:rsidP="00F64FFF">
            <w:pPr>
              <w:jc w:val="center"/>
              <w:rPr>
                <w:sz w:val="22"/>
                <w:szCs w:val="22"/>
              </w:rPr>
            </w:pPr>
            <w:r w:rsidRPr="008669C3">
              <w:rPr>
                <w:color w:val="000000"/>
                <w:sz w:val="22"/>
                <w:szCs w:val="22"/>
                <w:lang w:val="en-GB"/>
              </w:rPr>
              <w:t>249.644</w:t>
            </w:r>
          </w:p>
        </w:tc>
        <w:tc>
          <w:tcPr>
            <w:tcW w:w="260" w:type="pct"/>
            <w:tcBorders>
              <w:top w:val="single" w:sz="4" w:space="0" w:color="auto"/>
            </w:tcBorders>
            <w:noWrap/>
            <w:vAlign w:val="bottom"/>
            <w:hideMark/>
          </w:tcPr>
          <w:p w14:paraId="1D66B7F0" w14:textId="42948554" w:rsidR="00F64FFF" w:rsidRPr="008669C3" w:rsidRDefault="00F64FFF" w:rsidP="00F64FFF">
            <w:pPr>
              <w:jc w:val="center"/>
              <w:rPr>
                <w:sz w:val="20"/>
                <w:szCs w:val="22"/>
              </w:rPr>
            </w:pPr>
            <w:r w:rsidRPr="008669C3">
              <w:rPr>
                <w:color w:val="000000"/>
                <w:sz w:val="20"/>
                <w:szCs w:val="22"/>
                <w:lang w:val="en-GB"/>
              </w:rPr>
              <w:t>***</w:t>
            </w:r>
          </w:p>
        </w:tc>
        <w:tc>
          <w:tcPr>
            <w:tcW w:w="548" w:type="pct"/>
            <w:tcBorders>
              <w:top w:val="single" w:sz="4" w:space="0" w:color="auto"/>
            </w:tcBorders>
            <w:noWrap/>
            <w:vAlign w:val="bottom"/>
            <w:hideMark/>
          </w:tcPr>
          <w:p w14:paraId="08AB4044" w14:textId="638BBD4C" w:rsidR="00F64FFF" w:rsidRPr="008669C3" w:rsidRDefault="00F64FFF" w:rsidP="00F64FFF">
            <w:pPr>
              <w:jc w:val="center"/>
              <w:rPr>
                <w:sz w:val="22"/>
                <w:szCs w:val="22"/>
              </w:rPr>
            </w:pPr>
            <w:r w:rsidRPr="008669C3">
              <w:rPr>
                <w:color w:val="000000"/>
                <w:sz w:val="22"/>
                <w:szCs w:val="22"/>
                <w:lang w:val="en-GB"/>
              </w:rPr>
              <w:t>187.955</w:t>
            </w:r>
          </w:p>
        </w:tc>
        <w:tc>
          <w:tcPr>
            <w:tcW w:w="290" w:type="pct"/>
            <w:tcBorders>
              <w:top w:val="single" w:sz="4" w:space="0" w:color="auto"/>
            </w:tcBorders>
            <w:noWrap/>
            <w:vAlign w:val="bottom"/>
            <w:hideMark/>
          </w:tcPr>
          <w:p w14:paraId="2CCD2E85" w14:textId="62519A6A" w:rsidR="00F64FFF" w:rsidRPr="008669C3" w:rsidRDefault="00F64FFF" w:rsidP="00F64FFF">
            <w:pPr>
              <w:jc w:val="center"/>
              <w:rPr>
                <w:sz w:val="20"/>
                <w:szCs w:val="22"/>
              </w:rPr>
            </w:pPr>
            <w:r w:rsidRPr="008669C3">
              <w:rPr>
                <w:color w:val="000000"/>
                <w:sz w:val="20"/>
                <w:szCs w:val="22"/>
                <w:lang w:val="en-GB"/>
              </w:rPr>
              <w:t>***</w:t>
            </w:r>
          </w:p>
        </w:tc>
      </w:tr>
      <w:tr w:rsidR="00F64FFF" w:rsidRPr="008669C3" w14:paraId="120D0B3B" w14:textId="77777777" w:rsidTr="00472AD9">
        <w:trPr>
          <w:trHeight w:val="20"/>
          <w:jc w:val="center"/>
        </w:trPr>
        <w:tc>
          <w:tcPr>
            <w:tcW w:w="1009" w:type="pct"/>
            <w:noWrap/>
          </w:tcPr>
          <w:p w14:paraId="5467D12F" w14:textId="6CDA9138" w:rsidR="00F64FFF" w:rsidRPr="008669C3" w:rsidRDefault="00F64FFF" w:rsidP="00F64FFF">
            <w:pPr>
              <w:jc w:val="both"/>
              <w:rPr>
                <w:iCs/>
                <w:sz w:val="22"/>
                <w:szCs w:val="22"/>
              </w:rPr>
            </w:pPr>
            <w:r w:rsidRPr="008669C3">
              <w:rPr>
                <w:iCs/>
                <w:sz w:val="22"/>
                <w:szCs w:val="22"/>
                <w:lang w:val="en-GB"/>
              </w:rPr>
              <w:t>Option pay (thousand $)</w:t>
            </w:r>
          </w:p>
        </w:tc>
        <w:tc>
          <w:tcPr>
            <w:tcW w:w="548" w:type="pct"/>
            <w:noWrap/>
            <w:vAlign w:val="bottom"/>
          </w:tcPr>
          <w:p w14:paraId="2DD0EB04" w14:textId="026907D5" w:rsidR="00F64FFF" w:rsidRPr="008669C3" w:rsidRDefault="00F64FFF" w:rsidP="00F64FFF">
            <w:pPr>
              <w:jc w:val="center"/>
              <w:rPr>
                <w:sz w:val="22"/>
                <w:szCs w:val="22"/>
              </w:rPr>
            </w:pPr>
            <w:r w:rsidRPr="008669C3">
              <w:rPr>
                <w:color w:val="000000"/>
                <w:sz w:val="22"/>
                <w:szCs w:val="22"/>
                <w:lang w:val="en-GB"/>
              </w:rPr>
              <w:t>2</w:t>
            </w:r>
            <w:r w:rsidR="00326FEB" w:rsidRPr="008669C3">
              <w:rPr>
                <w:color w:val="000000"/>
                <w:sz w:val="22"/>
                <w:szCs w:val="22"/>
                <w:lang w:val="en-GB"/>
              </w:rPr>
              <w:t>,</w:t>
            </w:r>
            <w:r w:rsidRPr="008669C3">
              <w:rPr>
                <w:color w:val="000000"/>
                <w:sz w:val="22"/>
                <w:szCs w:val="22"/>
                <w:lang w:val="en-GB"/>
              </w:rPr>
              <w:t>678.599</w:t>
            </w:r>
          </w:p>
        </w:tc>
        <w:tc>
          <w:tcPr>
            <w:tcW w:w="548" w:type="pct"/>
            <w:noWrap/>
            <w:vAlign w:val="bottom"/>
          </w:tcPr>
          <w:p w14:paraId="42D4C45B" w14:textId="2C4F89DF" w:rsidR="00F64FFF" w:rsidRPr="008669C3" w:rsidRDefault="00F64FFF" w:rsidP="00F64FFF">
            <w:pPr>
              <w:jc w:val="center"/>
              <w:rPr>
                <w:sz w:val="22"/>
                <w:szCs w:val="22"/>
              </w:rPr>
            </w:pPr>
            <w:r w:rsidRPr="008669C3">
              <w:rPr>
                <w:color w:val="000000"/>
                <w:sz w:val="22"/>
                <w:szCs w:val="22"/>
                <w:lang w:val="en-GB"/>
              </w:rPr>
              <w:t>1</w:t>
            </w:r>
            <w:r w:rsidR="00326FEB" w:rsidRPr="008669C3">
              <w:rPr>
                <w:color w:val="000000"/>
                <w:sz w:val="22"/>
                <w:szCs w:val="22"/>
                <w:lang w:val="en-GB"/>
              </w:rPr>
              <w:t>,</w:t>
            </w:r>
            <w:r w:rsidRPr="008669C3">
              <w:rPr>
                <w:color w:val="000000"/>
                <w:sz w:val="22"/>
                <w:szCs w:val="22"/>
                <w:lang w:val="en-GB"/>
              </w:rPr>
              <w:t>753.738</w:t>
            </w:r>
          </w:p>
        </w:tc>
        <w:tc>
          <w:tcPr>
            <w:tcW w:w="129" w:type="pct"/>
            <w:noWrap/>
          </w:tcPr>
          <w:p w14:paraId="777DB0F8" w14:textId="77777777" w:rsidR="00F64FFF" w:rsidRPr="008669C3" w:rsidRDefault="00F64FFF" w:rsidP="00F64FFF">
            <w:pPr>
              <w:jc w:val="center"/>
              <w:rPr>
                <w:sz w:val="22"/>
                <w:szCs w:val="22"/>
              </w:rPr>
            </w:pPr>
          </w:p>
        </w:tc>
        <w:tc>
          <w:tcPr>
            <w:tcW w:w="495" w:type="pct"/>
            <w:noWrap/>
            <w:vAlign w:val="bottom"/>
          </w:tcPr>
          <w:p w14:paraId="2BFB1919" w14:textId="33E8866A" w:rsidR="00F64FFF" w:rsidRPr="008669C3" w:rsidRDefault="00F64FFF" w:rsidP="00F64FFF">
            <w:pPr>
              <w:jc w:val="center"/>
              <w:rPr>
                <w:sz w:val="22"/>
                <w:szCs w:val="22"/>
              </w:rPr>
            </w:pPr>
            <w:r w:rsidRPr="008669C3">
              <w:rPr>
                <w:color w:val="000000"/>
                <w:sz w:val="22"/>
                <w:szCs w:val="22"/>
                <w:lang w:val="en-GB"/>
              </w:rPr>
              <w:t>1</w:t>
            </w:r>
            <w:r w:rsidR="00326FEB" w:rsidRPr="008669C3">
              <w:rPr>
                <w:color w:val="000000"/>
                <w:sz w:val="22"/>
                <w:szCs w:val="22"/>
                <w:lang w:val="en-GB"/>
              </w:rPr>
              <w:t>,</w:t>
            </w:r>
            <w:r w:rsidRPr="008669C3">
              <w:rPr>
                <w:color w:val="000000"/>
                <w:sz w:val="22"/>
                <w:szCs w:val="22"/>
                <w:lang w:val="en-GB"/>
              </w:rPr>
              <w:t>560.612</w:t>
            </w:r>
          </w:p>
        </w:tc>
        <w:tc>
          <w:tcPr>
            <w:tcW w:w="495" w:type="pct"/>
            <w:noWrap/>
            <w:vAlign w:val="bottom"/>
          </w:tcPr>
          <w:p w14:paraId="5AFEA96D" w14:textId="1745EE46" w:rsidR="00F64FFF" w:rsidRPr="008669C3" w:rsidRDefault="00F64FFF" w:rsidP="00F64FFF">
            <w:pPr>
              <w:jc w:val="center"/>
              <w:rPr>
                <w:sz w:val="22"/>
                <w:szCs w:val="22"/>
              </w:rPr>
            </w:pPr>
            <w:r w:rsidRPr="008669C3">
              <w:rPr>
                <w:color w:val="000000"/>
                <w:sz w:val="22"/>
                <w:szCs w:val="22"/>
                <w:lang w:val="en-GB"/>
              </w:rPr>
              <w:t>600.545</w:t>
            </w:r>
          </w:p>
        </w:tc>
        <w:tc>
          <w:tcPr>
            <w:tcW w:w="130" w:type="pct"/>
            <w:noWrap/>
          </w:tcPr>
          <w:p w14:paraId="76B6902A" w14:textId="77777777" w:rsidR="00F64FFF" w:rsidRPr="008669C3" w:rsidRDefault="00F64FFF" w:rsidP="00F64FFF">
            <w:pPr>
              <w:jc w:val="center"/>
              <w:rPr>
                <w:sz w:val="22"/>
                <w:szCs w:val="22"/>
              </w:rPr>
            </w:pPr>
          </w:p>
        </w:tc>
        <w:tc>
          <w:tcPr>
            <w:tcW w:w="548" w:type="pct"/>
            <w:noWrap/>
            <w:vAlign w:val="bottom"/>
          </w:tcPr>
          <w:p w14:paraId="54C585BB" w14:textId="0842ED7A" w:rsidR="00F64FFF" w:rsidRPr="008669C3" w:rsidRDefault="00F64FFF" w:rsidP="00F64FFF">
            <w:pPr>
              <w:jc w:val="center"/>
              <w:rPr>
                <w:sz w:val="22"/>
                <w:szCs w:val="22"/>
              </w:rPr>
            </w:pPr>
            <w:r w:rsidRPr="008669C3">
              <w:rPr>
                <w:color w:val="000000"/>
                <w:sz w:val="22"/>
                <w:szCs w:val="22"/>
                <w:lang w:val="en-GB"/>
              </w:rPr>
              <w:t>1</w:t>
            </w:r>
            <w:r w:rsidR="00326FEB" w:rsidRPr="008669C3">
              <w:rPr>
                <w:color w:val="000000"/>
                <w:sz w:val="22"/>
                <w:szCs w:val="22"/>
                <w:lang w:val="en-GB"/>
              </w:rPr>
              <w:t>,</w:t>
            </w:r>
            <w:r w:rsidRPr="008669C3">
              <w:rPr>
                <w:color w:val="000000"/>
                <w:sz w:val="22"/>
                <w:szCs w:val="22"/>
                <w:lang w:val="en-GB"/>
              </w:rPr>
              <w:t>117.987</w:t>
            </w:r>
          </w:p>
        </w:tc>
        <w:tc>
          <w:tcPr>
            <w:tcW w:w="260" w:type="pct"/>
            <w:noWrap/>
            <w:vAlign w:val="bottom"/>
          </w:tcPr>
          <w:p w14:paraId="38A8351F" w14:textId="2BF2B507" w:rsidR="00F64FFF" w:rsidRPr="008669C3" w:rsidRDefault="00F64FFF" w:rsidP="00F64FFF">
            <w:pPr>
              <w:jc w:val="center"/>
              <w:rPr>
                <w:sz w:val="20"/>
                <w:szCs w:val="22"/>
              </w:rPr>
            </w:pPr>
            <w:r w:rsidRPr="008669C3">
              <w:rPr>
                <w:color w:val="000000"/>
                <w:sz w:val="20"/>
                <w:szCs w:val="22"/>
                <w:lang w:val="en-GB"/>
              </w:rPr>
              <w:t>***</w:t>
            </w:r>
          </w:p>
        </w:tc>
        <w:tc>
          <w:tcPr>
            <w:tcW w:w="548" w:type="pct"/>
            <w:noWrap/>
            <w:vAlign w:val="bottom"/>
          </w:tcPr>
          <w:p w14:paraId="280AA61A" w14:textId="625163C6" w:rsidR="00F64FFF" w:rsidRPr="008669C3" w:rsidRDefault="00F64FFF" w:rsidP="00F64FFF">
            <w:pPr>
              <w:jc w:val="center"/>
              <w:rPr>
                <w:sz w:val="22"/>
                <w:szCs w:val="22"/>
              </w:rPr>
            </w:pPr>
            <w:r w:rsidRPr="008669C3">
              <w:rPr>
                <w:color w:val="000000"/>
                <w:sz w:val="22"/>
                <w:szCs w:val="22"/>
                <w:lang w:val="en-GB"/>
              </w:rPr>
              <w:t>1</w:t>
            </w:r>
            <w:r w:rsidR="00326FEB" w:rsidRPr="008669C3">
              <w:rPr>
                <w:color w:val="000000"/>
                <w:sz w:val="22"/>
                <w:szCs w:val="22"/>
                <w:lang w:val="en-GB"/>
              </w:rPr>
              <w:t>,</w:t>
            </w:r>
            <w:r w:rsidRPr="008669C3">
              <w:rPr>
                <w:color w:val="000000"/>
                <w:sz w:val="22"/>
                <w:szCs w:val="22"/>
                <w:lang w:val="en-GB"/>
              </w:rPr>
              <w:t>153.193</w:t>
            </w:r>
          </w:p>
        </w:tc>
        <w:tc>
          <w:tcPr>
            <w:tcW w:w="290" w:type="pct"/>
            <w:noWrap/>
            <w:vAlign w:val="bottom"/>
          </w:tcPr>
          <w:p w14:paraId="3B9303FE" w14:textId="548038F5" w:rsidR="00F64FFF" w:rsidRPr="008669C3" w:rsidRDefault="00F64FFF" w:rsidP="00F64FFF">
            <w:pPr>
              <w:jc w:val="center"/>
              <w:rPr>
                <w:sz w:val="20"/>
                <w:szCs w:val="22"/>
              </w:rPr>
            </w:pPr>
            <w:r w:rsidRPr="008669C3">
              <w:rPr>
                <w:color w:val="000000"/>
                <w:sz w:val="20"/>
                <w:szCs w:val="22"/>
                <w:lang w:val="en-GB"/>
              </w:rPr>
              <w:t>***</w:t>
            </w:r>
          </w:p>
        </w:tc>
      </w:tr>
      <w:tr w:rsidR="00F64FFF" w:rsidRPr="008669C3" w14:paraId="7467295D" w14:textId="77777777" w:rsidTr="00472AD9">
        <w:trPr>
          <w:trHeight w:val="20"/>
          <w:jc w:val="center"/>
        </w:trPr>
        <w:tc>
          <w:tcPr>
            <w:tcW w:w="1009" w:type="pct"/>
            <w:noWrap/>
            <w:hideMark/>
          </w:tcPr>
          <w:p w14:paraId="4CE2FFE7" w14:textId="77777777" w:rsidR="00F64FFF" w:rsidRPr="008669C3" w:rsidRDefault="00F64FFF" w:rsidP="00F64FFF">
            <w:pPr>
              <w:jc w:val="both"/>
              <w:rPr>
                <w:iCs/>
                <w:sz w:val="22"/>
                <w:szCs w:val="22"/>
              </w:rPr>
            </w:pPr>
            <w:r w:rsidRPr="008669C3">
              <w:rPr>
                <w:iCs/>
                <w:sz w:val="22"/>
                <w:szCs w:val="22"/>
              </w:rPr>
              <w:t>CDS trading</w:t>
            </w:r>
          </w:p>
        </w:tc>
        <w:tc>
          <w:tcPr>
            <w:tcW w:w="548" w:type="pct"/>
            <w:noWrap/>
            <w:vAlign w:val="bottom"/>
            <w:hideMark/>
          </w:tcPr>
          <w:p w14:paraId="3B801C7B" w14:textId="6A971598" w:rsidR="00F64FFF" w:rsidRPr="008669C3" w:rsidRDefault="00F64FFF" w:rsidP="00F64FFF">
            <w:pPr>
              <w:jc w:val="center"/>
              <w:rPr>
                <w:sz w:val="22"/>
                <w:szCs w:val="22"/>
              </w:rPr>
            </w:pPr>
            <w:r w:rsidRPr="008669C3">
              <w:rPr>
                <w:sz w:val="22"/>
                <w:szCs w:val="22"/>
                <w:lang w:val="en-GB"/>
              </w:rPr>
              <w:t>1.000</w:t>
            </w:r>
          </w:p>
        </w:tc>
        <w:tc>
          <w:tcPr>
            <w:tcW w:w="548" w:type="pct"/>
            <w:noWrap/>
            <w:vAlign w:val="bottom"/>
            <w:hideMark/>
          </w:tcPr>
          <w:p w14:paraId="3CD1732D" w14:textId="27F2C085" w:rsidR="00F64FFF" w:rsidRPr="008669C3" w:rsidRDefault="00F64FFF" w:rsidP="00F64FFF">
            <w:pPr>
              <w:jc w:val="center"/>
              <w:rPr>
                <w:sz w:val="22"/>
                <w:szCs w:val="22"/>
              </w:rPr>
            </w:pPr>
            <w:r w:rsidRPr="008669C3">
              <w:rPr>
                <w:sz w:val="22"/>
                <w:szCs w:val="22"/>
                <w:lang w:val="en-GB"/>
              </w:rPr>
              <w:t>1.000</w:t>
            </w:r>
          </w:p>
        </w:tc>
        <w:tc>
          <w:tcPr>
            <w:tcW w:w="129" w:type="pct"/>
            <w:noWrap/>
            <w:hideMark/>
          </w:tcPr>
          <w:p w14:paraId="4A3C4CAE" w14:textId="77777777" w:rsidR="00F64FFF" w:rsidRPr="008669C3" w:rsidRDefault="00F64FFF" w:rsidP="00F64FFF">
            <w:pPr>
              <w:jc w:val="center"/>
              <w:rPr>
                <w:sz w:val="22"/>
                <w:szCs w:val="22"/>
              </w:rPr>
            </w:pPr>
          </w:p>
        </w:tc>
        <w:tc>
          <w:tcPr>
            <w:tcW w:w="495" w:type="pct"/>
            <w:noWrap/>
            <w:vAlign w:val="bottom"/>
            <w:hideMark/>
          </w:tcPr>
          <w:p w14:paraId="0656860F" w14:textId="21DDCAA4" w:rsidR="00F64FFF" w:rsidRPr="008669C3" w:rsidRDefault="00F64FFF" w:rsidP="00F64FFF">
            <w:pPr>
              <w:jc w:val="center"/>
              <w:rPr>
                <w:sz w:val="22"/>
                <w:szCs w:val="22"/>
              </w:rPr>
            </w:pPr>
            <w:r w:rsidRPr="008669C3">
              <w:rPr>
                <w:sz w:val="22"/>
                <w:szCs w:val="22"/>
                <w:lang w:val="en-GB"/>
              </w:rPr>
              <w:t>0.000</w:t>
            </w:r>
          </w:p>
        </w:tc>
        <w:tc>
          <w:tcPr>
            <w:tcW w:w="495" w:type="pct"/>
            <w:noWrap/>
            <w:vAlign w:val="bottom"/>
            <w:hideMark/>
          </w:tcPr>
          <w:p w14:paraId="40618E91" w14:textId="0C0488C7" w:rsidR="00F64FFF" w:rsidRPr="008669C3" w:rsidRDefault="00F64FFF" w:rsidP="00F64FFF">
            <w:pPr>
              <w:jc w:val="center"/>
              <w:rPr>
                <w:sz w:val="22"/>
                <w:szCs w:val="22"/>
              </w:rPr>
            </w:pPr>
            <w:r w:rsidRPr="008669C3">
              <w:rPr>
                <w:sz w:val="22"/>
                <w:szCs w:val="22"/>
                <w:lang w:val="en-GB"/>
              </w:rPr>
              <w:t>0.000</w:t>
            </w:r>
          </w:p>
        </w:tc>
        <w:tc>
          <w:tcPr>
            <w:tcW w:w="130" w:type="pct"/>
            <w:noWrap/>
            <w:hideMark/>
          </w:tcPr>
          <w:p w14:paraId="79A73573" w14:textId="77777777" w:rsidR="00F64FFF" w:rsidRPr="008669C3" w:rsidRDefault="00F64FFF" w:rsidP="00F64FFF">
            <w:pPr>
              <w:jc w:val="center"/>
              <w:rPr>
                <w:sz w:val="22"/>
                <w:szCs w:val="22"/>
              </w:rPr>
            </w:pPr>
          </w:p>
        </w:tc>
        <w:tc>
          <w:tcPr>
            <w:tcW w:w="548" w:type="pct"/>
            <w:noWrap/>
            <w:vAlign w:val="bottom"/>
            <w:hideMark/>
          </w:tcPr>
          <w:p w14:paraId="1EBA88BF" w14:textId="5DAC2FF2" w:rsidR="00F64FFF" w:rsidRPr="008669C3" w:rsidRDefault="00F64FFF" w:rsidP="00F64FFF">
            <w:pPr>
              <w:jc w:val="center"/>
              <w:rPr>
                <w:sz w:val="22"/>
                <w:szCs w:val="22"/>
              </w:rPr>
            </w:pPr>
            <w:r w:rsidRPr="008669C3">
              <w:rPr>
                <w:sz w:val="22"/>
                <w:szCs w:val="22"/>
                <w:lang w:val="en-GB"/>
              </w:rPr>
              <w:t>1.000</w:t>
            </w:r>
          </w:p>
        </w:tc>
        <w:tc>
          <w:tcPr>
            <w:tcW w:w="260" w:type="pct"/>
            <w:noWrap/>
            <w:vAlign w:val="bottom"/>
            <w:hideMark/>
          </w:tcPr>
          <w:p w14:paraId="751CC68C" w14:textId="5C9F9B4C" w:rsidR="00F64FFF" w:rsidRPr="008669C3" w:rsidRDefault="00F64FFF" w:rsidP="00F64FFF">
            <w:pPr>
              <w:jc w:val="center"/>
              <w:rPr>
                <w:sz w:val="20"/>
                <w:szCs w:val="22"/>
              </w:rPr>
            </w:pPr>
            <w:r w:rsidRPr="008669C3">
              <w:rPr>
                <w:sz w:val="20"/>
                <w:szCs w:val="22"/>
                <w:lang w:val="en-GB"/>
              </w:rPr>
              <w:t>***</w:t>
            </w:r>
          </w:p>
        </w:tc>
        <w:tc>
          <w:tcPr>
            <w:tcW w:w="548" w:type="pct"/>
            <w:noWrap/>
            <w:vAlign w:val="bottom"/>
            <w:hideMark/>
          </w:tcPr>
          <w:p w14:paraId="6BF9EDC8" w14:textId="3F60CD75" w:rsidR="00F64FFF" w:rsidRPr="008669C3" w:rsidRDefault="00F64FFF" w:rsidP="00F64FFF">
            <w:pPr>
              <w:jc w:val="center"/>
              <w:rPr>
                <w:sz w:val="22"/>
                <w:szCs w:val="22"/>
              </w:rPr>
            </w:pPr>
            <w:r w:rsidRPr="008669C3">
              <w:rPr>
                <w:sz w:val="22"/>
                <w:szCs w:val="22"/>
                <w:lang w:val="en-GB"/>
              </w:rPr>
              <w:t>1.000</w:t>
            </w:r>
          </w:p>
        </w:tc>
        <w:tc>
          <w:tcPr>
            <w:tcW w:w="290" w:type="pct"/>
            <w:noWrap/>
            <w:vAlign w:val="bottom"/>
            <w:hideMark/>
          </w:tcPr>
          <w:p w14:paraId="6E23F47C" w14:textId="26E0FB6F" w:rsidR="00F64FFF" w:rsidRPr="008669C3" w:rsidRDefault="00F64FFF" w:rsidP="00F64FFF">
            <w:pPr>
              <w:jc w:val="center"/>
              <w:rPr>
                <w:sz w:val="20"/>
                <w:szCs w:val="22"/>
              </w:rPr>
            </w:pPr>
            <w:r w:rsidRPr="008669C3">
              <w:rPr>
                <w:sz w:val="20"/>
                <w:szCs w:val="22"/>
                <w:lang w:val="en-GB"/>
              </w:rPr>
              <w:t>***</w:t>
            </w:r>
          </w:p>
        </w:tc>
      </w:tr>
      <w:tr w:rsidR="00F64FFF" w:rsidRPr="008669C3" w14:paraId="2B47072C" w14:textId="77777777" w:rsidTr="00472AD9">
        <w:trPr>
          <w:trHeight w:val="20"/>
          <w:jc w:val="center"/>
        </w:trPr>
        <w:tc>
          <w:tcPr>
            <w:tcW w:w="1009" w:type="pct"/>
            <w:noWrap/>
            <w:hideMark/>
          </w:tcPr>
          <w:p w14:paraId="34AAB96A" w14:textId="77777777" w:rsidR="00F64FFF" w:rsidRPr="008669C3" w:rsidRDefault="00F64FFF" w:rsidP="00F64FFF">
            <w:pPr>
              <w:jc w:val="both"/>
              <w:rPr>
                <w:iCs/>
                <w:sz w:val="22"/>
                <w:szCs w:val="22"/>
              </w:rPr>
            </w:pPr>
            <w:r w:rsidRPr="008669C3">
              <w:rPr>
                <w:iCs/>
                <w:sz w:val="22"/>
                <w:szCs w:val="22"/>
              </w:rPr>
              <w:t xml:space="preserve">Sales </w:t>
            </w:r>
            <w:r w:rsidRPr="008669C3">
              <w:rPr>
                <w:sz w:val="22"/>
                <w:szCs w:val="22"/>
              </w:rPr>
              <w:t>(million $)</w:t>
            </w:r>
          </w:p>
        </w:tc>
        <w:tc>
          <w:tcPr>
            <w:tcW w:w="548" w:type="pct"/>
            <w:noWrap/>
            <w:vAlign w:val="bottom"/>
            <w:hideMark/>
          </w:tcPr>
          <w:p w14:paraId="1497EF40" w14:textId="125E255D" w:rsidR="00F64FFF" w:rsidRPr="008669C3" w:rsidRDefault="00F64FFF" w:rsidP="00F64FFF">
            <w:pPr>
              <w:jc w:val="center"/>
              <w:rPr>
                <w:sz w:val="22"/>
                <w:szCs w:val="22"/>
              </w:rPr>
            </w:pPr>
            <w:r w:rsidRPr="008669C3">
              <w:rPr>
                <w:color w:val="000000"/>
                <w:sz w:val="22"/>
                <w:szCs w:val="22"/>
                <w:lang w:val="en-GB"/>
              </w:rPr>
              <w:t>30</w:t>
            </w:r>
            <w:r w:rsidR="00326FEB" w:rsidRPr="008669C3">
              <w:rPr>
                <w:color w:val="000000"/>
                <w:sz w:val="22"/>
                <w:szCs w:val="22"/>
                <w:lang w:val="en-GB"/>
              </w:rPr>
              <w:t>,</w:t>
            </w:r>
            <w:r w:rsidRPr="008669C3">
              <w:rPr>
                <w:color w:val="000000"/>
                <w:sz w:val="22"/>
                <w:szCs w:val="22"/>
                <w:lang w:val="en-GB"/>
              </w:rPr>
              <w:t>089.320</w:t>
            </w:r>
          </w:p>
        </w:tc>
        <w:tc>
          <w:tcPr>
            <w:tcW w:w="548" w:type="pct"/>
            <w:noWrap/>
            <w:vAlign w:val="bottom"/>
            <w:hideMark/>
          </w:tcPr>
          <w:p w14:paraId="23C238A1" w14:textId="29408C35" w:rsidR="00F64FFF" w:rsidRPr="008669C3" w:rsidRDefault="00F64FFF" w:rsidP="00F64FFF">
            <w:pPr>
              <w:jc w:val="center"/>
              <w:rPr>
                <w:sz w:val="22"/>
                <w:szCs w:val="22"/>
              </w:rPr>
            </w:pPr>
            <w:r w:rsidRPr="008669C3">
              <w:rPr>
                <w:color w:val="000000"/>
                <w:sz w:val="22"/>
                <w:szCs w:val="22"/>
                <w:lang w:val="en-GB"/>
              </w:rPr>
              <w:t>15</w:t>
            </w:r>
            <w:r w:rsidR="00326FEB" w:rsidRPr="008669C3">
              <w:rPr>
                <w:color w:val="000000"/>
                <w:sz w:val="22"/>
                <w:szCs w:val="22"/>
                <w:lang w:val="en-GB"/>
              </w:rPr>
              <w:t>,</w:t>
            </w:r>
            <w:r w:rsidRPr="008669C3">
              <w:rPr>
                <w:color w:val="000000"/>
                <w:sz w:val="22"/>
                <w:szCs w:val="22"/>
                <w:lang w:val="en-GB"/>
              </w:rPr>
              <w:t>259.000</w:t>
            </w:r>
          </w:p>
        </w:tc>
        <w:tc>
          <w:tcPr>
            <w:tcW w:w="129" w:type="pct"/>
            <w:noWrap/>
            <w:hideMark/>
          </w:tcPr>
          <w:p w14:paraId="6D032BD0" w14:textId="77777777" w:rsidR="00F64FFF" w:rsidRPr="008669C3" w:rsidRDefault="00F64FFF" w:rsidP="00F64FFF">
            <w:pPr>
              <w:jc w:val="center"/>
              <w:rPr>
                <w:sz w:val="22"/>
                <w:szCs w:val="22"/>
              </w:rPr>
            </w:pPr>
          </w:p>
        </w:tc>
        <w:tc>
          <w:tcPr>
            <w:tcW w:w="495" w:type="pct"/>
            <w:noWrap/>
            <w:vAlign w:val="bottom"/>
            <w:hideMark/>
          </w:tcPr>
          <w:p w14:paraId="2DB4B4AA" w14:textId="7A79548A" w:rsidR="00F64FFF" w:rsidRPr="008669C3" w:rsidRDefault="00F64FFF" w:rsidP="00F64FFF">
            <w:pPr>
              <w:jc w:val="center"/>
              <w:rPr>
                <w:sz w:val="22"/>
                <w:szCs w:val="22"/>
              </w:rPr>
            </w:pPr>
            <w:r w:rsidRPr="008669C3">
              <w:rPr>
                <w:color w:val="000000"/>
                <w:sz w:val="22"/>
                <w:szCs w:val="22"/>
                <w:lang w:val="en-GB"/>
              </w:rPr>
              <w:t>5</w:t>
            </w:r>
            <w:r w:rsidR="00326FEB" w:rsidRPr="008669C3">
              <w:rPr>
                <w:color w:val="000000"/>
                <w:sz w:val="22"/>
                <w:szCs w:val="22"/>
                <w:lang w:val="en-GB"/>
              </w:rPr>
              <w:t>,</w:t>
            </w:r>
            <w:r w:rsidRPr="008669C3">
              <w:rPr>
                <w:color w:val="000000"/>
                <w:sz w:val="22"/>
                <w:szCs w:val="22"/>
                <w:lang w:val="en-GB"/>
              </w:rPr>
              <w:t>313.078</w:t>
            </w:r>
          </w:p>
        </w:tc>
        <w:tc>
          <w:tcPr>
            <w:tcW w:w="495" w:type="pct"/>
            <w:noWrap/>
            <w:vAlign w:val="bottom"/>
            <w:hideMark/>
          </w:tcPr>
          <w:p w14:paraId="08839908" w14:textId="4498C5C9" w:rsidR="00F64FFF" w:rsidRPr="008669C3" w:rsidRDefault="00F64FFF" w:rsidP="00F64FFF">
            <w:pPr>
              <w:jc w:val="center"/>
              <w:rPr>
                <w:sz w:val="22"/>
                <w:szCs w:val="22"/>
              </w:rPr>
            </w:pPr>
            <w:r w:rsidRPr="008669C3">
              <w:rPr>
                <w:color w:val="000000"/>
                <w:sz w:val="22"/>
                <w:szCs w:val="22"/>
                <w:lang w:val="en-GB"/>
              </w:rPr>
              <w:t>1</w:t>
            </w:r>
            <w:r w:rsidR="00326FEB" w:rsidRPr="008669C3">
              <w:rPr>
                <w:color w:val="000000"/>
                <w:sz w:val="22"/>
                <w:szCs w:val="22"/>
                <w:lang w:val="en-GB"/>
              </w:rPr>
              <w:t>,</w:t>
            </w:r>
            <w:r w:rsidRPr="008669C3">
              <w:rPr>
                <w:color w:val="000000"/>
                <w:sz w:val="22"/>
                <w:szCs w:val="22"/>
                <w:lang w:val="en-GB"/>
              </w:rPr>
              <w:t>792.400</w:t>
            </w:r>
          </w:p>
        </w:tc>
        <w:tc>
          <w:tcPr>
            <w:tcW w:w="130" w:type="pct"/>
            <w:noWrap/>
            <w:hideMark/>
          </w:tcPr>
          <w:p w14:paraId="3B926F05" w14:textId="77777777" w:rsidR="00F64FFF" w:rsidRPr="008669C3" w:rsidRDefault="00F64FFF" w:rsidP="00F64FFF">
            <w:pPr>
              <w:jc w:val="center"/>
              <w:rPr>
                <w:sz w:val="22"/>
                <w:szCs w:val="22"/>
              </w:rPr>
            </w:pPr>
          </w:p>
        </w:tc>
        <w:tc>
          <w:tcPr>
            <w:tcW w:w="548" w:type="pct"/>
            <w:noWrap/>
            <w:vAlign w:val="bottom"/>
            <w:hideMark/>
          </w:tcPr>
          <w:p w14:paraId="7BB9E59C" w14:textId="72C4F048" w:rsidR="00F64FFF" w:rsidRPr="008669C3" w:rsidRDefault="00F64FFF" w:rsidP="00F64FFF">
            <w:pPr>
              <w:jc w:val="center"/>
              <w:rPr>
                <w:sz w:val="22"/>
                <w:szCs w:val="22"/>
              </w:rPr>
            </w:pPr>
            <w:r w:rsidRPr="008669C3">
              <w:rPr>
                <w:color w:val="000000"/>
                <w:sz w:val="22"/>
                <w:szCs w:val="22"/>
                <w:lang w:val="en-GB"/>
              </w:rPr>
              <w:t>24</w:t>
            </w:r>
            <w:r w:rsidR="00326FEB" w:rsidRPr="008669C3">
              <w:rPr>
                <w:color w:val="000000"/>
                <w:sz w:val="22"/>
                <w:szCs w:val="22"/>
                <w:lang w:val="en-GB"/>
              </w:rPr>
              <w:t>,</w:t>
            </w:r>
            <w:r w:rsidRPr="008669C3">
              <w:rPr>
                <w:color w:val="000000"/>
                <w:sz w:val="22"/>
                <w:szCs w:val="22"/>
                <w:lang w:val="en-GB"/>
              </w:rPr>
              <w:t>776.242</w:t>
            </w:r>
          </w:p>
        </w:tc>
        <w:tc>
          <w:tcPr>
            <w:tcW w:w="260" w:type="pct"/>
            <w:noWrap/>
            <w:vAlign w:val="bottom"/>
            <w:hideMark/>
          </w:tcPr>
          <w:p w14:paraId="25AA86DD" w14:textId="1F7213FD" w:rsidR="00F64FFF" w:rsidRPr="008669C3" w:rsidRDefault="00F64FFF" w:rsidP="00F64FFF">
            <w:pPr>
              <w:jc w:val="center"/>
              <w:rPr>
                <w:sz w:val="20"/>
                <w:szCs w:val="22"/>
              </w:rPr>
            </w:pPr>
            <w:r w:rsidRPr="008669C3">
              <w:rPr>
                <w:color w:val="000000"/>
                <w:sz w:val="20"/>
                <w:szCs w:val="22"/>
                <w:lang w:val="en-GB"/>
              </w:rPr>
              <w:t>***</w:t>
            </w:r>
          </w:p>
        </w:tc>
        <w:tc>
          <w:tcPr>
            <w:tcW w:w="548" w:type="pct"/>
            <w:noWrap/>
            <w:vAlign w:val="bottom"/>
            <w:hideMark/>
          </w:tcPr>
          <w:p w14:paraId="1A04830F" w14:textId="2F22BA4A" w:rsidR="00F64FFF" w:rsidRPr="008669C3" w:rsidRDefault="00F64FFF" w:rsidP="00F64FFF">
            <w:pPr>
              <w:jc w:val="center"/>
              <w:rPr>
                <w:sz w:val="22"/>
                <w:szCs w:val="22"/>
              </w:rPr>
            </w:pPr>
            <w:r w:rsidRPr="008669C3">
              <w:rPr>
                <w:color w:val="000000"/>
                <w:sz w:val="22"/>
                <w:szCs w:val="22"/>
                <w:lang w:val="en-GB"/>
              </w:rPr>
              <w:t>13</w:t>
            </w:r>
            <w:r w:rsidR="00326FEB" w:rsidRPr="008669C3">
              <w:rPr>
                <w:color w:val="000000"/>
                <w:sz w:val="22"/>
                <w:szCs w:val="22"/>
                <w:lang w:val="en-GB"/>
              </w:rPr>
              <w:t>,</w:t>
            </w:r>
            <w:r w:rsidRPr="008669C3">
              <w:rPr>
                <w:color w:val="000000"/>
                <w:sz w:val="22"/>
                <w:szCs w:val="22"/>
                <w:lang w:val="en-GB"/>
              </w:rPr>
              <w:t>466.600</w:t>
            </w:r>
          </w:p>
        </w:tc>
        <w:tc>
          <w:tcPr>
            <w:tcW w:w="290" w:type="pct"/>
            <w:noWrap/>
            <w:vAlign w:val="bottom"/>
            <w:hideMark/>
          </w:tcPr>
          <w:p w14:paraId="3A24A7D2" w14:textId="41DED921" w:rsidR="00F64FFF" w:rsidRPr="008669C3" w:rsidRDefault="00F64FFF" w:rsidP="00F64FFF">
            <w:pPr>
              <w:jc w:val="center"/>
              <w:rPr>
                <w:sz w:val="20"/>
                <w:szCs w:val="22"/>
              </w:rPr>
            </w:pPr>
            <w:r w:rsidRPr="008669C3">
              <w:rPr>
                <w:color w:val="000000"/>
                <w:sz w:val="20"/>
                <w:szCs w:val="22"/>
                <w:lang w:val="en-GB"/>
              </w:rPr>
              <w:t>***</w:t>
            </w:r>
          </w:p>
        </w:tc>
      </w:tr>
      <w:tr w:rsidR="00F64FFF" w:rsidRPr="008669C3" w14:paraId="624335D3" w14:textId="77777777" w:rsidTr="00472AD9">
        <w:trPr>
          <w:trHeight w:val="20"/>
          <w:jc w:val="center"/>
        </w:trPr>
        <w:tc>
          <w:tcPr>
            <w:tcW w:w="1009" w:type="pct"/>
            <w:noWrap/>
            <w:hideMark/>
          </w:tcPr>
          <w:p w14:paraId="5EEADB54" w14:textId="77777777" w:rsidR="00F64FFF" w:rsidRPr="008669C3" w:rsidRDefault="00F64FFF" w:rsidP="00F64FFF">
            <w:pPr>
              <w:jc w:val="both"/>
              <w:rPr>
                <w:iCs/>
                <w:sz w:val="22"/>
                <w:szCs w:val="22"/>
              </w:rPr>
            </w:pPr>
            <w:r w:rsidRPr="008669C3">
              <w:rPr>
                <w:iCs/>
                <w:sz w:val="22"/>
                <w:szCs w:val="22"/>
              </w:rPr>
              <w:t>ROA</w:t>
            </w:r>
          </w:p>
        </w:tc>
        <w:tc>
          <w:tcPr>
            <w:tcW w:w="548" w:type="pct"/>
            <w:noWrap/>
            <w:vAlign w:val="bottom"/>
            <w:hideMark/>
          </w:tcPr>
          <w:p w14:paraId="72ED1621" w14:textId="5BD19D54" w:rsidR="00F64FFF" w:rsidRPr="008669C3" w:rsidRDefault="00F64FFF" w:rsidP="00F64FFF">
            <w:pPr>
              <w:jc w:val="center"/>
              <w:rPr>
                <w:sz w:val="22"/>
                <w:szCs w:val="22"/>
              </w:rPr>
            </w:pPr>
            <w:r w:rsidRPr="008669C3">
              <w:rPr>
                <w:sz w:val="22"/>
                <w:szCs w:val="22"/>
                <w:lang w:val="en-GB"/>
              </w:rPr>
              <w:t>0.143</w:t>
            </w:r>
          </w:p>
        </w:tc>
        <w:tc>
          <w:tcPr>
            <w:tcW w:w="548" w:type="pct"/>
            <w:noWrap/>
            <w:vAlign w:val="bottom"/>
            <w:hideMark/>
          </w:tcPr>
          <w:p w14:paraId="0C76F06B" w14:textId="3957FCFC" w:rsidR="00F64FFF" w:rsidRPr="008669C3" w:rsidRDefault="00F64FFF" w:rsidP="00F64FFF">
            <w:pPr>
              <w:jc w:val="center"/>
              <w:rPr>
                <w:sz w:val="22"/>
                <w:szCs w:val="22"/>
              </w:rPr>
            </w:pPr>
            <w:r w:rsidRPr="008669C3">
              <w:rPr>
                <w:sz w:val="22"/>
                <w:szCs w:val="22"/>
                <w:lang w:val="en-GB"/>
              </w:rPr>
              <w:t>0.139</w:t>
            </w:r>
          </w:p>
        </w:tc>
        <w:tc>
          <w:tcPr>
            <w:tcW w:w="129" w:type="pct"/>
            <w:noWrap/>
            <w:hideMark/>
          </w:tcPr>
          <w:p w14:paraId="49F1F93C" w14:textId="77777777" w:rsidR="00F64FFF" w:rsidRPr="008669C3" w:rsidRDefault="00F64FFF" w:rsidP="00F64FFF">
            <w:pPr>
              <w:jc w:val="center"/>
              <w:rPr>
                <w:sz w:val="22"/>
                <w:szCs w:val="22"/>
              </w:rPr>
            </w:pPr>
          </w:p>
        </w:tc>
        <w:tc>
          <w:tcPr>
            <w:tcW w:w="495" w:type="pct"/>
            <w:noWrap/>
            <w:vAlign w:val="bottom"/>
            <w:hideMark/>
          </w:tcPr>
          <w:p w14:paraId="62F34DC2" w14:textId="5826D77A" w:rsidR="00F64FFF" w:rsidRPr="008669C3" w:rsidRDefault="00F64FFF" w:rsidP="00F64FFF">
            <w:pPr>
              <w:jc w:val="center"/>
              <w:rPr>
                <w:sz w:val="22"/>
                <w:szCs w:val="22"/>
              </w:rPr>
            </w:pPr>
            <w:r w:rsidRPr="008669C3">
              <w:rPr>
                <w:sz w:val="22"/>
                <w:szCs w:val="22"/>
                <w:lang w:val="en-GB"/>
              </w:rPr>
              <w:t>0.140</w:t>
            </w:r>
          </w:p>
        </w:tc>
        <w:tc>
          <w:tcPr>
            <w:tcW w:w="495" w:type="pct"/>
            <w:noWrap/>
            <w:vAlign w:val="bottom"/>
            <w:hideMark/>
          </w:tcPr>
          <w:p w14:paraId="2AFAF8F3" w14:textId="60F5BC13" w:rsidR="00F64FFF" w:rsidRPr="008669C3" w:rsidRDefault="00F64FFF" w:rsidP="00F64FFF">
            <w:pPr>
              <w:jc w:val="center"/>
              <w:rPr>
                <w:sz w:val="22"/>
                <w:szCs w:val="22"/>
              </w:rPr>
            </w:pPr>
            <w:r w:rsidRPr="008669C3">
              <w:rPr>
                <w:sz w:val="22"/>
                <w:szCs w:val="22"/>
                <w:lang w:val="en-GB"/>
              </w:rPr>
              <w:t>0.133</w:t>
            </w:r>
          </w:p>
        </w:tc>
        <w:tc>
          <w:tcPr>
            <w:tcW w:w="130" w:type="pct"/>
            <w:noWrap/>
            <w:hideMark/>
          </w:tcPr>
          <w:p w14:paraId="792D4436" w14:textId="77777777" w:rsidR="00F64FFF" w:rsidRPr="008669C3" w:rsidRDefault="00F64FFF" w:rsidP="00F64FFF">
            <w:pPr>
              <w:jc w:val="center"/>
              <w:rPr>
                <w:sz w:val="22"/>
                <w:szCs w:val="22"/>
              </w:rPr>
            </w:pPr>
          </w:p>
        </w:tc>
        <w:tc>
          <w:tcPr>
            <w:tcW w:w="548" w:type="pct"/>
            <w:noWrap/>
            <w:vAlign w:val="bottom"/>
            <w:hideMark/>
          </w:tcPr>
          <w:p w14:paraId="589EC5D3" w14:textId="0A9C3F94" w:rsidR="00F64FFF" w:rsidRPr="008669C3" w:rsidRDefault="00F64FFF" w:rsidP="00F64FFF">
            <w:pPr>
              <w:jc w:val="center"/>
              <w:rPr>
                <w:sz w:val="22"/>
                <w:szCs w:val="22"/>
              </w:rPr>
            </w:pPr>
            <w:r w:rsidRPr="008669C3">
              <w:rPr>
                <w:sz w:val="22"/>
                <w:szCs w:val="22"/>
                <w:lang w:val="en-GB"/>
              </w:rPr>
              <w:t>0.002</w:t>
            </w:r>
          </w:p>
        </w:tc>
        <w:tc>
          <w:tcPr>
            <w:tcW w:w="260" w:type="pct"/>
            <w:noWrap/>
            <w:vAlign w:val="bottom"/>
            <w:hideMark/>
          </w:tcPr>
          <w:p w14:paraId="5E181361" w14:textId="0461ADED" w:rsidR="00F64FFF" w:rsidRPr="008669C3" w:rsidRDefault="00F64FFF" w:rsidP="00F64FFF">
            <w:pPr>
              <w:jc w:val="center"/>
              <w:rPr>
                <w:sz w:val="22"/>
                <w:szCs w:val="22"/>
              </w:rPr>
            </w:pPr>
          </w:p>
        </w:tc>
        <w:tc>
          <w:tcPr>
            <w:tcW w:w="548" w:type="pct"/>
            <w:noWrap/>
            <w:vAlign w:val="bottom"/>
            <w:hideMark/>
          </w:tcPr>
          <w:p w14:paraId="5CAC675F" w14:textId="42B69A89" w:rsidR="00F64FFF" w:rsidRPr="008669C3" w:rsidRDefault="00F64FFF" w:rsidP="00F64FFF">
            <w:pPr>
              <w:jc w:val="center"/>
              <w:rPr>
                <w:sz w:val="22"/>
                <w:szCs w:val="22"/>
              </w:rPr>
            </w:pPr>
            <w:r w:rsidRPr="008669C3">
              <w:rPr>
                <w:sz w:val="22"/>
                <w:szCs w:val="22"/>
                <w:lang w:val="en-GB"/>
              </w:rPr>
              <w:t>0.006</w:t>
            </w:r>
          </w:p>
        </w:tc>
        <w:tc>
          <w:tcPr>
            <w:tcW w:w="290" w:type="pct"/>
            <w:noWrap/>
            <w:vAlign w:val="bottom"/>
            <w:hideMark/>
          </w:tcPr>
          <w:p w14:paraId="5D06A05F" w14:textId="7ECD1B18" w:rsidR="00F64FFF" w:rsidRPr="008669C3" w:rsidRDefault="00F64FFF" w:rsidP="00F64FFF">
            <w:pPr>
              <w:jc w:val="center"/>
              <w:rPr>
                <w:sz w:val="20"/>
                <w:szCs w:val="22"/>
              </w:rPr>
            </w:pPr>
            <w:r w:rsidRPr="008669C3">
              <w:rPr>
                <w:sz w:val="20"/>
                <w:szCs w:val="22"/>
                <w:lang w:val="en-GB"/>
              </w:rPr>
              <w:t>*</w:t>
            </w:r>
          </w:p>
        </w:tc>
      </w:tr>
      <w:tr w:rsidR="00F64FFF" w:rsidRPr="008669C3" w14:paraId="16823E9B" w14:textId="77777777" w:rsidTr="00472AD9">
        <w:trPr>
          <w:trHeight w:val="20"/>
          <w:jc w:val="center"/>
        </w:trPr>
        <w:tc>
          <w:tcPr>
            <w:tcW w:w="1009" w:type="pct"/>
            <w:noWrap/>
            <w:hideMark/>
          </w:tcPr>
          <w:p w14:paraId="4774CD46" w14:textId="77777777" w:rsidR="00F64FFF" w:rsidRPr="008669C3" w:rsidRDefault="00F64FFF" w:rsidP="00F64FFF">
            <w:pPr>
              <w:jc w:val="both"/>
              <w:rPr>
                <w:iCs/>
                <w:sz w:val="22"/>
                <w:szCs w:val="22"/>
              </w:rPr>
            </w:pPr>
            <w:r w:rsidRPr="008669C3">
              <w:rPr>
                <w:iCs/>
                <w:sz w:val="22"/>
                <w:szCs w:val="22"/>
              </w:rPr>
              <w:t>Tobin's q</w:t>
            </w:r>
          </w:p>
        </w:tc>
        <w:tc>
          <w:tcPr>
            <w:tcW w:w="548" w:type="pct"/>
            <w:noWrap/>
            <w:vAlign w:val="bottom"/>
            <w:hideMark/>
          </w:tcPr>
          <w:p w14:paraId="66F3C64D" w14:textId="7DE51888" w:rsidR="00F64FFF" w:rsidRPr="008669C3" w:rsidRDefault="00F64FFF" w:rsidP="00F64FFF">
            <w:pPr>
              <w:jc w:val="center"/>
              <w:rPr>
                <w:sz w:val="22"/>
                <w:szCs w:val="22"/>
              </w:rPr>
            </w:pPr>
            <w:r w:rsidRPr="008669C3">
              <w:rPr>
                <w:sz w:val="22"/>
                <w:szCs w:val="22"/>
                <w:lang w:val="en-GB"/>
              </w:rPr>
              <w:t>1.664</w:t>
            </w:r>
          </w:p>
        </w:tc>
        <w:tc>
          <w:tcPr>
            <w:tcW w:w="548" w:type="pct"/>
            <w:noWrap/>
            <w:vAlign w:val="bottom"/>
            <w:hideMark/>
          </w:tcPr>
          <w:p w14:paraId="310B69F1" w14:textId="4D8A4FB2" w:rsidR="00F64FFF" w:rsidRPr="008669C3" w:rsidRDefault="00F64FFF" w:rsidP="00F64FFF">
            <w:pPr>
              <w:jc w:val="center"/>
              <w:rPr>
                <w:sz w:val="22"/>
                <w:szCs w:val="22"/>
              </w:rPr>
            </w:pPr>
            <w:r w:rsidRPr="008669C3">
              <w:rPr>
                <w:sz w:val="22"/>
                <w:szCs w:val="22"/>
                <w:lang w:val="en-GB"/>
              </w:rPr>
              <w:t>1.459</w:t>
            </w:r>
          </w:p>
        </w:tc>
        <w:tc>
          <w:tcPr>
            <w:tcW w:w="129" w:type="pct"/>
            <w:noWrap/>
            <w:hideMark/>
          </w:tcPr>
          <w:p w14:paraId="1DEC0098" w14:textId="77777777" w:rsidR="00F64FFF" w:rsidRPr="008669C3" w:rsidRDefault="00F64FFF" w:rsidP="00F64FFF">
            <w:pPr>
              <w:jc w:val="center"/>
              <w:rPr>
                <w:sz w:val="22"/>
                <w:szCs w:val="22"/>
              </w:rPr>
            </w:pPr>
          </w:p>
        </w:tc>
        <w:tc>
          <w:tcPr>
            <w:tcW w:w="495" w:type="pct"/>
            <w:noWrap/>
            <w:vAlign w:val="bottom"/>
            <w:hideMark/>
          </w:tcPr>
          <w:p w14:paraId="01DF89FC" w14:textId="1586EAE1" w:rsidR="00F64FFF" w:rsidRPr="008669C3" w:rsidRDefault="00F64FFF" w:rsidP="00F64FFF">
            <w:pPr>
              <w:jc w:val="center"/>
              <w:rPr>
                <w:sz w:val="22"/>
                <w:szCs w:val="22"/>
              </w:rPr>
            </w:pPr>
            <w:r w:rsidRPr="008669C3">
              <w:rPr>
                <w:sz w:val="22"/>
                <w:szCs w:val="22"/>
                <w:lang w:val="en-GB"/>
              </w:rPr>
              <w:t>1.830</w:t>
            </w:r>
          </w:p>
        </w:tc>
        <w:tc>
          <w:tcPr>
            <w:tcW w:w="495" w:type="pct"/>
            <w:noWrap/>
            <w:vAlign w:val="bottom"/>
            <w:hideMark/>
          </w:tcPr>
          <w:p w14:paraId="77BD35F3" w14:textId="7766BE6F" w:rsidR="00F64FFF" w:rsidRPr="008669C3" w:rsidRDefault="00F64FFF" w:rsidP="00F64FFF">
            <w:pPr>
              <w:jc w:val="center"/>
              <w:rPr>
                <w:sz w:val="22"/>
                <w:szCs w:val="22"/>
              </w:rPr>
            </w:pPr>
            <w:r w:rsidRPr="008669C3">
              <w:rPr>
                <w:sz w:val="22"/>
                <w:szCs w:val="22"/>
                <w:lang w:val="en-GB"/>
              </w:rPr>
              <w:t>1.534</w:t>
            </w:r>
          </w:p>
        </w:tc>
        <w:tc>
          <w:tcPr>
            <w:tcW w:w="130" w:type="pct"/>
            <w:noWrap/>
            <w:hideMark/>
          </w:tcPr>
          <w:p w14:paraId="30CBAE55" w14:textId="77777777" w:rsidR="00F64FFF" w:rsidRPr="008669C3" w:rsidRDefault="00F64FFF" w:rsidP="00F64FFF">
            <w:pPr>
              <w:jc w:val="center"/>
              <w:rPr>
                <w:sz w:val="22"/>
                <w:szCs w:val="22"/>
              </w:rPr>
            </w:pPr>
          </w:p>
        </w:tc>
        <w:tc>
          <w:tcPr>
            <w:tcW w:w="548" w:type="pct"/>
            <w:noWrap/>
            <w:vAlign w:val="bottom"/>
            <w:hideMark/>
          </w:tcPr>
          <w:p w14:paraId="10EBB172" w14:textId="52A083FB" w:rsidR="00F64FFF" w:rsidRPr="008669C3" w:rsidRDefault="00F64FFF" w:rsidP="00F64FFF">
            <w:pPr>
              <w:jc w:val="center"/>
              <w:rPr>
                <w:sz w:val="22"/>
                <w:szCs w:val="22"/>
              </w:rPr>
            </w:pPr>
            <w:r w:rsidRPr="008669C3">
              <w:rPr>
                <w:sz w:val="22"/>
                <w:szCs w:val="22"/>
                <w:lang w:val="en-GB"/>
              </w:rPr>
              <w:t>-0.165</w:t>
            </w:r>
          </w:p>
        </w:tc>
        <w:tc>
          <w:tcPr>
            <w:tcW w:w="260" w:type="pct"/>
            <w:noWrap/>
            <w:vAlign w:val="bottom"/>
            <w:hideMark/>
          </w:tcPr>
          <w:p w14:paraId="3D032F97" w14:textId="07E8D8AD" w:rsidR="00F64FFF" w:rsidRPr="008669C3" w:rsidRDefault="00F64FFF" w:rsidP="00F64FFF">
            <w:pPr>
              <w:jc w:val="center"/>
              <w:rPr>
                <w:sz w:val="20"/>
                <w:szCs w:val="22"/>
              </w:rPr>
            </w:pPr>
            <w:r w:rsidRPr="008669C3">
              <w:rPr>
                <w:sz w:val="20"/>
                <w:szCs w:val="22"/>
                <w:lang w:val="en-GB"/>
              </w:rPr>
              <w:t>***</w:t>
            </w:r>
          </w:p>
        </w:tc>
        <w:tc>
          <w:tcPr>
            <w:tcW w:w="548" w:type="pct"/>
            <w:noWrap/>
            <w:vAlign w:val="bottom"/>
            <w:hideMark/>
          </w:tcPr>
          <w:p w14:paraId="3E459124" w14:textId="773F6FF0" w:rsidR="00F64FFF" w:rsidRPr="008669C3" w:rsidRDefault="00F64FFF" w:rsidP="00F64FFF">
            <w:pPr>
              <w:jc w:val="center"/>
              <w:rPr>
                <w:sz w:val="22"/>
                <w:szCs w:val="22"/>
              </w:rPr>
            </w:pPr>
            <w:r w:rsidRPr="008669C3">
              <w:rPr>
                <w:sz w:val="22"/>
                <w:szCs w:val="22"/>
                <w:lang w:val="en-GB"/>
              </w:rPr>
              <w:t>-0.075</w:t>
            </w:r>
          </w:p>
        </w:tc>
        <w:tc>
          <w:tcPr>
            <w:tcW w:w="290" w:type="pct"/>
            <w:noWrap/>
            <w:vAlign w:val="bottom"/>
            <w:hideMark/>
          </w:tcPr>
          <w:p w14:paraId="0DDDF164" w14:textId="039EFAB4" w:rsidR="00F64FFF" w:rsidRPr="008669C3" w:rsidRDefault="00F64FFF" w:rsidP="00F64FFF">
            <w:pPr>
              <w:jc w:val="center"/>
              <w:rPr>
                <w:sz w:val="20"/>
                <w:szCs w:val="22"/>
              </w:rPr>
            </w:pPr>
            <w:r w:rsidRPr="008669C3">
              <w:rPr>
                <w:sz w:val="20"/>
                <w:szCs w:val="22"/>
                <w:lang w:val="en-GB"/>
              </w:rPr>
              <w:t>***</w:t>
            </w:r>
          </w:p>
        </w:tc>
      </w:tr>
      <w:tr w:rsidR="00F64FFF" w:rsidRPr="008669C3" w14:paraId="0EDD5D12" w14:textId="77777777" w:rsidTr="00472AD9">
        <w:trPr>
          <w:trHeight w:val="20"/>
          <w:jc w:val="center"/>
        </w:trPr>
        <w:tc>
          <w:tcPr>
            <w:tcW w:w="1009" w:type="pct"/>
            <w:noWrap/>
            <w:hideMark/>
          </w:tcPr>
          <w:p w14:paraId="1DA87968" w14:textId="77777777" w:rsidR="00F64FFF" w:rsidRPr="008669C3" w:rsidRDefault="00F64FFF" w:rsidP="00F64FFF">
            <w:pPr>
              <w:jc w:val="both"/>
              <w:rPr>
                <w:iCs/>
                <w:sz w:val="22"/>
                <w:szCs w:val="22"/>
              </w:rPr>
            </w:pPr>
            <w:r w:rsidRPr="008669C3">
              <w:rPr>
                <w:iCs/>
                <w:sz w:val="22"/>
                <w:szCs w:val="22"/>
              </w:rPr>
              <w:t>Stock return</w:t>
            </w:r>
          </w:p>
        </w:tc>
        <w:tc>
          <w:tcPr>
            <w:tcW w:w="548" w:type="pct"/>
            <w:noWrap/>
            <w:vAlign w:val="bottom"/>
            <w:hideMark/>
          </w:tcPr>
          <w:p w14:paraId="63464DFD" w14:textId="458CF890" w:rsidR="00F64FFF" w:rsidRPr="008669C3" w:rsidRDefault="00F64FFF" w:rsidP="00F64FFF">
            <w:pPr>
              <w:jc w:val="center"/>
              <w:rPr>
                <w:sz w:val="22"/>
                <w:szCs w:val="22"/>
              </w:rPr>
            </w:pPr>
            <w:r w:rsidRPr="008669C3">
              <w:rPr>
                <w:sz w:val="22"/>
                <w:szCs w:val="22"/>
                <w:lang w:val="en-GB"/>
              </w:rPr>
              <w:t>0.133</w:t>
            </w:r>
          </w:p>
        </w:tc>
        <w:tc>
          <w:tcPr>
            <w:tcW w:w="548" w:type="pct"/>
            <w:noWrap/>
            <w:vAlign w:val="bottom"/>
            <w:hideMark/>
          </w:tcPr>
          <w:p w14:paraId="1B2AE07E" w14:textId="46E957C8" w:rsidR="00F64FFF" w:rsidRPr="008669C3" w:rsidRDefault="00F64FFF" w:rsidP="00F64FFF">
            <w:pPr>
              <w:jc w:val="center"/>
              <w:rPr>
                <w:sz w:val="22"/>
                <w:szCs w:val="22"/>
              </w:rPr>
            </w:pPr>
            <w:r w:rsidRPr="008669C3">
              <w:rPr>
                <w:sz w:val="22"/>
                <w:szCs w:val="22"/>
                <w:lang w:val="en-GB"/>
              </w:rPr>
              <w:t>0.122</w:t>
            </w:r>
          </w:p>
        </w:tc>
        <w:tc>
          <w:tcPr>
            <w:tcW w:w="129" w:type="pct"/>
            <w:noWrap/>
            <w:hideMark/>
          </w:tcPr>
          <w:p w14:paraId="56F305BB" w14:textId="77777777" w:rsidR="00F64FFF" w:rsidRPr="008669C3" w:rsidRDefault="00F64FFF" w:rsidP="00F64FFF">
            <w:pPr>
              <w:jc w:val="center"/>
              <w:rPr>
                <w:sz w:val="22"/>
                <w:szCs w:val="22"/>
              </w:rPr>
            </w:pPr>
          </w:p>
        </w:tc>
        <w:tc>
          <w:tcPr>
            <w:tcW w:w="495" w:type="pct"/>
            <w:noWrap/>
            <w:vAlign w:val="bottom"/>
            <w:hideMark/>
          </w:tcPr>
          <w:p w14:paraId="442FCD78" w14:textId="3407F5A4" w:rsidR="00F64FFF" w:rsidRPr="008669C3" w:rsidRDefault="00F64FFF" w:rsidP="00F64FFF">
            <w:pPr>
              <w:jc w:val="center"/>
              <w:rPr>
                <w:sz w:val="22"/>
                <w:szCs w:val="22"/>
              </w:rPr>
            </w:pPr>
            <w:r w:rsidRPr="008669C3">
              <w:rPr>
                <w:sz w:val="22"/>
                <w:szCs w:val="22"/>
                <w:lang w:val="en-GB"/>
              </w:rPr>
              <w:t>0.139</w:t>
            </w:r>
          </w:p>
        </w:tc>
        <w:tc>
          <w:tcPr>
            <w:tcW w:w="495" w:type="pct"/>
            <w:noWrap/>
            <w:vAlign w:val="bottom"/>
            <w:hideMark/>
          </w:tcPr>
          <w:p w14:paraId="78EA5C11" w14:textId="07E1D4A1" w:rsidR="00F64FFF" w:rsidRPr="008669C3" w:rsidRDefault="00F64FFF" w:rsidP="00F64FFF">
            <w:pPr>
              <w:jc w:val="center"/>
              <w:rPr>
                <w:sz w:val="22"/>
                <w:szCs w:val="22"/>
              </w:rPr>
            </w:pPr>
            <w:r w:rsidRPr="008669C3">
              <w:rPr>
                <w:sz w:val="22"/>
                <w:szCs w:val="22"/>
                <w:lang w:val="en-GB"/>
              </w:rPr>
              <w:t>0.116</w:t>
            </w:r>
          </w:p>
        </w:tc>
        <w:tc>
          <w:tcPr>
            <w:tcW w:w="130" w:type="pct"/>
            <w:noWrap/>
            <w:hideMark/>
          </w:tcPr>
          <w:p w14:paraId="51DAF275" w14:textId="77777777" w:rsidR="00F64FFF" w:rsidRPr="008669C3" w:rsidRDefault="00F64FFF" w:rsidP="00F64FFF">
            <w:pPr>
              <w:jc w:val="center"/>
              <w:rPr>
                <w:sz w:val="22"/>
                <w:szCs w:val="22"/>
              </w:rPr>
            </w:pPr>
          </w:p>
        </w:tc>
        <w:tc>
          <w:tcPr>
            <w:tcW w:w="548" w:type="pct"/>
            <w:noWrap/>
            <w:vAlign w:val="bottom"/>
            <w:hideMark/>
          </w:tcPr>
          <w:p w14:paraId="57945D20" w14:textId="1A3A91CA" w:rsidR="00F64FFF" w:rsidRPr="008669C3" w:rsidRDefault="00F64FFF" w:rsidP="00F64FFF">
            <w:pPr>
              <w:jc w:val="center"/>
              <w:rPr>
                <w:sz w:val="22"/>
                <w:szCs w:val="22"/>
              </w:rPr>
            </w:pPr>
            <w:r w:rsidRPr="008669C3">
              <w:rPr>
                <w:sz w:val="22"/>
                <w:szCs w:val="22"/>
                <w:lang w:val="en-GB"/>
              </w:rPr>
              <w:t>-0.006</w:t>
            </w:r>
          </w:p>
        </w:tc>
        <w:tc>
          <w:tcPr>
            <w:tcW w:w="260" w:type="pct"/>
            <w:noWrap/>
            <w:vAlign w:val="bottom"/>
            <w:hideMark/>
          </w:tcPr>
          <w:p w14:paraId="71C580AB" w14:textId="77777777" w:rsidR="00F64FFF" w:rsidRPr="008669C3" w:rsidRDefault="00F64FFF" w:rsidP="00F64FFF">
            <w:pPr>
              <w:jc w:val="center"/>
              <w:rPr>
                <w:sz w:val="22"/>
                <w:szCs w:val="22"/>
              </w:rPr>
            </w:pPr>
          </w:p>
        </w:tc>
        <w:tc>
          <w:tcPr>
            <w:tcW w:w="548" w:type="pct"/>
            <w:noWrap/>
            <w:vAlign w:val="bottom"/>
            <w:hideMark/>
          </w:tcPr>
          <w:p w14:paraId="40E61D7A" w14:textId="16C090A1" w:rsidR="00F64FFF" w:rsidRPr="008669C3" w:rsidRDefault="00F64FFF" w:rsidP="00F64FFF">
            <w:pPr>
              <w:jc w:val="center"/>
              <w:rPr>
                <w:sz w:val="22"/>
                <w:szCs w:val="22"/>
              </w:rPr>
            </w:pPr>
            <w:r w:rsidRPr="008669C3">
              <w:rPr>
                <w:sz w:val="22"/>
                <w:szCs w:val="22"/>
                <w:lang w:val="en-GB"/>
              </w:rPr>
              <w:t>0.006</w:t>
            </w:r>
          </w:p>
        </w:tc>
        <w:tc>
          <w:tcPr>
            <w:tcW w:w="290" w:type="pct"/>
            <w:noWrap/>
            <w:vAlign w:val="bottom"/>
            <w:hideMark/>
          </w:tcPr>
          <w:p w14:paraId="5705A6D0" w14:textId="77777777" w:rsidR="00F64FFF" w:rsidRPr="008669C3" w:rsidRDefault="00F64FFF" w:rsidP="00F64FFF">
            <w:pPr>
              <w:jc w:val="center"/>
              <w:rPr>
                <w:sz w:val="20"/>
                <w:szCs w:val="22"/>
              </w:rPr>
            </w:pPr>
          </w:p>
        </w:tc>
      </w:tr>
      <w:tr w:rsidR="00F64FFF" w:rsidRPr="008669C3" w14:paraId="00A9419A" w14:textId="77777777" w:rsidTr="00472AD9">
        <w:trPr>
          <w:trHeight w:val="20"/>
          <w:jc w:val="center"/>
        </w:trPr>
        <w:tc>
          <w:tcPr>
            <w:tcW w:w="1009" w:type="pct"/>
            <w:noWrap/>
            <w:hideMark/>
          </w:tcPr>
          <w:p w14:paraId="5D483768" w14:textId="77777777" w:rsidR="00F64FFF" w:rsidRPr="008669C3" w:rsidRDefault="00F64FFF" w:rsidP="00F64FFF">
            <w:pPr>
              <w:jc w:val="both"/>
              <w:rPr>
                <w:iCs/>
                <w:sz w:val="22"/>
                <w:szCs w:val="22"/>
              </w:rPr>
            </w:pPr>
            <w:r w:rsidRPr="008669C3">
              <w:rPr>
                <w:iCs/>
                <w:sz w:val="22"/>
                <w:szCs w:val="22"/>
              </w:rPr>
              <w:t>Volatility</w:t>
            </w:r>
          </w:p>
        </w:tc>
        <w:tc>
          <w:tcPr>
            <w:tcW w:w="548" w:type="pct"/>
            <w:noWrap/>
            <w:vAlign w:val="bottom"/>
            <w:hideMark/>
          </w:tcPr>
          <w:p w14:paraId="36826FA4" w14:textId="3349F048" w:rsidR="00F64FFF" w:rsidRPr="008669C3" w:rsidRDefault="00F64FFF" w:rsidP="00F64FFF">
            <w:pPr>
              <w:jc w:val="center"/>
              <w:rPr>
                <w:sz w:val="22"/>
                <w:szCs w:val="22"/>
              </w:rPr>
            </w:pPr>
            <w:r w:rsidRPr="008669C3">
              <w:rPr>
                <w:sz w:val="22"/>
                <w:szCs w:val="22"/>
                <w:lang w:val="en-GB"/>
              </w:rPr>
              <w:t>0.284</w:t>
            </w:r>
          </w:p>
        </w:tc>
        <w:tc>
          <w:tcPr>
            <w:tcW w:w="548" w:type="pct"/>
            <w:noWrap/>
            <w:vAlign w:val="bottom"/>
            <w:hideMark/>
          </w:tcPr>
          <w:p w14:paraId="4501BEC5" w14:textId="5C3C48B8" w:rsidR="00F64FFF" w:rsidRPr="008669C3" w:rsidRDefault="00F64FFF" w:rsidP="00F64FFF">
            <w:pPr>
              <w:jc w:val="center"/>
              <w:rPr>
                <w:sz w:val="22"/>
                <w:szCs w:val="22"/>
              </w:rPr>
            </w:pPr>
            <w:r w:rsidRPr="008669C3">
              <w:rPr>
                <w:sz w:val="22"/>
                <w:szCs w:val="22"/>
                <w:lang w:val="en-GB"/>
              </w:rPr>
              <w:t>0.249</w:t>
            </w:r>
          </w:p>
        </w:tc>
        <w:tc>
          <w:tcPr>
            <w:tcW w:w="129" w:type="pct"/>
            <w:noWrap/>
            <w:hideMark/>
          </w:tcPr>
          <w:p w14:paraId="6F005D63" w14:textId="77777777" w:rsidR="00F64FFF" w:rsidRPr="008669C3" w:rsidRDefault="00F64FFF" w:rsidP="00F64FFF">
            <w:pPr>
              <w:jc w:val="center"/>
              <w:rPr>
                <w:sz w:val="22"/>
                <w:szCs w:val="22"/>
              </w:rPr>
            </w:pPr>
          </w:p>
        </w:tc>
        <w:tc>
          <w:tcPr>
            <w:tcW w:w="495" w:type="pct"/>
            <w:noWrap/>
            <w:vAlign w:val="bottom"/>
            <w:hideMark/>
          </w:tcPr>
          <w:p w14:paraId="7C0B864A" w14:textId="047B931F" w:rsidR="00F64FFF" w:rsidRPr="008669C3" w:rsidRDefault="00F64FFF" w:rsidP="00F64FFF">
            <w:pPr>
              <w:jc w:val="center"/>
              <w:rPr>
                <w:sz w:val="22"/>
                <w:szCs w:val="22"/>
              </w:rPr>
            </w:pPr>
            <w:r w:rsidRPr="008669C3">
              <w:rPr>
                <w:sz w:val="22"/>
                <w:szCs w:val="22"/>
                <w:lang w:val="en-GB"/>
              </w:rPr>
              <w:t>0.350</w:t>
            </w:r>
          </w:p>
        </w:tc>
        <w:tc>
          <w:tcPr>
            <w:tcW w:w="495" w:type="pct"/>
            <w:noWrap/>
            <w:vAlign w:val="bottom"/>
            <w:hideMark/>
          </w:tcPr>
          <w:p w14:paraId="612BB14D" w14:textId="727DB709" w:rsidR="00F64FFF" w:rsidRPr="008669C3" w:rsidRDefault="00F64FFF" w:rsidP="00F64FFF">
            <w:pPr>
              <w:jc w:val="center"/>
              <w:rPr>
                <w:sz w:val="22"/>
                <w:szCs w:val="22"/>
              </w:rPr>
            </w:pPr>
            <w:r w:rsidRPr="008669C3">
              <w:rPr>
                <w:sz w:val="22"/>
                <w:szCs w:val="22"/>
                <w:lang w:val="en-GB"/>
              </w:rPr>
              <w:t>0.304</w:t>
            </w:r>
          </w:p>
        </w:tc>
        <w:tc>
          <w:tcPr>
            <w:tcW w:w="130" w:type="pct"/>
            <w:noWrap/>
            <w:hideMark/>
          </w:tcPr>
          <w:p w14:paraId="643DD0E1" w14:textId="77777777" w:rsidR="00F64FFF" w:rsidRPr="008669C3" w:rsidRDefault="00F64FFF" w:rsidP="00F64FFF">
            <w:pPr>
              <w:jc w:val="center"/>
              <w:rPr>
                <w:sz w:val="22"/>
                <w:szCs w:val="22"/>
              </w:rPr>
            </w:pPr>
          </w:p>
        </w:tc>
        <w:tc>
          <w:tcPr>
            <w:tcW w:w="548" w:type="pct"/>
            <w:noWrap/>
            <w:vAlign w:val="bottom"/>
            <w:hideMark/>
          </w:tcPr>
          <w:p w14:paraId="328335E2" w14:textId="628B0D96" w:rsidR="00F64FFF" w:rsidRPr="008669C3" w:rsidRDefault="00F64FFF" w:rsidP="00F64FFF">
            <w:pPr>
              <w:jc w:val="center"/>
              <w:rPr>
                <w:sz w:val="22"/>
                <w:szCs w:val="22"/>
              </w:rPr>
            </w:pPr>
            <w:r w:rsidRPr="008669C3">
              <w:rPr>
                <w:sz w:val="22"/>
                <w:szCs w:val="22"/>
                <w:lang w:val="en-GB"/>
              </w:rPr>
              <w:t>-0.066</w:t>
            </w:r>
          </w:p>
        </w:tc>
        <w:tc>
          <w:tcPr>
            <w:tcW w:w="260" w:type="pct"/>
            <w:noWrap/>
            <w:vAlign w:val="bottom"/>
            <w:hideMark/>
          </w:tcPr>
          <w:p w14:paraId="6EB6F963" w14:textId="658DF61A" w:rsidR="00F64FFF" w:rsidRPr="008669C3" w:rsidRDefault="00F64FFF" w:rsidP="00F64FFF">
            <w:pPr>
              <w:jc w:val="center"/>
              <w:rPr>
                <w:sz w:val="20"/>
                <w:szCs w:val="22"/>
              </w:rPr>
            </w:pPr>
            <w:r w:rsidRPr="008669C3">
              <w:rPr>
                <w:sz w:val="20"/>
                <w:szCs w:val="22"/>
                <w:lang w:val="en-GB"/>
              </w:rPr>
              <w:t>***</w:t>
            </w:r>
          </w:p>
        </w:tc>
        <w:tc>
          <w:tcPr>
            <w:tcW w:w="548" w:type="pct"/>
            <w:noWrap/>
            <w:vAlign w:val="bottom"/>
            <w:hideMark/>
          </w:tcPr>
          <w:p w14:paraId="7C8A4671" w14:textId="01E04817" w:rsidR="00F64FFF" w:rsidRPr="008669C3" w:rsidRDefault="00F64FFF" w:rsidP="00F64FFF">
            <w:pPr>
              <w:jc w:val="center"/>
              <w:rPr>
                <w:sz w:val="22"/>
                <w:szCs w:val="22"/>
              </w:rPr>
            </w:pPr>
            <w:r w:rsidRPr="008669C3">
              <w:rPr>
                <w:sz w:val="22"/>
                <w:szCs w:val="22"/>
                <w:lang w:val="en-GB"/>
              </w:rPr>
              <w:t>-0.056</w:t>
            </w:r>
          </w:p>
        </w:tc>
        <w:tc>
          <w:tcPr>
            <w:tcW w:w="290" w:type="pct"/>
            <w:noWrap/>
            <w:vAlign w:val="bottom"/>
            <w:hideMark/>
          </w:tcPr>
          <w:p w14:paraId="5FBD6A70" w14:textId="1E245AE6" w:rsidR="00F64FFF" w:rsidRPr="008669C3" w:rsidRDefault="00F64FFF" w:rsidP="00F64FFF">
            <w:pPr>
              <w:jc w:val="center"/>
              <w:rPr>
                <w:sz w:val="20"/>
                <w:szCs w:val="22"/>
              </w:rPr>
            </w:pPr>
            <w:r w:rsidRPr="008669C3">
              <w:rPr>
                <w:sz w:val="20"/>
                <w:szCs w:val="22"/>
                <w:lang w:val="en-GB"/>
              </w:rPr>
              <w:t>***</w:t>
            </w:r>
          </w:p>
        </w:tc>
      </w:tr>
      <w:tr w:rsidR="00F64FFF" w:rsidRPr="008669C3" w14:paraId="66DE4080" w14:textId="77777777" w:rsidTr="00472AD9">
        <w:trPr>
          <w:trHeight w:val="20"/>
          <w:jc w:val="center"/>
        </w:trPr>
        <w:tc>
          <w:tcPr>
            <w:tcW w:w="1009" w:type="pct"/>
            <w:noWrap/>
            <w:vAlign w:val="bottom"/>
          </w:tcPr>
          <w:p w14:paraId="0C54B214" w14:textId="7AD178D6" w:rsidR="00F64FFF" w:rsidRPr="008669C3" w:rsidRDefault="00F64FFF" w:rsidP="00F64FFF">
            <w:pPr>
              <w:jc w:val="both"/>
              <w:rPr>
                <w:iCs/>
                <w:sz w:val="22"/>
                <w:szCs w:val="22"/>
              </w:rPr>
            </w:pPr>
            <w:r w:rsidRPr="008669C3">
              <w:rPr>
                <w:iCs/>
                <w:sz w:val="22"/>
                <w:szCs w:val="22"/>
                <w:lang w:val="en-GB"/>
              </w:rPr>
              <w:t>Z-score</w:t>
            </w:r>
          </w:p>
        </w:tc>
        <w:tc>
          <w:tcPr>
            <w:tcW w:w="548" w:type="pct"/>
            <w:noWrap/>
            <w:vAlign w:val="bottom"/>
          </w:tcPr>
          <w:p w14:paraId="28407385" w14:textId="0FBEA818" w:rsidR="00F64FFF" w:rsidRPr="008669C3" w:rsidRDefault="00F64FFF" w:rsidP="00F64FFF">
            <w:pPr>
              <w:jc w:val="center"/>
              <w:rPr>
                <w:sz w:val="22"/>
                <w:szCs w:val="22"/>
              </w:rPr>
            </w:pPr>
            <w:r w:rsidRPr="008669C3">
              <w:rPr>
                <w:sz w:val="22"/>
                <w:szCs w:val="22"/>
                <w:lang w:val="en-GB"/>
              </w:rPr>
              <w:t>0.023</w:t>
            </w:r>
          </w:p>
        </w:tc>
        <w:tc>
          <w:tcPr>
            <w:tcW w:w="548" w:type="pct"/>
            <w:noWrap/>
            <w:vAlign w:val="bottom"/>
          </w:tcPr>
          <w:p w14:paraId="4B9C8F61" w14:textId="20434DC1" w:rsidR="00F64FFF" w:rsidRPr="008669C3" w:rsidRDefault="00F64FFF" w:rsidP="00F64FFF">
            <w:pPr>
              <w:jc w:val="center"/>
              <w:rPr>
                <w:sz w:val="22"/>
                <w:szCs w:val="22"/>
              </w:rPr>
            </w:pPr>
            <w:r w:rsidRPr="008669C3">
              <w:rPr>
                <w:sz w:val="22"/>
                <w:szCs w:val="22"/>
                <w:lang w:val="en-GB"/>
              </w:rPr>
              <w:t>0.004</w:t>
            </w:r>
          </w:p>
        </w:tc>
        <w:tc>
          <w:tcPr>
            <w:tcW w:w="129" w:type="pct"/>
            <w:noWrap/>
          </w:tcPr>
          <w:p w14:paraId="503562D0" w14:textId="77777777" w:rsidR="00F64FFF" w:rsidRPr="008669C3" w:rsidRDefault="00F64FFF" w:rsidP="00F64FFF">
            <w:pPr>
              <w:jc w:val="center"/>
              <w:rPr>
                <w:sz w:val="22"/>
                <w:szCs w:val="22"/>
              </w:rPr>
            </w:pPr>
          </w:p>
        </w:tc>
        <w:tc>
          <w:tcPr>
            <w:tcW w:w="495" w:type="pct"/>
            <w:noWrap/>
            <w:vAlign w:val="bottom"/>
          </w:tcPr>
          <w:p w14:paraId="2B1CB8F4" w14:textId="5BE3BF7E" w:rsidR="00F64FFF" w:rsidRPr="008669C3" w:rsidRDefault="00F64FFF" w:rsidP="00F64FFF">
            <w:pPr>
              <w:jc w:val="center"/>
              <w:rPr>
                <w:sz w:val="22"/>
                <w:szCs w:val="22"/>
              </w:rPr>
            </w:pPr>
            <w:r w:rsidRPr="008669C3">
              <w:rPr>
                <w:sz w:val="22"/>
                <w:szCs w:val="22"/>
                <w:lang w:val="en-GB"/>
              </w:rPr>
              <w:t>0.073</w:t>
            </w:r>
          </w:p>
        </w:tc>
        <w:tc>
          <w:tcPr>
            <w:tcW w:w="495" w:type="pct"/>
            <w:noWrap/>
            <w:vAlign w:val="bottom"/>
          </w:tcPr>
          <w:p w14:paraId="07F037FE" w14:textId="4B361BEA" w:rsidR="00F64FFF" w:rsidRPr="008669C3" w:rsidRDefault="00F64FFF" w:rsidP="00F64FFF">
            <w:pPr>
              <w:jc w:val="center"/>
              <w:rPr>
                <w:sz w:val="22"/>
                <w:szCs w:val="22"/>
              </w:rPr>
            </w:pPr>
            <w:r w:rsidRPr="008669C3">
              <w:rPr>
                <w:sz w:val="22"/>
                <w:szCs w:val="22"/>
                <w:lang w:val="en-GB"/>
              </w:rPr>
              <w:t>0.005</w:t>
            </w:r>
          </w:p>
        </w:tc>
        <w:tc>
          <w:tcPr>
            <w:tcW w:w="130" w:type="pct"/>
            <w:noWrap/>
          </w:tcPr>
          <w:p w14:paraId="25A0CC77" w14:textId="77777777" w:rsidR="00F64FFF" w:rsidRPr="008669C3" w:rsidRDefault="00F64FFF" w:rsidP="00F64FFF">
            <w:pPr>
              <w:jc w:val="center"/>
              <w:rPr>
                <w:sz w:val="22"/>
                <w:szCs w:val="22"/>
              </w:rPr>
            </w:pPr>
          </w:p>
        </w:tc>
        <w:tc>
          <w:tcPr>
            <w:tcW w:w="548" w:type="pct"/>
            <w:noWrap/>
            <w:vAlign w:val="bottom"/>
          </w:tcPr>
          <w:p w14:paraId="24D0A5C2" w14:textId="0B952490" w:rsidR="00F64FFF" w:rsidRPr="008669C3" w:rsidRDefault="00F64FFF" w:rsidP="00F64FFF">
            <w:pPr>
              <w:jc w:val="center"/>
              <w:rPr>
                <w:sz w:val="22"/>
                <w:szCs w:val="22"/>
              </w:rPr>
            </w:pPr>
            <w:r w:rsidRPr="008669C3">
              <w:rPr>
                <w:sz w:val="22"/>
                <w:szCs w:val="22"/>
                <w:lang w:val="en-GB"/>
              </w:rPr>
              <w:t>-0.050</w:t>
            </w:r>
          </w:p>
        </w:tc>
        <w:tc>
          <w:tcPr>
            <w:tcW w:w="260" w:type="pct"/>
            <w:noWrap/>
            <w:vAlign w:val="bottom"/>
          </w:tcPr>
          <w:p w14:paraId="7373C39D" w14:textId="73BFDE27" w:rsidR="00F64FFF" w:rsidRPr="008669C3" w:rsidRDefault="00F64FFF" w:rsidP="00F64FFF">
            <w:pPr>
              <w:jc w:val="center"/>
              <w:rPr>
                <w:sz w:val="20"/>
                <w:szCs w:val="22"/>
              </w:rPr>
            </w:pPr>
            <w:r w:rsidRPr="008669C3">
              <w:rPr>
                <w:sz w:val="20"/>
                <w:szCs w:val="22"/>
                <w:lang w:val="en-GB"/>
              </w:rPr>
              <w:t>***</w:t>
            </w:r>
          </w:p>
        </w:tc>
        <w:tc>
          <w:tcPr>
            <w:tcW w:w="548" w:type="pct"/>
            <w:noWrap/>
            <w:vAlign w:val="bottom"/>
          </w:tcPr>
          <w:p w14:paraId="3B244A75" w14:textId="22BA6BA4" w:rsidR="00F64FFF" w:rsidRPr="008669C3" w:rsidRDefault="00F64FFF" w:rsidP="00F64FFF">
            <w:pPr>
              <w:jc w:val="center"/>
              <w:rPr>
                <w:sz w:val="22"/>
                <w:szCs w:val="22"/>
              </w:rPr>
            </w:pPr>
            <w:r w:rsidRPr="008669C3">
              <w:rPr>
                <w:sz w:val="22"/>
                <w:szCs w:val="22"/>
                <w:lang w:val="en-GB"/>
              </w:rPr>
              <w:t>-0.001</w:t>
            </w:r>
          </w:p>
        </w:tc>
        <w:tc>
          <w:tcPr>
            <w:tcW w:w="290" w:type="pct"/>
            <w:noWrap/>
            <w:vAlign w:val="bottom"/>
          </w:tcPr>
          <w:p w14:paraId="7A493E0C" w14:textId="64C03497" w:rsidR="00F64FFF" w:rsidRPr="008669C3" w:rsidRDefault="00F64FFF" w:rsidP="00F64FFF">
            <w:pPr>
              <w:jc w:val="center"/>
              <w:rPr>
                <w:sz w:val="20"/>
                <w:szCs w:val="22"/>
              </w:rPr>
            </w:pPr>
            <w:r w:rsidRPr="008669C3">
              <w:rPr>
                <w:sz w:val="20"/>
                <w:szCs w:val="22"/>
                <w:lang w:val="en-GB"/>
              </w:rPr>
              <w:t>***</w:t>
            </w:r>
          </w:p>
        </w:tc>
      </w:tr>
      <w:tr w:rsidR="00F64FFF" w:rsidRPr="008669C3" w14:paraId="0FB5A6CB" w14:textId="77777777" w:rsidTr="00472AD9">
        <w:trPr>
          <w:trHeight w:val="20"/>
          <w:jc w:val="center"/>
        </w:trPr>
        <w:tc>
          <w:tcPr>
            <w:tcW w:w="1009" w:type="pct"/>
            <w:noWrap/>
            <w:vAlign w:val="bottom"/>
          </w:tcPr>
          <w:p w14:paraId="775D6F4C" w14:textId="51159E8E" w:rsidR="00F64FFF" w:rsidRPr="008669C3" w:rsidRDefault="00F64FFF" w:rsidP="00F64FFF">
            <w:pPr>
              <w:jc w:val="both"/>
              <w:rPr>
                <w:iCs/>
                <w:sz w:val="22"/>
                <w:szCs w:val="22"/>
              </w:rPr>
            </w:pPr>
            <w:r w:rsidRPr="008669C3">
              <w:rPr>
                <w:iCs/>
                <w:sz w:val="22"/>
                <w:szCs w:val="22"/>
                <w:lang w:val="en-GB"/>
              </w:rPr>
              <w:t>KZ index</w:t>
            </w:r>
          </w:p>
        </w:tc>
        <w:tc>
          <w:tcPr>
            <w:tcW w:w="548" w:type="pct"/>
            <w:noWrap/>
            <w:vAlign w:val="bottom"/>
          </w:tcPr>
          <w:p w14:paraId="5683C007" w14:textId="510A9EF5" w:rsidR="00F64FFF" w:rsidRPr="008669C3" w:rsidRDefault="00F64FFF" w:rsidP="00F64FFF">
            <w:pPr>
              <w:jc w:val="center"/>
              <w:rPr>
                <w:sz w:val="22"/>
                <w:szCs w:val="22"/>
              </w:rPr>
            </w:pPr>
            <w:r w:rsidRPr="008669C3">
              <w:rPr>
                <w:sz w:val="22"/>
                <w:szCs w:val="22"/>
                <w:lang w:val="en-GB"/>
              </w:rPr>
              <w:t>2.463</w:t>
            </w:r>
          </w:p>
        </w:tc>
        <w:tc>
          <w:tcPr>
            <w:tcW w:w="548" w:type="pct"/>
            <w:noWrap/>
            <w:vAlign w:val="bottom"/>
          </w:tcPr>
          <w:p w14:paraId="176AAB7B" w14:textId="1F80FF89" w:rsidR="00F64FFF" w:rsidRPr="008669C3" w:rsidRDefault="00F64FFF" w:rsidP="00F64FFF">
            <w:pPr>
              <w:jc w:val="center"/>
              <w:rPr>
                <w:sz w:val="22"/>
                <w:szCs w:val="22"/>
              </w:rPr>
            </w:pPr>
            <w:r w:rsidRPr="008669C3">
              <w:rPr>
                <w:sz w:val="22"/>
                <w:szCs w:val="22"/>
                <w:lang w:val="en-GB"/>
              </w:rPr>
              <w:t>1.722</w:t>
            </w:r>
          </w:p>
        </w:tc>
        <w:tc>
          <w:tcPr>
            <w:tcW w:w="129" w:type="pct"/>
            <w:noWrap/>
          </w:tcPr>
          <w:p w14:paraId="7241467A" w14:textId="77777777" w:rsidR="00F64FFF" w:rsidRPr="008669C3" w:rsidRDefault="00F64FFF" w:rsidP="00F64FFF">
            <w:pPr>
              <w:jc w:val="center"/>
              <w:rPr>
                <w:sz w:val="22"/>
                <w:szCs w:val="22"/>
              </w:rPr>
            </w:pPr>
          </w:p>
        </w:tc>
        <w:tc>
          <w:tcPr>
            <w:tcW w:w="495" w:type="pct"/>
            <w:noWrap/>
            <w:vAlign w:val="bottom"/>
          </w:tcPr>
          <w:p w14:paraId="4D39AA62" w14:textId="75D9C35C" w:rsidR="00F64FFF" w:rsidRPr="008669C3" w:rsidRDefault="00F64FFF" w:rsidP="00F64FFF">
            <w:pPr>
              <w:jc w:val="center"/>
              <w:rPr>
                <w:sz w:val="22"/>
                <w:szCs w:val="22"/>
              </w:rPr>
            </w:pPr>
            <w:r w:rsidRPr="008669C3">
              <w:rPr>
                <w:sz w:val="22"/>
                <w:szCs w:val="22"/>
                <w:lang w:val="en-GB"/>
              </w:rPr>
              <w:t>1.924</w:t>
            </w:r>
          </w:p>
        </w:tc>
        <w:tc>
          <w:tcPr>
            <w:tcW w:w="495" w:type="pct"/>
            <w:noWrap/>
            <w:vAlign w:val="bottom"/>
          </w:tcPr>
          <w:p w14:paraId="384A5961" w14:textId="3E289B14" w:rsidR="00F64FFF" w:rsidRPr="008669C3" w:rsidRDefault="00F64FFF" w:rsidP="00F64FFF">
            <w:pPr>
              <w:jc w:val="center"/>
              <w:rPr>
                <w:sz w:val="22"/>
                <w:szCs w:val="22"/>
              </w:rPr>
            </w:pPr>
            <w:r w:rsidRPr="008669C3">
              <w:rPr>
                <w:sz w:val="22"/>
                <w:szCs w:val="22"/>
                <w:lang w:val="en-GB"/>
              </w:rPr>
              <w:t>1.313</w:t>
            </w:r>
          </w:p>
        </w:tc>
        <w:tc>
          <w:tcPr>
            <w:tcW w:w="130" w:type="pct"/>
            <w:noWrap/>
          </w:tcPr>
          <w:p w14:paraId="1753A7AC" w14:textId="77777777" w:rsidR="00F64FFF" w:rsidRPr="008669C3" w:rsidRDefault="00F64FFF" w:rsidP="00F64FFF">
            <w:pPr>
              <w:jc w:val="center"/>
              <w:rPr>
                <w:sz w:val="22"/>
                <w:szCs w:val="22"/>
              </w:rPr>
            </w:pPr>
          </w:p>
        </w:tc>
        <w:tc>
          <w:tcPr>
            <w:tcW w:w="548" w:type="pct"/>
            <w:noWrap/>
            <w:vAlign w:val="bottom"/>
          </w:tcPr>
          <w:p w14:paraId="7F542542" w14:textId="73A85F75" w:rsidR="00F64FFF" w:rsidRPr="008669C3" w:rsidRDefault="00F64FFF" w:rsidP="00F64FFF">
            <w:pPr>
              <w:jc w:val="center"/>
              <w:rPr>
                <w:sz w:val="22"/>
                <w:szCs w:val="22"/>
              </w:rPr>
            </w:pPr>
            <w:r w:rsidRPr="008669C3">
              <w:rPr>
                <w:sz w:val="22"/>
                <w:szCs w:val="22"/>
                <w:lang w:val="en-GB"/>
              </w:rPr>
              <w:t>0.538</w:t>
            </w:r>
          </w:p>
        </w:tc>
        <w:tc>
          <w:tcPr>
            <w:tcW w:w="260" w:type="pct"/>
            <w:noWrap/>
            <w:vAlign w:val="bottom"/>
          </w:tcPr>
          <w:p w14:paraId="5A264285" w14:textId="3CAE5FAB" w:rsidR="00F64FFF" w:rsidRPr="008669C3" w:rsidRDefault="00F64FFF" w:rsidP="00F64FFF">
            <w:pPr>
              <w:jc w:val="center"/>
              <w:rPr>
                <w:sz w:val="20"/>
                <w:szCs w:val="22"/>
              </w:rPr>
            </w:pPr>
            <w:r w:rsidRPr="008669C3">
              <w:rPr>
                <w:sz w:val="20"/>
                <w:szCs w:val="22"/>
                <w:lang w:val="en-GB"/>
              </w:rPr>
              <w:t>***</w:t>
            </w:r>
          </w:p>
        </w:tc>
        <w:tc>
          <w:tcPr>
            <w:tcW w:w="548" w:type="pct"/>
            <w:noWrap/>
            <w:vAlign w:val="bottom"/>
          </w:tcPr>
          <w:p w14:paraId="08D2D7BD" w14:textId="089902A9" w:rsidR="00F64FFF" w:rsidRPr="008669C3" w:rsidRDefault="00F64FFF" w:rsidP="00F64FFF">
            <w:pPr>
              <w:jc w:val="center"/>
              <w:rPr>
                <w:sz w:val="22"/>
                <w:szCs w:val="22"/>
              </w:rPr>
            </w:pPr>
            <w:r w:rsidRPr="008669C3">
              <w:rPr>
                <w:sz w:val="22"/>
                <w:szCs w:val="22"/>
                <w:lang w:val="en-GB"/>
              </w:rPr>
              <w:t>0.410</w:t>
            </w:r>
          </w:p>
        </w:tc>
        <w:tc>
          <w:tcPr>
            <w:tcW w:w="290" w:type="pct"/>
            <w:noWrap/>
            <w:vAlign w:val="bottom"/>
          </w:tcPr>
          <w:p w14:paraId="1BAB24F6" w14:textId="7107B135" w:rsidR="00F64FFF" w:rsidRPr="008669C3" w:rsidRDefault="00F64FFF" w:rsidP="00F64FFF">
            <w:pPr>
              <w:jc w:val="center"/>
              <w:rPr>
                <w:sz w:val="20"/>
                <w:szCs w:val="22"/>
              </w:rPr>
            </w:pPr>
            <w:r w:rsidRPr="008669C3">
              <w:rPr>
                <w:sz w:val="20"/>
                <w:szCs w:val="22"/>
                <w:lang w:val="en-GB"/>
              </w:rPr>
              <w:t>***</w:t>
            </w:r>
          </w:p>
        </w:tc>
      </w:tr>
      <w:tr w:rsidR="00F64FFF" w:rsidRPr="008669C3" w14:paraId="7947E7C4" w14:textId="77777777" w:rsidTr="00472AD9">
        <w:trPr>
          <w:trHeight w:val="20"/>
          <w:jc w:val="center"/>
        </w:trPr>
        <w:tc>
          <w:tcPr>
            <w:tcW w:w="1009" w:type="pct"/>
            <w:noWrap/>
            <w:vAlign w:val="bottom"/>
          </w:tcPr>
          <w:p w14:paraId="46CC80C7" w14:textId="45708E51" w:rsidR="00F64FFF" w:rsidRPr="008669C3" w:rsidRDefault="00F64FFF" w:rsidP="00F64FFF">
            <w:pPr>
              <w:jc w:val="both"/>
              <w:rPr>
                <w:iCs/>
                <w:sz w:val="22"/>
                <w:szCs w:val="22"/>
              </w:rPr>
            </w:pPr>
            <w:r w:rsidRPr="008669C3">
              <w:rPr>
                <w:iCs/>
                <w:sz w:val="22"/>
                <w:szCs w:val="22"/>
                <w:lang w:val="en-GB"/>
              </w:rPr>
              <w:t>Bank debt</w:t>
            </w:r>
          </w:p>
        </w:tc>
        <w:tc>
          <w:tcPr>
            <w:tcW w:w="548" w:type="pct"/>
            <w:noWrap/>
            <w:vAlign w:val="bottom"/>
          </w:tcPr>
          <w:p w14:paraId="2E7533A0" w14:textId="2A42E2BE" w:rsidR="00F64FFF" w:rsidRPr="008669C3" w:rsidRDefault="00F64FFF" w:rsidP="00F64FFF">
            <w:pPr>
              <w:jc w:val="center"/>
              <w:rPr>
                <w:sz w:val="22"/>
                <w:szCs w:val="22"/>
              </w:rPr>
            </w:pPr>
            <w:r w:rsidRPr="008669C3">
              <w:rPr>
                <w:sz w:val="22"/>
                <w:szCs w:val="22"/>
                <w:lang w:val="en-GB"/>
              </w:rPr>
              <w:t>0.758</w:t>
            </w:r>
          </w:p>
        </w:tc>
        <w:tc>
          <w:tcPr>
            <w:tcW w:w="548" w:type="pct"/>
            <w:noWrap/>
            <w:vAlign w:val="bottom"/>
          </w:tcPr>
          <w:p w14:paraId="614A5917" w14:textId="2363CFC9" w:rsidR="00F64FFF" w:rsidRPr="008669C3" w:rsidRDefault="00F64FFF" w:rsidP="00F64FFF">
            <w:pPr>
              <w:jc w:val="center"/>
              <w:rPr>
                <w:sz w:val="22"/>
                <w:szCs w:val="22"/>
              </w:rPr>
            </w:pPr>
            <w:r w:rsidRPr="008669C3">
              <w:rPr>
                <w:sz w:val="22"/>
                <w:szCs w:val="22"/>
                <w:lang w:val="en-GB"/>
              </w:rPr>
              <w:t>1.000</w:t>
            </w:r>
          </w:p>
        </w:tc>
        <w:tc>
          <w:tcPr>
            <w:tcW w:w="129" w:type="pct"/>
            <w:noWrap/>
          </w:tcPr>
          <w:p w14:paraId="7C48AAA2" w14:textId="77777777" w:rsidR="00F64FFF" w:rsidRPr="008669C3" w:rsidRDefault="00F64FFF" w:rsidP="00F64FFF">
            <w:pPr>
              <w:jc w:val="center"/>
              <w:rPr>
                <w:sz w:val="22"/>
                <w:szCs w:val="22"/>
              </w:rPr>
            </w:pPr>
          </w:p>
        </w:tc>
        <w:tc>
          <w:tcPr>
            <w:tcW w:w="495" w:type="pct"/>
            <w:noWrap/>
            <w:vAlign w:val="bottom"/>
          </w:tcPr>
          <w:p w14:paraId="0AC6FC8B" w14:textId="6CB693E3" w:rsidR="00F64FFF" w:rsidRPr="008669C3" w:rsidRDefault="00F64FFF" w:rsidP="00F64FFF">
            <w:pPr>
              <w:jc w:val="center"/>
              <w:rPr>
                <w:sz w:val="22"/>
                <w:szCs w:val="22"/>
              </w:rPr>
            </w:pPr>
            <w:r w:rsidRPr="008669C3">
              <w:rPr>
                <w:sz w:val="22"/>
                <w:szCs w:val="22"/>
                <w:lang w:val="en-GB"/>
              </w:rPr>
              <w:t>0.732</w:t>
            </w:r>
          </w:p>
        </w:tc>
        <w:tc>
          <w:tcPr>
            <w:tcW w:w="495" w:type="pct"/>
            <w:noWrap/>
            <w:vAlign w:val="bottom"/>
          </w:tcPr>
          <w:p w14:paraId="0ED3255C" w14:textId="39590E76" w:rsidR="00F64FFF" w:rsidRPr="008669C3" w:rsidRDefault="00F64FFF" w:rsidP="00F64FFF">
            <w:pPr>
              <w:jc w:val="center"/>
              <w:rPr>
                <w:sz w:val="22"/>
                <w:szCs w:val="22"/>
              </w:rPr>
            </w:pPr>
            <w:r w:rsidRPr="008669C3">
              <w:rPr>
                <w:sz w:val="22"/>
                <w:szCs w:val="22"/>
                <w:lang w:val="en-GB"/>
              </w:rPr>
              <w:t>1.000</w:t>
            </w:r>
          </w:p>
        </w:tc>
        <w:tc>
          <w:tcPr>
            <w:tcW w:w="130" w:type="pct"/>
            <w:noWrap/>
          </w:tcPr>
          <w:p w14:paraId="554CEB20" w14:textId="77777777" w:rsidR="00F64FFF" w:rsidRPr="008669C3" w:rsidRDefault="00F64FFF" w:rsidP="00F64FFF">
            <w:pPr>
              <w:jc w:val="center"/>
              <w:rPr>
                <w:sz w:val="22"/>
                <w:szCs w:val="22"/>
              </w:rPr>
            </w:pPr>
          </w:p>
        </w:tc>
        <w:tc>
          <w:tcPr>
            <w:tcW w:w="548" w:type="pct"/>
            <w:noWrap/>
            <w:vAlign w:val="bottom"/>
          </w:tcPr>
          <w:p w14:paraId="02E50704" w14:textId="1B6D63F2" w:rsidR="00F64FFF" w:rsidRPr="008669C3" w:rsidRDefault="00F64FFF" w:rsidP="00F64FFF">
            <w:pPr>
              <w:jc w:val="center"/>
              <w:rPr>
                <w:sz w:val="22"/>
                <w:szCs w:val="22"/>
              </w:rPr>
            </w:pPr>
            <w:r w:rsidRPr="008669C3">
              <w:rPr>
                <w:sz w:val="22"/>
                <w:szCs w:val="22"/>
                <w:lang w:val="en-GB"/>
              </w:rPr>
              <w:t>0.026</w:t>
            </w:r>
          </w:p>
        </w:tc>
        <w:tc>
          <w:tcPr>
            <w:tcW w:w="260" w:type="pct"/>
            <w:noWrap/>
            <w:vAlign w:val="bottom"/>
          </w:tcPr>
          <w:p w14:paraId="274AD682" w14:textId="77777777" w:rsidR="00F64FFF" w:rsidRPr="008669C3" w:rsidRDefault="00F64FFF" w:rsidP="00F64FFF">
            <w:pPr>
              <w:jc w:val="center"/>
              <w:rPr>
                <w:sz w:val="22"/>
                <w:szCs w:val="22"/>
              </w:rPr>
            </w:pPr>
          </w:p>
        </w:tc>
        <w:tc>
          <w:tcPr>
            <w:tcW w:w="548" w:type="pct"/>
            <w:noWrap/>
            <w:vAlign w:val="bottom"/>
          </w:tcPr>
          <w:p w14:paraId="7D13F997" w14:textId="4F2637B6" w:rsidR="00F64FFF" w:rsidRPr="008669C3" w:rsidRDefault="00F64FFF" w:rsidP="00F64FFF">
            <w:pPr>
              <w:jc w:val="center"/>
              <w:rPr>
                <w:sz w:val="22"/>
                <w:szCs w:val="22"/>
              </w:rPr>
            </w:pPr>
            <w:r w:rsidRPr="008669C3">
              <w:rPr>
                <w:sz w:val="22"/>
                <w:szCs w:val="22"/>
                <w:lang w:val="en-GB"/>
              </w:rPr>
              <w:t>0.000</w:t>
            </w:r>
          </w:p>
        </w:tc>
        <w:tc>
          <w:tcPr>
            <w:tcW w:w="290" w:type="pct"/>
            <w:noWrap/>
            <w:vAlign w:val="bottom"/>
          </w:tcPr>
          <w:p w14:paraId="025B07D3" w14:textId="77777777" w:rsidR="00F64FFF" w:rsidRPr="008669C3" w:rsidRDefault="00F64FFF" w:rsidP="00F64FFF">
            <w:pPr>
              <w:jc w:val="center"/>
              <w:rPr>
                <w:sz w:val="20"/>
                <w:szCs w:val="22"/>
              </w:rPr>
            </w:pPr>
          </w:p>
        </w:tc>
      </w:tr>
      <w:tr w:rsidR="009738B1" w:rsidRPr="008669C3" w14:paraId="6105688D" w14:textId="77777777" w:rsidTr="00535F81">
        <w:trPr>
          <w:trHeight w:val="20"/>
          <w:jc w:val="center"/>
        </w:trPr>
        <w:tc>
          <w:tcPr>
            <w:tcW w:w="1009" w:type="pct"/>
            <w:noWrap/>
            <w:vAlign w:val="bottom"/>
          </w:tcPr>
          <w:p w14:paraId="45A4A442" w14:textId="36D6BE4C" w:rsidR="009738B1" w:rsidRPr="008669C3" w:rsidRDefault="009738B1" w:rsidP="009738B1">
            <w:pPr>
              <w:jc w:val="both"/>
              <w:rPr>
                <w:iCs/>
                <w:sz w:val="22"/>
                <w:szCs w:val="22"/>
                <w:lang w:val="en-GB"/>
              </w:rPr>
            </w:pPr>
            <w:r w:rsidRPr="008669C3">
              <w:rPr>
                <w:iCs/>
                <w:sz w:val="22"/>
                <w:szCs w:val="22"/>
                <w:lang w:val="en-GB"/>
              </w:rPr>
              <w:t>Book leverage</w:t>
            </w:r>
          </w:p>
        </w:tc>
        <w:tc>
          <w:tcPr>
            <w:tcW w:w="548" w:type="pct"/>
            <w:noWrap/>
            <w:vAlign w:val="bottom"/>
          </w:tcPr>
          <w:p w14:paraId="583E5D6E" w14:textId="7E018CCC" w:rsidR="009738B1" w:rsidRPr="008669C3" w:rsidRDefault="009738B1" w:rsidP="009738B1">
            <w:pPr>
              <w:jc w:val="center"/>
              <w:rPr>
                <w:sz w:val="22"/>
                <w:szCs w:val="22"/>
                <w:lang w:val="en-GB"/>
              </w:rPr>
            </w:pPr>
            <w:r w:rsidRPr="008669C3">
              <w:rPr>
                <w:color w:val="000000"/>
                <w:sz w:val="22"/>
                <w:szCs w:val="22"/>
                <w:lang w:val="en-GB"/>
              </w:rPr>
              <w:t>0.271</w:t>
            </w:r>
          </w:p>
        </w:tc>
        <w:tc>
          <w:tcPr>
            <w:tcW w:w="548" w:type="pct"/>
            <w:noWrap/>
            <w:vAlign w:val="bottom"/>
          </w:tcPr>
          <w:p w14:paraId="6B931C8D" w14:textId="1C836240" w:rsidR="009738B1" w:rsidRPr="008669C3" w:rsidRDefault="009738B1" w:rsidP="009738B1">
            <w:pPr>
              <w:jc w:val="center"/>
              <w:rPr>
                <w:sz w:val="22"/>
                <w:szCs w:val="22"/>
                <w:lang w:val="en-GB"/>
              </w:rPr>
            </w:pPr>
            <w:r w:rsidRPr="008669C3">
              <w:rPr>
                <w:color w:val="000000"/>
                <w:sz w:val="22"/>
                <w:szCs w:val="22"/>
                <w:lang w:val="en-GB"/>
              </w:rPr>
              <w:t>0.257</w:t>
            </w:r>
          </w:p>
        </w:tc>
        <w:tc>
          <w:tcPr>
            <w:tcW w:w="129" w:type="pct"/>
            <w:noWrap/>
            <w:vAlign w:val="bottom"/>
          </w:tcPr>
          <w:p w14:paraId="05BB3407" w14:textId="77777777" w:rsidR="009738B1" w:rsidRPr="008669C3" w:rsidRDefault="009738B1" w:rsidP="009738B1">
            <w:pPr>
              <w:jc w:val="center"/>
              <w:rPr>
                <w:sz w:val="22"/>
                <w:szCs w:val="22"/>
              </w:rPr>
            </w:pPr>
          </w:p>
        </w:tc>
        <w:tc>
          <w:tcPr>
            <w:tcW w:w="495" w:type="pct"/>
            <w:noWrap/>
            <w:vAlign w:val="bottom"/>
          </w:tcPr>
          <w:p w14:paraId="79C7AC1C" w14:textId="775CF9B4" w:rsidR="009738B1" w:rsidRPr="008669C3" w:rsidRDefault="009738B1" w:rsidP="009738B1">
            <w:pPr>
              <w:jc w:val="center"/>
              <w:rPr>
                <w:sz w:val="22"/>
                <w:szCs w:val="22"/>
                <w:lang w:val="en-GB"/>
              </w:rPr>
            </w:pPr>
            <w:r w:rsidRPr="008669C3">
              <w:rPr>
                <w:color w:val="000000"/>
                <w:sz w:val="22"/>
                <w:szCs w:val="22"/>
                <w:lang w:val="en-GB"/>
              </w:rPr>
              <w:t>0.233</w:t>
            </w:r>
          </w:p>
        </w:tc>
        <w:tc>
          <w:tcPr>
            <w:tcW w:w="495" w:type="pct"/>
            <w:noWrap/>
            <w:vAlign w:val="bottom"/>
          </w:tcPr>
          <w:p w14:paraId="7C229785" w14:textId="44E46108" w:rsidR="009738B1" w:rsidRPr="008669C3" w:rsidRDefault="009738B1" w:rsidP="009738B1">
            <w:pPr>
              <w:jc w:val="center"/>
              <w:rPr>
                <w:sz w:val="22"/>
                <w:szCs w:val="22"/>
                <w:lang w:val="en-GB"/>
              </w:rPr>
            </w:pPr>
            <w:r w:rsidRPr="008669C3">
              <w:rPr>
                <w:color w:val="000000"/>
                <w:sz w:val="22"/>
                <w:szCs w:val="22"/>
                <w:lang w:val="en-GB"/>
              </w:rPr>
              <w:t>0.227</w:t>
            </w:r>
          </w:p>
        </w:tc>
        <w:tc>
          <w:tcPr>
            <w:tcW w:w="130" w:type="pct"/>
            <w:noWrap/>
            <w:vAlign w:val="bottom"/>
          </w:tcPr>
          <w:p w14:paraId="561BB224" w14:textId="77777777" w:rsidR="009738B1" w:rsidRPr="008669C3" w:rsidRDefault="009738B1" w:rsidP="009738B1">
            <w:pPr>
              <w:jc w:val="center"/>
              <w:rPr>
                <w:sz w:val="22"/>
                <w:szCs w:val="22"/>
              </w:rPr>
            </w:pPr>
          </w:p>
        </w:tc>
        <w:tc>
          <w:tcPr>
            <w:tcW w:w="548" w:type="pct"/>
            <w:noWrap/>
            <w:vAlign w:val="bottom"/>
          </w:tcPr>
          <w:p w14:paraId="7F8DED69" w14:textId="086B4674" w:rsidR="009738B1" w:rsidRPr="008669C3" w:rsidRDefault="009738B1" w:rsidP="009738B1">
            <w:pPr>
              <w:jc w:val="center"/>
              <w:rPr>
                <w:sz w:val="22"/>
                <w:szCs w:val="22"/>
                <w:lang w:val="en-GB"/>
              </w:rPr>
            </w:pPr>
            <w:r w:rsidRPr="008669C3">
              <w:rPr>
                <w:color w:val="000000"/>
                <w:sz w:val="22"/>
                <w:szCs w:val="22"/>
                <w:lang w:val="en-GB"/>
              </w:rPr>
              <w:t>0.038</w:t>
            </w:r>
          </w:p>
        </w:tc>
        <w:tc>
          <w:tcPr>
            <w:tcW w:w="260" w:type="pct"/>
            <w:noWrap/>
            <w:vAlign w:val="bottom"/>
          </w:tcPr>
          <w:p w14:paraId="02D9C94A" w14:textId="167A7BC0" w:rsidR="009738B1" w:rsidRPr="008669C3" w:rsidRDefault="009738B1" w:rsidP="009738B1">
            <w:pPr>
              <w:jc w:val="center"/>
              <w:rPr>
                <w:sz w:val="20"/>
                <w:szCs w:val="22"/>
              </w:rPr>
            </w:pPr>
            <w:r w:rsidRPr="008669C3">
              <w:rPr>
                <w:color w:val="000000"/>
                <w:sz w:val="20"/>
                <w:szCs w:val="22"/>
                <w:lang w:val="en-GB"/>
              </w:rPr>
              <w:t>***</w:t>
            </w:r>
          </w:p>
        </w:tc>
        <w:tc>
          <w:tcPr>
            <w:tcW w:w="548" w:type="pct"/>
            <w:noWrap/>
            <w:vAlign w:val="bottom"/>
          </w:tcPr>
          <w:p w14:paraId="780BBDF9" w14:textId="73EA43A6" w:rsidR="009738B1" w:rsidRPr="008669C3" w:rsidRDefault="009738B1" w:rsidP="009738B1">
            <w:pPr>
              <w:jc w:val="center"/>
              <w:rPr>
                <w:sz w:val="22"/>
                <w:szCs w:val="22"/>
                <w:lang w:val="en-GB"/>
              </w:rPr>
            </w:pPr>
            <w:r w:rsidRPr="008669C3">
              <w:rPr>
                <w:color w:val="000000"/>
                <w:sz w:val="22"/>
                <w:szCs w:val="22"/>
                <w:lang w:val="en-GB"/>
              </w:rPr>
              <w:t>0.029</w:t>
            </w:r>
          </w:p>
        </w:tc>
        <w:tc>
          <w:tcPr>
            <w:tcW w:w="290" w:type="pct"/>
            <w:noWrap/>
            <w:vAlign w:val="bottom"/>
          </w:tcPr>
          <w:p w14:paraId="7583EC19" w14:textId="7D321B68" w:rsidR="009738B1" w:rsidRPr="008669C3" w:rsidRDefault="009738B1" w:rsidP="009738B1">
            <w:pPr>
              <w:jc w:val="center"/>
              <w:rPr>
                <w:sz w:val="20"/>
                <w:szCs w:val="22"/>
              </w:rPr>
            </w:pPr>
            <w:r w:rsidRPr="008669C3">
              <w:rPr>
                <w:color w:val="000000"/>
                <w:sz w:val="20"/>
                <w:szCs w:val="22"/>
                <w:lang w:val="en-GB"/>
              </w:rPr>
              <w:t>***</w:t>
            </w:r>
          </w:p>
        </w:tc>
      </w:tr>
      <w:tr w:rsidR="009738B1" w:rsidRPr="008669C3" w14:paraId="2CA5145F" w14:textId="77777777" w:rsidTr="00535F81">
        <w:trPr>
          <w:trHeight w:val="20"/>
          <w:jc w:val="center"/>
        </w:trPr>
        <w:tc>
          <w:tcPr>
            <w:tcW w:w="1009" w:type="pct"/>
            <w:noWrap/>
            <w:vAlign w:val="bottom"/>
          </w:tcPr>
          <w:p w14:paraId="2788D199" w14:textId="674F42C6" w:rsidR="009738B1" w:rsidRPr="008669C3" w:rsidRDefault="009738B1" w:rsidP="009738B1">
            <w:pPr>
              <w:jc w:val="both"/>
              <w:rPr>
                <w:iCs/>
                <w:sz w:val="22"/>
                <w:szCs w:val="22"/>
                <w:lang w:val="en-GB"/>
              </w:rPr>
            </w:pPr>
            <w:r w:rsidRPr="008669C3">
              <w:rPr>
                <w:iCs/>
                <w:sz w:val="22"/>
                <w:szCs w:val="22"/>
                <w:lang w:val="en-GB"/>
              </w:rPr>
              <w:t>Market leverage</w:t>
            </w:r>
          </w:p>
        </w:tc>
        <w:tc>
          <w:tcPr>
            <w:tcW w:w="548" w:type="pct"/>
            <w:noWrap/>
            <w:vAlign w:val="bottom"/>
          </w:tcPr>
          <w:p w14:paraId="46DDB565" w14:textId="06525866" w:rsidR="009738B1" w:rsidRPr="008669C3" w:rsidRDefault="009738B1" w:rsidP="009738B1">
            <w:pPr>
              <w:jc w:val="center"/>
              <w:rPr>
                <w:sz w:val="22"/>
                <w:szCs w:val="22"/>
                <w:lang w:val="en-GB"/>
              </w:rPr>
            </w:pPr>
            <w:r w:rsidRPr="008669C3">
              <w:rPr>
                <w:color w:val="000000"/>
                <w:sz w:val="22"/>
                <w:szCs w:val="22"/>
                <w:lang w:val="en-GB"/>
              </w:rPr>
              <w:t>0.179</w:t>
            </w:r>
          </w:p>
        </w:tc>
        <w:tc>
          <w:tcPr>
            <w:tcW w:w="548" w:type="pct"/>
            <w:noWrap/>
            <w:vAlign w:val="bottom"/>
          </w:tcPr>
          <w:p w14:paraId="4284C33A" w14:textId="2015FF06" w:rsidR="009738B1" w:rsidRPr="008669C3" w:rsidRDefault="009738B1" w:rsidP="009738B1">
            <w:pPr>
              <w:jc w:val="center"/>
              <w:rPr>
                <w:sz w:val="22"/>
                <w:szCs w:val="22"/>
                <w:lang w:val="en-GB"/>
              </w:rPr>
            </w:pPr>
            <w:r w:rsidRPr="008669C3">
              <w:rPr>
                <w:color w:val="000000"/>
                <w:sz w:val="22"/>
                <w:szCs w:val="22"/>
                <w:lang w:val="en-GB"/>
              </w:rPr>
              <w:t>0.166</w:t>
            </w:r>
          </w:p>
        </w:tc>
        <w:tc>
          <w:tcPr>
            <w:tcW w:w="129" w:type="pct"/>
            <w:noWrap/>
            <w:vAlign w:val="bottom"/>
          </w:tcPr>
          <w:p w14:paraId="7A42523F" w14:textId="77777777" w:rsidR="009738B1" w:rsidRPr="008669C3" w:rsidRDefault="009738B1" w:rsidP="009738B1">
            <w:pPr>
              <w:jc w:val="center"/>
              <w:rPr>
                <w:sz w:val="22"/>
                <w:szCs w:val="22"/>
              </w:rPr>
            </w:pPr>
          </w:p>
        </w:tc>
        <w:tc>
          <w:tcPr>
            <w:tcW w:w="495" w:type="pct"/>
            <w:noWrap/>
            <w:vAlign w:val="bottom"/>
          </w:tcPr>
          <w:p w14:paraId="5D5A3458" w14:textId="06E544FA" w:rsidR="009738B1" w:rsidRPr="008669C3" w:rsidRDefault="009738B1" w:rsidP="009738B1">
            <w:pPr>
              <w:jc w:val="center"/>
              <w:rPr>
                <w:sz w:val="22"/>
                <w:szCs w:val="22"/>
                <w:lang w:val="en-GB"/>
              </w:rPr>
            </w:pPr>
            <w:r w:rsidRPr="008669C3">
              <w:rPr>
                <w:color w:val="000000"/>
                <w:sz w:val="22"/>
                <w:szCs w:val="22"/>
                <w:lang w:val="en-GB"/>
              </w:rPr>
              <w:t>0.159</w:t>
            </w:r>
          </w:p>
        </w:tc>
        <w:tc>
          <w:tcPr>
            <w:tcW w:w="495" w:type="pct"/>
            <w:noWrap/>
            <w:vAlign w:val="bottom"/>
          </w:tcPr>
          <w:p w14:paraId="6896FEBD" w14:textId="2493DC5A" w:rsidR="009738B1" w:rsidRPr="008669C3" w:rsidRDefault="009738B1" w:rsidP="009738B1">
            <w:pPr>
              <w:jc w:val="center"/>
              <w:rPr>
                <w:sz w:val="22"/>
                <w:szCs w:val="22"/>
                <w:lang w:val="en-GB"/>
              </w:rPr>
            </w:pPr>
            <w:r w:rsidRPr="008669C3">
              <w:rPr>
                <w:color w:val="000000"/>
                <w:sz w:val="22"/>
                <w:szCs w:val="22"/>
                <w:lang w:val="en-GB"/>
              </w:rPr>
              <w:t>0.135</w:t>
            </w:r>
          </w:p>
        </w:tc>
        <w:tc>
          <w:tcPr>
            <w:tcW w:w="130" w:type="pct"/>
            <w:noWrap/>
            <w:vAlign w:val="bottom"/>
          </w:tcPr>
          <w:p w14:paraId="03B792A6" w14:textId="77777777" w:rsidR="009738B1" w:rsidRPr="008669C3" w:rsidRDefault="009738B1" w:rsidP="009738B1">
            <w:pPr>
              <w:jc w:val="center"/>
              <w:rPr>
                <w:sz w:val="22"/>
                <w:szCs w:val="22"/>
              </w:rPr>
            </w:pPr>
          </w:p>
        </w:tc>
        <w:tc>
          <w:tcPr>
            <w:tcW w:w="548" w:type="pct"/>
            <w:noWrap/>
            <w:vAlign w:val="bottom"/>
          </w:tcPr>
          <w:p w14:paraId="348192B1" w14:textId="57791EA5" w:rsidR="009738B1" w:rsidRPr="008669C3" w:rsidRDefault="009738B1" w:rsidP="009738B1">
            <w:pPr>
              <w:jc w:val="center"/>
              <w:rPr>
                <w:sz w:val="22"/>
                <w:szCs w:val="22"/>
                <w:lang w:val="en-GB"/>
              </w:rPr>
            </w:pPr>
            <w:r w:rsidRPr="008669C3">
              <w:rPr>
                <w:color w:val="000000"/>
                <w:sz w:val="22"/>
                <w:szCs w:val="22"/>
                <w:lang w:val="en-GB"/>
              </w:rPr>
              <w:t>0.019</w:t>
            </w:r>
          </w:p>
        </w:tc>
        <w:tc>
          <w:tcPr>
            <w:tcW w:w="260" w:type="pct"/>
            <w:noWrap/>
            <w:vAlign w:val="bottom"/>
          </w:tcPr>
          <w:p w14:paraId="69E56677" w14:textId="5C997163" w:rsidR="009738B1" w:rsidRPr="008669C3" w:rsidRDefault="009738B1" w:rsidP="009738B1">
            <w:pPr>
              <w:jc w:val="center"/>
              <w:rPr>
                <w:sz w:val="20"/>
                <w:szCs w:val="22"/>
              </w:rPr>
            </w:pPr>
            <w:r w:rsidRPr="008669C3">
              <w:rPr>
                <w:color w:val="000000"/>
                <w:sz w:val="20"/>
                <w:szCs w:val="22"/>
                <w:lang w:val="en-GB"/>
              </w:rPr>
              <w:t>***</w:t>
            </w:r>
          </w:p>
        </w:tc>
        <w:tc>
          <w:tcPr>
            <w:tcW w:w="548" w:type="pct"/>
            <w:noWrap/>
            <w:vAlign w:val="bottom"/>
          </w:tcPr>
          <w:p w14:paraId="2098DF17" w14:textId="059FCDD1" w:rsidR="009738B1" w:rsidRPr="008669C3" w:rsidRDefault="009738B1" w:rsidP="009738B1">
            <w:pPr>
              <w:jc w:val="center"/>
              <w:rPr>
                <w:sz w:val="22"/>
                <w:szCs w:val="22"/>
                <w:lang w:val="en-GB"/>
              </w:rPr>
            </w:pPr>
            <w:r w:rsidRPr="008669C3">
              <w:rPr>
                <w:color w:val="000000"/>
                <w:sz w:val="22"/>
                <w:szCs w:val="22"/>
                <w:lang w:val="en-GB"/>
              </w:rPr>
              <w:t>0.031</w:t>
            </w:r>
          </w:p>
        </w:tc>
        <w:tc>
          <w:tcPr>
            <w:tcW w:w="290" w:type="pct"/>
            <w:noWrap/>
            <w:vAlign w:val="bottom"/>
          </w:tcPr>
          <w:p w14:paraId="23B33280" w14:textId="5EA77F26" w:rsidR="009738B1" w:rsidRPr="008669C3" w:rsidRDefault="009738B1" w:rsidP="009738B1">
            <w:pPr>
              <w:jc w:val="center"/>
              <w:rPr>
                <w:sz w:val="20"/>
                <w:szCs w:val="22"/>
              </w:rPr>
            </w:pPr>
            <w:r w:rsidRPr="008669C3">
              <w:rPr>
                <w:color w:val="000000"/>
                <w:sz w:val="20"/>
                <w:szCs w:val="22"/>
                <w:lang w:val="en-GB"/>
              </w:rPr>
              <w:t>***</w:t>
            </w:r>
          </w:p>
        </w:tc>
      </w:tr>
      <w:tr w:rsidR="009738B1" w:rsidRPr="008669C3" w14:paraId="54F86453" w14:textId="77777777" w:rsidTr="00472AD9">
        <w:trPr>
          <w:trHeight w:val="20"/>
          <w:jc w:val="center"/>
        </w:trPr>
        <w:tc>
          <w:tcPr>
            <w:tcW w:w="1009" w:type="pct"/>
            <w:noWrap/>
            <w:hideMark/>
          </w:tcPr>
          <w:p w14:paraId="78466E89" w14:textId="77777777" w:rsidR="009738B1" w:rsidRPr="008669C3" w:rsidRDefault="009738B1" w:rsidP="009738B1">
            <w:pPr>
              <w:jc w:val="both"/>
              <w:rPr>
                <w:iCs/>
                <w:sz w:val="22"/>
                <w:szCs w:val="22"/>
              </w:rPr>
            </w:pPr>
            <w:r w:rsidRPr="008669C3">
              <w:rPr>
                <w:iCs/>
                <w:sz w:val="22"/>
                <w:szCs w:val="22"/>
              </w:rPr>
              <w:t>Age</w:t>
            </w:r>
          </w:p>
        </w:tc>
        <w:tc>
          <w:tcPr>
            <w:tcW w:w="548" w:type="pct"/>
            <w:noWrap/>
            <w:vAlign w:val="bottom"/>
            <w:hideMark/>
          </w:tcPr>
          <w:p w14:paraId="410B6373" w14:textId="43D053D8" w:rsidR="009738B1" w:rsidRPr="008669C3" w:rsidRDefault="009738B1" w:rsidP="009738B1">
            <w:pPr>
              <w:jc w:val="center"/>
              <w:rPr>
                <w:sz w:val="22"/>
                <w:szCs w:val="22"/>
              </w:rPr>
            </w:pPr>
            <w:r w:rsidRPr="008669C3">
              <w:rPr>
                <w:sz w:val="22"/>
                <w:szCs w:val="22"/>
                <w:lang w:val="en-GB"/>
              </w:rPr>
              <w:t>56.522</w:t>
            </w:r>
          </w:p>
        </w:tc>
        <w:tc>
          <w:tcPr>
            <w:tcW w:w="548" w:type="pct"/>
            <w:noWrap/>
            <w:vAlign w:val="bottom"/>
            <w:hideMark/>
          </w:tcPr>
          <w:p w14:paraId="6CF30486" w14:textId="2B99B542" w:rsidR="009738B1" w:rsidRPr="008669C3" w:rsidRDefault="009738B1" w:rsidP="009738B1">
            <w:pPr>
              <w:jc w:val="center"/>
              <w:rPr>
                <w:sz w:val="22"/>
                <w:szCs w:val="22"/>
              </w:rPr>
            </w:pPr>
            <w:r w:rsidRPr="008669C3">
              <w:rPr>
                <w:sz w:val="22"/>
                <w:szCs w:val="22"/>
                <w:lang w:val="en-GB"/>
              </w:rPr>
              <w:t>57.000</w:t>
            </w:r>
          </w:p>
        </w:tc>
        <w:tc>
          <w:tcPr>
            <w:tcW w:w="129" w:type="pct"/>
            <w:noWrap/>
            <w:hideMark/>
          </w:tcPr>
          <w:p w14:paraId="4201690A" w14:textId="77777777" w:rsidR="009738B1" w:rsidRPr="008669C3" w:rsidRDefault="009738B1" w:rsidP="009738B1">
            <w:pPr>
              <w:jc w:val="center"/>
              <w:rPr>
                <w:sz w:val="22"/>
                <w:szCs w:val="22"/>
              </w:rPr>
            </w:pPr>
          </w:p>
        </w:tc>
        <w:tc>
          <w:tcPr>
            <w:tcW w:w="495" w:type="pct"/>
            <w:noWrap/>
            <w:vAlign w:val="bottom"/>
            <w:hideMark/>
          </w:tcPr>
          <w:p w14:paraId="4B276EE3" w14:textId="34EDE039" w:rsidR="009738B1" w:rsidRPr="008669C3" w:rsidRDefault="009738B1" w:rsidP="009738B1">
            <w:pPr>
              <w:jc w:val="center"/>
              <w:rPr>
                <w:sz w:val="22"/>
                <w:szCs w:val="22"/>
              </w:rPr>
            </w:pPr>
            <w:r w:rsidRPr="008669C3">
              <w:rPr>
                <w:sz w:val="22"/>
                <w:szCs w:val="22"/>
                <w:lang w:val="en-GB"/>
              </w:rPr>
              <w:t>55.827</w:t>
            </w:r>
          </w:p>
        </w:tc>
        <w:tc>
          <w:tcPr>
            <w:tcW w:w="495" w:type="pct"/>
            <w:noWrap/>
            <w:vAlign w:val="bottom"/>
            <w:hideMark/>
          </w:tcPr>
          <w:p w14:paraId="42D5D487" w14:textId="67D36F58" w:rsidR="009738B1" w:rsidRPr="008669C3" w:rsidRDefault="009738B1" w:rsidP="009738B1">
            <w:pPr>
              <w:jc w:val="center"/>
              <w:rPr>
                <w:sz w:val="22"/>
                <w:szCs w:val="22"/>
              </w:rPr>
            </w:pPr>
            <w:r w:rsidRPr="008669C3">
              <w:rPr>
                <w:sz w:val="22"/>
                <w:szCs w:val="22"/>
                <w:lang w:val="en-GB"/>
              </w:rPr>
              <w:t>56.000</w:t>
            </w:r>
          </w:p>
        </w:tc>
        <w:tc>
          <w:tcPr>
            <w:tcW w:w="130" w:type="pct"/>
            <w:noWrap/>
            <w:hideMark/>
          </w:tcPr>
          <w:p w14:paraId="2047259F" w14:textId="77777777" w:rsidR="009738B1" w:rsidRPr="008669C3" w:rsidRDefault="009738B1" w:rsidP="009738B1">
            <w:pPr>
              <w:jc w:val="center"/>
              <w:rPr>
                <w:sz w:val="22"/>
                <w:szCs w:val="22"/>
              </w:rPr>
            </w:pPr>
          </w:p>
        </w:tc>
        <w:tc>
          <w:tcPr>
            <w:tcW w:w="548" w:type="pct"/>
            <w:noWrap/>
            <w:vAlign w:val="bottom"/>
            <w:hideMark/>
          </w:tcPr>
          <w:p w14:paraId="647B11C9" w14:textId="6149105A" w:rsidR="009738B1" w:rsidRPr="008669C3" w:rsidRDefault="009738B1" w:rsidP="009738B1">
            <w:pPr>
              <w:jc w:val="center"/>
              <w:rPr>
                <w:sz w:val="22"/>
                <w:szCs w:val="22"/>
              </w:rPr>
            </w:pPr>
            <w:r w:rsidRPr="008669C3">
              <w:rPr>
                <w:sz w:val="22"/>
                <w:szCs w:val="22"/>
                <w:lang w:val="en-GB"/>
              </w:rPr>
              <w:t>0.695</w:t>
            </w:r>
          </w:p>
        </w:tc>
        <w:tc>
          <w:tcPr>
            <w:tcW w:w="260" w:type="pct"/>
            <w:noWrap/>
            <w:vAlign w:val="bottom"/>
            <w:hideMark/>
          </w:tcPr>
          <w:p w14:paraId="606641BB" w14:textId="08342BE5" w:rsidR="009738B1" w:rsidRPr="008669C3" w:rsidRDefault="009738B1" w:rsidP="009738B1">
            <w:pPr>
              <w:jc w:val="center"/>
              <w:rPr>
                <w:sz w:val="20"/>
                <w:szCs w:val="22"/>
              </w:rPr>
            </w:pPr>
            <w:r w:rsidRPr="008669C3">
              <w:rPr>
                <w:sz w:val="20"/>
                <w:szCs w:val="22"/>
                <w:lang w:val="en-GB"/>
              </w:rPr>
              <w:t>***</w:t>
            </w:r>
          </w:p>
        </w:tc>
        <w:tc>
          <w:tcPr>
            <w:tcW w:w="548" w:type="pct"/>
            <w:noWrap/>
            <w:vAlign w:val="bottom"/>
            <w:hideMark/>
          </w:tcPr>
          <w:p w14:paraId="4DF48A7C" w14:textId="7E991386" w:rsidR="009738B1" w:rsidRPr="008669C3" w:rsidRDefault="009738B1" w:rsidP="009738B1">
            <w:pPr>
              <w:jc w:val="center"/>
              <w:rPr>
                <w:sz w:val="22"/>
                <w:szCs w:val="22"/>
              </w:rPr>
            </w:pPr>
            <w:r w:rsidRPr="008669C3">
              <w:rPr>
                <w:sz w:val="22"/>
                <w:szCs w:val="22"/>
                <w:lang w:val="en-GB"/>
              </w:rPr>
              <w:t>1.000</w:t>
            </w:r>
          </w:p>
        </w:tc>
        <w:tc>
          <w:tcPr>
            <w:tcW w:w="290" w:type="pct"/>
            <w:noWrap/>
            <w:vAlign w:val="bottom"/>
            <w:hideMark/>
          </w:tcPr>
          <w:p w14:paraId="397191F0" w14:textId="518EF836" w:rsidR="009738B1" w:rsidRPr="008669C3" w:rsidRDefault="009738B1" w:rsidP="009738B1">
            <w:pPr>
              <w:jc w:val="center"/>
              <w:rPr>
                <w:sz w:val="20"/>
                <w:szCs w:val="22"/>
              </w:rPr>
            </w:pPr>
            <w:r w:rsidRPr="008669C3">
              <w:rPr>
                <w:sz w:val="20"/>
                <w:szCs w:val="22"/>
                <w:lang w:val="en-GB"/>
              </w:rPr>
              <w:t>***</w:t>
            </w:r>
          </w:p>
        </w:tc>
      </w:tr>
      <w:tr w:rsidR="009738B1" w:rsidRPr="008669C3" w14:paraId="339169D2" w14:textId="77777777" w:rsidTr="00472AD9">
        <w:trPr>
          <w:trHeight w:val="20"/>
          <w:jc w:val="center"/>
        </w:trPr>
        <w:tc>
          <w:tcPr>
            <w:tcW w:w="1009" w:type="pct"/>
            <w:noWrap/>
            <w:hideMark/>
          </w:tcPr>
          <w:p w14:paraId="582DB093" w14:textId="77777777" w:rsidR="009738B1" w:rsidRPr="008669C3" w:rsidRDefault="009738B1" w:rsidP="009738B1">
            <w:pPr>
              <w:jc w:val="both"/>
              <w:rPr>
                <w:iCs/>
                <w:sz w:val="22"/>
                <w:szCs w:val="22"/>
              </w:rPr>
            </w:pPr>
            <w:r w:rsidRPr="008669C3">
              <w:rPr>
                <w:iCs/>
                <w:sz w:val="22"/>
                <w:szCs w:val="22"/>
              </w:rPr>
              <w:t>Tenure</w:t>
            </w:r>
          </w:p>
        </w:tc>
        <w:tc>
          <w:tcPr>
            <w:tcW w:w="548" w:type="pct"/>
            <w:noWrap/>
            <w:vAlign w:val="bottom"/>
            <w:hideMark/>
          </w:tcPr>
          <w:p w14:paraId="6BDBCADF" w14:textId="119C62D2" w:rsidR="009738B1" w:rsidRPr="008669C3" w:rsidRDefault="009738B1" w:rsidP="009738B1">
            <w:pPr>
              <w:jc w:val="center"/>
              <w:rPr>
                <w:sz w:val="22"/>
                <w:szCs w:val="22"/>
              </w:rPr>
            </w:pPr>
            <w:r w:rsidRPr="008669C3">
              <w:rPr>
                <w:sz w:val="22"/>
                <w:szCs w:val="22"/>
                <w:lang w:val="en-GB"/>
              </w:rPr>
              <w:t>5.875</w:t>
            </w:r>
          </w:p>
        </w:tc>
        <w:tc>
          <w:tcPr>
            <w:tcW w:w="548" w:type="pct"/>
            <w:noWrap/>
            <w:vAlign w:val="bottom"/>
            <w:hideMark/>
          </w:tcPr>
          <w:p w14:paraId="6A02B430" w14:textId="6E5BE624" w:rsidR="009738B1" w:rsidRPr="008669C3" w:rsidRDefault="009738B1" w:rsidP="009738B1">
            <w:pPr>
              <w:jc w:val="center"/>
              <w:rPr>
                <w:sz w:val="22"/>
                <w:szCs w:val="22"/>
              </w:rPr>
            </w:pPr>
            <w:r w:rsidRPr="008669C3">
              <w:rPr>
                <w:sz w:val="22"/>
                <w:szCs w:val="22"/>
                <w:lang w:val="en-GB"/>
              </w:rPr>
              <w:t>5.000</w:t>
            </w:r>
          </w:p>
        </w:tc>
        <w:tc>
          <w:tcPr>
            <w:tcW w:w="129" w:type="pct"/>
            <w:noWrap/>
            <w:hideMark/>
          </w:tcPr>
          <w:p w14:paraId="04C773ED" w14:textId="77777777" w:rsidR="009738B1" w:rsidRPr="008669C3" w:rsidRDefault="009738B1" w:rsidP="009738B1">
            <w:pPr>
              <w:jc w:val="center"/>
              <w:rPr>
                <w:sz w:val="22"/>
                <w:szCs w:val="22"/>
              </w:rPr>
            </w:pPr>
          </w:p>
        </w:tc>
        <w:tc>
          <w:tcPr>
            <w:tcW w:w="495" w:type="pct"/>
            <w:noWrap/>
            <w:vAlign w:val="bottom"/>
            <w:hideMark/>
          </w:tcPr>
          <w:p w14:paraId="72B70072" w14:textId="44F408EF" w:rsidR="009738B1" w:rsidRPr="008669C3" w:rsidRDefault="009738B1" w:rsidP="009738B1">
            <w:pPr>
              <w:jc w:val="center"/>
              <w:rPr>
                <w:sz w:val="22"/>
                <w:szCs w:val="22"/>
              </w:rPr>
            </w:pPr>
            <w:r w:rsidRPr="008669C3">
              <w:rPr>
                <w:sz w:val="22"/>
                <w:szCs w:val="22"/>
                <w:lang w:val="en-GB"/>
              </w:rPr>
              <w:t>6.852</w:t>
            </w:r>
          </w:p>
        </w:tc>
        <w:tc>
          <w:tcPr>
            <w:tcW w:w="495" w:type="pct"/>
            <w:noWrap/>
            <w:vAlign w:val="bottom"/>
            <w:hideMark/>
          </w:tcPr>
          <w:p w14:paraId="7198FBD7" w14:textId="79C91E7B" w:rsidR="009738B1" w:rsidRPr="008669C3" w:rsidRDefault="009738B1" w:rsidP="009738B1">
            <w:pPr>
              <w:jc w:val="center"/>
              <w:rPr>
                <w:sz w:val="22"/>
                <w:szCs w:val="22"/>
              </w:rPr>
            </w:pPr>
            <w:r w:rsidRPr="008669C3">
              <w:rPr>
                <w:sz w:val="22"/>
                <w:szCs w:val="22"/>
                <w:lang w:val="en-GB"/>
              </w:rPr>
              <w:t>5.000</w:t>
            </w:r>
          </w:p>
        </w:tc>
        <w:tc>
          <w:tcPr>
            <w:tcW w:w="130" w:type="pct"/>
            <w:noWrap/>
            <w:hideMark/>
          </w:tcPr>
          <w:p w14:paraId="15024CA3" w14:textId="77777777" w:rsidR="009738B1" w:rsidRPr="008669C3" w:rsidRDefault="009738B1" w:rsidP="009738B1">
            <w:pPr>
              <w:jc w:val="center"/>
              <w:rPr>
                <w:sz w:val="22"/>
                <w:szCs w:val="22"/>
              </w:rPr>
            </w:pPr>
          </w:p>
        </w:tc>
        <w:tc>
          <w:tcPr>
            <w:tcW w:w="548" w:type="pct"/>
            <w:noWrap/>
            <w:vAlign w:val="bottom"/>
            <w:hideMark/>
          </w:tcPr>
          <w:p w14:paraId="1442C17D" w14:textId="1FD22560" w:rsidR="009738B1" w:rsidRPr="008669C3" w:rsidRDefault="009738B1" w:rsidP="009738B1">
            <w:pPr>
              <w:jc w:val="center"/>
              <w:rPr>
                <w:sz w:val="22"/>
                <w:szCs w:val="22"/>
              </w:rPr>
            </w:pPr>
            <w:r w:rsidRPr="008669C3">
              <w:rPr>
                <w:sz w:val="22"/>
                <w:szCs w:val="22"/>
                <w:lang w:val="en-GB"/>
              </w:rPr>
              <w:t>-0.977</w:t>
            </w:r>
          </w:p>
        </w:tc>
        <w:tc>
          <w:tcPr>
            <w:tcW w:w="260" w:type="pct"/>
            <w:noWrap/>
            <w:vAlign w:val="bottom"/>
            <w:hideMark/>
          </w:tcPr>
          <w:p w14:paraId="60059BB2" w14:textId="2B37A66B" w:rsidR="009738B1" w:rsidRPr="008669C3" w:rsidRDefault="009738B1" w:rsidP="009738B1">
            <w:pPr>
              <w:jc w:val="center"/>
              <w:rPr>
                <w:sz w:val="20"/>
                <w:szCs w:val="22"/>
              </w:rPr>
            </w:pPr>
            <w:r w:rsidRPr="008669C3">
              <w:rPr>
                <w:sz w:val="20"/>
                <w:szCs w:val="22"/>
                <w:lang w:val="en-GB"/>
              </w:rPr>
              <w:t>***</w:t>
            </w:r>
          </w:p>
        </w:tc>
        <w:tc>
          <w:tcPr>
            <w:tcW w:w="548" w:type="pct"/>
            <w:noWrap/>
            <w:vAlign w:val="bottom"/>
            <w:hideMark/>
          </w:tcPr>
          <w:p w14:paraId="5232D9D9" w14:textId="1C7D0746" w:rsidR="009738B1" w:rsidRPr="008669C3" w:rsidRDefault="009738B1" w:rsidP="009738B1">
            <w:pPr>
              <w:jc w:val="center"/>
              <w:rPr>
                <w:sz w:val="22"/>
                <w:szCs w:val="22"/>
              </w:rPr>
            </w:pPr>
            <w:r w:rsidRPr="008669C3">
              <w:rPr>
                <w:sz w:val="22"/>
                <w:szCs w:val="22"/>
                <w:lang w:val="en-GB"/>
              </w:rPr>
              <w:t>0.000</w:t>
            </w:r>
          </w:p>
        </w:tc>
        <w:tc>
          <w:tcPr>
            <w:tcW w:w="290" w:type="pct"/>
            <w:noWrap/>
            <w:vAlign w:val="bottom"/>
            <w:hideMark/>
          </w:tcPr>
          <w:p w14:paraId="03DC400A" w14:textId="4C479FF7" w:rsidR="009738B1" w:rsidRPr="008669C3" w:rsidRDefault="009738B1" w:rsidP="009738B1">
            <w:pPr>
              <w:jc w:val="center"/>
              <w:rPr>
                <w:sz w:val="20"/>
                <w:szCs w:val="22"/>
              </w:rPr>
            </w:pPr>
            <w:r w:rsidRPr="008669C3">
              <w:rPr>
                <w:sz w:val="20"/>
                <w:szCs w:val="22"/>
                <w:lang w:val="en-GB"/>
              </w:rPr>
              <w:t>**</w:t>
            </w:r>
          </w:p>
        </w:tc>
      </w:tr>
      <w:tr w:rsidR="009738B1" w:rsidRPr="008669C3" w14:paraId="3C43A3E0" w14:textId="77777777" w:rsidTr="00472AD9">
        <w:trPr>
          <w:trHeight w:val="20"/>
          <w:jc w:val="center"/>
        </w:trPr>
        <w:tc>
          <w:tcPr>
            <w:tcW w:w="1009" w:type="pct"/>
            <w:noWrap/>
            <w:hideMark/>
          </w:tcPr>
          <w:p w14:paraId="6C955AE1" w14:textId="77777777" w:rsidR="009738B1" w:rsidRPr="008669C3" w:rsidRDefault="009738B1" w:rsidP="009738B1">
            <w:pPr>
              <w:jc w:val="both"/>
              <w:rPr>
                <w:iCs/>
                <w:sz w:val="22"/>
                <w:szCs w:val="22"/>
              </w:rPr>
            </w:pPr>
            <w:r w:rsidRPr="008669C3">
              <w:rPr>
                <w:iCs/>
                <w:sz w:val="22"/>
                <w:szCs w:val="22"/>
              </w:rPr>
              <w:t>Female CEO</w:t>
            </w:r>
          </w:p>
        </w:tc>
        <w:tc>
          <w:tcPr>
            <w:tcW w:w="548" w:type="pct"/>
            <w:noWrap/>
            <w:vAlign w:val="bottom"/>
            <w:hideMark/>
          </w:tcPr>
          <w:p w14:paraId="38CC4F6B" w14:textId="420AE1BD" w:rsidR="009738B1" w:rsidRPr="008669C3" w:rsidRDefault="009738B1" w:rsidP="009738B1">
            <w:pPr>
              <w:jc w:val="center"/>
              <w:rPr>
                <w:sz w:val="22"/>
                <w:szCs w:val="22"/>
              </w:rPr>
            </w:pPr>
            <w:r w:rsidRPr="008669C3">
              <w:rPr>
                <w:sz w:val="22"/>
                <w:szCs w:val="22"/>
                <w:lang w:val="en-GB"/>
              </w:rPr>
              <w:t>0.050</w:t>
            </w:r>
          </w:p>
        </w:tc>
        <w:tc>
          <w:tcPr>
            <w:tcW w:w="548" w:type="pct"/>
            <w:noWrap/>
            <w:vAlign w:val="bottom"/>
            <w:hideMark/>
          </w:tcPr>
          <w:p w14:paraId="110F8215" w14:textId="55535B8B" w:rsidR="009738B1" w:rsidRPr="008669C3" w:rsidRDefault="009738B1" w:rsidP="009738B1">
            <w:pPr>
              <w:jc w:val="center"/>
              <w:rPr>
                <w:sz w:val="22"/>
                <w:szCs w:val="22"/>
              </w:rPr>
            </w:pPr>
            <w:r w:rsidRPr="008669C3">
              <w:rPr>
                <w:sz w:val="22"/>
                <w:szCs w:val="22"/>
                <w:lang w:val="en-GB"/>
              </w:rPr>
              <w:t>0.000</w:t>
            </w:r>
          </w:p>
        </w:tc>
        <w:tc>
          <w:tcPr>
            <w:tcW w:w="129" w:type="pct"/>
            <w:noWrap/>
            <w:hideMark/>
          </w:tcPr>
          <w:p w14:paraId="1AFE1AAD" w14:textId="77777777" w:rsidR="009738B1" w:rsidRPr="008669C3" w:rsidRDefault="009738B1" w:rsidP="009738B1">
            <w:pPr>
              <w:jc w:val="center"/>
              <w:rPr>
                <w:sz w:val="22"/>
                <w:szCs w:val="22"/>
              </w:rPr>
            </w:pPr>
          </w:p>
        </w:tc>
        <w:tc>
          <w:tcPr>
            <w:tcW w:w="495" w:type="pct"/>
            <w:noWrap/>
            <w:vAlign w:val="bottom"/>
            <w:hideMark/>
          </w:tcPr>
          <w:p w14:paraId="2152176C" w14:textId="1927FACE" w:rsidR="009738B1" w:rsidRPr="008669C3" w:rsidRDefault="009738B1" w:rsidP="009738B1">
            <w:pPr>
              <w:jc w:val="center"/>
              <w:rPr>
                <w:sz w:val="22"/>
                <w:szCs w:val="22"/>
              </w:rPr>
            </w:pPr>
            <w:r w:rsidRPr="008669C3">
              <w:rPr>
                <w:sz w:val="22"/>
                <w:szCs w:val="22"/>
                <w:lang w:val="en-GB"/>
              </w:rPr>
              <w:t>0.023</w:t>
            </w:r>
          </w:p>
        </w:tc>
        <w:tc>
          <w:tcPr>
            <w:tcW w:w="495" w:type="pct"/>
            <w:noWrap/>
            <w:vAlign w:val="bottom"/>
            <w:hideMark/>
          </w:tcPr>
          <w:p w14:paraId="65594307" w14:textId="3CEFB2D4" w:rsidR="009738B1" w:rsidRPr="008669C3" w:rsidRDefault="009738B1" w:rsidP="009738B1">
            <w:pPr>
              <w:jc w:val="center"/>
              <w:rPr>
                <w:sz w:val="22"/>
                <w:szCs w:val="22"/>
              </w:rPr>
            </w:pPr>
            <w:r w:rsidRPr="008669C3">
              <w:rPr>
                <w:sz w:val="22"/>
                <w:szCs w:val="22"/>
                <w:lang w:val="en-GB"/>
              </w:rPr>
              <w:t>0.000</w:t>
            </w:r>
          </w:p>
        </w:tc>
        <w:tc>
          <w:tcPr>
            <w:tcW w:w="130" w:type="pct"/>
            <w:noWrap/>
            <w:hideMark/>
          </w:tcPr>
          <w:p w14:paraId="2C6D579C" w14:textId="77777777" w:rsidR="009738B1" w:rsidRPr="008669C3" w:rsidRDefault="009738B1" w:rsidP="009738B1">
            <w:pPr>
              <w:jc w:val="center"/>
              <w:rPr>
                <w:sz w:val="22"/>
                <w:szCs w:val="22"/>
              </w:rPr>
            </w:pPr>
          </w:p>
        </w:tc>
        <w:tc>
          <w:tcPr>
            <w:tcW w:w="548" w:type="pct"/>
            <w:noWrap/>
            <w:vAlign w:val="bottom"/>
            <w:hideMark/>
          </w:tcPr>
          <w:p w14:paraId="79C6BD02" w14:textId="37120785" w:rsidR="009738B1" w:rsidRPr="008669C3" w:rsidRDefault="009738B1" w:rsidP="009738B1">
            <w:pPr>
              <w:jc w:val="center"/>
              <w:rPr>
                <w:sz w:val="22"/>
                <w:szCs w:val="22"/>
              </w:rPr>
            </w:pPr>
            <w:r w:rsidRPr="008669C3">
              <w:rPr>
                <w:sz w:val="22"/>
                <w:szCs w:val="22"/>
                <w:lang w:val="en-GB"/>
              </w:rPr>
              <w:t>0.027</w:t>
            </w:r>
          </w:p>
        </w:tc>
        <w:tc>
          <w:tcPr>
            <w:tcW w:w="260" w:type="pct"/>
            <w:noWrap/>
            <w:vAlign w:val="bottom"/>
            <w:hideMark/>
          </w:tcPr>
          <w:p w14:paraId="584DDE8D" w14:textId="4A33C11F" w:rsidR="009738B1" w:rsidRPr="008669C3" w:rsidRDefault="009738B1" w:rsidP="009738B1">
            <w:pPr>
              <w:jc w:val="center"/>
              <w:rPr>
                <w:sz w:val="20"/>
                <w:szCs w:val="22"/>
              </w:rPr>
            </w:pPr>
            <w:r w:rsidRPr="008669C3">
              <w:rPr>
                <w:sz w:val="20"/>
                <w:szCs w:val="22"/>
                <w:lang w:val="en-GB"/>
              </w:rPr>
              <w:t>***</w:t>
            </w:r>
          </w:p>
        </w:tc>
        <w:tc>
          <w:tcPr>
            <w:tcW w:w="548" w:type="pct"/>
            <w:noWrap/>
            <w:vAlign w:val="bottom"/>
            <w:hideMark/>
          </w:tcPr>
          <w:p w14:paraId="3E5FA58F" w14:textId="0298C9C6" w:rsidR="009738B1" w:rsidRPr="008669C3" w:rsidRDefault="009738B1" w:rsidP="009738B1">
            <w:pPr>
              <w:jc w:val="center"/>
              <w:rPr>
                <w:sz w:val="22"/>
                <w:szCs w:val="22"/>
              </w:rPr>
            </w:pPr>
            <w:r w:rsidRPr="008669C3">
              <w:rPr>
                <w:sz w:val="22"/>
                <w:szCs w:val="22"/>
                <w:lang w:val="en-GB"/>
              </w:rPr>
              <w:t>0.000</w:t>
            </w:r>
          </w:p>
        </w:tc>
        <w:tc>
          <w:tcPr>
            <w:tcW w:w="290" w:type="pct"/>
            <w:noWrap/>
            <w:vAlign w:val="bottom"/>
            <w:hideMark/>
          </w:tcPr>
          <w:p w14:paraId="765F2CB9" w14:textId="1093FFDB" w:rsidR="009738B1" w:rsidRPr="008669C3" w:rsidRDefault="009738B1" w:rsidP="009738B1">
            <w:pPr>
              <w:jc w:val="center"/>
              <w:rPr>
                <w:sz w:val="20"/>
                <w:szCs w:val="22"/>
              </w:rPr>
            </w:pPr>
            <w:r w:rsidRPr="008669C3">
              <w:rPr>
                <w:sz w:val="20"/>
                <w:szCs w:val="22"/>
                <w:lang w:val="en-GB"/>
              </w:rPr>
              <w:t>***</w:t>
            </w:r>
          </w:p>
        </w:tc>
      </w:tr>
      <w:tr w:rsidR="009738B1" w:rsidRPr="008669C3" w14:paraId="720DCAB1" w14:textId="77777777" w:rsidTr="00A818A5">
        <w:trPr>
          <w:trHeight w:val="20"/>
          <w:jc w:val="center"/>
        </w:trPr>
        <w:tc>
          <w:tcPr>
            <w:tcW w:w="1009" w:type="pct"/>
            <w:noWrap/>
            <w:hideMark/>
          </w:tcPr>
          <w:p w14:paraId="09F2AD28" w14:textId="6521D6D4" w:rsidR="009738B1" w:rsidRPr="008669C3" w:rsidRDefault="009738B1" w:rsidP="009738B1">
            <w:pPr>
              <w:jc w:val="both"/>
              <w:rPr>
                <w:iCs/>
                <w:sz w:val="22"/>
                <w:szCs w:val="22"/>
              </w:rPr>
            </w:pPr>
            <w:r w:rsidRPr="008669C3">
              <w:rPr>
                <w:iCs/>
                <w:sz w:val="22"/>
                <w:szCs w:val="22"/>
              </w:rPr>
              <w:t xml:space="preserve">Delta </w:t>
            </w:r>
            <w:r w:rsidRPr="008669C3">
              <w:rPr>
                <w:iCs/>
                <w:sz w:val="22"/>
                <w:szCs w:val="22"/>
                <w:lang w:val="en-GB"/>
              </w:rPr>
              <w:t>(thousand $)</w:t>
            </w:r>
          </w:p>
        </w:tc>
        <w:tc>
          <w:tcPr>
            <w:tcW w:w="548" w:type="pct"/>
            <w:noWrap/>
            <w:vAlign w:val="bottom"/>
            <w:hideMark/>
          </w:tcPr>
          <w:p w14:paraId="3DE996C5" w14:textId="40CC0FFE" w:rsidR="009738B1" w:rsidRPr="008669C3" w:rsidRDefault="009738B1" w:rsidP="009738B1">
            <w:pPr>
              <w:jc w:val="center"/>
              <w:rPr>
                <w:sz w:val="22"/>
                <w:szCs w:val="22"/>
              </w:rPr>
            </w:pPr>
            <w:r w:rsidRPr="008669C3">
              <w:rPr>
                <w:color w:val="000000"/>
                <w:sz w:val="22"/>
                <w:szCs w:val="22"/>
                <w:lang w:val="en-GB"/>
              </w:rPr>
              <w:t>1,301.375</w:t>
            </w:r>
          </w:p>
        </w:tc>
        <w:tc>
          <w:tcPr>
            <w:tcW w:w="548" w:type="pct"/>
            <w:noWrap/>
            <w:vAlign w:val="bottom"/>
            <w:hideMark/>
          </w:tcPr>
          <w:p w14:paraId="4549E918" w14:textId="6924BF31" w:rsidR="009738B1" w:rsidRPr="008669C3" w:rsidRDefault="009738B1" w:rsidP="009738B1">
            <w:pPr>
              <w:jc w:val="center"/>
              <w:rPr>
                <w:sz w:val="22"/>
                <w:szCs w:val="22"/>
              </w:rPr>
            </w:pPr>
            <w:r w:rsidRPr="008669C3">
              <w:rPr>
                <w:color w:val="000000"/>
                <w:sz w:val="22"/>
                <w:szCs w:val="22"/>
                <w:lang w:val="en-GB"/>
              </w:rPr>
              <w:t>542.575</w:t>
            </w:r>
          </w:p>
        </w:tc>
        <w:tc>
          <w:tcPr>
            <w:tcW w:w="129" w:type="pct"/>
            <w:noWrap/>
            <w:vAlign w:val="bottom"/>
            <w:hideMark/>
          </w:tcPr>
          <w:p w14:paraId="3F801C47" w14:textId="77777777" w:rsidR="009738B1" w:rsidRPr="008669C3" w:rsidRDefault="009738B1" w:rsidP="009738B1">
            <w:pPr>
              <w:jc w:val="center"/>
              <w:rPr>
                <w:sz w:val="22"/>
                <w:szCs w:val="22"/>
              </w:rPr>
            </w:pPr>
          </w:p>
        </w:tc>
        <w:tc>
          <w:tcPr>
            <w:tcW w:w="495" w:type="pct"/>
            <w:noWrap/>
            <w:vAlign w:val="bottom"/>
            <w:hideMark/>
          </w:tcPr>
          <w:p w14:paraId="30C9B27A" w14:textId="25BCEE48" w:rsidR="009738B1" w:rsidRPr="008669C3" w:rsidRDefault="009738B1" w:rsidP="009738B1">
            <w:pPr>
              <w:jc w:val="center"/>
              <w:rPr>
                <w:sz w:val="22"/>
                <w:szCs w:val="22"/>
              </w:rPr>
            </w:pPr>
            <w:r w:rsidRPr="008669C3">
              <w:rPr>
                <w:color w:val="000000"/>
                <w:sz w:val="22"/>
                <w:szCs w:val="22"/>
                <w:lang w:val="en-GB"/>
              </w:rPr>
              <w:t>932.906</w:t>
            </w:r>
          </w:p>
        </w:tc>
        <w:tc>
          <w:tcPr>
            <w:tcW w:w="495" w:type="pct"/>
            <w:noWrap/>
            <w:vAlign w:val="bottom"/>
            <w:hideMark/>
          </w:tcPr>
          <w:p w14:paraId="44D0AE43" w14:textId="1E4E1F44" w:rsidR="009738B1" w:rsidRPr="008669C3" w:rsidRDefault="009738B1" w:rsidP="009738B1">
            <w:pPr>
              <w:jc w:val="center"/>
              <w:rPr>
                <w:sz w:val="22"/>
                <w:szCs w:val="22"/>
              </w:rPr>
            </w:pPr>
            <w:r w:rsidRPr="008669C3">
              <w:rPr>
                <w:color w:val="000000"/>
                <w:sz w:val="22"/>
                <w:szCs w:val="22"/>
                <w:lang w:val="en-GB"/>
              </w:rPr>
              <w:t>231.313</w:t>
            </w:r>
          </w:p>
        </w:tc>
        <w:tc>
          <w:tcPr>
            <w:tcW w:w="130" w:type="pct"/>
            <w:noWrap/>
            <w:vAlign w:val="bottom"/>
            <w:hideMark/>
          </w:tcPr>
          <w:p w14:paraId="14BA262C" w14:textId="77777777" w:rsidR="009738B1" w:rsidRPr="008669C3" w:rsidRDefault="009738B1" w:rsidP="009738B1">
            <w:pPr>
              <w:jc w:val="center"/>
              <w:rPr>
                <w:sz w:val="22"/>
                <w:szCs w:val="22"/>
              </w:rPr>
            </w:pPr>
          </w:p>
        </w:tc>
        <w:tc>
          <w:tcPr>
            <w:tcW w:w="548" w:type="pct"/>
            <w:noWrap/>
            <w:vAlign w:val="bottom"/>
            <w:hideMark/>
          </w:tcPr>
          <w:p w14:paraId="445713B1" w14:textId="75E82E2B" w:rsidR="009738B1" w:rsidRPr="008669C3" w:rsidRDefault="009738B1" w:rsidP="009738B1">
            <w:pPr>
              <w:jc w:val="center"/>
              <w:rPr>
                <w:sz w:val="22"/>
                <w:szCs w:val="22"/>
              </w:rPr>
            </w:pPr>
            <w:r w:rsidRPr="008669C3">
              <w:rPr>
                <w:color w:val="000000"/>
                <w:sz w:val="22"/>
                <w:szCs w:val="22"/>
                <w:lang w:val="en-GB"/>
              </w:rPr>
              <w:t>368.469</w:t>
            </w:r>
          </w:p>
        </w:tc>
        <w:tc>
          <w:tcPr>
            <w:tcW w:w="260" w:type="pct"/>
            <w:noWrap/>
            <w:vAlign w:val="bottom"/>
            <w:hideMark/>
          </w:tcPr>
          <w:p w14:paraId="5B9B3F7F" w14:textId="18CB3141" w:rsidR="009738B1" w:rsidRPr="008669C3" w:rsidRDefault="009738B1" w:rsidP="009738B1">
            <w:pPr>
              <w:jc w:val="center"/>
              <w:rPr>
                <w:sz w:val="22"/>
                <w:szCs w:val="22"/>
              </w:rPr>
            </w:pPr>
          </w:p>
        </w:tc>
        <w:tc>
          <w:tcPr>
            <w:tcW w:w="548" w:type="pct"/>
            <w:noWrap/>
            <w:vAlign w:val="bottom"/>
            <w:hideMark/>
          </w:tcPr>
          <w:p w14:paraId="6DDFCEF0" w14:textId="2019FFDF" w:rsidR="009738B1" w:rsidRPr="008669C3" w:rsidRDefault="009738B1" w:rsidP="009738B1">
            <w:pPr>
              <w:jc w:val="center"/>
              <w:rPr>
                <w:sz w:val="22"/>
                <w:szCs w:val="22"/>
              </w:rPr>
            </w:pPr>
            <w:r w:rsidRPr="008669C3">
              <w:rPr>
                <w:color w:val="000000"/>
                <w:sz w:val="22"/>
                <w:szCs w:val="22"/>
                <w:lang w:val="en-GB"/>
              </w:rPr>
              <w:t>311.262</w:t>
            </w:r>
          </w:p>
        </w:tc>
        <w:tc>
          <w:tcPr>
            <w:tcW w:w="290" w:type="pct"/>
            <w:noWrap/>
            <w:vAlign w:val="bottom"/>
            <w:hideMark/>
          </w:tcPr>
          <w:p w14:paraId="3E12CB4B" w14:textId="7CA9EB6E" w:rsidR="009738B1" w:rsidRPr="008669C3" w:rsidRDefault="009738B1" w:rsidP="009738B1">
            <w:pPr>
              <w:jc w:val="center"/>
              <w:rPr>
                <w:sz w:val="20"/>
                <w:szCs w:val="22"/>
              </w:rPr>
            </w:pPr>
            <w:r w:rsidRPr="008669C3">
              <w:rPr>
                <w:color w:val="000000"/>
                <w:sz w:val="20"/>
                <w:szCs w:val="22"/>
                <w:lang w:val="en-GB"/>
              </w:rPr>
              <w:t>***</w:t>
            </w:r>
          </w:p>
        </w:tc>
      </w:tr>
      <w:tr w:rsidR="009738B1" w:rsidRPr="008669C3" w14:paraId="058A4AE2" w14:textId="77777777" w:rsidTr="00A818A5">
        <w:trPr>
          <w:trHeight w:val="20"/>
          <w:jc w:val="center"/>
        </w:trPr>
        <w:tc>
          <w:tcPr>
            <w:tcW w:w="1009" w:type="pct"/>
            <w:noWrap/>
            <w:hideMark/>
          </w:tcPr>
          <w:p w14:paraId="1625EF53" w14:textId="77777777" w:rsidR="009738B1" w:rsidRPr="008669C3" w:rsidRDefault="009738B1" w:rsidP="009738B1">
            <w:pPr>
              <w:jc w:val="both"/>
              <w:rPr>
                <w:iCs/>
                <w:sz w:val="22"/>
                <w:szCs w:val="22"/>
              </w:rPr>
            </w:pPr>
            <w:r w:rsidRPr="008669C3">
              <w:rPr>
                <w:iCs/>
                <w:sz w:val="22"/>
                <w:szCs w:val="22"/>
              </w:rPr>
              <w:t xml:space="preserve">Total pay </w:t>
            </w:r>
            <w:r w:rsidRPr="008669C3">
              <w:rPr>
                <w:iCs/>
                <w:sz w:val="22"/>
                <w:szCs w:val="22"/>
                <w:lang w:val="en-GB"/>
              </w:rPr>
              <w:t>(thousand $)</w:t>
            </w:r>
          </w:p>
        </w:tc>
        <w:tc>
          <w:tcPr>
            <w:tcW w:w="548" w:type="pct"/>
            <w:noWrap/>
            <w:vAlign w:val="bottom"/>
            <w:hideMark/>
          </w:tcPr>
          <w:p w14:paraId="485B02EB" w14:textId="6F8E5E62" w:rsidR="009738B1" w:rsidRPr="008669C3" w:rsidRDefault="009738B1" w:rsidP="009738B1">
            <w:pPr>
              <w:jc w:val="center"/>
              <w:rPr>
                <w:sz w:val="22"/>
                <w:szCs w:val="22"/>
              </w:rPr>
            </w:pPr>
            <w:r w:rsidRPr="008669C3">
              <w:rPr>
                <w:color w:val="000000"/>
                <w:sz w:val="22"/>
                <w:szCs w:val="22"/>
                <w:lang w:val="en-GB"/>
              </w:rPr>
              <w:t>11,555.420</w:t>
            </w:r>
          </w:p>
        </w:tc>
        <w:tc>
          <w:tcPr>
            <w:tcW w:w="548" w:type="pct"/>
            <w:noWrap/>
            <w:vAlign w:val="bottom"/>
            <w:hideMark/>
          </w:tcPr>
          <w:p w14:paraId="668BBAF3" w14:textId="5E0963A5" w:rsidR="009738B1" w:rsidRPr="008669C3" w:rsidRDefault="009738B1" w:rsidP="009738B1">
            <w:pPr>
              <w:jc w:val="center"/>
              <w:rPr>
                <w:sz w:val="22"/>
                <w:szCs w:val="22"/>
              </w:rPr>
            </w:pPr>
            <w:r w:rsidRPr="008669C3">
              <w:rPr>
                <w:color w:val="000000"/>
                <w:sz w:val="22"/>
                <w:szCs w:val="22"/>
                <w:lang w:val="en-GB"/>
              </w:rPr>
              <w:t>9,830.331</w:t>
            </w:r>
          </w:p>
        </w:tc>
        <w:tc>
          <w:tcPr>
            <w:tcW w:w="129" w:type="pct"/>
            <w:noWrap/>
            <w:vAlign w:val="bottom"/>
            <w:hideMark/>
          </w:tcPr>
          <w:p w14:paraId="198FE45B" w14:textId="77777777" w:rsidR="009738B1" w:rsidRPr="008669C3" w:rsidRDefault="009738B1" w:rsidP="009738B1">
            <w:pPr>
              <w:jc w:val="center"/>
              <w:rPr>
                <w:sz w:val="22"/>
                <w:szCs w:val="22"/>
              </w:rPr>
            </w:pPr>
          </w:p>
        </w:tc>
        <w:tc>
          <w:tcPr>
            <w:tcW w:w="495" w:type="pct"/>
            <w:noWrap/>
            <w:vAlign w:val="bottom"/>
            <w:hideMark/>
          </w:tcPr>
          <w:p w14:paraId="40383600" w14:textId="1BAD2FA4" w:rsidR="009738B1" w:rsidRPr="008669C3" w:rsidRDefault="009738B1" w:rsidP="009738B1">
            <w:pPr>
              <w:jc w:val="center"/>
              <w:rPr>
                <w:sz w:val="22"/>
                <w:szCs w:val="22"/>
              </w:rPr>
            </w:pPr>
            <w:r w:rsidRPr="008669C3">
              <w:rPr>
                <w:color w:val="000000"/>
                <w:sz w:val="22"/>
                <w:szCs w:val="22"/>
                <w:lang w:val="en-GB"/>
              </w:rPr>
              <w:t>5,326.065</w:t>
            </w:r>
          </w:p>
        </w:tc>
        <w:tc>
          <w:tcPr>
            <w:tcW w:w="495" w:type="pct"/>
            <w:noWrap/>
            <w:vAlign w:val="bottom"/>
            <w:hideMark/>
          </w:tcPr>
          <w:p w14:paraId="477C67A8" w14:textId="0A9D036B" w:rsidR="009738B1" w:rsidRPr="008669C3" w:rsidRDefault="009738B1" w:rsidP="009738B1">
            <w:pPr>
              <w:jc w:val="center"/>
              <w:rPr>
                <w:sz w:val="22"/>
                <w:szCs w:val="22"/>
              </w:rPr>
            </w:pPr>
            <w:r w:rsidRPr="008669C3">
              <w:rPr>
                <w:color w:val="000000"/>
                <w:sz w:val="22"/>
                <w:szCs w:val="22"/>
                <w:lang w:val="en-GB"/>
              </w:rPr>
              <w:t>3,709.263</w:t>
            </w:r>
          </w:p>
        </w:tc>
        <w:tc>
          <w:tcPr>
            <w:tcW w:w="130" w:type="pct"/>
            <w:noWrap/>
            <w:vAlign w:val="bottom"/>
            <w:hideMark/>
          </w:tcPr>
          <w:p w14:paraId="0AA160B7" w14:textId="77777777" w:rsidR="009738B1" w:rsidRPr="008669C3" w:rsidRDefault="009738B1" w:rsidP="009738B1">
            <w:pPr>
              <w:jc w:val="center"/>
              <w:rPr>
                <w:sz w:val="22"/>
                <w:szCs w:val="22"/>
              </w:rPr>
            </w:pPr>
          </w:p>
        </w:tc>
        <w:tc>
          <w:tcPr>
            <w:tcW w:w="548" w:type="pct"/>
            <w:noWrap/>
            <w:vAlign w:val="bottom"/>
            <w:hideMark/>
          </w:tcPr>
          <w:p w14:paraId="6C08074C" w14:textId="676D9A4A" w:rsidR="009738B1" w:rsidRPr="008669C3" w:rsidRDefault="009738B1" w:rsidP="009738B1">
            <w:pPr>
              <w:jc w:val="center"/>
              <w:rPr>
                <w:sz w:val="22"/>
                <w:szCs w:val="22"/>
              </w:rPr>
            </w:pPr>
            <w:r w:rsidRPr="008669C3">
              <w:rPr>
                <w:color w:val="000000"/>
                <w:sz w:val="22"/>
                <w:szCs w:val="22"/>
                <w:lang w:val="en-GB"/>
              </w:rPr>
              <w:t>6,229.355</w:t>
            </w:r>
          </w:p>
        </w:tc>
        <w:tc>
          <w:tcPr>
            <w:tcW w:w="260" w:type="pct"/>
            <w:noWrap/>
            <w:vAlign w:val="bottom"/>
            <w:hideMark/>
          </w:tcPr>
          <w:p w14:paraId="0B0CDF01" w14:textId="20D40EC0" w:rsidR="009738B1" w:rsidRPr="008669C3" w:rsidRDefault="009738B1" w:rsidP="009738B1">
            <w:pPr>
              <w:jc w:val="center"/>
              <w:rPr>
                <w:sz w:val="20"/>
                <w:szCs w:val="22"/>
              </w:rPr>
            </w:pPr>
            <w:r w:rsidRPr="008669C3">
              <w:rPr>
                <w:color w:val="000000"/>
                <w:sz w:val="20"/>
                <w:szCs w:val="22"/>
                <w:lang w:val="en-GB"/>
              </w:rPr>
              <w:t>***</w:t>
            </w:r>
          </w:p>
        </w:tc>
        <w:tc>
          <w:tcPr>
            <w:tcW w:w="548" w:type="pct"/>
            <w:noWrap/>
            <w:vAlign w:val="bottom"/>
            <w:hideMark/>
          </w:tcPr>
          <w:p w14:paraId="07D3EE87" w14:textId="67F7F945" w:rsidR="009738B1" w:rsidRPr="008669C3" w:rsidRDefault="009738B1" w:rsidP="009738B1">
            <w:pPr>
              <w:jc w:val="center"/>
              <w:rPr>
                <w:sz w:val="22"/>
                <w:szCs w:val="22"/>
              </w:rPr>
            </w:pPr>
            <w:r w:rsidRPr="008669C3">
              <w:rPr>
                <w:color w:val="000000"/>
                <w:sz w:val="22"/>
                <w:szCs w:val="22"/>
                <w:lang w:val="en-GB"/>
              </w:rPr>
              <w:t>6,121.068</w:t>
            </w:r>
          </w:p>
        </w:tc>
        <w:tc>
          <w:tcPr>
            <w:tcW w:w="290" w:type="pct"/>
            <w:noWrap/>
            <w:vAlign w:val="bottom"/>
            <w:hideMark/>
          </w:tcPr>
          <w:p w14:paraId="68725741" w14:textId="0978229C" w:rsidR="009738B1" w:rsidRPr="008669C3" w:rsidRDefault="009738B1" w:rsidP="009738B1">
            <w:pPr>
              <w:jc w:val="center"/>
              <w:rPr>
                <w:sz w:val="20"/>
                <w:szCs w:val="22"/>
              </w:rPr>
            </w:pPr>
            <w:r w:rsidRPr="008669C3">
              <w:rPr>
                <w:color w:val="000000"/>
                <w:sz w:val="20"/>
                <w:szCs w:val="22"/>
                <w:lang w:val="en-GB"/>
              </w:rPr>
              <w:t>***</w:t>
            </w:r>
          </w:p>
        </w:tc>
      </w:tr>
      <w:tr w:rsidR="009738B1" w:rsidRPr="008669C3" w14:paraId="17F517F8" w14:textId="77777777" w:rsidTr="00472AD9">
        <w:trPr>
          <w:trHeight w:val="20"/>
          <w:jc w:val="center"/>
        </w:trPr>
        <w:tc>
          <w:tcPr>
            <w:tcW w:w="1009" w:type="pct"/>
            <w:noWrap/>
            <w:hideMark/>
          </w:tcPr>
          <w:p w14:paraId="256773A7" w14:textId="77777777" w:rsidR="009738B1" w:rsidRPr="008669C3" w:rsidRDefault="009738B1" w:rsidP="009738B1">
            <w:pPr>
              <w:jc w:val="both"/>
              <w:rPr>
                <w:iCs/>
                <w:sz w:val="22"/>
                <w:szCs w:val="22"/>
              </w:rPr>
            </w:pPr>
            <w:r w:rsidRPr="008669C3">
              <w:rPr>
                <w:iCs/>
                <w:sz w:val="22"/>
                <w:szCs w:val="22"/>
              </w:rPr>
              <w:t>Equity mix</w:t>
            </w:r>
          </w:p>
        </w:tc>
        <w:tc>
          <w:tcPr>
            <w:tcW w:w="548" w:type="pct"/>
            <w:noWrap/>
            <w:vAlign w:val="bottom"/>
            <w:hideMark/>
          </w:tcPr>
          <w:p w14:paraId="0CCCA650" w14:textId="4D778BE3" w:rsidR="009738B1" w:rsidRPr="008669C3" w:rsidRDefault="009738B1" w:rsidP="009738B1">
            <w:pPr>
              <w:jc w:val="center"/>
              <w:rPr>
                <w:sz w:val="22"/>
                <w:szCs w:val="22"/>
              </w:rPr>
            </w:pPr>
            <w:r w:rsidRPr="008669C3">
              <w:rPr>
                <w:sz w:val="22"/>
                <w:szCs w:val="22"/>
                <w:lang w:val="en-GB"/>
              </w:rPr>
              <w:t>0.767</w:t>
            </w:r>
          </w:p>
        </w:tc>
        <w:tc>
          <w:tcPr>
            <w:tcW w:w="548" w:type="pct"/>
            <w:noWrap/>
            <w:vAlign w:val="bottom"/>
            <w:hideMark/>
          </w:tcPr>
          <w:p w14:paraId="2214F9F8" w14:textId="39045137" w:rsidR="009738B1" w:rsidRPr="008669C3" w:rsidRDefault="009738B1" w:rsidP="009738B1">
            <w:pPr>
              <w:jc w:val="center"/>
              <w:rPr>
                <w:sz w:val="22"/>
                <w:szCs w:val="22"/>
              </w:rPr>
            </w:pPr>
            <w:r w:rsidRPr="008669C3">
              <w:rPr>
                <w:sz w:val="22"/>
                <w:szCs w:val="22"/>
                <w:lang w:val="en-GB"/>
              </w:rPr>
              <w:t>0.844</w:t>
            </w:r>
          </w:p>
        </w:tc>
        <w:tc>
          <w:tcPr>
            <w:tcW w:w="129" w:type="pct"/>
            <w:noWrap/>
            <w:hideMark/>
          </w:tcPr>
          <w:p w14:paraId="19C66DB2" w14:textId="77777777" w:rsidR="009738B1" w:rsidRPr="008669C3" w:rsidRDefault="009738B1" w:rsidP="009738B1">
            <w:pPr>
              <w:jc w:val="center"/>
              <w:rPr>
                <w:sz w:val="22"/>
                <w:szCs w:val="22"/>
              </w:rPr>
            </w:pPr>
          </w:p>
        </w:tc>
        <w:tc>
          <w:tcPr>
            <w:tcW w:w="495" w:type="pct"/>
            <w:noWrap/>
            <w:vAlign w:val="bottom"/>
            <w:hideMark/>
          </w:tcPr>
          <w:p w14:paraId="6C6B0DE4" w14:textId="446C14F0" w:rsidR="009738B1" w:rsidRPr="008669C3" w:rsidRDefault="009738B1" w:rsidP="009738B1">
            <w:pPr>
              <w:jc w:val="center"/>
              <w:rPr>
                <w:sz w:val="22"/>
                <w:szCs w:val="22"/>
              </w:rPr>
            </w:pPr>
            <w:r w:rsidRPr="008669C3">
              <w:rPr>
                <w:sz w:val="22"/>
                <w:szCs w:val="22"/>
                <w:lang w:val="en-GB"/>
              </w:rPr>
              <w:t>0.657</w:t>
            </w:r>
          </w:p>
        </w:tc>
        <w:tc>
          <w:tcPr>
            <w:tcW w:w="495" w:type="pct"/>
            <w:noWrap/>
            <w:vAlign w:val="bottom"/>
            <w:hideMark/>
          </w:tcPr>
          <w:p w14:paraId="6200E7ED" w14:textId="29F9A485" w:rsidR="009738B1" w:rsidRPr="008669C3" w:rsidRDefault="009738B1" w:rsidP="009738B1">
            <w:pPr>
              <w:jc w:val="center"/>
              <w:rPr>
                <w:sz w:val="22"/>
                <w:szCs w:val="22"/>
              </w:rPr>
            </w:pPr>
            <w:r w:rsidRPr="008669C3">
              <w:rPr>
                <w:sz w:val="22"/>
                <w:szCs w:val="22"/>
                <w:lang w:val="en-GB"/>
              </w:rPr>
              <w:t>0.736</w:t>
            </w:r>
          </w:p>
        </w:tc>
        <w:tc>
          <w:tcPr>
            <w:tcW w:w="130" w:type="pct"/>
            <w:noWrap/>
            <w:hideMark/>
          </w:tcPr>
          <w:p w14:paraId="57CE51ED" w14:textId="77777777" w:rsidR="009738B1" w:rsidRPr="008669C3" w:rsidRDefault="009738B1" w:rsidP="009738B1">
            <w:pPr>
              <w:jc w:val="center"/>
              <w:rPr>
                <w:sz w:val="22"/>
                <w:szCs w:val="22"/>
              </w:rPr>
            </w:pPr>
          </w:p>
        </w:tc>
        <w:tc>
          <w:tcPr>
            <w:tcW w:w="548" w:type="pct"/>
            <w:noWrap/>
            <w:vAlign w:val="bottom"/>
            <w:hideMark/>
          </w:tcPr>
          <w:p w14:paraId="2129E158" w14:textId="2BE34541" w:rsidR="009738B1" w:rsidRPr="008669C3" w:rsidRDefault="009738B1" w:rsidP="009738B1">
            <w:pPr>
              <w:jc w:val="center"/>
              <w:rPr>
                <w:sz w:val="22"/>
                <w:szCs w:val="22"/>
              </w:rPr>
            </w:pPr>
            <w:r w:rsidRPr="008669C3">
              <w:rPr>
                <w:sz w:val="22"/>
                <w:szCs w:val="22"/>
                <w:lang w:val="en-GB"/>
              </w:rPr>
              <w:t>0.110</w:t>
            </w:r>
          </w:p>
        </w:tc>
        <w:tc>
          <w:tcPr>
            <w:tcW w:w="260" w:type="pct"/>
            <w:noWrap/>
            <w:vAlign w:val="bottom"/>
            <w:hideMark/>
          </w:tcPr>
          <w:p w14:paraId="5EB6A430" w14:textId="72DC889D" w:rsidR="009738B1" w:rsidRPr="008669C3" w:rsidRDefault="009738B1" w:rsidP="009738B1">
            <w:pPr>
              <w:jc w:val="center"/>
              <w:rPr>
                <w:sz w:val="20"/>
                <w:szCs w:val="22"/>
              </w:rPr>
            </w:pPr>
            <w:r w:rsidRPr="008669C3">
              <w:rPr>
                <w:sz w:val="20"/>
                <w:szCs w:val="22"/>
                <w:lang w:val="en-GB"/>
              </w:rPr>
              <w:t>***</w:t>
            </w:r>
          </w:p>
        </w:tc>
        <w:tc>
          <w:tcPr>
            <w:tcW w:w="548" w:type="pct"/>
            <w:noWrap/>
            <w:vAlign w:val="bottom"/>
            <w:hideMark/>
          </w:tcPr>
          <w:p w14:paraId="1FC5C09F" w14:textId="57284028" w:rsidR="009738B1" w:rsidRPr="008669C3" w:rsidRDefault="009738B1" w:rsidP="009738B1">
            <w:pPr>
              <w:jc w:val="center"/>
              <w:rPr>
                <w:sz w:val="22"/>
                <w:szCs w:val="22"/>
              </w:rPr>
            </w:pPr>
            <w:r w:rsidRPr="008669C3">
              <w:rPr>
                <w:sz w:val="22"/>
                <w:szCs w:val="22"/>
                <w:lang w:val="en-GB"/>
              </w:rPr>
              <w:t>0.108</w:t>
            </w:r>
          </w:p>
        </w:tc>
        <w:tc>
          <w:tcPr>
            <w:tcW w:w="290" w:type="pct"/>
            <w:noWrap/>
            <w:vAlign w:val="bottom"/>
            <w:hideMark/>
          </w:tcPr>
          <w:p w14:paraId="007B5EEB" w14:textId="2575C850" w:rsidR="009738B1" w:rsidRPr="008669C3" w:rsidRDefault="009738B1" w:rsidP="009738B1">
            <w:pPr>
              <w:jc w:val="center"/>
              <w:rPr>
                <w:sz w:val="20"/>
                <w:szCs w:val="22"/>
              </w:rPr>
            </w:pPr>
            <w:r w:rsidRPr="008669C3">
              <w:rPr>
                <w:sz w:val="20"/>
                <w:szCs w:val="22"/>
                <w:lang w:val="en-GB"/>
              </w:rPr>
              <w:t>***</w:t>
            </w:r>
          </w:p>
        </w:tc>
      </w:tr>
      <w:tr w:rsidR="009738B1" w:rsidRPr="008669C3" w14:paraId="010C84C7" w14:textId="77777777" w:rsidTr="00472AD9">
        <w:trPr>
          <w:trHeight w:val="20"/>
          <w:jc w:val="center"/>
        </w:trPr>
        <w:tc>
          <w:tcPr>
            <w:tcW w:w="1009" w:type="pct"/>
            <w:noWrap/>
            <w:hideMark/>
          </w:tcPr>
          <w:p w14:paraId="30A53A38" w14:textId="77777777" w:rsidR="009738B1" w:rsidRPr="008669C3" w:rsidRDefault="009738B1" w:rsidP="009738B1">
            <w:pPr>
              <w:jc w:val="both"/>
              <w:rPr>
                <w:iCs/>
                <w:sz w:val="22"/>
                <w:szCs w:val="22"/>
              </w:rPr>
            </w:pPr>
            <w:r w:rsidRPr="008669C3">
              <w:rPr>
                <w:iCs/>
                <w:sz w:val="22"/>
                <w:szCs w:val="22"/>
              </w:rPr>
              <w:t>Board independence</w:t>
            </w:r>
          </w:p>
        </w:tc>
        <w:tc>
          <w:tcPr>
            <w:tcW w:w="548" w:type="pct"/>
            <w:noWrap/>
            <w:vAlign w:val="bottom"/>
            <w:hideMark/>
          </w:tcPr>
          <w:p w14:paraId="4DB7535E" w14:textId="774AB421" w:rsidR="009738B1" w:rsidRPr="008669C3" w:rsidRDefault="009738B1" w:rsidP="009738B1">
            <w:pPr>
              <w:jc w:val="center"/>
              <w:rPr>
                <w:sz w:val="22"/>
                <w:szCs w:val="22"/>
              </w:rPr>
            </w:pPr>
            <w:r w:rsidRPr="008669C3">
              <w:rPr>
                <w:sz w:val="22"/>
                <w:szCs w:val="22"/>
                <w:lang w:val="en-GB"/>
              </w:rPr>
              <w:t>0.802</w:t>
            </w:r>
          </w:p>
        </w:tc>
        <w:tc>
          <w:tcPr>
            <w:tcW w:w="548" w:type="pct"/>
            <w:noWrap/>
            <w:vAlign w:val="bottom"/>
            <w:hideMark/>
          </w:tcPr>
          <w:p w14:paraId="0D061741" w14:textId="361372EE" w:rsidR="009738B1" w:rsidRPr="008669C3" w:rsidRDefault="009738B1" w:rsidP="009738B1">
            <w:pPr>
              <w:jc w:val="center"/>
              <w:rPr>
                <w:sz w:val="22"/>
                <w:szCs w:val="22"/>
              </w:rPr>
            </w:pPr>
            <w:r w:rsidRPr="008669C3">
              <w:rPr>
                <w:sz w:val="22"/>
                <w:szCs w:val="22"/>
                <w:lang w:val="en-GB"/>
              </w:rPr>
              <w:t>0.833</w:t>
            </w:r>
          </w:p>
        </w:tc>
        <w:tc>
          <w:tcPr>
            <w:tcW w:w="129" w:type="pct"/>
            <w:noWrap/>
            <w:hideMark/>
          </w:tcPr>
          <w:p w14:paraId="3DB6C92B" w14:textId="77777777" w:rsidR="009738B1" w:rsidRPr="008669C3" w:rsidRDefault="009738B1" w:rsidP="009738B1">
            <w:pPr>
              <w:jc w:val="center"/>
              <w:rPr>
                <w:sz w:val="22"/>
                <w:szCs w:val="22"/>
              </w:rPr>
            </w:pPr>
          </w:p>
        </w:tc>
        <w:tc>
          <w:tcPr>
            <w:tcW w:w="495" w:type="pct"/>
            <w:noWrap/>
            <w:vAlign w:val="bottom"/>
            <w:hideMark/>
          </w:tcPr>
          <w:p w14:paraId="28504513" w14:textId="6F434FEC" w:rsidR="009738B1" w:rsidRPr="008669C3" w:rsidRDefault="009738B1" w:rsidP="009738B1">
            <w:pPr>
              <w:jc w:val="center"/>
              <w:rPr>
                <w:sz w:val="22"/>
                <w:szCs w:val="22"/>
              </w:rPr>
            </w:pPr>
            <w:r w:rsidRPr="008669C3">
              <w:rPr>
                <w:sz w:val="22"/>
                <w:szCs w:val="22"/>
                <w:lang w:val="en-GB"/>
              </w:rPr>
              <w:t>0.754</w:t>
            </w:r>
          </w:p>
        </w:tc>
        <w:tc>
          <w:tcPr>
            <w:tcW w:w="495" w:type="pct"/>
            <w:noWrap/>
            <w:vAlign w:val="bottom"/>
            <w:hideMark/>
          </w:tcPr>
          <w:p w14:paraId="2A76A433" w14:textId="2677C7A0" w:rsidR="009738B1" w:rsidRPr="008669C3" w:rsidRDefault="009738B1" w:rsidP="009738B1">
            <w:pPr>
              <w:jc w:val="center"/>
              <w:rPr>
                <w:sz w:val="22"/>
                <w:szCs w:val="22"/>
              </w:rPr>
            </w:pPr>
            <w:r w:rsidRPr="008669C3">
              <w:rPr>
                <w:sz w:val="22"/>
                <w:szCs w:val="22"/>
                <w:lang w:val="en-GB"/>
              </w:rPr>
              <w:t>0.778</w:t>
            </w:r>
          </w:p>
        </w:tc>
        <w:tc>
          <w:tcPr>
            <w:tcW w:w="130" w:type="pct"/>
            <w:noWrap/>
            <w:hideMark/>
          </w:tcPr>
          <w:p w14:paraId="2485F825" w14:textId="77777777" w:rsidR="009738B1" w:rsidRPr="008669C3" w:rsidRDefault="009738B1" w:rsidP="009738B1">
            <w:pPr>
              <w:jc w:val="center"/>
              <w:rPr>
                <w:sz w:val="22"/>
                <w:szCs w:val="22"/>
              </w:rPr>
            </w:pPr>
          </w:p>
        </w:tc>
        <w:tc>
          <w:tcPr>
            <w:tcW w:w="548" w:type="pct"/>
            <w:noWrap/>
            <w:vAlign w:val="bottom"/>
            <w:hideMark/>
          </w:tcPr>
          <w:p w14:paraId="428D5F16" w14:textId="04115EFE" w:rsidR="009738B1" w:rsidRPr="008669C3" w:rsidRDefault="009738B1" w:rsidP="009738B1">
            <w:pPr>
              <w:jc w:val="center"/>
              <w:rPr>
                <w:sz w:val="22"/>
                <w:szCs w:val="22"/>
              </w:rPr>
            </w:pPr>
            <w:r w:rsidRPr="008669C3">
              <w:rPr>
                <w:sz w:val="22"/>
                <w:szCs w:val="22"/>
                <w:lang w:val="en-GB"/>
              </w:rPr>
              <w:t>0.048</w:t>
            </w:r>
          </w:p>
        </w:tc>
        <w:tc>
          <w:tcPr>
            <w:tcW w:w="260" w:type="pct"/>
            <w:noWrap/>
            <w:vAlign w:val="bottom"/>
            <w:hideMark/>
          </w:tcPr>
          <w:p w14:paraId="448598F2" w14:textId="345B4C4C" w:rsidR="009738B1" w:rsidRPr="008669C3" w:rsidRDefault="009738B1" w:rsidP="009738B1">
            <w:pPr>
              <w:jc w:val="center"/>
              <w:rPr>
                <w:sz w:val="20"/>
                <w:szCs w:val="22"/>
              </w:rPr>
            </w:pPr>
            <w:r w:rsidRPr="008669C3">
              <w:rPr>
                <w:sz w:val="20"/>
                <w:szCs w:val="22"/>
                <w:lang w:val="en-GB"/>
              </w:rPr>
              <w:t>***</w:t>
            </w:r>
          </w:p>
        </w:tc>
        <w:tc>
          <w:tcPr>
            <w:tcW w:w="548" w:type="pct"/>
            <w:noWrap/>
            <w:vAlign w:val="bottom"/>
            <w:hideMark/>
          </w:tcPr>
          <w:p w14:paraId="54496078" w14:textId="3F7AA858" w:rsidR="009738B1" w:rsidRPr="008669C3" w:rsidRDefault="009738B1" w:rsidP="009738B1">
            <w:pPr>
              <w:jc w:val="center"/>
              <w:rPr>
                <w:sz w:val="22"/>
                <w:szCs w:val="22"/>
              </w:rPr>
            </w:pPr>
            <w:r w:rsidRPr="008669C3">
              <w:rPr>
                <w:sz w:val="22"/>
                <w:szCs w:val="22"/>
                <w:lang w:val="en-GB"/>
              </w:rPr>
              <w:t>0.056</w:t>
            </w:r>
          </w:p>
        </w:tc>
        <w:tc>
          <w:tcPr>
            <w:tcW w:w="290" w:type="pct"/>
            <w:noWrap/>
            <w:vAlign w:val="bottom"/>
            <w:hideMark/>
          </w:tcPr>
          <w:p w14:paraId="1E06AC4B" w14:textId="0B368770" w:rsidR="009738B1" w:rsidRPr="008669C3" w:rsidRDefault="009738B1" w:rsidP="009738B1">
            <w:pPr>
              <w:jc w:val="center"/>
              <w:rPr>
                <w:sz w:val="20"/>
                <w:szCs w:val="22"/>
              </w:rPr>
            </w:pPr>
            <w:r w:rsidRPr="008669C3">
              <w:rPr>
                <w:sz w:val="20"/>
                <w:szCs w:val="22"/>
                <w:lang w:val="en-GB"/>
              </w:rPr>
              <w:t>***</w:t>
            </w:r>
          </w:p>
        </w:tc>
      </w:tr>
      <w:tr w:rsidR="009738B1" w:rsidRPr="008669C3" w14:paraId="7A31DCB6" w14:textId="77777777" w:rsidTr="00472AD9">
        <w:trPr>
          <w:trHeight w:val="20"/>
          <w:jc w:val="center"/>
        </w:trPr>
        <w:tc>
          <w:tcPr>
            <w:tcW w:w="1009" w:type="pct"/>
            <w:noWrap/>
            <w:hideMark/>
          </w:tcPr>
          <w:p w14:paraId="584E7D5D" w14:textId="77777777" w:rsidR="009738B1" w:rsidRPr="008669C3" w:rsidRDefault="009738B1" w:rsidP="009738B1">
            <w:pPr>
              <w:jc w:val="both"/>
              <w:rPr>
                <w:iCs/>
                <w:sz w:val="22"/>
                <w:szCs w:val="22"/>
              </w:rPr>
            </w:pPr>
            <w:r w:rsidRPr="008669C3">
              <w:rPr>
                <w:iCs/>
                <w:sz w:val="22"/>
                <w:szCs w:val="22"/>
              </w:rPr>
              <w:t>Institutional ownership</w:t>
            </w:r>
          </w:p>
        </w:tc>
        <w:tc>
          <w:tcPr>
            <w:tcW w:w="548" w:type="pct"/>
            <w:noWrap/>
            <w:vAlign w:val="bottom"/>
            <w:hideMark/>
          </w:tcPr>
          <w:p w14:paraId="562C4608" w14:textId="0B940A9C" w:rsidR="009738B1" w:rsidRPr="008669C3" w:rsidRDefault="009738B1" w:rsidP="009738B1">
            <w:pPr>
              <w:jc w:val="center"/>
              <w:rPr>
                <w:sz w:val="22"/>
                <w:szCs w:val="22"/>
              </w:rPr>
            </w:pPr>
            <w:r w:rsidRPr="008669C3">
              <w:rPr>
                <w:sz w:val="22"/>
                <w:szCs w:val="22"/>
                <w:lang w:val="en-GB"/>
              </w:rPr>
              <w:t>0.738</w:t>
            </w:r>
          </w:p>
        </w:tc>
        <w:tc>
          <w:tcPr>
            <w:tcW w:w="548" w:type="pct"/>
            <w:noWrap/>
            <w:vAlign w:val="bottom"/>
            <w:hideMark/>
          </w:tcPr>
          <w:p w14:paraId="7B877FC3" w14:textId="292893F9" w:rsidR="009738B1" w:rsidRPr="008669C3" w:rsidRDefault="009738B1" w:rsidP="009738B1">
            <w:pPr>
              <w:jc w:val="center"/>
              <w:rPr>
                <w:sz w:val="22"/>
                <w:szCs w:val="22"/>
              </w:rPr>
            </w:pPr>
            <w:r w:rsidRPr="008669C3">
              <w:rPr>
                <w:sz w:val="22"/>
                <w:szCs w:val="22"/>
                <w:lang w:val="en-GB"/>
              </w:rPr>
              <w:t>0.760</w:t>
            </w:r>
          </w:p>
        </w:tc>
        <w:tc>
          <w:tcPr>
            <w:tcW w:w="129" w:type="pct"/>
            <w:noWrap/>
            <w:hideMark/>
          </w:tcPr>
          <w:p w14:paraId="183D5A66" w14:textId="77777777" w:rsidR="009738B1" w:rsidRPr="008669C3" w:rsidRDefault="009738B1" w:rsidP="009738B1">
            <w:pPr>
              <w:jc w:val="center"/>
              <w:rPr>
                <w:sz w:val="22"/>
                <w:szCs w:val="22"/>
              </w:rPr>
            </w:pPr>
          </w:p>
        </w:tc>
        <w:tc>
          <w:tcPr>
            <w:tcW w:w="495" w:type="pct"/>
            <w:noWrap/>
            <w:vAlign w:val="bottom"/>
            <w:hideMark/>
          </w:tcPr>
          <w:p w14:paraId="04C1A698" w14:textId="06EC7D29" w:rsidR="009738B1" w:rsidRPr="008669C3" w:rsidRDefault="009738B1" w:rsidP="009738B1">
            <w:pPr>
              <w:jc w:val="center"/>
              <w:rPr>
                <w:sz w:val="22"/>
                <w:szCs w:val="22"/>
              </w:rPr>
            </w:pPr>
            <w:r w:rsidRPr="008669C3">
              <w:rPr>
                <w:sz w:val="22"/>
                <w:szCs w:val="22"/>
                <w:lang w:val="en-GB"/>
              </w:rPr>
              <w:t>0.779</w:t>
            </w:r>
          </w:p>
        </w:tc>
        <w:tc>
          <w:tcPr>
            <w:tcW w:w="495" w:type="pct"/>
            <w:noWrap/>
            <w:vAlign w:val="bottom"/>
            <w:hideMark/>
          </w:tcPr>
          <w:p w14:paraId="1420B6CA" w14:textId="08200982" w:rsidR="009738B1" w:rsidRPr="008669C3" w:rsidRDefault="009738B1" w:rsidP="009738B1">
            <w:pPr>
              <w:jc w:val="center"/>
              <w:rPr>
                <w:sz w:val="22"/>
                <w:szCs w:val="22"/>
              </w:rPr>
            </w:pPr>
            <w:r w:rsidRPr="008669C3">
              <w:rPr>
                <w:sz w:val="22"/>
                <w:szCs w:val="22"/>
                <w:lang w:val="en-GB"/>
              </w:rPr>
              <w:t>0.795</w:t>
            </w:r>
          </w:p>
        </w:tc>
        <w:tc>
          <w:tcPr>
            <w:tcW w:w="130" w:type="pct"/>
            <w:noWrap/>
            <w:hideMark/>
          </w:tcPr>
          <w:p w14:paraId="4611253F" w14:textId="77777777" w:rsidR="009738B1" w:rsidRPr="008669C3" w:rsidRDefault="009738B1" w:rsidP="009738B1">
            <w:pPr>
              <w:jc w:val="center"/>
              <w:rPr>
                <w:sz w:val="22"/>
                <w:szCs w:val="22"/>
              </w:rPr>
            </w:pPr>
          </w:p>
        </w:tc>
        <w:tc>
          <w:tcPr>
            <w:tcW w:w="548" w:type="pct"/>
            <w:noWrap/>
            <w:vAlign w:val="bottom"/>
            <w:hideMark/>
          </w:tcPr>
          <w:p w14:paraId="1ACEAEC4" w14:textId="2CC5EEB7" w:rsidR="009738B1" w:rsidRPr="008669C3" w:rsidRDefault="009738B1" w:rsidP="009738B1">
            <w:pPr>
              <w:jc w:val="center"/>
              <w:rPr>
                <w:sz w:val="22"/>
                <w:szCs w:val="22"/>
              </w:rPr>
            </w:pPr>
            <w:r w:rsidRPr="008669C3">
              <w:rPr>
                <w:sz w:val="22"/>
                <w:szCs w:val="22"/>
                <w:lang w:val="en-GB"/>
              </w:rPr>
              <w:t>-0.041</w:t>
            </w:r>
          </w:p>
        </w:tc>
        <w:tc>
          <w:tcPr>
            <w:tcW w:w="260" w:type="pct"/>
            <w:noWrap/>
            <w:vAlign w:val="bottom"/>
            <w:hideMark/>
          </w:tcPr>
          <w:p w14:paraId="0613569F" w14:textId="20B724E2" w:rsidR="009738B1" w:rsidRPr="008669C3" w:rsidRDefault="009738B1" w:rsidP="009738B1">
            <w:pPr>
              <w:jc w:val="center"/>
              <w:rPr>
                <w:sz w:val="20"/>
                <w:szCs w:val="22"/>
              </w:rPr>
            </w:pPr>
            <w:r w:rsidRPr="008669C3">
              <w:rPr>
                <w:sz w:val="20"/>
                <w:szCs w:val="22"/>
                <w:lang w:val="en-GB"/>
              </w:rPr>
              <w:t>***</w:t>
            </w:r>
          </w:p>
        </w:tc>
        <w:tc>
          <w:tcPr>
            <w:tcW w:w="548" w:type="pct"/>
            <w:noWrap/>
            <w:vAlign w:val="bottom"/>
            <w:hideMark/>
          </w:tcPr>
          <w:p w14:paraId="2EEEB4D4" w14:textId="2AFD965F" w:rsidR="009738B1" w:rsidRPr="008669C3" w:rsidRDefault="009738B1" w:rsidP="009738B1">
            <w:pPr>
              <w:jc w:val="center"/>
              <w:rPr>
                <w:sz w:val="22"/>
                <w:szCs w:val="22"/>
              </w:rPr>
            </w:pPr>
            <w:r w:rsidRPr="008669C3">
              <w:rPr>
                <w:sz w:val="22"/>
                <w:szCs w:val="22"/>
                <w:lang w:val="en-GB"/>
              </w:rPr>
              <w:t>-0.035</w:t>
            </w:r>
          </w:p>
        </w:tc>
        <w:tc>
          <w:tcPr>
            <w:tcW w:w="290" w:type="pct"/>
            <w:noWrap/>
            <w:vAlign w:val="bottom"/>
            <w:hideMark/>
          </w:tcPr>
          <w:p w14:paraId="169C0328" w14:textId="5AA6C288" w:rsidR="009738B1" w:rsidRPr="008669C3" w:rsidRDefault="009738B1" w:rsidP="009738B1">
            <w:pPr>
              <w:jc w:val="center"/>
              <w:rPr>
                <w:sz w:val="20"/>
                <w:szCs w:val="22"/>
              </w:rPr>
            </w:pPr>
            <w:r w:rsidRPr="008669C3">
              <w:rPr>
                <w:sz w:val="20"/>
                <w:szCs w:val="22"/>
                <w:lang w:val="en-GB"/>
              </w:rPr>
              <w:t>***</w:t>
            </w:r>
          </w:p>
        </w:tc>
      </w:tr>
      <w:tr w:rsidR="009738B1" w:rsidRPr="008669C3" w14:paraId="506CEF17" w14:textId="77777777" w:rsidTr="00472AD9">
        <w:trPr>
          <w:trHeight w:val="20"/>
          <w:jc w:val="center"/>
        </w:trPr>
        <w:tc>
          <w:tcPr>
            <w:tcW w:w="1009" w:type="pct"/>
            <w:tcBorders>
              <w:bottom w:val="single" w:sz="4" w:space="0" w:color="auto"/>
            </w:tcBorders>
            <w:noWrap/>
            <w:hideMark/>
          </w:tcPr>
          <w:p w14:paraId="65ED2162" w14:textId="77777777" w:rsidR="009738B1" w:rsidRPr="008669C3" w:rsidRDefault="009738B1" w:rsidP="009738B1">
            <w:pPr>
              <w:jc w:val="both"/>
              <w:rPr>
                <w:iCs/>
                <w:sz w:val="22"/>
                <w:szCs w:val="22"/>
              </w:rPr>
            </w:pPr>
            <w:r w:rsidRPr="008669C3">
              <w:rPr>
                <w:iCs/>
                <w:sz w:val="22"/>
                <w:szCs w:val="22"/>
              </w:rPr>
              <w:t>E index</w:t>
            </w:r>
          </w:p>
        </w:tc>
        <w:tc>
          <w:tcPr>
            <w:tcW w:w="548" w:type="pct"/>
            <w:tcBorders>
              <w:bottom w:val="single" w:sz="4" w:space="0" w:color="auto"/>
            </w:tcBorders>
            <w:noWrap/>
            <w:vAlign w:val="bottom"/>
            <w:hideMark/>
          </w:tcPr>
          <w:p w14:paraId="5526A2C3" w14:textId="5D32AD58" w:rsidR="009738B1" w:rsidRPr="008669C3" w:rsidRDefault="009738B1" w:rsidP="009738B1">
            <w:pPr>
              <w:jc w:val="center"/>
              <w:rPr>
                <w:sz w:val="22"/>
                <w:szCs w:val="22"/>
              </w:rPr>
            </w:pPr>
            <w:r w:rsidRPr="008669C3">
              <w:rPr>
                <w:sz w:val="22"/>
                <w:szCs w:val="22"/>
                <w:lang w:val="en-GB"/>
              </w:rPr>
              <w:t>2.477</w:t>
            </w:r>
          </w:p>
        </w:tc>
        <w:tc>
          <w:tcPr>
            <w:tcW w:w="548" w:type="pct"/>
            <w:tcBorders>
              <w:bottom w:val="single" w:sz="4" w:space="0" w:color="auto"/>
            </w:tcBorders>
            <w:noWrap/>
            <w:vAlign w:val="bottom"/>
            <w:hideMark/>
          </w:tcPr>
          <w:p w14:paraId="463EFDD6" w14:textId="7ED81E8F" w:rsidR="009738B1" w:rsidRPr="008669C3" w:rsidRDefault="009738B1" w:rsidP="009738B1">
            <w:pPr>
              <w:jc w:val="center"/>
              <w:rPr>
                <w:sz w:val="22"/>
                <w:szCs w:val="22"/>
              </w:rPr>
            </w:pPr>
            <w:r w:rsidRPr="008669C3">
              <w:rPr>
                <w:sz w:val="22"/>
                <w:szCs w:val="22"/>
                <w:lang w:val="en-GB"/>
              </w:rPr>
              <w:t>2.000</w:t>
            </w:r>
          </w:p>
        </w:tc>
        <w:tc>
          <w:tcPr>
            <w:tcW w:w="129" w:type="pct"/>
            <w:tcBorders>
              <w:bottom w:val="single" w:sz="4" w:space="0" w:color="auto"/>
            </w:tcBorders>
            <w:noWrap/>
            <w:hideMark/>
          </w:tcPr>
          <w:p w14:paraId="799CE344" w14:textId="77777777" w:rsidR="009738B1" w:rsidRPr="008669C3" w:rsidRDefault="009738B1" w:rsidP="009738B1">
            <w:pPr>
              <w:jc w:val="center"/>
              <w:rPr>
                <w:sz w:val="22"/>
                <w:szCs w:val="22"/>
              </w:rPr>
            </w:pPr>
          </w:p>
        </w:tc>
        <w:tc>
          <w:tcPr>
            <w:tcW w:w="495" w:type="pct"/>
            <w:tcBorders>
              <w:bottom w:val="single" w:sz="4" w:space="0" w:color="auto"/>
            </w:tcBorders>
            <w:noWrap/>
            <w:vAlign w:val="bottom"/>
            <w:hideMark/>
          </w:tcPr>
          <w:p w14:paraId="12C79075" w14:textId="791FCD17" w:rsidR="009738B1" w:rsidRPr="008669C3" w:rsidRDefault="009738B1" w:rsidP="009738B1">
            <w:pPr>
              <w:jc w:val="center"/>
              <w:rPr>
                <w:sz w:val="22"/>
                <w:szCs w:val="22"/>
              </w:rPr>
            </w:pPr>
            <w:r w:rsidRPr="008669C3">
              <w:rPr>
                <w:sz w:val="22"/>
                <w:szCs w:val="22"/>
                <w:lang w:val="en-GB"/>
              </w:rPr>
              <w:t>2.577</w:t>
            </w:r>
          </w:p>
        </w:tc>
        <w:tc>
          <w:tcPr>
            <w:tcW w:w="495" w:type="pct"/>
            <w:tcBorders>
              <w:bottom w:val="single" w:sz="4" w:space="0" w:color="auto"/>
            </w:tcBorders>
            <w:noWrap/>
            <w:vAlign w:val="bottom"/>
            <w:hideMark/>
          </w:tcPr>
          <w:p w14:paraId="0CFD8996" w14:textId="651FA3BC" w:rsidR="009738B1" w:rsidRPr="008669C3" w:rsidRDefault="009738B1" w:rsidP="009738B1">
            <w:pPr>
              <w:jc w:val="center"/>
              <w:rPr>
                <w:sz w:val="22"/>
                <w:szCs w:val="22"/>
              </w:rPr>
            </w:pPr>
            <w:r w:rsidRPr="008669C3">
              <w:rPr>
                <w:sz w:val="22"/>
                <w:szCs w:val="22"/>
                <w:lang w:val="en-GB"/>
              </w:rPr>
              <w:t>3.000</w:t>
            </w:r>
          </w:p>
        </w:tc>
        <w:tc>
          <w:tcPr>
            <w:tcW w:w="130" w:type="pct"/>
            <w:tcBorders>
              <w:bottom w:val="single" w:sz="4" w:space="0" w:color="auto"/>
            </w:tcBorders>
            <w:noWrap/>
            <w:hideMark/>
          </w:tcPr>
          <w:p w14:paraId="7593F1FE" w14:textId="77777777" w:rsidR="009738B1" w:rsidRPr="008669C3" w:rsidRDefault="009738B1" w:rsidP="009738B1">
            <w:pPr>
              <w:jc w:val="center"/>
              <w:rPr>
                <w:sz w:val="22"/>
                <w:szCs w:val="22"/>
              </w:rPr>
            </w:pPr>
          </w:p>
        </w:tc>
        <w:tc>
          <w:tcPr>
            <w:tcW w:w="548" w:type="pct"/>
            <w:tcBorders>
              <w:bottom w:val="single" w:sz="4" w:space="0" w:color="auto"/>
            </w:tcBorders>
            <w:noWrap/>
            <w:vAlign w:val="bottom"/>
            <w:hideMark/>
          </w:tcPr>
          <w:p w14:paraId="47B78772" w14:textId="4AF201D8" w:rsidR="009738B1" w:rsidRPr="008669C3" w:rsidRDefault="009738B1" w:rsidP="009738B1">
            <w:pPr>
              <w:jc w:val="center"/>
              <w:rPr>
                <w:sz w:val="22"/>
                <w:szCs w:val="22"/>
              </w:rPr>
            </w:pPr>
            <w:r w:rsidRPr="008669C3">
              <w:rPr>
                <w:sz w:val="22"/>
                <w:szCs w:val="22"/>
                <w:lang w:val="en-GB"/>
              </w:rPr>
              <w:t>-0.101</w:t>
            </w:r>
          </w:p>
        </w:tc>
        <w:tc>
          <w:tcPr>
            <w:tcW w:w="260" w:type="pct"/>
            <w:tcBorders>
              <w:bottom w:val="single" w:sz="4" w:space="0" w:color="auto"/>
            </w:tcBorders>
            <w:noWrap/>
            <w:vAlign w:val="bottom"/>
            <w:hideMark/>
          </w:tcPr>
          <w:p w14:paraId="66D40916" w14:textId="4A81C534" w:rsidR="009738B1" w:rsidRPr="008669C3" w:rsidRDefault="009738B1" w:rsidP="009738B1">
            <w:pPr>
              <w:jc w:val="center"/>
              <w:rPr>
                <w:sz w:val="20"/>
                <w:szCs w:val="22"/>
              </w:rPr>
            </w:pPr>
            <w:r w:rsidRPr="008669C3">
              <w:rPr>
                <w:sz w:val="20"/>
                <w:szCs w:val="22"/>
                <w:lang w:val="en-GB"/>
              </w:rPr>
              <w:t>**</w:t>
            </w:r>
          </w:p>
        </w:tc>
        <w:tc>
          <w:tcPr>
            <w:tcW w:w="548" w:type="pct"/>
            <w:tcBorders>
              <w:bottom w:val="single" w:sz="4" w:space="0" w:color="auto"/>
            </w:tcBorders>
            <w:noWrap/>
            <w:vAlign w:val="bottom"/>
            <w:hideMark/>
          </w:tcPr>
          <w:p w14:paraId="6F6D87AD" w14:textId="4E12790D" w:rsidR="009738B1" w:rsidRPr="008669C3" w:rsidRDefault="009738B1" w:rsidP="009738B1">
            <w:pPr>
              <w:jc w:val="center"/>
              <w:rPr>
                <w:sz w:val="22"/>
                <w:szCs w:val="22"/>
              </w:rPr>
            </w:pPr>
            <w:r w:rsidRPr="008669C3">
              <w:rPr>
                <w:sz w:val="22"/>
                <w:szCs w:val="22"/>
                <w:lang w:val="en-GB"/>
              </w:rPr>
              <w:t>-1.000</w:t>
            </w:r>
          </w:p>
        </w:tc>
        <w:tc>
          <w:tcPr>
            <w:tcW w:w="290" w:type="pct"/>
            <w:tcBorders>
              <w:bottom w:val="single" w:sz="4" w:space="0" w:color="auto"/>
            </w:tcBorders>
            <w:noWrap/>
            <w:vAlign w:val="bottom"/>
            <w:hideMark/>
          </w:tcPr>
          <w:p w14:paraId="57FAED42" w14:textId="35BAB92C" w:rsidR="009738B1" w:rsidRPr="008669C3" w:rsidRDefault="009738B1" w:rsidP="009738B1">
            <w:pPr>
              <w:jc w:val="center"/>
              <w:rPr>
                <w:sz w:val="20"/>
                <w:szCs w:val="22"/>
              </w:rPr>
            </w:pPr>
            <w:r w:rsidRPr="008669C3">
              <w:rPr>
                <w:sz w:val="20"/>
                <w:szCs w:val="22"/>
                <w:lang w:val="en-GB"/>
              </w:rPr>
              <w:t>***</w:t>
            </w:r>
          </w:p>
        </w:tc>
      </w:tr>
    </w:tbl>
    <w:p w14:paraId="7E1D37B1" w14:textId="77777777" w:rsidR="001900E3" w:rsidRPr="008669C3" w:rsidRDefault="001900E3" w:rsidP="001900E3">
      <w:pPr>
        <w:jc w:val="both"/>
        <w:rPr>
          <w:color w:val="FF0000"/>
          <w:sz w:val="20"/>
          <w:szCs w:val="20"/>
        </w:rPr>
      </w:pPr>
    </w:p>
    <w:p w14:paraId="0AD4C4C4" w14:textId="77777777" w:rsidR="0002487C" w:rsidRPr="008669C3" w:rsidRDefault="0002487C" w:rsidP="001900E3">
      <w:pPr>
        <w:jc w:val="both"/>
        <w:rPr>
          <w:color w:val="FF0000"/>
          <w:sz w:val="20"/>
          <w:szCs w:val="20"/>
        </w:rPr>
      </w:pPr>
    </w:p>
    <w:p w14:paraId="02F65156" w14:textId="77777777" w:rsidR="00A818A5" w:rsidRPr="008669C3" w:rsidRDefault="00A818A5" w:rsidP="001900E3">
      <w:pPr>
        <w:jc w:val="both"/>
        <w:rPr>
          <w:color w:val="FF0000"/>
          <w:sz w:val="20"/>
          <w:szCs w:val="20"/>
        </w:rPr>
      </w:pPr>
    </w:p>
    <w:p w14:paraId="1250DB84" w14:textId="77777777" w:rsidR="00690F59" w:rsidRPr="008669C3" w:rsidRDefault="00690F59" w:rsidP="001900E3">
      <w:pPr>
        <w:jc w:val="both"/>
        <w:rPr>
          <w:color w:val="FF0000"/>
          <w:sz w:val="20"/>
          <w:szCs w:val="20"/>
        </w:rPr>
      </w:pPr>
    </w:p>
    <w:p w14:paraId="43020A94" w14:textId="77777777" w:rsidR="00690F59" w:rsidRPr="008669C3" w:rsidRDefault="00690F59" w:rsidP="001900E3">
      <w:pPr>
        <w:jc w:val="both"/>
        <w:rPr>
          <w:color w:val="FF0000"/>
          <w:sz w:val="20"/>
          <w:szCs w:val="20"/>
        </w:rPr>
      </w:pPr>
    </w:p>
    <w:p w14:paraId="405CAF60" w14:textId="77777777" w:rsidR="00690F59" w:rsidRPr="008669C3" w:rsidRDefault="00690F59" w:rsidP="001900E3">
      <w:pPr>
        <w:jc w:val="both"/>
        <w:rPr>
          <w:color w:val="FF0000"/>
          <w:sz w:val="20"/>
          <w:szCs w:val="20"/>
        </w:rPr>
      </w:pPr>
    </w:p>
    <w:p w14:paraId="75941D13" w14:textId="77777777" w:rsidR="004770EC" w:rsidRPr="008669C3" w:rsidRDefault="004770EC" w:rsidP="007C7B8B">
      <w:pPr>
        <w:jc w:val="center"/>
        <w:rPr>
          <w:szCs w:val="20"/>
        </w:rPr>
      </w:pPr>
    </w:p>
    <w:p w14:paraId="4E2C5571" w14:textId="77777777" w:rsidR="004770EC" w:rsidRPr="008669C3" w:rsidRDefault="004770EC" w:rsidP="007C7B8B">
      <w:pPr>
        <w:jc w:val="center"/>
        <w:rPr>
          <w:szCs w:val="20"/>
        </w:rPr>
      </w:pPr>
    </w:p>
    <w:p w14:paraId="15D6AD7D" w14:textId="77777777" w:rsidR="004770EC" w:rsidRPr="008669C3" w:rsidRDefault="004770EC" w:rsidP="007C7B8B">
      <w:pPr>
        <w:jc w:val="center"/>
        <w:rPr>
          <w:szCs w:val="20"/>
        </w:rPr>
      </w:pPr>
    </w:p>
    <w:p w14:paraId="64B73D9F" w14:textId="77777777" w:rsidR="007C7B8B" w:rsidRPr="008669C3" w:rsidRDefault="007C7B8B" w:rsidP="007C7B8B">
      <w:pPr>
        <w:jc w:val="center"/>
        <w:rPr>
          <w:b/>
          <w:szCs w:val="20"/>
        </w:rPr>
      </w:pPr>
      <w:r w:rsidRPr="008669C3">
        <w:rPr>
          <w:b/>
          <w:szCs w:val="20"/>
        </w:rPr>
        <w:t>Table 3</w:t>
      </w:r>
    </w:p>
    <w:p w14:paraId="64C3D879" w14:textId="48548062" w:rsidR="007C7B8B" w:rsidRPr="008669C3" w:rsidRDefault="007C7B8B" w:rsidP="007C7B8B">
      <w:pPr>
        <w:jc w:val="center"/>
      </w:pPr>
      <w:r w:rsidRPr="008669C3">
        <w:t>Changes in vega and firm leverage around CDS introduction</w:t>
      </w:r>
    </w:p>
    <w:p w14:paraId="3EC0C706" w14:textId="77777777" w:rsidR="00690F59" w:rsidRPr="008669C3" w:rsidRDefault="00690F59" w:rsidP="001900E3">
      <w:pPr>
        <w:jc w:val="both"/>
        <w:rPr>
          <w:color w:val="FF0000"/>
          <w:sz w:val="20"/>
          <w:szCs w:val="20"/>
        </w:rPr>
      </w:pPr>
    </w:p>
    <w:p w14:paraId="3E9AF0FD" w14:textId="77777777" w:rsidR="00A818A5" w:rsidRPr="008669C3" w:rsidRDefault="00A818A5" w:rsidP="001900E3">
      <w:pPr>
        <w:jc w:val="both"/>
        <w:rPr>
          <w:color w:val="FF0000"/>
          <w:sz w:val="20"/>
          <w:szCs w:val="20"/>
        </w:rPr>
      </w:pPr>
    </w:p>
    <w:p w14:paraId="64C766E2" w14:textId="374A2FD7" w:rsidR="00054523" w:rsidRPr="008669C3" w:rsidRDefault="004770EC" w:rsidP="001900E3">
      <w:pPr>
        <w:jc w:val="both"/>
        <w:rPr>
          <w:color w:val="FF0000"/>
          <w:sz w:val="20"/>
          <w:szCs w:val="20"/>
        </w:rPr>
      </w:pPr>
      <w:r w:rsidRPr="008669C3">
        <w:rPr>
          <w:sz w:val="20"/>
          <w:szCs w:val="20"/>
        </w:rPr>
        <w:t xml:space="preserve">This table presents univariate analysis of changes in vega and firm leverage before and after CDS introduction (year </w:t>
      </w:r>
      <w:r w:rsidRPr="008669C3">
        <w:rPr>
          <w:i/>
          <w:sz w:val="20"/>
          <w:szCs w:val="20"/>
        </w:rPr>
        <w:t>t</w:t>
      </w:r>
      <w:r w:rsidR="00910EEA" w:rsidRPr="008669C3">
        <w:rPr>
          <w:i/>
          <w:sz w:val="20"/>
          <w:szCs w:val="20"/>
        </w:rPr>
        <w:t xml:space="preserve"> </w:t>
      </w:r>
      <w:r w:rsidRPr="008669C3">
        <w:rPr>
          <w:sz w:val="20"/>
          <w:szCs w:val="20"/>
        </w:rPr>
        <w:t>-</w:t>
      </w:r>
      <w:r w:rsidR="00910EEA" w:rsidRPr="008669C3">
        <w:rPr>
          <w:sz w:val="20"/>
          <w:szCs w:val="20"/>
        </w:rPr>
        <w:t xml:space="preserve"> </w:t>
      </w:r>
      <w:r w:rsidRPr="008669C3">
        <w:rPr>
          <w:sz w:val="20"/>
          <w:szCs w:val="20"/>
        </w:rPr>
        <w:t>1</w:t>
      </w:r>
      <w:r w:rsidRPr="008669C3">
        <w:rPr>
          <w:i/>
          <w:sz w:val="20"/>
          <w:szCs w:val="20"/>
        </w:rPr>
        <w:t xml:space="preserve"> </w:t>
      </w:r>
      <w:r w:rsidRPr="008669C3">
        <w:rPr>
          <w:sz w:val="20"/>
          <w:szCs w:val="20"/>
        </w:rPr>
        <w:t xml:space="preserve">to year </w:t>
      </w:r>
      <w:r w:rsidRPr="008669C3">
        <w:rPr>
          <w:i/>
          <w:sz w:val="20"/>
          <w:szCs w:val="20"/>
        </w:rPr>
        <w:t>t</w:t>
      </w:r>
      <w:r w:rsidR="00910EEA" w:rsidRPr="008669C3">
        <w:rPr>
          <w:i/>
          <w:sz w:val="20"/>
          <w:szCs w:val="20"/>
        </w:rPr>
        <w:t xml:space="preserve"> </w:t>
      </w:r>
      <w:r w:rsidRPr="008669C3">
        <w:rPr>
          <w:sz w:val="20"/>
          <w:szCs w:val="20"/>
        </w:rPr>
        <w:t>+</w:t>
      </w:r>
      <w:r w:rsidR="00910EEA" w:rsidRPr="008669C3">
        <w:rPr>
          <w:sz w:val="20"/>
          <w:szCs w:val="20"/>
        </w:rPr>
        <w:t xml:space="preserve"> </w:t>
      </w:r>
      <w:r w:rsidRPr="008669C3">
        <w:rPr>
          <w:sz w:val="20"/>
          <w:szCs w:val="20"/>
        </w:rPr>
        <w:t xml:space="preserve">2) for CDS firms relative to their matched control firms. The matched sample of non-CDS firms is chosen based on propensity scores obtained from a logit model that estimates the likelihood of CDS trading. </w:t>
      </w:r>
      <w:r w:rsidR="00910EEA" w:rsidRPr="008669C3">
        <w:rPr>
          <w:i/>
          <w:iCs/>
          <w:sz w:val="20"/>
          <w:szCs w:val="20"/>
        </w:rPr>
        <w:t>L</w:t>
      </w:r>
      <w:r w:rsidRPr="008669C3">
        <w:rPr>
          <w:i/>
          <w:iCs/>
          <w:sz w:val="20"/>
          <w:szCs w:val="20"/>
        </w:rPr>
        <w:t>n(1+Vega)</w:t>
      </w:r>
      <w:r w:rsidRPr="008669C3">
        <w:rPr>
          <w:iCs/>
          <w:sz w:val="20"/>
          <w:szCs w:val="20"/>
        </w:rPr>
        <w:t xml:space="preserve"> </w:t>
      </w:r>
      <w:r w:rsidRPr="008669C3">
        <w:rPr>
          <w:sz w:val="20"/>
          <w:szCs w:val="20"/>
        </w:rPr>
        <w:t xml:space="preserve">is the natural logarithm of one plus </w:t>
      </w:r>
      <w:r w:rsidRPr="008669C3">
        <w:rPr>
          <w:i/>
          <w:sz w:val="20"/>
          <w:szCs w:val="20"/>
        </w:rPr>
        <w:t>Vega</w:t>
      </w:r>
      <w:r w:rsidRPr="008669C3">
        <w:rPr>
          <w:sz w:val="20"/>
          <w:szCs w:val="20"/>
        </w:rPr>
        <w:t xml:space="preserve">, where </w:t>
      </w:r>
      <w:r w:rsidRPr="008669C3">
        <w:rPr>
          <w:i/>
          <w:sz w:val="20"/>
          <w:szCs w:val="20"/>
        </w:rPr>
        <w:t>Vega</w:t>
      </w:r>
      <w:r w:rsidRPr="008669C3">
        <w:rPr>
          <w:sz w:val="20"/>
          <w:szCs w:val="20"/>
        </w:rPr>
        <w:t xml:space="preserve"> is the change (in thousands of dollars) the value of the CEO’s wealth due to a 0.01 increase in the annualized standard deviation of the firm’s stock return. </w:t>
      </w:r>
      <w:r w:rsidRPr="008669C3">
        <w:rPr>
          <w:i/>
          <w:sz w:val="20"/>
          <w:szCs w:val="20"/>
        </w:rPr>
        <w:t>ln(1+Option)</w:t>
      </w:r>
      <w:r w:rsidRPr="008669C3">
        <w:rPr>
          <w:sz w:val="20"/>
          <w:szCs w:val="20"/>
        </w:rPr>
        <w:t xml:space="preserve"> is the natural logarithm of one plus the CEO’s option compensation. </w:t>
      </w:r>
      <w:r w:rsidRPr="008669C3">
        <w:rPr>
          <w:i/>
          <w:sz w:val="20"/>
          <w:szCs w:val="20"/>
        </w:rPr>
        <w:t>Book leverage</w:t>
      </w:r>
      <w:r w:rsidRPr="008669C3">
        <w:rPr>
          <w:sz w:val="20"/>
          <w:szCs w:val="20"/>
        </w:rPr>
        <w:t xml:space="preserve"> is the sum of debt in current liabilities plus long-term debts and divided by total assets. </w:t>
      </w:r>
      <w:r w:rsidRPr="008669C3">
        <w:rPr>
          <w:i/>
          <w:sz w:val="20"/>
          <w:szCs w:val="20"/>
        </w:rPr>
        <w:t>Market leverage</w:t>
      </w:r>
      <w:r w:rsidRPr="008669C3">
        <w:rPr>
          <w:sz w:val="20"/>
          <w:szCs w:val="20"/>
        </w:rPr>
        <w:t xml:space="preserve"> is the sum of debt in current liabilities plus long-term debts and dividend by firm value, where firm value is defined as book value of total assets plus market value of equity minus book value of common equity. We report the differences in changes for the CDS firms relative to their matched control firms with the closest propensity score. ***, **, and * denote statistical significance at the 1%, 5%, and 10% levels, respectively. </w:t>
      </w:r>
    </w:p>
    <w:tbl>
      <w:tblPr>
        <w:tblW w:w="5000" w:type="pct"/>
        <w:tblLook w:val="04A0" w:firstRow="1" w:lastRow="0" w:firstColumn="1" w:lastColumn="0" w:noHBand="0" w:noVBand="1"/>
      </w:tblPr>
      <w:tblGrid>
        <w:gridCol w:w="4179"/>
        <w:gridCol w:w="856"/>
        <w:gridCol w:w="1070"/>
        <w:gridCol w:w="327"/>
        <w:gridCol w:w="988"/>
        <w:gridCol w:w="1070"/>
        <w:gridCol w:w="327"/>
        <w:gridCol w:w="946"/>
        <w:gridCol w:w="1070"/>
        <w:gridCol w:w="327"/>
        <w:gridCol w:w="946"/>
        <w:gridCol w:w="1070"/>
      </w:tblGrid>
      <w:tr w:rsidR="00054523" w:rsidRPr="008669C3" w14:paraId="54145A28" w14:textId="77777777" w:rsidTr="00531F97">
        <w:trPr>
          <w:trHeight w:val="20"/>
        </w:trPr>
        <w:tc>
          <w:tcPr>
            <w:tcW w:w="1586" w:type="pct"/>
            <w:tcBorders>
              <w:top w:val="single" w:sz="4" w:space="0" w:color="auto"/>
              <w:left w:val="nil"/>
              <w:bottom w:val="nil"/>
              <w:right w:val="nil"/>
            </w:tcBorders>
            <w:shd w:val="clear" w:color="auto" w:fill="auto"/>
            <w:noWrap/>
            <w:vAlign w:val="bottom"/>
            <w:hideMark/>
          </w:tcPr>
          <w:p w14:paraId="0D1D6D2B" w14:textId="77777777" w:rsidR="00054523" w:rsidRPr="008669C3" w:rsidRDefault="00054523" w:rsidP="00054523">
            <w:pPr>
              <w:rPr>
                <w:sz w:val="22"/>
                <w:szCs w:val="22"/>
              </w:rPr>
            </w:pPr>
          </w:p>
        </w:tc>
        <w:tc>
          <w:tcPr>
            <w:tcW w:w="731" w:type="pct"/>
            <w:gridSpan w:val="2"/>
            <w:tcBorders>
              <w:top w:val="single" w:sz="4" w:space="0" w:color="auto"/>
              <w:left w:val="nil"/>
              <w:bottom w:val="single" w:sz="4" w:space="0" w:color="auto"/>
              <w:right w:val="nil"/>
            </w:tcBorders>
            <w:shd w:val="clear" w:color="auto" w:fill="auto"/>
            <w:noWrap/>
            <w:vAlign w:val="bottom"/>
            <w:hideMark/>
          </w:tcPr>
          <w:p w14:paraId="3CF1D51A" w14:textId="15BCB4D5" w:rsidR="00054523" w:rsidRPr="008669C3" w:rsidRDefault="00910EEA" w:rsidP="00054523">
            <w:pPr>
              <w:jc w:val="center"/>
              <w:rPr>
                <w:i/>
                <w:iCs/>
                <w:color w:val="000000"/>
                <w:sz w:val="22"/>
                <w:szCs w:val="22"/>
              </w:rPr>
            </w:pPr>
            <w:r w:rsidRPr="008669C3">
              <w:rPr>
                <w:i/>
                <w:iCs/>
                <w:color w:val="000000"/>
                <w:sz w:val="22"/>
                <w:szCs w:val="22"/>
              </w:rPr>
              <w:t>L</w:t>
            </w:r>
            <w:r w:rsidR="00054523" w:rsidRPr="008669C3">
              <w:rPr>
                <w:i/>
                <w:iCs/>
                <w:color w:val="000000"/>
                <w:sz w:val="22"/>
                <w:szCs w:val="22"/>
              </w:rPr>
              <w:t>n(1+Vega)</w:t>
            </w:r>
          </w:p>
        </w:tc>
        <w:tc>
          <w:tcPr>
            <w:tcW w:w="124" w:type="pct"/>
            <w:tcBorders>
              <w:top w:val="single" w:sz="4" w:space="0" w:color="auto"/>
              <w:left w:val="nil"/>
              <w:bottom w:val="nil"/>
              <w:right w:val="nil"/>
            </w:tcBorders>
            <w:shd w:val="clear" w:color="auto" w:fill="auto"/>
            <w:noWrap/>
            <w:vAlign w:val="bottom"/>
            <w:hideMark/>
          </w:tcPr>
          <w:p w14:paraId="2489260C" w14:textId="77777777" w:rsidR="00054523" w:rsidRPr="008669C3" w:rsidRDefault="00054523" w:rsidP="00054523">
            <w:pPr>
              <w:jc w:val="center"/>
              <w:rPr>
                <w:i/>
                <w:iCs/>
                <w:color w:val="000000"/>
                <w:sz w:val="22"/>
                <w:szCs w:val="22"/>
              </w:rPr>
            </w:pPr>
          </w:p>
        </w:tc>
        <w:tc>
          <w:tcPr>
            <w:tcW w:w="781" w:type="pct"/>
            <w:gridSpan w:val="2"/>
            <w:tcBorders>
              <w:top w:val="single" w:sz="4" w:space="0" w:color="auto"/>
              <w:left w:val="nil"/>
              <w:bottom w:val="single" w:sz="4" w:space="0" w:color="auto"/>
              <w:right w:val="nil"/>
            </w:tcBorders>
            <w:shd w:val="clear" w:color="auto" w:fill="auto"/>
            <w:noWrap/>
            <w:vAlign w:val="bottom"/>
            <w:hideMark/>
          </w:tcPr>
          <w:p w14:paraId="3C855C39" w14:textId="4B5C9545" w:rsidR="00054523" w:rsidRPr="008669C3" w:rsidRDefault="00910EEA" w:rsidP="00054523">
            <w:pPr>
              <w:jc w:val="center"/>
              <w:rPr>
                <w:i/>
                <w:iCs/>
                <w:color w:val="000000"/>
                <w:sz w:val="22"/>
                <w:szCs w:val="22"/>
              </w:rPr>
            </w:pPr>
            <w:r w:rsidRPr="008669C3">
              <w:rPr>
                <w:i/>
                <w:iCs/>
                <w:color w:val="000000"/>
                <w:sz w:val="22"/>
                <w:szCs w:val="22"/>
              </w:rPr>
              <w:t>L</w:t>
            </w:r>
            <w:r w:rsidR="00054523" w:rsidRPr="008669C3">
              <w:rPr>
                <w:i/>
                <w:iCs/>
                <w:color w:val="000000"/>
                <w:sz w:val="22"/>
                <w:szCs w:val="22"/>
              </w:rPr>
              <w:t>n(1+Option)</w:t>
            </w:r>
          </w:p>
        </w:tc>
        <w:tc>
          <w:tcPr>
            <w:tcW w:w="124" w:type="pct"/>
            <w:tcBorders>
              <w:top w:val="single" w:sz="4" w:space="0" w:color="auto"/>
              <w:left w:val="nil"/>
              <w:bottom w:val="nil"/>
              <w:right w:val="nil"/>
            </w:tcBorders>
            <w:shd w:val="clear" w:color="auto" w:fill="auto"/>
            <w:noWrap/>
            <w:vAlign w:val="bottom"/>
            <w:hideMark/>
          </w:tcPr>
          <w:p w14:paraId="632FC395" w14:textId="77777777" w:rsidR="00054523" w:rsidRPr="008669C3" w:rsidRDefault="00054523" w:rsidP="00054523">
            <w:pPr>
              <w:jc w:val="center"/>
              <w:rPr>
                <w:i/>
                <w:iCs/>
                <w:color w:val="000000"/>
                <w:sz w:val="22"/>
                <w:szCs w:val="22"/>
              </w:rPr>
            </w:pPr>
          </w:p>
        </w:tc>
        <w:tc>
          <w:tcPr>
            <w:tcW w:w="765" w:type="pct"/>
            <w:gridSpan w:val="2"/>
            <w:tcBorders>
              <w:top w:val="single" w:sz="4" w:space="0" w:color="auto"/>
              <w:left w:val="nil"/>
              <w:bottom w:val="single" w:sz="4" w:space="0" w:color="auto"/>
              <w:right w:val="nil"/>
            </w:tcBorders>
            <w:shd w:val="clear" w:color="auto" w:fill="auto"/>
            <w:noWrap/>
            <w:vAlign w:val="bottom"/>
            <w:hideMark/>
          </w:tcPr>
          <w:p w14:paraId="3A6F12E8" w14:textId="1A468889" w:rsidR="00054523" w:rsidRPr="008669C3" w:rsidRDefault="00054523" w:rsidP="00054523">
            <w:pPr>
              <w:jc w:val="center"/>
              <w:rPr>
                <w:i/>
                <w:iCs/>
                <w:color w:val="000000"/>
                <w:sz w:val="22"/>
                <w:szCs w:val="22"/>
              </w:rPr>
            </w:pPr>
            <w:r w:rsidRPr="008669C3">
              <w:rPr>
                <w:i/>
                <w:iCs/>
                <w:color w:val="000000"/>
                <w:sz w:val="22"/>
                <w:szCs w:val="22"/>
              </w:rPr>
              <w:t>Book leverage</w:t>
            </w:r>
          </w:p>
        </w:tc>
        <w:tc>
          <w:tcPr>
            <w:tcW w:w="124" w:type="pct"/>
            <w:tcBorders>
              <w:top w:val="single" w:sz="4" w:space="0" w:color="auto"/>
              <w:left w:val="nil"/>
              <w:bottom w:val="nil"/>
              <w:right w:val="nil"/>
            </w:tcBorders>
            <w:shd w:val="clear" w:color="auto" w:fill="auto"/>
            <w:noWrap/>
            <w:vAlign w:val="bottom"/>
            <w:hideMark/>
          </w:tcPr>
          <w:p w14:paraId="523517B6" w14:textId="77777777" w:rsidR="00054523" w:rsidRPr="008669C3" w:rsidRDefault="00054523" w:rsidP="00054523">
            <w:pPr>
              <w:jc w:val="center"/>
              <w:rPr>
                <w:i/>
                <w:iCs/>
                <w:color w:val="000000"/>
                <w:sz w:val="22"/>
                <w:szCs w:val="22"/>
              </w:rPr>
            </w:pPr>
          </w:p>
        </w:tc>
        <w:tc>
          <w:tcPr>
            <w:tcW w:w="765" w:type="pct"/>
            <w:gridSpan w:val="2"/>
            <w:tcBorders>
              <w:top w:val="single" w:sz="4" w:space="0" w:color="auto"/>
              <w:left w:val="nil"/>
              <w:bottom w:val="single" w:sz="4" w:space="0" w:color="auto"/>
              <w:right w:val="nil"/>
            </w:tcBorders>
            <w:shd w:val="clear" w:color="auto" w:fill="auto"/>
            <w:noWrap/>
            <w:vAlign w:val="bottom"/>
            <w:hideMark/>
          </w:tcPr>
          <w:p w14:paraId="59DB7B41" w14:textId="77777777" w:rsidR="00054523" w:rsidRPr="008669C3" w:rsidRDefault="00054523" w:rsidP="00054523">
            <w:pPr>
              <w:jc w:val="center"/>
              <w:rPr>
                <w:i/>
                <w:color w:val="000000"/>
                <w:sz w:val="22"/>
                <w:szCs w:val="22"/>
              </w:rPr>
            </w:pPr>
            <w:r w:rsidRPr="008669C3">
              <w:rPr>
                <w:i/>
                <w:color w:val="000000"/>
                <w:sz w:val="22"/>
                <w:szCs w:val="22"/>
              </w:rPr>
              <w:t>Market leverage</w:t>
            </w:r>
          </w:p>
        </w:tc>
      </w:tr>
      <w:tr w:rsidR="00054523" w:rsidRPr="008669C3" w14:paraId="5C3B165C" w14:textId="77777777" w:rsidTr="00531F97">
        <w:trPr>
          <w:trHeight w:val="20"/>
        </w:trPr>
        <w:tc>
          <w:tcPr>
            <w:tcW w:w="1586" w:type="pct"/>
            <w:tcBorders>
              <w:top w:val="nil"/>
              <w:left w:val="nil"/>
              <w:bottom w:val="single" w:sz="4" w:space="0" w:color="auto"/>
              <w:right w:val="nil"/>
            </w:tcBorders>
            <w:shd w:val="clear" w:color="auto" w:fill="auto"/>
            <w:noWrap/>
            <w:vAlign w:val="bottom"/>
            <w:hideMark/>
          </w:tcPr>
          <w:p w14:paraId="2BD39FCD" w14:textId="77777777" w:rsidR="00054523" w:rsidRPr="008669C3" w:rsidRDefault="00054523" w:rsidP="00054523">
            <w:pPr>
              <w:rPr>
                <w:i/>
                <w:iCs/>
                <w:color w:val="000000"/>
                <w:sz w:val="22"/>
                <w:szCs w:val="22"/>
              </w:rPr>
            </w:pPr>
            <w:r w:rsidRPr="008669C3">
              <w:rPr>
                <w:i/>
                <w:iCs/>
                <w:color w:val="000000"/>
                <w:sz w:val="22"/>
                <w:szCs w:val="22"/>
              </w:rPr>
              <w:t> </w:t>
            </w:r>
          </w:p>
        </w:tc>
        <w:tc>
          <w:tcPr>
            <w:tcW w:w="325" w:type="pct"/>
            <w:tcBorders>
              <w:top w:val="single" w:sz="4" w:space="0" w:color="auto"/>
              <w:left w:val="nil"/>
              <w:bottom w:val="single" w:sz="4" w:space="0" w:color="auto"/>
              <w:right w:val="nil"/>
            </w:tcBorders>
            <w:shd w:val="clear" w:color="auto" w:fill="auto"/>
            <w:noWrap/>
            <w:vAlign w:val="bottom"/>
            <w:hideMark/>
          </w:tcPr>
          <w:p w14:paraId="70A64B32" w14:textId="77777777" w:rsidR="00054523" w:rsidRPr="008669C3" w:rsidRDefault="00054523" w:rsidP="00054523">
            <w:pPr>
              <w:jc w:val="center"/>
              <w:rPr>
                <w:color w:val="000000"/>
                <w:sz w:val="22"/>
                <w:szCs w:val="22"/>
              </w:rPr>
            </w:pPr>
            <w:r w:rsidRPr="008669C3">
              <w:rPr>
                <w:color w:val="000000"/>
                <w:sz w:val="22"/>
                <w:szCs w:val="22"/>
              </w:rPr>
              <w:t>Treat</w:t>
            </w:r>
          </w:p>
        </w:tc>
        <w:tc>
          <w:tcPr>
            <w:tcW w:w="406" w:type="pct"/>
            <w:tcBorders>
              <w:top w:val="single" w:sz="4" w:space="0" w:color="auto"/>
              <w:left w:val="nil"/>
              <w:bottom w:val="single" w:sz="4" w:space="0" w:color="auto"/>
              <w:right w:val="nil"/>
            </w:tcBorders>
            <w:shd w:val="clear" w:color="auto" w:fill="auto"/>
            <w:noWrap/>
            <w:vAlign w:val="bottom"/>
            <w:hideMark/>
          </w:tcPr>
          <w:p w14:paraId="369FA132" w14:textId="77777777" w:rsidR="00054523" w:rsidRPr="008669C3" w:rsidRDefault="00054523" w:rsidP="00054523">
            <w:pPr>
              <w:jc w:val="center"/>
              <w:rPr>
                <w:color w:val="000000"/>
                <w:sz w:val="22"/>
                <w:szCs w:val="22"/>
              </w:rPr>
            </w:pPr>
            <w:r w:rsidRPr="008669C3">
              <w:rPr>
                <w:color w:val="000000"/>
                <w:sz w:val="22"/>
                <w:szCs w:val="22"/>
              </w:rPr>
              <w:t>Control</w:t>
            </w:r>
          </w:p>
        </w:tc>
        <w:tc>
          <w:tcPr>
            <w:tcW w:w="124" w:type="pct"/>
            <w:tcBorders>
              <w:top w:val="nil"/>
              <w:left w:val="nil"/>
              <w:bottom w:val="single" w:sz="4" w:space="0" w:color="auto"/>
              <w:right w:val="nil"/>
            </w:tcBorders>
            <w:shd w:val="clear" w:color="auto" w:fill="auto"/>
            <w:noWrap/>
            <w:vAlign w:val="bottom"/>
            <w:hideMark/>
          </w:tcPr>
          <w:p w14:paraId="24F7C186" w14:textId="77777777" w:rsidR="00054523" w:rsidRPr="008669C3" w:rsidRDefault="00054523" w:rsidP="00054523">
            <w:pPr>
              <w:jc w:val="center"/>
              <w:rPr>
                <w:color w:val="000000"/>
                <w:sz w:val="22"/>
                <w:szCs w:val="22"/>
              </w:rPr>
            </w:pPr>
            <w:r w:rsidRPr="008669C3">
              <w:rPr>
                <w:color w:val="000000"/>
                <w:sz w:val="22"/>
                <w:szCs w:val="22"/>
              </w:rPr>
              <w:t> </w:t>
            </w:r>
          </w:p>
        </w:tc>
        <w:tc>
          <w:tcPr>
            <w:tcW w:w="375" w:type="pct"/>
            <w:tcBorders>
              <w:top w:val="single" w:sz="4" w:space="0" w:color="auto"/>
              <w:left w:val="nil"/>
              <w:bottom w:val="single" w:sz="4" w:space="0" w:color="auto"/>
              <w:right w:val="nil"/>
            </w:tcBorders>
            <w:shd w:val="clear" w:color="auto" w:fill="auto"/>
            <w:noWrap/>
            <w:vAlign w:val="bottom"/>
            <w:hideMark/>
          </w:tcPr>
          <w:p w14:paraId="4FC7FAA9" w14:textId="77777777" w:rsidR="00054523" w:rsidRPr="008669C3" w:rsidRDefault="00054523" w:rsidP="00054523">
            <w:pPr>
              <w:jc w:val="center"/>
              <w:rPr>
                <w:color w:val="000000"/>
                <w:sz w:val="22"/>
                <w:szCs w:val="22"/>
              </w:rPr>
            </w:pPr>
            <w:r w:rsidRPr="008669C3">
              <w:rPr>
                <w:color w:val="000000"/>
                <w:sz w:val="22"/>
                <w:szCs w:val="22"/>
              </w:rPr>
              <w:t>Treat</w:t>
            </w:r>
          </w:p>
        </w:tc>
        <w:tc>
          <w:tcPr>
            <w:tcW w:w="406" w:type="pct"/>
            <w:tcBorders>
              <w:top w:val="single" w:sz="4" w:space="0" w:color="auto"/>
              <w:left w:val="nil"/>
              <w:bottom w:val="single" w:sz="4" w:space="0" w:color="auto"/>
              <w:right w:val="nil"/>
            </w:tcBorders>
            <w:shd w:val="clear" w:color="auto" w:fill="auto"/>
            <w:noWrap/>
            <w:vAlign w:val="bottom"/>
            <w:hideMark/>
          </w:tcPr>
          <w:p w14:paraId="45E7FC16" w14:textId="77777777" w:rsidR="00054523" w:rsidRPr="008669C3" w:rsidRDefault="00054523" w:rsidP="00054523">
            <w:pPr>
              <w:jc w:val="center"/>
              <w:rPr>
                <w:color w:val="000000"/>
                <w:sz w:val="22"/>
                <w:szCs w:val="22"/>
              </w:rPr>
            </w:pPr>
            <w:r w:rsidRPr="008669C3">
              <w:rPr>
                <w:color w:val="000000"/>
                <w:sz w:val="22"/>
                <w:szCs w:val="22"/>
              </w:rPr>
              <w:t>Control</w:t>
            </w:r>
          </w:p>
        </w:tc>
        <w:tc>
          <w:tcPr>
            <w:tcW w:w="124" w:type="pct"/>
            <w:tcBorders>
              <w:top w:val="nil"/>
              <w:left w:val="nil"/>
              <w:bottom w:val="single" w:sz="4" w:space="0" w:color="auto"/>
              <w:right w:val="nil"/>
            </w:tcBorders>
            <w:shd w:val="clear" w:color="auto" w:fill="auto"/>
            <w:noWrap/>
            <w:vAlign w:val="bottom"/>
            <w:hideMark/>
          </w:tcPr>
          <w:p w14:paraId="6FBEB7E6" w14:textId="77777777" w:rsidR="00054523" w:rsidRPr="008669C3" w:rsidRDefault="00054523" w:rsidP="00054523">
            <w:pPr>
              <w:jc w:val="center"/>
              <w:rPr>
                <w:color w:val="000000"/>
                <w:sz w:val="22"/>
                <w:szCs w:val="22"/>
              </w:rPr>
            </w:pPr>
            <w:r w:rsidRPr="008669C3">
              <w:rPr>
                <w:color w:val="000000"/>
                <w:sz w:val="22"/>
                <w:szCs w:val="22"/>
              </w:rPr>
              <w:t> </w:t>
            </w:r>
          </w:p>
        </w:tc>
        <w:tc>
          <w:tcPr>
            <w:tcW w:w="359" w:type="pct"/>
            <w:tcBorders>
              <w:top w:val="single" w:sz="4" w:space="0" w:color="auto"/>
              <w:left w:val="nil"/>
              <w:bottom w:val="single" w:sz="4" w:space="0" w:color="auto"/>
              <w:right w:val="nil"/>
            </w:tcBorders>
            <w:shd w:val="clear" w:color="auto" w:fill="auto"/>
            <w:noWrap/>
            <w:vAlign w:val="bottom"/>
            <w:hideMark/>
          </w:tcPr>
          <w:p w14:paraId="02A1DF94" w14:textId="77777777" w:rsidR="00054523" w:rsidRPr="008669C3" w:rsidRDefault="00054523" w:rsidP="00054523">
            <w:pPr>
              <w:jc w:val="center"/>
              <w:rPr>
                <w:color w:val="000000"/>
                <w:sz w:val="22"/>
                <w:szCs w:val="22"/>
              </w:rPr>
            </w:pPr>
            <w:r w:rsidRPr="008669C3">
              <w:rPr>
                <w:color w:val="000000"/>
                <w:sz w:val="22"/>
                <w:szCs w:val="22"/>
              </w:rPr>
              <w:t>Treat</w:t>
            </w:r>
          </w:p>
        </w:tc>
        <w:tc>
          <w:tcPr>
            <w:tcW w:w="406" w:type="pct"/>
            <w:tcBorders>
              <w:top w:val="single" w:sz="4" w:space="0" w:color="auto"/>
              <w:left w:val="nil"/>
              <w:bottom w:val="single" w:sz="4" w:space="0" w:color="auto"/>
              <w:right w:val="nil"/>
            </w:tcBorders>
            <w:shd w:val="clear" w:color="auto" w:fill="auto"/>
            <w:noWrap/>
            <w:vAlign w:val="bottom"/>
            <w:hideMark/>
          </w:tcPr>
          <w:p w14:paraId="170AEF55" w14:textId="77777777" w:rsidR="00054523" w:rsidRPr="008669C3" w:rsidRDefault="00054523" w:rsidP="00054523">
            <w:pPr>
              <w:jc w:val="center"/>
              <w:rPr>
                <w:color w:val="000000"/>
                <w:sz w:val="22"/>
                <w:szCs w:val="22"/>
              </w:rPr>
            </w:pPr>
            <w:r w:rsidRPr="008669C3">
              <w:rPr>
                <w:color w:val="000000"/>
                <w:sz w:val="22"/>
                <w:szCs w:val="22"/>
              </w:rPr>
              <w:t>Control</w:t>
            </w:r>
          </w:p>
        </w:tc>
        <w:tc>
          <w:tcPr>
            <w:tcW w:w="124" w:type="pct"/>
            <w:tcBorders>
              <w:top w:val="nil"/>
              <w:left w:val="nil"/>
              <w:bottom w:val="single" w:sz="4" w:space="0" w:color="auto"/>
              <w:right w:val="nil"/>
            </w:tcBorders>
            <w:shd w:val="clear" w:color="auto" w:fill="auto"/>
            <w:noWrap/>
            <w:vAlign w:val="bottom"/>
            <w:hideMark/>
          </w:tcPr>
          <w:p w14:paraId="198C5D0F" w14:textId="77777777" w:rsidR="00054523" w:rsidRPr="008669C3" w:rsidRDefault="00054523" w:rsidP="00054523">
            <w:pPr>
              <w:rPr>
                <w:color w:val="000000"/>
                <w:sz w:val="22"/>
                <w:szCs w:val="22"/>
              </w:rPr>
            </w:pPr>
            <w:r w:rsidRPr="008669C3">
              <w:rPr>
                <w:color w:val="000000"/>
                <w:sz w:val="22"/>
                <w:szCs w:val="22"/>
              </w:rPr>
              <w:t> </w:t>
            </w:r>
          </w:p>
        </w:tc>
        <w:tc>
          <w:tcPr>
            <w:tcW w:w="359" w:type="pct"/>
            <w:tcBorders>
              <w:top w:val="single" w:sz="4" w:space="0" w:color="auto"/>
              <w:left w:val="nil"/>
              <w:bottom w:val="single" w:sz="4" w:space="0" w:color="auto"/>
              <w:right w:val="nil"/>
            </w:tcBorders>
            <w:shd w:val="clear" w:color="auto" w:fill="auto"/>
            <w:noWrap/>
            <w:vAlign w:val="bottom"/>
            <w:hideMark/>
          </w:tcPr>
          <w:p w14:paraId="38DAD660" w14:textId="77777777" w:rsidR="00054523" w:rsidRPr="008669C3" w:rsidRDefault="00054523" w:rsidP="00054523">
            <w:pPr>
              <w:jc w:val="center"/>
              <w:rPr>
                <w:color w:val="000000"/>
                <w:sz w:val="22"/>
                <w:szCs w:val="22"/>
              </w:rPr>
            </w:pPr>
            <w:r w:rsidRPr="008669C3">
              <w:rPr>
                <w:color w:val="000000"/>
                <w:sz w:val="22"/>
                <w:szCs w:val="22"/>
              </w:rPr>
              <w:t>Treat</w:t>
            </w:r>
          </w:p>
        </w:tc>
        <w:tc>
          <w:tcPr>
            <w:tcW w:w="406" w:type="pct"/>
            <w:tcBorders>
              <w:top w:val="single" w:sz="4" w:space="0" w:color="auto"/>
              <w:left w:val="nil"/>
              <w:bottom w:val="single" w:sz="4" w:space="0" w:color="auto"/>
              <w:right w:val="nil"/>
            </w:tcBorders>
            <w:shd w:val="clear" w:color="auto" w:fill="auto"/>
            <w:noWrap/>
            <w:vAlign w:val="bottom"/>
            <w:hideMark/>
          </w:tcPr>
          <w:p w14:paraId="3E5EF71E" w14:textId="77777777" w:rsidR="00054523" w:rsidRPr="008669C3" w:rsidRDefault="00054523" w:rsidP="00054523">
            <w:pPr>
              <w:jc w:val="center"/>
              <w:rPr>
                <w:color w:val="000000"/>
                <w:sz w:val="22"/>
                <w:szCs w:val="22"/>
              </w:rPr>
            </w:pPr>
            <w:r w:rsidRPr="008669C3">
              <w:rPr>
                <w:color w:val="000000"/>
                <w:sz w:val="22"/>
                <w:szCs w:val="22"/>
              </w:rPr>
              <w:t>Control</w:t>
            </w:r>
          </w:p>
        </w:tc>
      </w:tr>
      <w:tr w:rsidR="00054523" w:rsidRPr="008669C3" w14:paraId="25E11B59" w14:textId="77777777" w:rsidTr="003D5386">
        <w:trPr>
          <w:trHeight w:val="20"/>
        </w:trPr>
        <w:tc>
          <w:tcPr>
            <w:tcW w:w="1586" w:type="pct"/>
            <w:tcBorders>
              <w:top w:val="nil"/>
              <w:left w:val="nil"/>
              <w:bottom w:val="nil"/>
              <w:right w:val="nil"/>
            </w:tcBorders>
            <w:shd w:val="clear" w:color="auto" w:fill="auto"/>
            <w:noWrap/>
            <w:vAlign w:val="bottom"/>
            <w:hideMark/>
          </w:tcPr>
          <w:p w14:paraId="61D5A6CE" w14:textId="7BD60E14" w:rsidR="00054523" w:rsidRPr="008669C3" w:rsidRDefault="00910EEA" w:rsidP="00054523">
            <w:pPr>
              <w:rPr>
                <w:iCs/>
                <w:color w:val="000000"/>
                <w:sz w:val="22"/>
                <w:szCs w:val="22"/>
              </w:rPr>
            </w:pPr>
            <w:r w:rsidRPr="008669C3">
              <w:rPr>
                <w:i/>
                <w:iCs/>
                <w:color w:val="000000"/>
                <w:sz w:val="22"/>
                <w:szCs w:val="22"/>
              </w:rPr>
              <w:t>t</w:t>
            </w:r>
            <w:r w:rsidRPr="008669C3">
              <w:rPr>
                <w:iCs/>
                <w:color w:val="000000"/>
                <w:sz w:val="22"/>
                <w:szCs w:val="22"/>
              </w:rPr>
              <w:t xml:space="preserve"> </w:t>
            </w:r>
            <w:r w:rsidR="00054523" w:rsidRPr="008669C3">
              <w:rPr>
                <w:iCs/>
                <w:color w:val="000000"/>
                <w:sz w:val="22"/>
                <w:szCs w:val="22"/>
              </w:rPr>
              <w:t>-</w:t>
            </w:r>
            <w:r w:rsidRPr="008669C3">
              <w:rPr>
                <w:iCs/>
                <w:color w:val="000000"/>
                <w:sz w:val="22"/>
                <w:szCs w:val="22"/>
              </w:rPr>
              <w:t xml:space="preserve"> </w:t>
            </w:r>
            <w:r w:rsidR="00054523" w:rsidRPr="008669C3">
              <w:rPr>
                <w:iCs/>
                <w:color w:val="000000"/>
                <w:sz w:val="22"/>
                <w:szCs w:val="22"/>
              </w:rPr>
              <w:t>1</w:t>
            </w:r>
          </w:p>
        </w:tc>
        <w:tc>
          <w:tcPr>
            <w:tcW w:w="325" w:type="pct"/>
            <w:tcBorders>
              <w:top w:val="nil"/>
              <w:left w:val="nil"/>
              <w:bottom w:val="nil"/>
              <w:right w:val="nil"/>
            </w:tcBorders>
            <w:shd w:val="clear" w:color="auto" w:fill="auto"/>
            <w:noWrap/>
            <w:vAlign w:val="bottom"/>
            <w:hideMark/>
          </w:tcPr>
          <w:p w14:paraId="5C6D0F71" w14:textId="77777777" w:rsidR="00054523" w:rsidRPr="008669C3" w:rsidRDefault="00054523" w:rsidP="00054523">
            <w:pPr>
              <w:jc w:val="center"/>
              <w:rPr>
                <w:color w:val="000000"/>
                <w:sz w:val="22"/>
                <w:szCs w:val="22"/>
              </w:rPr>
            </w:pPr>
            <w:r w:rsidRPr="008669C3">
              <w:rPr>
                <w:color w:val="000000"/>
                <w:sz w:val="22"/>
                <w:szCs w:val="22"/>
              </w:rPr>
              <w:t>5.429</w:t>
            </w:r>
          </w:p>
        </w:tc>
        <w:tc>
          <w:tcPr>
            <w:tcW w:w="406" w:type="pct"/>
            <w:tcBorders>
              <w:top w:val="nil"/>
              <w:left w:val="nil"/>
              <w:bottom w:val="nil"/>
              <w:right w:val="nil"/>
            </w:tcBorders>
            <w:shd w:val="clear" w:color="auto" w:fill="auto"/>
            <w:noWrap/>
            <w:vAlign w:val="bottom"/>
            <w:hideMark/>
          </w:tcPr>
          <w:p w14:paraId="5EF63D63" w14:textId="77777777" w:rsidR="00054523" w:rsidRPr="008669C3" w:rsidRDefault="00054523" w:rsidP="00054523">
            <w:pPr>
              <w:jc w:val="center"/>
              <w:rPr>
                <w:color w:val="000000"/>
                <w:sz w:val="22"/>
                <w:szCs w:val="22"/>
              </w:rPr>
            </w:pPr>
            <w:r w:rsidRPr="008669C3">
              <w:rPr>
                <w:color w:val="000000"/>
                <w:sz w:val="22"/>
                <w:szCs w:val="22"/>
              </w:rPr>
              <w:t>5.147</w:t>
            </w:r>
          </w:p>
        </w:tc>
        <w:tc>
          <w:tcPr>
            <w:tcW w:w="124" w:type="pct"/>
            <w:tcBorders>
              <w:top w:val="nil"/>
              <w:left w:val="nil"/>
              <w:bottom w:val="nil"/>
              <w:right w:val="nil"/>
            </w:tcBorders>
            <w:shd w:val="clear" w:color="auto" w:fill="auto"/>
            <w:noWrap/>
            <w:vAlign w:val="bottom"/>
            <w:hideMark/>
          </w:tcPr>
          <w:p w14:paraId="279DE8EA" w14:textId="77777777" w:rsidR="00054523" w:rsidRPr="008669C3" w:rsidRDefault="00054523" w:rsidP="00054523">
            <w:pPr>
              <w:jc w:val="center"/>
              <w:rPr>
                <w:color w:val="000000"/>
                <w:sz w:val="22"/>
                <w:szCs w:val="22"/>
              </w:rPr>
            </w:pPr>
          </w:p>
        </w:tc>
        <w:tc>
          <w:tcPr>
            <w:tcW w:w="375" w:type="pct"/>
            <w:tcBorders>
              <w:top w:val="nil"/>
              <w:left w:val="nil"/>
              <w:bottom w:val="nil"/>
              <w:right w:val="nil"/>
            </w:tcBorders>
            <w:shd w:val="clear" w:color="auto" w:fill="auto"/>
            <w:noWrap/>
            <w:vAlign w:val="bottom"/>
            <w:hideMark/>
          </w:tcPr>
          <w:p w14:paraId="6FFD2CB3" w14:textId="77777777" w:rsidR="00054523" w:rsidRPr="008669C3" w:rsidRDefault="00054523" w:rsidP="00054523">
            <w:pPr>
              <w:jc w:val="center"/>
              <w:rPr>
                <w:color w:val="000000"/>
                <w:sz w:val="22"/>
                <w:szCs w:val="22"/>
              </w:rPr>
            </w:pPr>
            <w:r w:rsidRPr="008669C3">
              <w:rPr>
                <w:color w:val="000000"/>
                <w:sz w:val="22"/>
                <w:szCs w:val="22"/>
              </w:rPr>
              <w:t>12.464</w:t>
            </w:r>
          </w:p>
        </w:tc>
        <w:tc>
          <w:tcPr>
            <w:tcW w:w="406" w:type="pct"/>
            <w:tcBorders>
              <w:top w:val="nil"/>
              <w:left w:val="nil"/>
              <w:bottom w:val="nil"/>
              <w:right w:val="nil"/>
            </w:tcBorders>
            <w:shd w:val="clear" w:color="auto" w:fill="auto"/>
            <w:noWrap/>
            <w:vAlign w:val="bottom"/>
            <w:hideMark/>
          </w:tcPr>
          <w:p w14:paraId="5EA8CB1B" w14:textId="77777777" w:rsidR="00054523" w:rsidRPr="008669C3" w:rsidRDefault="00054523" w:rsidP="00054523">
            <w:pPr>
              <w:jc w:val="center"/>
              <w:rPr>
                <w:color w:val="000000"/>
                <w:sz w:val="22"/>
                <w:szCs w:val="22"/>
              </w:rPr>
            </w:pPr>
            <w:r w:rsidRPr="008669C3">
              <w:rPr>
                <w:color w:val="000000"/>
                <w:sz w:val="22"/>
                <w:szCs w:val="22"/>
              </w:rPr>
              <w:t>11.430</w:t>
            </w:r>
          </w:p>
        </w:tc>
        <w:tc>
          <w:tcPr>
            <w:tcW w:w="124" w:type="pct"/>
            <w:tcBorders>
              <w:top w:val="nil"/>
              <w:left w:val="nil"/>
              <w:bottom w:val="nil"/>
              <w:right w:val="nil"/>
            </w:tcBorders>
            <w:shd w:val="clear" w:color="auto" w:fill="auto"/>
            <w:noWrap/>
            <w:vAlign w:val="bottom"/>
            <w:hideMark/>
          </w:tcPr>
          <w:p w14:paraId="0C84C339" w14:textId="77777777" w:rsidR="00054523" w:rsidRPr="008669C3" w:rsidRDefault="00054523" w:rsidP="00054523">
            <w:pPr>
              <w:jc w:val="center"/>
              <w:rPr>
                <w:color w:val="000000"/>
                <w:sz w:val="22"/>
                <w:szCs w:val="22"/>
              </w:rPr>
            </w:pPr>
          </w:p>
        </w:tc>
        <w:tc>
          <w:tcPr>
            <w:tcW w:w="359" w:type="pct"/>
            <w:tcBorders>
              <w:top w:val="nil"/>
              <w:left w:val="nil"/>
              <w:bottom w:val="nil"/>
              <w:right w:val="nil"/>
            </w:tcBorders>
            <w:shd w:val="clear" w:color="auto" w:fill="auto"/>
            <w:noWrap/>
            <w:vAlign w:val="bottom"/>
            <w:hideMark/>
          </w:tcPr>
          <w:p w14:paraId="5C421136" w14:textId="77777777" w:rsidR="00054523" w:rsidRPr="008669C3" w:rsidRDefault="00054523" w:rsidP="00054523">
            <w:pPr>
              <w:jc w:val="center"/>
              <w:rPr>
                <w:color w:val="000000"/>
                <w:sz w:val="22"/>
                <w:szCs w:val="22"/>
              </w:rPr>
            </w:pPr>
            <w:r w:rsidRPr="008669C3">
              <w:rPr>
                <w:color w:val="000000"/>
                <w:sz w:val="22"/>
                <w:szCs w:val="22"/>
              </w:rPr>
              <w:t>0.267</w:t>
            </w:r>
          </w:p>
        </w:tc>
        <w:tc>
          <w:tcPr>
            <w:tcW w:w="406" w:type="pct"/>
            <w:tcBorders>
              <w:top w:val="nil"/>
              <w:left w:val="nil"/>
              <w:bottom w:val="nil"/>
              <w:right w:val="nil"/>
            </w:tcBorders>
            <w:shd w:val="clear" w:color="auto" w:fill="auto"/>
            <w:noWrap/>
            <w:vAlign w:val="bottom"/>
            <w:hideMark/>
          </w:tcPr>
          <w:p w14:paraId="6D9B2499" w14:textId="77777777" w:rsidR="00054523" w:rsidRPr="008669C3" w:rsidRDefault="00054523" w:rsidP="00054523">
            <w:pPr>
              <w:jc w:val="center"/>
              <w:rPr>
                <w:color w:val="000000"/>
                <w:sz w:val="22"/>
                <w:szCs w:val="22"/>
              </w:rPr>
            </w:pPr>
            <w:r w:rsidRPr="008669C3">
              <w:rPr>
                <w:color w:val="000000"/>
                <w:sz w:val="22"/>
                <w:szCs w:val="22"/>
              </w:rPr>
              <w:t>0.291</w:t>
            </w:r>
          </w:p>
        </w:tc>
        <w:tc>
          <w:tcPr>
            <w:tcW w:w="124" w:type="pct"/>
            <w:tcBorders>
              <w:top w:val="nil"/>
              <w:left w:val="nil"/>
              <w:bottom w:val="nil"/>
              <w:right w:val="nil"/>
            </w:tcBorders>
            <w:shd w:val="clear" w:color="auto" w:fill="auto"/>
            <w:noWrap/>
            <w:vAlign w:val="bottom"/>
            <w:hideMark/>
          </w:tcPr>
          <w:p w14:paraId="73D7F591" w14:textId="77777777" w:rsidR="00054523" w:rsidRPr="008669C3" w:rsidRDefault="00054523" w:rsidP="00054523">
            <w:pPr>
              <w:jc w:val="center"/>
              <w:rPr>
                <w:color w:val="000000"/>
                <w:sz w:val="22"/>
                <w:szCs w:val="22"/>
              </w:rPr>
            </w:pPr>
          </w:p>
        </w:tc>
        <w:tc>
          <w:tcPr>
            <w:tcW w:w="359" w:type="pct"/>
            <w:tcBorders>
              <w:top w:val="nil"/>
              <w:left w:val="nil"/>
              <w:bottom w:val="nil"/>
              <w:right w:val="nil"/>
            </w:tcBorders>
            <w:shd w:val="clear" w:color="auto" w:fill="auto"/>
            <w:noWrap/>
            <w:vAlign w:val="bottom"/>
            <w:hideMark/>
          </w:tcPr>
          <w:p w14:paraId="3EF4C2C6" w14:textId="77777777" w:rsidR="00054523" w:rsidRPr="008669C3" w:rsidRDefault="00054523" w:rsidP="00054523">
            <w:pPr>
              <w:jc w:val="center"/>
              <w:rPr>
                <w:color w:val="000000"/>
                <w:sz w:val="22"/>
                <w:szCs w:val="22"/>
              </w:rPr>
            </w:pPr>
            <w:r w:rsidRPr="008669C3">
              <w:rPr>
                <w:color w:val="000000"/>
                <w:sz w:val="22"/>
                <w:szCs w:val="22"/>
              </w:rPr>
              <w:t>0.169</w:t>
            </w:r>
          </w:p>
        </w:tc>
        <w:tc>
          <w:tcPr>
            <w:tcW w:w="406" w:type="pct"/>
            <w:tcBorders>
              <w:top w:val="nil"/>
              <w:left w:val="nil"/>
              <w:bottom w:val="nil"/>
              <w:right w:val="nil"/>
            </w:tcBorders>
            <w:shd w:val="clear" w:color="auto" w:fill="auto"/>
            <w:noWrap/>
            <w:vAlign w:val="bottom"/>
            <w:hideMark/>
          </w:tcPr>
          <w:p w14:paraId="4EE0EC96" w14:textId="77777777" w:rsidR="00054523" w:rsidRPr="008669C3" w:rsidRDefault="00054523" w:rsidP="00054523">
            <w:pPr>
              <w:jc w:val="center"/>
              <w:rPr>
                <w:color w:val="000000"/>
                <w:sz w:val="22"/>
                <w:szCs w:val="22"/>
              </w:rPr>
            </w:pPr>
            <w:r w:rsidRPr="008669C3">
              <w:rPr>
                <w:color w:val="000000"/>
                <w:sz w:val="22"/>
                <w:szCs w:val="22"/>
              </w:rPr>
              <w:t>0.214</w:t>
            </w:r>
          </w:p>
        </w:tc>
      </w:tr>
      <w:tr w:rsidR="00054523" w:rsidRPr="008669C3" w14:paraId="3E5783C5" w14:textId="77777777" w:rsidTr="003D5386">
        <w:trPr>
          <w:trHeight w:val="20"/>
        </w:trPr>
        <w:tc>
          <w:tcPr>
            <w:tcW w:w="1586" w:type="pct"/>
            <w:tcBorders>
              <w:top w:val="nil"/>
              <w:left w:val="nil"/>
              <w:bottom w:val="nil"/>
              <w:right w:val="nil"/>
            </w:tcBorders>
            <w:shd w:val="clear" w:color="auto" w:fill="auto"/>
            <w:noWrap/>
            <w:vAlign w:val="bottom"/>
            <w:hideMark/>
          </w:tcPr>
          <w:p w14:paraId="47E2EB8A" w14:textId="77777777" w:rsidR="00054523" w:rsidRPr="008669C3" w:rsidRDefault="00054523" w:rsidP="00054523">
            <w:pPr>
              <w:rPr>
                <w:i/>
                <w:iCs/>
                <w:color w:val="000000"/>
                <w:sz w:val="22"/>
                <w:szCs w:val="22"/>
              </w:rPr>
            </w:pPr>
            <w:r w:rsidRPr="008669C3">
              <w:rPr>
                <w:i/>
                <w:iCs/>
                <w:color w:val="000000"/>
                <w:sz w:val="22"/>
                <w:szCs w:val="22"/>
              </w:rPr>
              <w:t>t</w:t>
            </w:r>
          </w:p>
        </w:tc>
        <w:tc>
          <w:tcPr>
            <w:tcW w:w="325" w:type="pct"/>
            <w:tcBorders>
              <w:top w:val="nil"/>
              <w:left w:val="nil"/>
              <w:bottom w:val="nil"/>
              <w:right w:val="nil"/>
            </w:tcBorders>
            <w:shd w:val="clear" w:color="auto" w:fill="auto"/>
            <w:noWrap/>
            <w:vAlign w:val="bottom"/>
            <w:hideMark/>
          </w:tcPr>
          <w:p w14:paraId="6772EE8A" w14:textId="77777777" w:rsidR="00054523" w:rsidRPr="008669C3" w:rsidRDefault="00054523" w:rsidP="00054523">
            <w:pPr>
              <w:jc w:val="center"/>
              <w:rPr>
                <w:color w:val="000000"/>
                <w:sz w:val="22"/>
                <w:szCs w:val="22"/>
              </w:rPr>
            </w:pPr>
            <w:r w:rsidRPr="008669C3">
              <w:rPr>
                <w:color w:val="000000"/>
                <w:sz w:val="22"/>
                <w:szCs w:val="22"/>
              </w:rPr>
              <w:t>5.430</w:t>
            </w:r>
          </w:p>
        </w:tc>
        <w:tc>
          <w:tcPr>
            <w:tcW w:w="406" w:type="pct"/>
            <w:tcBorders>
              <w:top w:val="nil"/>
              <w:left w:val="nil"/>
              <w:bottom w:val="nil"/>
              <w:right w:val="nil"/>
            </w:tcBorders>
            <w:shd w:val="clear" w:color="auto" w:fill="auto"/>
            <w:noWrap/>
            <w:vAlign w:val="bottom"/>
            <w:hideMark/>
          </w:tcPr>
          <w:p w14:paraId="3F360311" w14:textId="77777777" w:rsidR="00054523" w:rsidRPr="008669C3" w:rsidRDefault="00054523" w:rsidP="00054523">
            <w:pPr>
              <w:jc w:val="center"/>
              <w:rPr>
                <w:color w:val="000000"/>
                <w:sz w:val="22"/>
                <w:szCs w:val="22"/>
              </w:rPr>
            </w:pPr>
            <w:r w:rsidRPr="008669C3">
              <w:rPr>
                <w:color w:val="000000"/>
                <w:sz w:val="22"/>
                <w:szCs w:val="22"/>
              </w:rPr>
              <w:t>4.941</w:t>
            </w:r>
          </w:p>
        </w:tc>
        <w:tc>
          <w:tcPr>
            <w:tcW w:w="124" w:type="pct"/>
            <w:tcBorders>
              <w:top w:val="nil"/>
              <w:left w:val="nil"/>
              <w:bottom w:val="nil"/>
              <w:right w:val="nil"/>
            </w:tcBorders>
            <w:shd w:val="clear" w:color="auto" w:fill="auto"/>
            <w:noWrap/>
            <w:vAlign w:val="bottom"/>
            <w:hideMark/>
          </w:tcPr>
          <w:p w14:paraId="16208256" w14:textId="77777777" w:rsidR="00054523" w:rsidRPr="008669C3" w:rsidRDefault="00054523" w:rsidP="00054523">
            <w:pPr>
              <w:jc w:val="center"/>
              <w:rPr>
                <w:color w:val="000000"/>
                <w:sz w:val="22"/>
                <w:szCs w:val="22"/>
              </w:rPr>
            </w:pPr>
          </w:p>
        </w:tc>
        <w:tc>
          <w:tcPr>
            <w:tcW w:w="375" w:type="pct"/>
            <w:tcBorders>
              <w:top w:val="nil"/>
              <w:left w:val="nil"/>
              <w:bottom w:val="nil"/>
              <w:right w:val="nil"/>
            </w:tcBorders>
            <w:shd w:val="clear" w:color="auto" w:fill="auto"/>
            <w:noWrap/>
            <w:vAlign w:val="bottom"/>
            <w:hideMark/>
          </w:tcPr>
          <w:p w14:paraId="7834EAF1" w14:textId="77777777" w:rsidR="00054523" w:rsidRPr="008669C3" w:rsidRDefault="00054523" w:rsidP="00054523">
            <w:pPr>
              <w:jc w:val="center"/>
              <w:rPr>
                <w:color w:val="000000"/>
                <w:sz w:val="22"/>
                <w:szCs w:val="22"/>
              </w:rPr>
            </w:pPr>
            <w:r w:rsidRPr="008669C3">
              <w:rPr>
                <w:color w:val="000000"/>
                <w:sz w:val="22"/>
                <w:szCs w:val="22"/>
              </w:rPr>
              <w:t>12.581</w:t>
            </w:r>
          </w:p>
        </w:tc>
        <w:tc>
          <w:tcPr>
            <w:tcW w:w="406" w:type="pct"/>
            <w:tcBorders>
              <w:top w:val="nil"/>
              <w:left w:val="nil"/>
              <w:bottom w:val="nil"/>
              <w:right w:val="nil"/>
            </w:tcBorders>
            <w:shd w:val="clear" w:color="auto" w:fill="auto"/>
            <w:noWrap/>
            <w:vAlign w:val="bottom"/>
            <w:hideMark/>
          </w:tcPr>
          <w:p w14:paraId="21260741" w14:textId="77777777" w:rsidR="00054523" w:rsidRPr="008669C3" w:rsidRDefault="00054523" w:rsidP="00054523">
            <w:pPr>
              <w:jc w:val="center"/>
              <w:rPr>
                <w:color w:val="000000"/>
                <w:sz w:val="22"/>
                <w:szCs w:val="22"/>
              </w:rPr>
            </w:pPr>
            <w:r w:rsidRPr="008669C3">
              <w:rPr>
                <w:color w:val="000000"/>
                <w:sz w:val="22"/>
                <w:szCs w:val="22"/>
              </w:rPr>
              <w:t>10.905</w:t>
            </w:r>
          </w:p>
        </w:tc>
        <w:tc>
          <w:tcPr>
            <w:tcW w:w="124" w:type="pct"/>
            <w:tcBorders>
              <w:top w:val="nil"/>
              <w:left w:val="nil"/>
              <w:bottom w:val="nil"/>
              <w:right w:val="nil"/>
            </w:tcBorders>
            <w:shd w:val="clear" w:color="auto" w:fill="auto"/>
            <w:noWrap/>
            <w:vAlign w:val="bottom"/>
            <w:hideMark/>
          </w:tcPr>
          <w:p w14:paraId="4AF10B13" w14:textId="77777777" w:rsidR="00054523" w:rsidRPr="008669C3" w:rsidRDefault="00054523" w:rsidP="00054523">
            <w:pPr>
              <w:jc w:val="center"/>
              <w:rPr>
                <w:color w:val="000000"/>
                <w:sz w:val="22"/>
                <w:szCs w:val="22"/>
              </w:rPr>
            </w:pPr>
          </w:p>
        </w:tc>
        <w:tc>
          <w:tcPr>
            <w:tcW w:w="359" w:type="pct"/>
            <w:tcBorders>
              <w:top w:val="nil"/>
              <w:left w:val="nil"/>
              <w:bottom w:val="nil"/>
              <w:right w:val="nil"/>
            </w:tcBorders>
            <w:shd w:val="clear" w:color="auto" w:fill="auto"/>
            <w:noWrap/>
            <w:vAlign w:val="bottom"/>
            <w:hideMark/>
          </w:tcPr>
          <w:p w14:paraId="1C42B62A" w14:textId="77777777" w:rsidR="00054523" w:rsidRPr="008669C3" w:rsidRDefault="00054523" w:rsidP="00054523">
            <w:pPr>
              <w:jc w:val="center"/>
              <w:rPr>
                <w:color w:val="000000"/>
                <w:sz w:val="22"/>
                <w:szCs w:val="22"/>
              </w:rPr>
            </w:pPr>
            <w:r w:rsidRPr="008669C3">
              <w:rPr>
                <w:color w:val="000000"/>
                <w:sz w:val="22"/>
                <w:szCs w:val="22"/>
              </w:rPr>
              <w:t>0.271</w:t>
            </w:r>
          </w:p>
        </w:tc>
        <w:tc>
          <w:tcPr>
            <w:tcW w:w="406" w:type="pct"/>
            <w:tcBorders>
              <w:top w:val="nil"/>
              <w:left w:val="nil"/>
              <w:bottom w:val="nil"/>
              <w:right w:val="nil"/>
            </w:tcBorders>
            <w:shd w:val="clear" w:color="auto" w:fill="auto"/>
            <w:noWrap/>
            <w:vAlign w:val="bottom"/>
            <w:hideMark/>
          </w:tcPr>
          <w:p w14:paraId="46533011" w14:textId="77777777" w:rsidR="00054523" w:rsidRPr="008669C3" w:rsidRDefault="00054523" w:rsidP="00054523">
            <w:pPr>
              <w:jc w:val="center"/>
              <w:rPr>
                <w:color w:val="000000"/>
                <w:sz w:val="22"/>
                <w:szCs w:val="22"/>
              </w:rPr>
            </w:pPr>
            <w:r w:rsidRPr="008669C3">
              <w:rPr>
                <w:color w:val="000000"/>
                <w:sz w:val="22"/>
                <w:szCs w:val="22"/>
              </w:rPr>
              <w:t>0.284</w:t>
            </w:r>
          </w:p>
        </w:tc>
        <w:tc>
          <w:tcPr>
            <w:tcW w:w="124" w:type="pct"/>
            <w:tcBorders>
              <w:top w:val="nil"/>
              <w:left w:val="nil"/>
              <w:bottom w:val="nil"/>
              <w:right w:val="nil"/>
            </w:tcBorders>
            <w:shd w:val="clear" w:color="auto" w:fill="auto"/>
            <w:noWrap/>
            <w:vAlign w:val="bottom"/>
            <w:hideMark/>
          </w:tcPr>
          <w:p w14:paraId="0067C89B" w14:textId="77777777" w:rsidR="00054523" w:rsidRPr="008669C3" w:rsidRDefault="00054523" w:rsidP="00054523">
            <w:pPr>
              <w:jc w:val="center"/>
              <w:rPr>
                <w:color w:val="000000"/>
                <w:sz w:val="22"/>
                <w:szCs w:val="22"/>
              </w:rPr>
            </w:pPr>
          </w:p>
        </w:tc>
        <w:tc>
          <w:tcPr>
            <w:tcW w:w="359" w:type="pct"/>
            <w:tcBorders>
              <w:top w:val="nil"/>
              <w:left w:val="nil"/>
              <w:bottom w:val="nil"/>
              <w:right w:val="nil"/>
            </w:tcBorders>
            <w:shd w:val="clear" w:color="auto" w:fill="auto"/>
            <w:noWrap/>
            <w:vAlign w:val="bottom"/>
            <w:hideMark/>
          </w:tcPr>
          <w:p w14:paraId="2887A047" w14:textId="77777777" w:rsidR="00054523" w:rsidRPr="008669C3" w:rsidRDefault="00054523" w:rsidP="00054523">
            <w:pPr>
              <w:jc w:val="center"/>
              <w:rPr>
                <w:color w:val="000000"/>
                <w:sz w:val="22"/>
                <w:szCs w:val="22"/>
              </w:rPr>
            </w:pPr>
            <w:r w:rsidRPr="008669C3">
              <w:rPr>
                <w:color w:val="000000"/>
                <w:sz w:val="22"/>
                <w:szCs w:val="22"/>
              </w:rPr>
              <w:t>0.192</w:t>
            </w:r>
          </w:p>
        </w:tc>
        <w:tc>
          <w:tcPr>
            <w:tcW w:w="406" w:type="pct"/>
            <w:tcBorders>
              <w:top w:val="nil"/>
              <w:left w:val="nil"/>
              <w:bottom w:val="nil"/>
              <w:right w:val="nil"/>
            </w:tcBorders>
            <w:shd w:val="clear" w:color="auto" w:fill="auto"/>
            <w:noWrap/>
            <w:vAlign w:val="bottom"/>
            <w:hideMark/>
          </w:tcPr>
          <w:p w14:paraId="761C7F96" w14:textId="77777777" w:rsidR="00054523" w:rsidRPr="008669C3" w:rsidRDefault="00054523" w:rsidP="00054523">
            <w:pPr>
              <w:jc w:val="center"/>
              <w:rPr>
                <w:color w:val="000000"/>
                <w:sz w:val="22"/>
                <w:szCs w:val="22"/>
              </w:rPr>
            </w:pPr>
            <w:r w:rsidRPr="008669C3">
              <w:rPr>
                <w:color w:val="000000"/>
                <w:sz w:val="22"/>
                <w:szCs w:val="22"/>
              </w:rPr>
              <w:t>0.214</w:t>
            </w:r>
          </w:p>
        </w:tc>
      </w:tr>
      <w:tr w:rsidR="00054523" w:rsidRPr="008669C3" w14:paraId="49601DF8" w14:textId="77777777" w:rsidTr="007C7B8B">
        <w:trPr>
          <w:trHeight w:val="20"/>
        </w:trPr>
        <w:tc>
          <w:tcPr>
            <w:tcW w:w="1586" w:type="pct"/>
            <w:tcBorders>
              <w:top w:val="nil"/>
              <w:left w:val="nil"/>
              <w:right w:val="nil"/>
            </w:tcBorders>
            <w:shd w:val="clear" w:color="auto" w:fill="auto"/>
            <w:noWrap/>
            <w:vAlign w:val="bottom"/>
            <w:hideMark/>
          </w:tcPr>
          <w:p w14:paraId="3E66F428" w14:textId="3D8A9EA1" w:rsidR="00054523" w:rsidRPr="008669C3" w:rsidRDefault="00910EEA" w:rsidP="00054523">
            <w:pPr>
              <w:rPr>
                <w:iCs/>
                <w:color w:val="000000"/>
                <w:sz w:val="22"/>
                <w:szCs w:val="22"/>
              </w:rPr>
            </w:pPr>
            <w:r w:rsidRPr="008669C3">
              <w:rPr>
                <w:i/>
                <w:iCs/>
                <w:color w:val="000000"/>
                <w:sz w:val="22"/>
                <w:szCs w:val="22"/>
              </w:rPr>
              <w:t>t</w:t>
            </w:r>
            <w:r w:rsidRPr="008669C3">
              <w:rPr>
                <w:iCs/>
                <w:color w:val="000000"/>
                <w:sz w:val="22"/>
                <w:szCs w:val="22"/>
              </w:rPr>
              <w:t xml:space="preserve"> </w:t>
            </w:r>
            <w:r w:rsidR="00054523" w:rsidRPr="008669C3">
              <w:rPr>
                <w:iCs/>
                <w:color w:val="000000"/>
                <w:sz w:val="22"/>
                <w:szCs w:val="22"/>
              </w:rPr>
              <w:t>+</w:t>
            </w:r>
            <w:r w:rsidRPr="008669C3">
              <w:rPr>
                <w:iCs/>
                <w:color w:val="000000"/>
                <w:sz w:val="22"/>
                <w:szCs w:val="22"/>
              </w:rPr>
              <w:t xml:space="preserve"> </w:t>
            </w:r>
            <w:r w:rsidR="00054523" w:rsidRPr="008669C3">
              <w:rPr>
                <w:iCs/>
                <w:color w:val="000000"/>
                <w:sz w:val="22"/>
                <w:szCs w:val="22"/>
              </w:rPr>
              <w:t>1</w:t>
            </w:r>
          </w:p>
        </w:tc>
        <w:tc>
          <w:tcPr>
            <w:tcW w:w="325" w:type="pct"/>
            <w:tcBorders>
              <w:top w:val="nil"/>
              <w:left w:val="nil"/>
              <w:right w:val="nil"/>
            </w:tcBorders>
            <w:shd w:val="clear" w:color="auto" w:fill="auto"/>
            <w:noWrap/>
            <w:vAlign w:val="bottom"/>
            <w:hideMark/>
          </w:tcPr>
          <w:p w14:paraId="0EB18956" w14:textId="77777777" w:rsidR="00054523" w:rsidRPr="008669C3" w:rsidRDefault="00054523" w:rsidP="00054523">
            <w:pPr>
              <w:jc w:val="center"/>
              <w:rPr>
                <w:color w:val="000000"/>
                <w:sz w:val="22"/>
                <w:szCs w:val="22"/>
              </w:rPr>
            </w:pPr>
            <w:r w:rsidRPr="008669C3">
              <w:rPr>
                <w:color w:val="000000"/>
                <w:sz w:val="22"/>
                <w:szCs w:val="22"/>
              </w:rPr>
              <w:t>5.642</w:t>
            </w:r>
          </w:p>
        </w:tc>
        <w:tc>
          <w:tcPr>
            <w:tcW w:w="406" w:type="pct"/>
            <w:tcBorders>
              <w:top w:val="nil"/>
              <w:left w:val="nil"/>
              <w:right w:val="nil"/>
            </w:tcBorders>
            <w:shd w:val="clear" w:color="auto" w:fill="auto"/>
            <w:noWrap/>
            <w:vAlign w:val="bottom"/>
            <w:hideMark/>
          </w:tcPr>
          <w:p w14:paraId="4BEE63CF" w14:textId="77777777" w:rsidR="00054523" w:rsidRPr="008669C3" w:rsidRDefault="00054523" w:rsidP="00054523">
            <w:pPr>
              <w:jc w:val="center"/>
              <w:rPr>
                <w:color w:val="000000"/>
                <w:sz w:val="22"/>
                <w:szCs w:val="22"/>
              </w:rPr>
            </w:pPr>
            <w:r w:rsidRPr="008669C3">
              <w:rPr>
                <w:color w:val="000000"/>
                <w:sz w:val="22"/>
                <w:szCs w:val="22"/>
              </w:rPr>
              <w:t>4.807</w:t>
            </w:r>
          </w:p>
        </w:tc>
        <w:tc>
          <w:tcPr>
            <w:tcW w:w="124" w:type="pct"/>
            <w:tcBorders>
              <w:top w:val="nil"/>
              <w:left w:val="nil"/>
              <w:right w:val="nil"/>
            </w:tcBorders>
            <w:shd w:val="clear" w:color="auto" w:fill="auto"/>
            <w:noWrap/>
            <w:vAlign w:val="bottom"/>
            <w:hideMark/>
          </w:tcPr>
          <w:p w14:paraId="1377E58D" w14:textId="77777777" w:rsidR="00054523" w:rsidRPr="008669C3" w:rsidRDefault="00054523" w:rsidP="00054523">
            <w:pPr>
              <w:jc w:val="center"/>
              <w:rPr>
                <w:color w:val="000000"/>
                <w:sz w:val="22"/>
                <w:szCs w:val="22"/>
              </w:rPr>
            </w:pPr>
          </w:p>
        </w:tc>
        <w:tc>
          <w:tcPr>
            <w:tcW w:w="375" w:type="pct"/>
            <w:tcBorders>
              <w:top w:val="nil"/>
              <w:left w:val="nil"/>
              <w:right w:val="nil"/>
            </w:tcBorders>
            <w:shd w:val="clear" w:color="auto" w:fill="auto"/>
            <w:noWrap/>
            <w:vAlign w:val="bottom"/>
            <w:hideMark/>
          </w:tcPr>
          <w:p w14:paraId="79AE1488" w14:textId="77777777" w:rsidR="00054523" w:rsidRPr="008669C3" w:rsidRDefault="00054523" w:rsidP="00054523">
            <w:pPr>
              <w:jc w:val="center"/>
              <w:rPr>
                <w:color w:val="000000"/>
                <w:sz w:val="22"/>
                <w:szCs w:val="22"/>
              </w:rPr>
            </w:pPr>
            <w:r w:rsidRPr="008669C3">
              <w:rPr>
                <w:color w:val="000000"/>
                <w:sz w:val="22"/>
                <w:szCs w:val="22"/>
              </w:rPr>
              <w:t>12.662</w:t>
            </w:r>
          </w:p>
        </w:tc>
        <w:tc>
          <w:tcPr>
            <w:tcW w:w="406" w:type="pct"/>
            <w:tcBorders>
              <w:top w:val="nil"/>
              <w:left w:val="nil"/>
              <w:right w:val="nil"/>
            </w:tcBorders>
            <w:shd w:val="clear" w:color="auto" w:fill="auto"/>
            <w:noWrap/>
            <w:vAlign w:val="bottom"/>
            <w:hideMark/>
          </w:tcPr>
          <w:p w14:paraId="26569C18" w14:textId="77777777" w:rsidR="00054523" w:rsidRPr="008669C3" w:rsidRDefault="00054523" w:rsidP="00054523">
            <w:pPr>
              <w:jc w:val="center"/>
              <w:rPr>
                <w:color w:val="000000"/>
                <w:sz w:val="22"/>
                <w:szCs w:val="22"/>
              </w:rPr>
            </w:pPr>
            <w:r w:rsidRPr="008669C3">
              <w:rPr>
                <w:color w:val="000000"/>
                <w:sz w:val="22"/>
                <w:szCs w:val="22"/>
              </w:rPr>
              <w:t>9.931</w:t>
            </w:r>
          </w:p>
        </w:tc>
        <w:tc>
          <w:tcPr>
            <w:tcW w:w="124" w:type="pct"/>
            <w:tcBorders>
              <w:top w:val="nil"/>
              <w:left w:val="nil"/>
              <w:right w:val="nil"/>
            </w:tcBorders>
            <w:shd w:val="clear" w:color="auto" w:fill="auto"/>
            <w:noWrap/>
            <w:vAlign w:val="bottom"/>
            <w:hideMark/>
          </w:tcPr>
          <w:p w14:paraId="63AF13C4" w14:textId="77777777" w:rsidR="00054523" w:rsidRPr="008669C3" w:rsidRDefault="00054523" w:rsidP="00054523">
            <w:pPr>
              <w:jc w:val="center"/>
              <w:rPr>
                <w:color w:val="000000"/>
                <w:sz w:val="22"/>
                <w:szCs w:val="22"/>
              </w:rPr>
            </w:pPr>
          </w:p>
        </w:tc>
        <w:tc>
          <w:tcPr>
            <w:tcW w:w="359" w:type="pct"/>
            <w:tcBorders>
              <w:top w:val="nil"/>
              <w:left w:val="nil"/>
              <w:right w:val="nil"/>
            </w:tcBorders>
            <w:shd w:val="clear" w:color="auto" w:fill="auto"/>
            <w:noWrap/>
            <w:vAlign w:val="bottom"/>
            <w:hideMark/>
          </w:tcPr>
          <w:p w14:paraId="4E96383E" w14:textId="77777777" w:rsidR="00054523" w:rsidRPr="008669C3" w:rsidRDefault="00054523" w:rsidP="00054523">
            <w:pPr>
              <w:jc w:val="center"/>
              <w:rPr>
                <w:color w:val="000000"/>
                <w:sz w:val="22"/>
                <w:szCs w:val="22"/>
              </w:rPr>
            </w:pPr>
            <w:r w:rsidRPr="008669C3">
              <w:rPr>
                <w:color w:val="000000"/>
                <w:sz w:val="22"/>
                <w:szCs w:val="22"/>
              </w:rPr>
              <w:t>0.267</w:t>
            </w:r>
          </w:p>
        </w:tc>
        <w:tc>
          <w:tcPr>
            <w:tcW w:w="406" w:type="pct"/>
            <w:tcBorders>
              <w:top w:val="nil"/>
              <w:left w:val="nil"/>
              <w:right w:val="nil"/>
            </w:tcBorders>
            <w:shd w:val="clear" w:color="auto" w:fill="auto"/>
            <w:noWrap/>
            <w:vAlign w:val="bottom"/>
            <w:hideMark/>
          </w:tcPr>
          <w:p w14:paraId="73F88DE5" w14:textId="77777777" w:rsidR="00054523" w:rsidRPr="008669C3" w:rsidRDefault="00054523" w:rsidP="00054523">
            <w:pPr>
              <w:jc w:val="center"/>
              <w:rPr>
                <w:color w:val="000000"/>
                <w:sz w:val="22"/>
                <w:szCs w:val="22"/>
              </w:rPr>
            </w:pPr>
            <w:r w:rsidRPr="008669C3">
              <w:rPr>
                <w:color w:val="000000"/>
                <w:sz w:val="22"/>
                <w:szCs w:val="22"/>
              </w:rPr>
              <w:t>0.264</w:t>
            </w:r>
          </w:p>
        </w:tc>
        <w:tc>
          <w:tcPr>
            <w:tcW w:w="124" w:type="pct"/>
            <w:tcBorders>
              <w:top w:val="nil"/>
              <w:left w:val="nil"/>
              <w:right w:val="nil"/>
            </w:tcBorders>
            <w:shd w:val="clear" w:color="auto" w:fill="auto"/>
            <w:noWrap/>
            <w:vAlign w:val="bottom"/>
            <w:hideMark/>
          </w:tcPr>
          <w:p w14:paraId="21686F32" w14:textId="77777777" w:rsidR="00054523" w:rsidRPr="008669C3" w:rsidRDefault="00054523" w:rsidP="00054523">
            <w:pPr>
              <w:jc w:val="center"/>
              <w:rPr>
                <w:color w:val="000000"/>
                <w:sz w:val="22"/>
                <w:szCs w:val="22"/>
              </w:rPr>
            </w:pPr>
          </w:p>
        </w:tc>
        <w:tc>
          <w:tcPr>
            <w:tcW w:w="359" w:type="pct"/>
            <w:tcBorders>
              <w:top w:val="nil"/>
              <w:left w:val="nil"/>
              <w:right w:val="nil"/>
            </w:tcBorders>
            <w:shd w:val="clear" w:color="auto" w:fill="auto"/>
            <w:noWrap/>
            <w:vAlign w:val="bottom"/>
            <w:hideMark/>
          </w:tcPr>
          <w:p w14:paraId="3E7EA54F" w14:textId="77777777" w:rsidR="00054523" w:rsidRPr="008669C3" w:rsidRDefault="00054523" w:rsidP="00054523">
            <w:pPr>
              <w:jc w:val="center"/>
              <w:rPr>
                <w:color w:val="000000"/>
                <w:sz w:val="22"/>
                <w:szCs w:val="22"/>
              </w:rPr>
            </w:pPr>
            <w:r w:rsidRPr="008669C3">
              <w:rPr>
                <w:color w:val="000000"/>
                <w:sz w:val="22"/>
                <w:szCs w:val="22"/>
              </w:rPr>
              <w:t>0.174</w:t>
            </w:r>
          </w:p>
        </w:tc>
        <w:tc>
          <w:tcPr>
            <w:tcW w:w="406" w:type="pct"/>
            <w:tcBorders>
              <w:top w:val="nil"/>
              <w:left w:val="nil"/>
              <w:right w:val="nil"/>
            </w:tcBorders>
            <w:shd w:val="clear" w:color="auto" w:fill="auto"/>
            <w:noWrap/>
            <w:vAlign w:val="bottom"/>
            <w:hideMark/>
          </w:tcPr>
          <w:p w14:paraId="1B98A0DE" w14:textId="77777777" w:rsidR="00054523" w:rsidRPr="008669C3" w:rsidRDefault="00054523" w:rsidP="00054523">
            <w:pPr>
              <w:jc w:val="center"/>
              <w:rPr>
                <w:color w:val="000000"/>
                <w:sz w:val="22"/>
                <w:szCs w:val="22"/>
              </w:rPr>
            </w:pPr>
            <w:r w:rsidRPr="008669C3">
              <w:rPr>
                <w:color w:val="000000"/>
                <w:sz w:val="22"/>
                <w:szCs w:val="22"/>
              </w:rPr>
              <w:t>0.186</w:t>
            </w:r>
          </w:p>
        </w:tc>
      </w:tr>
      <w:tr w:rsidR="00054523" w:rsidRPr="008669C3" w14:paraId="080EEEDF" w14:textId="77777777" w:rsidTr="007C7B8B">
        <w:trPr>
          <w:trHeight w:val="20"/>
        </w:trPr>
        <w:tc>
          <w:tcPr>
            <w:tcW w:w="1586" w:type="pct"/>
            <w:tcBorders>
              <w:top w:val="nil"/>
              <w:left w:val="nil"/>
              <w:right w:val="nil"/>
            </w:tcBorders>
            <w:shd w:val="clear" w:color="auto" w:fill="auto"/>
            <w:noWrap/>
            <w:vAlign w:val="bottom"/>
            <w:hideMark/>
          </w:tcPr>
          <w:p w14:paraId="076A8B37" w14:textId="0C5C0E7D" w:rsidR="00054523" w:rsidRPr="008669C3" w:rsidRDefault="00910EEA" w:rsidP="00054523">
            <w:pPr>
              <w:rPr>
                <w:iCs/>
                <w:color w:val="000000"/>
                <w:sz w:val="22"/>
                <w:szCs w:val="22"/>
              </w:rPr>
            </w:pPr>
            <w:r w:rsidRPr="008669C3">
              <w:rPr>
                <w:i/>
                <w:iCs/>
                <w:color w:val="000000"/>
                <w:sz w:val="22"/>
                <w:szCs w:val="22"/>
              </w:rPr>
              <w:t>t</w:t>
            </w:r>
            <w:r w:rsidRPr="008669C3">
              <w:rPr>
                <w:iCs/>
                <w:color w:val="000000"/>
                <w:sz w:val="22"/>
                <w:szCs w:val="22"/>
              </w:rPr>
              <w:t xml:space="preserve"> </w:t>
            </w:r>
            <w:r w:rsidR="00054523" w:rsidRPr="008669C3">
              <w:rPr>
                <w:iCs/>
                <w:color w:val="000000"/>
                <w:sz w:val="22"/>
                <w:szCs w:val="22"/>
              </w:rPr>
              <w:t>+</w:t>
            </w:r>
            <w:r w:rsidRPr="008669C3">
              <w:rPr>
                <w:iCs/>
                <w:color w:val="000000"/>
                <w:sz w:val="22"/>
                <w:szCs w:val="22"/>
              </w:rPr>
              <w:t xml:space="preserve"> </w:t>
            </w:r>
            <w:r w:rsidR="00054523" w:rsidRPr="008669C3">
              <w:rPr>
                <w:iCs/>
                <w:color w:val="000000"/>
                <w:sz w:val="22"/>
                <w:szCs w:val="22"/>
              </w:rPr>
              <w:t>2</w:t>
            </w:r>
          </w:p>
        </w:tc>
        <w:tc>
          <w:tcPr>
            <w:tcW w:w="325" w:type="pct"/>
            <w:tcBorders>
              <w:top w:val="nil"/>
              <w:left w:val="nil"/>
              <w:right w:val="nil"/>
            </w:tcBorders>
            <w:shd w:val="clear" w:color="auto" w:fill="auto"/>
            <w:noWrap/>
            <w:vAlign w:val="bottom"/>
            <w:hideMark/>
          </w:tcPr>
          <w:p w14:paraId="1D6B6179" w14:textId="77777777" w:rsidR="00054523" w:rsidRPr="008669C3" w:rsidRDefault="00054523" w:rsidP="00054523">
            <w:pPr>
              <w:jc w:val="center"/>
              <w:rPr>
                <w:color w:val="000000"/>
                <w:sz w:val="22"/>
                <w:szCs w:val="22"/>
              </w:rPr>
            </w:pPr>
            <w:r w:rsidRPr="008669C3">
              <w:rPr>
                <w:color w:val="000000"/>
                <w:sz w:val="22"/>
                <w:szCs w:val="22"/>
              </w:rPr>
              <w:t>5.586</w:t>
            </w:r>
          </w:p>
        </w:tc>
        <w:tc>
          <w:tcPr>
            <w:tcW w:w="406" w:type="pct"/>
            <w:tcBorders>
              <w:top w:val="nil"/>
              <w:left w:val="nil"/>
              <w:right w:val="nil"/>
            </w:tcBorders>
            <w:shd w:val="clear" w:color="auto" w:fill="auto"/>
            <w:noWrap/>
            <w:vAlign w:val="bottom"/>
            <w:hideMark/>
          </w:tcPr>
          <w:p w14:paraId="3B87240B" w14:textId="77777777" w:rsidR="00054523" w:rsidRPr="008669C3" w:rsidRDefault="00054523" w:rsidP="00054523">
            <w:pPr>
              <w:jc w:val="center"/>
              <w:rPr>
                <w:color w:val="000000"/>
                <w:sz w:val="22"/>
                <w:szCs w:val="22"/>
              </w:rPr>
            </w:pPr>
            <w:r w:rsidRPr="008669C3">
              <w:rPr>
                <w:color w:val="000000"/>
                <w:sz w:val="22"/>
                <w:szCs w:val="22"/>
              </w:rPr>
              <w:t>4.936</w:t>
            </w:r>
          </w:p>
        </w:tc>
        <w:tc>
          <w:tcPr>
            <w:tcW w:w="124" w:type="pct"/>
            <w:tcBorders>
              <w:top w:val="nil"/>
              <w:left w:val="nil"/>
              <w:right w:val="nil"/>
            </w:tcBorders>
            <w:shd w:val="clear" w:color="auto" w:fill="auto"/>
            <w:noWrap/>
            <w:vAlign w:val="bottom"/>
            <w:hideMark/>
          </w:tcPr>
          <w:p w14:paraId="4A7E7F9B" w14:textId="77777777" w:rsidR="00054523" w:rsidRPr="008669C3" w:rsidRDefault="00054523" w:rsidP="00054523">
            <w:pPr>
              <w:jc w:val="center"/>
              <w:rPr>
                <w:color w:val="000000"/>
                <w:sz w:val="22"/>
                <w:szCs w:val="22"/>
              </w:rPr>
            </w:pPr>
          </w:p>
        </w:tc>
        <w:tc>
          <w:tcPr>
            <w:tcW w:w="375" w:type="pct"/>
            <w:tcBorders>
              <w:top w:val="nil"/>
              <w:left w:val="nil"/>
              <w:right w:val="nil"/>
            </w:tcBorders>
            <w:shd w:val="clear" w:color="auto" w:fill="auto"/>
            <w:noWrap/>
            <w:vAlign w:val="bottom"/>
            <w:hideMark/>
          </w:tcPr>
          <w:p w14:paraId="71F22D54" w14:textId="77777777" w:rsidR="00054523" w:rsidRPr="008669C3" w:rsidRDefault="00054523" w:rsidP="00054523">
            <w:pPr>
              <w:jc w:val="center"/>
              <w:rPr>
                <w:color w:val="000000"/>
                <w:sz w:val="22"/>
                <w:szCs w:val="22"/>
              </w:rPr>
            </w:pPr>
            <w:r w:rsidRPr="008669C3">
              <w:rPr>
                <w:color w:val="000000"/>
                <w:sz w:val="22"/>
                <w:szCs w:val="22"/>
              </w:rPr>
              <w:t>12.617</w:t>
            </w:r>
          </w:p>
        </w:tc>
        <w:tc>
          <w:tcPr>
            <w:tcW w:w="406" w:type="pct"/>
            <w:tcBorders>
              <w:top w:val="nil"/>
              <w:left w:val="nil"/>
              <w:right w:val="nil"/>
            </w:tcBorders>
            <w:shd w:val="clear" w:color="auto" w:fill="auto"/>
            <w:noWrap/>
            <w:vAlign w:val="bottom"/>
            <w:hideMark/>
          </w:tcPr>
          <w:p w14:paraId="72C1EF6A" w14:textId="77777777" w:rsidR="00054523" w:rsidRPr="008669C3" w:rsidRDefault="00054523" w:rsidP="00054523">
            <w:pPr>
              <w:jc w:val="center"/>
              <w:rPr>
                <w:color w:val="000000"/>
                <w:sz w:val="22"/>
                <w:szCs w:val="22"/>
              </w:rPr>
            </w:pPr>
            <w:r w:rsidRPr="008669C3">
              <w:rPr>
                <w:color w:val="000000"/>
                <w:sz w:val="22"/>
                <w:szCs w:val="22"/>
              </w:rPr>
              <w:t>10.144</w:t>
            </w:r>
          </w:p>
        </w:tc>
        <w:tc>
          <w:tcPr>
            <w:tcW w:w="124" w:type="pct"/>
            <w:tcBorders>
              <w:top w:val="nil"/>
              <w:left w:val="nil"/>
              <w:right w:val="nil"/>
            </w:tcBorders>
            <w:shd w:val="clear" w:color="auto" w:fill="auto"/>
            <w:noWrap/>
            <w:vAlign w:val="bottom"/>
            <w:hideMark/>
          </w:tcPr>
          <w:p w14:paraId="150AB81C" w14:textId="77777777" w:rsidR="00054523" w:rsidRPr="008669C3" w:rsidRDefault="00054523" w:rsidP="00054523">
            <w:pPr>
              <w:jc w:val="center"/>
              <w:rPr>
                <w:color w:val="000000"/>
                <w:sz w:val="22"/>
                <w:szCs w:val="22"/>
              </w:rPr>
            </w:pPr>
          </w:p>
        </w:tc>
        <w:tc>
          <w:tcPr>
            <w:tcW w:w="359" w:type="pct"/>
            <w:tcBorders>
              <w:top w:val="nil"/>
              <w:left w:val="nil"/>
              <w:right w:val="nil"/>
            </w:tcBorders>
            <w:shd w:val="clear" w:color="auto" w:fill="auto"/>
            <w:noWrap/>
            <w:vAlign w:val="bottom"/>
            <w:hideMark/>
          </w:tcPr>
          <w:p w14:paraId="5745D4B9" w14:textId="77777777" w:rsidR="00054523" w:rsidRPr="008669C3" w:rsidRDefault="00054523" w:rsidP="00054523">
            <w:pPr>
              <w:jc w:val="center"/>
              <w:rPr>
                <w:color w:val="000000"/>
                <w:sz w:val="22"/>
                <w:szCs w:val="22"/>
              </w:rPr>
            </w:pPr>
            <w:r w:rsidRPr="008669C3">
              <w:rPr>
                <w:color w:val="000000"/>
                <w:sz w:val="22"/>
                <w:szCs w:val="22"/>
              </w:rPr>
              <w:t>0.260</w:t>
            </w:r>
          </w:p>
        </w:tc>
        <w:tc>
          <w:tcPr>
            <w:tcW w:w="406" w:type="pct"/>
            <w:tcBorders>
              <w:top w:val="nil"/>
              <w:left w:val="nil"/>
              <w:right w:val="nil"/>
            </w:tcBorders>
            <w:shd w:val="clear" w:color="auto" w:fill="auto"/>
            <w:noWrap/>
            <w:vAlign w:val="bottom"/>
            <w:hideMark/>
          </w:tcPr>
          <w:p w14:paraId="2CFEB325" w14:textId="77777777" w:rsidR="00054523" w:rsidRPr="008669C3" w:rsidRDefault="00054523" w:rsidP="00054523">
            <w:pPr>
              <w:jc w:val="center"/>
              <w:rPr>
                <w:color w:val="000000"/>
                <w:sz w:val="22"/>
                <w:szCs w:val="22"/>
              </w:rPr>
            </w:pPr>
            <w:r w:rsidRPr="008669C3">
              <w:rPr>
                <w:color w:val="000000"/>
                <w:sz w:val="22"/>
                <w:szCs w:val="22"/>
              </w:rPr>
              <w:t>0.249</w:t>
            </w:r>
          </w:p>
        </w:tc>
        <w:tc>
          <w:tcPr>
            <w:tcW w:w="124" w:type="pct"/>
            <w:tcBorders>
              <w:top w:val="nil"/>
              <w:left w:val="nil"/>
              <w:right w:val="nil"/>
            </w:tcBorders>
            <w:shd w:val="clear" w:color="auto" w:fill="auto"/>
            <w:noWrap/>
            <w:vAlign w:val="bottom"/>
            <w:hideMark/>
          </w:tcPr>
          <w:p w14:paraId="422B6889" w14:textId="77777777" w:rsidR="00054523" w:rsidRPr="008669C3" w:rsidRDefault="00054523" w:rsidP="00054523">
            <w:pPr>
              <w:jc w:val="center"/>
              <w:rPr>
                <w:color w:val="000000"/>
                <w:sz w:val="22"/>
                <w:szCs w:val="22"/>
              </w:rPr>
            </w:pPr>
          </w:p>
        </w:tc>
        <w:tc>
          <w:tcPr>
            <w:tcW w:w="359" w:type="pct"/>
            <w:tcBorders>
              <w:top w:val="nil"/>
              <w:left w:val="nil"/>
              <w:right w:val="nil"/>
            </w:tcBorders>
            <w:shd w:val="clear" w:color="auto" w:fill="auto"/>
            <w:noWrap/>
            <w:vAlign w:val="bottom"/>
            <w:hideMark/>
          </w:tcPr>
          <w:p w14:paraId="16561E4C" w14:textId="77777777" w:rsidR="00054523" w:rsidRPr="008669C3" w:rsidRDefault="00054523" w:rsidP="00054523">
            <w:pPr>
              <w:jc w:val="center"/>
              <w:rPr>
                <w:color w:val="000000"/>
                <w:sz w:val="22"/>
                <w:szCs w:val="22"/>
              </w:rPr>
            </w:pPr>
            <w:r w:rsidRPr="008669C3">
              <w:rPr>
                <w:color w:val="000000"/>
                <w:sz w:val="22"/>
                <w:szCs w:val="22"/>
              </w:rPr>
              <w:t>0.163</w:t>
            </w:r>
          </w:p>
        </w:tc>
        <w:tc>
          <w:tcPr>
            <w:tcW w:w="406" w:type="pct"/>
            <w:tcBorders>
              <w:top w:val="nil"/>
              <w:left w:val="nil"/>
              <w:right w:val="nil"/>
            </w:tcBorders>
            <w:shd w:val="clear" w:color="auto" w:fill="auto"/>
            <w:noWrap/>
            <w:vAlign w:val="bottom"/>
            <w:hideMark/>
          </w:tcPr>
          <w:p w14:paraId="00D50AE0" w14:textId="77777777" w:rsidR="00054523" w:rsidRPr="008669C3" w:rsidRDefault="00054523" w:rsidP="00054523">
            <w:pPr>
              <w:jc w:val="center"/>
              <w:rPr>
                <w:color w:val="000000"/>
                <w:sz w:val="22"/>
                <w:szCs w:val="22"/>
              </w:rPr>
            </w:pPr>
            <w:r w:rsidRPr="008669C3">
              <w:rPr>
                <w:color w:val="000000"/>
                <w:sz w:val="22"/>
                <w:szCs w:val="22"/>
              </w:rPr>
              <w:t>0.176</w:t>
            </w:r>
          </w:p>
        </w:tc>
      </w:tr>
      <w:tr w:rsidR="00054523" w:rsidRPr="008669C3" w14:paraId="060784E1" w14:textId="77777777" w:rsidTr="007C7B8B">
        <w:trPr>
          <w:trHeight w:val="20"/>
        </w:trPr>
        <w:tc>
          <w:tcPr>
            <w:tcW w:w="1586" w:type="pct"/>
            <w:tcBorders>
              <w:left w:val="nil"/>
              <w:bottom w:val="nil"/>
              <w:right w:val="nil"/>
            </w:tcBorders>
            <w:shd w:val="clear" w:color="auto" w:fill="auto"/>
            <w:noWrap/>
            <w:vAlign w:val="bottom"/>
            <w:hideMark/>
          </w:tcPr>
          <w:p w14:paraId="3FEE9D08" w14:textId="77777777" w:rsidR="00054523" w:rsidRPr="008669C3" w:rsidRDefault="00054523" w:rsidP="00054523">
            <w:pPr>
              <w:jc w:val="center"/>
              <w:rPr>
                <w:color w:val="000000"/>
                <w:sz w:val="22"/>
                <w:szCs w:val="22"/>
              </w:rPr>
            </w:pPr>
          </w:p>
        </w:tc>
        <w:tc>
          <w:tcPr>
            <w:tcW w:w="325" w:type="pct"/>
            <w:tcBorders>
              <w:left w:val="nil"/>
              <w:bottom w:val="nil"/>
              <w:right w:val="nil"/>
            </w:tcBorders>
            <w:shd w:val="clear" w:color="auto" w:fill="auto"/>
            <w:noWrap/>
            <w:vAlign w:val="bottom"/>
            <w:hideMark/>
          </w:tcPr>
          <w:p w14:paraId="400B0DD7" w14:textId="77777777" w:rsidR="00054523" w:rsidRPr="008669C3" w:rsidRDefault="00054523" w:rsidP="00054523">
            <w:pPr>
              <w:rPr>
                <w:sz w:val="22"/>
                <w:szCs w:val="22"/>
              </w:rPr>
            </w:pPr>
          </w:p>
        </w:tc>
        <w:tc>
          <w:tcPr>
            <w:tcW w:w="406" w:type="pct"/>
            <w:tcBorders>
              <w:left w:val="nil"/>
              <w:bottom w:val="nil"/>
              <w:right w:val="nil"/>
            </w:tcBorders>
            <w:shd w:val="clear" w:color="auto" w:fill="auto"/>
            <w:noWrap/>
            <w:vAlign w:val="bottom"/>
            <w:hideMark/>
          </w:tcPr>
          <w:p w14:paraId="031ECFAB" w14:textId="77777777" w:rsidR="00054523" w:rsidRPr="008669C3" w:rsidRDefault="00054523" w:rsidP="00054523">
            <w:pPr>
              <w:jc w:val="center"/>
              <w:rPr>
                <w:sz w:val="22"/>
                <w:szCs w:val="22"/>
              </w:rPr>
            </w:pPr>
          </w:p>
        </w:tc>
        <w:tc>
          <w:tcPr>
            <w:tcW w:w="124" w:type="pct"/>
            <w:tcBorders>
              <w:left w:val="nil"/>
              <w:bottom w:val="nil"/>
              <w:right w:val="nil"/>
            </w:tcBorders>
            <w:shd w:val="clear" w:color="auto" w:fill="auto"/>
            <w:noWrap/>
            <w:vAlign w:val="bottom"/>
            <w:hideMark/>
          </w:tcPr>
          <w:p w14:paraId="50118F70" w14:textId="77777777" w:rsidR="00054523" w:rsidRPr="008669C3" w:rsidRDefault="00054523" w:rsidP="00054523">
            <w:pPr>
              <w:jc w:val="center"/>
              <w:rPr>
                <w:sz w:val="22"/>
                <w:szCs w:val="22"/>
              </w:rPr>
            </w:pPr>
          </w:p>
        </w:tc>
        <w:tc>
          <w:tcPr>
            <w:tcW w:w="375" w:type="pct"/>
            <w:tcBorders>
              <w:left w:val="nil"/>
              <w:bottom w:val="nil"/>
              <w:right w:val="nil"/>
            </w:tcBorders>
            <w:shd w:val="clear" w:color="auto" w:fill="auto"/>
            <w:noWrap/>
            <w:vAlign w:val="bottom"/>
            <w:hideMark/>
          </w:tcPr>
          <w:p w14:paraId="4CB89DFF" w14:textId="77777777" w:rsidR="00054523" w:rsidRPr="008669C3" w:rsidRDefault="00054523" w:rsidP="00054523">
            <w:pPr>
              <w:jc w:val="center"/>
              <w:rPr>
                <w:sz w:val="22"/>
                <w:szCs w:val="22"/>
              </w:rPr>
            </w:pPr>
          </w:p>
        </w:tc>
        <w:tc>
          <w:tcPr>
            <w:tcW w:w="406" w:type="pct"/>
            <w:tcBorders>
              <w:left w:val="nil"/>
              <w:bottom w:val="nil"/>
              <w:right w:val="nil"/>
            </w:tcBorders>
            <w:shd w:val="clear" w:color="auto" w:fill="auto"/>
            <w:noWrap/>
            <w:vAlign w:val="bottom"/>
            <w:hideMark/>
          </w:tcPr>
          <w:p w14:paraId="6192161A" w14:textId="77777777" w:rsidR="00054523" w:rsidRPr="008669C3" w:rsidRDefault="00054523" w:rsidP="00054523">
            <w:pPr>
              <w:jc w:val="center"/>
              <w:rPr>
                <w:sz w:val="22"/>
                <w:szCs w:val="22"/>
              </w:rPr>
            </w:pPr>
          </w:p>
        </w:tc>
        <w:tc>
          <w:tcPr>
            <w:tcW w:w="124" w:type="pct"/>
            <w:tcBorders>
              <w:left w:val="nil"/>
              <w:bottom w:val="nil"/>
              <w:right w:val="nil"/>
            </w:tcBorders>
            <w:shd w:val="clear" w:color="auto" w:fill="auto"/>
            <w:noWrap/>
            <w:vAlign w:val="bottom"/>
            <w:hideMark/>
          </w:tcPr>
          <w:p w14:paraId="3C66D4D0" w14:textId="77777777" w:rsidR="00054523" w:rsidRPr="008669C3" w:rsidRDefault="00054523" w:rsidP="00054523">
            <w:pPr>
              <w:jc w:val="center"/>
              <w:rPr>
                <w:sz w:val="22"/>
                <w:szCs w:val="22"/>
              </w:rPr>
            </w:pPr>
          </w:p>
        </w:tc>
        <w:tc>
          <w:tcPr>
            <w:tcW w:w="359" w:type="pct"/>
            <w:tcBorders>
              <w:left w:val="nil"/>
              <w:bottom w:val="nil"/>
              <w:right w:val="nil"/>
            </w:tcBorders>
            <w:shd w:val="clear" w:color="auto" w:fill="auto"/>
            <w:noWrap/>
            <w:vAlign w:val="bottom"/>
            <w:hideMark/>
          </w:tcPr>
          <w:p w14:paraId="4FFF0295" w14:textId="77777777" w:rsidR="00054523" w:rsidRPr="008669C3" w:rsidRDefault="00054523" w:rsidP="00054523">
            <w:pPr>
              <w:jc w:val="center"/>
              <w:rPr>
                <w:sz w:val="22"/>
                <w:szCs w:val="22"/>
              </w:rPr>
            </w:pPr>
          </w:p>
        </w:tc>
        <w:tc>
          <w:tcPr>
            <w:tcW w:w="406" w:type="pct"/>
            <w:tcBorders>
              <w:left w:val="nil"/>
              <w:bottom w:val="nil"/>
              <w:right w:val="nil"/>
            </w:tcBorders>
            <w:shd w:val="clear" w:color="auto" w:fill="auto"/>
            <w:noWrap/>
            <w:vAlign w:val="bottom"/>
            <w:hideMark/>
          </w:tcPr>
          <w:p w14:paraId="0512F1DD" w14:textId="77777777" w:rsidR="00054523" w:rsidRPr="008669C3" w:rsidRDefault="00054523" w:rsidP="00054523">
            <w:pPr>
              <w:jc w:val="center"/>
              <w:rPr>
                <w:sz w:val="22"/>
                <w:szCs w:val="22"/>
              </w:rPr>
            </w:pPr>
          </w:p>
        </w:tc>
        <w:tc>
          <w:tcPr>
            <w:tcW w:w="124" w:type="pct"/>
            <w:tcBorders>
              <w:left w:val="nil"/>
              <w:bottom w:val="nil"/>
              <w:right w:val="nil"/>
            </w:tcBorders>
            <w:shd w:val="clear" w:color="auto" w:fill="auto"/>
            <w:noWrap/>
            <w:vAlign w:val="bottom"/>
            <w:hideMark/>
          </w:tcPr>
          <w:p w14:paraId="42D555B2" w14:textId="77777777" w:rsidR="00054523" w:rsidRPr="008669C3" w:rsidRDefault="00054523" w:rsidP="00054523">
            <w:pPr>
              <w:jc w:val="center"/>
              <w:rPr>
                <w:sz w:val="22"/>
                <w:szCs w:val="22"/>
              </w:rPr>
            </w:pPr>
          </w:p>
        </w:tc>
        <w:tc>
          <w:tcPr>
            <w:tcW w:w="359" w:type="pct"/>
            <w:tcBorders>
              <w:left w:val="nil"/>
              <w:bottom w:val="nil"/>
              <w:right w:val="nil"/>
            </w:tcBorders>
            <w:shd w:val="clear" w:color="auto" w:fill="auto"/>
            <w:noWrap/>
            <w:vAlign w:val="bottom"/>
            <w:hideMark/>
          </w:tcPr>
          <w:p w14:paraId="0D45602A" w14:textId="77777777" w:rsidR="00054523" w:rsidRPr="008669C3" w:rsidRDefault="00054523" w:rsidP="00054523">
            <w:pPr>
              <w:rPr>
                <w:sz w:val="22"/>
                <w:szCs w:val="22"/>
              </w:rPr>
            </w:pPr>
          </w:p>
        </w:tc>
        <w:tc>
          <w:tcPr>
            <w:tcW w:w="406" w:type="pct"/>
            <w:tcBorders>
              <w:left w:val="nil"/>
              <w:bottom w:val="nil"/>
              <w:right w:val="nil"/>
            </w:tcBorders>
            <w:shd w:val="clear" w:color="auto" w:fill="auto"/>
            <w:noWrap/>
            <w:vAlign w:val="bottom"/>
            <w:hideMark/>
          </w:tcPr>
          <w:p w14:paraId="3986DE36" w14:textId="77777777" w:rsidR="00054523" w:rsidRPr="008669C3" w:rsidRDefault="00054523" w:rsidP="00054523">
            <w:pPr>
              <w:rPr>
                <w:sz w:val="22"/>
                <w:szCs w:val="22"/>
              </w:rPr>
            </w:pPr>
          </w:p>
        </w:tc>
      </w:tr>
      <w:tr w:rsidR="00054523" w:rsidRPr="008669C3" w14:paraId="18400F13" w14:textId="77777777" w:rsidTr="003D5386">
        <w:trPr>
          <w:trHeight w:val="20"/>
        </w:trPr>
        <w:tc>
          <w:tcPr>
            <w:tcW w:w="1586" w:type="pct"/>
            <w:tcBorders>
              <w:top w:val="nil"/>
              <w:left w:val="nil"/>
              <w:bottom w:val="nil"/>
              <w:right w:val="nil"/>
            </w:tcBorders>
            <w:shd w:val="clear" w:color="auto" w:fill="auto"/>
            <w:noWrap/>
            <w:vAlign w:val="bottom"/>
          </w:tcPr>
          <w:p w14:paraId="326A29F5" w14:textId="77777777" w:rsidR="00054523" w:rsidRPr="008669C3" w:rsidRDefault="00054523" w:rsidP="00054523">
            <w:pPr>
              <w:rPr>
                <w:iCs/>
                <w:color w:val="000000"/>
                <w:sz w:val="22"/>
                <w:szCs w:val="22"/>
              </w:rPr>
            </w:pPr>
          </w:p>
        </w:tc>
        <w:tc>
          <w:tcPr>
            <w:tcW w:w="325" w:type="pct"/>
            <w:tcBorders>
              <w:top w:val="nil"/>
              <w:left w:val="nil"/>
              <w:bottom w:val="nil"/>
              <w:right w:val="nil"/>
            </w:tcBorders>
            <w:shd w:val="clear" w:color="auto" w:fill="auto"/>
            <w:noWrap/>
            <w:vAlign w:val="bottom"/>
          </w:tcPr>
          <w:p w14:paraId="2DD85A58" w14:textId="77777777" w:rsidR="00054523" w:rsidRPr="008669C3" w:rsidRDefault="00054523" w:rsidP="00054523">
            <w:pPr>
              <w:jc w:val="center"/>
              <w:rPr>
                <w:color w:val="000000"/>
                <w:sz w:val="22"/>
                <w:szCs w:val="22"/>
              </w:rPr>
            </w:pPr>
          </w:p>
        </w:tc>
        <w:tc>
          <w:tcPr>
            <w:tcW w:w="406" w:type="pct"/>
            <w:tcBorders>
              <w:top w:val="nil"/>
              <w:left w:val="nil"/>
              <w:bottom w:val="nil"/>
              <w:right w:val="nil"/>
            </w:tcBorders>
            <w:shd w:val="clear" w:color="auto" w:fill="auto"/>
            <w:noWrap/>
            <w:vAlign w:val="bottom"/>
          </w:tcPr>
          <w:p w14:paraId="600EC09A" w14:textId="77777777" w:rsidR="00054523" w:rsidRPr="008669C3" w:rsidRDefault="00054523" w:rsidP="00054523">
            <w:pPr>
              <w:jc w:val="center"/>
              <w:rPr>
                <w:color w:val="000000"/>
                <w:sz w:val="22"/>
                <w:szCs w:val="22"/>
              </w:rPr>
            </w:pPr>
          </w:p>
        </w:tc>
        <w:tc>
          <w:tcPr>
            <w:tcW w:w="124" w:type="pct"/>
            <w:tcBorders>
              <w:top w:val="nil"/>
              <w:left w:val="nil"/>
              <w:bottom w:val="nil"/>
              <w:right w:val="nil"/>
            </w:tcBorders>
            <w:shd w:val="clear" w:color="auto" w:fill="auto"/>
            <w:noWrap/>
            <w:vAlign w:val="bottom"/>
          </w:tcPr>
          <w:p w14:paraId="30FFBD98" w14:textId="77777777" w:rsidR="00054523" w:rsidRPr="008669C3" w:rsidRDefault="00054523" w:rsidP="00054523">
            <w:pPr>
              <w:jc w:val="center"/>
              <w:rPr>
                <w:color w:val="000000"/>
                <w:sz w:val="22"/>
                <w:szCs w:val="22"/>
              </w:rPr>
            </w:pPr>
          </w:p>
        </w:tc>
        <w:tc>
          <w:tcPr>
            <w:tcW w:w="375" w:type="pct"/>
            <w:tcBorders>
              <w:top w:val="nil"/>
              <w:left w:val="nil"/>
              <w:bottom w:val="nil"/>
              <w:right w:val="nil"/>
            </w:tcBorders>
            <w:shd w:val="clear" w:color="auto" w:fill="auto"/>
            <w:noWrap/>
            <w:vAlign w:val="bottom"/>
          </w:tcPr>
          <w:p w14:paraId="5E194E67" w14:textId="77777777" w:rsidR="00054523" w:rsidRPr="008669C3" w:rsidRDefault="00054523" w:rsidP="00054523">
            <w:pPr>
              <w:jc w:val="center"/>
              <w:rPr>
                <w:color w:val="000000"/>
                <w:sz w:val="22"/>
                <w:szCs w:val="22"/>
              </w:rPr>
            </w:pPr>
          </w:p>
        </w:tc>
        <w:tc>
          <w:tcPr>
            <w:tcW w:w="406" w:type="pct"/>
            <w:tcBorders>
              <w:top w:val="nil"/>
              <w:left w:val="nil"/>
              <w:bottom w:val="nil"/>
              <w:right w:val="nil"/>
            </w:tcBorders>
            <w:shd w:val="clear" w:color="auto" w:fill="auto"/>
            <w:noWrap/>
            <w:vAlign w:val="bottom"/>
          </w:tcPr>
          <w:p w14:paraId="0BE1ABA0" w14:textId="77777777" w:rsidR="00054523" w:rsidRPr="008669C3" w:rsidRDefault="00054523" w:rsidP="00054523">
            <w:pPr>
              <w:jc w:val="center"/>
              <w:rPr>
                <w:color w:val="000000"/>
                <w:sz w:val="22"/>
                <w:szCs w:val="22"/>
              </w:rPr>
            </w:pPr>
          </w:p>
        </w:tc>
        <w:tc>
          <w:tcPr>
            <w:tcW w:w="124" w:type="pct"/>
            <w:tcBorders>
              <w:top w:val="nil"/>
              <w:left w:val="nil"/>
              <w:bottom w:val="nil"/>
              <w:right w:val="nil"/>
            </w:tcBorders>
            <w:shd w:val="clear" w:color="auto" w:fill="auto"/>
            <w:noWrap/>
            <w:vAlign w:val="bottom"/>
          </w:tcPr>
          <w:p w14:paraId="6B81C34F" w14:textId="77777777" w:rsidR="00054523" w:rsidRPr="008669C3" w:rsidRDefault="00054523" w:rsidP="00054523">
            <w:pPr>
              <w:jc w:val="center"/>
              <w:rPr>
                <w:color w:val="000000"/>
                <w:sz w:val="22"/>
                <w:szCs w:val="22"/>
              </w:rPr>
            </w:pPr>
          </w:p>
        </w:tc>
        <w:tc>
          <w:tcPr>
            <w:tcW w:w="359" w:type="pct"/>
            <w:tcBorders>
              <w:top w:val="nil"/>
              <w:left w:val="nil"/>
              <w:bottom w:val="nil"/>
              <w:right w:val="nil"/>
            </w:tcBorders>
            <w:shd w:val="clear" w:color="auto" w:fill="auto"/>
            <w:noWrap/>
            <w:vAlign w:val="bottom"/>
          </w:tcPr>
          <w:p w14:paraId="6C2E91A7" w14:textId="77777777" w:rsidR="00054523" w:rsidRPr="008669C3" w:rsidRDefault="00054523" w:rsidP="00054523">
            <w:pPr>
              <w:jc w:val="center"/>
              <w:rPr>
                <w:color w:val="000000"/>
                <w:sz w:val="22"/>
                <w:szCs w:val="22"/>
              </w:rPr>
            </w:pPr>
          </w:p>
        </w:tc>
        <w:tc>
          <w:tcPr>
            <w:tcW w:w="406" w:type="pct"/>
            <w:tcBorders>
              <w:top w:val="nil"/>
              <w:left w:val="nil"/>
              <w:bottom w:val="nil"/>
              <w:right w:val="nil"/>
            </w:tcBorders>
            <w:shd w:val="clear" w:color="auto" w:fill="auto"/>
            <w:noWrap/>
            <w:vAlign w:val="bottom"/>
          </w:tcPr>
          <w:p w14:paraId="5196997F" w14:textId="77777777" w:rsidR="00054523" w:rsidRPr="008669C3" w:rsidRDefault="00054523" w:rsidP="00054523">
            <w:pPr>
              <w:jc w:val="center"/>
              <w:rPr>
                <w:color w:val="000000"/>
                <w:sz w:val="22"/>
                <w:szCs w:val="22"/>
              </w:rPr>
            </w:pPr>
          </w:p>
        </w:tc>
        <w:tc>
          <w:tcPr>
            <w:tcW w:w="124" w:type="pct"/>
            <w:tcBorders>
              <w:top w:val="nil"/>
              <w:left w:val="nil"/>
              <w:bottom w:val="nil"/>
              <w:right w:val="nil"/>
            </w:tcBorders>
            <w:shd w:val="clear" w:color="auto" w:fill="auto"/>
            <w:noWrap/>
            <w:vAlign w:val="bottom"/>
          </w:tcPr>
          <w:p w14:paraId="198B7149" w14:textId="77777777" w:rsidR="00054523" w:rsidRPr="008669C3" w:rsidRDefault="00054523" w:rsidP="00054523">
            <w:pPr>
              <w:jc w:val="center"/>
              <w:rPr>
                <w:color w:val="000000"/>
                <w:sz w:val="22"/>
                <w:szCs w:val="22"/>
              </w:rPr>
            </w:pPr>
          </w:p>
        </w:tc>
        <w:tc>
          <w:tcPr>
            <w:tcW w:w="359" w:type="pct"/>
            <w:tcBorders>
              <w:top w:val="nil"/>
              <w:left w:val="nil"/>
              <w:bottom w:val="nil"/>
              <w:right w:val="nil"/>
            </w:tcBorders>
            <w:shd w:val="clear" w:color="auto" w:fill="auto"/>
            <w:noWrap/>
            <w:vAlign w:val="bottom"/>
          </w:tcPr>
          <w:p w14:paraId="1585B053" w14:textId="77777777" w:rsidR="00054523" w:rsidRPr="008669C3" w:rsidRDefault="00054523" w:rsidP="00054523">
            <w:pPr>
              <w:jc w:val="center"/>
              <w:rPr>
                <w:color w:val="000000"/>
                <w:sz w:val="22"/>
                <w:szCs w:val="22"/>
              </w:rPr>
            </w:pPr>
          </w:p>
        </w:tc>
        <w:tc>
          <w:tcPr>
            <w:tcW w:w="406" w:type="pct"/>
            <w:tcBorders>
              <w:top w:val="nil"/>
              <w:left w:val="nil"/>
              <w:bottom w:val="nil"/>
              <w:right w:val="nil"/>
            </w:tcBorders>
            <w:shd w:val="clear" w:color="auto" w:fill="auto"/>
            <w:noWrap/>
            <w:vAlign w:val="bottom"/>
          </w:tcPr>
          <w:p w14:paraId="44CA1979" w14:textId="77777777" w:rsidR="00054523" w:rsidRPr="008669C3" w:rsidRDefault="00054523" w:rsidP="00054523">
            <w:pPr>
              <w:jc w:val="center"/>
              <w:rPr>
                <w:color w:val="000000"/>
                <w:sz w:val="22"/>
                <w:szCs w:val="22"/>
              </w:rPr>
            </w:pPr>
          </w:p>
        </w:tc>
      </w:tr>
      <w:tr w:rsidR="00054523" w:rsidRPr="008669C3" w14:paraId="53AE58BF" w14:textId="77777777" w:rsidTr="003D5386">
        <w:trPr>
          <w:trHeight w:val="20"/>
        </w:trPr>
        <w:tc>
          <w:tcPr>
            <w:tcW w:w="1586" w:type="pct"/>
            <w:tcBorders>
              <w:top w:val="nil"/>
              <w:left w:val="nil"/>
              <w:bottom w:val="nil"/>
              <w:right w:val="nil"/>
            </w:tcBorders>
            <w:shd w:val="clear" w:color="auto" w:fill="auto"/>
            <w:noWrap/>
            <w:vAlign w:val="bottom"/>
            <w:hideMark/>
          </w:tcPr>
          <w:p w14:paraId="6981553F" w14:textId="7B643F2F" w:rsidR="00054523" w:rsidRPr="008669C3" w:rsidRDefault="00054523" w:rsidP="00054523">
            <w:pPr>
              <w:rPr>
                <w:iCs/>
                <w:color w:val="000000"/>
                <w:sz w:val="22"/>
                <w:szCs w:val="22"/>
              </w:rPr>
            </w:pPr>
            <w:r w:rsidRPr="008669C3">
              <w:rPr>
                <w:iCs/>
                <w:color w:val="000000"/>
                <w:sz w:val="22"/>
                <w:szCs w:val="22"/>
              </w:rPr>
              <w:t xml:space="preserve">Change from </w:t>
            </w:r>
            <w:r w:rsidRPr="008669C3">
              <w:rPr>
                <w:i/>
                <w:iCs/>
                <w:color w:val="000000"/>
                <w:sz w:val="22"/>
                <w:szCs w:val="22"/>
              </w:rPr>
              <w:t>t</w:t>
            </w:r>
            <w:r w:rsidR="00910EEA" w:rsidRPr="008669C3">
              <w:rPr>
                <w:iCs/>
                <w:color w:val="000000"/>
                <w:sz w:val="22"/>
                <w:szCs w:val="22"/>
              </w:rPr>
              <w:t xml:space="preserve"> </w:t>
            </w:r>
            <w:r w:rsidRPr="008669C3">
              <w:rPr>
                <w:iCs/>
                <w:color w:val="000000"/>
                <w:sz w:val="22"/>
                <w:szCs w:val="22"/>
              </w:rPr>
              <w:t>-</w:t>
            </w:r>
            <w:r w:rsidR="00910EEA" w:rsidRPr="008669C3">
              <w:rPr>
                <w:iCs/>
                <w:color w:val="000000"/>
                <w:sz w:val="22"/>
                <w:szCs w:val="22"/>
              </w:rPr>
              <w:t xml:space="preserve"> </w:t>
            </w:r>
            <w:r w:rsidRPr="008669C3">
              <w:rPr>
                <w:iCs/>
                <w:color w:val="000000"/>
                <w:sz w:val="22"/>
                <w:szCs w:val="22"/>
              </w:rPr>
              <w:t xml:space="preserve">1 to </w:t>
            </w:r>
            <w:r w:rsidRPr="008669C3">
              <w:rPr>
                <w:i/>
                <w:iCs/>
                <w:color w:val="000000"/>
                <w:sz w:val="22"/>
                <w:szCs w:val="22"/>
              </w:rPr>
              <w:t>t</w:t>
            </w:r>
            <w:r w:rsidR="00910EEA" w:rsidRPr="008669C3">
              <w:rPr>
                <w:iCs/>
                <w:color w:val="000000"/>
                <w:sz w:val="22"/>
                <w:szCs w:val="22"/>
              </w:rPr>
              <w:t xml:space="preserve"> </w:t>
            </w:r>
            <w:r w:rsidRPr="008669C3">
              <w:rPr>
                <w:iCs/>
                <w:color w:val="000000"/>
                <w:sz w:val="22"/>
                <w:szCs w:val="22"/>
              </w:rPr>
              <w:t>+</w:t>
            </w:r>
            <w:r w:rsidR="00910EEA" w:rsidRPr="008669C3">
              <w:rPr>
                <w:iCs/>
                <w:color w:val="000000"/>
                <w:sz w:val="22"/>
                <w:szCs w:val="22"/>
              </w:rPr>
              <w:t xml:space="preserve"> </w:t>
            </w:r>
            <w:r w:rsidRPr="008669C3">
              <w:rPr>
                <w:iCs/>
                <w:color w:val="000000"/>
                <w:sz w:val="22"/>
                <w:szCs w:val="22"/>
              </w:rPr>
              <w:t>1</w:t>
            </w:r>
          </w:p>
        </w:tc>
        <w:tc>
          <w:tcPr>
            <w:tcW w:w="325" w:type="pct"/>
            <w:tcBorders>
              <w:top w:val="nil"/>
              <w:left w:val="nil"/>
              <w:bottom w:val="nil"/>
              <w:right w:val="nil"/>
            </w:tcBorders>
            <w:shd w:val="clear" w:color="auto" w:fill="auto"/>
            <w:noWrap/>
            <w:vAlign w:val="bottom"/>
            <w:hideMark/>
          </w:tcPr>
          <w:p w14:paraId="21B043DB" w14:textId="77777777" w:rsidR="00054523" w:rsidRPr="008669C3" w:rsidRDefault="00054523" w:rsidP="00054523">
            <w:pPr>
              <w:jc w:val="center"/>
              <w:rPr>
                <w:color w:val="000000"/>
                <w:sz w:val="22"/>
                <w:szCs w:val="22"/>
              </w:rPr>
            </w:pPr>
            <w:r w:rsidRPr="008669C3">
              <w:rPr>
                <w:color w:val="000000"/>
                <w:sz w:val="22"/>
                <w:szCs w:val="22"/>
              </w:rPr>
              <w:t>0.212</w:t>
            </w:r>
          </w:p>
        </w:tc>
        <w:tc>
          <w:tcPr>
            <w:tcW w:w="406" w:type="pct"/>
            <w:tcBorders>
              <w:top w:val="nil"/>
              <w:left w:val="nil"/>
              <w:bottom w:val="nil"/>
              <w:right w:val="nil"/>
            </w:tcBorders>
            <w:shd w:val="clear" w:color="auto" w:fill="auto"/>
            <w:noWrap/>
            <w:vAlign w:val="bottom"/>
            <w:hideMark/>
          </w:tcPr>
          <w:p w14:paraId="0227E69A" w14:textId="77777777" w:rsidR="00054523" w:rsidRPr="008669C3" w:rsidRDefault="00054523" w:rsidP="00054523">
            <w:pPr>
              <w:jc w:val="center"/>
              <w:rPr>
                <w:color w:val="000000"/>
                <w:sz w:val="22"/>
                <w:szCs w:val="22"/>
              </w:rPr>
            </w:pPr>
            <w:r w:rsidRPr="008669C3">
              <w:rPr>
                <w:color w:val="000000"/>
                <w:sz w:val="22"/>
                <w:szCs w:val="22"/>
              </w:rPr>
              <w:t>-0.340</w:t>
            </w:r>
          </w:p>
        </w:tc>
        <w:tc>
          <w:tcPr>
            <w:tcW w:w="124" w:type="pct"/>
            <w:tcBorders>
              <w:top w:val="nil"/>
              <w:left w:val="nil"/>
              <w:bottom w:val="nil"/>
              <w:right w:val="nil"/>
            </w:tcBorders>
            <w:shd w:val="clear" w:color="auto" w:fill="auto"/>
            <w:noWrap/>
            <w:vAlign w:val="bottom"/>
            <w:hideMark/>
          </w:tcPr>
          <w:p w14:paraId="4FC664B5" w14:textId="77777777" w:rsidR="00054523" w:rsidRPr="008669C3" w:rsidRDefault="00054523" w:rsidP="00054523">
            <w:pPr>
              <w:jc w:val="center"/>
              <w:rPr>
                <w:color w:val="000000"/>
                <w:sz w:val="22"/>
                <w:szCs w:val="22"/>
              </w:rPr>
            </w:pPr>
          </w:p>
        </w:tc>
        <w:tc>
          <w:tcPr>
            <w:tcW w:w="375" w:type="pct"/>
            <w:tcBorders>
              <w:top w:val="nil"/>
              <w:left w:val="nil"/>
              <w:bottom w:val="nil"/>
              <w:right w:val="nil"/>
            </w:tcBorders>
            <w:shd w:val="clear" w:color="auto" w:fill="auto"/>
            <w:noWrap/>
            <w:vAlign w:val="bottom"/>
            <w:hideMark/>
          </w:tcPr>
          <w:p w14:paraId="09124788" w14:textId="77777777" w:rsidR="00054523" w:rsidRPr="008669C3" w:rsidRDefault="00054523" w:rsidP="00054523">
            <w:pPr>
              <w:jc w:val="center"/>
              <w:rPr>
                <w:color w:val="000000"/>
                <w:sz w:val="22"/>
                <w:szCs w:val="22"/>
              </w:rPr>
            </w:pPr>
            <w:r w:rsidRPr="008669C3">
              <w:rPr>
                <w:color w:val="000000"/>
                <w:sz w:val="22"/>
                <w:szCs w:val="22"/>
              </w:rPr>
              <w:t>0.198</w:t>
            </w:r>
          </w:p>
        </w:tc>
        <w:tc>
          <w:tcPr>
            <w:tcW w:w="406" w:type="pct"/>
            <w:tcBorders>
              <w:top w:val="nil"/>
              <w:left w:val="nil"/>
              <w:bottom w:val="nil"/>
              <w:right w:val="nil"/>
            </w:tcBorders>
            <w:shd w:val="clear" w:color="auto" w:fill="auto"/>
            <w:noWrap/>
            <w:vAlign w:val="bottom"/>
            <w:hideMark/>
          </w:tcPr>
          <w:p w14:paraId="1D4ED35F" w14:textId="77777777" w:rsidR="00054523" w:rsidRPr="008669C3" w:rsidRDefault="00054523" w:rsidP="00054523">
            <w:pPr>
              <w:jc w:val="center"/>
              <w:rPr>
                <w:color w:val="000000"/>
                <w:sz w:val="22"/>
                <w:szCs w:val="22"/>
              </w:rPr>
            </w:pPr>
            <w:r w:rsidRPr="008669C3">
              <w:rPr>
                <w:color w:val="000000"/>
                <w:sz w:val="22"/>
                <w:szCs w:val="22"/>
              </w:rPr>
              <w:t>-1.499</w:t>
            </w:r>
          </w:p>
        </w:tc>
        <w:tc>
          <w:tcPr>
            <w:tcW w:w="124" w:type="pct"/>
            <w:tcBorders>
              <w:top w:val="nil"/>
              <w:left w:val="nil"/>
              <w:bottom w:val="nil"/>
              <w:right w:val="nil"/>
            </w:tcBorders>
            <w:shd w:val="clear" w:color="auto" w:fill="auto"/>
            <w:noWrap/>
            <w:vAlign w:val="bottom"/>
            <w:hideMark/>
          </w:tcPr>
          <w:p w14:paraId="740FA85E" w14:textId="77777777" w:rsidR="00054523" w:rsidRPr="008669C3" w:rsidRDefault="00054523" w:rsidP="00054523">
            <w:pPr>
              <w:jc w:val="center"/>
              <w:rPr>
                <w:color w:val="000000"/>
                <w:sz w:val="22"/>
                <w:szCs w:val="22"/>
              </w:rPr>
            </w:pPr>
          </w:p>
        </w:tc>
        <w:tc>
          <w:tcPr>
            <w:tcW w:w="359" w:type="pct"/>
            <w:tcBorders>
              <w:top w:val="nil"/>
              <w:left w:val="nil"/>
              <w:bottom w:val="nil"/>
              <w:right w:val="nil"/>
            </w:tcBorders>
            <w:shd w:val="clear" w:color="auto" w:fill="auto"/>
            <w:noWrap/>
            <w:vAlign w:val="bottom"/>
            <w:hideMark/>
          </w:tcPr>
          <w:p w14:paraId="17BB1B95" w14:textId="77777777" w:rsidR="00054523" w:rsidRPr="008669C3" w:rsidRDefault="00054523" w:rsidP="00054523">
            <w:pPr>
              <w:jc w:val="center"/>
              <w:rPr>
                <w:color w:val="000000"/>
                <w:sz w:val="22"/>
                <w:szCs w:val="22"/>
              </w:rPr>
            </w:pPr>
            <w:r w:rsidRPr="008669C3">
              <w:rPr>
                <w:color w:val="000000"/>
                <w:sz w:val="22"/>
                <w:szCs w:val="22"/>
              </w:rPr>
              <w:t>0.001</w:t>
            </w:r>
          </w:p>
        </w:tc>
        <w:tc>
          <w:tcPr>
            <w:tcW w:w="406" w:type="pct"/>
            <w:tcBorders>
              <w:top w:val="nil"/>
              <w:left w:val="nil"/>
              <w:bottom w:val="nil"/>
              <w:right w:val="nil"/>
            </w:tcBorders>
            <w:shd w:val="clear" w:color="auto" w:fill="auto"/>
            <w:noWrap/>
            <w:vAlign w:val="bottom"/>
            <w:hideMark/>
          </w:tcPr>
          <w:p w14:paraId="001DD94E" w14:textId="77777777" w:rsidR="00054523" w:rsidRPr="008669C3" w:rsidRDefault="00054523" w:rsidP="00054523">
            <w:pPr>
              <w:jc w:val="center"/>
              <w:rPr>
                <w:color w:val="000000"/>
                <w:sz w:val="22"/>
                <w:szCs w:val="22"/>
              </w:rPr>
            </w:pPr>
            <w:r w:rsidRPr="008669C3">
              <w:rPr>
                <w:color w:val="000000"/>
                <w:sz w:val="22"/>
                <w:szCs w:val="22"/>
              </w:rPr>
              <w:t>-0.026</w:t>
            </w:r>
          </w:p>
        </w:tc>
        <w:tc>
          <w:tcPr>
            <w:tcW w:w="124" w:type="pct"/>
            <w:tcBorders>
              <w:top w:val="nil"/>
              <w:left w:val="nil"/>
              <w:bottom w:val="nil"/>
              <w:right w:val="nil"/>
            </w:tcBorders>
            <w:shd w:val="clear" w:color="auto" w:fill="auto"/>
            <w:noWrap/>
            <w:vAlign w:val="bottom"/>
            <w:hideMark/>
          </w:tcPr>
          <w:p w14:paraId="14264554" w14:textId="77777777" w:rsidR="00054523" w:rsidRPr="008669C3" w:rsidRDefault="00054523" w:rsidP="00054523">
            <w:pPr>
              <w:jc w:val="center"/>
              <w:rPr>
                <w:color w:val="000000"/>
                <w:sz w:val="22"/>
                <w:szCs w:val="22"/>
              </w:rPr>
            </w:pPr>
          </w:p>
        </w:tc>
        <w:tc>
          <w:tcPr>
            <w:tcW w:w="359" w:type="pct"/>
            <w:tcBorders>
              <w:top w:val="nil"/>
              <w:left w:val="nil"/>
              <w:bottom w:val="nil"/>
              <w:right w:val="nil"/>
            </w:tcBorders>
            <w:shd w:val="clear" w:color="auto" w:fill="auto"/>
            <w:noWrap/>
            <w:vAlign w:val="bottom"/>
            <w:hideMark/>
          </w:tcPr>
          <w:p w14:paraId="1B3E5FA4" w14:textId="77777777" w:rsidR="00054523" w:rsidRPr="008669C3" w:rsidRDefault="00054523" w:rsidP="00054523">
            <w:pPr>
              <w:jc w:val="center"/>
              <w:rPr>
                <w:color w:val="000000"/>
                <w:sz w:val="22"/>
                <w:szCs w:val="22"/>
              </w:rPr>
            </w:pPr>
            <w:r w:rsidRPr="008669C3">
              <w:rPr>
                <w:color w:val="000000"/>
                <w:sz w:val="22"/>
                <w:szCs w:val="22"/>
              </w:rPr>
              <w:t>0.005</w:t>
            </w:r>
          </w:p>
        </w:tc>
        <w:tc>
          <w:tcPr>
            <w:tcW w:w="406" w:type="pct"/>
            <w:tcBorders>
              <w:top w:val="nil"/>
              <w:left w:val="nil"/>
              <w:bottom w:val="nil"/>
              <w:right w:val="nil"/>
            </w:tcBorders>
            <w:shd w:val="clear" w:color="auto" w:fill="auto"/>
            <w:noWrap/>
            <w:vAlign w:val="bottom"/>
            <w:hideMark/>
          </w:tcPr>
          <w:p w14:paraId="42E7DA4B" w14:textId="77777777" w:rsidR="00054523" w:rsidRPr="008669C3" w:rsidRDefault="00054523" w:rsidP="00054523">
            <w:pPr>
              <w:jc w:val="center"/>
              <w:rPr>
                <w:color w:val="000000"/>
                <w:sz w:val="22"/>
                <w:szCs w:val="22"/>
              </w:rPr>
            </w:pPr>
            <w:r w:rsidRPr="008669C3">
              <w:rPr>
                <w:color w:val="000000"/>
                <w:sz w:val="22"/>
                <w:szCs w:val="22"/>
              </w:rPr>
              <w:t>-0.028</w:t>
            </w:r>
          </w:p>
        </w:tc>
      </w:tr>
      <w:tr w:rsidR="003D5386" w:rsidRPr="008669C3" w14:paraId="2683E3A7" w14:textId="77777777" w:rsidTr="003D5386">
        <w:trPr>
          <w:trHeight w:val="20"/>
        </w:trPr>
        <w:tc>
          <w:tcPr>
            <w:tcW w:w="1586" w:type="pct"/>
            <w:tcBorders>
              <w:top w:val="nil"/>
              <w:left w:val="nil"/>
              <w:bottom w:val="nil"/>
              <w:right w:val="nil"/>
            </w:tcBorders>
            <w:shd w:val="clear" w:color="auto" w:fill="auto"/>
            <w:noWrap/>
            <w:vAlign w:val="bottom"/>
            <w:hideMark/>
          </w:tcPr>
          <w:p w14:paraId="628F67A2" w14:textId="59C67B94" w:rsidR="00054523" w:rsidRPr="008669C3" w:rsidRDefault="00054523" w:rsidP="00054523">
            <w:pPr>
              <w:rPr>
                <w:iCs/>
                <w:color w:val="000000"/>
                <w:sz w:val="22"/>
                <w:szCs w:val="22"/>
              </w:rPr>
            </w:pPr>
            <w:r w:rsidRPr="008669C3">
              <w:rPr>
                <w:iCs/>
                <w:color w:val="000000"/>
                <w:sz w:val="22"/>
                <w:szCs w:val="22"/>
              </w:rPr>
              <w:t>Difference in changes: Treat-Control</w:t>
            </w:r>
          </w:p>
        </w:tc>
        <w:tc>
          <w:tcPr>
            <w:tcW w:w="731" w:type="pct"/>
            <w:gridSpan w:val="2"/>
            <w:tcBorders>
              <w:top w:val="nil"/>
              <w:left w:val="nil"/>
              <w:bottom w:val="nil"/>
              <w:right w:val="nil"/>
            </w:tcBorders>
            <w:shd w:val="clear" w:color="auto" w:fill="auto"/>
            <w:noWrap/>
            <w:vAlign w:val="bottom"/>
            <w:hideMark/>
          </w:tcPr>
          <w:p w14:paraId="3287A04C" w14:textId="77777777" w:rsidR="00054523" w:rsidRPr="008669C3" w:rsidRDefault="00054523" w:rsidP="00054523">
            <w:pPr>
              <w:jc w:val="center"/>
              <w:rPr>
                <w:color w:val="000000"/>
                <w:sz w:val="22"/>
                <w:szCs w:val="22"/>
              </w:rPr>
            </w:pPr>
            <w:r w:rsidRPr="008669C3">
              <w:rPr>
                <w:color w:val="000000"/>
                <w:sz w:val="22"/>
                <w:szCs w:val="22"/>
              </w:rPr>
              <w:t>0.552</w:t>
            </w:r>
            <w:r w:rsidRPr="008669C3">
              <w:rPr>
                <w:color w:val="000000"/>
                <w:sz w:val="20"/>
                <w:szCs w:val="22"/>
              </w:rPr>
              <w:t>***</w:t>
            </w:r>
          </w:p>
        </w:tc>
        <w:tc>
          <w:tcPr>
            <w:tcW w:w="124" w:type="pct"/>
            <w:tcBorders>
              <w:top w:val="nil"/>
              <w:left w:val="nil"/>
              <w:bottom w:val="nil"/>
              <w:right w:val="nil"/>
            </w:tcBorders>
            <w:shd w:val="clear" w:color="auto" w:fill="auto"/>
            <w:noWrap/>
            <w:vAlign w:val="bottom"/>
            <w:hideMark/>
          </w:tcPr>
          <w:p w14:paraId="181D5369" w14:textId="77777777" w:rsidR="00054523" w:rsidRPr="008669C3" w:rsidRDefault="00054523" w:rsidP="00054523">
            <w:pPr>
              <w:jc w:val="center"/>
              <w:rPr>
                <w:color w:val="000000"/>
                <w:sz w:val="22"/>
                <w:szCs w:val="22"/>
              </w:rPr>
            </w:pPr>
          </w:p>
        </w:tc>
        <w:tc>
          <w:tcPr>
            <w:tcW w:w="781" w:type="pct"/>
            <w:gridSpan w:val="2"/>
            <w:tcBorders>
              <w:top w:val="nil"/>
              <w:left w:val="nil"/>
              <w:bottom w:val="nil"/>
              <w:right w:val="nil"/>
            </w:tcBorders>
            <w:shd w:val="clear" w:color="auto" w:fill="auto"/>
            <w:noWrap/>
            <w:vAlign w:val="bottom"/>
            <w:hideMark/>
          </w:tcPr>
          <w:p w14:paraId="3815A7C8" w14:textId="77777777" w:rsidR="00054523" w:rsidRPr="008669C3" w:rsidRDefault="00054523" w:rsidP="00054523">
            <w:pPr>
              <w:jc w:val="center"/>
              <w:rPr>
                <w:color w:val="000000"/>
                <w:sz w:val="22"/>
                <w:szCs w:val="22"/>
              </w:rPr>
            </w:pPr>
            <w:r w:rsidRPr="008669C3">
              <w:rPr>
                <w:color w:val="000000"/>
                <w:sz w:val="22"/>
                <w:szCs w:val="22"/>
              </w:rPr>
              <w:t>1.697</w:t>
            </w:r>
            <w:r w:rsidRPr="008669C3">
              <w:rPr>
                <w:color w:val="000000"/>
                <w:sz w:val="20"/>
                <w:szCs w:val="22"/>
              </w:rPr>
              <w:t>*</w:t>
            </w:r>
          </w:p>
        </w:tc>
        <w:tc>
          <w:tcPr>
            <w:tcW w:w="124" w:type="pct"/>
            <w:tcBorders>
              <w:top w:val="nil"/>
              <w:left w:val="nil"/>
              <w:bottom w:val="nil"/>
              <w:right w:val="nil"/>
            </w:tcBorders>
            <w:shd w:val="clear" w:color="auto" w:fill="auto"/>
            <w:noWrap/>
            <w:vAlign w:val="bottom"/>
            <w:hideMark/>
          </w:tcPr>
          <w:p w14:paraId="31D265D2" w14:textId="77777777" w:rsidR="00054523" w:rsidRPr="008669C3" w:rsidRDefault="00054523" w:rsidP="00054523">
            <w:pPr>
              <w:jc w:val="center"/>
              <w:rPr>
                <w:color w:val="000000"/>
                <w:sz w:val="22"/>
                <w:szCs w:val="22"/>
              </w:rPr>
            </w:pPr>
          </w:p>
        </w:tc>
        <w:tc>
          <w:tcPr>
            <w:tcW w:w="765" w:type="pct"/>
            <w:gridSpan w:val="2"/>
            <w:tcBorders>
              <w:top w:val="nil"/>
              <w:left w:val="nil"/>
              <w:bottom w:val="nil"/>
              <w:right w:val="nil"/>
            </w:tcBorders>
            <w:shd w:val="clear" w:color="auto" w:fill="auto"/>
            <w:noWrap/>
            <w:vAlign w:val="bottom"/>
            <w:hideMark/>
          </w:tcPr>
          <w:p w14:paraId="6F98EBAC" w14:textId="77777777" w:rsidR="00054523" w:rsidRPr="008669C3" w:rsidRDefault="00054523" w:rsidP="00054523">
            <w:pPr>
              <w:jc w:val="center"/>
              <w:rPr>
                <w:color w:val="000000"/>
                <w:sz w:val="22"/>
                <w:szCs w:val="22"/>
              </w:rPr>
            </w:pPr>
            <w:r w:rsidRPr="008669C3">
              <w:rPr>
                <w:color w:val="000000"/>
                <w:sz w:val="22"/>
                <w:szCs w:val="22"/>
              </w:rPr>
              <w:t>0.027</w:t>
            </w:r>
            <w:r w:rsidRPr="008669C3">
              <w:rPr>
                <w:color w:val="000000"/>
                <w:sz w:val="20"/>
                <w:szCs w:val="22"/>
              </w:rPr>
              <w:t>*</w:t>
            </w:r>
          </w:p>
        </w:tc>
        <w:tc>
          <w:tcPr>
            <w:tcW w:w="124" w:type="pct"/>
            <w:tcBorders>
              <w:top w:val="nil"/>
              <w:left w:val="nil"/>
              <w:bottom w:val="nil"/>
              <w:right w:val="nil"/>
            </w:tcBorders>
            <w:shd w:val="clear" w:color="auto" w:fill="auto"/>
            <w:noWrap/>
            <w:vAlign w:val="bottom"/>
            <w:hideMark/>
          </w:tcPr>
          <w:p w14:paraId="58962323" w14:textId="77777777" w:rsidR="00054523" w:rsidRPr="008669C3" w:rsidRDefault="00054523" w:rsidP="00054523">
            <w:pPr>
              <w:jc w:val="center"/>
              <w:rPr>
                <w:color w:val="000000"/>
                <w:sz w:val="22"/>
                <w:szCs w:val="22"/>
              </w:rPr>
            </w:pPr>
          </w:p>
        </w:tc>
        <w:tc>
          <w:tcPr>
            <w:tcW w:w="765" w:type="pct"/>
            <w:gridSpan w:val="2"/>
            <w:tcBorders>
              <w:top w:val="nil"/>
              <w:left w:val="nil"/>
              <w:bottom w:val="nil"/>
              <w:right w:val="nil"/>
            </w:tcBorders>
            <w:shd w:val="clear" w:color="auto" w:fill="auto"/>
            <w:noWrap/>
            <w:vAlign w:val="bottom"/>
            <w:hideMark/>
          </w:tcPr>
          <w:p w14:paraId="12CEE716" w14:textId="77777777" w:rsidR="00054523" w:rsidRPr="008669C3" w:rsidRDefault="00054523" w:rsidP="00054523">
            <w:pPr>
              <w:jc w:val="center"/>
              <w:rPr>
                <w:color w:val="000000"/>
                <w:sz w:val="22"/>
                <w:szCs w:val="22"/>
              </w:rPr>
            </w:pPr>
            <w:r w:rsidRPr="008669C3">
              <w:rPr>
                <w:color w:val="000000"/>
                <w:sz w:val="22"/>
                <w:szCs w:val="22"/>
              </w:rPr>
              <w:t>0.033</w:t>
            </w:r>
            <w:r w:rsidRPr="008669C3">
              <w:rPr>
                <w:color w:val="000000"/>
                <w:sz w:val="20"/>
                <w:szCs w:val="22"/>
              </w:rPr>
              <w:t>**</w:t>
            </w:r>
          </w:p>
        </w:tc>
      </w:tr>
      <w:tr w:rsidR="003D5386" w:rsidRPr="008669C3" w14:paraId="125235F1" w14:textId="77777777" w:rsidTr="003D5386">
        <w:trPr>
          <w:trHeight w:val="20"/>
        </w:trPr>
        <w:tc>
          <w:tcPr>
            <w:tcW w:w="1586" w:type="pct"/>
            <w:tcBorders>
              <w:top w:val="nil"/>
              <w:left w:val="nil"/>
              <w:bottom w:val="nil"/>
              <w:right w:val="nil"/>
            </w:tcBorders>
            <w:shd w:val="clear" w:color="auto" w:fill="auto"/>
            <w:noWrap/>
            <w:vAlign w:val="bottom"/>
            <w:hideMark/>
          </w:tcPr>
          <w:p w14:paraId="2CC13B09" w14:textId="1304912F" w:rsidR="00054523" w:rsidRPr="008669C3" w:rsidRDefault="00054523" w:rsidP="00054523">
            <w:pPr>
              <w:rPr>
                <w:iCs/>
                <w:color w:val="000000"/>
                <w:sz w:val="22"/>
                <w:szCs w:val="22"/>
              </w:rPr>
            </w:pPr>
          </w:p>
        </w:tc>
        <w:tc>
          <w:tcPr>
            <w:tcW w:w="731" w:type="pct"/>
            <w:gridSpan w:val="2"/>
            <w:tcBorders>
              <w:top w:val="nil"/>
              <w:left w:val="nil"/>
              <w:bottom w:val="nil"/>
              <w:right w:val="nil"/>
            </w:tcBorders>
            <w:shd w:val="clear" w:color="auto" w:fill="auto"/>
            <w:noWrap/>
            <w:vAlign w:val="bottom"/>
            <w:hideMark/>
          </w:tcPr>
          <w:p w14:paraId="0C02990C" w14:textId="77777777" w:rsidR="00054523" w:rsidRPr="008669C3" w:rsidRDefault="00054523" w:rsidP="00054523">
            <w:pPr>
              <w:jc w:val="center"/>
              <w:rPr>
                <w:color w:val="000000"/>
                <w:sz w:val="22"/>
                <w:szCs w:val="22"/>
              </w:rPr>
            </w:pPr>
            <w:r w:rsidRPr="008669C3">
              <w:rPr>
                <w:color w:val="000000"/>
                <w:sz w:val="22"/>
                <w:szCs w:val="22"/>
              </w:rPr>
              <w:t>(0.166)</w:t>
            </w:r>
          </w:p>
        </w:tc>
        <w:tc>
          <w:tcPr>
            <w:tcW w:w="124" w:type="pct"/>
            <w:tcBorders>
              <w:top w:val="nil"/>
              <w:left w:val="nil"/>
              <w:bottom w:val="nil"/>
              <w:right w:val="nil"/>
            </w:tcBorders>
            <w:shd w:val="clear" w:color="auto" w:fill="auto"/>
            <w:noWrap/>
            <w:vAlign w:val="bottom"/>
            <w:hideMark/>
          </w:tcPr>
          <w:p w14:paraId="5AB60D7E" w14:textId="77777777" w:rsidR="00054523" w:rsidRPr="008669C3" w:rsidRDefault="00054523" w:rsidP="00054523">
            <w:pPr>
              <w:jc w:val="center"/>
              <w:rPr>
                <w:color w:val="000000"/>
                <w:sz w:val="22"/>
                <w:szCs w:val="22"/>
              </w:rPr>
            </w:pPr>
          </w:p>
        </w:tc>
        <w:tc>
          <w:tcPr>
            <w:tcW w:w="781" w:type="pct"/>
            <w:gridSpan w:val="2"/>
            <w:tcBorders>
              <w:top w:val="nil"/>
              <w:left w:val="nil"/>
              <w:bottom w:val="nil"/>
              <w:right w:val="nil"/>
            </w:tcBorders>
            <w:shd w:val="clear" w:color="auto" w:fill="auto"/>
            <w:noWrap/>
            <w:vAlign w:val="bottom"/>
            <w:hideMark/>
          </w:tcPr>
          <w:p w14:paraId="15307417" w14:textId="77777777" w:rsidR="00054523" w:rsidRPr="008669C3" w:rsidRDefault="00054523" w:rsidP="00054523">
            <w:pPr>
              <w:jc w:val="center"/>
              <w:rPr>
                <w:color w:val="000000"/>
                <w:sz w:val="22"/>
                <w:szCs w:val="22"/>
              </w:rPr>
            </w:pPr>
            <w:r w:rsidRPr="008669C3">
              <w:rPr>
                <w:color w:val="000000"/>
                <w:sz w:val="22"/>
                <w:szCs w:val="22"/>
              </w:rPr>
              <w:t>(0.884)</w:t>
            </w:r>
          </w:p>
        </w:tc>
        <w:tc>
          <w:tcPr>
            <w:tcW w:w="124" w:type="pct"/>
            <w:tcBorders>
              <w:top w:val="nil"/>
              <w:left w:val="nil"/>
              <w:bottom w:val="nil"/>
              <w:right w:val="nil"/>
            </w:tcBorders>
            <w:shd w:val="clear" w:color="auto" w:fill="auto"/>
            <w:noWrap/>
            <w:vAlign w:val="bottom"/>
            <w:hideMark/>
          </w:tcPr>
          <w:p w14:paraId="7EE25D9C" w14:textId="77777777" w:rsidR="00054523" w:rsidRPr="008669C3" w:rsidRDefault="00054523" w:rsidP="00054523">
            <w:pPr>
              <w:jc w:val="center"/>
              <w:rPr>
                <w:color w:val="000000"/>
                <w:sz w:val="22"/>
                <w:szCs w:val="22"/>
              </w:rPr>
            </w:pPr>
          </w:p>
        </w:tc>
        <w:tc>
          <w:tcPr>
            <w:tcW w:w="765" w:type="pct"/>
            <w:gridSpan w:val="2"/>
            <w:tcBorders>
              <w:top w:val="nil"/>
              <w:left w:val="nil"/>
              <w:bottom w:val="nil"/>
              <w:right w:val="nil"/>
            </w:tcBorders>
            <w:shd w:val="clear" w:color="auto" w:fill="auto"/>
            <w:noWrap/>
            <w:vAlign w:val="bottom"/>
            <w:hideMark/>
          </w:tcPr>
          <w:p w14:paraId="4D2E1FE9" w14:textId="77777777" w:rsidR="00054523" w:rsidRPr="008669C3" w:rsidRDefault="00054523" w:rsidP="00054523">
            <w:pPr>
              <w:jc w:val="center"/>
              <w:rPr>
                <w:color w:val="000000"/>
                <w:sz w:val="22"/>
                <w:szCs w:val="22"/>
              </w:rPr>
            </w:pPr>
            <w:r w:rsidRPr="008669C3">
              <w:rPr>
                <w:color w:val="000000"/>
                <w:sz w:val="22"/>
                <w:szCs w:val="22"/>
              </w:rPr>
              <w:t>(0.016)</w:t>
            </w:r>
          </w:p>
        </w:tc>
        <w:tc>
          <w:tcPr>
            <w:tcW w:w="124" w:type="pct"/>
            <w:tcBorders>
              <w:top w:val="nil"/>
              <w:left w:val="nil"/>
              <w:bottom w:val="nil"/>
              <w:right w:val="nil"/>
            </w:tcBorders>
            <w:shd w:val="clear" w:color="auto" w:fill="auto"/>
            <w:noWrap/>
            <w:vAlign w:val="bottom"/>
            <w:hideMark/>
          </w:tcPr>
          <w:p w14:paraId="7D8AF965" w14:textId="77777777" w:rsidR="00054523" w:rsidRPr="008669C3" w:rsidRDefault="00054523" w:rsidP="00054523">
            <w:pPr>
              <w:jc w:val="center"/>
              <w:rPr>
                <w:color w:val="000000"/>
                <w:sz w:val="22"/>
                <w:szCs w:val="22"/>
              </w:rPr>
            </w:pPr>
          </w:p>
        </w:tc>
        <w:tc>
          <w:tcPr>
            <w:tcW w:w="765" w:type="pct"/>
            <w:gridSpan w:val="2"/>
            <w:tcBorders>
              <w:top w:val="nil"/>
              <w:left w:val="nil"/>
              <w:bottom w:val="nil"/>
              <w:right w:val="nil"/>
            </w:tcBorders>
            <w:shd w:val="clear" w:color="auto" w:fill="auto"/>
            <w:noWrap/>
            <w:vAlign w:val="bottom"/>
            <w:hideMark/>
          </w:tcPr>
          <w:p w14:paraId="578E8A08" w14:textId="36B1FBCB" w:rsidR="00054523" w:rsidRPr="008669C3" w:rsidRDefault="00BE6A3B" w:rsidP="00054523">
            <w:pPr>
              <w:jc w:val="center"/>
              <w:rPr>
                <w:color w:val="000000"/>
                <w:sz w:val="22"/>
                <w:szCs w:val="22"/>
              </w:rPr>
            </w:pPr>
            <w:r w:rsidRPr="008669C3">
              <w:rPr>
                <w:color w:val="000000"/>
                <w:sz w:val="22"/>
                <w:szCs w:val="22"/>
              </w:rPr>
              <w:t>(0.015)</w:t>
            </w:r>
          </w:p>
        </w:tc>
      </w:tr>
      <w:tr w:rsidR="00054523" w:rsidRPr="008669C3" w14:paraId="6CEB4491" w14:textId="77777777" w:rsidTr="003D5386">
        <w:trPr>
          <w:trHeight w:val="20"/>
        </w:trPr>
        <w:tc>
          <w:tcPr>
            <w:tcW w:w="1586" w:type="pct"/>
            <w:tcBorders>
              <w:top w:val="nil"/>
              <w:left w:val="nil"/>
              <w:bottom w:val="nil"/>
              <w:right w:val="nil"/>
            </w:tcBorders>
            <w:shd w:val="clear" w:color="auto" w:fill="auto"/>
            <w:noWrap/>
            <w:vAlign w:val="bottom"/>
          </w:tcPr>
          <w:p w14:paraId="20E8A305" w14:textId="77777777" w:rsidR="00054523" w:rsidRPr="008669C3" w:rsidRDefault="00054523" w:rsidP="00054523">
            <w:pPr>
              <w:rPr>
                <w:iCs/>
                <w:color w:val="000000"/>
                <w:sz w:val="22"/>
                <w:szCs w:val="22"/>
              </w:rPr>
            </w:pPr>
          </w:p>
        </w:tc>
        <w:tc>
          <w:tcPr>
            <w:tcW w:w="325" w:type="pct"/>
            <w:tcBorders>
              <w:top w:val="nil"/>
              <w:left w:val="nil"/>
              <w:bottom w:val="nil"/>
              <w:right w:val="nil"/>
            </w:tcBorders>
            <w:shd w:val="clear" w:color="auto" w:fill="auto"/>
            <w:noWrap/>
            <w:vAlign w:val="bottom"/>
          </w:tcPr>
          <w:p w14:paraId="17C2B682" w14:textId="77777777" w:rsidR="00054523" w:rsidRPr="008669C3" w:rsidRDefault="00054523" w:rsidP="00054523">
            <w:pPr>
              <w:jc w:val="center"/>
              <w:rPr>
                <w:color w:val="000000"/>
                <w:sz w:val="22"/>
                <w:szCs w:val="22"/>
              </w:rPr>
            </w:pPr>
          </w:p>
        </w:tc>
        <w:tc>
          <w:tcPr>
            <w:tcW w:w="406" w:type="pct"/>
            <w:tcBorders>
              <w:top w:val="nil"/>
              <w:left w:val="nil"/>
              <w:bottom w:val="nil"/>
              <w:right w:val="nil"/>
            </w:tcBorders>
            <w:shd w:val="clear" w:color="auto" w:fill="auto"/>
            <w:noWrap/>
            <w:vAlign w:val="bottom"/>
          </w:tcPr>
          <w:p w14:paraId="23E05BD7" w14:textId="77777777" w:rsidR="00054523" w:rsidRPr="008669C3" w:rsidRDefault="00054523" w:rsidP="00054523">
            <w:pPr>
              <w:jc w:val="center"/>
              <w:rPr>
                <w:color w:val="000000"/>
                <w:sz w:val="22"/>
                <w:szCs w:val="22"/>
              </w:rPr>
            </w:pPr>
          </w:p>
        </w:tc>
        <w:tc>
          <w:tcPr>
            <w:tcW w:w="124" w:type="pct"/>
            <w:tcBorders>
              <w:top w:val="nil"/>
              <w:left w:val="nil"/>
              <w:bottom w:val="nil"/>
              <w:right w:val="nil"/>
            </w:tcBorders>
            <w:shd w:val="clear" w:color="auto" w:fill="auto"/>
            <w:noWrap/>
            <w:vAlign w:val="bottom"/>
          </w:tcPr>
          <w:p w14:paraId="71300CF0" w14:textId="77777777" w:rsidR="00054523" w:rsidRPr="008669C3" w:rsidRDefault="00054523" w:rsidP="00054523">
            <w:pPr>
              <w:jc w:val="center"/>
              <w:rPr>
                <w:color w:val="000000"/>
                <w:sz w:val="22"/>
                <w:szCs w:val="22"/>
              </w:rPr>
            </w:pPr>
          </w:p>
        </w:tc>
        <w:tc>
          <w:tcPr>
            <w:tcW w:w="375" w:type="pct"/>
            <w:tcBorders>
              <w:top w:val="nil"/>
              <w:left w:val="nil"/>
              <w:bottom w:val="nil"/>
              <w:right w:val="nil"/>
            </w:tcBorders>
            <w:shd w:val="clear" w:color="auto" w:fill="auto"/>
            <w:noWrap/>
            <w:vAlign w:val="bottom"/>
          </w:tcPr>
          <w:p w14:paraId="5B6D381D" w14:textId="77777777" w:rsidR="00054523" w:rsidRPr="008669C3" w:rsidRDefault="00054523" w:rsidP="00054523">
            <w:pPr>
              <w:jc w:val="center"/>
              <w:rPr>
                <w:color w:val="000000"/>
                <w:sz w:val="22"/>
                <w:szCs w:val="22"/>
              </w:rPr>
            </w:pPr>
          </w:p>
        </w:tc>
        <w:tc>
          <w:tcPr>
            <w:tcW w:w="406" w:type="pct"/>
            <w:tcBorders>
              <w:top w:val="nil"/>
              <w:left w:val="nil"/>
              <w:bottom w:val="nil"/>
              <w:right w:val="nil"/>
            </w:tcBorders>
            <w:shd w:val="clear" w:color="auto" w:fill="auto"/>
            <w:noWrap/>
            <w:vAlign w:val="bottom"/>
          </w:tcPr>
          <w:p w14:paraId="080EA427" w14:textId="77777777" w:rsidR="00054523" w:rsidRPr="008669C3" w:rsidRDefault="00054523" w:rsidP="00054523">
            <w:pPr>
              <w:jc w:val="center"/>
              <w:rPr>
                <w:color w:val="000000"/>
                <w:sz w:val="22"/>
                <w:szCs w:val="22"/>
              </w:rPr>
            </w:pPr>
          </w:p>
        </w:tc>
        <w:tc>
          <w:tcPr>
            <w:tcW w:w="124" w:type="pct"/>
            <w:tcBorders>
              <w:top w:val="nil"/>
              <w:left w:val="nil"/>
              <w:bottom w:val="nil"/>
              <w:right w:val="nil"/>
            </w:tcBorders>
            <w:shd w:val="clear" w:color="auto" w:fill="auto"/>
            <w:noWrap/>
            <w:vAlign w:val="bottom"/>
          </w:tcPr>
          <w:p w14:paraId="34BC2A0F" w14:textId="77777777" w:rsidR="00054523" w:rsidRPr="008669C3" w:rsidRDefault="00054523" w:rsidP="00054523">
            <w:pPr>
              <w:jc w:val="center"/>
              <w:rPr>
                <w:color w:val="000000"/>
                <w:sz w:val="22"/>
                <w:szCs w:val="22"/>
              </w:rPr>
            </w:pPr>
          </w:p>
        </w:tc>
        <w:tc>
          <w:tcPr>
            <w:tcW w:w="359" w:type="pct"/>
            <w:tcBorders>
              <w:top w:val="nil"/>
              <w:left w:val="nil"/>
              <w:bottom w:val="nil"/>
              <w:right w:val="nil"/>
            </w:tcBorders>
            <w:shd w:val="clear" w:color="auto" w:fill="auto"/>
            <w:noWrap/>
            <w:vAlign w:val="bottom"/>
          </w:tcPr>
          <w:p w14:paraId="31A65CA3" w14:textId="77777777" w:rsidR="00054523" w:rsidRPr="008669C3" w:rsidRDefault="00054523" w:rsidP="00054523">
            <w:pPr>
              <w:jc w:val="center"/>
              <w:rPr>
                <w:color w:val="000000"/>
                <w:sz w:val="22"/>
                <w:szCs w:val="22"/>
              </w:rPr>
            </w:pPr>
          </w:p>
        </w:tc>
        <w:tc>
          <w:tcPr>
            <w:tcW w:w="406" w:type="pct"/>
            <w:tcBorders>
              <w:top w:val="nil"/>
              <w:left w:val="nil"/>
              <w:bottom w:val="nil"/>
              <w:right w:val="nil"/>
            </w:tcBorders>
            <w:shd w:val="clear" w:color="auto" w:fill="auto"/>
            <w:noWrap/>
            <w:vAlign w:val="bottom"/>
          </w:tcPr>
          <w:p w14:paraId="563CB53A" w14:textId="77777777" w:rsidR="00054523" w:rsidRPr="008669C3" w:rsidRDefault="00054523" w:rsidP="00054523">
            <w:pPr>
              <w:jc w:val="center"/>
              <w:rPr>
                <w:color w:val="000000"/>
                <w:sz w:val="22"/>
                <w:szCs w:val="22"/>
              </w:rPr>
            </w:pPr>
          </w:p>
        </w:tc>
        <w:tc>
          <w:tcPr>
            <w:tcW w:w="124" w:type="pct"/>
            <w:tcBorders>
              <w:top w:val="nil"/>
              <w:left w:val="nil"/>
              <w:bottom w:val="nil"/>
              <w:right w:val="nil"/>
            </w:tcBorders>
            <w:shd w:val="clear" w:color="auto" w:fill="auto"/>
            <w:noWrap/>
            <w:vAlign w:val="bottom"/>
          </w:tcPr>
          <w:p w14:paraId="72014E01" w14:textId="77777777" w:rsidR="00054523" w:rsidRPr="008669C3" w:rsidRDefault="00054523" w:rsidP="00054523">
            <w:pPr>
              <w:jc w:val="center"/>
              <w:rPr>
                <w:color w:val="000000"/>
                <w:sz w:val="22"/>
                <w:szCs w:val="22"/>
              </w:rPr>
            </w:pPr>
          </w:p>
        </w:tc>
        <w:tc>
          <w:tcPr>
            <w:tcW w:w="359" w:type="pct"/>
            <w:tcBorders>
              <w:top w:val="nil"/>
              <w:left w:val="nil"/>
              <w:bottom w:val="nil"/>
              <w:right w:val="nil"/>
            </w:tcBorders>
            <w:shd w:val="clear" w:color="auto" w:fill="auto"/>
            <w:noWrap/>
            <w:vAlign w:val="bottom"/>
          </w:tcPr>
          <w:p w14:paraId="371A77B2" w14:textId="77777777" w:rsidR="00054523" w:rsidRPr="008669C3" w:rsidRDefault="00054523" w:rsidP="00054523">
            <w:pPr>
              <w:jc w:val="center"/>
              <w:rPr>
                <w:color w:val="000000"/>
                <w:sz w:val="22"/>
                <w:szCs w:val="22"/>
              </w:rPr>
            </w:pPr>
          </w:p>
        </w:tc>
        <w:tc>
          <w:tcPr>
            <w:tcW w:w="406" w:type="pct"/>
            <w:tcBorders>
              <w:top w:val="nil"/>
              <w:left w:val="nil"/>
              <w:bottom w:val="nil"/>
              <w:right w:val="nil"/>
            </w:tcBorders>
            <w:shd w:val="clear" w:color="auto" w:fill="auto"/>
            <w:noWrap/>
            <w:vAlign w:val="bottom"/>
          </w:tcPr>
          <w:p w14:paraId="0D6EC0E8" w14:textId="77777777" w:rsidR="00054523" w:rsidRPr="008669C3" w:rsidRDefault="00054523" w:rsidP="00054523">
            <w:pPr>
              <w:jc w:val="center"/>
              <w:rPr>
                <w:color w:val="000000"/>
                <w:sz w:val="22"/>
                <w:szCs w:val="22"/>
              </w:rPr>
            </w:pPr>
          </w:p>
        </w:tc>
      </w:tr>
      <w:tr w:rsidR="00054523" w:rsidRPr="008669C3" w14:paraId="5622B60D" w14:textId="77777777" w:rsidTr="003D5386">
        <w:trPr>
          <w:trHeight w:val="20"/>
        </w:trPr>
        <w:tc>
          <w:tcPr>
            <w:tcW w:w="1586" w:type="pct"/>
            <w:tcBorders>
              <w:top w:val="nil"/>
              <w:left w:val="nil"/>
              <w:bottom w:val="nil"/>
              <w:right w:val="nil"/>
            </w:tcBorders>
            <w:shd w:val="clear" w:color="auto" w:fill="auto"/>
            <w:noWrap/>
            <w:vAlign w:val="bottom"/>
            <w:hideMark/>
          </w:tcPr>
          <w:p w14:paraId="20E8D570" w14:textId="1278CE8A" w:rsidR="00054523" w:rsidRPr="008669C3" w:rsidRDefault="00054523" w:rsidP="00054523">
            <w:pPr>
              <w:rPr>
                <w:iCs/>
                <w:color w:val="000000"/>
                <w:sz w:val="22"/>
                <w:szCs w:val="22"/>
              </w:rPr>
            </w:pPr>
            <w:r w:rsidRPr="008669C3">
              <w:rPr>
                <w:iCs/>
                <w:color w:val="000000"/>
                <w:sz w:val="22"/>
                <w:szCs w:val="22"/>
              </w:rPr>
              <w:t xml:space="preserve">Change from </w:t>
            </w:r>
            <w:r w:rsidRPr="008669C3">
              <w:rPr>
                <w:i/>
                <w:iCs/>
                <w:color w:val="000000"/>
                <w:sz w:val="22"/>
                <w:szCs w:val="22"/>
              </w:rPr>
              <w:t>t</w:t>
            </w:r>
            <w:r w:rsidR="00910EEA" w:rsidRPr="008669C3">
              <w:rPr>
                <w:iCs/>
                <w:color w:val="000000"/>
                <w:sz w:val="22"/>
                <w:szCs w:val="22"/>
              </w:rPr>
              <w:t xml:space="preserve"> </w:t>
            </w:r>
            <w:r w:rsidRPr="008669C3">
              <w:rPr>
                <w:iCs/>
                <w:color w:val="000000"/>
                <w:sz w:val="22"/>
                <w:szCs w:val="22"/>
              </w:rPr>
              <w:t>-</w:t>
            </w:r>
            <w:r w:rsidR="00910EEA" w:rsidRPr="008669C3">
              <w:rPr>
                <w:iCs/>
                <w:color w:val="000000"/>
                <w:sz w:val="22"/>
                <w:szCs w:val="22"/>
              </w:rPr>
              <w:t xml:space="preserve"> </w:t>
            </w:r>
            <w:r w:rsidRPr="008669C3">
              <w:rPr>
                <w:iCs/>
                <w:color w:val="000000"/>
                <w:sz w:val="22"/>
                <w:szCs w:val="22"/>
              </w:rPr>
              <w:t xml:space="preserve">1 to </w:t>
            </w:r>
            <w:r w:rsidRPr="008669C3">
              <w:rPr>
                <w:i/>
                <w:iCs/>
                <w:color w:val="000000"/>
                <w:sz w:val="22"/>
                <w:szCs w:val="22"/>
              </w:rPr>
              <w:t>t</w:t>
            </w:r>
            <w:r w:rsidR="00910EEA" w:rsidRPr="008669C3">
              <w:rPr>
                <w:iCs/>
                <w:color w:val="000000"/>
                <w:sz w:val="22"/>
                <w:szCs w:val="22"/>
              </w:rPr>
              <w:t xml:space="preserve"> </w:t>
            </w:r>
            <w:r w:rsidRPr="008669C3">
              <w:rPr>
                <w:iCs/>
                <w:color w:val="000000"/>
                <w:sz w:val="22"/>
                <w:szCs w:val="22"/>
              </w:rPr>
              <w:t>+</w:t>
            </w:r>
            <w:r w:rsidR="00910EEA" w:rsidRPr="008669C3">
              <w:rPr>
                <w:iCs/>
                <w:color w:val="000000"/>
                <w:sz w:val="22"/>
                <w:szCs w:val="22"/>
              </w:rPr>
              <w:t xml:space="preserve"> </w:t>
            </w:r>
            <w:r w:rsidRPr="008669C3">
              <w:rPr>
                <w:iCs/>
                <w:color w:val="000000"/>
                <w:sz w:val="22"/>
                <w:szCs w:val="22"/>
              </w:rPr>
              <w:t>2</w:t>
            </w:r>
          </w:p>
        </w:tc>
        <w:tc>
          <w:tcPr>
            <w:tcW w:w="325" w:type="pct"/>
            <w:tcBorders>
              <w:top w:val="nil"/>
              <w:left w:val="nil"/>
              <w:bottom w:val="nil"/>
              <w:right w:val="nil"/>
            </w:tcBorders>
            <w:shd w:val="clear" w:color="auto" w:fill="auto"/>
            <w:noWrap/>
            <w:vAlign w:val="bottom"/>
            <w:hideMark/>
          </w:tcPr>
          <w:p w14:paraId="1F50DBAB" w14:textId="77777777" w:rsidR="00054523" w:rsidRPr="008669C3" w:rsidRDefault="00054523" w:rsidP="00054523">
            <w:pPr>
              <w:jc w:val="center"/>
              <w:rPr>
                <w:color w:val="000000"/>
                <w:sz w:val="22"/>
                <w:szCs w:val="22"/>
              </w:rPr>
            </w:pPr>
            <w:r w:rsidRPr="008669C3">
              <w:rPr>
                <w:color w:val="000000"/>
                <w:sz w:val="22"/>
                <w:szCs w:val="22"/>
              </w:rPr>
              <w:t>0.156</w:t>
            </w:r>
          </w:p>
        </w:tc>
        <w:tc>
          <w:tcPr>
            <w:tcW w:w="406" w:type="pct"/>
            <w:tcBorders>
              <w:top w:val="nil"/>
              <w:left w:val="nil"/>
              <w:bottom w:val="nil"/>
              <w:right w:val="nil"/>
            </w:tcBorders>
            <w:shd w:val="clear" w:color="auto" w:fill="auto"/>
            <w:noWrap/>
            <w:vAlign w:val="bottom"/>
            <w:hideMark/>
          </w:tcPr>
          <w:p w14:paraId="7C07E883" w14:textId="77777777" w:rsidR="00054523" w:rsidRPr="008669C3" w:rsidRDefault="00054523" w:rsidP="00054523">
            <w:pPr>
              <w:jc w:val="center"/>
              <w:rPr>
                <w:color w:val="000000"/>
                <w:sz w:val="22"/>
                <w:szCs w:val="22"/>
              </w:rPr>
            </w:pPr>
            <w:r w:rsidRPr="008669C3">
              <w:rPr>
                <w:color w:val="000000"/>
                <w:sz w:val="22"/>
                <w:szCs w:val="22"/>
              </w:rPr>
              <w:t>-0.211</w:t>
            </w:r>
          </w:p>
        </w:tc>
        <w:tc>
          <w:tcPr>
            <w:tcW w:w="124" w:type="pct"/>
            <w:tcBorders>
              <w:top w:val="nil"/>
              <w:left w:val="nil"/>
              <w:bottom w:val="nil"/>
              <w:right w:val="nil"/>
            </w:tcBorders>
            <w:shd w:val="clear" w:color="auto" w:fill="auto"/>
            <w:noWrap/>
            <w:vAlign w:val="bottom"/>
            <w:hideMark/>
          </w:tcPr>
          <w:p w14:paraId="566FEF09" w14:textId="77777777" w:rsidR="00054523" w:rsidRPr="008669C3" w:rsidRDefault="00054523" w:rsidP="00054523">
            <w:pPr>
              <w:jc w:val="center"/>
              <w:rPr>
                <w:color w:val="000000"/>
                <w:sz w:val="22"/>
                <w:szCs w:val="22"/>
              </w:rPr>
            </w:pPr>
          </w:p>
        </w:tc>
        <w:tc>
          <w:tcPr>
            <w:tcW w:w="375" w:type="pct"/>
            <w:tcBorders>
              <w:top w:val="nil"/>
              <w:left w:val="nil"/>
              <w:bottom w:val="nil"/>
              <w:right w:val="nil"/>
            </w:tcBorders>
            <w:shd w:val="clear" w:color="auto" w:fill="auto"/>
            <w:noWrap/>
            <w:vAlign w:val="bottom"/>
            <w:hideMark/>
          </w:tcPr>
          <w:p w14:paraId="1F321971" w14:textId="77777777" w:rsidR="00054523" w:rsidRPr="008669C3" w:rsidRDefault="00054523" w:rsidP="00054523">
            <w:pPr>
              <w:jc w:val="center"/>
              <w:rPr>
                <w:color w:val="000000"/>
                <w:sz w:val="22"/>
                <w:szCs w:val="22"/>
              </w:rPr>
            </w:pPr>
            <w:r w:rsidRPr="008669C3">
              <w:rPr>
                <w:color w:val="000000"/>
                <w:sz w:val="22"/>
                <w:szCs w:val="22"/>
              </w:rPr>
              <w:t>0.152</w:t>
            </w:r>
          </w:p>
        </w:tc>
        <w:tc>
          <w:tcPr>
            <w:tcW w:w="406" w:type="pct"/>
            <w:tcBorders>
              <w:top w:val="nil"/>
              <w:left w:val="nil"/>
              <w:bottom w:val="nil"/>
              <w:right w:val="nil"/>
            </w:tcBorders>
            <w:shd w:val="clear" w:color="auto" w:fill="auto"/>
            <w:noWrap/>
            <w:vAlign w:val="bottom"/>
            <w:hideMark/>
          </w:tcPr>
          <w:p w14:paraId="6006D07A" w14:textId="77777777" w:rsidR="00054523" w:rsidRPr="008669C3" w:rsidRDefault="00054523" w:rsidP="00054523">
            <w:pPr>
              <w:jc w:val="center"/>
              <w:rPr>
                <w:color w:val="000000"/>
                <w:sz w:val="22"/>
                <w:szCs w:val="22"/>
              </w:rPr>
            </w:pPr>
            <w:r w:rsidRPr="008669C3">
              <w:rPr>
                <w:color w:val="000000"/>
                <w:sz w:val="22"/>
                <w:szCs w:val="22"/>
              </w:rPr>
              <w:t>-1.286</w:t>
            </w:r>
          </w:p>
        </w:tc>
        <w:tc>
          <w:tcPr>
            <w:tcW w:w="124" w:type="pct"/>
            <w:tcBorders>
              <w:top w:val="nil"/>
              <w:left w:val="nil"/>
              <w:bottom w:val="nil"/>
              <w:right w:val="nil"/>
            </w:tcBorders>
            <w:shd w:val="clear" w:color="auto" w:fill="auto"/>
            <w:noWrap/>
            <w:vAlign w:val="bottom"/>
            <w:hideMark/>
          </w:tcPr>
          <w:p w14:paraId="0078BCA7" w14:textId="77777777" w:rsidR="00054523" w:rsidRPr="008669C3" w:rsidRDefault="00054523" w:rsidP="00054523">
            <w:pPr>
              <w:jc w:val="center"/>
              <w:rPr>
                <w:color w:val="000000"/>
                <w:sz w:val="22"/>
                <w:szCs w:val="22"/>
              </w:rPr>
            </w:pPr>
          </w:p>
        </w:tc>
        <w:tc>
          <w:tcPr>
            <w:tcW w:w="359" w:type="pct"/>
            <w:tcBorders>
              <w:top w:val="nil"/>
              <w:left w:val="nil"/>
              <w:bottom w:val="nil"/>
              <w:right w:val="nil"/>
            </w:tcBorders>
            <w:shd w:val="clear" w:color="auto" w:fill="auto"/>
            <w:noWrap/>
            <w:vAlign w:val="bottom"/>
            <w:hideMark/>
          </w:tcPr>
          <w:p w14:paraId="32EA0E76" w14:textId="77777777" w:rsidR="00054523" w:rsidRPr="008669C3" w:rsidRDefault="00054523" w:rsidP="00054523">
            <w:pPr>
              <w:jc w:val="center"/>
              <w:rPr>
                <w:color w:val="000000"/>
                <w:sz w:val="22"/>
                <w:szCs w:val="22"/>
              </w:rPr>
            </w:pPr>
            <w:r w:rsidRPr="008669C3">
              <w:rPr>
                <w:color w:val="000000"/>
                <w:sz w:val="22"/>
                <w:szCs w:val="22"/>
              </w:rPr>
              <w:t>-0.006</w:t>
            </w:r>
          </w:p>
        </w:tc>
        <w:tc>
          <w:tcPr>
            <w:tcW w:w="406" w:type="pct"/>
            <w:tcBorders>
              <w:top w:val="nil"/>
              <w:left w:val="nil"/>
              <w:bottom w:val="nil"/>
              <w:right w:val="nil"/>
            </w:tcBorders>
            <w:shd w:val="clear" w:color="auto" w:fill="auto"/>
            <w:noWrap/>
            <w:vAlign w:val="bottom"/>
            <w:hideMark/>
          </w:tcPr>
          <w:p w14:paraId="58399CC2" w14:textId="77777777" w:rsidR="00054523" w:rsidRPr="008669C3" w:rsidRDefault="00054523" w:rsidP="00054523">
            <w:pPr>
              <w:jc w:val="center"/>
              <w:rPr>
                <w:color w:val="000000"/>
                <w:sz w:val="22"/>
                <w:szCs w:val="22"/>
              </w:rPr>
            </w:pPr>
            <w:r w:rsidRPr="008669C3">
              <w:rPr>
                <w:color w:val="000000"/>
                <w:sz w:val="22"/>
                <w:szCs w:val="22"/>
              </w:rPr>
              <w:t>-0.041</w:t>
            </w:r>
          </w:p>
        </w:tc>
        <w:tc>
          <w:tcPr>
            <w:tcW w:w="124" w:type="pct"/>
            <w:tcBorders>
              <w:top w:val="nil"/>
              <w:left w:val="nil"/>
              <w:bottom w:val="nil"/>
              <w:right w:val="nil"/>
            </w:tcBorders>
            <w:shd w:val="clear" w:color="auto" w:fill="auto"/>
            <w:noWrap/>
            <w:vAlign w:val="bottom"/>
            <w:hideMark/>
          </w:tcPr>
          <w:p w14:paraId="353FA64A" w14:textId="77777777" w:rsidR="00054523" w:rsidRPr="008669C3" w:rsidRDefault="00054523" w:rsidP="00054523">
            <w:pPr>
              <w:jc w:val="center"/>
              <w:rPr>
                <w:color w:val="000000"/>
                <w:sz w:val="22"/>
                <w:szCs w:val="22"/>
              </w:rPr>
            </w:pPr>
          </w:p>
        </w:tc>
        <w:tc>
          <w:tcPr>
            <w:tcW w:w="359" w:type="pct"/>
            <w:tcBorders>
              <w:top w:val="nil"/>
              <w:left w:val="nil"/>
              <w:bottom w:val="nil"/>
              <w:right w:val="nil"/>
            </w:tcBorders>
            <w:shd w:val="clear" w:color="auto" w:fill="auto"/>
            <w:noWrap/>
            <w:vAlign w:val="bottom"/>
            <w:hideMark/>
          </w:tcPr>
          <w:p w14:paraId="65DB44F0" w14:textId="77777777" w:rsidR="00054523" w:rsidRPr="008669C3" w:rsidRDefault="00054523" w:rsidP="00054523">
            <w:pPr>
              <w:jc w:val="center"/>
              <w:rPr>
                <w:color w:val="000000"/>
                <w:sz w:val="22"/>
                <w:szCs w:val="22"/>
              </w:rPr>
            </w:pPr>
            <w:r w:rsidRPr="008669C3">
              <w:rPr>
                <w:color w:val="000000"/>
                <w:sz w:val="22"/>
                <w:szCs w:val="22"/>
              </w:rPr>
              <w:t>-0.005</w:t>
            </w:r>
          </w:p>
        </w:tc>
        <w:tc>
          <w:tcPr>
            <w:tcW w:w="406" w:type="pct"/>
            <w:tcBorders>
              <w:top w:val="nil"/>
              <w:left w:val="nil"/>
              <w:bottom w:val="nil"/>
              <w:right w:val="nil"/>
            </w:tcBorders>
            <w:shd w:val="clear" w:color="auto" w:fill="auto"/>
            <w:noWrap/>
            <w:vAlign w:val="bottom"/>
            <w:hideMark/>
          </w:tcPr>
          <w:p w14:paraId="27F0A626" w14:textId="77777777" w:rsidR="00054523" w:rsidRPr="008669C3" w:rsidRDefault="00054523" w:rsidP="00054523">
            <w:pPr>
              <w:jc w:val="center"/>
              <w:rPr>
                <w:color w:val="000000"/>
                <w:sz w:val="22"/>
                <w:szCs w:val="22"/>
              </w:rPr>
            </w:pPr>
            <w:r w:rsidRPr="008669C3">
              <w:rPr>
                <w:color w:val="000000"/>
                <w:sz w:val="22"/>
                <w:szCs w:val="22"/>
              </w:rPr>
              <w:t>-0.038</w:t>
            </w:r>
          </w:p>
        </w:tc>
      </w:tr>
      <w:tr w:rsidR="003D5386" w:rsidRPr="008669C3" w14:paraId="385F2C6C" w14:textId="77777777" w:rsidTr="003D5386">
        <w:trPr>
          <w:trHeight w:val="20"/>
        </w:trPr>
        <w:tc>
          <w:tcPr>
            <w:tcW w:w="1586" w:type="pct"/>
            <w:tcBorders>
              <w:top w:val="nil"/>
              <w:left w:val="nil"/>
              <w:right w:val="nil"/>
            </w:tcBorders>
            <w:shd w:val="clear" w:color="auto" w:fill="auto"/>
            <w:noWrap/>
            <w:vAlign w:val="bottom"/>
            <w:hideMark/>
          </w:tcPr>
          <w:p w14:paraId="0CAEFE0C" w14:textId="745C4C2D" w:rsidR="00054523" w:rsidRPr="008669C3" w:rsidRDefault="00054523" w:rsidP="00054523">
            <w:pPr>
              <w:rPr>
                <w:iCs/>
                <w:color w:val="000000"/>
                <w:sz w:val="22"/>
                <w:szCs w:val="22"/>
              </w:rPr>
            </w:pPr>
            <w:r w:rsidRPr="008669C3">
              <w:rPr>
                <w:iCs/>
                <w:color w:val="000000"/>
                <w:sz w:val="22"/>
                <w:szCs w:val="22"/>
              </w:rPr>
              <w:t>Difference in changes: Treat-Control</w:t>
            </w:r>
          </w:p>
        </w:tc>
        <w:tc>
          <w:tcPr>
            <w:tcW w:w="731" w:type="pct"/>
            <w:gridSpan w:val="2"/>
            <w:tcBorders>
              <w:top w:val="nil"/>
              <w:left w:val="nil"/>
              <w:right w:val="nil"/>
            </w:tcBorders>
            <w:shd w:val="clear" w:color="auto" w:fill="auto"/>
            <w:noWrap/>
            <w:vAlign w:val="bottom"/>
            <w:hideMark/>
          </w:tcPr>
          <w:p w14:paraId="3054C65C" w14:textId="77777777" w:rsidR="00054523" w:rsidRPr="008669C3" w:rsidRDefault="00054523" w:rsidP="00054523">
            <w:pPr>
              <w:jc w:val="center"/>
              <w:rPr>
                <w:color w:val="000000"/>
                <w:sz w:val="22"/>
                <w:szCs w:val="22"/>
              </w:rPr>
            </w:pPr>
            <w:r w:rsidRPr="008669C3">
              <w:rPr>
                <w:color w:val="000000"/>
                <w:sz w:val="22"/>
                <w:szCs w:val="22"/>
              </w:rPr>
              <w:t>0.452</w:t>
            </w:r>
            <w:r w:rsidRPr="008669C3">
              <w:rPr>
                <w:color w:val="000000"/>
                <w:sz w:val="20"/>
                <w:szCs w:val="22"/>
              </w:rPr>
              <w:t>***</w:t>
            </w:r>
          </w:p>
        </w:tc>
        <w:tc>
          <w:tcPr>
            <w:tcW w:w="124" w:type="pct"/>
            <w:tcBorders>
              <w:top w:val="nil"/>
              <w:left w:val="nil"/>
              <w:right w:val="nil"/>
            </w:tcBorders>
            <w:shd w:val="clear" w:color="auto" w:fill="auto"/>
            <w:noWrap/>
            <w:vAlign w:val="bottom"/>
            <w:hideMark/>
          </w:tcPr>
          <w:p w14:paraId="3F4A9382" w14:textId="77777777" w:rsidR="00054523" w:rsidRPr="008669C3" w:rsidRDefault="00054523" w:rsidP="00054523">
            <w:pPr>
              <w:jc w:val="center"/>
              <w:rPr>
                <w:color w:val="000000"/>
                <w:sz w:val="22"/>
                <w:szCs w:val="22"/>
              </w:rPr>
            </w:pPr>
          </w:p>
        </w:tc>
        <w:tc>
          <w:tcPr>
            <w:tcW w:w="781" w:type="pct"/>
            <w:gridSpan w:val="2"/>
            <w:tcBorders>
              <w:top w:val="nil"/>
              <w:left w:val="nil"/>
              <w:right w:val="nil"/>
            </w:tcBorders>
            <w:shd w:val="clear" w:color="auto" w:fill="auto"/>
            <w:noWrap/>
            <w:vAlign w:val="bottom"/>
            <w:hideMark/>
          </w:tcPr>
          <w:p w14:paraId="2B09C522" w14:textId="77777777" w:rsidR="00054523" w:rsidRPr="008669C3" w:rsidRDefault="00054523" w:rsidP="00054523">
            <w:pPr>
              <w:jc w:val="center"/>
              <w:rPr>
                <w:color w:val="000000"/>
                <w:sz w:val="22"/>
                <w:szCs w:val="22"/>
              </w:rPr>
            </w:pPr>
            <w:r w:rsidRPr="008669C3">
              <w:rPr>
                <w:color w:val="000000"/>
                <w:sz w:val="22"/>
                <w:szCs w:val="22"/>
              </w:rPr>
              <w:t>1.439</w:t>
            </w:r>
            <w:r w:rsidRPr="008669C3">
              <w:rPr>
                <w:color w:val="000000"/>
                <w:sz w:val="20"/>
                <w:szCs w:val="22"/>
              </w:rPr>
              <w:t>*</w:t>
            </w:r>
          </w:p>
        </w:tc>
        <w:tc>
          <w:tcPr>
            <w:tcW w:w="124" w:type="pct"/>
            <w:tcBorders>
              <w:top w:val="nil"/>
              <w:left w:val="nil"/>
              <w:right w:val="nil"/>
            </w:tcBorders>
            <w:shd w:val="clear" w:color="auto" w:fill="auto"/>
            <w:noWrap/>
            <w:vAlign w:val="bottom"/>
            <w:hideMark/>
          </w:tcPr>
          <w:p w14:paraId="30DC7A33" w14:textId="77777777" w:rsidR="00054523" w:rsidRPr="008669C3" w:rsidRDefault="00054523" w:rsidP="00054523">
            <w:pPr>
              <w:jc w:val="center"/>
              <w:rPr>
                <w:color w:val="000000"/>
                <w:sz w:val="22"/>
                <w:szCs w:val="22"/>
              </w:rPr>
            </w:pPr>
          </w:p>
        </w:tc>
        <w:tc>
          <w:tcPr>
            <w:tcW w:w="765" w:type="pct"/>
            <w:gridSpan w:val="2"/>
            <w:tcBorders>
              <w:top w:val="nil"/>
              <w:left w:val="nil"/>
              <w:right w:val="nil"/>
            </w:tcBorders>
            <w:shd w:val="clear" w:color="auto" w:fill="auto"/>
            <w:noWrap/>
            <w:vAlign w:val="bottom"/>
            <w:hideMark/>
          </w:tcPr>
          <w:p w14:paraId="1548CFFF" w14:textId="77777777" w:rsidR="00054523" w:rsidRPr="008669C3" w:rsidRDefault="00054523" w:rsidP="00054523">
            <w:pPr>
              <w:jc w:val="center"/>
              <w:rPr>
                <w:color w:val="000000"/>
                <w:sz w:val="22"/>
                <w:szCs w:val="22"/>
              </w:rPr>
            </w:pPr>
            <w:r w:rsidRPr="008669C3">
              <w:rPr>
                <w:color w:val="000000"/>
                <w:sz w:val="22"/>
                <w:szCs w:val="22"/>
              </w:rPr>
              <w:t>0.035</w:t>
            </w:r>
            <w:r w:rsidRPr="008669C3">
              <w:rPr>
                <w:color w:val="000000"/>
                <w:sz w:val="20"/>
                <w:szCs w:val="22"/>
              </w:rPr>
              <w:t>**</w:t>
            </w:r>
          </w:p>
        </w:tc>
        <w:tc>
          <w:tcPr>
            <w:tcW w:w="124" w:type="pct"/>
            <w:tcBorders>
              <w:top w:val="nil"/>
              <w:left w:val="nil"/>
              <w:right w:val="nil"/>
            </w:tcBorders>
            <w:shd w:val="clear" w:color="auto" w:fill="auto"/>
            <w:noWrap/>
            <w:vAlign w:val="bottom"/>
            <w:hideMark/>
          </w:tcPr>
          <w:p w14:paraId="25601878" w14:textId="77777777" w:rsidR="00054523" w:rsidRPr="008669C3" w:rsidRDefault="00054523" w:rsidP="00054523">
            <w:pPr>
              <w:jc w:val="center"/>
              <w:rPr>
                <w:color w:val="000000"/>
                <w:sz w:val="22"/>
                <w:szCs w:val="22"/>
              </w:rPr>
            </w:pPr>
          </w:p>
        </w:tc>
        <w:tc>
          <w:tcPr>
            <w:tcW w:w="765" w:type="pct"/>
            <w:gridSpan w:val="2"/>
            <w:tcBorders>
              <w:top w:val="nil"/>
              <w:left w:val="nil"/>
              <w:right w:val="nil"/>
            </w:tcBorders>
            <w:shd w:val="clear" w:color="auto" w:fill="auto"/>
            <w:noWrap/>
            <w:vAlign w:val="bottom"/>
            <w:hideMark/>
          </w:tcPr>
          <w:p w14:paraId="72977B39" w14:textId="77777777" w:rsidR="00054523" w:rsidRPr="008669C3" w:rsidRDefault="00054523" w:rsidP="00054523">
            <w:pPr>
              <w:jc w:val="center"/>
              <w:rPr>
                <w:color w:val="000000"/>
                <w:sz w:val="22"/>
                <w:szCs w:val="22"/>
              </w:rPr>
            </w:pPr>
            <w:r w:rsidRPr="008669C3">
              <w:rPr>
                <w:color w:val="000000"/>
                <w:sz w:val="22"/>
                <w:szCs w:val="22"/>
              </w:rPr>
              <w:t>0.033</w:t>
            </w:r>
            <w:r w:rsidRPr="008669C3">
              <w:rPr>
                <w:color w:val="000000"/>
                <w:sz w:val="20"/>
                <w:szCs w:val="22"/>
              </w:rPr>
              <w:t>**</w:t>
            </w:r>
          </w:p>
        </w:tc>
      </w:tr>
      <w:tr w:rsidR="003D5386" w:rsidRPr="008669C3" w14:paraId="6D9413AB" w14:textId="77777777" w:rsidTr="003D5386">
        <w:trPr>
          <w:trHeight w:val="20"/>
        </w:trPr>
        <w:tc>
          <w:tcPr>
            <w:tcW w:w="1586" w:type="pct"/>
            <w:tcBorders>
              <w:top w:val="nil"/>
              <w:left w:val="nil"/>
              <w:bottom w:val="single" w:sz="4" w:space="0" w:color="auto"/>
              <w:right w:val="nil"/>
            </w:tcBorders>
            <w:shd w:val="clear" w:color="auto" w:fill="auto"/>
            <w:noWrap/>
            <w:vAlign w:val="bottom"/>
            <w:hideMark/>
          </w:tcPr>
          <w:p w14:paraId="363808AC" w14:textId="13E3536F" w:rsidR="00054523" w:rsidRPr="008669C3" w:rsidRDefault="00054523" w:rsidP="00054523">
            <w:pPr>
              <w:rPr>
                <w:iCs/>
                <w:color w:val="000000"/>
                <w:sz w:val="22"/>
                <w:szCs w:val="22"/>
              </w:rPr>
            </w:pPr>
          </w:p>
        </w:tc>
        <w:tc>
          <w:tcPr>
            <w:tcW w:w="731" w:type="pct"/>
            <w:gridSpan w:val="2"/>
            <w:tcBorders>
              <w:top w:val="nil"/>
              <w:left w:val="nil"/>
              <w:bottom w:val="single" w:sz="4" w:space="0" w:color="auto"/>
              <w:right w:val="nil"/>
            </w:tcBorders>
            <w:shd w:val="clear" w:color="auto" w:fill="auto"/>
            <w:noWrap/>
            <w:vAlign w:val="bottom"/>
            <w:hideMark/>
          </w:tcPr>
          <w:p w14:paraId="1EB1755E" w14:textId="77777777" w:rsidR="00054523" w:rsidRPr="008669C3" w:rsidRDefault="00054523" w:rsidP="00054523">
            <w:pPr>
              <w:jc w:val="center"/>
              <w:rPr>
                <w:color w:val="000000"/>
                <w:sz w:val="22"/>
                <w:szCs w:val="22"/>
              </w:rPr>
            </w:pPr>
            <w:r w:rsidRPr="008669C3">
              <w:rPr>
                <w:color w:val="000000"/>
                <w:sz w:val="22"/>
                <w:szCs w:val="22"/>
              </w:rPr>
              <w:t>(0.133)</w:t>
            </w:r>
          </w:p>
        </w:tc>
        <w:tc>
          <w:tcPr>
            <w:tcW w:w="124" w:type="pct"/>
            <w:tcBorders>
              <w:top w:val="nil"/>
              <w:left w:val="nil"/>
              <w:bottom w:val="single" w:sz="4" w:space="0" w:color="auto"/>
              <w:right w:val="nil"/>
            </w:tcBorders>
            <w:shd w:val="clear" w:color="auto" w:fill="auto"/>
            <w:noWrap/>
            <w:vAlign w:val="bottom"/>
            <w:hideMark/>
          </w:tcPr>
          <w:p w14:paraId="18F06A8C" w14:textId="77777777" w:rsidR="00054523" w:rsidRPr="008669C3" w:rsidRDefault="00054523" w:rsidP="00054523">
            <w:pPr>
              <w:jc w:val="center"/>
              <w:rPr>
                <w:color w:val="000000"/>
                <w:sz w:val="22"/>
                <w:szCs w:val="22"/>
              </w:rPr>
            </w:pPr>
          </w:p>
        </w:tc>
        <w:tc>
          <w:tcPr>
            <w:tcW w:w="781" w:type="pct"/>
            <w:gridSpan w:val="2"/>
            <w:tcBorders>
              <w:top w:val="nil"/>
              <w:left w:val="nil"/>
              <w:bottom w:val="single" w:sz="4" w:space="0" w:color="auto"/>
              <w:right w:val="nil"/>
            </w:tcBorders>
            <w:shd w:val="clear" w:color="auto" w:fill="auto"/>
            <w:noWrap/>
            <w:vAlign w:val="bottom"/>
            <w:hideMark/>
          </w:tcPr>
          <w:p w14:paraId="5A3436B4" w14:textId="77777777" w:rsidR="00054523" w:rsidRPr="008669C3" w:rsidRDefault="00054523" w:rsidP="00054523">
            <w:pPr>
              <w:jc w:val="center"/>
              <w:rPr>
                <w:color w:val="000000"/>
                <w:sz w:val="22"/>
                <w:szCs w:val="22"/>
              </w:rPr>
            </w:pPr>
            <w:r w:rsidRPr="008669C3">
              <w:rPr>
                <w:color w:val="000000"/>
                <w:sz w:val="22"/>
                <w:szCs w:val="22"/>
              </w:rPr>
              <w:t>(0.803)</w:t>
            </w:r>
          </w:p>
        </w:tc>
        <w:tc>
          <w:tcPr>
            <w:tcW w:w="124" w:type="pct"/>
            <w:tcBorders>
              <w:top w:val="nil"/>
              <w:left w:val="nil"/>
              <w:bottom w:val="single" w:sz="4" w:space="0" w:color="auto"/>
              <w:right w:val="nil"/>
            </w:tcBorders>
            <w:shd w:val="clear" w:color="auto" w:fill="auto"/>
            <w:noWrap/>
            <w:vAlign w:val="bottom"/>
            <w:hideMark/>
          </w:tcPr>
          <w:p w14:paraId="202379EC" w14:textId="77777777" w:rsidR="00054523" w:rsidRPr="008669C3" w:rsidRDefault="00054523" w:rsidP="00054523">
            <w:pPr>
              <w:jc w:val="center"/>
              <w:rPr>
                <w:color w:val="000000"/>
                <w:sz w:val="22"/>
                <w:szCs w:val="22"/>
              </w:rPr>
            </w:pPr>
          </w:p>
        </w:tc>
        <w:tc>
          <w:tcPr>
            <w:tcW w:w="765" w:type="pct"/>
            <w:gridSpan w:val="2"/>
            <w:tcBorders>
              <w:top w:val="nil"/>
              <w:left w:val="nil"/>
              <w:bottom w:val="single" w:sz="4" w:space="0" w:color="auto"/>
              <w:right w:val="nil"/>
            </w:tcBorders>
            <w:shd w:val="clear" w:color="auto" w:fill="auto"/>
            <w:noWrap/>
            <w:vAlign w:val="bottom"/>
            <w:hideMark/>
          </w:tcPr>
          <w:p w14:paraId="0C09271B" w14:textId="77777777" w:rsidR="00054523" w:rsidRPr="008669C3" w:rsidRDefault="00054523" w:rsidP="00054523">
            <w:pPr>
              <w:jc w:val="center"/>
              <w:rPr>
                <w:color w:val="000000"/>
                <w:sz w:val="22"/>
                <w:szCs w:val="22"/>
              </w:rPr>
            </w:pPr>
            <w:r w:rsidRPr="008669C3">
              <w:rPr>
                <w:color w:val="000000"/>
                <w:sz w:val="22"/>
                <w:szCs w:val="22"/>
              </w:rPr>
              <w:t>(0.017)</w:t>
            </w:r>
          </w:p>
        </w:tc>
        <w:tc>
          <w:tcPr>
            <w:tcW w:w="124" w:type="pct"/>
            <w:tcBorders>
              <w:top w:val="nil"/>
              <w:left w:val="nil"/>
              <w:bottom w:val="single" w:sz="4" w:space="0" w:color="auto"/>
              <w:right w:val="nil"/>
            </w:tcBorders>
            <w:shd w:val="clear" w:color="auto" w:fill="auto"/>
            <w:noWrap/>
            <w:vAlign w:val="bottom"/>
            <w:hideMark/>
          </w:tcPr>
          <w:p w14:paraId="562DFE84" w14:textId="77777777" w:rsidR="00054523" w:rsidRPr="008669C3" w:rsidRDefault="00054523" w:rsidP="00054523">
            <w:pPr>
              <w:jc w:val="center"/>
              <w:rPr>
                <w:color w:val="000000"/>
                <w:sz w:val="22"/>
                <w:szCs w:val="22"/>
              </w:rPr>
            </w:pPr>
          </w:p>
        </w:tc>
        <w:tc>
          <w:tcPr>
            <w:tcW w:w="765" w:type="pct"/>
            <w:gridSpan w:val="2"/>
            <w:tcBorders>
              <w:top w:val="nil"/>
              <w:left w:val="nil"/>
              <w:bottom w:val="single" w:sz="4" w:space="0" w:color="auto"/>
              <w:right w:val="nil"/>
            </w:tcBorders>
            <w:shd w:val="clear" w:color="auto" w:fill="auto"/>
            <w:noWrap/>
            <w:vAlign w:val="bottom"/>
            <w:hideMark/>
          </w:tcPr>
          <w:p w14:paraId="3D89E146" w14:textId="77777777" w:rsidR="00054523" w:rsidRPr="008669C3" w:rsidRDefault="00054523" w:rsidP="00054523">
            <w:pPr>
              <w:jc w:val="center"/>
              <w:rPr>
                <w:color w:val="000000"/>
                <w:sz w:val="22"/>
                <w:szCs w:val="22"/>
              </w:rPr>
            </w:pPr>
            <w:r w:rsidRPr="008669C3">
              <w:rPr>
                <w:color w:val="000000"/>
                <w:sz w:val="22"/>
                <w:szCs w:val="22"/>
              </w:rPr>
              <w:t>(0.015)</w:t>
            </w:r>
          </w:p>
        </w:tc>
      </w:tr>
    </w:tbl>
    <w:p w14:paraId="50C2D8D2" w14:textId="77777777" w:rsidR="00054523" w:rsidRPr="008669C3" w:rsidRDefault="00054523" w:rsidP="001900E3">
      <w:pPr>
        <w:jc w:val="both"/>
        <w:rPr>
          <w:color w:val="FF0000"/>
          <w:sz w:val="20"/>
          <w:szCs w:val="20"/>
        </w:rPr>
        <w:sectPr w:rsidR="00054523" w:rsidRPr="008669C3" w:rsidSect="00A94131">
          <w:pgSz w:w="15840" w:h="12240" w:orient="landscape"/>
          <w:pgMar w:top="1440" w:right="1440" w:bottom="1440" w:left="1440" w:header="709" w:footer="709" w:gutter="0"/>
          <w:cols w:space="708"/>
          <w:docGrid w:linePitch="360"/>
        </w:sectPr>
      </w:pPr>
    </w:p>
    <w:p w14:paraId="6C5768D9" w14:textId="4D938AB5" w:rsidR="00692DBA" w:rsidRPr="008669C3" w:rsidRDefault="00692DBA" w:rsidP="001900E3">
      <w:pPr>
        <w:jc w:val="center"/>
        <w:rPr>
          <w:b/>
        </w:rPr>
      </w:pPr>
    </w:p>
    <w:p w14:paraId="3A7E2061" w14:textId="77777777" w:rsidR="00BA0E71" w:rsidRPr="008669C3" w:rsidRDefault="00BA0E71" w:rsidP="001900E3">
      <w:pPr>
        <w:jc w:val="center"/>
        <w:rPr>
          <w:b/>
        </w:rPr>
      </w:pPr>
    </w:p>
    <w:p w14:paraId="2AFECE84" w14:textId="166CB58F" w:rsidR="001900E3" w:rsidRPr="008669C3" w:rsidRDefault="001900E3" w:rsidP="001900E3">
      <w:pPr>
        <w:jc w:val="center"/>
        <w:rPr>
          <w:b/>
        </w:rPr>
      </w:pPr>
      <w:r w:rsidRPr="008669C3">
        <w:rPr>
          <w:b/>
        </w:rPr>
        <w:t xml:space="preserve">Table </w:t>
      </w:r>
      <w:r w:rsidR="004E24C4" w:rsidRPr="008669C3">
        <w:rPr>
          <w:b/>
        </w:rPr>
        <w:t>4</w:t>
      </w:r>
    </w:p>
    <w:p w14:paraId="0C4569B6" w14:textId="68B8319C" w:rsidR="001900E3" w:rsidRPr="008669C3" w:rsidRDefault="001900E3" w:rsidP="001900E3">
      <w:pPr>
        <w:jc w:val="center"/>
      </w:pPr>
      <w:r w:rsidRPr="008669C3">
        <w:t>CDS tradin</w:t>
      </w:r>
      <w:r w:rsidR="002E0A3A" w:rsidRPr="008669C3">
        <w:t>g and CEO’s incentive contracts</w:t>
      </w:r>
    </w:p>
    <w:p w14:paraId="5DF510BB" w14:textId="77777777" w:rsidR="001900E3" w:rsidRPr="008669C3" w:rsidRDefault="001900E3" w:rsidP="001900E3">
      <w:pPr>
        <w:jc w:val="both"/>
      </w:pPr>
    </w:p>
    <w:p w14:paraId="0C6ACE6E" w14:textId="2A05F135" w:rsidR="007A69F4" w:rsidRPr="008669C3" w:rsidRDefault="001900E3" w:rsidP="007A69F4">
      <w:pPr>
        <w:jc w:val="both"/>
        <w:rPr>
          <w:iCs/>
          <w:color w:val="FF0000"/>
          <w:sz w:val="20"/>
          <w:szCs w:val="20"/>
        </w:rPr>
      </w:pPr>
      <w:r w:rsidRPr="008669C3">
        <w:rPr>
          <w:sz w:val="20"/>
          <w:szCs w:val="20"/>
        </w:rPr>
        <w:t xml:space="preserve">This table examines the impact of the onset of CDS trading on </w:t>
      </w:r>
      <w:r w:rsidR="00E6029B" w:rsidRPr="008669C3">
        <w:rPr>
          <w:sz w:val="20"/>
          <w:szCs w:val="20"/>
        </w:rPr>
        <w:t>risk-taking incentives in the CEO’s compensation packages</w:t>
      </w:r>
      <w:r w:rsidRPr="008669C3">
        <w:rPr>
          <w:sz w:val="20"/>
          <w:szCs w:val="20"/>
        </w:rPr>
        <w:t xml:space="preserve">. The dependent variable </w:t>
      </w:r>
      <w:r w:rsidR="00E6029B" w:rsidRPr="008669C3">
        <w:rPr>
          <w:sz w:val="20"/>
          <w:szCs w:val="20"/>
        </w:rPr>
        <w:t xml:space="preserve">for Panel A </w:t>
      </w:r>
      <w:r w:rsidRPr="008669C3">
        <w:rPr>
          <w:sz w:val="20"/>
          <w:szCs w:val="20"/>
        </w:rPr>
        <w:t xml:space="preserve">is the natural logarithm of one plus </w:t>
      </w:r>
      <w:r w:rsidRPr="008669C3">
        <w:rPr>
          <w:i/>
          <w:sz w:val="20"/>
          <w:szCs w:val="20"/>
        </w:rPr>
        <w:t>Vega</w:t>
      </w:r>
      <w:r w:rsidRPr="008669C3">
        <w:rPr>
          <w:sz w:val="20"/>
          <w:szCs w:val="20"/>
        </w:rPr>
        <w:t xml:space="preserve">, where </w:t>
      </w:r>
      <w:r w:rsidRPr="008669C3">
        <w:rPr>
          <w:i/>
          <w:sz w:val="20"/>
          <w:szCs w:val="20"/>
        </w:rPr>
        <w:t>Vega</w:t>
      </w:r>
      <w:r w:rsidRPr="008669C3">
        <w:rPr>
          <w:sz w:val="20"/>
          <w:szCs w:val="20"/>
        </w:rPr>
        <w:t xml:space="preserve"> is the change (in thousands of dollars) </w:t>
      </w:r>
      <w:r w:rsidR="00296482" w:rsidRPr="008669C3">
        <w:rPr>
          <w:sz w:val="20"/>
          <w:szCs w:val="20"/>
        </w:rPr>
        <w:t xml:space="preserve">in </w:t>
      </w:r>
      <w:r w:rsidRPr="008669C3">
        <w:rPr>
          <w:sz w:val="20"/>
          <w:szCs w:val="20"/>
        </w:rPr>
        <w:t xml:space="preserve">the value of the CEO’s wealth due to a 0.01 increase in the annualized standard deviation of the firm’s stock return. </w:t>
      </w:r>
      <w:r w:rsidR="0013318A" w:rsidRPr="008669C3">
        <w:rPr>
          <w:sz w:val="20"/>
          <w:szCs w:val="20"/>
        </w:rPr>
        <w:t xml:space="preserve">The dependent variable for Panel B is the natural logarithm of one plus the CEO’s option compensation. </w:t>
      </w:r>
      <w:r w:rsidR="007A69F4" w:rsidRPr="008669C3">
        <w:rPr>
          <w:sz w:val="20"/>
          <w:szCs w:val="20"/>
        </w:rPr>
        <w:t>The</w:t>
      </w:r>
      <w:r w:rsidRPr="008669C3">
        <w:rPr>
          <w:sz w:val="20"/>
          <w:szCs w:val="20"/>
        </w:rPr>
        <w:t xml:space="preserve"> main variable of interest </w:t>
      </w:r>
      <w:r w:rsidRPr="008669C3">
        <w:rPr>
          <w:i/>
          <w:sz w:val="20"/>
          <w:szCs w:val="20"/>
        </w:rPr>
        <w:t>CDS trading</w:t>
      </w:r>
      <w:r w:rsidRPr="008669C3">
        <w:rPr>
          <w:sz w:val="20"/>
          <w:szCs w:val="20"/>
        </w:rPr>
        <w:t xml:space="preserve"> </w:t>
      </w:r>
      <w:r w:rsidR="000C58DD" w:rsidRPr="008669C3">
        <w:rPr>
          <w:sz w:val="20"/>
          <w:szCs w:val="20"/>
        </w:rPr>
        <w:t xml:space="preserve">is an indicator variable that equals one for a CDS firm after the inception of the firm’s CDS trading and zero prior to it. </w:t>
      </w:r>
      <w:r w:rsidRPr="008669C3">
        <w:rPr>
          <w:i/>
          <w:iCs/>
          <w:sz w:val="20"/>
          <w:szCs w:val="20"/>
        </w:rPr>
        <w:t>CDS trading</w:t>
      </w:r>
      <w:r w:rsidRPr="008669C3">
        <w:rPr>
          <w:i/>
          <w:iCs/>
          <w:sz w:val="20"/>
          <w:szCs w:val="20"/>
          <w:vertAlign w:val="superscript"/>
        </w:rPr>
        <w:t>-1</w:t>
      </w:r>
      <w:r w:rsidRPr="008669C3">
        <w:rPr>
          <w:iCs/>
          <w:sz w:val="20"/>
          <w:szCs w:val="20"/>
        </w:rPr>
        <w:t xml:space="preserve">, </w:t>
      </w:r>
      <w:r w:rsidRPr="008669C3">
        <w:rPr>
          <w:i/>
          <w:iCs/>
          <w:sz w:val="20"/>
          <w:szCs w:val="20"/>
        </w:rPr>
        <w:t>CDS trading</w:t>
      </w:r>
      <w:r w:rsidRPr="008669C3">
        <w:rPr>
          <w:i/>
          <w:iCs/>
          <w:sz w:val="20"/>
          <w:szCs w:val="20"/>
          <w:vertAlign w:val="superscript"/>
        </w:rPr>
        <w:t>0</w:t>
      </w:r>
      <w:r w:rsidRPr="008669C3">
        <w:rPr>
          <w:iCs/>
          <w:sz w:val="20"/>
          <w:szCs w:val="20"/>
        </w:rPr>
        <w:t xml:space="preserve">, </w:t>
      </w:r>
      <w:r w:rsidRPr="008669C3">
        <w:rPr>
          <w:i/>
          <w:iCs/>
          <w:sz w:val="20"/>
          <w:szCs w:val="20"/>
        </w:rPr>
        <w:t>CDS trading</w:t>
      </w:r>
      <w:r w:rsidRPr="008669C3">
        <w:rPr>
          <w:i/>
          <w:iCs/>
          <w:sz w:val="20"/>
          <w:szCs w:val="20"/>
          <w:vertAlign w:val="superscript"/>
        </w:rPr>
        <w:t>+1</w:t>
      </w:r>
      <w:r w:rsidRPr="008669C3">
        <w:rPr>
          <w:iCs/>
          <w:sz w:val="20"/>
          <w:szCs w:val="20"/>
        </w:rPr>
        <w:t xml:space="preserve">, and </w:t>
      </w:r>
      <w:r w:rsidRPr="008669C3">
        <w:rPr>
          <w:i/>
          <w:iCs/>
          <w:sz w:val="20"/>
          <w:szCs w:val="20"/>
        </w:rPr>
        <w:t>CDS trading</w:t>
      </w:r>
      <w:r w:rsidR="002E0A3A" w:rsidRPr="008669C3">
        <w:rPr>
          <w:i/>
          <w:iCs/>
          <w:sz w:val="20"/>
          <w:szCs w:val="20"/>
          <w:vertAlign w:val="superscript"/>
        </w:rPr>
        <w:t>≥</w:t>
      </w:r>
      <w:r w:rsidRPr="008669C3">
        <w:rPr>
          <w:i/>
          <w:iCs/>
          <w:sz w:val="20"/>
          <w:szCs w:val="20"/>
          <w:vertAlign w:val="superscript"/>
        </w:rPr>
        <w:t>+2</w:t>
      </w:r>
      <w:r w:rsidRPr="008669C3">
        <w:rPr>
          <w:iCs/>
          <w:sz w:val="20"/>
          <w:szCs w:val="20"/>
        </w:rPr>
        <w:t xml:space="preserve"> are indicator variables for the year prior to, the year of, the first year after, and two or more years after the CDS introduction, respectively. </w:t>
      </w:r>
      <w:r w:rsidR="007A69F4" w:rsidRPr="008669C3">
        <w:rPr>
          <w:sz w:val="20"/>
        </w:rPr>
        <w:t xml:space="preserve">Other variables are defined in Appendix A. </w:t>
      </w:r>
      <w:r w:rsidRPr="008669C3">
        <w:rPr>
          <w:sz w:val="20"/>
          <w:szCs w:val="20"/>
        </w:rPr>
        <w:t>Industry-year fixed effects are constructed based on the Fama-French 49-</w:t>
      </w:r>
      <w:r w:rsidR="007B5CD6">
        <w:rPr>
          <w:sz w:val="20"/>
          <w:szCs w:val="20"/>
        </w:rPr>
        <w:t>industry</w:t>
      </w:r>
      <w:r w:rsidR="007B5CD6" w:rsidRPr="008669C3">
        <w:rPr>
          <w:sz w:val="20"/>
          <w:szCs w:val="20"/>
        </w:rPr>
        <w:t xml:space="preserve"> </w:t>
      </w:r>
      <w:r w:rsidRPr="008669C3">
        <w:rPr>
          <w:iCs/>
          <w:sz w:val="20"/>
          <w:szCs w:val="20"/>
        </w:rPr>
        <w:t>classifications. Statistical significance is based on the heteroskedasticity robust firm-clustered standard errors reported in parentheses. ***, **, and * indicate significant at the 1%, 5%, and 10% levels, respectively.</w:t>
      </w:r>
    </w:p>
    <w:p w14:paraId="5C1164FA" w14:textId="186D488B" w:rsidR="001900E3" w:rsidRPr="008669C3" w:rsidRDefault="00535F81" w:rsidP="001900E3">
      <w:pPr>
        <w:jc w:val="both"/>
        <w:rPr>
          <w:i/>
          <w:iCs/>
          <w:sz w:val="20"/>
          <w:szCs w:val="20"/>
        </w:rPr>
      </w:pPr>
      <w:r w:rsidRPr="008669C3">
        <w:rPr>
          <w:i/>
        </w:rPr>
        <w:t xml:space="preserve">Panel A. </w:t>
      </w:r>
      <w:r w:rsidR="002363FA" w:rsidRPr="008669C3">
        <w:rPr>
          <w:i/>
        </w:rPr>
        <w:t xml:space="preserve">CDS trading and </w:t>
      </w:r>
      <w:r w:rsidR="00604AC5" w:rsidRPr="008669C3">
        <w:rPr>
          <w:i/>
        </w:rPr>
        <w:t>CEO vega</w:t>
      </w:r>
      <w:r w:rsidR="008A073D" w:rsidRPr="008669C3">
        <w:rPr>
          <w:i/>
        </w:rPr>
        <w:t xml:space="preserve"> </w:t>
      </w:r>
    </w:p>
    <w:tbl>
      <w:tblPr>
        <w:tblW w:w="5000" w:type="pct"/>
        <w:jc w:val="center"/>
        <w:tblLook w:val="04A0" w:firstRow="1" w:lastRow="0" w:firstColumn="1" w:lastColumn="0" w:noHBand="0" w:noVBand="1"/>
      </w:tblPr>
      <w:tblGrid>
        <w:gridCol w:w="3038"/>
        <w:gridCol w:w="1494"/>
        <w:gridCol w:w="1620"/>
        <w:gridCol w:w="310"/>
        <w:gridCol w:w="1492"/>
        <w:gridCol w:w="1622"/>
      </w:tblGrid>
      <w:tr w:rsidR="004B0C70" w:rsidRPr="008669C3" w14:paraId="71C04B62" w14:textId="77777777" w:rsidTr="00EA4854">
        <w:trPr>
          <w:trHeight w:val="20"/>
          <w:jc w:val="center"/>
        </w:trPr>
        <w:tc>
          <w:tcPr>
            <w:tcW w:w="1586" w:type="pct"/>
            <w:vMerge w:val="restart"/>
            <w:tcBorders>
              <w:top w:val="single" w:sz="4" w:space="0" w:color="auto"/>
              <w:left w:val="nil"/>
              <w:bottom w:val="single" w:sz="4" w:space="0" w:color="000000"/>
              <w:right w:val="nil"/>
            </w:tcBorders>
            <w:shd w:val="clear" w:color="auto" w:fill="auto"/>
            <w:noWrap/>
            <w:vAlign w:val="bottom"/>
            <w:hideMark/>
          </w:tcPr>
          <w:p w14:paraId="225BB48C" w14:textId="77777777" w:rsidR="001900E3" w:rsidRPr="008669C3" w:rsidRDefault="001900E3" w:rsidP="00A94131">
            <w:pPr>
              <w:rPr>
                <w:sz w:val="20"/>
                <w:szCs w:val="20"/>
              </w:rPr>
            </w:pPr>
          </w:p>
        </w:tc>
        <w:tc>
          <w:tcPr>
            <w:tcW w:w="3414" w:type="pct"/>
            <w:gridSpan w:val="5"/>
            <w:tcBorders>
              <w:top w:val="single" w:sz="4" w:space="0" w:color="auto"/>
              <w:left w:val="nil"/>
              <w:bottom w:val="single" w:sz="4" w:space="0" w:color="auto"/>
              <w:right w:val="nil"/>
            </w:tcBorders>
            <w:shd w:val="clear" w:color="auto" w:fill="auto"/>
            <w:noWrap/>
            <w:vAlign w:val="bottom"/>
            <w:hideMark/>
          </w:tcPr>
          <w:p w14:paraId="332A1DA7" w14:textId="77777777" w:rsidR="001900E3" w:rsidRPr="008669C3" w:rsidRDefault="001900E3" w:rsidP="00A94131">
            <w:pPr>
              <w:jc w:val="center"/>
              <w:rPr>
                <w:i/>
                <w:iCs/>
                <w:sz w:val="20"/>
                <w:szCs w:val="20"/>
              </w:rPr>
            </w:pPr>
            <w:r w:rsidRPr="008669C3">
              <w:rPr>
                <w:sz w:val="20"/>
                <w:szCs w:val="20"/>
              </w:rPr>
              <w:t xml:space="preserve">Dependent variable: </w:t>
            </w:r>
            <w:r w:rsidRPr="008669C3">
              <w:rPr>
                <w:i/>
                <w:iCs/>
                <w:sz w:val="20"/>
                <w:szCs w:val="20"/>
              </w:rPr>
              <w:t>Ln(1+Vega)</w:t>
            </w:r>
          </w:p>
        </w:tc>
      </w:tr>
      <w:tr w:rsidR="004B0C70" w:rsidRPr="008669C3" w14:paraId="4A4B3F5A" w14:textId="77777777" w:rsidTr="00EA4854">
        <w:trPr>
          <w:trHeight w:val="20"/>
          <w:jc w:val="center"/>
        </w:trPr>
        <w:tc>
          <w:tcPr>
            <w:tcW w:w="1586" w:type="pct"/>
            <w:vMerge/>
            <w:tcBorders>
              <w:top w:val="single" w:sz="4" w:space="0" w:color="auto"/>
              <w:left w:val="nil"/>
              <w:bottom w:val="single" w:sz="4" w:space="0" w:color="000000"/>
              <w:right w:val="nil"/>
            </w:tcBorders>
            <w:vAlign w:val="center"/>
            <w:hideMark/>
          </w:tcPr>
          <w:p w14:paraId="7918E5E2" w14:textId="77777777" w:rsidR="001900E3" w:rsidRPr="008669C3" w:rsidRDefault="001900E3" w:rsidP="00A94131">
            <w:pPr>
              <w:rPr>
                <w:sz w:val="20"/>
                <w:szCs w:val="20"/>
              </w:rPr>
            </w:pPr>
          </w:p>
        </w:tc>
        <w:tc>
          <w:tcPr>
            <w:tcW w:w="780" w:type="pct"/>
            <w:tcBorders>
              <w:top w:val="nil"/>
              <w:left w:val="nil"/>
              <w:bottom w:val="single" w:sz="4" w:space="0" w:color="auto"/>
              <w:right w:val="nil"/>
            </w:tcBorders>
            <w:shd w:val="clear" w:color="auto" w:fill="auto"/>
            <w:noWrap/>
            <w:vAlign w:val="bottom"/>
            <w:hideMark/>
          </w:tcPr>
          <w:p w14:paraId="4B3815E6" w14:textId="394B2563" w:rsidR="001900E3" w:rsidRPr="008669C3" w:rsidRDefault="002E0A3A" w:rsidP="00A94131">
            <w:pPr>
              <w:jc w:val="center"/>
              <w:rPr>
                <w:sz w:val="20"/>
                <w:szCs w:val="20"/>
              </w:rPr>
            </w:pPr>
            <w:r w:rsidRPr="008669C3">
              <w:rPr>
                <w:sz w:val="20"/>
                <w:szCs w:val="20"/>
              </w:rPr>
              <w:t>(</w:t>
            </w:r>
            <w:r w:rsidR="001900E3" w:rsidRPr="008669C3">
              <w:rPr>
                <w:sz w:val="20"/>
                <w:szCs w:val="20"/>
              </w:rPr>
              <w:t>1</w:t>
            </w:r>
            <w:r w:rsidRPr="008669C3">
              <w:rPr>
                <w:sz w:val="20"/>
                <w:szCs w:val="20"/>
              </w:rPr>
              <w:t>)</w:t>
            </w:r>
          </w:p>
        </w:tc>
        <w:tc>
          <w:tcPr>
            <w:tcW w:w="846" w:type="pct"/>
            <w:tcBorders>
              <w:top w:val="nil"/>
              <w:left w:val="nil"/>
              <w:bottom w:val="single" w:sz="4" w:space="0" w:color="auto"/>
              <w:right w:val="nil"/>
            </w:tcBorders>
            <w:shd w:val="clear" w:color="auto" w:fill="auto"/>
            <w:noWrap/>
            <w:vAlign w:val="bottom"/>
            <w:hideMark/>
          </w:tcPr>
          <w:p w14:paraId="41ACE9B4" w14:textId="58AA82E4" w:rsidR="001900E3" w:rsidRPr="008669C3" w:rsidRDefault="002E0A3A" w:rsidP="00A94131">
            <w:pPr>
              <w:jc w:val="center"/>
              <w:rPr>
                <w:sz w:val="20"/>
                <w:szCs w:val="20"/>
              </w:rPr>
            </w:pPr>
            <w:r w:rsidRPr="008669C3">
              <w:rPr>
                <w:sz w:val="20"/>
                <w:szCs w:val="20"/>
              </w:rPr>
              <w:t>(</w:t>
            </w:r>
            <w:r w:rsidR="001900E3" w:rsidRPr="008669C3">
              <w:rPr>
                <w:sz w:val="20"/>
                <w:szCs w:val="20"/>
              </w:rPr>
              <w:t>2</w:t>
            </w:r>
            <w:r w:rsidRPr="008669C3">
              <w:rPr>
                <w:sz w:val="20"/>
                <w:szCs w:val="20"/>
              </w:rPr>
              <w:t>)</w:t>
            </w:r>
          </w:p>
        </w:tc>
        <w:tc>
          <w:tcPr>
            <w:tcW w:w="162" w:type="pct"/>
            <w:tcBorders>
              <w:top w:val="nil"/>
              <w:left w:val="nil"/>
              <w:bottom w:val="single" w:sz="4" w:space="0" w:color="auto"/>
              <w:right w:val="nil"/>
            </w:tcBorders>
            <w:shd w:val="clear" w:color="auto" w:fill="auto"/>
            <w:noWrap/>
            <w:vAlign w:val="bottom"/>
            <w:hideMark/>
          </w:tcPr>
          <w:p w14:paraId="218E6D5E" w14:textId="77777777" w:rsidR="001900E3" w:rsidRPr="008669C3" w:rsidRDefault="001900E3" w:rsidP="00A94131">
            <w:pPr>
              <w:jc w:val="center"/>
              <w:rPr>
                <w:sz w:val="20"/>
                <w:szCs w:val="20"/>
              </w:rPr>
            </w:pPr>
            <w:r w:rsidRPr="008669C3">
              <w:rPr>
                <w:sz w:val="20"/>
                <w:szCs w:val="20"/>
              </w:rPr>
              <w:t> </w:t>
            </w:r>
          </w:p>
        </w:tc>
        <w:tc>
          <w:tcPr>
            <w:tcW w:w="779" w:type="pct"/>
            <w:tcBorders>
              <w:top w:val="single" w:sz="4" w:space="0" w:color="auto"/>
              <w:left w:val="nil"/>
              <w:bottom w:val="single" w:sz="4" w:space="0" w:color="auto"/>
              <w:right w:val="nil"/>
            </w:tcBorders>
            <w:shd w:val="clear" w:color="auto" w:fill="auto"/>
            <w:noWrap/>
            <w:vAlign w:val="bottom"/>
            <w:hideMark/>
          </w:tcPr>
          <w:p w14:paraId="700673DB" w14:textId="206C41E4" w:rsidR="001900E3" w:rsidRPr="008669C3" w:rsidRDefault="002E0A3A" w:rsidP="00A94131">
            <w:pPr>
              <w:jc w:val="center"/>
              <w:rPr>
                <w:sz w:val="20"/>
                <w:szCs w:val="20"/>
              </w:rPr>
            </w:pPr>
            <w:r w:rsidRPr="008669C3">
              <w:rPr>
                <w:sz w:val="20"/>
                <w:szCs w:val="20"/>
              </w:rPr>
              <w:t>(</w:t>
            </w:r>
            <w:r w:rsidR="001900E3" w:rsidRPr="008669C3">
              <w:rPr>
                <w:sz w:val="20"/>
                <w:szCs w:val="20"/>
              </w:rPr>
              <w:t>3</w:t>
            </w:r>
            <w:r w:rsidRPr="008669C3">
              <w:rPr>
                <w:sz w:val="20"/>
                <w:szCs w:val="20"/>
              </w:rPr>
              <w:t>)</w:t>
            </w:r>
          </w:p>
        </w:tc>
        <w:tc>
          <w:tcPr>
            <w:tcW w:w="847" w:type="pct"/>
            <w:tcBorders>
              <w:top w:val="single" w:sz="4" w:space="0" w:color="auto"/>
              <w:left w:val="nil"/>
              <w:bottom w:val="single" w:sz="4" w:space="0" w:color="auto"/>
              <w:right w:val="nil"/>
            </w:tcBorders>
            <w:shd w:val="clear" w:color="auto" w:fill="auto"/>
            <w:noWrap/>
            <w:vAlign w:val="bottom"/>
            <w:hideMark/>
          </w:tcPr>
          <w:p w14:paraId="4297880D" w14:textId="7428923B" w:rsidR="001900E3" w:rsidRPr="008669C3" w:rsidRDefault="002E0A3A" w:rsidP="00A94131">
            <w:pPr>
              <w:jc w:val="center"/>
              <w:rPr>
                <w:sz w:val="20"/>
                <w:szCs w:val="20"/>
              </w:rPr>
            </w:pPr>
            <w:r w:rsidRPr="008669C3">
              <w:rPr>
                <w:sz w:val="20"/>
                <w:szCs w:val="20"/>
              </w:rPr>
              <w:t>(</w:t>
            </w:r>
            <w:r w:rsidR="001900E3" w:rsidRPr="008669C3">
              <w:rPr>
                <w:sz w:val="20"/>
                <w:szCs w:val="20"/>
              </w:rPr>
              <w:t>4</w:t>
            </w:r>
            <w:r w:rsidRPr="008669C3">
              <w:rPr>
                <w:sz w:val="20"/>
                <w:szCs w:val="20"/>
              </w:rPr>
              <w:t>)</w:t>
            </w:r>
          </w:p>
        </w:tc>
      </w:tr>
      <w:tr w:rsidR="00EA4854" w:rsidRPr="008669C3" w14:paraId="266B9C0A"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43CA375D" w14:textId="77777777" w:rsidR="00EA4854" w:rsidRPr="008669C3" w:rsidRDefault="00EA4854" w:rsidP="00EA4854">
            <w:pPr>
              <w:rPr>
                <w:iCs/>
                <w:sz w:val="20"/>
                <w:szCs w:val="20"/>
              </w:rPr>
            </w:pPr>
            <w:r w:rsidRPr="008669C3">
              <w:rPr>
                <w:iCs/>
                <w:sz w:val="20"/>
                <w:szCs w:val="20"/>
              </w:rPr>
              <w:t>CDS trading</w:t>
            </w:r>
          </w:p>
        </w:tc>
        <w:tc>
          <w:tcPr>
            <w:tcW w:w="780" w:type="pct"/>
            <w:tcBorders>
              <w:top w:val="nil"/>
              <w:left w:val="nil"/>
              <w:bottom w:val="nil"/>
              <w:right w:val="nil"/>
            </w:tcBorders>
            <w:shd w:val="clear" w:color="auto" w:fill="auto"/>
            <w:noWrap/>
            <w:vAlign w:val="bottom"/>
            <w:hideMark/>
          </w:tcPr>
          <w:p w14:paraId="3FBAB231" w14:textId="745DC950" w:rsidR="00EA4854" w:rsidRPr="008669C3" w:rsidRDefault="00EA4854" w:rsidP="00EA4854">
            <w:pPr>
              <w:jc w:val="center"/>
              <w:rPr>
                <w:sz w:val="20"/>
                <w:szCs w:val="20"/>
              </w:rPr>
            </w:pPr>
            <w:r w:rsidRPr="008669C3">
              <w:rPr>
                <w:sz w:val="20"/>
                <w:szCs w:val="20"/>
              </w:rPr>
              <w:t>0.328**</w:t>
            </w:r>
          </w:p>
        </w:tc>
        <w:tc>
          <w:tcPr>
            <w:tcW w:w="846" w:type="pct"/>
            <w:tcBorders>
              <w:top w:val="nil"/>
              <w:left w:val="nil"/>
              <w:bottom w:val="nil"/>
              <w:right w:val="nil"/>
            </w:tcBorders>
            <w:shd w:val="clear" w:color="auto" w:fill="auto"/>
            <w:noWrap/>
            <w:vAlign w:val="bottom"/>
            <w:hideMark/>
          </w:tcPr>
          <w:p w14:paraId="7852DF9C" w14:textId="39734B74" w:rsidR="00EA4854" w:rsidRPr="008669C3" w:rsidRDefault="00EA4854" w:rsidP="00EA4854">
            <w:pPr>
              <w:jc w:val="center"/>
              <w:rPr>
                <w:sz w:val="20"/>
                <w:szCs w:val="20"/>
              </w:rPr>
            </w:pPr>
            <w:r w:rsidRPr="008669C3">
              <w:rPr>
                <w:sz w:val="20"/>
                <w:szCs w:val="20"/>
              </w:rPr>
              <w:t>0.291***</w:t>
            </w:r>
          </w:p>
        </w:tc>
        <w:tc>
          <w:tcPr>
            <w:tcW w:w="162" w:type="pct"/>
            <w:tcBorders>
              <w:top w:val="nil"/>
              <w:left w:val="nil"/>
              <w:bottom w:val="nil"/>
              <w:right w:val="nil"/>
            </w:tcBorders>
            <w:shd w:val="clear" w:color="auto" w:fill="auto"/>
            <w:noWrap/>
            <w:vAlign w:val="bottom"/>
            <w:hideMark/>
          </w:tcPr>
          <w:p w14:paraId="1E594D66" w14:textId="77777777" w:rsidR="00EA4854" w:rsidRPr="008669C3" w:rsidRDefault="00EA4854" w:rsidP="00EA4854">
            <w:pPr>
              <w:jc w:val="center"/>
              <w:rPr>
                <w:sz w:val="20"/>
                <w:szCs w:val="20"/>
              </w:rPr>
            </w:pPr>
          </w:p>
        </w:tc>
        <w:tc>
          <w:tcPr>
            <w:tcW w:w="779" w:type="pct"/>
            <w:tcBorders>
              <w:top w:val="nil"/>
              <w:left w:val="nil"/>
              <w:bottom w:val="nil"/>
              <w:right w:val="nil"/>
            </w:tcBorders>
            <w:shd w:val="clear" w:color="auto" w:fill="auto"/>
            <w:noWrap/>
            <w:vAlign w:val="bottom"/>
            <w:hideMark/>
          </w:tcPr>
          <w:p w14:paraId="62FB00EB" w14:textId="77777777" w:rsidR="00EA4854" w:rsidRPr="008669C3" w:rsidRDefault="00EA4854" w:rsidP="00EA4854">
            <w:pPr>
              <w:jc w:val="center"/>
              <w:rPr>
                <w:sz w:val="20"/>
                <w:szCs w:val="20"/>
              </w:rPr>
            </w:pPr>
            <w:r w:rsidRPr="008669C3">
              <w:rPr>
                <w:iCs/>
                <w:sz w:val="20"/>
                <w:szCs w:val="20"/>
              </w:rPr>
              <w:t>—</w:t>
            </w:r>
          </w:p>
        </w:tc>
        <w:tc>
          <w:tcPr>
            <w:tcW w:w="847" w:type="pct"/>
            <w:tcBorders>
              <w:top w:val="nil"/>
              <w:left w:val="nil"/>
              <w:bottom w:val="nil"/>
              <w:right w:val="nil"/>
            </w:tcBorders>
            <w:shd w:val="clear" w:color="auto" w:fill="auto"/>
            <w:noWrap/>
            <w:vAlign w:val="bottom"/>
            <w:hideMark/>
          </w:tcPr>
          <w:p w14:paraId="525F206B" w14:textId="77777777" w:rsidR="00EA4854" w:rsidRPr="008669C3" w:rsidRDefault="00EA4854" w:rsidP="00EA4854">
            <w:pPr>
              <w:jc w:val="center"/>
              <w:rPr>
                <w:sz w:val="20"/>
                <w:szCs w:val="20"/>
              </w:rPr>
            </w:pPr>
            <w:r w:rsidRPr="008669C3">
              <w:rPr>
                <w:iCs/>
                <w:sz w:val="20"/>
                <w:szCs w:val="20"/>
              </w:rPr>
              <w:t>—</w:t>
            </w:r>
          </w:p>
        </w:tc>
      </w:tr>
      <w:tr w:rsidR="00EA4854" w:rsidRPr="008669C3" w14:paraId="49CA6058"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094DE615" w14:textId="77777777" w:rsidR="00EA4854" w:rsidRPr="008669C3" w:rsidRDefault="00EA4854" w:rsidP="00EA4854">
            <w:pPr>
              <w:jc w:val="center"/>
              <w:rPr>
                <w:sz w:val="20"/>
                <w:szCs w:val="20"/>
              </w:rPr>
            </w:pPr>
          </w:p>
        </w:tc>
        <w:tc>
          <w:tcPr>
            <w:tcW w:w="780" w:type="pct"/>
            <w:tcBorders>
              <w:top w:val="nil"/>
              <w:left w:val="nil"/>
              <w:bottom w:val="nil"/>
              <w:right w:val="nil"/>
            </w:tcBorders>
            <w:shd w:val="clear" w:color="auto" w:fill="auto"/>
            <w:noWrap/>
            <w:vAlign w:val="bottom"/>
            <w:hideMark/>
          </w:tcPr>
          <w:p w14:paraId="0C805AD2" w14:textId="1EB5794D" w:rsidR="00EA4854" w:rsidRPr="008669C3" w:rsidRDefault="00EA4854" w:rsidP="00EA4854">
            <w:pPr>
              <w:jc w:val="center"/>
              <w:rPr>
                <w:sz w:val="20"/>
                <w:szCs w:val="20"/>
              </w:rPr>
            </w:pPr>
            <w:r w:rsidRPr="008669C3">
              <w:rPr>
                <w:sz w:val="20"/>
                <w:szCs w:val="20"/>
              </w:rPr>
              <w:t>(0.136)</w:t>
            </w:r>
          </w:p>
        </w:tc>
        <w:tc>
          <w:tcPr>
            <w:tcW w:w="846" w:type="pct"/>
            <w:tcBorders>
              <w:top w:val="nil"/>
              <w:left w:val="nil"/>
              <w:bottom w:val="nil"/>
              <w:right w:val="nil"/>
            </w:tcBorders>
            <w:shd w:val="clear" w:color="auto" w:fill="auto"/>
            <w:noWrap/>
            <w:vAlign w:val="bottom"/>
            <w:hideMark/>
          </w:tcPr>
          <w:p w14:paraId="3328DDB1" w14:textId="6B77842D" w:rsidR="00EA4854" w:rsidRPr="008669C3" w:rsidRDefault="00EA4854" w:rsidP="00EA4854">
            <w:pPr>
              <w:jc w:val="center"/>
              <w:rPr>
                <w:sz w:val="20"/>
                <w:szCs w:val="20"/>
              </w:rPr>
            </w:pPr>
            <w:r w:rsidRPr="008669C3">
              <w:rPr>
                <w:sz w:val="20"/>
                <w:szCs w:val="20"/>
              </w:rPr>
              <w:t>(0.110)</w:t>
            </w:r>
          </w:p>
        </w:tc>
        <w:tc>
          <w:tcPr>
            <w:tcW w:w="162" w:type="pct"/>
            <w:tcBorders>
              <w:top w:val="nil"/>
              <w:left w:val="nil"/>
              <w:bottom w:val="nil"/>
              <w:right w:val="nil"/>
            </w:tcBorders>
            <w:shd w:val="clear" w:color="auto" w:fill="auto"/>
            <w:noWrap/>
            <w:vAlign w:val="bottom"/>
            <w:hideMark/>
          </w:tcPr>
          <w:p w14:paraId="41CD9A01" w14:textId="77777777" w:rsidR="00EA4854" w:rsidRPr="008669C3" w:rsidRDefault="00EA4854" w:rsidP="00EA4854">
            <w:pPr>
              <w:jc w:val="center"/>
              <w:rPr>
                <w:sz w:val="20"/>
                <w:szCs w:val="20"/>
              </w:rPr>
            </w:pPr>
          </w:p>
        </w:tc>
        <w:tc>
          <w:tcPr>
            <w:tcW w:w="779" w:type="pct"/>
            <w:tcBorders>
              <w:top w:val="nil"/>
              <w:left w:val="nil"/>
              <w:bottom w:val="nil"/>
              <w:right w:val="nil"/>
            </w:tcBorders>
            <w:shd w:val="clear" w:color="auto" w:fill="auto"/>
            <w:noWrap/>
            <w:vAlign w:val="bottom"/>
            <w:hideMark/>
          </w:tcPr>
          <w:p w14:paraId="0799F5E1" w14:textId="77777777" w:rsidR="00EA4854" w:rsidRPr="008669C3" w:rsidRDefault="00EA4854" w:rsidP="00EA4854">
            <w:pPr>
              <w:jc w:val="center"/>
              <w:rPr>
                <w:sz w:val="20"/>
                <w:szCs w:val="20"/>
              </w:rPr>
            </w:pPr>
          </w:p>
        </w:tc>
        <w:tc>
          <w:tcPr>
            <w:tcW w:w="847" w:type="pct"/>
            <w:tcBorders>
              <w:top w:val="nil"/>
              <w:left w:val="nil"/>
              <w:bottom w:val="nil"/>
              <w:right w:val="nil"/>
            </w:tcBorders>
            <w:shd w:val="clear" w:color="auto" w:fill="auto"/>
            <w:noWrap/>
            <w:vAlign w:val="bottom"/>
            <w:hideMark/>
          </w:tcPr>
          <w:p w14:paraId="387A603A" w14:textId="77777777" w:rsidR="00EA4854" w:rsidRPr="008669C3" w:rsidRDefault="00EA4854" w:rsidP="00EA4854">
            <w:pPr>
              <w:jc w:val="center"/>
              <w:rPr>
                <w:sz w:val="20"/>
                <w:szCs w:val="20"/>
              </w:rPr>
            </w:pPr>
          </w:p>
        </w:tc>
      </w:tr>
      <w:tr w:rsidR="00535F81" w:rsidRPr="008669C3" w14:paraId="4C669B5C"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73DEF08C" w14:textId="77777777" w:rsidR="00535F81" w:rsidRPr="008669C3" w:rsidRDefault="00535F81" w:rsidP="00535F81">
            <w:pPr>
              <w:rPr>
                <w:iCs/>
                <w:sz w:val="20"/>
                <w:szCs w:val="20"/>
              </w:rPr>
            </w:pPr>
            <w:r w:rsidRPr="008669C3">
              <w:rPr>
                <w:iCs/>
                <w:sz w:val="20"/>
                <w:szCs w:val="20"/>
              </w:rPr>
              <w:t>CDS trading</w:t>
            </w:r>
            <w:r w:rsidRPr="008669C3">
              <w:rPr>
                <w:iCs/>
                <w:sz w:val="20"/>
                <w:szCs w:val="20"/>
                <w:vertAlign w:val="superscript"/>
              </w:rPr>
              <w:t>-1</w:t>
            </w:r>
            <w:r w:rsidRPr="008669C3">
              <w:rPr>
                <w:iCs/>
                <w:sz w:val="20"/>
                <w:szCs w:val="20"/>
              </w:rPr>
              <w:t xml:space="preserve"> </w:t>
            </w:r>
          </w:p>
        </w:tc>
        <w:tc>
          <w:tcPr>
            <w:tcW w:w="780" w:type="pct"/>
            <w:tcBorders>
              <w:top w:val="nil"/>
              <w:left w:val="nil"/>
              <w:bottom w:val="nil"/>
              <w:right w:val="nil"/>
            </w:tcBorders>
            <w:shd w:val="clear" w:color="auto" w:fill="auto"/>
            <w:noWrap/>
            <w:vAlign w:val="bottom"/>
            <w:hideMark/>
          </w:tcPr>
          <w:p w14:paraId="4ABF303B" w14:textId="77777777" w:rsidR="00535F81" w:rsidRPr="008669C3" w:rsidRDefault="00535F81" w:rsidP="00535F81">
            <w:pPr>
              <w:jc w:val="center"/>
              <w:rPr>
                <w:iCs/>
                <w:sz w:val="20"/>
                <w:szCs w:val="20"/>
              </w:rPr>
            </w:pPr>
            <w:r w:rsidRPr="008669C3">
              <w:rPr>
                <w:iCs/>
                <w:sz w:val="20"/>
                <w:szCs w:val="20"/>
              </w:rPr>
              <w:t>—</w:t>
            </w:r>
          </w:p>
        </w:tc>
        <w:tc>
          <w:tcPr>
            <w:tcW w:w="846" w:type="pct"/>
            <w:tcBorders>
              <w:top w:val="nil"/>
              <w:left w:val="nil"/>
              <w:bottom w:val="nil"/>
              <w:right w:val="nil"/>
            </w:tcBorders>
            <w:shd w:val="clear" w:color="auto" w:fill="auto"/>
            <w:noWrap/>
            <w:vAlign w:val="bottom"/>
            <w:hideMark/>
          </w:tcPr>
          <w:p w14:paraId="23AA2D90" w14:textId="77777777" w:rsidR="00535F81" w:rsidRPr="008669C3" w:rsidRDefault="00535F81" w:rsidP="00535F81">
            <w:pPr>
              <w:jc w:val="center"/>
              <w:rPr>
                <w:sz w:val="20"/>
                <w:szCs w:val="20"/>
              </w:rPr>
            </w:pPr>
            <w:r w:rsidRPr="008669C3">
              <w:rPr>
                <w:iCs/>
                <w:sz w:val="20"/>
                <w:szCs w:val="20"/>
              </w:rPr>
              <w:t>—</w:t>
            </w:r>
          </w:p>
        </w:tc>
        <w:tc>
          <w:tcPr>
            <w:tcW w:w="162" w:type="pct"/>
            <w:tcBorders>
              <w:top w:val="nil"/>
              <w:left w:val="nil"/>
              <w:bottom w:val="nil"/>
              <w:right w:val="nil"/>
            </w:tcBorders>
            <w:shd w:val="clear" w:color="auto" w:fill="auto"/>
            <w:noWrap/>
            <w:vAlign w:val="bottom"/>
            <w:hideMark/>
          </w:tcPr>
          <w:p w14:paraId="52A2B6E4"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474F30E7" w14:textId="4E494B05" w:rsidR="00535F81" w:rsidRPr="008669C3" w:rsidRDefault="00535F81" w:rsidP="00535F81">
            <w:pPr>
              <w:jc w:val="center"/>
              <w:rPr>
                <w:sz w:val="20"/>
                <w:szCs w:val="20"/>
              </w:rPr>
            </w:pPr>
            <w:r w:rsidRPr="008669C3">
              <w:rPr>
                <w:sz w:val="20"/>
                <w:szCs w:val="20"/>
              </w:rPr>
              <w:t>0.234</w:t>
            </w:r>
          </w:p>
        </w:tc>
        <w:tc>
          <w:tcPr>
            <w:tcW w:w="847" w:type="pct"/>
            <w:tcBorders>
              <w:top w:val="nil"/>
              <w:left w:val="nil"/>
              <w:bottom w:val="nil"/>
              <w:right w:val="nil"/>
            </w:tcBorders>
            <w:shd w:val="clear" w:color="auto" w:fill="auto"/>
            <w:noWrap/>
            <w:vAlign w:val="bottom"/>
            <w:hideMark/>
          </w:tcPr>
          <w:p w14:paraId="4413F339" w14:textId="25511819" w:rsidR="00535F81" w:rsidRPr="008669C3" w:rsidRDefault="00535F81" w:rsidP="00BF219E">
            <w:pPr>
              <w:jc w:val="center"/>
              <w:rPr>
                <w:sz w:val="20"/>
                <w:szCs w:val="20"/>
              </w:rPr>
            </w:pPr>
            <w:r w:rsidRPr="008669C3">
              <w:rPr>
                <w:sz w:val="20"/>
                <w:szCs w:val="20"/>
              </w:rPr>
              <w:t>0.</w:t>
            </w:r>
            <w:r w:rsidR="00BF219E" w:rsidRPr="008669C3">
              <w:rPr>
                <w:sz w:val="20"/>
                <w:szCs w:val="20"/>
              </w:rPr>
              <w:t>273</w:t>
            </w:r>
          </w:p>
        </w:tc>
      </w:tr>
      <w:tr w:rsidR="00535F81" w:rsidRPr="008669C3" w14:paraId="2A128C80"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17630778" w14:textId="77777777" w:rsidR="00535F81" w:rsidRPr="008669C3" w:rsidRDefault="00535F81" w:rsidP="00535F81">
            <w:pPr>
              <w:jc w:val="center"/>
              <w:rPr>
                <w:sz w:val="20"/>
                <w:szCs w:val="20"/>
              </w:rPr>
            </w:pPr>
          </w:p>
        </w:tc>
        <w:tc>
          <w:tcPr>
            <w:tcW w:w="780" w:type="pct"/>
            <w:tcBorders>
              <w:top w:val="nil"/>
              <w:left w:val="nil"/>
              <w:bottom w:val="nil"/>
              <w:right w:val="nil"/>
            </w:tcBorders>
            <w:shd w:val="clear" w:color="auto" w:fill="auto"/>
            <w:noWrap/>
            <w:vAlign w:val="bottom"/>
            <w:hideMark/>
          </w:tcPr>
          <w:p w14:paraId="4D224169" w14:textId="77777777" w:rsidR="00535F81" w:rsidRPr="008669C3" w:rsidRDefault="00535F81" w:rsidP="00535F81">
            <w:pPr>
              <w:jc w:val="center"/>
              <w:rPr>
                <w:iCs/>
                <w:sz w:val="20"/>
                <w:szCs w:val="20"/>
              </w:rPr>
            </w:pPr>
          </w:p>
        </w:tc>
        <w:tc>
          <w:tcPr>
            <w:tcW w:w="846" w:type="pct"/>
            <w:tcBorders>
              <w:top w:val="nil"/>
              <w:left w:val="nil"/>
              <w:bottom w:val="nil"/>
              <w:right w:val="nil"/>
            </w:tcBorders>
            <w:shd w:val="clear" w:color="auto" w:fill="auto"/>
            <w:noWrap/>
            <w:vAlign w:val="bottom"/>
            <w:hideMark/>
          </w:tcPr>
          <w:p w14:paraId="3634498A" w14:textId="77777777" w:rsidR="00535F81" w:rsidRPr="008669C3" w:rsidRDefault="00535F81" w:rsidP="00535F81">
            <w:pPr>
              <w:jc w:val="center"/>
              <w:rPr>
                <w:sz w:val="20"/>
                <w:szCs w:val="20"/>
              </w:rPr>
            </w:pPr>
          </w:p>
        </w:tc>
        <w:tc>
          <w:tcPr>
            <w:tcW w:w="162" w:type="pct"/>
            <w:tcBorders>
              <w:top w:val="nil"/>
              <w:left w:val="nil"/>
              <w:bottom w:val="nil"/>
              <w:right w:val="nil"/>
            </w:tcBorders>
            <w:shd w:val="clear" w:color="auto" w:fill="auto"/>
            <w:noWrap/>
            <w:vAlign w:val="bottom"/>
            <w:hideMark/>
          </w:tcPr>
          <w:p w14:paraId="0EF5F84C"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0D4321D4" w14:textId="6D01993D" w:rsidR="00535F81" w:rsidRPr="008669C3" w:rsidRDefault="00535F81" w:rsidP="00535F81">
            <w:pPr>
              <w:jc w:val="center"/>
              <w:rPr>
                <w:sz w:val="20"/>
                <w:szCs w:val="20"/>
              </w:rPr>
            </w:pPr>
            <w:r w:rsidRPr="008669C3">
              <w:rPr>
                <w:sz w:val="20"/>
                <w:szCs w:val="20"/>
              </w:rPr>
              <w:t>(0.195)</w:t>
            </w:r>
          </w:p>
        </w:tc>
        <w:tc>
          <w:tcPr>
            <w:tcW w:w="847" w:type="pct"/>
            <w:tcBorders>
              <w:top w:val="nil"/>
              <w:left w:val="nil"/>
              <w:bottom w:val="nil"/>
              <w:right w:val="nil"/>
            </w:tcBorders>
            <w:shd w:val="clear" w:color="auto" w:fill="auto"/>
            <w:noWrap/>
            <w:vAlign w:val="bottom"/>
            <w:hideMark/>
          </w:tcPr>
          <w:p w14:paraId="6375678E" w14:textId="3B5D2BC0" w:rsidR="00535F81" w:rsidRPr="008669C3" w:rsidRDefault="00535F81" w:rsidP="00BF219E">
            <w:pPr>
              <w:jc w:val="center"/>
              <w:rPr>
                <w:sz w:val="20"/>
                <w:szCs w:val="20"/>
              </w:rPr>
            </w:pPr>
            <w:r w:rsidRPr="008669C3">
              <w:rPr>
                <w:sz w:val="20"/>
                <w:szCs w:val="20"/>
              </w:rPr>
              <w:t>(0.1</w:t>
            </w:r>
            <w:r w:rsidR="00BF219E" w:rsidRPr="008669C3">
              <w:rPr>
                <w:sz w:val="20"/>
                <w:szCs w:val="20"/>
              </w:rPr>
              <w:t>8</w:t>
            </w:r>
            <w:r w:rsidRPr="008669C3">
              <w:rPr>
                <w:sz w:val="20"/>
                <w:szCs w:val="20"/>
              </w:rPr>
              <w:t>2)</w:t>
            </w:r>
          </w:p>
        </w:tc>
      </w:tr>
      <w:tr w:rsidR="00535F81" w:rsidRPr="008669C3" w14:paraId="7D5DE223"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24A4E324" w14:textId="77777777" w:rsidR="00535F81" w:rsidRPr="008669C3" w:rsidRDefault="00535F81" w:rsidP="00535F81">
            <w:pPr>
              <w:rPr>
                <w:iCs/>
                <w:sz w:val="20"/>
                <w:szCs w:val="20"/>
              </w:rPr>
            </w:pPr>
            <w:r w:rsidRPr="008669C3">
              <w:rPr>
                <w:iCs/>
                <w:sz w:val="20"/>
                <w:szCs w:val="20"/>
              </w:rPr>
              <w:t>CDS trading</w:t>
            </w:r>
            <w:r w:rsidRPr="008669C3">
              <w:rPr>
                <w:iCs/>
                <w:sz w:val="20"/>
                <w:szCs w:val="20"/>
                <w:vertAlign w:val="superscript"/>
              </w:rPr>
              <w:t>0</w:t>
            </w:r>
          </w:p>
        </w:tc>
        <w:tc>
          <w:tcPr>
            <w:tcW w:w="780" w:type="pct"/>
            <w:tcBorders>
              <w:top w:val="nil"/>
              <w:left w:val="nil"/>
              <w:bottom w:val="nil"/>
              <w:right w:val="nil"/>
            </w:tcBorders>
            <w:shd w:val="clear" w:color="auto" w:fill="auto"/>
            <w:noWrap/>
            <w:vAlign w:val="bottom"/>
            <w:hideMark/>
          </w:tcPr>
          <w:p w14:paraId="64AAB158" w14:textId="77777777" w:rsidR="00535F81" w:rsidRPr="008669C3" w:rsidRDefault="00535F81" w:rsidP="00535F81">
            <w:pPr>
              <w:jc w:val="center"/>
              <w:rPr>
                <w:iCs/>
                <w:sz w:val="20"/>
                <w:szCs w:val="20"/>
              </w:rPr>
            </w:pPr>
            <w:r w:rsidRPr="008669C3">
              <w:rPr>
                <w:iCs/>
                <w:sz w:val="20"/>
                <w:szCs w:val="20"/>
              </w:rPr>
              <w:t>—</w:t>
            </w:r>
          </w:p>
        </w:tc>
        <w:tc>
          <w:tcPr>
            <w:tcW w:w="846" w:type="pct"/>
            <w:tcBorders>
              <w:top w:val="nil"/>
              <w:left w:val="nil"/>
              <w:bottom w:val="nil"/>
              <w:right w:val="nil"/>
            </w:tcBorders>
            <w:shd w:val="clear" w:color="auto" w:fill="auto"/>
            <w:noWrap/>
            <w:vAlign w:val="bottom"/>
            <w:hideMark/>
          </w:tcPr>
          <w:p w14:paraId="036271F0" w14:textId="77777777" w:rsidR="00535F81" w:rsidRPr="008669C3" w:rsidRDefault="00535F81" w:rsidP="00535F81">
            <w:pPr>
              <w:jc w:val="center"/>
              <w:rPr>
                <w:sz w:val="20"/>
                <w:szCs w:val="20"/>
              </w:rPr>
            </w:pPr>
            <w:r w:rsidRPr="008669C3">
              <w:rPr>
                <w:iCs/>
                <w:sz w:val="20"/>
                <w:szCs w:val="20"/>
              </w:rPr>
              <w:t>—</w:t>
            </w:r>
          </w:p>
        </w:tc>
        <w:tc>
          <w:tcPr>
            <w:tcW w:w="162" w:type="pct"/>
            <w:tcBorders>
              <w:top w:val="nil"/>
              <w:left w:val="nil"/>
              <w:bottom w:val="nil"/>
              <w:right w:val="nil"/>
            </w:tcBorders>
            <w:shd w:val="clear" w:color="auto" w:fill="auto"/>
            <w:noWrap/>
            <w:vAlign w:val="bottom"/>
            <w:hideMark/>
          </w:tcPr>
          <w:p w14:paraId="72B9A60D"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572444D2" w14:textId="2D555745" w:rsidR="00535F81" w:rsidRPr="008669C3" w:rsidRDefault="00535F81" w:rsidP="00535F81">
            <w:pPr>
              <w:jc w:val="center"/>
              <w:rPr>
                <w:sz w:val="20"/>
                <w:szCs w:val="20"/>
              </w:rPr>
            </w:pPr>
            <w:r w:rsidRPr="008669C3">
              <w:rPr>
                <w:sz w:val="20"/>
                <w:szCs w:val="20"/>
              </w:rPr>
              <w:t>0.302</w:t>
            </w:r>
          </w:p>
        </w:tc>
        <w:tc>
          <w:tcPr>
            <w:tcW w:w="847" w:type="pct"/>
            <w:tcBorders>
              <w:top w:val="nil"/>
              <w:left w:val="nil"/>
              <w:bottom w:val="nil"/>
              <w:right w:val="nil"/>
            </w:tcBorders>
            <w:shd w:val="clear" w:color="auto" w:fill="auto"/>
            <w:noWrap/>
            <w:vAlign w:val="bottom"/>
            <w:hideMark/>
          </w:tcPr>
          <w:p w14:paraId="25710F1F" w14:textId="45050620" w:rsidR="00535F81" w:rsidRPr="008669C3" w:rsidRDefault="00535F81" w:rsidP="00BF219E">
            <w:pPr>
              <w:jc w:val="center"/>
              <w:rPr>
                <w:sz w:val="20"/>
                <w:szCs w:val="20"/>
              </w:rPr>
            </w:pPr>
            <w:r w:rsidRPr="008669C3">
              <w:rPr>
                <w:sz w:val="20"/>
                <w:szCs w:val="20"/>
              </w:rPr>
              <w:t>0.4</w:t>
            </w:r>
            <w:r w:rsidR="00BF219E" w:rsidRPr="008669C3">
              <w:rPr>
                <w:sz w:val="20"/>
                <w:szCs w:val="20"/>
              </w:rPr>
              <w:t>01</w:t>
            </w:r>
          </w:p>
        </w:tc>
      </w:tr>
      <w:tr w:rsidR="00535F81" w:rsidRPr="008669C3" w14:paraId="6A2A4E20"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15B95CAB" w14:textId="77777777" w:rsidR="00535F81" w:rsidRPr="008669C3" w:rsidRDefault="00535F81" w:rsidP="00535F81">
            <w:pPr>
              <w:jc w:val="center"/>
              <w:rPr>
                <w:sz w:val="20"/>
                <w:szCs w:val="20"/>
              </w:rPr>
            </w:pPr>
          </w:p>
        </w:tc>
        <w:tc>
          <w:tcPr>
            <w:tcW w:w="780" w:type="pct"/>
            <w:tcBorders>
              <w:top w:val="nil"/>
              <w:left w:val="nil"/>
              <w:bottom w:val="nil"/>
              <w:right w:val="nil"/>
            </w:tcBorders>
            <w:shd w:val="clear" w:color="auto" w:fill="auto"/>
            <w:noWrap/>
            <w:vAlign w:val="bottom"/>
            <w:hideMark/>
          </w:tcPr>
          <w:p w14:paraId="0324BAA8" w14:textId="77777777" w:rsidR="00535F81" w:rsidRPr="008669C3" w:rsidRDefault="00535F81" w:rsidP="00535F81">
            <w:pPr>
              <w:jc w:val="center"/>
              <w:rPr>
                <w:iCs/>
                <w:sz w:val="20"/>
                <w:szCs w:val="20"/>
              </w:rPr>
            </w:pPr>
          </w:p>
        </w:tc>
        <w:tc>
          <w:tcPr>
            <w:tcW w:w="846" w:type="pct"/>
            <w:tcBorders>
              <w:top w:val="nil"/>
              <w:left w:val="nil"/>
              <w:bottom w:val="nil"/>
              <w:right w:val="nil"/>
            </w:tcBorders>
            <w:shd w:val="clear" w:color="auto" w:fill="auto"/>
            <w:noWrap/>
            <w:vAlign w:val="bottom"/>
            <w:hideMark/>
          </w:tcPr>
          <w:p w14:paraId="33196ACA" w14:textId="77777777" w:rsidR="00535F81" w:rsidRPr="008669C3" w:rsidRDefault="00535F81" w:rsidP="00535F81">
            <w:pPr>
              <w:jc w:val="center"/>
              <w:rPr>
                <w:sz w:val="20"/>
                <w:szCs w:val="20"/>
              </w:rPr>
            </w:pPr>
          </w:p>
        </w:tc>
        <w:tc>
          <w:tcPr>
            <w:tcW w:w="162" w:type="pct"/>
            <w:tcBorders>
              <w:top w:val="nil"/>
              <w:left w:val="nil"/>
              <w:bottom w:val="nil"/>
              <w:right w:val="nil"/>
            </w:tcBorders>
            <w:shd w:val="clear" w:color="auto" w:fill="auto"/>
            <w:noWrap/>
            <w:vAlign w:val="bottom"/>
            <w:hideMark/>
          </w:tcPr>
          <w:p w14:paraId="7122A438"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5902EB35" w14:textId="71432944" w:rsidR="00535F81" w:rsidRPr="008669C3" w:rsidRDefault="00535F81" w:rsidP="00535F81">
            <w:pPr>
              <w:jc w:val="center"/>
              <w:rPr>
                <w:sz w:val="20"/>
                <w:szCs w:val="20"/>
              </w:rPr>
            </w:pPr>
            <w:r w:rsidRPr="008669C3">
              <w:rPr>
                <w:sz w:val="20"/>
                <w:szCs w:val="20"/>
              </w:rPr>
              <w:t>(0.287)</w:t>
            </w:r>
          </w:p>
        </w:tc>
        <w:tc>
          <w:tcPr>
            <w:tcW w:w="847" w:type="pct"/>
            <w:tcBorders>
              <w:top w:val="nil"/>
              <w:left w:val="nil"/>
              <w:bottom w:val="nil"/>
              <w:right w:val="nil"/>
            </w:tcBorders>
            <w:shd w:val="clear" w:color="auto" w:fill="auto"/>
            <w:noWrap/>
            <w:vAlign w:val="bottom"/>
            <w:hideMark/>
          </w:tcPr>
          <w:p w14:paraId="60063BA0" w14:textId="29BFFACB" w:rsidR="00535F81" w:rsidRPr="008669C3" w:rsidRDefault="00535F81" w:rsidP="00BF219E">
            <w:pPr>
              <w:jc w:val="center"/>
              <w:rPr>
                <w:sz w:val="20"/>
                <w:szCs w:val="20"/>
              </w:rPr>
            </w:pPr>
            <w:r w:rsidRPr="008669C3">
              <w:rPr>
                <w:sz w:val="20"/>
                <w:szCs w:val="20"/>
              </w:rPr>
              <w:t>(0.2</w:t>
            </w:r>
            <w:r w:rsidR="00BF219E" w:rsidRPr="008669C3">
              <w:rPr>
                <w:sz w:val="20"/>
                <w:szCs w:val="20"/>
              </w:rPr>
              <w:t>4</w:t>
            </w:r>
            <w:r w:rsidRPr="008669C3">
              <w:rPr>
                <w:sz w:val="20"/>
                <w:szCs w:val="20"/>
              </w:rPr>
              <w:t>8)</w:t>
            </w:r>
          </w:p>
        </w:tc>
      </w:tr>
      <w:tr w:rsidR="00535F81" w:rsidRPr="008669C3" w14:paraId="61F338F2"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74041C21" w14:textId="77777777" w:rsidR="00535F81" w:rsidRPr="008669C3" w:rsidRDefault="00535F81" w:rsidP="00535F81">
            <w:pPr>
              <w:rPr>
                <w:iCs/>
                <w:sz w:val="20"/>
                <w:szCs w:val="20"/>
              </w:rPr>
            </w:pPr>
            <w:r w:rsidRPr="008669C3">
              <w:rPr>
                <w:iCs/>
                <w:sz w:val="20"/>
                <w:szCs w:val="20"/>
              </w:rPr>
              <w:t>CDS trading</w:t>
            </w:r>
            <w:r w:rsidRPr="008669C3">
              <w:rPr>
                <w:iCs/>
                <w:sz w:val="20"/>
                <w:szCs w:val="20"/>
                <w:vertAlign w:val="superscript"/>
              </w:rPr>
              <w:t>+1</w:t>
            </w:r>
          </w:p>
        </w:tc>
        <w:tc>
          <w:tcPr>
            <w:tcW w:w="780" w:type="pct"/>
            <w:tcBorders>
              <w:top w:val="nil"/>
              <w:left w:val="nil"/>
              <w:bottom w:val="nil"/>
              <w:right w:val="nil"/>
            </w:tcBorders>
            <w:shd w:val="clear" w:color="auto" w:fill="auto"/>
            <w:noWrap/>
            <w:vAlign w:val="bottom"/>
            <w:hideMark/>
          </w:tcPr>
          <w:p w14:paraId="5CB81D84" w14:textId="77777777" w:rsidR="00535F81" w:rsidRPr="008669C3" w:rsidRDefault="00535F81" w:rsidP="00535F81">
            <w:pPr>
              <w:jc w:val="center"/>
              <w:rPr>
                <w:iCs/>
                <w:sz w:val="20"/>
                <w:szCs w:val="20"/>
              </w:rPr>
            </w:pPr>
            <w:r w:rsidRPr="008669C3">
              <w:rPr>
                <w:iCs/>
                <w:sz w:val="20"/>
                <w:szCs w:val="20"/>
              </w:rPr>
              <w:t>—</w:t>
            </w:r>
          </w:p>
        </w:tc>
        <w:tc>
          <w:tcPr>
            <w:tcW w:w="846" w:type="pct"/>
            <w:tcBorders>
              <w:top w:val="nil"/>
              <w:left w:val="nil"/>
              <w:bottom w:val="nil"/>
              <w:right w:val="nil"/>
            </w:tcBorders>
            <w:shd w:val="clear" w:color="auto" w:fill="auto"/>
            <w:noWrap/>
            <w:vAlign w:val="bottom"/>
            <w:hideMark/>
          </w:tcPr>
          <w:p w14:paraId="1E5130CA" w14:textId="77777777" w:rsidR="00535F81" w:rsidRPr="008669C3" w:rsidRDefault="00535F81" w:rsidP="00535F81">
            <w:pPr>
              <w:jc w:val="center"/>
              <w:rPr>
                <w:sz w:val="20"/>
                <w:szCs w:val="20"/>
              </w:rPr>
            </w:pPr>
            <w:r w:rsidRPr="008669C3">
              <w:rPr>
                <w:iCs/>
                <w:sz w:val="20"/>
                <w:szCs w:val="20"/>
              </w:rPr>
              <w:t>—</w:t>
            </w:r>
          </w:p>
        </w:tc>
        <w:tc>
          <w:tcPr>
            <w:tcW w:w="162" w:type="pct"/>
            <w:tcBorders>
              <w:top w:val="nil"/>
              <w:left w:val="nil"/>
              <w:bottom w:val="nil"/>
              <w:right w:val="nil"/>
            </w:tcBorders>
            <w:shd w:val="clear" w:color="auto" w:fill="auto"/>
            <w:noWrap/>
            <w:vAlign w:val="bottom"/>
            <w:hideMark/>
          </w:tcPr>
          <w:p w14:paraId="2BC97513"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6A9D1C83" w14:textId="70C58701" w:rsidR="00535F81" w:rsidRPr="008669C3" w:rsidRDefault="00535F81" w:rsidP="00535F81">
            <w:pPr>
              <w:jc w:val="center"/>
              <w:rPr>
                <w:sz w:val="20"/>
                <w:szCs w:val="20"/>
              </w:rPr>
            </w:pPr>
            <w:r w:rsidRPr="008669C3">
              <w:rPr>
                <w:sz w:val="20"/>
                <w:szCs w:val="20"/>
              </w:rPr>
              <w:t>0.389</w:t>
            </w:r>
          </w:p>
        </w:tc>
        <w:tc>
          <w:tcPr>
            <w:tcW w:w="847" w:type="pct"/>
            <w:tcBorders>
              <w:top w:val="nil"/>
              <w:left w:val="nil"/>
              <w:bottom w:val="nil"/>
              <w:right w:val="nil"/>
            </w:tcBorders>
            <w:shd w:val="clear" w:color="auto" w:fill="auto"/>
            <w:noWrap/>
            <w:vAlign w:val="bottom"/>
            <w:hideMark/>
          </w:tcPr>
          <w:p w14:paraId="285BB9CA" w14:textId="72116F1F" w:rsidR="00535F81" w:rsidRPr="008669C3" w:rsidRDefault="00535F81" w:rsidP="00BF219E">
            <w:pPr>
              <w:jc w:val="center"/>
              <w:rPr>
                <w:sz w:val="20"/>
                <w:szCs w:val="20"/>
              </w:rPr>
            </w:pPr>
            <w:r w:rsidRPr="008669C3">
              <w:rPr>
                <w:sz w:val="20"/>
                <w:szCs w:val="20"/>
              </w:rPr>
              <w:t>0.5</w:t>
            </w:r>
            <w:r w:rsidR="00BF219E" w:rsidRPr="008669C3">
              <w:rPr>
                <w:sz w:val="20"/>
                <w:szCs w:val="20"/>
              </w:rPr>
              <w:t>1</w:t>
            </w:r>
            <w:r w:rsidRPr="008669C3">
              <w:rPr>
                <w:sz w:val="20"/>
                <w:szCs w:val="20"/>
              </w:rPr>
              <w:t>9**</w:t>
            </w:r>
          </w:p>
        </w:tc>
      </w:tr>
      <w:tr w:rsidR="00535F81" w:rsidRPr="008669C3" w14:paraId="7D19CD12"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4ADC8F74" w14:textId="77777777" w:rsidR="00535F81" w:rsidRPr="008669C3" w:rsidRDefault="00535F81" w:rsidP="00535F81">
            <w:pPr>
              <w:jc w:val="center"/>
              <w:rPr>
                <w:sz w:val="20"/>
                <w:szCs w:val="20"/>
              </w:rPr>
            </w:pPr>
          </w:p>
        </w:tc>
        <w:tc>
          <w:tcPr>
            <w:tcW w:w="780" w:type="pct"/>
            <w:tcBorders>
              <w:top w:val="nil"/>
              <w:left w:val="nil"/>
              <w:bottom w:val="nil"/>
              <w:right w:val="nil"/>
            </w:tcBorders>
            <w:shd w:val="clear" w:color="auto" w:fill="auto"/>
            <w:noWrap/>
            <w:vAlign w:val="bottom"/>
            <w:hideMark/>
          </w:tcPr>
          <w:p w14:paraId="0A78326E" w14:textId="77777777" w:rsidR="00535F81" w:rsidRPr="008669C3" w:rsidRDefault="00535F81" w:rsidP="00535F81">
            <w:pPr>
              <w:jc w:val="center"/>
              <w:rPr>
                <w:iCs/>
                <w:sz w:val="20"/>
                <w:szCs w:val="20"/>
              </w:rPr>
            </w:pPr>
          </w:p>
        </w:tc>
        <w:tc>
          <w:tcPr>
            <w:tcW w:w="846" w:type="pct"/>
            <w:tcBorders>
              <w:top w:val="nil"/>
              <w:left w:val="nil"/>
              <w:bottom w:val="nil"/>
              <w:right w:val="nil"/>
            </w:tcBorders>
            <w:shd w:val="clear" w:color="auto" w:fill="auto"/>
            <w:noWrap/>
            <w:vAlign w:val="bottom"/>
            <w:hideMark/>
          </w:tcPr>
          <w:p w14:paraId="40335EE8" w14:textId="77777777" w:rsidR="00535F81" w:rsidRPr="008669C3" w:rsidRDefault="00535F81" w:rsidP="00535F81">
            <w:pPr>
              <w:jc w:val="center"/>
              <w:rPr>
                <w:sz w:val="20"/>
                <w:szCs w:val="20"/>
              </w:rPr>
            </w:pPr>
          </w:p>
        </w:tc>
        <w:tc>
          <w:tcPr>
            <w:tcW w:w="162" w:type="pct"/>
            <w:tcBorders>
              <w:top w:val="nil"/>
              <w:left w:val="nil"/>
              <w:bottom w:val="nil"/>
              <w:right w:val="nil"/>
            </w:tcBorders>
            <w:shd w:val="clear" w:color="auto" w:fill="auto"/>
            <w:noWrap/>
            <w:vAlign w:val="bottom"/>
            <w:hideMark/>
          </w:tcPr>
          <w:p w14:paraId="0DCCC5EC"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03D1A7D5" w14:textId="086AD187" w:rsidR="00535F81" w:rsidRPr="008669C3" w:rsidRDefault="00535F81" w:rsidP="000D2D2E">
            <w:pPr>
              <w:jc w:val="center"/>
              <w:rPr>
                <w:sz w:val="20"/>
                <w:szCs w:val="20"/>
              </w:rPr>
            </w:pPr>
            <w:r w:rsidRPr="008669C3">
              <w:rPr>
                <w:sz w:val="20"/>
                <w:szCs w:val="20"/>
              </w:rPr>
              <w:t>(0.2</w:t>
            </w:r>
            <w:r w:rsidR="000D2D2E" w:rsidRPr="008669C3">
              <w:rPr>
                <w:sz w:val="20"/>
                <w:szCs w:val="20"/>
              </w:rPr>
              <w:t>2</w:t>
            </w:r>
            <w:r w:rsidRPr="008669C3">
              <w:rPr>
                <w:sz w:val="20"/>
                <w:szCs w:val="20"/>
              </w:rPr>
              <w:t>8)</w:t>
            </w:r>
          </w:p>
        </w:tc>
        <w:tc>
          <w:tcPr>
            <w:tcW w:w="847" w:type="pct"/>
            <w:tcBorders>
              <w:top w:val="nil"/>
              <w:left w:val="nil"/>
              <w:bottom w:val="nil"/>
              <w:right w:val="nil"/>
            </w:tcBorders>
            <w:shd w:val="clear" w:color="auto" w:fill="auto"/>
            <w:noWrap/>
            <w:vAlign w:val="bottom"/>
            <w:hideMark/>
          </w:tcPr>
          <w:p w14:paraId="1D205998" w14:textId="4B55E542" w:rsidR="00535F81" w:rsidRPr="008669C3" w:rsidRDefault="00535F81" w:rsidP="00BF219E">
            <w:pPr>
              <w:jc w:val="center"/>
              <w:rPr>
                <w:sz w:val="20"/>
                <w:szCs w:val="20"/>
              </w:rPr>
            </w:pPr>
            <w:r w:rsidRPr="008669C3">
              <w:rPr>
                <w:sz w:val="20"/>
                <w:szCs w:val="20"/>
              </w:rPr>
              <w:t>(0.2</w:t>
            </w:r>
            <w:r w:rsidR="00BF219E" w:rsidRPr="008669C3">
              <w:rPr>
                <w:sz w:val="20"/>
                <w:szCs w:val="20"/>
              </w:rPr>
              <w:t>3</w:t>
            </w:r>
            <w:r w:rsidRPr="008669C3">
              <w:rPr>
                <w:sz w:val="20"/>
                <w:szCs w:val="20"/>
              </w:rPr>
              <w:t>9)</w:t>
            </w:r>
          </w:p>
        </w:tc>
      </w:tr>
      <w:tr w:rsidR="00535F81" w:rsidRPr="008669C3" w14:paraId="7B006402"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61DD15DC" w14:textId="0BFECA4B" w:rsidR="00535F81" w:rsidRPr="008669C3" w:rsidRDefault="00535F81" w:rsidP="00535F81">
            <w:pPr>
              <w:rPr>
                <w:iCs/>
                <w:sz w:val="20"/>
                <w:szCs w:val="20"/>
              </w:rPr>
            </w:pPr>
            <w:r w:rsidRPr="008669C3">
              <w:rPr>
                <w:iCs/>
                <w:sz w:val="20"/>
                <w:szCs w:val="20"/>
              </w:rPr>
              <w:t>CDS trading</w:t>
            </w:r>
            <w:r w:rsidR="002E0A3A" w:rsidRPr="008669C3">
              <w:rPr>
                <w:i/>
                <w:iCs/>
                <w:sz w:val="20"/>
                <w:szCs w:val="20"/>
                <w:vertAlign w:val="superscript"/>
              </w:rPr>
              <w:t>≥</w:t>
            </w:r>
            <w:r w:rsidRPr="008669C3">
              <w:rPr>
                <w:iCs/>
                <w:sz w:val="20"/>
                <w:szCs w:val="20"/>
                <w:vertAlign w:val="superscript"/>
              </w:rPr>
              <w:t>+2</w:t>
            </w:r>
          </w:p>
        </w:tc>
        <w:tc>
          <w:tcPr>
            <w:tcW w:w="780" w:type="pct"/>
            <w:tcBorders>
              <w:top w:val="nil"/>
              <w:left w:val="nil"/>
              <w:bottom w:val="nil"/>
              <w:right w:val="nil"/>
            </w:tcBorders>
            <w:shd w:val="clear" w:color="auto" w:fill="auto"/>
            <w:noWrap/>
            <w:vAlign w:val="bottom"/>
            <w:hideMark/>
          </w:tcPr>
          <w:p w14:paraId="799C8F88" w14:textId="77777777" w:rsidR="00535F81" w:rsidRPr="008669C3" w:rsidRDefault="00535F81" w:rsidP="00535F81">
            <w:pPr>
              <w:jc w:val="center"/>
              <w:rPr>
                <w:iCs/>
                <w:sz w:val="20"/>
                <w:szCs w:val="20"/>
              </w:rPr>
            </w:pPr>
            <w:r w:rsidRPr="008669C3">
              <w:rPr>
                <w:iCs/>
                <w:sz w:val="20"/>
                <w:szCs w:val="20"/>
              </w:rPr>
              <w:t>—</w:t>
            </w:r>
          </w:p>
        </w:tc>
        <w:tc>
          <w:tcPr>
            <w:tcW w:w="846" w:type="pct"/>
            <w:tcBorders>
              <w:top w:val="nil"/>
              <w:left w:val="nil"/>
              <w:bottom w:val="nil"/>
              <w:right w:val="nil"/>
            </w:tcBorders>
            <w:shd w:val="clear" w:color="auto" w:fill="auto"/>
            <w:noWrap/>
            <w:vAlign w:val="bottom"/>
            <w:hideMark/>
          </w:tcPr>
          <w:p w14:paraId="063B42DB" w14:textId="77777777" w:rsidR="00535F81" w:rsidRPr="008669C3" w:rsidRDefault="00535F81" w:rsidP="00535F81">
            <w:pPr>
              <w:jc w:val="center"/>
              <w:rPr>
                <w:sz w:val="20"/>
                <w:szCs w:val="20"/>
              </w:rPr>
            </w:pPr>
            <w:r w:rsidRPr="008669C3">
              <w:rPr>
                <w:iCs/>
                <w:sz w:val="20"/>
                <w:szCs w:val="20"/>
              </w:rPr>
              <w:t>—</w:t>
            </w:r>
          </w:p>
        </w:tc>
        <w:tc>
          <w:tcPr>
            <w:tcW w:w="162" w:type="pct"/>
            <w:tcBorders>
              <w:top w:val="nil"/>
              <w:left w:val="nil"/>
              <w:bottom w:val="nil"/>
              <w:right w:val="nil"/>
            </w:tcBorders>
            <w:shd w:val="clear" w:color="auto" w:fill="auto"/>
            <w:noWrap/>
            <w:vAlign w:val="bottom"/>
            <w:hideMark/>
          </w:tcPr>
          <w:p w14:paraId="2A807525"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1D1ADF04" w14:textId="2C0B0A71" w:rsidR="00535F81" w:rsidRPr="008669C3" w:rsidRDefault="00535F81" w:rsidP="00535F81">
            <w:pPr>
              <w:jc w:val="center"/>
              <w:rPr>
                <w:sz w:val="20"/>
                <w:szCs w:val="20"/>
              </w:rPr>
            </w:pPr>
            <w:r w:rsidRPr="008669C3">
              <w:rPr>
                <w:sz w:val="20"/>
                <w:szCs w:val="20"/>
              </w:rPr>
              <w:t>0.586**</w:t>
            </w:r>
          </w:p>
        </w:tc>
        <w:tc>
          <w:tcPr>
            <w:tcW w:w="847" w:type="pct"/>
            <w:tcBorders>
              <w:top w:val="nil"/>
              <w:left w:val="nil"/>
              <w:bottom w:val="nil"/>
              <w:right w:val="nil"/>
            </w:tcBorders>
            <w:shd w:val="clear" w:color="auto" w:fill="auto"/>
            <w:noWrap/>
            <w:vAlign w:val="bottom"/>
            <w:hideMark/>
          </w:tcPr>
          <w:p w14:paraId="2AEA5660" w14:textId="3DCDBBCC" w:rsidR="00535F81" w:rsidRPr="008669C3" w:rsidRDefault="00535F81" w:rsidP="00BF219E">
            <w:pPr>
              <w:jc w:val="center"/>
              <w:rPr>
                <w:sz w:val="20"/>
                <w:szCs w:val="20"/>
              </w:rPr>
            </w:pPr>
            <w:r w:rsidRPr="008669C3">
              <w:rPr>
                <w:sz w:val="20"/>
                <w:szCs w:val="20"/>
              </w:rPr>
              <w:t>0.6</w:t>
            </w:r>
            <w:r w:rsidR="00BF219E" w:rsidRPr="008669C3">
              <w:rPr>
                <w:sz w:val="20"/>
                <w:szCs w:val="20"/>
              </w:rPr>
              <w:t>7</w:t>
            </w:r>
            <w:r w:rsidRPr="008669C3">
              <w:rPr>
                <w:sz w:val="20"/>
                <w:szCs w:val="20"/>
              </w:rPr>
              <w:t>3***</w:t>
            </w:r>
          </w:p>
        </w:tc>
      </w:tr>
      <w:tr w:rsidR="00535F81" w:rsidRPr="008669C3" w14:paraId="2077B884"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59099756" w14:textId="77777777" w:rsidR="00535F81" w:rsidRPr="008669C3" w:rsidRDefault="00535F81" w:rsidP="00535F81">
            <w:pPr>
              <w:jc w:val="center"/>
              <w:rPr>
                <w:sz w:val="20"/>
                <w:szCs w:val="20"/>
              </w:rPr>
            </w:pPr>
          </w:p>
        </w:tc>
        <w:tc>
          <w:tcPr>
            <w:tcW w:w="780" w:type="pct"/>
            <w:tcBorders>
              <w:top w:val="nil"/>
              <w:left w:val="nil"/>
              <w:bottom w:val="nil"/>
              <w:right w:val="nil"/>
            </w:tcBorders>
            <w:shd w:val="clear" w:color="auto" w:fill="auto"/>
            <w:noWrap/>
            <w:vAlign w:val="bottom"/>
            <w:hideMark/>
          </w:tcPr>
          <w:p w14:paraId="5FFFACC3" w14:textId="77777777" w:rsidR="00535F81" w:rsidRPr="008669C3" w:rsidRDefault="00535F81" w:rsidP="00535F81">
            <w:pPr>
              <w:jc w:val="center"/>
              <w:rPr>
                <w:iCs/>
                <w:sz w:val="20"/>
                <w:szCs w:val="20"/>
              </w:rPr>
            </w:pPr>
          </w:p>
        </w:tc>
        <w:tc>
          <w:tcPr>
            <w:tcW w:w="846" w:type="pct"/>
            <w:tcBorders>
              <w:top w:val="nil"/>
              <w:left w:val="nil"/>
              <w:bottom w:val="nil"/>
              <w:right w:val="nil"/>
            </w:tcBorders>
            <w:shd w:val="clear" w:color="auto" w:fill="auto"/>
            <w:noWrap/>
            <w:vAlign w:val="bottom"/>
            <w:hideMark/>
          </w:tcPr>
          <w:p w14:paraId="6E938B9B" w14:textId="77777777" w:rsidR="00535F81" w:rsidRPr="008669C3" w:rsidRDefault="00535F81" w:rsidP="00535F81">
            <w:pPr>
              <w:jc w:val="center"/>
              <w:rPr>
                <w:sz w:val="20"/>
                <w:szCs w:val="20"/>
              </w:rPr>
            </w:pPr>
          </w:p>
        </w:tc>
        <w:tc>
          <w:tcPr>
            <w:tcW w:w="162" w:type="pct"/>
            <w:tcBorders>
              <w:top w:val="nil"/>
              <w:left w:val="nil"/>
              <w:bottom w:val="nil"/>
              <w:right w:val="nil"/>
            </w:tcBorders>
            <w:shd w:val="clear" w:color="auto" w:fill="auto"/>
            <w:noWrap/>
            <w:vAlign w:val="bottom"/>
            <w:hideMark/>
          </w:tcPr>
          <w:p w14:paraId="2D5FA030"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4891140C" w14:textId="62C008A6" w:rsidR="00535F81" w:rsidRPr="008669C3" w:rsidRDefault="00535F81" w:rsidP="00535F81">
            <w:pPr>
              <w:jc w:val="center"/>
              <w:rPr>
                <w:sz w:val="20"/>
                <w:szCs w:val="20"/>
              </w:rPr>
            </w:pPr>
            <w:r w:rsidRPr="008669C3">
              <w:rPr>
                <w:sz w:val="20"/>
                <w:szCs w:val="20"/>
              </w:rPr>
              <w:t>(0.285)</w:t>
            </w:r>
          </w:p>
        </w:tc>
        <w:tc>
          <w:tcPr>
            <w:tcW w:w="847" w:type="pct"/>
            <w:tcBorders>
              <w:top w:val="nil"/>
              <w:left w:val="nil"/>
              <w:bottom w:val="nil"/>
              <w:right w:val="nil"/>
            </w:tcBorders>
            <w:shd w:val="clear" w:color="auto" w:fill="auto"/>
            <w:noWrap/>
            <w:vAlign w:val="bottom"/>
            <w:hideMark/>
          </w:tcPr>
          <w:p w14:paraId="00BAFC8F" w14:textId="595EDA3C" w:rsidR="00535F81" w:rsidRPr="008669C3" w:rsidRDefault="00535F81" w:rsidP="00BF219E">
            <w:pPr>
              <w:jc w:val="center"/>
              <w:rPr>
                <w:sz w:val="20"/>
                <w:szCs w:val="20"/>
              </w:rPr>
            </w:pPr>
            <w:r w:rsidRPr="008669C3">
              <w:rPr>
                <w:sz w:val="20"/>
                <w:szCs w:val="20"/>
              </w:rPr>
              <w:t>(0.2</w:t>
            </w:r>
            <w:r w:rsidR="00BF219E" w:rsidRPr="008669C3">
              <w:rPr>
                <w:sz w:val="20"/>
                <w:szCs w:val="20"/>
              </w:rPr>
              <w:t>5</w:t>
            </w:r>
            <w:r w:rsidRPr="008669C3">
              <w:rPr>
                <w:sz w:val="20"/>
                <w:szCs w:val="20"/>
              </w:rPr>
              <w:t>4)</w:t>
            </w:r>
          </w:p>
        </w:tc>
      </w:tr>
      <w:tr w:rsidR="00535F81" w:rsidRPr="008669C3" w14:paraId="1C13B31A"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2BEE6D22" w14:textId="77777777" w:rsidR="00535F81" w:rsidRPr="008669C3" w:rsidRDefault="00535F81" w:rsidP="00535F81">
            <w:pPr>
              <w:rPr>
                <w:iCs/>
                <w:sz w:val="20"/>
                <w:szCs w:val="20"/>
              </w:rPr>
            </w:pPr>
            <w:r w:rsidRPr="008669C3">
              <w:rPr>
                <w:iCs/>
                <w:sz w:val="20"/>
                <w:szCs w:val="20"/>
              </w:rPr>
              <w:t>Ln(Sales)</w:t>
            </w:r>
          </w:p>
        </w:tc>
        <w:tc>
          <w:tcPr>
            <w:tcW w:w="780" w:type="pct"/>
            <w:tcBorders>
              <w:top w:val="nil"/>
              <w:left w:val="nil"/>
              <w:bottom w:val="nil"/>
              <w:right w:val="nil"/>
            </w:tcBorders>
            <w:shd w:val="clear" w:color="auto" w:fill="auto"/>
            <w:noWrap/>
            <w:vAlign w:val="bottom"/>
            <w:hideMark/>
          </w:tcPr>
          <w:p w14:paraId="74DD73C6" w14:textId="1384D53D" w:rsidR="00535F81" w:rsidRPr="008669C3" w:rsidRDefault="00535F81" w:rsidP="00535F81">
            <w:pPr>
              <w:jc w:val="center"/>
              <w:rPr>
                <w:sz w:val="20"/>
                <w:szCs w:val="20"/>
              </w:rPr>
            </w:pPr>
            <w:r w:rsidRPr="008669C3">
              <w:rPr>
                <w:sz w:val="20"/>
                <w:szCs w:val="20"/>
              </w:rPr>
              <w:t>0.404*</w:t>
            </w:r>
          </w:p>
        </w:tc>
        <w:tc>
          <w:tcPr>
            <w:tcW w:w="846" w:type="pct"/>
            <w:tcBorders>
              <w:top w:val="nil"/>
              <w:left w:val="nil"/>
              <w:bottom w:val="nil"/>
              <w:right w:val="nil"/>
            </w:tcBorders>
            <w:shd w:val="clear" w:color="auto" w:fill="auto"/>
            <w:noWrap/>
            <w:vAlign w:val="bottom"/>
            <w:hideMark/>
          </w:tcPr>
          <w:p w14:paraId="6EAF60E2" w14:textId="7FB894D0" w:rsidR="00535F81" w:rsidRPr="008669C3" w:rsidRDefault="00535F81" w:rsidP="00535F81">
            <w:pPr>
              <w:jc w:val="center"/>
              <w:rPr>
                <w:sz w:val="20"/>
                <w:szCs w:val="20"/>
              </w:rPr>
            </w:pPr>
            <w:r w:rsidRPr="008669C3">
              <w:rPr>
                <w:sz w:val="20"/>
                <w:szCs w:val="20"/>
              </w:rPr>
              <w:t>0.012</w:t>
            </w:r>
          </w:p>
        </w:tc>
        <w:tc>
          <w:tcPr>
            <w:tcW w:w="162" w:type="pct"/>
            <w:tcBorders>
              <w:top w:val="nil"/>
              <w:left w:val="nil"/>
              <w:bottom w:val="nil"/>
              <w:right w:val="nil"/>
            </w:tcBorders>
            <w:shd w:val="clear" w:color="auto" w:fill="auto"/>
            <w:noWrap/>
            <w:vAlign w:val="bottom"/>
            <w:hideMark/>
          </w:tcPr>
          <w:p w14:paraId="5924C08D"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71FBC433" w14:textId="0354B21B" w:rsidR="00535F81" w:rsidRPr="008669C3" w:rsidRDefault="00535F81" w:rsidP="00535F81">
            <w:pPr>
              <w:jc w:val="center"/>
              <w:rPr>
                <w:sz w:val="20"/>
                <w:szCs w:val="20"/>
              </w:rPr>
            </w:pPr>
            <w:r w:rsidRPr="008669C3">
              <w:rPr>
                <w:sz w:val="20"/>
                <w:szCs w:val="20"/>
              </w:rPr>
              <w:t>0.409*</w:t>
            </w:r>
          </w:p>
        </w:tc>
        <w:tc>
          <w:tcPr>
            <w:tcW w:w="847" w:type="pct"/>
            <w:tcBorders>
              <w:top w:val="nil"/>
              <w:left w:val="nil"/>
              <w:bottom w:val="nil"/>
              <w:right w:val="nil"/>
            </w:tcBorders>
            <w:shd w:val="clear" w:color="auto" w:fill="auto"/>
            <w:noWrap/>
            <w:vAlign w:val="bottom"/>
            <w:hideMark/>
          </w:tcPr>
          <w:p w14:paraId="62A2D6B4" w14:textId="616DB04D" w:rsidR="00535F81" w:rsidRPr="008669C3" w:rsidRDefault="00535F81" w:rsidP="00535F81">
            <w:pPr>
              <w:jc w:val="center"/>
              <w:rPr>
                <w:sz w:val="20"/>
                <w:szCs w:val="20"/>
              </w:rPr>
            </w:pPr>
            <w:r w:rsidRPr="008669C3">
              <w:rPr>
                <w:sz w:val="20"/>
                <w:szCs w:val="20"/>
              </w:rPr>
              <w:t>0.019</w:t>
            </w:r>
          </w:p>
        </w:tc>
      </w:tr>
      <w:tr w:rsidR="00535F81" w:rsidRPr="008669C3" w14:paraId="37D2E740"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3ACA9BA7" w14:textId="77777777" w:rsidR="00535F81" w:rsidRPr="008669C3" w:rsidRDefault="00535F81" w:rsidP="00535F81">
            <w:pPr>
              <w:jc w:val="center"/>
              <w:rPr>
                <w:sz w:val="20"/>
                <w:szCs w:val="20"/>
              </w:rPr>
            </w:pPr>
          </w:p>
        </w:tc>
        <w:tc>
          <w:tcPr>
            <w:tcW w:w="780" w:type="pct"/>
            <w:tcBorders>
              <w:top w:val="nil"/>
              <w:left w:val="nil"/>
              <w:bottom w:val="nil"/>
              <w:right w:val="nil"/>
            </w:tcBorders>
            <w:shd w:val="clear" w:color="auto" w:fill="auto"/>
            <w:noWrap/>
            <w:vAlign w:val="bottom"/>
            <w:hideMark/>
          </w:tcPr>
          <w:p w14:paraId="09C219C8" w14:textId="5F163E36" w:rsidR="00535F81" w:rsidRPr="008669C3" w:rsidRDefault="00535F81" w:rsidP="00535F81">
            <w:pPr>
              <w:jc w:val="center"/>
              <w:rPr>
                <w:sz w:val="20"/>
                <w:szCs w:val="20"/>
              </w:rPr>
            </w:pPr>
            <w:r w:rsidRPr="008669C3">
              <w:rPr>
                <w:sz w:val="20"/>
                <w:szCs w:val="20"/>
              </w:rPr>
              <w:t>(0.218)</w:t>
            </w:r>
          </w:p>
        </w:tc>
        <w:tc>
          <w:tcPr>
            <w:tcW w:w="846" w:type="pct"/>
            <w:tcBorders>
              <w:top w:val="nil"/>
              <w:left w:val="nil"/>
              <w:bottom w:val="nil"/>
              <w:right w:val="nil"/>
            </w:tcBorders>
            <w:shd w:val="clear" w:color="auto" w:fill="auto"/>
            <w:noWrap/>
            <w:vAlign w:val="bottom"/>
            <w:hideMark/>
          </w:tcPr>
          <w:p w14:paraId="7663C566" w14:textId="66127A46" w:rsidR="00535F81" w:rsidRPr="008669C3" w:rsidRDefault="00535F81" w:rsidP="00535F81">
            <w:pPr>
              <w:jc w:val="center"/>
              <w:rPr>
                <w:sz w:val="20"/>
                <w:szCs w:val="20"/>
              </w:rPr>
            </w:pPr>
            <w:r w:rsidRPr="008669C3">
              <w:rPr>
                <w:sz w:val="20"/>
                <w:szCs w:val="20"/>
              </w:rPr>
              <w:t>(0.198)</w:t>
            </w:r>
          </w:p>
        </w:tc>
        <w:tc>
          <w:tcPr>
            <w:tcW w:w="162" w:type="pct"/>
            <w:tcBorders>
              <w:top w:val="nil"/>
              <w:left w:val="nil"/>
              <w:bottom w:val="nil"/>
              <w:right w:val="nil"/>
            </w:tcBorders>
            <w:shd w:val="clear" w:color="auto" w:fill="auto"/>
            <w:noWrap/>
            <w:vAlign w:val="bottom"/>
            <w:hideMark/>
          </w:tcPr>
          <w:p w14:paraId="6C98DFA6"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3FC8DE6A" w14:textId="3BC9E2CD" w:rsidR="00535F81" w:rsidRPr="008669C3" w:rsidRDefault="00535F81" w:rsidP="00535F81">
            <w:pPr>
              <w:jc w:val="center"/>
              <w:rPr>
                <w:sz w:val="20"/>
                <w:szCs w:val="20"/>
              </w:rPr>
            </w:pPr>
            <w:r w:rsidRPr="008669C3">
              <w:rPr>
                <w:sz w:val="20"/>
                <w:szCs w:val="20"/>
              </w:rPr>
              <w:t>(0.218)</w:t>
            </w:r>
          </w:p>
        </w:tc>
        <w:tc>
          <w:tcPr>
            <w:tcW w:w="847" w:type="pct"/>
            <w:tcBorders>
              <w:top w:val="nil"/>
              <w:left w:val="nil"/>
              <w:bottom w:val="nil"/>
              <w:right w:val="nil"/>
            </w:tcBorders>
            <w:shd w:val="clear" w:color="auto" w:fill="auto"/>
            <w:noWrap/>
            <w:vAlign w:val="bottom"/>
            <w:hideMark/>
          </w:tcPr>
          <w:p w14:paraId="18094CC5" w14:textId="0ED83503" w:rsidR="00535F81" w:rsidRPr="008669C3" w:rsidRDefault="00535F81" w:rsidP="00535F81">
            <w:pPr>
              <w:jc w:val="center"/>
              <w:rPr>
                <w:sz w:val="20"/>
                <w:szCs w:val="20"/>
              </w:rPr>
            </w:pPr>
            <w:r w:rsidRPr="008669C3">
              <w:rPr>
                <w:sz w:val="20"/>
                <w:szCs w:val="20"/>
              </w:rPr>
              <w:t>(0.198)</w:t>
            </w:r>
          </w:p>
        </w:tc>
      </w:tr>
      <w:tr w:rsidR="00535F81" w:rsidRPr="008669C3" w14:paraId="065B3C21"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30FE593E" w14:textId="77777777" w:rsidR="00535F81" w:rsidRPr="008669C3" w:rsidRDefault="00535F81" w:rsidP="00535F81">
            <w:pPr>
              <w:rPr>
                <w:iCs/>
                <w:sz w:val="20"/>
                <w:szCs w:val="20"/>
              </w:rPr>
            </w:pPr>
            <w:r w:rsidRPr="008669C3">
              <w:rPr>
                <w:iCs/>
                <w:sz w:val="20"/>
                <w:szCs w:val="20"/>
              </w:rPr>
              <w:t>ROA</w:t>
            </w:r>
          </w:p>
        </w:tc>
        <w:tc>
          <w:tcPr>
            <w:tcW w:w="780" w:type="pct"/>
            <w:tcBorders>
              <w:top w:val="nil"/>
              <w:left w:val="nil"/>
              <w:bottom w:val="nil"/>
              <w:right w:val="nil"/>
            </w:tcBorders>
            <w:shd w:val="clear" w:color="auto" w:fill="auto"/>
            <w:noWrap/>
            <w:vAlign w:val="bottom"/>
            <w:hideMark/>
          </w:tcPr>
          <w:p w14:paraId="28B274F2" w14:textId="3419BB3A" w:rsidR="00535F81" w:rsidRPr="008669C3" w:rsidRDefault="00535F81" w:rsidP="00535F81">
            <w:pPr>
              <w:jc w:val="center"/>
              <w:rPr>
                <w:sz w:val="20"/>
                <w:szCs w:val="20"/>
              </w:rPr>
            </w:pPr>
            <w:r w:rsidRPr="008669C3">
              <w:rPr>
                <w:sz w:val="20"/>
                <w:szCs w:val="20"/>
              </w:rPr>
              <w:t>-0.656</w:t>
            </w:r>
          </w:p>
        </w:tc>
        <w:tc>
          <w:tcPr>
            <w:tcW w:w="846" w:type="pct"/>
            <w:tcBorders>
              <w:top w:val="nil"/>
              <w:left w:val="nil"/>
              <w:bottom w:val="nil"/>
              <w:right w:val="nil"/>
            </w:tcBorders>
            <w:shd w:val="clear" w:color="auto" w:fill="auto"/>
            <w:noWrap/>
            <w:vAlign w:val="bottom"/>
            <w:hideMark/>
          </w:tcPr>
          <w:p w14:paraId="613D1E16" w14:textId="11F8235A" w:rsidR="00535F81" w:rsidRPr="008669C3" w:rsidRDefault="00535F81" w:rsidP="00535F81">
            <w:pPr>
              <w:jc w:val="center"/>
              <w:rPr>
                <w:sz w:val="20"/>
                <w:szCs w:val="20"/>
              </w:rPr>
            </w:pPr>
            <w:r w:rsidRPr="008669C3">
              <w:rPr>
                <w:sz w:val="20"/>
                <w:szCs w:val="20"/>
              </w:rPr>
              <w:t>-0.439</w:t>
            </w:r>
          </w:p>
        </w:tc>
        <w:tc>
          <w:tcPr>
            <w:tcW w:w="162" w:type="pct"/>
            <w:tcBorders>
              <w:top w:val="nil"/>
              <w:left w:val="nil"/>
              <w:bottom w:val="nil"/>
              <w:right w:val="nil"/>
            </w:tcBorders>
            <w:shd w:val="clear" w:color="auto" w:fill="auto"/>
            <w:noWrap/>
            <w:vAlign w:val="bottom"/>
            <w:hideMark/>
          </w:tcPr>
          <w:p w14:paraId="00B81859"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318AC674" w14:textId="439A7B0D" w:rsidR="00535F81" w:rsidRPr="008669C3" w:rsidRDefault="00535F81" w:rsidP="00535F81">
            <w:pPr>
              <w:jc w:val="center"/>
              <w:rPr>
                <w:sz w:val="20"/>
                <w:szCs w:val="20"/>
              </w:rPr>
            </w:pPr>
            <w:r w:rsidRPr="008669C3">
              <w:rPr>
                <w:sz w:val="20"/>
                <w:szCs w:val="20"/>
              </w:rPr>
              <w:t>-0.674</w:t>
            </w:r>
          </w:p>
        </w:tc>
        <w:tc>
          <w:tcPr>
            <w:tcW w:w="847" w:type="pct"/>
            <w:tcBorders>
              <w:top w:val="nil"/>
              <w:left w:val="nil"/>
              <w:bottom w:val="nil"/>
              <w:right w:val="nil"/>
            </w:tcBorders>
            <w:shd w:val="clear" w:color="auto" w:fill="auto"/>
            <w:noWrap/>
            <w:vAlign w:val="bottom"/>
            <w:hideMark/>
          </w:tcPr>
          <w:p w14:paraId="33EC2BDB" w14:textId="0646279C" w:rsidR="00535F81" w:rsidRPr="008669C3" w:rsidRDefault="00535F81" w:rsidP="00535F81">
            <w:pPr>
              <w:jc w:val="center"/>
              <w:rPr>
                <w:sz w:val="20"/>
                <w:szCs w:val="20"/>
              </w:rPr>
            </w:pPr>
            <w:r w:rsidRPr="008669C3">
              <w:rPr>
                <w:sz w:val="20"/>
                <w:szCs w:val="20"/>
              </w:rPr>
              <w:t>-0.470</w:t>
            </w:r>
          </w:p>
        </w:tc>
      </w:tr>
      <w:tr w:rsidR="00535F81" w:rsidRPr="008669C3" w14:paraId="0329D6FB"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751E655C" w14:textId="77777777" w:rsidR="00535F81" w:rsidRPr="008669C3" w:rsidRDefault="00535F81" w:rsidP="00535F81">
            <w:pPr>
              <w:jc w:val="center"/>
              <w:rPr>
                <w:sz w:val="20"/>
                <w:szCs w:val="20"/>
              </w:rPr>
            </w:pPr>
          </w:p>
        </w:tc>
        <w:tc>
          <w:tcPr>
            <w:tcW w:w="780" w:type="pct"/>
            <w:tcBorders>
              <w:top w:val="nil"/>
              <w:left w:val="nil"/>
              <w:bottom w:val="nil"/>
              <w:right w:val="nil"/>
            </w:tcBorders>
            <w:shd w:val="clear" w:color="auto" w:fill="auto"/>
            <w:noWrap/>
            <w:vAlign w:val="bottom"/>
            <w:hideMark/>
          </w:tcPr>
          <w:p w14:paraId="2A2378CA" w14:textId="25A60837" w:rsidR="00535F81" w:rsidRPr="008669C3" w:rsidRDefault="00535F81" w:rsidP="00535F81">
            <w:pPr>
              <w:jc w:val="center"/>
              <w:rPr>
                <w:sz w:val="20"/>
                <w:szCs w:val="20"/>
              </w:rPr>
            </w:pPr>
            <w:r w:rsidRPr="008669C3">
              <w:rPr>
                <w:sz w:val="20"/>
                <w:szCs w:val="20"/>
              </w:rPr>
              <w:t>(0.438)</w:t>
            </w:r>
          </w:p>
        </w:tc>
        <w:tc>
          <w:tcPr>
            <w:tcW w:w="846" w:type="pct"/>
            <w:tcBorders>
              <w:top w:val="nil"/>
              <w:left w:val="nil"/>
              <w:bottom w:val="nil"/>
              <w:right w:val="nil"/>
            </w:tcBorders>
            <w:shd w:val="clear" w:color="auto" w:fill="auto"/>
            <w:noWrap/>
            <w:vAlign w:val="bottom"/>
            <w:hideMark/>
          </w:tcPr>
          <w:p w14:paraId="2DDDB114" w14:textId="2DA976CB" w:rsidR="00535F81" w:rsidRPr="008669C3" w:rsidRDefault="00535F81" w:rsidP="00535F81">
            <w:pPr>
              <w:jc w:val="center"/>
              <w:rPr>
                <w:sz w:val="20"/>
                <w:szCs w:val="20"/>
              </w:rPr>
            </w:pPr>
            <w:r w:rsidRPr="008669C3">
              <w:rPr>
                <w:sz w:val="20"/>
                <w:szCs w:val="20"/>
              </w:rPr>
              <w:t>(0.384)</w:t>
            </w:r>
          </w:p>
        </w:tc>
        <w:tc>
          <w:tcPr>
            <w:tcW w:w="162" w:type="pct"/>
            <w:tcBorders>
              <w:top w:val="nil"/>
              <w:left w:val="nil"/>
              <w:bottom w:val="nil"/>
              <w:right w:val="nil"/>
            </w:tcBorders>
            <w:shd w:val="clear" w:color="auto" w:fill="auto"/>
            <w:noWrap/>
            <w:vAlign w:val="bottom"/>
            <w:hideMark/>
          </w:tcPr>
          <w:p w14:paraId="2CDF21FC"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07279299" w14:textId="616B3B08" w:rsidR="00535F81" w:rsidRPr="008669C3" w:rsidRDefault="00535F81" w:rsidP="00535F81">
            <w:pPr>
              <w:jc w:val="center"/>
              <w:rPr>
                <w:sz w:val="20"/>
                <w:szCs w:val="20"/>
              </w:rPr>
            </w:pPr>
            <w:r w:rsidRPr="008669C3">
              <w:rPr>
                <w:sz w:val="20"/>
                <w:szCs w:val="20"/>
              </w:rPr>
              <w:t>(0.438)</w:t>
            </w:r>
          </w:p>
        </w:tc>
        <w:tc>
          <w:tcPr>
            <w:tcW w:w="847" w:type="pct"/>
            <w:tcBorders>
              <w:top w:val="nil"/>
              <w:left w:val="nil"/>
              <w:bottom w:val="nil"/>
              <w:right w:val="nil"/>
            </w:tcBorders>
            <w:shd w:val="clear" w:color="auto" w:fill="auto"/>
            <w:noWrap/>
            <w:vAlign w:val="bottom"/>
            <w:hideMark/>
          </w:tcPr>
          <w:p w14:paraId="142FA717" w14:textId="3410C5F0" w:rsidR="00535F81" w:rsidRPr="008669C3" w:rsidRDefault="00535F81" w:rsidP="00535F81">
            <w:pPr>
              <w:jc w:val="center"/>
              <w:rPr>
                <w:sz w:val="20"/>
                <w:szCs w:val="20"/>
              </w:rPr>
            </w:pPr>
            <w:r w:rsidRPr="008669C3">
              <w:rPr>
                <w:sz w:val="20"/>
                <w:szCs w:val="20"/>
              </w:rPr>
              <w:t>(0.384)</w:t>
            </w:r>
          </w:p>
        </w:tc>
      </w:tr>
      <w:tr w:rsidR="00535F81" w:rsidRPr="008669C3" w14:paraId="0C840423"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77290271" w14:textId="77777777" w:rsidR="00535F81" w:rsidRPr="008669C3" w:rsidRDefault="00535F81" w:rsidP="00535F81">
            <w:pPr>
              <w:rPr>
                <w:iCs/>
                <w:sz w:val="20"/>
                <w:szCs w:val="20"/>
              </w:rPr>
            </w:pPr>
            <w:r w:rsidRPr="008669C3">
              <w:rPr>
                <w:iCs/>
                <w:sz w:val="20"/>
                <w:szCs w:val="20"/>
              </w:rPr>
              <w:t>Tobin's q</w:t>
            </w:r>
          </w:p>
        </w:tc>
        <w:tc>
          <w:tcPr>
            <w:tcW w:w="780" w:type="pct"/>
            <w:tcBorders>
              <w:top w:val="nil"/>
              <w:left w:val="nil"/>
              <w:bottom w:val="nil"/>
              <w:right w:val="nil"/>
            </w:tcBorders>
            <w:shd w:val="clear" w:color="auto" w:fill="auto"/>
            <w:noWrap/>
            <w:vAlign w:val="bottom"/>
            <w:hideMark/>
          </w:tcPr>
          <w:p w14:paraId="7B4FB025" w14:textId="74552749" w:rsidR="00535F81" w:rsidRPr="008669C3" w:rsidRDefault="00535F81" w:rsidP="00535F81">
            <w:pPr>
              <w:jc w:val="center"/>
              <w:rPr>
                <w:sz w:val="20"/>
                <w:szCs w:val="20"/>
              </w:rPr>
            </w:pPr>
            <w:r w:rsidRPr="008669C3">
              <w:rPr>
                <w:sz w:val="20"/>
                <w:szCs w:val="20"/>
              </w:rPr>
              <w:t>-0.098**</w:t>
            </w:r>
          </w:p>
        </w:tc>
        <w:tc>
          <w:tcPr>
            <w:tcW w:w="846" w:type="pct"/>
            <w:tcBorders>
              <w:top w:val="nil"/>
              <w:left w:val="nil"/>
              <w:bottom w:val="nil"/>
              <w:right w:val="nil"/>
            </w:tcBorders>
            <w:shd w:val="clear" w:color="auto" w:fill="auto"/>
            <w:noWrap/>
            <w:vAlign w:val="bottom"/>
            <w:hideMark/>
          </w:tcPr>
          <w:p w14:paraId="3B257F64" w14:textId="4EA5AAEF" w:rsidR="00535F81" w:rsidRPr="008669C3" w:rsidRDefault="00535F81" w:rsidP="00535F81">
            <w:pPr>
              <w:jc w:val="center"/>
              <w:rPr>
                <w:sz w:val="20"/>
                <w:szCs w:val="20"/>
              </w:rPr>
            </w:pPr>
            <w:r w:rsidRPr="008669C3">
              <w:rPr>
                <w:sz w:val="20"/>
                <w:szCs w:val="20"/>
              </w:rPr>
              <w:t>-0.063</w:t>
            </w:r>
          </w:p>
        </w:tc>
        <w:tc>
          <w:tcPr>
            <w:tcW w:w="162" w:type="pct"/>
            <w:tcBorders>
              <w:top w:val="nil"/>
              <w:left w:val="nil"/>
              <w:bottom w:val="nil"/>
              <w:right w:val="nil"/>
            </w:tcBorders>
            <w:shd w:val="clear" w:color="auto" w:fill="auto"/>
            <w:noWrap/>
            <w:vAlign w:val="bottom"/>
            <w:hideMark/>
          </w:tcPr>
          <w:p w14:paraId="2894F439"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756A00D3" w14:textId="188DCAFB" w:rsidR="00535F81" w:rsidRPr="008669C3" w:rsidRDefault="00535F81" w:rsidP="00535F81">
            <w:pPr>
              <w:jc w:val="center"/>
              <w:rPr>
                <w:sz w:val="20"/>
                <w:szCs w:val="20"/>
              </w:rPr>
            </w:pPr>
            <w:r w:rsidRPr="008669C3">
              <w:rPr>
                <w:sz w:val="20"/>
                <w:szCs w:val="20"/>
              </w:rPr>
              <w:t>-0.097**</w:t>
            </w:r>
          </w:p>
        </w:tc>
        <w:tc>
          <w:tcPr>
            <w:tcW w:w="847" w:type="pct"/>
            <w:tcBorders>
              <w:top w:val="nil"/>
              <w:left w:val="nil"/>
              <w:bottom w:val="nil"/>
              <w:right w:val="nil"/>
            </w:tcBorders>
            <w:shd w:val="clear" w:color="auto" w:fill="auto"/>
            <w:noWrap/>
            <w:vAlign w:val="bottom"/>
            <w:hideMark/>
          </w:tcPr>
          <w:p w14:paraId="7EAEA1D9" w14:textId="20BFC3B0" w:rsidR="00535F81" w:rsidRPr="008669C3" w:rsidRDefault="00535F81" w:rsidP="00535F81">
            <w:pPr>
              <w:jc w:val="center"/>
              <w:rPr>
                <w:sz w:val="20"/>
                <w:szCs w:val="20"/>
              </w:rPr>
            </w:pPr>
            <w:r w:rsidRPr="008669C3">
              <w:rPr>
                <w:sz w:val="20"/>
                <w:szCs w:val="20"/>
              </w:rPr>
              <w:t>-0.061</w:t>
            </w:r>
          </w:p>
        </w:tc>
      </w:tr>
      <w:tr w:rsidR="00535F81" w:rsidRPr="008669C3" w14:paraId="43B0C926"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3F9F6165" w14:textId="77777777" w:rsidR="00535F81" w:rsidRPr="008669C3" w:rsidRDefault="00535F81" w:rsidP="00535F81">
            <w:pPr>
              <w:jc w:val="center"/>
              <w:rPr>
                <w:sz w:val="20"/>
                <w:szCs w:val="20"/>
              </w:rPr>
            </w:pPr>
          </w:p>
        </w:tc>
        <w:tc>
          <w:tcPr>
            <w:tcW w:w="780" w:type="pct"/>
            <w:tcBorders>
              <w:top w:val="nil"/>
              <w:left w:val="nil"/>
              <w:bottom w:val="nil"/>
              <w:right w:val="nil"/>
            </w:tcBorders>
            <w:shd w:val="clear" w:color="auto" w:fill="auto"/>
            <w:noWrap/>
            <w:vAlign w:val="bottom"/>
            <w:hideMark/>
          </w:tcPr>
          <w:p w14:paraId="60683FBF" w14:textId="0EBB52BF" w:rsidR="00535F81" w:rsidRPr="008669C3" w:rsidRDefault="00535F81" w:rsidP="00535F81">
            <w:pPr>
              <w:jc w:val="center"/>
              <w:rPr>
                <w:sz w:val="20"/>
                <w:szCs w:val="20"/>
              </w:rPr>
            </w:pPr>
            <w:r w:rsidRPr="008669C3">
              <w:rPr>
                <w:sz w:val="20"/>
                <w:szCs w:val="20"/>
              </w:rPr>
              <w:t>(0.047)</w:t>
            </w:r>
          </w:p>
        </w:tc>
        <w:tc>
          <w:tcPr>
            <w:tcW w:w="846" w:type="pct"/>
            <w:tcBorders>
              <w:top w:val="nil"/>
              <w:left w:val="nil"/>
              <w:bottom w:val="nil"/>
              <w:right w:val="nil"/>
            </w:tcBorders>
            <w:shd w:val="clear" w:color="auto" w:fill="auto"/>
            <w:noWrap/>
            <w:vAlign w:val="bottom"/>
            <w:hideMark/>
          </w:tcPr>
          <w:p w14:paraId="1A627D59" w14:textId="292A773B" w:rsidR="00535F81" w:rsidRPr="008669C3" w:rsidRDefault="00535F81" w:rsidP="00535F81">
            <w:pPr>
              <w:jc w:val="center"/>
              <w:rPr>
                <w:sz w:val="20"/>
                <w:szCs w:val="20"/>
              </w:rPr>
            </w:pPr>
            <w:r w:rsidRPr="008669C3">
              <w:rPr>
                <w:sz w:val="20"/>
                <w:szCs w:val="20"/>
              </w:rPr>
              <w:t>(0.039)</w:t>
            </w:r>
          </w:p>
        </w:tc>
        <w:tc>
          <w:tcPr>
            <w:tcW w:w="162" w:type="pct"/>
            <w:tcBorders>
              <w:top w:val="nil"/>
              <w:left w:val="nil"/>
              <w:bottom w:val="nil"/>
              <w:right w:val="nil"/>
            </w:tcBorders>
            <w:shd w:val="clear" w:color="auto" w:fill="auto"/>
            <w:noWrap/>
            <w:vAlign w:val="bottom"/>
            <w:hideMark/>
          </w:tcPr>
          <w:p w14:paraId="4F6F7594"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01FE9C17" w14:textId="1C746D81" w:rsidR="00535F81" w:rsidRPr="008669C3" w:rsidRDefault="00535F81" w:rsidP="00535F81">
            <w:pPr>
              <w:jc w:val="center"/>
              <w:rPr>
                <w:sz w:val="20"/>
                <w:szCs w:val="20"/>
              </w:rPr>
            </w:pPr>
            <w:r w:rsidRPr="008669C3">
              <w:rPr>
                <w:sz w:val="20"/>
                <w:szCs w:val="20"/>
              </w:rPr>
              <w:t>(0.047)</w:t>
            </w:r>
          </w:p>
        </w:tc>
        <w:tc>
          <w:tcPr>
            <w:tcW w:w="847" w:type="pct"/>
            <w:tcBorders>
              <w:top w:val="nil"/>
              <w:left w:val="nil"/>
              <w:bottom w:val="nil"/>
              <w:right w:val="nil"/>
            </w:tcBorders>
            <w:shd w:val="clear" w:color="auto" w:fill="auto"/>
            <w:noWrap/>
            <w:vAlign w:val="bottom"/>
            <w:hideMark/>
          </w:tcPr>
          <w:p w14:paraId="1FB6D25C" w14:textId="590B3308" w:rsidR="00535F81" w:rsidRPr="008669C3" w:rsidRDefault="00535F81" w:rsidP="00535F81">
            <w:pPr>
              <w:jc w:val="center"/>
              <w:rPr>
                <w:sz w:val="20"/>
                <w:szCs w:val="20"/>
              </w:rPr>
            </w:pPr>
            <w:r w:rsidRPr="008669C3">
              <w:rPr>
                <w:sz w:val="20"/>
                <w:szCs w:val="20"/>
              </w:rPr>
              <w:t>(0.039)</w:t>
            </w:r>
          </w:p>
        </w:tc>
      </w:tr>
      <w:tr w:rsidR="00535F81" w:rsidRPr="008669C3" w14:paraId="30CBDA20"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70218A59" w14:textId="77777777" w:rsidR="00535F81" w:rsidRPr="008669C3" w:rsidRDefault="00535F81" w:rsidP="00535F81">
            <w:pPr>
              <w:rPr>
                <w:iCs/>
                <w:sz w:val="20"/>
                <w:szCs w:val="20"/>
              </w:rPr>
            </w:pPr>
            <w:r w:rsidRPr="008669C3">
              <w:rPr>
                <w:iCs/>
                <w:sz w:val="20"/>
                <w:szCs w:val="20"/>
              </w:rPr>
              <w:t>Stock return</w:t>
            </w:r>
          </w:p>
        </w:tc>
        <w:tc>
          <w:tcPr>
            <w:tcW w:w="780" w:type="pct"/>
            <w:tcBorders>
              <w:top w:val="nil"/>
              <w:left w:val="nil"/>
              <w:bottom w:val="nil"/>
              <w:right w:val="nil"/>
            </w:tcBorders>
            <w:shd w:val="clear" w:color="auto" w:fill="auto"/>
            <w:noWrap/>
            <w:vAlign w:val="bottom"/>
            <w:hideMark/>
          </w:tcPr>
          <w:p w14:paraId="51C5667A" w14:textId="40C894B2" w:rsidR="00535F81" w:rsidRPr="008669C3" w:rsidRDefault="00535F81" w:rsidP="00535F81">
            <w:pPr>
              <w:jc w:val="center"/>
              <w:rPr>
                <w:sz w:val="20"/>
                <w:szCs w:val="20"/>
              </w:rPr>
            </w:pPr>
            <w:r w:rsidRPr="008669C3">
              <w:rPr>
                <w:sz w:val="20"/>
                <w:szCs w:val="20"/>
              </w:rPr>
              <w:t>-0.097**</w:t>
            </w:r>
          </w:p>
        </w:tc>
        <w:tc>
          <w:tcPr>
            <w:tcW w:w="846" w:type="pct"/>
            <w:tcBorders>
              <w:top w:val="nil"/>
              <w:left w:val="nil"/>
              <w:bottom w:val="nil"/>
              <w:right w:val="nil"/>
            </w:tcBorders>
            <w:shd w:val="clear" w:color="auto" w:fill="auto"/>
            <w:noWrap/>
            <w:vAlign w:val="bottom"/>
            <w:hideMark/>
          </w:tcPr>
          <w:p w14:paraId="1CF930C3" w14:textId="363F7B9A" w:rsidR="00535F81" w:rsidRPr="008669C3" w:rsidRDefault="00535F81" w:rsidP="00535F81">
            <w:pPr>
              <w:jc w:val="center"/>
              <w:rPr>
                <w:sz w:val="20"/>
                <w:szCs w:val="20"/>
              </w:rPr>
            </w:pPr>
            <w:r w:rsidRPr="008669C3">
              <w:rPr>
                <w:sz w:val="20"/>
                <w:szCs w:val="20"/>
              </w:rPr>
              <w:t>-0.069**</w:t>
            </w:r>
          </w:p>
        </w:tc>
        <w:tc>
          <w:tcPr>
            <w:tcW w:w="162" w:type="pct"/>
            <w:tcBorders>
              <w:top w:val="nil"/>
              <w:left w:val="nil"/>
              <w:bottom w:val="nil"/>
              <w:right w:val="nil"/>
            </w:tcBorders>
            <w:shd w:val="clear" w:color="auto" w:fill="auto"/>
            <w:noWrap/>
            <w:vAlign w:val="bottom"/>
            <w:hideMark/>
          </w:tcPr>
          <w:p w14:paraId="1ED06589"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3BD3F131" w14:textId="0876CC66" w:rsidR="00535F81" w:rsidRPr="008669C3" w:rsidRDefault="00535F81" w:rsidP="00535F81">
            <w:pPr>
              <w:jc w:val="center"/>
              <w:rPr>
                <w:sz w:val="20"/>
                <w:szCs w:val="20"/>
              </w:rPr>
            </w:pPr>
            <w:r w:rsidRPr="008669C3">
              <w:rPr>
                <w:sz w:val="20"/>
                <w:szCs w:val="20"/>
              </w:rPr>
              <w:t>-0.097**</w:t>
            </w:r>
          </w:p>
        </w:tc>
        <w:tc>
          <w:tcPr>
            <w:tcW w:w="847" w:type="pct"/>
            <w:tcBorders>
              <w:top w:val="nil"/>
              <w:left w:val="nil"/>
              <w:bottom w:val="nil"/>
              <w:right w:val="nil"/>
            </w:tcBorders>
            <w:shd w:val="clear" w:color="auto" w:fill="auto"/>
            <w:noWrap/>
            <w:vAlign w:val="bottom"/>
            <w:hideMark/>
          </w:tcPr>
          <w:p w14:paraId="4CD8B606" w14:textId="2C30CD13" w:rsidR="00535F81" w:rsidRPr="008669C3" w:rsidRDefault="00535F81" w:rsidP="00535F81">
            <w:pPr>
              <w:jc w:val="center"/>
              <w:rPr>
                <w:sz w:val="20"/>
                <w:szCs w:val="20"/>
              </w:rPr>
            </w:pPr>
            <w:r w:rsidRPr="008669C3">
              <w:rPr>
                <w:sz w:val="20"/>
                <w:szCs w:val="20"/>
              </w:rPr>
              <w:t>-0.070**</w:t>
            </w:r>
          </w:p>
        </w:tc>
      </w:tr>
      <w:tr w:rsidR="00535F81" w:rsidRPr="008669C3" w14:paraId="73B4DD18"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177BBE37" w14:textId="77777777" w:rsidR="00535F81" w:rsidRPr="008669C3" w:rsidRDefault="00535F81" w:rsidP="00535F81">
            <w:pPr>
              <w:jc w:val="center"/>
              <w:rPr>
                <w:sz w:val="20"/>
                <w:szCs w:val="20"/>
              </w:rPr>
            </w:pPr>
          </w:p>
        </w:tc>
        <w:tc>
          <w:tcPr>
            <w:tcW w:w="780" w:type="pct"/>
            <w:tcBorders>
              <w:top w:val="nil"/>
              <w:left w:val="nil"/>
              <w:bottom w:val="nil"/>
              <w:right w:val="nil"/>
            </w:tcBorders>
            <w:shd w:val="clear" w:color="auto" w:fill="auto"/>
            <w:noWrap/>
            <w:vAlign w:val="bottom"/>
            <w:hideMark/>
          </w:tcPr>
          <w:p w14:paraId="013D0D7D" w14:textId="7154A54C" w:rsidR="00535F81" w:rsidRPr="008669C3" w:rsidRDefault="00535F81" w:rsidP="00535F81">
            <w:pPr>
              <w:jc w:val="center"/>
              <w:rPr>
                <w:sz w:val="20"/>
                <w:szCs w:val="20"/>
              </w:rPr>
            </w:pPr>
            <w:r w:rsidRPr="008669C3">
              <w:rPr>
                <w:sz w:val="20"/>
                <w:szCs w:val="20"/>
              </w:rPr>
              <w:t>(0.041)</w:t>
            </w:r>
          </w:p>
        </w:tc>
        <w:tc>
          <w:tcPr>
            <w:tcW w:w="846" w:type="pct"/>
            <w:tcBorders>
              <w:top w:val="nil"/>
              <w:left w:val="nil"/>
              <w:bottom w:val="nil"/>
              <w:right w:val="nil"/>
            </w:tcBorders>
            <w:shd w:val="clear" w:color="auto" w:fill="auto"/>
            <w:noWrap/>
            <w:vAlign w:val="bottom"/>
            <w:hideMark/>
          </w:tcPr>
          <w:p w14:paraId="1E3B2F28" w14:textId="222F2D48" w:rsidR="00535F81" w:rsidRPr="008669C3" w:rsidRDefault="00535F81" w:rsidP="00535F81">
            <w:pPr>
              <w:jc w:val="center"/>
              <w:rPr>
                <w:sz w:val="20"/>
                <w:szCs w:val="20"/>
              </w:rPr>
            </w:pPr>
            <w:r w:rsidRPr="008669C3">
              <w:rPr>
                <w:sz w:val="20"/>
                <w:szCs w:val="20"/>
              </w:rPr>
              <w:t>(0.035)</w:t>
            </w:r>
          </w:p>
        </w:tc>
        <w:tc>
          <w:tcPr>
            <w:tcW w:w="162" w:type="pct"/>
            <w:tcBorders>
              <w:top w:val="nil"/>
              <w:left w:val="nil"/>
              <w:bottom w:val="nil"/>
              <w:right w:val="nil"/>
            </w:tcBorders>
            <w:shd w:val="clear" w:color="auto" w:fill="auto"/>
            <w:noWrap/>
            <w:vAlign w:val="bottom"/>
            <w:hideMark/>
          </w:tcPr>
          <w:p w14:paraId="5F8CD497"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38C4A000" w14:textId="317B489D" w:rsidR="00535F81" w:rsidRPr="008669C3" w:rsidRDefault="00535F81" w:rsidP="00535F81">
            <w:pPr>
              <w:jc w:val="center"/>
              <w:rPr>
                <w:sz w:val="20"/>
                <w:szCs w:val="20"/>
              </w:rPr>
            </w:pPr>
            <w:r w:rsidRPr="008669C3">
              <w:rPr>
                <w:sz w:val="20"/>
                <w:szCs w:val="20"/>
              </w:rPr>
              <w:t>(0.041)</w:t>
            </w:r>
          </w:p>
        </w:tc>
        <w:tc>
          <w:tcPr>
            <w:tcW w:w="847" w:type="pct"/>
            <w:tcBorders>
              <w:top w:val="nil"/>
              <w:left w:val="nil"/>
              <w:bottom w:val="nil"/>
              <w:right w:val="nil"/>
            </w:tcBorders>
            <w:shd w:val="clear" w:color="auto" w:fill="auto"/>
            <w:noWrap/>
            <w:vAlign w:val="bottom"/>
            <w:hideMark/>
          </w:tcPr>
          <w:p w14:paraId="6A3AFAD0" w14:textId="72C134BE" w:rsidR="00535F81" w:rsidRPr="008669C3" w:rsidRDefault="00535F81" w:rsidP="00535F81">
            <w:pPr>
              <w:jc w:val="center"/>
              <w:rPr>
                <w:sz w:val="20"/>
                <w:szCs w:val="20"/>
              </w:rPr>
            </w:pPr>
            <w:r w:rsidRPr="008669C3">
              <w:rPr>
                <w:sz w:val="20"/>
                <w:szCs w:val="20"/>
              </w:rPr>
              <w:t>(0.035)</w:t>
            </w:r>
          </w:p>
        </w:tc>
      </w:tr>
      <w:tr w:rsidR="00535F81" w:rsidRPr="008669C3" w14:paraId="38D63510"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7C92D242" w14:textId="77777777" w:rsidR="00535F81" w:rsidRPr="008669C3" w:rsidRDefault="00535F81" w:rsidP="00535F81">
            <w:pPr>
              <w:rPr>
                <w:iCs/>
                <w:sz w:val="20"/>
                <w:szCs w:val="20"/>
              </w:rPr>
            </w:pPr>
            <w:r w:rsidRPr="008669C3">
              <w:rPr>
                <w:iCs/>
                <w:sz w:val="20"/>
                <w:szCs w:val="20"/>
              </w:rPr>
              <w:t>Volatility</w:t>
            </w:r>
          </w:p>
        </w:tc>
        <w:tc>
          <w:tcPr>
            <w:tcW w:w="780" w:type="pct"/>
            <w:tcBorders>
              <w:top w:val="nil"/>
              <w:left w:val="nil"/>
              <w:bottom w:val="nil"/>
              <w:right w:val="nil"/>
            </w:tcBorders>
            <w:shd w:val="clear" w:color="auto" w:fill="auto"/>
            <w:noWrap/>
            <w:vAlign w:val="bottom"/>
            <w:hideMark/>
          </w:tcPr>
          <w:p w14:paraId="27992796" w14:textId="2A7468EB" w:rsidR="00535F81" w:rsidRPr="008669C3" w:rsidRDefault="00535F81" w:rsidP="00535F81">
            <w:pPr>
              <w:jc w:val="center"/>
              <w:rPr>
                <w:sz w:val="20"/>
                <w:szCs w:val="20"/>
              </w:rPr>
            </w:pPr>
            <w:r w:rsidRPr="008669C3">
              <w:rPr>
                <w:sz w:val="20"/>
                <w:szCs w:val="20"/>
              </w:rPr>
              <w:t>0.046</w:t>
            </w:r>
          </w:p>
        </w:tc>
        <w:tc>
          <w:tcPr>
            <w:tcW w:w="846" w:type="pct"/>
            <w:tcBorders>
              <w:top w:val="nil"/>
              <w:left w:val="nil"/>
              <w:bottom w:val="nil"/>
              <w:right w:val="nil"/>
            </w:tcBorders>
            <w:shd w:val="clear" w:color="auto" w:fill="auto"/>
            <w:noWrap/>
            <w:vAlign w:val="bottom"/>
            <w:hideMark/>
          </w:tcPr>
          <w:p w14:paraId="399077D7" w14:textId="7B92460C" w:rsidR="00535F81" w:rsidRPr="008669C3" w:rsidRDefault="00535F81" w:rsidP="00535F81">
            <w:pPr>
              <w:jc w:val="center"/>
              <w:rPr>
                <w:sz w:val="20"/>
                <w:szCs w:val="20"/>
              </w:rPr>
            </w:pPr>
            <w:r w:rsidRPr="008669C3">
              <w:rPr>
                <w:sz w:val="20"/>
                <w:szCs w:val="20"/>
              </w:rPr>
              <w:t>0.083</w:t>
            </w:r>
          </w:p>
        </w:tc>
        <w:tc>
          <w:tcPr>
            <w:tcW w:w="162" w:type="pct"/>
            <w:tcBorders>
              <w:top w:val="nil"/>
              <w:left w:val="nil"/>
              <w:bottom w:val="nil"/>
              <w:right w:val="nil"/>
            </w:tcBorders>
            <w:shd w:val="clear" w:color="auto" w:fill="auto"/>
            <w:noWrap/>
            <w:vAlign w:val="bottom"/>
            <w:hideMark/>
          </w:tcPr>
          <w:p w14:paraId="76523E7B"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4C33EA8C" w14:textId="5C0FDD90" w:rsidR="00535F81" w:rsidRPr="008669C3" w:rsidRDefault="00535F81" w:rsidP="00535F81">
            <w:pPr>
              <w:jc w:val="center"/>
              <w:rPr>
                <w:sz w:val="20"/>
                <w:szCs w:val="20"/>
              </w:rPr>
            </w:pPr>
            <w:r w:rsidRPr="008669C3">
              <w:rPr>
                <w:sz w:val="20"/>
                <w:szCs w:val="20"/>
              </w:rPr>
              <w:t>0.042</w:t>
            </w:r>
          </w:p>
        </w:tc>
        <w:tc>
          <w:tcPr>
            <w:tcW w:w="847" w:type="pct"/>
            <w:tcBorders>
              <w:top w:val="nil"/>
              <w:left w:val="nil"/>
              <w:bottom w:val="nil"/>
              <w:right w:val="nil"/>
            </w:tcBorders>
            <w:shd w:val="clear" w:color="auto" w:fill="auto"/>
            <w:noWrap/>
            <w:vAlign w:val="bottom"/>
            <w:hideMark/>
          </w:tcPr>
          <w:p w14:paraId="7EB9CC0E" w14:textId="76606F7F" w:rsidR="00535F81" w:rsidRPr="008669C3" w:rsidRDefault="00535F81" w:rsidP="00535F81">
            <w:pPr>
              <w:jc w:val="center"/>
              <w:rPr>
                <w:sz w:val="20"/>
                <w:szCs w:val="20"/>
              </w:rPr>
            </w:pPr>
            <w:r w:rsidRPr="008669C3">
              <w:rPr>
                <w:sz w:val="20"/>
                <w:szCs w:val="20"/>
              </w:rPr>
              <w:t>0.077</w:t>
            </w:r>
          </w:p>
        </w:tc>
      </w:tr>
      <w:tr w:rsidR="00535F81" w:rsidRPr="008669C3" w14:paraId="3BC55BDB"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0CBE89F2" w14:textId="77777777" w:rsidR="00535F81" w:rsidRPr="008669C3" w:rsidRDefault="00535F81" w:rsidP="00535F81">
            <w:pPr>
              <w:jc w:val="center"/>
              <w:rPr>
                <w:sz w:val="20"/>
                <w:szCs w:val="20"/>
              </w:rPr>
            </w:pPr>
          </w:p>
        </w:tc>
        <w:tc>
          <w:tcPr>
            <w:tcW w:w="780" w:type="pct"/>
            <w:tcBorders>
              <w:top w:val="nil"/>
              <w:left w:val="nil"/>
              <w:bottom w:val="nil"/>
              <w:right w:val="nil"/>
            </w:tcBorders>
            <w:shd w:val="clear" w:color="auto" w:fill="auto"/>
            <w:noWrap/>
            <w:vAlign w:val="bottom"/>
            <w:hideMark/>
          </w:tcPr>
          <w:p w14:paraId="04BEC84F" w14:textId="2D1AF8F8" w:rsidR="00535F81" w:rsidRPr="008669C3" w:rsidRDefault="00535F81" w:rsidP="00535F81">
            <w:pPr>
              <w:jc w:val="center"/>
              <w:rPr>
                <w:sz w:val="20"/>
                <w:szCs w:val="20"/>
              </w:rPr>
            </w:pPr>
            <w:r w:rsidRPr="008669C3">
              <w:rPr>
                <w:sz w:val="20"/>
                <w:szCs w:val="20"/>
              </w:rPr>
              <w:t>(0.113)</w:t>
            </w:r>
          </w:p>
        </w:tc>
        <w:tc>
          <w:tcPr>
            <w:tcW w:w="846" w:type="pct"/>
            <w:tcBorders>
              <w:top w:val="nil"/>
              <w:left w:val="nil"/>
              <w:bottom w:val="nil"/>
              <w:right w:val="nil"/>
            </w:tcBorders>
            <w:shd w:val="clear" w:color="auto" w:fill="auto"/>
            <w:noWrap/>
            <w:vAlign w:val="bottom"/>
            <w:hideMark/>
          </w:tcPr>
          <w:p w14:paraId="26172570" w14:textId="4337FB53" w:rsidR="00535F81" w:rsidRPr="008669C3" w:rsidRDefault="00535F81" w:rsidP="00535F81">
            <w:pPr>
              <w:jc w:val="center"/>
              <w:rPr>
                <w:sz w:val="20"/>
                <w:szCs w:val="20"/>
              </w:rPr>
            </w:pPr>
            <w:r w:rsidRPr="008669C3">
              <w:rPr>
                <w:sz w:val="20"/>
                <w:szCs w:val="20"/>
              </w:rPr>
              <w:t>(0.095)</w:t>
            </w:r>
          </w:p>
        </w:tc>
        <w:tc>
          <w:tcPr>
            <w:tcW w:w="162" w:type="pct"/>
            <w:tcBorders>
              <w:top w:val="nil"/>
              <w:left w:val="nil"/>
              <w:bottom w:val="nil"/>
              <w:right w:val="nil"/>
            </w:tcBorders>
            <w:shd w:val="clear" w:color="auto" w:fill="auto"/>
            <w:noWrap/>
            <w:vAlign w:val="bottom"/>
            <w:hideMark/>
          </w:tcPr>
          <w:p w14:paraId="61041001"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73E6D9CA" w14:textId="15616F9A" w:rsidR="00535F81" w:rsidRPr="008669C3" w:rsidRDefault="00535F81" w:rsidP="00535F81">
            <w:pPr>
              <w:jc w:val="center"/>
              <w:rPr>
                <w:sz w:val="20"/>
                <w:szCs w:val="20"/>
              </w:rPr>
            </w:pPr>
            <w:r w:rsidRPr="008669C3">
              <w:rPr>
                <w:sz w:val="20"/>
                <w:szCs w:val="20"/>
              </w:rPr>
              <w:t>(0.113)</w:t>
            </w:r>
          </w:p>
        </w:tc>
        <w:tc>
          <w:tcPr>
            <w:tcW w:w="847" w:type="pct"/>
            <w:tcBorders>
              <w:top w:val="nil"/>
              <w:left w:val="nil"/>
              <w:bottom w:val="nil"/>
              <w:right w:val="nil"/>
            </w:tcBorders>
            <w:shd w:val="clear" w:color="auto" w:fill="auto"/>
            <w:noWrap/>
            <w:vAlign w:val="bottom"/>
            <w:hideMark/>
          </w:tcPr>
          <w:p w14:paraId="7A3E1C01" w14:textId="525E18C8" w:rsidR="00535F81" w:rsidRPr="008669C3" w:rsidRDefault="00535F81" w:rsidP="00535F81">
            <w:pPr>
              <w:jc w:val="center"/>
              <w:rPr>
                <w:sz w:val="20"/>
                <w:szCs w:val="20"/>
              </w:rPr>
            </w:pPr>
            <w:r w:rsidRPr="008669C3">
              <w:rPr>
                <w:sz w:val="20"/>
                <w:szCs w:val="20"/>
              </w:rPr>
              <w:t>(0.094)</w:t>
            </w:r>
          </w:p>
        </w:tc>
      </w:tr>
      <w:tr w:rsidR="00535F81" w:rsidRPr="008669C3" w14:paraId="78F43706" w14:textId="77777777" w:rsidTr="00EA4854">
        <w:trPr>
          <w:trHeight w:val="20"/>
          <w:jc w:val="center"/>
        </w:trPr>
        <w:tc>
          <w:tcPr>
            <w:tcW w:w="1586" w:type="pct"/>
            <w:tcBorders>
              <w:top w:val="nil"/>
              <w:left w:val="nil"/>
              <w:bottom w:val="nil"/>
              <w:right w:val="nil"/>
            </w:tcBorders>
            <w:shd w:val="clear" w:color="auto" w:fill="auto"/>
            <w:noWrap/>
            <w:vAlign w:val="bottom"/>
          </w:tcPr>
          <w:p w14:paraId="74335E04" w14:textId="2086D783" w:rsidR="00535F81" w:rsidRPr="008669C3" w:rsidRDefault="00535F81" w:rsidP="00535F81">
            <w:pPr>
              <w:rPr>
                <w:iCs/>
                <w:sz w:val="20"/>
                <w:szCs w:val="20"/>
              </w:rPr>
            </w:pPr>
            <w:r w:rsidRPr="008669C3">
              <w:rPr>
                <w:iCs/>
                <w:sz w:val="20"/>
                <w:szCs w:val="20"/>
              </w:rPr>
              <w:t>Z-score</w:t>
            </w:r>
          </w:p>
        </w:tc>
        <w:tc>
          <w:tcPr>
            <w:tcW w:w="780" w:type="pct"/>
            <w:tcBorders>
              <w:top w:val="nil"/>
              <w:left w:val="nil"/>
              <w:bottom w:val="nil"/>
              <w:right w:val="nil"/>
            </w:tcBorders>
            <w:shd w:val="clear" w:color="auto" w:fill="auto"/>
            <w:noWrap/>
            <w:vAlign w:val="bottom"/>
          </w:tcPr>
          <w:p w14:paraId="71AAB7B6" w14:textId="7EE99595" w:rsidR="00535F81" w:rsidRPr="008669C3" w:rsidRDefault="00535F81" w:rsidP="00535F81">
            <w:pPr>
              <w:jc w:val="center"/>
              <w:rPr>
                <w:sz w:val="20"/>
                <w:szCs w:val="20"/>
              </w:rPr>
            </w:pPr>
            <w:r w:rsidRPr="008669C3">
              <w:rPr>
                <w:sz w:val="20"/>
                <w:szCs w:val="20"/>
              </w:rPr>
              <w:t>-0.023</w:t>
            </w:r>
          </w:p>
        </w:tc>
        <w:tc>
          <w:tcPr>
            <w:tcW w:w="846" w:type="pct"/>
            <w:tcBorders>
              <w:top w:val="nil"/>
              <w:left w:val="nil"/>
              <w:bottom w:val="nil"/>
              <w:right w:val="nil"/>
            </w:tcBorders>
            <w:shd w:val="clear" w:color="auto" w:fill="auto"/>
            <w:noWrap/>
            <w:vAlign w:val="bottom"/>
          </w:tcPr>
          <w:p w14:paraId="3D56AF7D" w14:textId="621C68AB" w:rsidR="00535F81" w:rsidRPr="008669C3" w:rsidRDefault="00535F81" w:rsidP="00535F81">
            <w:pPr>
              <w:jc w:val="center"/>
              <w:rPr>
                <w:sz w:val="20"/>
                <w:szCs w:val="20"/>
              </w:rPr>
            </w:pPr>
            <w:r w:rsidRPr="008669C3">
              <w:rPr>
                <w:sz w:val="20"/>
                <w:szCs w:val="20"/>
              </w:rPr>
              <w:t>-0.025</w:t>
            </w:r>
          </w:p>
        </w:tc>
        <w:tc>
          <w:tcPr>
            <w:tcW w:w="162" w:type="pct"/>
            <w:tcBorders>
              <w:top w:val="nil"/>
              <w:left w:val="nil"/>
              <w:bottom w:val="nil"/>
              <w:right w:val="nil"/>
            </w:tcBorders>
            <w:shd w:val="clear" w:color="auto" w:fill="auto"/>
            <w:noWrap/>
            <w:vAlign w:val="bottom"/>
          </w:tcPr>
          <w:p w14:paraId="41971751"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tcPr>
          <w:p w14:paraId="5C664E26" w14:textId="76E8458E" w:rsidR="00535F81" w:rsidRPr="008669C3" w:rsidRDefault="00535F81" w:rsidP="00535F81">
            <w:pPr>
              <w:jc w:val="center"/>
              <w:rPr>
                <w:sz w:val="20"/>
                <w:szCs w:val="20"/>
              </w:rPr>
            </w:pPr>
            <w:r w:rsidRPr="008669C3">
              <w:rPr>
                <w:sz w:val="20"/>
                <w:szCs w:val="20"/>
              </w:rPr>
              <w:t>-0.022</w:t>
            </w:r>
          </w:p>
        </w:tc>
        <w:tc>
          <w:tcPr>
            <w:tcW w:w="847" w:type="pct"/>
            <w:tcBorders>
              <w:top w:val="nil"/>
              <w:left w:val="nil"/>
              <w:bottom w:val="nil"/>
              <w:right w:val="nil"/>
            </w:tcBorders>
            <w:shd w:val="clear" w:color="auto" w:fill="auto"/>
            <w:noWrap/>
            <w:vAlign w:val="bottom"/>
          </w:tcPr>
          <w:p w14:paraId="5BD0EBD5" w14:textId="47C145D5" w:rsidR="00535F81" w:rsidRPr="008669C3" w:rsidRDefault="00535F81" w:rsidP="00535F81">
            <w:pPr>
              <w:jc w:val="center"/>
              <w:rPr>
                <w:sz w:val="20"/>
                <w:szCs w:val="20"/>
              </w:rPr>
            </w:pPr>
            <w:r w:rsidRPr="008669C3">
              <w:rPr>
                <w:sz w:val="20"/>
                <w:szCs w:val="20"/>
              </w:rPr>
              <w:t>-0.025</w:t>
            </w:r>
          </w:p>
        </w:tc>
      </w:tr>
      <w:tr w:rsidR="00535F81" w:rsidRPr="008669C3" w14:paraId="11EEFC6D" w14:textId="77777777" w:rsidTr="00EA4854">
        <w:trPr>
          <w:trHeight w:val="20"/>
          <w:jc w:val="center"/>
        </w:trPr>
        <w:tc>
          <w:tcPr>
            <w:tcW w:w="1586" w:type="pct"/>
            <w:tcBorders>
              <w:top w:val="nil"/>
              <w:left w:val="nil"/>
              <w:bottom w:val="nil"/>
              <w:right w:val="nil"/>
            </w:tcBorders>
            <w:shd w:val="clear" w:color="auto" w:fill="auto"/>
            <w:noWrap/>
            <w:vAlign w:val="bottom"/>
          </w:tcPr>
          <w:p w14:paraId="4BEFC98E" w14:textId="77777777" w:rsidR="00535F81" w:rsidRPr="008669C3" w:rsidRDefault="00535F81" w:rsidP="00535F81">
            <w:pPr>
              <w:rPr>
                <w:iCs/>
                <w:sz w:val="20"/>
                <w:szCs w:val="20"/>
              </w:rPr>
            </w:pPr>
          </w:p>
        </w:tc>
        <w:tc>
          <w:tcPr>
            <w:tcW w:w="780" w:type="pct"/>
            <w:tcBorders>
              <w:top w:val="nil"/>
              <w:left w:val="nil"/>
              <w:bottom w:val="nil"/>
              <w:right w:val="nil"/>
            </w:tcBorders>
            <w:shd w:val="clear" w:color="auto" w:fill="auto"/>
            <w:noWrap/>
            <w:vAlign w:val="bottom"/>
          </w:tcPr>
          <w:p w14:paraId="49142779" w14:textId="5CA0CFEC" w:rsidR="00535F81" w:rsidRPr="008669C3" w:rsidRDefault="00535F81" w:rsidP="00535F81">
            <w:pPr>
              <w:jc w:val="center"/>
              <w:rPr>
                <w:sz w:val="20"/>
                <w:szCs w:val="20"/>
              </w:rPr>
            </w:pPr>
            <w:r w:rsidRPr="008669C3">
              <w:rPr>
                <w:sz w:val="20"/>
                <w:szCs w:val="20"/>
              </w:rPr>
              <w:t>(0.063)</w:t>
            </w:r>
          </w:p>
        </w:tc>
        <w:tc>
          <w:tcPr>
            <w:tcW w:w="846" w:type="pct"/>
            <w:tcBorders>
              <w:top w:val="nil"/>
              <w:left w:val="nil"/>
              <w:bottom w:val="nil"/>
              <w:right w:val="nil"/>
            </w:tcBorders>
            <w:shd w:val="clear" w:color="auto" w:fill="auto"/>
            <w:noWrap/>
            <w:vAlign w:val="bottom"/>
          </w:tcPr>
          <w:p w14:paraId="253B3376" w14:textId="20557EE2" w:rsidR="00535F81" w:rsidRPr="008669C3" w:rsidRDefault="00535F81" w:rsidP="00535F81">
            <w:pPr>
              <w:jc w:val="center"/>
              <w:rPr>
                <w:sz w:val="20"/>
                <w:szCs w:val="20"/>
              </w:rPr>
            </w:pPr>
            <w:r w:rsidRPr="008669C3">
              <w:rPr>
                <w:sz w:val="20"/>
                <w:szCs w:val="20"/>
              </w:rPr>
              <w:t>(0.057)</w:t>
            </w:r>
          </w:p>
        </w:tc>
        <w:tc>
          <w:tcPr>
            <w:tcW w:w="162" w:type="pct"/>
            <w:tcBorders>
              <w:top w:val="nil"/>
              <w:left w:val="nil"/>
              <w:bottom w:val="nil"/>
              <w:right w:val="nil"/>
            </w:tcBorders>
            <w:shd w:val="clear" w:color="auto" w:fill="auto"/>
            <w:noWrap/>
            <w:vAlign w:val="bottom"/>
          </w:tcPr>
          <w:p w14:paraId="6B31FBEC"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tcPr>
          <w:p w14:paraId="779A8691" w14:textId="0AF15808" w:rsidR="00535F81" w:rsidRPr="008669C3" w:rsidRDefault="00535F81" w:rsidP="00535F81">
            <w:pPr>
              <w:jc w:val="center"/>
              <w:rPr>
                <w:sz w:val="20"/>
                <w:szCs w:val="20"/>
              </w:rPr>
            </w:pPr>
            <w:r w:rsidRPr="008669C3">
              <w:rPr>
                <w:sz w:val="20"/>
                <w:szCs w:val="20"/>
              </w:rPr>
              <w:t>(0.063)</w:t>
            </w:r>
          </w:p>
        </w:tc>
        <w:tc>
          <w:tcPr>
            <w:tcW w:w="847" w:type="pct"/>
            <w:tcBorders>
              <w:top w:val="nil"/>
              <w:left w:val="nil"/>
              <w:bottom w:val="nil"/>
              <w:right w:val="nil"/>
            </w:tcBorders>
            <w:shd w:val="clear" w:color="auto" w:fill="auto"/>
            <w:noWrap/>
            <w:vAlign w:val="bottom"/>
          </w:tcPr>
          <w:p w14:paraId="7E295000" w14:textId="67CAD9A9" w:rsidR="00535F81" w:rsidRPr="008669C3" w:rsidRDefault="00535F81" w:rsidP="00535F81">
            <w:pPr>
              <w:jc w:val="center"/>
              <w:rPr>
                <w:sz w:val="20"/>
                <w:szCs w:val="20"/>
              </w:rPr>
            </w:pPr>
            <w:r w:rsidRPr="008669C3">
              <w:rPr>
                <w:sz w:val="20"/>
                <w:szCs w:val="20"/>
              </w:rPr>
              <w:t>(0.057)</w:t>
            </w:r>
          </w:p>
        </w:tc>
      </w:tr>
      <w:tr w:rsidR="00535F81" w:rsidRPr="008669C3" w14:paraId="1976FA21" w14:textId="77777777" w:rsidTr="00EA4854">
        <w:trPr>
          <w:trHeight w:val="20"/>
          <w:jc w:val="center"/>
        </w:trPr>
        <w:tc>
          <w:tcPr>
            <w:tcW w:w="1586" w:type="pct"/>
            <w:tcBorders>
              <w:top w:val="nil"/>
              <w:left w:val="nil"/>
              <w:bottom w:val="nil"/>
              <w:right w:val="nil"/>
            </w:tcBorders>
            <w:shd w:val="clear" w:color="auto" w:fill="auto"/>
            <w:noWrap/>
            <w:vAlign w:val="bottom"/>
          </w:tcPr>
          <w:p w14:paraId="18568EC8" w14:textId="70067A67" w:rsidR="00535F81" w:rsidRPr="008669C3" w:rsidRDefault="00535F81" w:rsidP="00535F81">
            <w:pPr>
              <w:rPr>
                <w:iCs/>
                <w:sz w:val="20"/>
                <w:szCs w:val="20"/>
              </w:rPr>
            </w:pPr>
            <w:r w:rsidRPr="008669C3">
              <w:rPr>
                <w:iCs/>
                <w:sz w:val="20"/>
                <w:szCs w:val="20"/>
              </w:rPr>
              <w:t>KZ index</w:t>
            </w:r>
          </w:p>
        </w:tc>
        <w:tc>
          <w:tcPr>
            <w:tcW w:w="780" w:type="pct"/>
            <w:tcBorders>
              <w:top w:val="nil"/>
              <w:left w:val="nil"/>
              <w:bottom w:val="nil"/>
              <w:right w:val="nil"/>
            </w:tcBorders>
            <w:shd w:val="clear" w:color="auto" w:fill="auto"/>
            <w:noWrap/>
            <w:vAlign w:val="bottom"/>
          </w:tcPr>
          <w:p w14:paraId="4BB05670" w14:textId="6C0D0F6B" w:rsidR="00535F81" w:rsidRPr="008669C3" w:rsidRDefault="00535F81" w:rsidP="00535F81">
            <w:pPr>
              <w:jc w:val="center"/>
              <w:rPr>
                <w:sz w:val="20"/>
                <w:szCs w:val="20"/>
              </w:rPr>
            </w:pPr>
            <w:r w:rsidRPr="008669C3">
              <w:rPr>
                <w:sz w:val="20"/>
                <w:szCs w:val="20"/>
              </w:rPr>
              <w:t>0.002</w:t>
            </w:r>
          </w:p>
        </w:tc>
        <w:tc>
          <w:tcPr>
            <w:tcW w:w="846" w:type="pct"/>
            <w:tcBorders>
              <w:top w:val="nil"/>
              <w:left w:val="nil"/>
              <w:bottom w:val="nil"/>
              <w:right w:val="nil"/>
            </w:tcBorders>
            <w:shd w:val="clear" w:color="auto" w:fill="auto"/>
            <w:noWrap/>
            <w:vAlign w:val="bottom"/>
          </w:tcPr>
          <w:p w14:paraId="46F0E0FA" w14:textId="4C1572B5" w:rsidR="00535F81" w:rsidRPr="008669C3" w:rsidRDefault="00535F81" w:rsidP="00535F81">
            <w:pPr>
              <w:jc w:val="center"/>
              <w:rPr>
                <w:sz w:val="20"/>
                <w:szCs w:val="20"/>
              </w:rPr>
            </w:pPr>
            <w:r w:rsidRPr="008669C3">
              <w:rPr>
                <w:sz w:val="20"/>
                <w:szCs w:val="20"/>
              </w:rPr>
              <w:t>0.010*</w:t>
            </w:r>
          </w:p>
        </w:tc>
        <w:tc>
          <w:tcPr>
            <w:tcW w:w="162" w:type="pct"/>
            <w:tcBorders>
              <w:top w:val="nil"/>
              <w:left w:val="nil"/>
              <w:bottom w:val="nil"/>
              <w:right w:val="nil"/>
            </w:tcBorders>
            <w:shd w:val="clear" w:color="auto" w:fill="auto"/>
            <w:noWrap/>
            <w:vAlign w:val="bottom"/>
          </w:tcPr>
          <w:p w14:paraId="21F3ABF1"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tcPr>
          <w:p w14:paraId="1C17FD37" w14:textId="6DDE66E3" w:rsidR="00535F81" w:rsidRPr="008669C3" w:rsidRDefault="00535F81" w:rsidP="00535F81">
            <w:pPr>
              <w:jc w:val="center"/>
              <w:rPr>
                <w:sz w:val="20"/>
                <w:szCs w:val="20"/>
              </w:rPr>
            </w:pPr>
            <w:r w:rsidRPr="008669C3">
              <w:rPr>
                <w:sz w:val="20"/>
                <w:szCs w:val="20"/>
              </w:rPr>
              <w:t>0.002</w:t>
            </w:r>
          </w:p>
        </w:tc>
        <w:tc>
          <w:tcPr>
            <w:tcW w:w="847" w:type="pct"/>
            <w:tcBorders>
              <w:top w:val="nil"/>
              <w:left w:val="nil"/>
              <w:bottom w:val="nil"/>
              <w:right w:val="nil"/>
            </w:tcBorders>
            <w:shd w:val="clear" w:color="auto" w:fill="auto"/>
            <w:noWrap/>
            <w:vAlign w:val="bottom"/>
          </w:tcPr>
          <w:p w14:paraId="5F59F774" w14:textId="081E0A34" w:rsidR="00535F81" w:rsidRPr="008669C3" w:rsidRDefault="00535F81" w:rsidP="00535F81">
            <w:pPr>
              <w:jc w:val="center"/>
              <w:rPr>
                <w:sz w:val="20"/>
                <w:szCs w:val="20"/>
              </w:rPr>
            </w:pPr>
            <w:r w:rsidRPr="008669C3">
              <w:rPr>
                <w:sz w:val="20"/>
                <w:szCs w:val="20"/>
              </w:rPr>
              <w:t>0.010*</w:t>
            </w:r>
          </w:p>
        </w:tc>
      </w:tr>
      <w:tr w:rsidR="00535F81" w:rsidRPr="008669C3" w14:paraId="2E94E42C" w14:textId="77777777" w:rsidTr="00EA4854">
        <w:trPr>
          <w:trHeight w:val="20"/>
          <w:jc w:val="center"/>
        </w:trPr>
        <w:tc>
          <w:tcPr>
            <w:tcW w:w="1586" w:type="pct"/>
            <w:tcBorders>
              <w:top w:val="nil"/>
              <w:left w:val="nil"/>
              <w:bottom w:val="nil"/>
              <w:right w:val="nil"/>
            </w:tcBorders>
            <w:shd w:val="clear" w:color="auto" w:fill="auto"/>
            <w:noWrap/>
            <w:vAlign w:val="bottom"/>
          </w:tcPr>
          <w:p w14:paraId="0466876D" w14:textId="77777777" w:rsidR="00535F81" w:rsidRPr="008669C3" w:rsidRDefault="00535F81" w:rsidP="00535F81">
            <w:pPr>
              <w:rPr>
                <w:iCs/>
                <w:sz w:val="20"/>
                <w:szCs w:val="20"/>
              </w:rPr>
            </w:pPr>
          </w:p>
        </w:tc>
        <w:tc>
          <w:tcPr>
            <w:tcW w:w="780" w:type="pct"/>
            <w:tcBorders>
              <w:top w:val="nil"/>
              <w:left w:val="nil"/>
              <w:bottom w:val="nil"/>
              <w:right w:val="nil"/>
            </w:tcBorders>
            <w:shd w:val="clear" w:color="auto" w:fill="auto"/>
            <w:noWrap/>
            <w:vAlign w:val="bottom"/>
          </w:tcPr>
          <w:p w14:paraId="6C66265A" w14:textId="037A2A90" w:rsidR="00535F81" w:rsidRPr="008669C3" w:rsidRDefault="00535F81" w:rsidP="00535F81">
            <w:pPr>
              <w:jc w:val="center"/>
              <w:rPr>
                <w:sz w:val="20"/>
                <w:szCs w:val="20"/>
              </w:rPr>
            </w:pPr>
            <w:r w:rsidRPr="008669C3">
              <w:rPr>
                <w:sz w:val="20"/>
                <w:szCs w:val="20"/>
              </w:rPr>
              <w:t>(0.006)</w:t>
            </w:r>
          </w:p>
        </w:tc>
        <w:tc>
          <w:tcPr>
            <w:tcW w:w="846" w:type="pct"/>
            <w:tcBorders>
              <w:top w:val="nil"/>
              <w:left w:val="nil"/>
              <w:bottom w:val="nil"/>
              <w:right w:val="nil"/>
            </w:tcBorders>
            <w:shd w:val="clear" w:color="auto" w:fill="auto"/>
            <w:noWrap/>
            <w:vAlign w:val="bottom"/>
          </w:tcPr>
          <w:p w14:paraId="25DA4F05" w14:textId="00BF763C" w:rsidR="00535F81" w:rsidRPr="008669C3" w:rsidRDefault="00535F81" w:rsidP="00535F81">
            <w:pPr>
              <w:jc w:val="center"/>
              <w:rPr>
                <w:sz w:val="20"/>
                <w:szCs w:val="20"/>
              </w:rPr>
            </w:pPr>
            <w:r w:rsidRPr="008669C3">
              <w:rPr>
                <w:sz w:val="20"/>
                <w:szCs w:val="20"/>
              </w:rPr>
              <w:t>(0.005)</w:t>
            </w:r>
          </w:p>
        </w:tc>
        <w:tc>
          <w:tcPr>
            <w:tcW w:w="162" w:type="pct"/>
            <w:tcBorders>
              <w:top w:val="nil"/>
              <w:left w:val="nil"/>
              <w:bottom w:val="nil"/>
              <w:right w:val="nil"/>
            </w:tcBorders>
            <w:shd w:val="clear" w:color="auto" w:fill="auto"/>
            <w:noWrap/>
            <w:vAlign w:val="bottom"/>
          </w:tcPr>
          <w:p w14:paraId="43164443"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tcPr>
          <w:p w14:paraId="4845A930" w14:textId="4C279DCF" w:rsidR="00535F81" w:rsidRPr="008669C3" w:rsidRDefault="00535F81" w:rsidP="00535F81">
            <w:pPr>
              <w:jc w:val="center"/>
              <w:rPr>
                <w:sz w:val="20"/>
                <w:szCs w:val="20"/>
              </w:rPr>
            </w:pPr>
            <w:r w:rsidRPr="008669C3">
              <w:rPr>
                <w:sz w:val="20"/>
                <w:szCs w:val="20"/>
              </w:rPr>
              <w:t>(0.006)</w:t>
            </w:r>
          </w:p>
        </w:tc>
        <w:tc>
          <w:tcPr>
            <w:tcW w:w="847" w:type="pct"/>
            <w:tcBorders>
              <w:top w:val="nil"/>
              <w:left w:val="nil"/>
              <w:bottom w:val="nil"/>
              <w:right w:val="nil"/>
            </w:tcBorders>
            <w:shd w:val="clear" w:color="auto" w:fill="auto"/>
            <w:noWrap/>
            <w:vAlign w:val="bottom"/>
          </w:tcPr>
          <w:p w14:paraId="33787107" w14:textId="26DDE904" w:rsidR="00535F81" w:rsidRPr="008669C3" w:rsidRDefault="00535F81" w:rsidP="00535F81">
            <w:pPr>
              <w:jc w:val="center"/>
              <w:rPr>
                <w:sz w:val="20"/>
                <w:szCs w:val="20"/>
              </w:rPr>
            </w:pPr>
            <w:r w:rsidRPr="008669C3">
              <w:rPr>
                <w:sz w:val="20"/>
                <w:szCs w:val="20"/>
              </w:rPr>
              <w:t>(0.005)</w:t>
            </w:r>
          </w:p>
        </w:tc>
      </w:tr>
      <w:tr w:rsidR="00535F81" w:rsidRPr="008669C3" w14:paraId="04219343" w14:textId="77777777" w:rsidTr="00EA4854">
        <w:trPr>
          <w:trHeight w:val="20"/>
          <w:jc w:val="center"/>
        </w:trPr>
        <w:tc>
          <w:tcPr>
            <w:tcW w:w="1586" w:type="pct"/>
            <w:tcBorders>
              <w:top w:val="nil"/>
              <w:left w:val="nil"/>
              <w:bottom w:val="nil"/>
              <w:right w:val="nil"/>
            </w:tcBorders>
            <w:shd w:val="clear" w:color="auto" w:fill="auto"/>
            <w:noWrap/>
            <w:vAlign w:val="bottom"/>
          </w:tcPr>
          <w:p w14:paraId="21024287" w14:textId="4392BC00" w:rsidR="00535F81" w:rsidRPr="008669C3" w:rsidRDefault="00535F81" w:rsidP="00535F81">
            <w:pPr>
              <w:rPr>
                <w:iCs/>
                <w:sz w:val="20"/>
                <w:szCs w:val="20"/>
              </w:rPr>
            </w:pPr>
            <w:r w:rsidRPr="008669C3">
              <w:rPr>
                <w:iCs/>
                <w:sz w:val="20"/>
                <w:szCs w:val="20"/>
              </w:rPr>
              <w:t>Bank debt</w:t>
            </w:r>
          </w:p>
        </w:tc>
        <w:tc>
          <w:tcPr>
            <w:tcW w:w="780" w:type="pct"/>
            <w:tcBorders>
              <w:top w:val="nil"/>
              <w:left w:val="nil"/>
              <w:bottom w:val="nil"/>
              <w:right w:val="nil"/>
            </w:tcBorders>
            <w:shd w:val="clear" w:color="auto" w:fill="auto"/>
            <w:noWrap/>
            <w:vAlign w:val="bottom"/>
          </w:tcPr>
          <w:p w14:paraId="6EBF0703" w14:textId="2A410317" w:rsidR="00535F81" w:rsidRPr="008669C3" w:rsidRDefault="00535F81" w:rsidP="00535F81">
            <w:pPr>
              <w:jc w:val="center"/>
              <w:rPr>
                <w:sz w:val="20"/>
                <w:szCs w:val="20"/>
              </w:rPr>
            </w:pPr>
            <w:r w:rsidRPr="008669C3">
              <w:rPr>
                <w:sz w:val="20"/>
                <w:szCs w:val="20"/>
              </w:rPr>
              <w:t>-0.047</w:t>
            </w:r>
          </w:p>
        </w:tc>
        <w:tc>
          <w:tcPr>
            <w:tcW w:w="846" w:type="pct"/>
            <w:tcBorders>
              <w:top w:val="nil"/>
              <w:left w:val="nil"/>
              <w:bottom w:val="nil"/>
              <w:right w:val="nil"/>
            </w:tcBorders>
            <w:shd w:val="clear" w:color="auto" w:fill="auto"/>
            <w:noWrap/>
            <w:vAlign w:val="bottom"/>
          </w:tcPr>
          <w:p w14:paraId="317CF35B" w14:textId="1B204B85" w:rsidR="00535F81" w:rsidRPr="008669C3" w:rsidRDefault="00535F81" w:rsidP="00535F81">
            <w:pPr>
              <w:jc w:val="center"/>
              <w:rPr>
                <w:sz w:val="20"/>
                <w:szCs w:val="20"/>
              </w:rPr>
            </w:pPr>
            <w:r w:rsidRPr="008669C3">
              <w:rPr>
                <w:sz w:val="20"/>
                <w:szCs w:val="20"/>
              </w:rPr>
              <w:t>-0.028</w:t>
            </w:r>
          </w:p>
        </w:tc>
        <w:tc>
          <w:tcPr>
            <w:tcW w:w="162" w:type="pct"/>
            <w:tcBorders>
              <w:top w:val="nil"/>
              <w:left w:val="nil"/>
              <w:bottom w:val="nil"/>
              <w:right w:val="nil"/>
            </w:tcBorders>
            <w:shd w:val="clear" w:color="auto" w:fill="auto"/>
            <w:noWrap/>
            <w:vAlign w:val="bottom"/>
          </w:tcPr>
          <w:p w14:paraId="2190A7E0"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tcPr>
          <w:p w14:paraId="45851098" w14:textId="40FDEFB4" w:rsidR="00535F81" w:rsidRPr="008669C3" w:rsidRDefault="00535F81" w:rsidP="00535F81">
            <w:pPr>
              <w:jc w:val="center"/>
              <w:rPr>
                <w:sz w:val="20"/>
                <w:szCs w:val="20"/>
              </w:rPr>
            </w:pPr>
            <w:r w:rsidRPr="008669C3">
              <w:rPr>
                <w:sz w:val="20"/>
                <w:szCs w:val="20"/>
              </w:rPr>
              <w:t>-0.048</w:t>
            </w:r>
          </w:p>
        </w:tc>
        <w:tc>
          <w:tcPr>
            <w:tcW w:w="847" w:type="pct"/>
            <w:tcBorders>
              <w:top w:val="nil"/>
              <w:left w:val="nil"/>
              <w:bottom w:val="nil"/>
              <w:right w:val="nil"/>
            </w:tcBorders>
            <w:shd w:val="clear" w:color="auto" w:fill="auto"/>
            <w:noWrap/>
            <w:vAlign w:val="bottom"/>
          </w:tcPr>
          <w:p w14:paraId="1CDA775B" w14:textId="68E1A3AE" w:rsidR="00535F81" w:rsidRPr="008669C3" w:rsidRDefault="00535F81" w:rsidP="00535F81">
            <w:pPr>
              <w:jc w:val="center"/>
              <w:rPr>
                <w:sz w:val="20"/>
                <w:szCs w:val="20"/>
              </w:rPr>
            </w:pPr>
            <w:r w:rsidRPr="008669C3">
              <w:rPr>
                <w:sz w:val="20"/>
                <w:szCs w:val="20"/>
              </w:rPr>
              <w:t>-0.028</w:t>
            </w:r>
          </w:p>
        </w:tc>
      </w:tr>
      <w:tr w:rsidR="00535F81" w:rsidRPr="008669C3" w14:paraId="0082EDE1" w14:textId="77777777" w:rsidTr="00EA4854">
        <w:trPr>
          <w:trHeight w:val="20"/>
          <w:jc w:val="center"/>
        </w:trPr>
        <w:tc>
          <w:tcPr>
            <w:tcW w:w="1586" w:type="pct"/>
            <w:tcBorders>
              <w:top w:val="nil"/>
              <w:left w:val="nil"/>
              <w:bottom w:val="nil"/>
              <w:right w:val="nil"/>
            </w:tcBorders>
            <w:shd w:val="clear" w:color="auto" w:fill="auto"/>
            <w:noWrap/>
            <w:vAlign w:val="bottom"/>
          </w:tcPr>
          <w:p w14:paraId="171B2378" w14:textId="77777777" w:rsidR="00535F81" w:rsidRPr="008669C3" w:rsidRDefault="00535F81" w:rsidP="00535F81">
            <w:pPr>
              <w:rPr>
                <w:iCs/>
                <w:sz w:val="20"/>
                <w:szCs w:val="20"/>
              </w:rPr>
            </w:pPr>
          </w:p>
        </w:tc>
        <w:tc>
          <w:tcPr>
            <w:tcW w:w="780" w:type="pct"/>
            <w:tcBorders>
              <w:top w:val="nil"/>
              <w:left w:val="nil"/>
              <w:bottom w:val="nil"/>
              <w:right w:val="nil"/>
            </w:tcBorders>
            <w:shd w:val="clear" w:color="auto" w:fill="auto"/>
            <w:noWrap/>
            <w:vAlign w:val="bottom"/>
          </w:tcPr>
          <w:p w14:paraId="072C79EE" w14:textId="33513B81" w:rsidR="00535F81" w:rsidRPr="008669C3" w:rsidRDefault="00535F81" w:rsidP="00535F81">
            <w:pPr>
              <w:jc w:val="center"/>
              <w:rPr>
                <w:sz w:val="20"/>
                <w:szCs w:val="20"/>
              </w:rPr>
            </w:pPr>
            <w:r w:rsidRPr="008669C3">
              <w:rPr>
                <w:sz w:val="20"/>
                <w:szCs w:val="20"/>
              </w:rPr>
              <w:t>(0.048)</w:t>
            </w:r>
          </w:p>
        </w:tc>
        <w:tc>
          <w:tcPr>
            <w:tcW w:w="846" w:type="pct"/>
            <w:tcBorders>
              <w:top w:val="nil"/>
              <w:left w:val="nil"/>
              <w:bottom w:val="nil"/>
              <w:right w:val="nil"/>
            </w:tcBorders>
            <w:shd w:val="clear" w:color="auto" w:fill="auto"/>
            <w:noWrap/>
            <w:vAlign w:val="bottom"/>
          </w:tcPr>
          <w:p w14:paraId="504E4FF0" w14:textId="4E648FEA" w:rsidR="00535F81" w:rsidRPr="008669C3" w:rsidRDefault="00535F81" w:rsidP="00535F81">
            <w:pPr>
              <w:jc w:val="center"/>
              <w:rPr>
                <w:sz w:val="20"/>
                <w:szCs w:val="20"/>
              </w:rPr>
            </w:pPr>
            <w:r w:rsidRPr="008669C3">
              <w:rPr>
                <w:sz w:val="20"/>
                <w:szCs w:val="20"/>
              </w:rPr>
              <w:t>(0.041)</w:t>
            </w:r>
          </w:p>
        </w:tc>
        <w:tc>
          <w:tcPr>
            <w:tcW w:w="162" w:type="pct"/>
            <w:tcBorders>
              <w:top w:val="nil"/>
              <w:left w:val="nil"/>
              <w:bottom w:val="nil"/>
              <w:right w:val="nil"/>
            </w:tcBorders>
            <w:shd w:val="clear" w:color="auto" w:fill="auto"/>
            <w:noWrap/>
            <w:vAlign w:val="bottom"/>
          </w:tcPr>
          <w:p w14:paraId="675D9808"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tcPr>
          <w:p w14:paraId="0C9E4FB0" w14:textId="02F1EBDD" w:rsidR="00535F81" w:rsidRPr="008669C3" w:rsidRDefault="00535F81" w:rsidP="00535F81">
            <w:pPr>
              <w:jc w:val="center"/>
              <w:rPr>
                <w:sz w:val="20"/>
                <w:szCs w:val="20"/>
              </w:rPr>
            </w:pPr>
            <w:r w:rsidRPr="008669C3">
              <w:rPr>
                <w:sz w:val="20"/>
                <w:szCs w:val="20"/>
              </w:rPr>
              <w:t>(0.048)</w:t>
            </w:r>
          </w:p>
        </w:tc>
        <w:tc>
          <w:tcPr>
            <w:tcW w:w="847" w:type="pct"/>
            <w:tcBorders>
              <w:top w:val="nil"/>
              <w:left w:val="nil"/>
              <w:bottom w:val="nil"/>
              <w:right w:val="nil"/>
            </w:tcBorders>
            <w:shd w:val="clear" w:color="auto" w:fill="auto"/>
            <w:noWrap/>
            <w:vAlign w:val="bottom"/>
          </w:tcPr>
          <w:p w14:paraId="3063D22E" w14:textId="15F22753" w:rsidR="00535F81" w:rsidRPr="008669C3" w:rsidRDefault="00535F81" w:rsidP="00535F81">
            <w:pPr>
              <w:jc w:val="center"/>
              <w:rPr>
                <w:sz w:val="20"/>
                <w:szCs w:val="20"/>
              </w:rPr>
            </w:pPr>
            <w:r w:rsidRPr="008669C3">
              <w:rPr>
                <w:sz w:val="20"/>
                <w:szCs w:val="20"/>
              </w:rPr>
              <w:t>(0.041)</w:t>
            </w:r>
          </w:p>
        </w:tc>
      </w:tr>
      <w:tr w:rsidR="00535F81" w:rsidRPr="008669C3" w14:paraId="7DC734EB"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1D61C663" w14:textId="77777777" w:rsidR="00535F81" w:rsidRPr="008669C3" w:rsidRDefault="00535F81" w:rsidP="00535F81">
            <w:pPr>
              <w:rPr>
                <w:iCs/>
                <w:sz w:val="20"/>
                <w:szCs w:val="20"/>
              </w:rPr>
            </w:pPr>
            <w:r w:rsidRPr="008669C3">
              <w:rPr>
                <w:iCs/>
                <w:sz w:val="20"/>
                <w:szCs w:val="20"/>
              </w:rPr>
              <w:t>Age</w:t>
            </w:r>
          </w:p>
        </w:tc>
        <w:tc>
          <w:tcPr>
            <w:tcW w:w="780" w:type="pct"/>
            <w:tcBorders>
              <w:top w:val="nil"/>
              <w:left w:val="nil"/>
              <w:bottom w:val="nil"/>
              <w:right w:val="nil"/>
            </w:tcBorders>
            <w:shd w:val="clear" w:color="auto" w:fill="auto"/>
            <w:noWrap/>
            <w:vAlign w:val="bottom"/>
            <w:hideMark/>
          </w:tcPr>
          <w:p w14:paraId="4B049809" w14:textId="48D1C5C2" w:rsidR="00535F81" w:rsidRPr="008669C3" w:rsidRDefault="00535F81" w:rsidP="00535F81">
            <w:pPr>
              <w:jc w:val="center"/>
              <w:rPr>
                <w:sz w:val="20"/>
                <w:szCs w:val="20"/>
              </w:rPr>
            </w:pPr>
            <w:r w:rsidRPr="008669C3">
              <w:rPr>
                <w:sz w:val="20"/>
                <w:szCs w:val="20"/>
              </w:rPr>
              <w:t>-0.016**</w:t>
            </w:r>
          </w:p>
        </w:tc>
        <w:tc>
          <w:tcPr>
            <w:tcW w:w="846" w:type="pct"/>
            <w:tcBorders>
              <w:top w:val="nil"/>
              <w:left w:val="nil"/>
              <w:bottom w:val="nil"/>
              <w:right w:val="nil"/>
            </w:tcBorders>
            <w:shd w:val="clear" w:color="auto" w:fill="auto"/>
            <w:noWrap/>
            <w:vAlign w:val="bottom"/>
            <w:hideMark/>
          </w:tcPr>
          <w:p w14:paraId="0A496378" w14:textId="39D38ED6" w:rsidR="00535F81" w:rsidRPr="008669C3" w:rsidRDefault="00535F81" w:rsidP="00535F81">
            <w:pPr>
              <w:jc w:val="center"/>
              <w:rPr>
                <w:sz w:val="20"/>
                <w:szCs w:val="20"/>
              </w:rPr>
            </w:pPr>
            <w:r w:rsidRPr="008669C3">
              <w:rPr>
                <w:sz w:val="20"/>
                <w:szCs w:val="20"/>
              </w:rPr>
              <w:t>-0.015***</w:t>
            </w:r>
          </w:p>
        </w:tc>
        <w:tc>
          <w:tcPr>
            <w:tcW w:w="162" w:type="pct"/>
            <w:tcBorders>
              <w:top w:val="nil"/>
              <w:left w:val="nil"/>
              <w:bottom w:val="nil"/>
              <w:right w:val="nil"/>
            </w:tcBorders>
            <w:shd w:val="clear" w:color="auto" w:fill="auto"/>
            <w:noWrap/>
            <w:vAlign w:val="bottom"/>
            <w:hideMark/>
          </w:tcPr>
          <w:p w14:paraId="3C79B009"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23632103" w14:textId="3012EE1C" w:rsidR="00535F81" w:rsidRPr="008669C3" w:rsidRDefault="00535F81" w:rsidP="00535F81">
            <w:pPr>
              <w:jc w:val="center"/>
              <w:rPr>
                <w:sz w:val="20"/>
                <w:szCs w:val="20"/>
              </w:rPr>
            </w:pPr>
            <w:r w:rsidRPr="008669C3">
              <w:rPr>
                <w:sz w:val="20"/>
                <w:szCs w:val="20"/>
              </w:rPr>
              <w:t>-0.016***</w:t>
            </w:r>
          </w:p>
        </w:tc>
        <w:tc>
          <w:tcPr>
            <w:tcW w:w="847" w:type="pct"/>
            <w:tcBorders>
              <w:top w:val="nil"/>
              <w:left w:val="nil"/>
              <w:bottom w:val="nil"/>
              <w:right w:val="nil"/>
            </w:tcBorders>
            <w:shd w:val="clear" w:color="auto" w:fill="auto"/>
            <w:noWrap/>
            <w:vAlign w:val="bottom"/>
            <w:hideMark/>
          </w:tcPr>
          <w:p w14:paraId="2CF63E77" w14:textId="41744BF4" w:rsidR="00535F81" w:rsidRPr="008669C3" w:rsidRDefault="00535F81" w:rsidP="00535F81">
            <w:pPr>
              <w:jc w:val="center"/>
              <w:rPr>
                <w:sz w:val="20"/>
                <w:szCs w:val="20"/>
              </w:rPr>
            </w:pPr>
            <w:r w:rsidRPr="008669C3">
              <w:rPr>
                <w:sz w:val="20"/>
                <w:szCs w:val="20"/>
              </w:rPr>
              <w:t>-0.015***</w:t>
            </w:r>
          </w:p>
        </w:tc>
      </w:tr>
      <w:tr w:rsidR="00535F81" w:rsidRPr="008669C3" w14:paraId="67CF25ED"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5E460578" w14:textId="77777777" w:rsidR="00535F81" w:rsidRPr="008669C3" w:rsidRDefault="00535F81" w:rsidP="00535F81">
            <w:pPr>
              <w:jc w:val="center"/>
              <w:rPr>
                <w:sz w:val="20"/>
                <w:szCs w:val="20"/>
              </w:rPr>
            </w:pPr>
          </w:p>
        </w:tc>
        <w:tc>
          <w:tcPr>
            <w:tcW w:w="780" w:type="pct"/>
            <w:tcBorders>
              <w:top w:val="nil"/>
              <w:left w:val="nil"/>
              <w:bottom w:val="nil"/>
              <w:right w:val="nil"/>
            </w:tcBorders>
            <w:shd w:val="clear" w:color="auto" w:fill="auto"/>
            <w:noWrap/>
            <w:vAlign w:val="bottom"/>
            <w:hideMark/>
          </w:tcPr>
          <w:p w14:paraId="3F4CAE3A" w14:textId="062C28FB" w:rsidR="00535F81" w:rsidRPr="008669C3" w:rsidRDefault="00535F81" w:rsidP="00535F81">
            <w:pPr>
              <w:jc w:val="center"/>
              <w:rPr>
                <w:sz w:val="20"/>
                <w:szCs w:val="20"/>
              </w:rPr>
            </w:pPr>
            <w:r w:rsidRPr="008669C3">
              <w:rPr>
                <w:sz w:val="20"/>
                <w:szCs w:val="20"/>
              </w:rPr>
              <w:t>(0.006)</w:t>
            </w:r>
          </w:p>
        </w:tc>
        <w:tc>
          <w:tcPr>
            <w:tcW w:w="846" w:type="pct"/>
            <w:tcBorders>
              <w:top w:val="nil"/>
              <w:left w:val="nil"/>
              <w:bottom w:val="nil"/>
              <w:right w:val="nil"/>
            </w:tcBorders>
            <w:shd w:val="clear" w:color="auto" w:fill="auto"/>
            <w:noWrap/>
            <w:vAlign w:val="bottom"/>
            <w:hideMark/>
          </w:tcPr>
          <w:p w14:paraId="7BC4B48B" w14:textId="3E7ADD53" w:rsidR="00535F81" w:rsidRPr="008669C3" w:rsidRDefault="00535F81" w:rsidP="00535F81">
            <w:pPr>
              <w:jc w:val="center"/>
              <w:rPr>
                <w:sz w:val="20"/>
                <w:szCs w:val="20"/>
              </w:rPr>
            </w:pPr>
            <w:r w:rsidRPr="008669C3">
              <w:rPr>
                <w:sz w:val="20"/>
                <w:szCs w:val="20"/>
              </w:rPr>
              <w:t>(0.005)</w:t>
            </w:r>
          </w:p>
        </w:tc>
        <w:tc>
          <w:tcPr>
            <w:tcW w:w="162" w:type="pct"/>
            <w:tcBorders>
              <w:top w:val="nil"/>
              <w:left w:val="nil"/>
              <w:bottom w:val="nil"/>
              <w:right w:val="nil"/>
            </w:tcBorders>
            <w:shd w:val="clear" w:color="auto" w:fill="auto"/>
            <w:noWrap/>
            <w:vAlign w:val="bottom"/>
            <w:hideMark/>
          </w:tcPr>
          <w:p w14:paraId="444F31A8"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2D30C8EF" w14:textId="5C03DE7E" w:rsidR="00535F81" w:rsidRPr="008669C3" w:rsidRDefault="00535F81" w:rsidP="00535F81">
            <w:pPr>
              <w:jc w:val="center"/>
              <w:rPr>
                <w:sz w:val="20"/>
                <w:szCs w:val="20"/>
              </w:rPr>
            </w:pPr>
            <w:r w:rsidRPr="008669C3">
              <w:rPr>
                <w:sz w:val="20"/>
                <w:szCs w:val="20"/>
              </w:rPr>
              <w:t>(0.006)</w:t>
            </w:r>
          </w:p>
        </w:tc>
        <w:tc>
          <w:tcPr>
            <w:tcW w:w="847" w:type="pct"/>
            <w:tcBorders>
              <w:top w:val="nil"/>
              <w:left w:val="nil"/>
              <w:bottom w:val="nil"/>
              <w:right w:val="nil"/>
            </w:tcBorders>
            <w:shd w:val="clear" w:color="auto" w:fill="auto"/>
            <w:noWrap/>
            <w:vAlign w:val="bottom"/>
            <w:hideMark/>
          </w:tcPr>
          <w:p w14:paraId="43993691" w14:textId="6C0E1FA5" w:rsidR="00535F81" w:rsidRPr="008669C3" w:rsidRDefault="00535F81" w:rsidP="00535F81">
            <w:pPr>
              <w:jc w:val="center"/>
              <w:rPr>
                <w:sz w:val="20"/>
                <w:szCs w:val="20"/>
              </w:rPr>
            </w:pPr>
            <w:r w:rsidRPr="008669C3">
              <w:rPr>
                <w:sz w:val="20"/>
                <w:szCs w:val="20"/>
              </w:rPr>
              <w:t>(0.005)</w:t>
            </w:r>
          </w:p>
        </w:tc>
      </w:tr>
      <w:tr w:rsidR="00535F81" w:rsidRPr="008669C3" w14:paraId="723C933A"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10EED95B" w14:textId="77777777" w:rsidR="00535F81" w:rsidRPr="008669C3" w:rsidRDefault="00535F81" w:rsidP="00535F81">
            <w:pPr>
              <w:rPr>
                <w:iCs/>
                <w:sz w:val="20"/>
                <w:szCs w:val="20"/>
              </w:rPr>
            </w:pPr>
            <w:r w:rsidRPr="008669C3">
              <w:rPr>
                <w:iCs/>
                <w:sz w:val="20"/>
                <w:szCs w:val="20"/>
              </w:rPr>
              <w:t>Tenure</w:t>
            </w:r>
          </w:p>
        </w:tc>
        <w:tc>
          <w:tcPr>
            <w:tcW w:w="780" w:type="pct"/>
            <w:tcBorders>
              <w:top w:val="nil"/>
              <w:left w:val="nil"/>
              <w:bottom w:val="nil"/>
              <w:right w:val="nil"/>
            </w:tcBorders>
            <w:shd w:val="clear" w:color="auto" w:fill="auto"/>
            <w:noWrap/>
            <w:vAlign w:val="bottom"/>
            <w:hideMark/>
          </w:tcPr>
          <w:p w14:paraId="36152CE2" w14:textId="76DAC07F" w:rsidR="00535F81" w:rsidRPr="008669C3" w:rsidRDefault="00535F81" w:rsidP="00535F81">
            <w:pPr>
              <w:jc w:val="center"/>
              <w:rPr>
                <w:sz w:val="20"/>
                <w:szCs w:val="20"/>
              </w:rPr>
            </w:pPr>
            <w:r w:rsidRPr="008669C3">
              <w:rPr>
                <w:sz w:val="20"/>
                <w:szCs w:val="20"/>
              </w:rPr>
              <w:t>-0.018**</w:t>
            </w:r>
          </w:p>
        </w:tc>
        <w:tc>
          <w:tcPr>
            <w:tcW w:w="846" w:type="pct"/>
            <w:tcBorders>
              <w:top w:val="nil"/>
              <w:left w:val="nil"/>
              <w:bottom w:val="nil"/>
              <w:right w:val="nil"/>
            </w:tcBorders>
            <w:shd w:val="clear" w:color="auto" w:fill="auto"/>
            <w:noWrap/>
            <w:vAlign w:val="bottom"/>
            <w:hideMark/>
          </w:tcPr>
          <w:p w14:paraId="6567B61D" w14:textId="453D2815" w:rsidR="00535F81" w:rsidRPr="008669C3" w:rsidRDefault="00535F81" w:rsidP="00535F81">
            <w:pPr>
              <w:jc w:val="center"/>
              <w:rPr>
                <w:sz w:val="20"/>
                <w:szCs w:val="20"/>
              </w:rPr>
            </w:pPr>
            <w:r w:rsidRPr="008669C3">
              <w:rPr>
                <w:sz w:val="20"/>
                <w:szCs w:val="20"/>
              </w:rPr>
              <w:t>-0.029***</w:t>
            </w:r>
          </w:p>
        </w:tc>
        <w:tc>
          <w:tcPr>
            <w:tcW w:w="162" w:type="pct"/>
            <w:tcBorders>
              <w:top w:val="nil"/>
              <w:left w:val="nil"/>
              <w:bottom w:val="nil"/>
              <w:right w:val="nil"/>
            </w:tcBorders>
            <w:shd w:val="clear" w:color="auto" w:fill="auto"/>
            <w:noWrap/>
            <w:vAlign w:val="bottom"/>
            <w:hideMark/>
          </w:tcPr>
          <w:p w14:paraId="56C25279"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77E2C0EC" w14:textId="297A8D9B" w:rsidR="00535F81" w:rsidRPr="008669C3" w:rsidRDefault="00535F81" w:rsidP="00535F81">
            <w:pPr>
              <w:jc w:val="center"/>
              <w:rPr>
                <w:sz w:val="20"/>
                <w:szCs w:val="20"/>
              </w:rPr>
            </w:pPr>
            <w:r w:rsidRPr="008669C3">
              <w:rPr>
                <w:sz w:val="20"/>
                <w:szCs w:val="20"/>
              </w:rPr>
              <w:t>-0.018**</w:t>
            </w:r>
          </w:p>
        </w:tc>
        <w:tc>
          <w:tcPr>
            <w:tcW w:w="847" w:type="pct"/>
            <w:tcBorders>
              <w:top w:val="nil"/>
              <w:left w:val="nil"/>
              <w:bottom w:val="nil"/>
              <w:right w:val="nil"/>
            </w:tcBorders>
            <w:shd w:val="clear" w:color="auto" w:fill="auto"/>
            <w:noWrap/>
            <w:vAlign w:val="bottom"/>
            <w:hideMark/>
          </w:tcPr>
          <w:p w14:paraId="51101D30" w14:textId="0ED0EF7E" w:rsidR="00535F81" w:rsidRPr="008669C3" w:rsidRDefault="00535F81" w:rsidP="00535F81">
            <w:pPr>
              <w:jc w:val="center"/>
              <w:rPr>
                <w:sz w:val="20"/>
                <w:szCs w:val="20"/>
              </w:rPr>
            </w:pPr>
            <w:r w:rsidRPr="008669C3">
              <w:rPr>
                <w:sz w:val="20"/>
                <w:szCs w:val="20"/>
              </w:rPr>
              <w:t>-0.029***</w:t>
            </w:r>
          </w:p>
        </w:tc>
      </w:tr>
      <w:tr w:rsidR="00535F81" w:rsidRPr="008669C3" w14:paraId="524ECB61"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18E8FB47" w14:textId="77777777" w:rsidR="00535F81" w:rsidRPr="008669C3" w:rsidRDefault="00535F81" w:rsidP="00535F81">
            <w:pPr>
              <w:jc w:val="center"/>
              <w:rPr>
                <w:sz w:val="20"/>
                <w:szCs w:val="20"/>
              </w:rPr>
            </w:pPr>
          </w:p>
        </w:tc>
        <w:tc>
          <w:tcPr>
            <w:tcW w:w="780" w:type="pct"/>
            <w:tcBorders>
              <w:top w:val="nil"/>
              <w:left w:val="nil"/>
              <w:bottom w:val="nil"/>
              <w:right w:val="nil"/>
            </w:tcBorders>
            <w:shd w:val="clear" w:color="auto" w:fill="auto"/>
            <w:noWrap/>
            <w:vAlign w:val="bottom"/>
            <w:hideMark/>
          </w:tcPr>
          <w:p w14:paraId="3CFC9927" w14:textId="57E75F89" w:rsidR="00535F81" w:rsidRPr="008669C3" w:rsidRDefault="00535F81" w:rsidP="00535F81">
            <w:pPr>
              <w:jc w:val="center"/>
              <w:rPr>
                <w:sz w:val="20"/>
                <w:szCs w:val="20"/>
              </w:rPr>
            </w:pPr>
            <w:r w:rsidRPr="008669C3">
              <w:rPr>
                <w:sz w:val="20"/>
                <w:szCs w:val="20"/>
              </w:rPr>
              <w:t>(0.007)</w:t>
            </w:r>
          </w:p>
        </w:tc>
        <w:tc>
          <w:tcPr>
            <w:tcW w:w="846" w:type="pct"/>
            <w:tcBorders>
              <w:top w:val="nil"/>
              <w:left w:val="nil"/>
              <w:bottom w:val="nil"/>
              <w:right w:val="nil"/>
            </w:tcBorders>
            <w:shd w:val="clear" w:color="auto" w:fill="auto"/>
            <w:noWrap/>
            <w:vAlign w:val="bottom"/>
            <w:hideMark/>
          </w:tcPr>
          <w:p w14:paraId="418C3626" w14:textId="2231E967" w:rsidR="00535F81" w:rsidRPr="008669C3" w:rsidRDefault="00535F81" w:rsidP="00535F81">
            <w:pPr>
              <w:jc w:val="center"/>
              <w:rPr>
                <w:sz w:val="20"/>
                <w:szCs w:val="20"/>
              </w:rPr>
            </w:pPr>
            <w:r w:rsidRPr="008669C3">
              <w:rPr>
                <w:sz w:val="20"/>
                <w:szCs w:val="20"/>
              </w:rPr>
              <w:t>(0.006)</w:t>
            </w:r>
          </w:p>
        </w:tc>
        <w:tc>
          <w:tcPr>
            <w:tcW w:w="162" w:type="pct"/>
            <w:tcBorders>
              <w:top w:val="nil"/>
              <w:left w:val="nil"/>
              <w:bottom w:val="nil"/>
              <w:right w:val="nil"/>
            </w:tcBorders>
            <w:shd w:val="clear" w:color="auto" w:fill="auto"/>
            <w:noWrap/>
            <w:vAlign w:val="bottom"/>
            <w:hideMark/>
          </w:tcPr>
          <w:p w14:paraId="3B06267F"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75FFB60B" w14:textId="2F3D391A" w:rsidR="00535F81" w:rsidRPr="008669C3" w:rsidRDefault="00535F81" w:rsidP="00535F81">
            <w:pPr>
              <w:jc w:val="center"/>
              <w:rPr>
                <w:sz w:val="20"/>
                <w:szCs w:val="20"/>
              </w:rPr>
            </w:pPr>
            <w:r w:rsidRPr="008669C3">
              <w:rPr>
                <w:sz w:val="20"/>
                <w:szCs w:val="20"/>
              </w:rPr>
              <w:t>(0.008)</w:t>
            </w:r>
          </w:p>
        </w:tc>
        <w:tc>
          <w:tcPr>
            <w:tcW w:w="847" w:type="pct"/>
            <w:tcBorders>
              <w:top w:val="nil"/>
              <w:left w:val="nil"/>
              <w:bottom w:val="nil"/>
              <w:right w:val="nil"/>
            </w:tcBorders>
            <w:shd w:val="clear" w:color="auto" w:fill="auto"/>
            <w:noWrap/>
            <w:vAlign w:val="bottom"/>
            <w:hideMark/>
          </w:tcPr>
          <w:p w14:paraId="6DF7B104" w14:textId="38DF9D8B" w:rsidR="00535F81" w:rsidRPr="008669C3" w:rsidRDefault="00535F81" w:rsidP="00535F81">
            <w:pPr>
              <w:jc w:val="center"/>
              <w:rPr>
                <w:sz w:val="20"/>
                <w:szCs w:val="20"/>
              </w:rPr>
            </w:pPr>
            <w:r w:rsidRPr="008669C3">
              <w:rPr>
                <w:sz w:val="20"/>
                <w:szCs w:val="20"/>
              </w:rPr>
              <w:t>(0.006)</w:t>
            </w:r>
          </w:p>
        </w:tc>
      </w:tr>
      <w:tr w:rsidR="00535F81" w:rsidRPr="008669C3" w14:paraId="7061D154"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33DD3BDB" w14:textId="77777777" w:rsidR="00535F81" w:rsidRPr="008669C3" w:rsidRDefault="00535F81" w:rsidP="00535F81">
            <w:pPr>
              <w:rPr>
                <w:iCs/>
                <w:sz w:val="20"/>
                <w:szCs w:val="20"/>
              </w:rPr>
            </w:pPr>
            <w:r w:rsidRPr="008669C3">
              <w:rPr>
                <w:iCs/>
                <w:sz w:val="20"/>
                <w:szCs w:val="20"/>
              </w:rPr>
              <w:t>Female CEO</w:t>
            </w:r>
          </w:p>
        </w:tc>
        <w:tc>
          <w:tcPr>
            <w:tcW w:w="780" w:type="pct"/>
            <w:tcBorders>
              <w:top w:val="nil"/>
              <w:left w:val="nil"/>
              <w:bottom w:val="nil"/>
              <w:right w:val="nil"/>
            </w:tcBorders>
            <w:shd w:val="clear" w:color="auto" w:fill="auto"/>
            <w:noWrap/>
            <w:vAlign w:val="bottom"/>
            <w:hideMark/>
          </w:tcPr>
          <w:p w14:paraId="494DFE73" w14:textId="5771723E" w:rsidR="00535F81" w:rsidRPr="008669C3" w:rsidRDefault="00535F81" w:rsidP="00535F81">
            <w:pPr>
              <w:jc w:val="center"/>
              <w:rPr>
                <w:sz w:val="20"/>
                <w:szCs w:val="20"/>
              </w:rPr>
            </w:pPr>
            <w:r w:rsidRPr="008669C3">
              <w:rPr>
                <w:sz w:val="20"/>
                <w:szCs w:val="20"/>
              </w:rPr>
              <w:t>-0.182</w:t>
            </w:r>
          </w:p>
        </w:tc>
        <w:tc>
          <w:tcPr>
            <w:tcW w:w="846" w:type="pct"/>
            <w:tcBorders>
              <w:top w:val="nil"/>
              <w:left w:val="nil"/>
              <w:bottom w:val="nil"/>
              <w:right w:val="nil"/>
            </w:tcBorders>
            <w:shd w:val="clear" w:color="auto" w:fill="auto"/>
            <w:noWrap/>
            <w:vAlign w:val="bottom"/>
            <w:hideMark/>
          </w:tcPr>
          <w:p w14:paraId="50275CF7" w14:textId="32475CA2" w:rsidR="00535F81" w:rsidRPr="008669C3" w:rsidRDefault="00535F81" w:rsidP="00535F81">
            <w:pPr>
              <w:jc w:val="center"/>
              <w:rPr>
                <w:sz w:val="20"/>
                <w:szCs w:val="20"/>
              </w:rPr>
            </w:pPr>
            <w:r w:rsidRPr="008669C3">
              <w:rPr>
                <w:sz w:val="20"/>
                <w:szCs w:val="20"/>
              </w:rPr>
              <w:t>0.135</w:t>
            </w:r>
          </w:p>
        </w:tc>
        <w:tc>
          <w:tcPr>
            <w:tcW w:w="162" w:type="pct"/>
            <w:tcBorders>
              <w:top w:val="nil"/>
              <w:left w:val="nil"/>
              <w:bottom w:val="nil"/>
              <w:right w:val="nil"/>
            </w:tcBorders>
            <w:shd w:val="clear" w:color="auto" w:fill="auto"/>
            <w:noWrap/>
            <w:vAlign w:val="bottom"/>
            <w:hideMark/>
          </w:tcPr>
          <w:p w14:paraId="11264BBF"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053493F7" w14:textId="433B234E" w:rsidR="00535F81" w:rsidRPr="008669C3" w:rsidRDefault="00535F81" w:rsidP="00535F81">
            <w:pPr>
              <w:jc w:val="center"/>
              <w:rPr>
                <w:sz w:val="20"/>
                <w:szCs w:val="20"/>
              </w:rPr>
            </w:pPr>
            <w:r w:rsidRPr="008669C3">
              <w:rPr>
                <w:sz w:val="20"/>
                <w:szCs w:val="20"/>
              </w:rPr>
              <w:t>-0.186</w:t>
            </w:r>
          </w:p>
        </w:tc>
        <w:tc>
          <w:tcPr>
            <w:tcW w:w="847" w:type="pct"/>
            <w:tcBorders>
              <w:top w:val="nil"/>
              <w:left w:val="nil"/>
              <w:bottom w:val="nil"/>
              <w:right w:val="nil"/>
            </w:tcBorders>
            <w:shd w:val="clear" w:color="auto" w:fill="auto"/>
            <w:noWrap/>
            <w:vAlign w:val="bottom"/>
            <w:hideMark/>
          </w:tcPr>
          <w:p w14:paraId="4D1D1956" w14:textId="287F98D9" w:rsidR="00535F81" w:rsidRPr="008669C3" w:rsidRDefault="00535F81" w:rsidP="00535F81">
            <w:pPr>
              <w:jc w:val="center"/>
              <w:rPr>
                <w:sz w:val="20"/>
                <w:szCs w:val="20"/>
              </w:rPr>
            </w:pPr>
            <w:r w:rsidRPr="008669C3">
              <w:rPr>
                <w:sz w:val="20"/>
                <w:szCs w:val="20"/>
              </w:rPr>
              <w:t>0.131</w:t>
            </w:r>
          </w:p>
        </w:tc>
      </w:tr>
      <w:tr w:rsidR="00535F81" w:rsidRPr="008669C3" w14:paraId="1DDBCE33"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73A88297" w14:textId="77777777" w:rsidR="00535F81" w:rsidRPr="008669C3" w:rsidRDefault="00535F81" w:rsidP="00535F81">
            <w:pPr>
              <w:jc w:val="center"/>
              <w:rPr>
                <w:sz w:val="20"/>
                <w:szCs w:val="20"/>
              </w:rPr>
            </w:pPr>
          </w:p>
        </w:tc>
        <w:tc>
          <w:tcPr>
            <w:tcW w:w="780" w:type="pct"/>
            <w:tcBorders>
              <w:top w:val="nil"/>
              <w:left w:val="nil"/>
              <w:bottom w:val="nil"/>
              <w:right w:val="nil"/>
            </w:tcBorders>
            <w:shd w:val="clear" w:color="auto" w:fill="auto"/>
            <w:noWrap/>
            <w:vAlign w:val="bottom"/>
            <w:hideMark/>
          </w:tcPr>
          <w:p w14:paraId="22A6DD75" w14:textId="198F891D" w:rsidR="00535F81" w:rsidRPr="008669C3" w:rsidRDefault="00535F81" w:rsidP="00535F81">
            <w:pPr>
              <w:jc w:val="center"/>
              <w:rPr>
                <w:sz w:val="20"/>
                <w:szCs w:val="20"/>
              </w:rPr>
            </w:pPr>
            <w:r w:rsidRPr="008669C3">
              <w:rPr>
                <w:sz w:val="20"/>
                <w:szCs w:val="20"/>
              </w:rPr>
              <w:t>(0.212)</w:t>
            </w:r>
          </w:p>
        </w:tc>
        <w:tc>
          <w:tcPr>
            <w:tcW w:w="846" w:type="pct"/>
            <w:tcBorders>
              <w:top w:val="nil"/>
              <w:left w:val="nil"/>
              <w:bottom w:val="nil"/>
              <w:right w:val="nil"/>
            </w:tcBorders>
            <w:shd w:val="clear" w:color="auto" w:fill="auto"/>
            <w:noWrap/>
            <w:vAlign w:val="bottom"/>
            <w:hideMark/>
          </w:tcPr>
          <w:p w14:paraId="768A9C0E" w14:textId="3AAA1D12" w:rsidR="00535F81" w:rsidRPr="008669C3" w:rsidRDefault="00535F81" w:rsidP="00535F81">
            <w:pPr>
              <w:jc w:val="center"/>
              <w:rPr>
                <w:sz w:val="20"/>
                <w:szCs w:val="20"/>
              </w:rPr>
            </w:pPr>
            <w:r w:rsidRPr="008669C3">
              <w:rPr>
                <w:sz w:val="20"/>
                <w:szCs w:val="20"/>
              </w:rPr>
              <w:t>(0.157)</w:t>
            </w:r>
          </w:p>
        </w:tc>
        <w:tc>
          <w:tcPr>
            <w:tcW w:w="162" w:type="pct"/>
            <w:tcBorders>
              <w:top w:val="nil"/>
              <w:left w:val="nil"/>
              <w:bottom w:val="nil"/>
              <w:right w:val="nil"/>
            </w:tcBorders>
            <w:shd w:val="clear" w:color="auto" w:fill="auto"/>
            <w:noWrap/>
            <w:vAlign w:val="bottom"/>
            <w:hideMark/>
          </w:tcPr>
          <w:p w14:paraId="3E91BB06"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77C0AB6B" w14:textId="075DC91B" w:rsidR="00535F81" w:rsidRPr="008669C3" w:rsidRDefault="00535F81" w:rsidP="00535F81">
            <w:pPr>
              <w:jc w:val="center"/>
              <w:rPr>
                <w:sz w:val="20"/>
                <w:szCs w:val="20"/>
              </w:rPr>
            </w:pPr>
            <w:r w:rsidRPr="008669C3">
              <w:rPr>
                <w:sz w:val="20"/>
                <w:szCs w:val="20"/>
              </w:rPr>
              <w:t>(0.213)</w:t>
            </w:r>
          </w:p>
        </w:tc>
        <w:tc>
          <w:tcPr>
            <w:tcW w:w="847" w:type="pct"/>
            <w:tcBorders>
              <w:top w:val="nil"/>
              <w:left w:val="nil"/>
              <w:bottom w:val="nil"/>
              <w:right w:val="nil"/>
            </w:tcBorders>
            <w:shd w:val="clear" w:color="auto" w:fill="auto"/>
            <w:noWrap/>
            <w:vAlign w:val="bottom"/>
            <w:hideMark/>
          </w:tcPr>
          <w:p w14:paraId="357D2AB2" w14:textId="693E79CF" w:rsidR="00535F81" w:rsidRPr="008669C3" w:rsidRDefault="00535F81" w:rsidP="00535F81">
            <w:pPr>
              <w:jc w:val="center"/>
              <w:rPr>
                <w:sz w:val="20"/>
                <w:szCs w:val="20"/>
              </w:rPr>
            </w:pPr>
            <w:r w:rsidRPr="008669C3">
              <w:rPr>
                <w:sz w:val="20"/>
                <w:szCs w:val="20"/>
              </w:rPr>
              <w:t>(0.157)</w:t>
            </w:r>
          </w:p>
        </w:tc>
      </w:tr>
      <w:tr w:rsidR="00535F81" w:rsidRPr="008669C3" w14:paraId="51FEC538"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148244B6" w14:textId="77777777" w:rsidR="00535F81" w:rsidRPr="008669C3" w:rsidRDefault="00535F81" w:rsidP="00535F81">
            <w:pPr>
              <w:rPr>
                <w:iCs/>
                <w:sz w:val="20"/>
                <w:szCs w:val="20"/>
              </w:rPr>
            </w:pPr>
            <w:r w:rsidRPr="008669C3">
              <w:rPr>
                <w:iCs/>
                <w:sz w:val="20"/>
                <w:szCs w:val="20"/>
              </w:rPr>
              <w:t>Ln(1+Delta)</w:t>
            </w:r>
          </w:p>
        </w:tc>
        <w:tc>
          <w:tcPr>
            <w:tcW w:w="780" w:type="pct"/>
            <w:tcBorders>
              <w:top w:val="nil"/>
              <w:left w:val="nil"/>
              <w:bottom w:val="nil"/>
              <w:right w:val="nil"/>
            </w:tcBorders>
            <w:shd w:val="clear" w:color="auto" w:fill="auto"/>
            <w:noWrap/>
            <w:vAlign w:val="bottom"/>
            <w:hideMark/>
          </w:tcPr>
          <w:p w14:paraId="6492A6D9" w14:textId="0B34535A" w:rsidR="00535F81" w:rsidRPr="008669C3" w:rsidRDefault="00535F81" w:rsidP="00535F81">
            <w:pPr>
              <w:jc w:val="center"/>
              <w:rPr>
                <w:sz w:val="20"/>
                <w:szCs w:val="20"/>
              </w:rPr>
            </w:pPr>
            <w:r w:rsidRPr="008669C3">
              <w:rPr>
                <w:sz w:val="20"/>
                <w:szCs w:val="20"/>
              </w:rPr>
              <w:t>0.403***</w:t>
            </w:r>
          </w:p>
        </w:tc>
        <w:tc>
          <w:tcPr>
            <w:tcW w:w="846" w:type="pct"/>
            <w:tcBorders>
              <w:top w:val="nil"/>
              <w:left w:val="nil"/>
              <w:bottom w:val="nil"/>
              <w:right w:val="nil"/>
            </w:tcBorders>
            <w:shd w:val="clear" w:color="auto" w:fill="auto"/>
            <w:noWrap/>
            <w:vAlign w:val="bottom"/>
            <w:hideMark/>
          </w:tcPr>
          <w:p w14:paraId="6917BD87" w14:textId="323DF735" w:rsidR="00535F81" w:rsidRPr="008669C3" w:rsidRDefault="00535F81" w:rsidP="00535F81">
            <w:pPr>
              <w:jc w:val="center"/>
              <w:rPr>
                <w:sz w:val="20"/>
                <w:szCs w:val="20"/>
              </w:rPr>
            </w:pPr>
            <w:r w:rsidRPr="008669C3">
              <w:rPr>
                <w:sz w:val="20"/>
                <w:szCs w:val="20"/>
              </w:rPr>
              <w:t>0.292***</w:t>
            </w:r>
          </w:p>
        </w:tc>
        <w:tc>
          <w:tcPr>
            <w:tcW w:w="162" w:type="pct"/>
            <w:tcBorders>
              <w:top w:val="nil"/>
              <w:left w:val="nil"/>
              <w:bottom w:val="nil"/>
              <w:right w:val="nil"/>
            </w:tcBorders>
            <w:shd w:val="clear" w:color="auto" w:fill="auto"/>
            <w:noWrap/>
            <w:vAlign w:val="bottom"/>
            <w:hideMark/>
          </w:tcPr>
          <w:p w14:paraId="4ECED70F"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701D2D51" w14:textId="01B9A44B" w:rsidR="00535F81" w:rsidRPr="008669C3" w:rsidRDefault="00535F81" w:rsidP="00535F81">
            <w:pPr>
              <w:jc w:val="center"/>
              <w:rPr>
                <w:sz w:val="20"/>
                <w:szCs w:val="20"/>
              </w:rPr>
            </w:pPr>
            <w:r w:rsidRPr="008669C3">
              <w:rPr>
                <w:sz w:val="20"/>
                <w:szCs w:val="20"/>
              </w:rPr>
              <w:t>0.402***</w:t>
            </w:r>
          </w:p>
        </w:tc>
        <w:tc>
          <w:tcPr>
            <w:tcW w:w="847" w:type="pct"/>
            <w:tcBorders>
              <w:top w:val="nil"/>
              <w:left w:val="nil"/>
              <w:bottom w:val="nil"/>
              <w:right w:val="nil"/>
            </w:tcBorders>
            <w:shd w:val="clear" w:color="auto" w:fill="auto"/>
            <w:noWrap/>
            <w:vAlign w:val="bottom"/>
            <w:hideMark/>
          </w:tcPr>
          <w:p w14:paraId="2A607895" w14:textId="4492C76B" w:rsidR="00535F81" w:rsidRPr="008669C3" w:rsidRDefault="00535F81" w:rsidP="00535F81">
            <w:pPr>
              <w:jc w:val="center"/>
              <w:rPr>
                <w:sz w:val="20"/>
                <w:szCs w:val="20"/>
              </w:rPr>
            </w:pPr>
            <w:r w:rsidRPr="008669C3">
              <w:rPr>
                <w:sz w:val="20"/>
                <w:szCs w:val="20"/>
              </w:rPr>
              <w:t>0.291***</w:t>
            </w:r>
          </w:p>
        </w:tc>
      </w:tr>
      <w:tr w:rsidR="00535F81" w:rsidRPr="008669C3" w14:paraId="78513184"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35E0CE0F" w14:textId="77777777" w:rsidR="00535F81" w:rsidRPr="008669C3" w:rsidRDefault="00535F81" w:rsidP="00535F81">
            <w:pPr>
              <w:jc w:val="center"/>
              <w:rPr>
                <w:sz w:val="20"/>
                <w:szCs w:val="20"/>
              </w:rPr>
            </w:pPr>
          </w:p>
        </w:tc>
        <w:tc>
          <w:tcPr>
            <w:tcW w:w="780" w:type="pct"/>
            <w:tcBorders>
              <w:top w:val="nil"/>
              <w:left w:val="nil"/>
              <w:bottom w:val="nil"/>
              <w:right w:val="nil"/>
            </w:tcBorders>
            <w:shd w:val="clear" w:color="auto" w:fill="auto"/>
            <w:noWrap/>
            <w:vAlign w:val="bottom"/>
            <w:hideMark/>
          </w:tcPr>
          <w:p w14:paraId="0C4DF1B0" w14:textId="69812620" w:rsidR="00535F81" w:rsidRPr="008669C3" w:rsidRDefault="00535F81" w:rsidP="00535F81">
            <w:pPr>
              <w:jc w:val="center"/>
              <w:rPr>
                <w:sz w:val="20"/>
                <w:szCs w:val="20"/>
              </w:rPr>
            </w:pPr>
            <w:r w:rsidRPr="008669C3">
              <w:rPr>
                <w:sz w:val="20"/>
                <w:szCs w:val="20"/>
              </w:rPr>
              <w:t>(0.040)</w:t>
            </w:r>
          </w:p>
        </w:tc>
        <w:tc>
          <w:tcPr>
            <w:tcW w:w="846" w:type="pct"/>
            <w:tcBorders>
              <w:top w:val="nil"/>
              <w:left w:val="nil"/>
              <w:bottom w:val="nil"/>
              <w:right w:val="nil"/>
            </w:tcBorders>
            <w:shd w:val="clear" w:color="auto" w:fill="auto"/>
            <w:noWrap/>
            <w:vAlign w:val="bottom"/>
            <w:hideMark/>
          </w:tcPr>
          <w:p w14:paraId="253DB76B" w14:textId="1C939EB3" w:rsidR="00535F81" w:rsidRPr="008669C3" w:rsidRDefault="00535F81" w:rsidP="00535F81">
            <w:pPr>
              <w:jc w:val="center"/>
              <w:rPr>
                <w:sz w:val="20"/>
                <w:szCs w:val="20"/>
              </w:rPr>
            </w:pPr>
            <w:r w:rsidRPr="008669C3">
              <w:rPr>
                <w:sz w:val="20"/>
                <w:szCs w:val="20"/>
              </w:rPr>
              <w:t>(0.035)</w:t>
            </w:r>
          </w:p>
        </w:tc>
        <w:tc>
          <w:tcPr>
            <w:tcW w:w="162" w:type="pct"/>
            <w:tcBorders>
              <w:top w:val="nil"/>
              <w:left w:val="nil"/>
              <w:bottom w:val="nil"/>
              <w:right w:val="nil"/>
            </w:tcBorders>
            <w:shd w:val="clear" w:color="auto" w:fill="auto"/>
            <w:noWrap/>
            <w:vAlign w:val="bottom"/>
            <w:hideMark/>
          </w:tcPr>
          <w:p w14:paraId="4BB24C7A"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122CBE89" w14:textId="2867CEF0" w:rsidR="00535F81" w:rsidRPr="008669C3" w:rsidRDefault="00535F81" w:rsidP="00535F81">
            <w:pPr>
              <w:jc w:val="center"/>
              <w:rPr>
                <w:sz w:val="20"/>
                <w:szCs w:val="20"/>
              </w:rPr>
            </w:pPr>
            <w:r w:rsidRPr="008669C3">
              <w:rPr>
                <w:sz w:val="20"/>
                <w:szCs w:val="20"/>
              </w:rPr>
              <w:t>(0.040)</w:t>
            </w:r>
          </w:p>
        </w:tc>
        <w:tc>
          <w:tcPr>
            <w:tcW w:w="847" w:type="pct"/>
            <w:tcBorders>
              <w:top w:val="nil"/>
              <w:left w:val="nil"/>
              <w:bottom w:val="nil"/>
              <w:right w:val="nil"/>
            </w:tcBorders>
            <w:shd w:val="clear" w:color="auto" w:fill="auto"/>
            <w:noWrap/>
            <w:vAlign w:val="bottom"/>
            <w:hideMark/>
          </w:tcPr>
          <w:p w14:paraId="59965BEB" w14:textId="4461A306" w:rsidR="00535F81" w:rsidRPr="008669C3" w:rsidRDefault="00535F81" w:rsidP="00535F81">
            <w:pPr>
              <w:jc w:val="center"/>
              <w:rPr>
                <w:sz w:val="20"/>
                <w:szCs w:val="20"/>
              </w:rPr>
            </w:pPr>
            <w:r w:rsidRPr="008669C3">
              <w:rPr>
                <w:sz w:val="20"/>
                <w:szCs w:val="20"/>
              </w:rPr>
              <w:t>(0.035)</w:t>
            </w:r>
          </w:p>
        </w:tc>
      </w:tr>
      <w:tr w:rsidR="00535F81" w:rsidRPr="008669C3" w14:paraId="0613C7FC"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5DE58B6A" w14:textId="77777777" w:rsidR="00535F81" w:rsidRPr="008669C3" w:rsidRDefault="00535F81" w:rsidP="00535F81">
            <w:pPr>
              <w:rPr>
                <w:iCs/>
                <w:sz w:val="20"/>
                <w:szCs w:val="20"/>
              </w:rPr>
            </w:pPr>
            <w:r w:rsidRPr="008669C3">
              <w:rPr>
                <w:iCs/>
                <w:sz w:val="20"/>
                <w:szCs w:val="20"/>
              </w:rPr>
              <w:t>Ln(Total pay)</w:t>
            </w:r>
          </w:p>
        </w:tc>
        <w:tc>
          <w:tcPr>
            <w:tcW w:w="780" w:type="pct"/>
            <w:tcBorders>
              <w:top w:val="nil"/>
              <w:left w:val="nil"/>
              <w:bottom w:val="nil"/>
              <w:right w:val="nil"/>
            </w:tcBorders>
            <w:shd w:val="clear" w:color="auto" w:fill="auto"/>
            <w:noWrap/>
            <w:vAlign w:val="bottom"/>
            <w:hideMark/>
          </w:tcPr>
          <w:p w14:paraId="4A224217" w14:textId="5C94EC19" w:rsidR="00535F81" w:rsidRPr="008669C3" w:rsidRDefault="00535F81" w:rsidP="00535F81">
            <w:pPr>
              <w:jc w:val="center"/>
              <w:rPr>
                <w:sz w:val="20"/>
                <w:szCs w:val="20"/>
              </w:rPr>
            </w:pPr>
            <w:r w:rsidRPr="008669C3">
              <w:rPr>
                <w:sz w:val="20"/>
                <w:szCs w:val="20"/>
              </w:rPr>
              <w:t>0.083*</w:t>
            </w:r>
          </w:p>
        </w:tc>
        <w:tc>
          <w:tcPr>
            <w:tcW w:w="846" w:type="pct"/>
            <w:tcBorders>
              <w:top w:val="nil"/>
              <w:left w:val="nil"/>
              <w:bottom w:val="nil"/>
              <w:right w:val="nil"/>
            </w:tcBorders>
            <w:shd w:val="clear" w:color="auto" w:fill="auto"/>
            <w:noWrap/>
            <w:vAlign w:val="bottom"/>
            <w:hideMark/>
          </w:tcPr>
          <w:p w14:paraId="1F4E4B5E" w14:textId="21C7C72E" w:rsidR="00535F81" w:rsidRPr="008669C3" w:rsidRDefault="00535F81" w:rsidP="00535F81">
            <w:pPr>
              <w:jc w:val="center"/>
              <w:rPr>
                <w:sz w:val="20"/>
                <w:szCs w:val="20"/>
              </w:rPr>
            </w:pPr>
            <w:r w:rsidRPr="008669C3">
              <w:rPr>
                <w:sz w:val="20"/>
                <w:szCs w:val="20"/>
              </w:rPr>
              <w:t>0.013</w:t>
            </w:r>
          </w:p>
        </w:tc>
        <w:tc>
          <w:tcPr>
            <w:tcW w:w="162" w:type="pct"/>
            <w:tcBorders>
              <w:top w:val="nil"/>
              <w:left w:val="nil"/>
              <w:bottom w:val="nil"/>
              <w:right w:val="nil"/>
            </w:tcBorders>
            <w:shd w:val="clear" w:color="auto" w:fill="auto"/>
            <w:noWrap/>
            <w:vAlign w:val="bottom"/>
            <w:hideMark/>
          </w:tcPr>
          <w:p w14:paraId="19AE14EA"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46651E96" w14:textId="57F8698E" w:rsidR="00535F81" w:rsidRPr="008669C3" w:rsidRDefault="00535F81" w:rsidP="00535F81">
            <w:pPr>
              <w:jc w:val="center"/>
              <w:rPr>
                <w:sz w:val="20"/>
                <w:szCs w:val="20"/>
              </w:rPr>
            </w:pPr>
            <w:r w:rsidRPr="008669C3">
              <w:rPr>
                <w:sz w:val="20"/>
                <w:szCs w:val="20"/>
              </w:rPr>
              <w:t>0.084*</w:t>
            </w:r>
          </w:p>
        </w:tc>
        <w:tc>
          <w:tcPr>
            <w:tcW w:w="847" w:type="pct"/>
            <w:tcBorders>
              <w:top w:val="nil"/>
              <w:left w:val="nil"/>
              <w:bottom w:val="nil"/>
              <w:right w:val="nil"/>
            </w:tcBorders>
            <w:shd w:val="clear" w:color="auto" w:fill="auto"/>
            <w:noWrap/>
            <w:vAlign w:val="bottom"/>
            <w:hideMark/>
          </w:tcPr>
          <w:p w14:paraId="30534892" w14:textId="5757457E" w:rsidR="00535F81" w:rsidRPr="008669C3" w:rsidRDefault="00535F81" w:rsidP="00535F81">
            <w:pPr>
              <w:jc w:val="center"/>
              <w:rPr>
                <w:sz w:val="20"/>
                <w:szCs w:val="20"/>
              </w:rPr>
            </w:pPr>
            <w:r w:rsidRPr="008669C3">
              <w:rPr>
                <w:sz w:val="20"/>
                <w:szCs w:val="20"/>
              </w:rPr>
              <w:t>0.014</w:t>
            </w:r>
          </w:p>
        </w:tc>
      </w:tr>
      <w:tr w:rsidR="00535F81" w:rsidRPr="008669C3" w14:paraId="3319B978"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3FEBB1D7" w14:textId="77777777" w:rsidR="00535F81" w:rsidRPr="008669C3" w:rsidRDefault="00535F81" w:rsidP="00535F81">
            <w:pPr>
              <w:jc w:val="center"/>
              <w:rPr>
                <w:sz w:val="20"/>
                <w:szCs w:val="20"/>
              </w:rPr>
            </w:pPr>
          </w:p>
        </w:tc>
        <w:tc>
          <w:tcPr>
            <w:tcW w:w="780" w:type="pct"/>
            <w:tcBorders>
              <w:top w:val="nil"/>
              <w:left w:val="nil"/>
              <w:bottom w:val="nil"/>
              <w:right w:val="nil"/>
            </w:tcBorders>
            <w:shd w:val="clear" w:color="auto" w:fill="auto"/>
            <w:noWrap/>
            <w:vAlign w:val="bottom"/>
            <w:hideMark/>
          </w:tcPr>
          <w:p w14:paraId="50124DC9" w14:textId="2736FC78" w:rsidR="00535F81" w:rsidRPr="008669C3" w:rsidRDefault="00535F81" w:rsidP="00535F81">
            <w:pPr>
              <w:jc w:val="center"/>
              <w:rPr>
                <w:sz w:val="20"/>
                <w:szCs w:val="20"/>
              </w:rPr>
            </w:pPr>
            <w:r w:rsidRPr="008669C3">
              <w:rPr>
                <w:sz w:val="20"/>
                <w:szCs w:val="20"/>
              </w:rPr>
              <w:t>(0.047)</w:t>
            </w:r>
          </w:p>
        </w:tc>
        <w:tc>
          <w:tcPr>
            <w:tcW w:w="846" w:type="pct"/>
            <w:tcBorders>
              <w:top w:val="nil"/>
              <w:left w:val="nil"/>
              <w:bottom w:val="nil"/>
              <w:right w:val="nil"/>
            </w:tcBorders>
            <w:shd w:val="clear" w:color="auto" w:fill="auto"/>
            <w:noWrap/>
            <w:vAlign w:val="bottom"/>
            <w:hideMark/>
          </w:tcPr>
          <w:p w14:paraId="693EF933" w14:textId="6BE51680" w:rsidR="00535F81" w:rsidRPr="008669C3" w:rsidRDefault="00535F81" w:rsidP="00535F81">
            <w:pPr>
              <w:jc w:val="center"/>
              <w:rPr>
                <w:sz w:val="20"/>
                <w:szCs w:val="20"/>
              </w:rPr>
            </w:pPr>
            <w:r w:rsidRPr="008669C3">
              <w:rPr>
                <w:sz w:val="20"/>
                <w:szCs w:val="20"/>
              </w:rPr>
              <w:t>(0.038)</w:t>
            </w:r>
          </w:p>
        </w:tc>
        <w:tc>
          <w:tcPr>
            <w:tcW w:w="162" w:type="pct"/>
            <w:tcBorders>
              <w:top w:val="nil"/>
              <w:left w:val="nil"/>
              <w:bottom w:val="nil"/>
              <w:right w:val="nil"/>
            </w:tcBorders>
            <w:shd w:val="clear" w:color="auto" w:fill="auto"/>
            <w:noWrap/>
            <w:vAlign w:val="bottom"/>
            <w:hideMark/>
          </w:tcPr>
          <w:p w14:paraId="2FEB09EC"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66E867E4" w14:textId="79D8000A" w:rsidR="00535F81" w:rsidRPr="008669C3" w:rsidRDefault="00535F81" w:rsidP="00535F81">
            <w:pPr>
              <w:jc w:val="center"/>
              <w:rPr>
                <w:sz w:val="20"/>
                <w:szCs w:val="20"/>
              </w:rPr>
            </w:pPr>
            <w:r w:rsidRPr="008669C3">
              <w:rPr>
                <w:sz w:val="20"/>
                <w:szCs w:val="20"/>
              </w:rPr>
              <w:t>(0.047)</w:t>
            </w:r>
          </w:p>
        </w:tc>
        <w:tc>
          <w:tcPr>
            <w:tcW w:w="847" w:type="pct"/>
            <w:tcBorders>
              <w:top w:val="nil"/>
              <w:left w:val="nil"/>
              <w:bottom w:val="nil"/>
              <w:right w:val="nil"/>
            </w:tcBorders>
            <w:shd w:val="clear" w:color="auto" w:fill="auto"/>
            <w:noWrap/>
            <w:vAlign w:val="bottom"/>
            <w:hideMark/>
          </w:tcPr>
          <w:p w14:paraId="7CE688C4" w14:textId="35A44BF1" w:rsidR="00535F81" w:rsidRPr="008669C3" w:rsidRDefault="00535F81" w:rsidP="00535F81">
            <w:pPr>
              <w:jc w:val="center"/>
              <w:rPr>
                <w:sz w:val="20"/>
                <w:szCs w:val="20"/>
              </w:rPr>
            </w:pPr>
            <w:r w:rsidRPr="008669C3">
              <w:rPr>
                <w:sz w:val="20"/>
                <w:szCs w:val="20"/>
              </w:rPr>
              <w:t>(0.038)</w:t>
            </w:r>
          </w:p>
        </w:tc>
      </w:tr>
      <w:tr w:rsidR="00535F81" w:rsidRPr="008669C3" w14:paraId="4D47BD65"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7CED0A94" w14:textId="77777777" w:rsidR="00535F81" w:rsidRPr="008669C3" w:rsidRDefault="00535F81" w:rsidP="00535F81">
            <w:pPr>
              <w:rPr>
                <w:iCs/>
                <w:sz w:val="20"/>
                <w:szCs w:val="20"/>
              </w:rPr>
            </w:pPr>
            <w:r w:rsidRPr="008669C3">
              <w:rPr>
                <w:iCs/>
                <w:sz w:val="20"/>
                <w:szCs w:val="20"/>
              </w:rPr>
              <w:lastRenderedPageBreak/>
              <w:t>Equity mix</w:t>
            </w:r>
          </w:p>
        </w:tc>
        <w:tc>
          <w:tcPr>
            <w:tcW w:w="780" w:type="pct"/>
            <w:tcBorders>
              <w:top w:val="nil"/>
              <w:left w:val="nil"/>
              <w:bottom w:val="nil"/>
              <w:right w:val="nil"/>
            </w:tcBorders>
            <w:shd w:val="clear" w:color="auto" w:fill="auto"/>
            <w:noWrap/>
            <w:vAlign w:val="bottom"/>
            <w:hideMark/>
          </w:tcPr>
          <w:p w14:paraId="2CBBD5BD" w14:textId="1B7813D6" w:rsidR="00535F81" w:rsidRPr="008669C3" w:rsidRDefault="00535F81" w:rsidP="00535F81">
            <w:pPr>
              <w:jc w:val="center"/>
              <w:rPr>
                <w:sz w:val="20"/>
                <w:szCs w:val="20"/>
              </w:rPr>
            </w:pPr>
            <w:r w:rsidRPr="008669C3">
              <w:rPr>
                <w:sz w:val="20"/>
                <w:szCs w:val="20"/>
              </w:rPr>
              <w:t>0.031</w:t>
            </w:r>
          </w:p>
        </w:tc>
        <w:tc>
          <w:tcPr>
            <w:tcW w:w="846" w:type="pct"/>
            <w:tcBorders>
              <w:top w:val="nil"/>
              <w:left w:val="nil"/>
              <w:bottom w:val="nil"/>
              <w:right w:val="nil"/>
            </w:tcBorders>
            <w:shd w:val="clear" w:color="auto" w:fill="auto"/>
            <w:noWrap/>
            <w:vAlign w:val="bottom"/>
            <w:hideMark/>
          </w:tcPr>
          <w:p w14:paraId="3D0384CF" w14:textId="0457ACD9" w:rsidR="00535F81" w:rsidRPr="008669C3" w:rsidRDefault="00535F81" w:rsidP="00535F81">
            <w:pPr>
              <w:jc w:val="center"/>
              <w:rPr>
                <w:sz w:val="20"/>
                <w:szCs w:val="20"/>
              </w:rPr>
            </w:pPr>
            <w:r w:rsidRPr="008669C3">
              <w:rPr>
                <w:sz w:val="20"/>
                <w:szCs w:val="20"/>
              </w:rPr>
              <w:t>0.044</w:t>
            </w:r>
          </w:p>
        </w:tc>
        <w:tc>
          <w:tcPr>
            <w:tcW w:w="162" w:type="pct"/>
            <w:tcBorders>
              <w:top w:val="nil"/>
              <w:left w:val="nil"/>
              <w:bottom w:val="nil"/>
              <w:right w:val="nil"/>
            </w:tcBorders>
            <w:shd w:val="clear" w:color="auto" w:fill="auto"/>
            <w:noWrap/>
            <w:vAlign w:val="bottom"/>
            <w:hideMark/>
          </w:tcPr>
          <w:p w14:paraId="4B0AC82C"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77AE2B0E" w14:textId="25E1E0CE" w:rsidR="00535F81" w:rsidRPr="008669C3" w:rsidRDefault="00535F81" w:rsidP="00535F81">
            <w:pPr>
              <w:jc w:val="center"/>
              <w:rPr>
                <w:sz w:val="20"/>
                <w:szCs w:val="20"/>
              </w:rPr>
            </w:pPr>
            <w:r w:rsidRPr="008669C3">
              <w:rPr>
                <w:sz w:val="20"/>
                <w:szCs w:val="20"/>
              </w:rPr>
              <w:t>0.030</w:t>
            </w:r>
          </w:p>
        </w:tc>
        <w:tc>
          <w:tcPr>
            <w:tcW w:w="847" w:type="pct"/>
            <w:tcBorders>
              <w:top w:val="nil"/>
              <w:left w:val="nil"/>
              <w:bottom w:val="nil"/>
              <w:right w:val="nil"/>
            </w:tcBorders>
            <w:shd w:val="clear" w:color="auto" w:fill="auto"/>
            <w:noWrap/>
            <w:vAlign w:val="bottom"/>
            <w:hideMark/>
          </w:tcPr>
          <w:p w14:paraId="6FB6A794" w14:textId="17D7F91C" w:rsidR="00535F81" w:rsidRPr="008669C3" w:rsidRDefault="00535F81" w:rsidP="00535F81">
            <w:pPr>
              <w:jc w:val="center"/>
              <w:rPr>
                <w:sz w:val="20"/>
                <w:szCs w:val="20"/>
              </w:rPr>
            </w:pPr>
            <w:r w:rsidRPr="008669C3">
              <w:rPr>
                <w:sz w:val="20"/>
                <w:szCs w:val="20"/>
              </w:rPr>
              <w:t>0.043</w:t>
            </w:r>
          </w:p>
        </w:tc>
      </w:tr>
      <w:tr w:rsidR="00535F81" w:rsidRPr="008669C3" w14:paraId="25588E13"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5439A36E" w14:textId="77777777" w:rsidR="00535F81" w:rsidRPr="008669C3" w:rsidRDefault="00535F81" w:rsidP="00535F81">
            <w:pPr>
              <w:jc w:val="center"/>
              <w:rPr>
                <w:sz w:val="20"/>
                <w:szCs w:val="20"/>
              </w:rPr>
            </w:pPr>
          </w:p>
        </w:tc>
        <w:tc>
          <w:tcPr>
            <w:tcW w:w="780" w:type="pct"/>
            <w:tcBorders>
              <w:top w:val="nil"/>
              <w:left w:val="nil"/>
              <w:bottom w:val="nil"/>
              <w:right w:val="nil"/>
            </w:tcBorders>
            <w:shd w:val="clear" w:color="auto" w:fill="auto"/>
            <w:noWrap/>
            <w:vAlign w:val="bottom"/>
            <w:hideMark/>
          </w:tcPr>
          <w:p w14:paraId="423FA7B3" w14:textId="65779AEC" w:rsidR="00535F81" w:rsidRPr="008669C3" w:rsidRDefault="00535F81" w:rsidP="00535F81">
            <w:pPr>
              <w:jc w:val="center"/>
              <w:rPr>
                <w:sz w:val="20"/>
                <w:szCs w:val="20"/>
              </w:rPr>
            </w:pPr>
            <w:r w:rsidRPr="008669C3">
              <w:rPr>
                <w:sz w:val="20"/>
                <w:szCs w:val="20"/>
              </w:rPr>
              <w:t>(0.121)</w:t>
            </w:r>
          </w:p>
        </w:tc>
        <w:tc>
          <w:tcPr>
            <w:tcW w:w="846" w:type="pct"/>
            <w:tcBorders>
              <w:top w:val="nil"/>
              <w:left w:val="nil"/>
              <w:bottom w:val="nil"/>
              <w:right w:val="nil"/>
            </w:tcBorders>
            <w:shd w:val="clear" w:color="auto" w:fill="auto"/>
            <w:noWrap/>
            <w:vAlign w:val="bottom"/>
            <w:hideMark/>
          </w:tcPr>
          <w:p w14:paraId="1F1157B8" w14:textId="041C9F0A" w:rsidR="00535F81" w:rsidRPr="008669C3" w:rsidRDefault="00535F81" w:rsidP="00535F81">
            <w:pPr>
              <w:jc w:val="center"/>
              <w:rPr>
                <w:sz w:val="20"/>
                <w:szCs w:val="20"/>
              </w:rPr>
            </w:pPr>
            <w:r w:rsidRPr="008669C3">
              <w:rPr>
                <w:sz w:val="20"/>
                <w:szCs w:val="20"/>
              </w:rPr>
              <w:t>(0.106)</w:t>
            </w:r>
          </w:p>
        </w:tc>
        <w:tc>
          <w:tcPr>
            <w:tcW w:w="162" w:type="pct"/>
            <w:tcBorders>
              <w:top w:val="nil"/>
              <w:left w:val="nil"/>
              <w:bottom w:val="nil"/>
              <w:right w:val="nil"/>
            </w:tcBorders>
            <w:shd w:val="clear" w:color="auto" w:fill="auto"/>
            <w:noWrap/>
            <w:vAlign w:val="bottom"/>
            <w:hideMark/>
          </w:tcPr>
          <w:p w14:paraId="775EF193"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10669C67" w14:textId="08D81424" w:rsidR="00535F81" w:rsidRPr="008669C3" w:rsidRDefault="00535F81" w:rsidP="00535F81">
            <w:pPr>
              <w:jc w:val="center"/>
              <w:rPr>
                <w:sz w:val="20"/>
                <w:szCs w:val="20"/>
              </w:rPr>
            </w:pPr>
            <w:r w:rsidRPr="008669C3">
              <w:rPr>
                <w:sz w:val="20"/>
                <w:szCs w:val="20"/>
              </w:rPr>
              <w:t>(0.121)</w:t>
            </w:r>
          </w:p>
        </w:tc>
        <w:tc>
          <w:tcPr>
            <w:tcW w:w="847" w:type="pct"/>
            <w:tcBorders>
              <w:top w:val="nil"/>
              <w:left w:val="nil"/>
              <w:bottom w:val="nil"/>
              <w:right w:val="nil"/>
            </w:tcBorders>
            <w:shd w:val="clear" w:color="auto" w:fill="auto"/>
            <w:noWrap/>
            <w:vAlign w:val="bottom"/>
            <w:hideMark/>
          </w:tcPr>
          <w:p w14:paraId="4B8AC29B" w14:textId="02661FA5" w:rsidR="00535F81" w:rsidRPr="008669C3" w:rsidRDefault="00535F81" w:rsidP="00535F81">
            <w:pPr>
              <w:jc w:val="center"/>
              <w:rPr>
                <w:sz w:val="20"/>
                <w:szCs w:val="20"/>
              </w:rPr>
            </w:pPr>
            <w:r w:rsidRPr="008669C3">
              <w:rPr>
                <w:sz w:val="20"/>
                <w:szCs w:val="20"/>
              </w:rPr>
              <w:t>(0.106)</w:t>
            </w:r>
          </w:p>
        </w:tc>
      </w:tr>
      <w:tr w:rsidR="00535F81" w:rsidRPr="008669C3" w14:paraId="1C01E39A"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514F399B" w14:textId="77777777" w:rsidR="00535F81" w:rsidRPr="008669C3" w:rsidRDefault="00535F81" w:rsidP="00535F81">
            <w:pPr>
              <w:rPr>
                <w:iCs/>
                <w:sz w:val="20"/>
                <w:szCs w:val="20"/>
              </w:rPr>
            </w:pPr>
            <w:r w:rsidRPr="008669C3">
              <w:rPr>
                <w:iCs/>
                <w:sz w:val="20"/>
                <w:szCs w:val="20"/>
              </w:rPr>
              <w:t>Board independence</w:t>
            </w:r>
          </w:p>
        </w:tc>
        <w:tc>
          <w:tcPr>
            <w:tcW w:w="780" w:type="pct"/>
            <w:tcBorders>
              <w:top w:val="nil"/>
              <w:left w:val="nil"/>
              <w:bottom w:val="nil"/>
              <w:right w:val="nil"/>
            </w:tcBorders>
            <w:shd w:val="clear" w:color="auto" w:fill="auto"/>
            <w:noWrap/>
            <w:vAlign w:val="bottom"/>
            <w:hideMark/>
          </w:tcPr>
          <w:p w14:paraId="6761CCD1" w14:textId="6D651102" w:rsidR="00535F81" w:rsidRPr="008669C3" w:rsidRDefault="00535F81" w:rsidP="00535F81">
            <w:pPr>
              <w:jc w:val="center"/>
              <w:rPr>
                <w:sz w:val="20"/>
                <w:szCs w:val="20"/>
              </w:rPr>
            </w:pPr>
            <w:r w:rsidRPr="008669C3">
              <w:rPr>
                <w:sz w:val="20"/>
                <w:szCs w:val="20"/>
              </w:rPr>
              <w:t>0.556**</w:t>
            </w:r>
          </w:p>
        </w:tc>
        <w:tc>
          <w:tcPr>
            <w:tcW w:w="846" w:type="pct"/>
            <w:tcBorders>
              <w:top w:val="nil"/>
              <w:left w:val="nil"/>
              <w:bottom w:val="nil"/>
              <w:right w:val="nil"/>
            </w:tcBorders>
            <w:shd w:val="clear" w:color="auto" w:fill="auto"/>
            <w:noWrap/>
            <w:vAlign w:val="bottom"/>
            <w:hideMark/>
          </w:tcPr>
          <w:p w14:paraId="2DFB6224" w14:textId="18F81400" w:rsidR="00535F81" w:rsidRPr="008669C3" w:rsidRDefault="00535F81" w:rsidP="00535F81">
            <w:pPr>
              <w:jc w:val="center"/>
              <w:rPr>
                <w:sz w:val="20"/>
                <w:szCs w:val="20"/>
              </w:rPr>
            </w:pPr>
            <w:r w:rsidRPr="008669C3">
              <w:rPr>
                <w:sz w:val="20"/>
                <w:szCs w:val="20"/>
              </w:rPr>
              <w:t>0.339*</w:t>
            </w:r>
          </w:p>
        </w:tc>
        <w:tc>
          <w:tcPr>
            <w:tcW w:w="162" w:type="pct"/>
            <w:tcBorders>
              <w:top w:val="nil"/>
              <w:left w:val="nil"/>
              <w:bottom w:val="nil"/>
              <w:right w:val="nil"/>
            </w:tcBorders>
            <w:shd w:val="clear" w:color="auto" w:fill="auto"/>
            <w:noWrap/>
            <w:vAlign w:val="bottom"/>
            <w:hideMark/>
          </w:tcPr>
          <w:p w14:paraId="1FF0CE5B"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74293346" w14:textId="0257CCC7" w:rsidR="00535F81" w:rsidRPr="008669C3" w:rsidRDefault="00535F81" w:rsidP="00535F81">
            <w:pPr>
              <w:jc w:val="center"/>
              <w:rPr>
                <w:sz w:val="20"/>
                <w:szCs w:val="20"/>
              </w:rPr>
            </w:pPr>
            <w:r w:rsidRPr="008669C3">
              <w:rPr>
                <w:sz w:val="20"/>
                <w:szCs w:val="20"/>
              </w:rPr>
              <w:t>0.559**</w:t>
            </w:r>
          </w:p>
        </w:tc>
        <w:tc>
          <w:tcPr>
            <w:tcW w:w="847" w:type="pct"/>
            <w:tcBorders>
              <w:top w:val="nil"/>
              <w:left w:val="nil"/>
              <w:bottom w:val="nil"/>
              <w:right w:val="nil"/>
            </w:tcBorders>
            <w:shd w:val="clear" w:color="auto" w:fill="auto"/>
            <w:noWrap/>
            <w:vAlign w:val="bottom"/>
            <w:hideMark/>
          </w:tcPr>
          <w:p w14:paraId="6BA109CD" w14:textId="237BDE6B" w:rsidR="00535F81" w:rsidRPr="008669C3" w:rsidRDefault="00535F81" w:rsidP="00535F81">
            <w:pPr>
              <w:jc w:val="center"/>
              <w:rPr>
                <w:sz w:val="20"/>
                <w:szCs w:val="20"/>
              </w:rPr>
            </w:pPr>
            <w:r w:rsidRPr="008669C3">
              <w:rPr>
                <w:sz w:val="20"/>
                <w:szCs w:val="20"/>
              </w:rPr>
              <w:t>0.343*</w:t>
            </w:r>
          </w:p>
        </w:tc>
      </w:tr>
      <w:tr w:rsidR="00535F81" w:rsidRPr="008669C3" w14:paraId="40A80E83"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0F85549A" w14:textId="77777777" w:rsidR="00535F81" w:rsidRPr="008669C3" w:rsidRDefault="00535F81" w:rsidP="00535F81">
            <w:pPr>
              <w:jc w:val="center"/>
              <w:rPr>
                <w:sz w:val="20"/>
                <w:szCs w:val="20"/>
              </w:rPr>
            </w:pPr>
          </w:p>
        </w:tc>
        <w:tc>
          <w:tcPr>
            <w:tcW w:w="780" w:type="pct"/>
            <w:tcBorders>
              <w:top w:val="nil"/>
              <w:left w:val="nil"/>
              <w:bottom w:val="nil"/>
              <w:right w:val="nil"/>
            </w:tcBorders>
            <w:shd w:val="clear" w:color="auto" w:fill="auto"/>
            <w:noWrap/>
            <w:vAlign w:val="bottom"/>
            <w:hideMark/>
          </w:tcPr>
          <w:p w14:paraId="090B60A1" w14:textId="2F25C21E" w:rsidR="00535F81" w:rsidRPr="008669C3" w:rsidRDefault="00535F81" w:rsidP="00535F81">
            <w:pPr>
              <w:jc w:val="center"/>
              <w:rPr>
                <w:sz w:val="20"/>
                <w:szCs w:val="20"/>
              </w:rPr>
            </w:pPr>
            <w:r w:rsidRPr="008669C3">
              <w:rPr>
                <w:sz w:val="20"/>
                <w:szCs w:val="20"/>
              </w:rPr>
              <w:t>(0.222)</w:t>
            </w:r>
          </w:p>
        </w:tc>
        <w:tc>
          <w:tcPr>
            <w:tcW w:w="846" w:type="pct"/>
            <w:tcBorders>
              <w:top w:val="nil"/>
              <w:left w:val="nil"/>
              <w:bottom w:val="nil"/>
              <w:right w:val="nil"/>
            </w:tcBorders>
            <w:shd w:val="clear" w:color="auto" w:fill="auto"/>
            <w:noWrap/>
            <w:vAlign w:val="bottom"/>
            <w:hideMark/>
          </w:tcPr>
          <w:p w14:paraId="1486BB4F" w14:textId="25F27382" w:rsidR="00535F81" w:rsidRPr="008669C3" w:rsidRDefault="00535F81" w:rsidP="00535F81">
            <w:pPr>
              <w:jc w:val="center"/>
              <w:rPr>
                <w:sz w:val="20"/>
                <w:szCs w:val="20"/>
              </w:rPr>
            </w:pPr>
            <w:r w:rsidRPr="008669C3">
              <w:rPr>
                <w:sz w:val="20"/>
                <w:szCs w:val="20"/>
              </w:rPr>
              <w:t>(0.196)</w:t>
            </w:r>
          </w:p>
        </w:tc>
        <w:tc>
          <w:tcPr>
            <w:tcW w:w="162" w:type="pct"/>
            <w:tcBorders>
              <w:top w:val="nil"/>
              <w:left w:val="nil"/>
              <w:bottom w:val="nil"/>
              <w:right w:val="nil"/>
            </w:tcBorders>
            <w:shd w:val="clear" w:color="auto" w:fill="auto"/>
            <w:noWrap/>
            <w:vAlign w:val="bottom"/>
            <w:hideMark/>
          </w:tcPr>
          <w:p w14:paraId="0FCC8FBB"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35B2BE18" w14:textId="5593792E" w:rsidR="00535F81" w:rsidRPr="008669C3" w:rsidRDefault="00535F81" w:rsidP="00535F81">
            <w:pPr>
              <w:jc w:val="center"/>
              <w:rPr>
                <w:sz w:val="20"/>
                <w:szCs w:val="20"/>
              </w:rPr>
            </w:pPr>
            <w:r w:rsidRPr="008669C3">
              <w:rPr>
                <w:sz w:val="20"/>
                <w:szCs w:val="20"/>
              </w:rPr>
              <w:t>(0.222)</w:t>
            </w:r>
          </w:p>
        </w:tc>
        <w:tc>
          <w:tcPr>
            <w:tcW w:w="847" w:type="pct"/>
            <w:tcBorders>
              <w:top w:val="nil"/>
              <w:left w:val="nil"/>
              <w:bottom w:val="nil"/>
              <w:right w:val="nil"/>
            </w:tcBorders>
            <w:shd w:val="clear" w:color="auto" w:fill="auto"/>
            <w:noWrap/>
            <w:vAlign w:val="bottom"/>
            <w:hideMark/>
          </w:tcPr>
          <w:p w14:paraId="25336B4C" w14:textId="396165B8" w:rsidR="00535F81" w:rsidRPr="008669C3" w:rsidRDefault="00535F81" w:rsidP="00535F81">
            <w:pPr>
              <w:jc w:val="center"/>
              <w:rPr>
                <w:sz w:val="20"/>
                <w:szCs w:val="20"/>
              </w:rPr>
            </w:pPr>
            <w:r w:rsidRPr="008669C3">
              <w:rPr>
                <w:sz w:val="20"/>
                <w:szCs w:val="20"/>
              </w:rPr>
              <w:t>(0.195)</w:t>
            </w:r>
          </w:p>
        </w:tc>
      </w:tr>
      <w:tr w:rsidR="00535F81" w:rsidRPr="008669C3" w14:paraId="239E5C25"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0A419182" w14:textId="77777777" w:rsidR="00535F81" w:rsidRPr="008669C3" w:rsidRDefault="00535F81" w:rsidP="00535F81">
            <w:pPr>
              <w:rPr>
                <w:iCs/>
                <w:sz w:val="20"/>
                <w:szCs w:val="20"/>
              </w:rPr>
            </w:pPr>
            <w:r w:rsidRPr="008669C3">
              <w:rPr>
                <w:iCs/>
                <w:sz w:val="20"/>
                <w:szCs w:val="20"/>
              </w:rPr>
              <w:t>Institutional ownership</w:t>
            </w:r>
          </w:p>
        </w:tc>
        <w:tc>
          <w:tcPr>
            <w:tcW w:w="780" w:type="pct"/>
            <w:tcBorders>
              <w:top w:val="nil"/>
              <w:left w:val="nil"/>
              <w:bottom w:val="nil"/>
              <w:right w:val="nil"/>
            </w:tcBorders>
            <w:shd w:val="clear" w:color="auto" w:fill="auto"/>
            <w:noWrap/>
            <w:vAlign w:val="bottom"/>
            <w:hideMark/>
          </w:tcPr>
          <w:p w14:paraId="1077DA82" w14:textId="4A3AC4FC" w:rsidR="00535F81" w:rsidRPr="008669C3" w:rsidRDefault="00535F81" w:rsidP="00535F81">
            <w:pPr>
              <w:jc w:val="center"/>
              <w:rPr>
                <w:sz w:val="20"/>
                <w:szCs w:val="20"/>
              </w:rPr>
            </w:pPr>
            <w:r w:rsidRPr="008669C3">
              <w:rPr>
                <w:sz w:val="20"/>
                <w:szCs w:val="20"/>
              </w:rPr>
              <w:t>-0.082</w:t>
            </w:r>
          </w:p>
        </w:tc>
        <w:tc>
          <w:tcPr>
            <w:tcW w:w="846" w:type="pct"/>
            <w:tcBorders>
              <w:top w:val="nil"/>
              <w:left w:val="nil"/>
              <w:bottom w:val="nil"/>
              <w:right w:val="nil"/>
            </w:tcBorders>
            <w:shd w:val="clear" w:color="auto" w:fill="auto"/>
            <w:noWrap/>
            <w:vAlign w:val="bottom"/>
            <w:hideMark/>
          </w:tcPr>
          <w:p w14:paraId="61065C21" w14:textId="68707FF1" w:rsidR="00535F81" w:rsidRPr="008669C3" w:rsidRDefault="00535F81" w:rsidP="00535F81">
            <w:pPr>
              <w:jc w:val="center"/>
              <w:rPr>
                <w:sz w:val="20"/>
                <w:szCs w:val="20"/>
              </w:rPr>
            </w:pPr>
            <w:r w:rsidRPr="008669C3">
              <w:rPr>
                <w:sz w:val="20"/>
                <w:szCs w:val="20"/>
              </w:rPr>
              <w:t>0.061</w:t>
            </w:r>
          </w:p>
        </w:tc>
        <w:tc>
          <w:tcPr>
            <w:tcW w:w="162" w:type="pct"/>
            <w:tcBorders>
              <w:top w:val="nil"/>
              <w:left w:val="nil"/>
              <w:bottom w:val="nil"/>
              <w:right w:val="nil"/>
            </w:tcBorders>
            <w:shd w:val="clear" w:color="auto" w:fill="auto"/>
            <w:noWrap/>
            <w:vAlign w:val="bottom"/>
            <w:hideMark/>
          </w:tcPr>
          <w:p w14:paraId="4C0952F3"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1CC022E0" w14:textId="1440CAFB" w:rsidR="00535F81" w:rsidRPr="008669C3" w:rsidRDefault="00535F81" w:rsidP="00535F81">
            <w:pPr>
              <w:jc w:val="center"/>
              <w:rPr>
                <w:sz w:val="20"/>
                <w:szCs w:val="20"/>
              </w:rPr>
            </w:pPr>
            <w:r w:rsidRPr="008669C3">
              <w:rPr>
                <w:sz w:val="20"/>
                <w:szCs w:val="20"/>
              </w:rPr>
              <w:t>-0.082</w:t>
            </w:r>
          </w:p>
        </w:tc>
        <w:tc>
          <w:tcPr>
            <w:tcW w:w="847" w:type="pct"/>
            <w:tcBorders>
              <w:top w:val="nil"/>
              <w:left w:val="nil"/>
              <w:bottom w:val="nil"/>
              <w:right w:val="nil"/>
            </w:tcBorders>
            <w:shd w:val="clear" w:color="auto" w:fill="auto"/>
            <w:noWrap/>
            <w:vAlign w:val="bottom"/>
            <w:hideMark/>
          </w:tcPr>
          <w:p w14:paraId="1206A2C0" w14:textId="65FD52AF" w:rsidR="00535F81" w:rsidRPr="008669C3" w:rsidRDefault="00535F81" w:rsidP="00535F81">
            <w:pPr>
              <w:jc w:val="center"/>
              <w:rPr>
                <w:sz w:val="20"/>
                <w:szCs w:val="20"/>
              </w:rPr>
            </w:pPr>
            <w:r w:rsidRPr="008669C3">
              <w:rPr>
                <w:sz w:val="20"/>
                <w:szCs w:val="20"/>
              </w:rPr>
              <w:t>0.060</w:t>
            </w:r>
          </w:p>
        </w:tc>
      </w:tr>
      <w:tr w:rsidR="00535F81" w:rsidRPr="008669C3" w14:paraId="6CE828E2"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0D41BA5B" w14:textId="77777777" w:rsidR="00535F81" w:rsidRPr="008669C3" w:rsidRDefault="00535F81" w:rsidP="00535F81">
            <w:pPr>
              <w:jc w:val="center"/>
              <w:rPr>
                <w:sz w:val="20"/>
                <w:szCs w:val="20"/>
              </w:rPr>
            </w:pPr>
          </w:p>
        </w:tc>
        <w:tc>
          <w:tcPr>
            <w:tcW w:w="780" w:type="pct"/>
            <w:tcBorders>
              <w:top w:val="nil"/>
              <w:left w:val="nil"/>
              <w:bottom w:val="nil"/>
              <w:right w:val="nil"/>
            </w:tcBorders>
            <w:shd w:val="clear" w:color="auto" w:fill="auto"/>
            <w:noWrap/>
            <w:vAlign w:val="bottom"/>
            <w:hideMark/>
          </w:tcPr>
          <w:p w14:paraId="2D96F067" w14:textId="1249FB3A" w:rsidR="00535F81" w:rsidRPr="008669C3" w:rsidRDefault="00535F81" w:rsidP="00535F81">
            <w:pPr>
              <w:jc w:val="center"/>
              <w:rPr>
                <w:sz w:val="20"/>
                <w:szCs w:val="20"/>
              </w:rPr>
            </w:pPr>
            <w:r w:rsidRPr="008669C3">
              <w:rPr>
                <w:sz w:val="20"/>
                <w:szCs w:val="20"/>
              </w:rPr>
              <w:t>(0.220)</w:t>
            </w:r>
          </w:p>
        </w:tc>
        <w:tc>
          <w:tcPr>
            <w:tcW w:w="846" w:type="pct"/>
            <w:tcBorders>
              <w:top w:val="nil"/>
              <w:left w:val="nil"/>
              <w:bottom w:val="nil"/>
              <w:right w:val="nil"/>
            </w:tcBorders>
            <w:shd w:val="clear" w:color="auto" w:fill="auto"/>
            <w:noWrap/>
            <w:vAlign w:val="bottom"/>
            <w:hideMark/>
          </w:tcPr>
          <w:p w14:paraId="129173DE" w14:textId="5F4F2614" w:rsidR="00535F81" w:rsidRPr="008669C3" w:rsidRDefault="00535F81" w:rsidP="00535F81">
            <w:pPr>
              <w:jc w:val="center"/>
              <w:rPr>
                <w:sz w:val="20"/>
                <w:szCs w:val="20"/>
              </w:rPr>
            </w:pPr>
            <w:r w:rsidRPr="008669C3">
              <w:rPr>
                <w:sz w:val="20"/>
                <w:szCs w:val="20"/>
              </w:rPr>
              <w:t>(0.185)</w:t>
            </w:r>
          </w:p>
        </w:tc>
        <w:tc>
          <w:tcPr>
            <w:tcW w:w="162" w:type="pct"/>
            <w:tcBorders>
              <w:top w:val="nil"/>
              <w:left w:val="nil"/>
              <w:bottom w:val="nil"/>
              <w:right w:val="nil"/>
            </w:tcBorders>
            <w:shd w:val="clear" w:color="auto" w:fill="auto"/>
            <w:noWrap/>
            <w:vAlign w:val="bottom"/>
            <w:hideMark/>
          </w:tcPr>
          <w:p w14:paraId="7116B3F5"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0F02B392" w14:textId="6CED126B" w:rsidR="00535F81" w:rsidRPr="008669C3" w:rsidRDefault="00535F81" w:rsidP="00535F81">
            <w:pPr>
              <w:jc w:val="center"/>
              <w:rPr>
                <w:sz w:val="20"/>
                <w:szCs w:val="20"/>
              </w:rPr>
            </w:pPr>
            <w:r w:rsidRPr="008669C3">
              <w:rPr>
                <w:sz w:val="20"/>
                <w:szCs w:val="20"/>
              </w:rPr>
              <w:t>(0.219)</w:t>
            </w:r>
          </w:p>
        </w:tc>
        <w:tc>
          <w:tcPr>
            <w:tcW w:w="847" w:type="pct"/>
            <w:tcBorders>
              <w:top w:val="nil"/>
              <w:left w:val="nil"/>
              <w:bottom w:val="nil"/>
              <w:right w:val="nil"/>
            </w:tcBorders>
            <w:shd w:val="clear" w:color="auto" w:fill="auto"/>
            <w:noWrap/>
            <w:vAlign w:val="bottom"/>
            <w:hideMark/>
          </w:tcPr>
          <w:p w14:paraId="75AF9B5D" w14:textId="3EDD8BF6" w:rsidR="00535F81" w:rsidRPr="008669C3" w:rsidRDefault="00535F81" w:rsidP="00535F81">
            <w:pPr>
              <w:jc w:val="center"/>
              <w:rPr>
                <w:sz w:val="20"/>
                <w:szCs w:val="20"/>
              </w:rPr>
            </w:pPr>
            <w:r w:rsidRPr="008669C3">
              <w:rPr>
                <w:sz w:val="20"/>
                <w:szCs w:val="20"/>
              </w:rPr>
              <w:t>(0.185)</w:t>
            </w:r>
          </w:p>
        </w:tc>
      </w:tr>
      <w:tr w:rsidR="00535F81" w:rsidRPr="008669C3" w14:paraId="414369C0" w14:textId="77777777" w:rsidTr="00EA4854">
        <w:trPr>
          <w:trHeight w:val="20"/>
          <w:jc w:val="center"/>
        </w:trPr>
        <w:tc>
          <w:tcPr>
            <w:tcW w:w="1586" w:type="pct"/>
            <w:tcBorders>
              <w:top w:val="nil"/>
              <w:left w:val="nil"/>
              <w:right w:val="nil"/>
            </w:tcBorders>
            <w:shd w:val="clear" w:color="auto" w:fill="auto"/>
            <w:noWrap/>
            <w:vAlign w:val="bottom"/>
            <w:hideMark/>
          </w:tcPr>
          <w:p w14:paraId="217547BC" w14:textId="77777777" w:rsidR="00535F81" w:rsidRPr="008669C3" w:rsidRDefault="00535F81" w:rsidP="00535F81">
            <w:pPr>
              <w:rPr>
                <w:iCs/>
                <w:sz w:val="20"/>
                <w:szCs w:val="20"/>
              </w:rPr>
            </w:pPr>
            <w:r w:rsidRPr="008669C3">
              <w:rPr>
                <w:iCs/>
                <w:sz w:val="20"/>
                <w:szCs w:val="20"/>
              </w:rPr>
              <w:t>E index</w:t>
            </w:r>
          </w:p>
        </w:tc>
        <w:tc>
          <w:tcPr>
            <w:tcW w:w="780" w:type="pct"/>
            <w:tcBorders>
              <w:top w:val="nil"/>
              <w:left w:val="nil"/>
              <w:right w:val="nil"/>
            </w:tcBorders>
            <w:shd w:val="clear" w:color="auto" w:fill="auto"/>
            <w:noWrap/>
            <w:vAlign w:val="bottom"/>
            <w:hideMark/>
          </w:tcPr>
          <w:p w14:paraId="2B4DC4D9" w14:textId="7AAC25C8" w:rsidR="00535F81" w:rsidRPr="008669C3" w:rsidRDefault="00535F81" w:rsidP="00535F81">
            <w:pPr>
              <w:jc w:val="center"/>
              <w:rPr>
                <w:sz w:val="20"/>
                <w:szCs w:val="20"/>
              </w:rPr>
            </w:pPr>
            <w:r w:rsidRPr="008669C3">
              <w:rPr>
                <w:sz w:val="20"/>
                <w:szCs w:val="20"/>
              </w:rPr>
              <w:t>0.012</w:t>
            </w:r>
          </w:p>
        </w:tc>
        <w:tc>
          <w:tcPr>
            <w:tcW w:w="846" w:type="pct"/>
            <w:tcBorders>
              <w:top w:val="nil"/>
              <w:left w:val="nil"/>
              <w:right w:val="nil"/>
            </w:tcBorders>
            <w:shd w:val="clear" w:color="auto" w:fill="auto"/>
            <w:noWrap/>
            <w:vAlign w:val="bottom"/>
            <w:hideMark/>
          </w:tcPr>
          <w:p w14:paraId="61859298" w14:textId="5BCC68D8" w:rsidR="00535F81" w:rsidRPr="008669C3" w:rsidRDefault="00535F81" w:rsidP="00535F81">
            <w:pPr>
              <w:jc w:val="center"/>
              <w:rPr>
                <w:sz w:val="20"/>
                <w:szCs w:val="20"/>
              </w:rPr>
            </w:pPr>
            <w:r w:rsidRPr="008669C3">
              <w:rPr>
                <w:sz w:val="20"/>
                <w:szCs w:val="20"/>
              </w:rPr>
              <w:t>-0.008</w:t>
            </w:r>
          </w:p>
        </w:tc>
        <w:tc>
          <w:tcPr>
            <w:tcW w:w="162" w:type="pct"/>
            <w:tcBorders>
              <w:top w:val="nil"/>
              <w:left w:val="nil"/>
              <w:right w:val="nil"/>
            </w:tcBorders>
            <w:shd w:val="clear" w:color="auto" w:fill="auto"/>
            <w:noWrap/>
            <w:vAlign w:val="bottom"/>
            <w:hideMark/>
          </w:tcPr>
          <w:p w14:paraId="5C55C249" w14:textId="77777777" w:rsidR="00535F81" w:rsidRPr="008669C3" w:rsidRDefault="00535F81" w:rsidP="00535F81">
            <w:pPr>
              <w:jc w:val="center"/>
              <w:rPr>
                <w:sz w:val="20"/>
                <w:szCs w:val="20"/>
              </w:rPr>
            </w:pPr>
          </w:p>
        </w:tc>
        <w:tc>
          <w:tcPr>
            <w:tcW w:w="779" w:type="pct"/>
            <w:tcBorders>
              <w:top w:val="nil"/>
              <w:left w:val="nil"/>
              <w:right w:val="nil"/>
            </w:tcBorders>
            <w:shd w:val="clear" w:color="auto" w:fill="auto"/>
            <w:noWrap/>
            <w:vAlign w:val="bottom"/>
            <w:hideMark/>
          </w:tcPr>
          <w:p w14:paraId="610B4807" w14:textId="49AD93BC" w:rsidR="00535F81" w:rsidRPr="008669C3" w:rsidRDefault="00535F81" w:rsidP="00535F81">
            <w:pPr>
              <w:jc w:val="center"/>
              <w:rPr>
                <w:sz w:val="20"/>
                <w:szCs w:val="20"/>
              </w:rPr>
            </w:pPr>
            <w:r w:rsidRPr="008669C3">
              <w:rPr>
                <w:sz w:val="20"/>
                <w:szCs w:val="20"/>
              </w:rPr>
              <w:t>0.012</w:t>
            </w:r>
          </w:p>
        </w:tc>
        <w:tc>
          <w:tcPr>
            <w:tcW w:w="847" w:type="pct"/>
            <w:tcBorders>
              <w:top w:val="nil"/>
              <w:left w:val="nil"/>
              <w:right w:val="nil"/>
            </w:tcBorders>
            <w:shd w:val="clear" w:color="auto" w:fill="auto"/>
            <w:noWrap/>
            <w:vAlign w:val="bottom"/>
            <w:hideMark/>
          </w:tcPr>
          <w:p w14:paraId="08D728C3" w14:textId="3D3677AB" w:rsidR="00535F81" w:rsidRPr="008669C3" w:rsidRDefault="00535F81" w:rsidP="00535F81">
            <w:pPr>
              <w:jc w:val="center"/>
              <w:rPr>
                <w:sz w:val="20"/>
                <w:szCs w:val="20"/>
              </w:rPr>
            </w:pPr>
            <w:r w:rsidRPr="008669C3">
              <w:rPr>
                <w:sz w:val="20"/>
                <w:szCs w:val="20"/>
              </w:rPr>
              <w:t>-0.009</w:t>
            </w:r>
          </w:p>
        </w:tc>
      </w:tr>
      <w:tr w:rsidR="00535F81" w:rsidRPr="008669C3" w14:paraId="6E73F71B" w14:textId="77777777" w:rsidTr="00EA4854">
        <w:trPr>
          <w:trHeight w:val="20"/>
          <w:jc w:val="center"/>
        </w:trPr>
        <w:tc>
          <w:tcPr>
            <w:tcW w:w="1586" w:type="pct"/>
            <w:tcBorders>
              <w:top w:val="nil"/>
              <w:left w:val="nil"/>
              <w:bottom w:val="single" w:sz="4" w:space="0" w:color="auto"/>
              <w:right w:val="nil"/>
            </w:tcBorders>
            <w:shd w:val="clear" w:color="auto" w:fill="auto"/>
            <w:noWrap/>
            <w:vAlign w:val="bottom"/>
            <w:hideMark/>
          </w:tcPr>
          <w:p w14:paraId="523CCB55" w14:textId="77777777" w:rsidR="00535F81" w:rsidRPr="008669C3" w:rsidRDefault="00535F81" w:rsidP="00535F81">
            <w:pPr>
              <w:jc w:val="center"/>
              <w:rPr>
                <w:sz w:val="20"/>
                <w:szCs w:val="20"/>
              </w:rPr>
            </w:pPr>
          </w:p>
        </w:tc>
        <w:tc>
          <w:tcPr>
            <w:tcW w:w="780" w:type="pct"/>
            <w:tcBorders>
              <w:top w:val="nil"/>
              <w:left w:val="nil"/>
              <w:bottom w:val="single" w:sz="4" w:space="0" w:color="auto"/>
              <w:right w:val="nil"/>
            </w:tcBorders>
            <w:shd w:val="clear" w:color="auto" w:fill="auto"/>
            <w:noWrap/>
            <w:vAlign w:val="bottom"/>
            <w:hideMark/>
          </w:tcPr>
          <w:p w14:paraId="01515AE4" w14:textId="3E4FA110" w:rsidR="00535F81" w:rsidRPr="008669C3" w:rsidRDefault="00535F81" w:rsidP="00535F81">
            <w:pPr>
              <w:jc w:val="center"/>
              <w:rPr>
                <w:sz w:val="20"/>
                <w:szCs w:val="20"/>
              </w:rPr>
            </w:pPr>
            <w:r w:rsidRPr="008669C3">
              <w:rPr>
                <w:sz w:val="20"/>
                <w:szCs w:val="20"/>
              </w:rPr>
              <w:t>(0.032)</w:t>
            </w:r>
          </w:p>
        </w:tc>
        <w:tc>
          <w:tcPr>
            <w:tcW w:w="846" w:type="pct"/>
            <w:tcBorders>
              <w:top w:val="nil"/>
              <w:left w:val="nil"/>
              <w:bottom w:val="single" w:sz="4" w:space="0" w:color="auto"/>
              <w:right w:val="nil"/>
            </w:tcBorders>
            <w:shd w:val="clear" w:color="auto" w:fill="auto"/>
            <w:noWrap/>
            <w:vAlign w:val="bottom"/>
            <w:hideMark/>
          </w:tcPr>
          <w:p w14:paraId="29189C98" w14:textId="08C26077" w:rsidR="00535F81" w:rsidRPr="008669C3" w:rsidRDefault="00535F81" w:rsidP="00535F81">
            <w:pPr>
              <w:jc w:val="center"/>
              <w:rPr>
                <w:sz w:val="20"/>
                <w:szCs w:val="20"/>
              </w:rPr>
            </w:pPr>
            <w:r w:rsidRPr="008669C3">
              <w:rPr>
                <w:sz w:val="20"/>
                <w:szCs w:val="20"/>
              </w:rPr>
              <w:t>(0.027)</w:t>
            </w:r>
          </w:p>
        </w:tc>
        <w:tc>
          <w:tcPr>
            <w:tcW w:w="162" w:type="pct"/>
            <w:tcBorders>
              <w:top w:val="nil"/>
              <w:left w:val="nil"/>
              <w:bottom w:val="single" w:sz="4" w:space="0" w:color="auto"/>
              <w:right w:val="nil"/>
            </w:tcBorders>
            <w:shd w:val="clear" w:color="auto" w:fill="auto"/>
            <w:noWrap/>
            <w:vAlign w:val="bottom"/>
            <w:hideMark/>
          </w:tcPr>
          <w:p w14:paraId="303C3CCD" w14:textId="77777777" w:rsidR="00535F81" w:rsidRPr="008669C3" w:rsidRDefault="00535F81" w:rsidP="00535F81">
            <w:pPr>
              <w:jc w:val="center"/>
              <w:rPr>
                <w:sz w:val="20"/>
                <w:szCs w:val="20"/>
              </w:rPr>
            </w:pPr>
          </w:p>
        </w:tc>
        <w:tc>
          <w:tcPr>
            <w:tcW w:w="779" w:type="pct"/>
            <w:tcBorders>
              <w:top w:val="nil"/>
              <w:left w:val="nil"/>
              <w:bottom w:val="single" w:sz="4" w:space="0" w:color="auto"/>
              <w:right w:val="nil"/>
            </w:tcBorders>
            <w:shd w:val="clear" w:color="auto" w:fill="auto"/>
            <w:noWrap/>
            <w:vAlign w:val="bottom"/>
            <w:hideMark/>
          </w:tcPr>
          <w:p w14:paraId="11F551B0" w14:textId="7D93C8F1" w:rsidR="00535F81" w:rsidRPr="008669C3" w:rsidRDefault="00535F81" w:rsidP="00535F81">
            <w:pPr>
              <w:jc w:val="center"/>
              <w:rPr>
                <w:sz w:val="20"/>
                <w:szCs w:val="20"/>
              </w:rPr>
            </w:pPr>
            <w:r w:rsidRPr="008669C3">
              <w:rPr>
                <w:sz w:val="20"/>
                <w:szCs w:val="20"/>
              </w:rPr>
              <w:t>(0.032)</w:t>
            </w:r>
          </w:p>
        </w:tc>
        <w:tc>
          <w:tcPr>
            <w:tcW w:w="847" w:type="pct"/>
            <w:tcBorders>
              <w:top w:val="nil"/>
              <w:left w:val="nil"/>
              <w:bottom w:val="single" w:sz="4" w:space="0" w:color="auto"/>
              <w:right w:val="nil"/>
            </w:tcBorders>
            <w:shd w:val="clear" w:color="auto" w:fill="auto"/>
            <w:noWrap/>
            <w:vAlign w:val="bottom"/>
            <w:hideMark/>
          </w:tcPr>
          <w:p w14:paraId="0B4B9A87" w14:textId="314D16E1" w:rsidR="00535F81" w:rsidRPr="008669C3" w:rsidRDefault="00535F81" w:rsidP="00535F81">
            <w:pPr>
              <w:jc w:val="center"/>
              <w:rPr>
                <w:sz w:val="20"/>
                <w:szCs w:val="20"/>
              </w:rPr>
            </w:pPr>
            <w:r w:rsidRPr="008669C3">
              <w:rPr>
                <w:sz w:val="20"/>
                <w:szCs w:val="20"/>
              </w:rPr>
              <w:t>(0.027)</w:t>
            </w:r>
          </w:p>
        </w:tc>
      </w:tr>
      <w:tr w:rsidR="00535F81" w:rsidRPr="008669C3" w14:paraId="6991983C" w14:textId="77777777" w:rsidTr="00EA4854">
        <w:trPr>
          <w:trHeight w:val="20"/>
          <w:jc w:val="center"/>
        </w:trPr>
        <w:tc>
          <w:tcPr>
            <w:tcW w:w="1586" w:type="pct"/>
            <w:tcBorders>
              <w:top w:val="single" w:sz="4" w:space="0" w:color="auto"/>
              <w:left w:val="nil"/>
              <w:bottom w:val="nil"/>
              <w:right w:val="nil"/>
            </w:tcBorders>
            <w:shd w:val="clear" w:color="auto" w:fill="auto"/>
            <w:noWrap/>
            <w:vAlign w:val="bottom"/>
            <w:hideMark/>
          </w:tcPr>
          <w:p w14:paraId="71DBC8FE" w14:textId="77777777" w:rsidR="00535F81" w:rsidRPr="008669C3" w:rsidRDefault="00535F81" w:rsidP="00535F81">
            <w:pPr>
              <w:rPr>
                <w:sz w:val="20"/>
                <w:szCs w:val="20"/>
              </w:rPr>
            </w:pPr>
            <w:r w:rsidRPr="008669C3">
              <w:rPr>
                <w:sz w:val="20"/>
                <w:szCs w:val="20"/>
              </w:rPr>
              <w:t>Firm FE</w:t>
            </w:r>
          </w:p>
        </w:tc>
        <w:tc>
          <w:tcPr>
            <w:tcW w:w="780" w:type="pct"/>
            <w:tcBorders>
              <w:top w:val="single" w:sz="4" w:space="0" w:color="auto"/>
              <w:left w:val="nil"/>
              <w:bottom w:val="nil"/>
              <w:right w:val="nil"/>
            </w:tcBorders>
            <w:shd w:val="clear" w:color="auto" w:fill="auto"/>
            <w:noWrap/>
            <w:vAlign w:val="bottom"/>
            <w:hideMark/>
          </w:tcPr>
          <w:p w14:paraId="17BABC60" w14:textId="77777777" w:rsidR="00535F81" w:rsidRPr="008669C3" w:rsidRDefault="00535F81" w:rsidP="00535F81">
            <w:pPr>
              <w:jc w:val="center"/>
              <w:rPr>
                <w:sz w:val="20"/>
                <w:szCs w:val="20"/>
              </w:rPr>
            </w:pPr>
            <w:r w:rsidRPr="008669C3">
              <w:rPr>
                <w:sz w:val="20"/>
                <w:szCs w:val="20"/>
              </w:rPr>
              <w:t>Yes</w:t>
            </w:r>
          </w:p>
        </w:tc>
        <w:tc>
          <w:tcPr>
            <w:tcW w:w="846" w:type="pct"/>
            <w:tcBorders>
              <w:top w:val="single" w:sz="4" w:space="0" w:color="auto"/>
              <w:left w:val="nil"/>
              <w:bottom w:val="nil"/>
              <w:right w:val="nil"/>
            </w:tcBorders>
            <w:shd w:val="clear" w:color="auto" w:fill="auto"/>
            <w:noWrap/>
            <w:vAlign w:val="bottom"/>
            <w:hideMark/>
          </w:tcPr>
          <w:p w14:paraId="71D96B57" w14:textId="77777777" w:rsidR="00535F81" w:rsidRPr="008669C3" w:rsidRDefault="00535F81" w:rsidP="00535F81">
            <w:pPr>
              <w:jc w:val="center"/>
              <w:rPr>
                <w:sz w:val="20"/>
                <w:szCs w:val="20"/>
              </w:rPr>
            </w:pPr>
            <w:r w:rsidRPr="008669C3">
              <w:rPr>
                <w:sz w:val="20"/>
                <w:szCs w:val="20"/>
              </w:rPr>
              <w:t>No</w:t>
            </w:r>
          </w:p>
        </w:tc>
        <w:tc>
          <w:tcPr>
            <w:tcW w:w="162" w:type="pct"/>
            <w:tcBorders>
              <w:top w:val="single" w:sz="4" w:space="0" w:color="auto"/>
              <w:left w:val="nil"/>
              <w:bottom w:val="nil"/>
              <w:right w:val="nil"/>
            </w:tcBorders>
            <w:shd w:val="clear" w:color="auto" w:fill="auto"/>
            <w:noWrap/>
            <w:vAlign w:val="bottom"/>
            <w:hideMark/>
          </w:tcPr>
          <w:p w14:paraId="3CF7D8D9" w14:textId="77777777" w:rsidR="00535F81" w:rsidRPr="008669C3" w:rsidRDefault="00535F81" w:rsidP="00535F81">
            <w:pPr>
              <w:jc w:val="center"/>
              <w:rPr>
                <w:sz w:val="20"/>
                <w:szCs w:val="20"/>
              </w:rPr>
            </w:pPr>
          </w:p>
        </w:tc>
        <w:tc>
          <w:tcPr>
            <w:tcW w:w="779" w:type="pct"/>
            <w:tcBorders>
              <w:top w:val="single" w:sz="4" w:space="0" w:color="auto"/>
              <w:left w:val="nil"/>
              <w:bottom w:val="nil"/>
              <w:right w:val="nil"/>
            </w:tcBorders>
            <w:shd w:val="clear" w:color="auto" w:fill="auto"/>
            <w:noWrap/>
            <w:vAlign w:val="bottom"/>
            <w:hideMark/>
          </w:tcPr>
          <w:p w14:paraId="0B46DA92" w14:textId="77777777" w:rsidR="00535F81" w:rsidRPr="008669C3" w:rsidRDefault="00535F81" w:rsidP="00535F81">
            <w:pPr>
              <w:jc w:val="center"/>
              <w:rPr>
                <w:sz w:val="20"/>
                <w:szCs w:val="20"/>
              </w:rPr>
            </w:pPr>
            <w:r w:rsidRPr="008669C3">
              <w:rPr>
                <w:sz w:val="20"/>
                <w:szCs w:val="20"/>
              </w:rPr>
              <w:t>Yes</w:t>
            </w:r>
          </w:p>
        </w:tc>
        <w:tc>
          <w:tcPr>
            <w:tcW w:w="847" w:type="pct"/>
            <w:tcBorders>
              <w:top w:val="single" w:sz="4" w:space="0" w:color="auto"/>
              <w:left w:val="nil"/>
              <w:bottom w:val="nil"/>
              <w:right w:val="nil"/>
            </w:tcBorders>
            <w:shd w:val="clear" w:color="auto" w:fill="auto"/>
            <w:noWrap/>
            <w:vAlign w:val="bottom"/>
            <w:hideMark/>
          </w:tcPr>
          <w:p w14:paraId="383BCF6F" w14:textId="77777777" w:rsidR="00535F81" w:rsidRPr="008669C3" w:rsidRDefault="00535F81" w:rsidP="00535F81">
            <w:pPr>
              <w:jc w:val="center"/>
              <w:rPr>
                <w:sz w:val="20"/>
                <w:szCs w:val="20"/>
              </w:rPr>
            </w:pPr>
            <w:r w:rsidRPr="008669C3">
              <w:rPr>
                <w:sz w:val="20"/>
                <w:szCs w:val="20"/>
              </w:rPr>
              <w:t>No</w:t>
            </w:r>
          </w:p>
        </w:tc>
      </w:tr>
      <w:tr w:rsidR="00535F81" w:rsidRPr="008669C3" w14:paraId="14D32F88"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118A1782" w14:textId="77777777" w:rsidR="00535F81" w:rsidRPr="008669C3" w:rsidRDefault="00535F81" w:rsidP="00535F81">
            <w:pPr>
              <w:rPr>
                <w:sz w:val="20"/>
                <w:szCs w:val="20"/>
              </w:rPr>
            </w:pPr>
            <w:r w:rsidRPr="008669C3">
              <w:rPr>
                <w:sz w:val="20"/>
                <w:szCs w:val="20"/>
              </w:rPr>
              <w:t>CEO-Firm FE</w:t>
            </w:r>
          </w:p>
        </w:tc>
        <w:tc>
          <w:tcPr>
            <w:tcW w:w="780" w:type="pct"/>
            <w:tcBorders>
              <w:top w:val="nil"/>
              <w:left w:val="nil"/>
              <w:bottom w:val="nil"/>
              <w:right w:val="nil"/>
            </w:tcBorders>
            <w:shd w:val="clear" w:color="auto" w:fill="auto"/>
            <w:noWrap/>
            <w:vAlign w:val="bottom"/>
            <w:hideMark/>
          </w:tcPr>
          <w:p w14:paraId="79B4844E" w14:textId="77777777" w:rsidR="00535F81" w:rsidRPr="008669C3" w:rsidRDefault="00535F81" w:rsidP="00535F81">
            <w:pPr>
              <w:jc w:val="center"/>
              <w:rPr>
                <w:sz w:val="20"/>
                <w:szCs w:val="20"/>
              </w:rPr>
            </w:pPr>
            <w:r w:rsidRPr="008669C3">
              <w:rPr>
                <w:sz w:val="20"/>
                <w:szCs w:val="20"/>
              </w:rPr>
              <w:t>No</w:t>
            </w:r>
          </w:p>
        </w:tc>
        <w:tc>
          <w:tcPr>
            <w:tcW w:w="846" w:type="pct"/>
            <w:tcBorders>
              <w:top w:val="nil"/>
              <w:left w:val="nil"/>
              <w:bottom w:val="nil"/>
              <w:right w:val="nil"/>
            </w:tcBorders>
            <w:shd w:val="clear" w:color="auto" w:fill="auto"/>
            <w:noWrap/>
            <w:vAlign w:val="bottom"/>
            <w:hideMark/>
          </w:tcPr>
          <w:p w14:paraId="1D449960" w14:textId="77777777" w:rsidR="00535F81" w:rsidRPr="008669C3" w:rsidRDefault="00535F81" w:rsidP="00535F81">
            <w:pPr>
              <w:jc w:val="center"/>
              <w:rPr>
                <w:sz w:val="20"/>
                <w:szCs w:val="20"/>
              </w:rPr>
            </w:pPr>
            <w:r w:rsidRPr="008669C3">
              <w:rPr>
                <w:sz w:val="20"/>
                <w:szCs w:val="20"/>
              </w:rPr>
              <w:t>Yes</w:t>
            </w:r>
          </w:p>
        </w:tc>
        <w:tc>
          <w:tcPr>
            <w:tcW w:w="162" w:type="pct"/>
            <w:tcBorders>
              <w:top w:val="nil"/>
              <w:left w:val="nil"/>
              <w:bottom w:val="nil"/>
              <w:right w:val="nil"/>
            </w:tcBorders>
            <w:shd w:val="clear" w:color="auto" w:fill="auto"/>
            <w:noWrap/>
            <w:vAlign w:val="bottom"/>
            <w:hideMark/>
          </w:tcPr>
          <w:p w14:paraId="6BBCC739"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4433BD42" w14:textId="77777777" w:rsidR="00535F81" w:rsidRPr="008669C3" w:rsidRDefault="00535F81" w:rsidP="00535F81">
            <w:pPr>
              <w:jc w:val="center"/>
              <w:rPr>
                <w:sz w:val="20"/>
                <w:szCs w:val="20"/>
              </w:rPr>
            </w:pPr>
            <w:r w:rsidRPr="008669C3">
              <w:rPr>
                <w:sz w:val="20"/>
                <w:szCs w:val="20"/>
              </w:rPr>
              <w:t>No</w:t>
            </w:r>
          </w:p>
        </w:tc>
        <w:tc>
          <w:tcPr>
            <w:tcW w:w="847" w:type="pct"/>
            <w:tcBorders>
              <w:top w:val="nil"/>
              <w:left w:val="nil"/>
              <w:bottom w:val="nil"/>
              <w:right w:val="nil"/>
            </w:tcBorders>
            <w:shd w:val="clear" w:color="auto" w:fill="auto"/>
            <w:noWrap/>
            <w:vAlign w:val="bottom"/>
            <w:hideMark/>
          </w:tcPr>
          <w:p w14:paraId="0FF06805" w14:textId="77777777" w:rsidR="00535F81" w:rsidRPr="008669C3" w:rsidRDefault="00535F81" w:rsidP="00535F81">
            <w:pPr>
              <w:jc w:val="center"/>
              <w:rPr>
                <w:sz w:val="20"/>
                <w:szCs w:val="20"/>
              </w:rPr>
            </w:pPr>
            <w:r w:rsidRPr="008669C3">
              <w:rPr>
                <w:sz w:val="20"/>
                <w:szCs w:val="20"/>
              </w:rPr>
              <w:t>Yes</w:t>
            </w:r>
          </w:p>
        </w:tc>
      </w:tr>
      <w:tr w:rsidR="00535F81" w:rsidRPr="008669C3" w14:paraId="5E7322A1"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04D3323A" w14:textId="77777777" w:rsidR="00535F81" w:rsidRPr="008669C3" w:rsidRDefault="00535F81" w:rsidP="00535F81">
            <w:pPr>
              <w:rPr>
                <w:sz w:val="20"/>
                <w:szCs w:val="20"/>
              </w:rPr>
            </w:pPr>
            <w:r w:rsidRPr="008669C3">
              <w:rPr>
                <w:sz w:val="20"/>
                <w:szCs w:val="20"/>
              </w:rPr>
              <w:t>Industry-Year FE</w:t>
            </w:r>
          </w:p>
        </w:tc>
        <w:tc>
          <w:tcPr>
            <w:tcW w:w="780" w:type="pct"/>
            <w:tcBorders>
              <w:top w:val="nil"/>
              <w:left w:val="nil"/>
              <w:bottom w:val="nil"/>
              <w:right w:val="nil"/>
            </w:tcBorders>
            <w:shd w:val="clear" w:color="auto" w:fill="auto"/>
            <w:noWrap/>
            <w:vAlign w:val="bottom"/>
            <w:hideMark/>
          </w:tcPr>
          <w:p w14:paraId="353A88ED" w14:textId="77777777" w:rsidR="00535F81" w:rsidRPr="008669C3" w:rsidRDefault="00535F81" w:rsidP="00535F81">
            <w:pPr>
              <w:jc w:val="center"/>
              <w:rPr>
                <w:sz w:val="20"/>
                <w:szCs w:val="20"/>
              </w:rPr>
            </w:pPr>
            <w:r w:rsidRPr="008669C3">
              <w:rPr>
                <w:sz w:val="20"/>
                <w:szCs w:val="20"/>
              </w:rPr>
              <w:t>Yes</w:t>
            </w:r>
          </w:p>
        </w:tc>
        <w:tc>
          <w:tcPr>
            <w:tcW w:w="846" w:type="pct"/>
            <w:tcBorders>
              <w:top w:val="nil"/>
              <w:left w:val="nil"/>
              <w:bottom w:val="nil"/>
              <w:right w:val="nil"/>
            </w:tcBorders>
            <w:shd w:val="clear" w:color="auto" w:fill="auto"/>
            <w:noWrap/>
            <w:vAlign w:val="bottom"/>
            <w:hideMark/>
          </w:tcPr>
          <w:p w14:paraId="21A3CC3C" w14:textId="77777777" w:rsidR="00535F81" w:rsidRPr="008669C3" w:rsidRDefault="00535F81" w:rsidP="00535F81">
            <w:pPr>
              <w:jc w:val="center"/>
              <w:rPr>
                <w:sz w:val="20"/>
                <w:szCs w:val="20"/>
              </w:rPr>
            </w:pPr>
            <w:r w:rsidRPr="008669C3">
              <w:rPr>
                <w:sz w:val="20"/>
                <w:szCs w:val="20"/>
              </w:rPr>
              <w:t>Yes</w:t>
            </w:r>
          </w:p>
        </w:tc>
        <w:tc>
          <w:tcPr>
            <w:tcW w:w="162" w:type="pct"/>
            <w:tcBorders>
              <w:top w:val="nil"/>
              <w:left w:val="nil"/>
              <w:bottom w:val="nil"/>
              <w:right w:val="nil"/>
            </w:tcBorders>
            <w:shd w:val="clear" w:color="auto" w:fill="auto"/>
            <w:noWrap/>
            <w:vAlign w:val="bottom"/>
            <w:hideMark/>
          </w:tcPr>
          <w:p w14:paraId="23DECEFF"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35B7E521" w14:textId="77777777" w:rsidR="00535F81" w:rsidRPr="008669C3" w:rsidRDefault="00535F81" w:rsidP="00535F81">
            <w:pPr>
              <w:jc w:val="center"/>
              <w:rPr>
                <w:sz w:val="20"/>
                <w:szCs w:val="20"/>
              </w:rPr>
            </w:pPr>
            <w:r w:rsidRPr="008669C3">
              <w:rPr>
                <w:sz w:val="20"/>
                <w:szCs w:val="20"/>
              </w:rPr>
              <w:t>Yes</w:t>
            </w:r>
          </w:p>
        </w:tc>
        <w:tc>
          <w:tcPr>
            <w:tcW w:w="847" w:type="pct"/>
            <w:tcBorders>
              <w:top w:val="nil"/>
              <w:left w:val="nil"/>
              <w:bottom w:val="nil"/>
              <w:right w:val="nil"/>
            </w:tcBorders>
            <w:shd w:val="clear" w:color="auto" w:fill="auto"/>
            <w:noWrap/>
            <w:vAlign w:val="bottom"/>
            <w:hideMark/>
          </w:tcPr>
          <w:p w14:paraId="6ADDEA51" w14:textId="77777777" w:rsidR="00535F81" w:rsidRPr="008669C3" w:rsidRDefault="00535F81" w:rsidP="00535F81">
            <w:pPr>
              <w:jc w:val="center"/>
              <w:rPr>
                <w:sz w:val="20"/>
                <w:szCs w:val="20"/>
              </w:rPr>
            </w:pPr>
            <w:r w:rsidRPr="008669C3">
              <w:rPr>
                <w:sz w:val="20"/>
                <w:szCs w:val="20"/>
              </w:rPr>
              <w:t>Yes</w:t>
            </w:r>
          </w:p>
        </w:tc>
      </w:tr>
      <w:tr w:rsidR="00535F81" w:rsidRPr="008669C3" w14:paraId="70A4DC17" w14:textId="77777777" w:rsidTr="00EA4854">
        <w:trPr>
          <w:trHeight w:val="20"/>
          <w:jc w:val="center"/>
        </w:trPr>
        <w:tc>
          <w:tcPr>
            <w:tcW w:w="1586" w:type="pct"/>
            <w:tcBorders>
              <w:top w:val="nil"/>
              <w:left w:val="nil"/>
              <w:bottom w:val="nil"/>
              <w:right w:val="nil"/>
            </w:tcBorders>
            <w:shd w:val="clear" w:color="auto" w:fill="auto"/>
            <w:noWrap/>
            <w:vAlign w:val="bottom"/>
            <w:hideMark/>
          </w:tcPr>
          <w:p w14:paraId="0204686A" w14:textId="77777777" w:rsidR="00535F81" w:rsidRPr="008669C3" w:rsidRDefault="00535F81" w:rsidP="00535F81">
            <w:pPr>
              <w:rPr>
                <w:sz w:val="20"/>
                <w:szCs w:val="20"/>
              </w:rPr>
            </w:pPr>
            <w:r w:rsidRPr="008669C3">
              <w:rPr>
                <w:sz w:val="20"/>
                <w:szCs w:val="20"/>
              </w:rPr>
              <w:t>N</w:t>
            </w:r>
          </w:p>
        </w:tc>
        <w:tc>
          <w:tcPr>
            <w:tcW w:w="780" w:type="pct"/>
            <w:tcBorders>
              <w:top w:val="nil"/>
              <w:left w:val="nil"/>
              <w:bottom w:val="nil"/>
              <w:right w:val="nil"/>
            </w:tcBorders>
            <w:shd w:val="clear" w:color="auto" w:fill="auto"/>
            <w:noWrap/>
            <w:vAlign w:val="bottom"/>
            <w:hideMark/>
          </w:tcPr>
          <w:p w14:paraId="7E264986" w14:textId="2287C898" w:rsidR="00535F81" w:rsidRPr="008669C3" w:rsidRDefault="00890C53" w:rsidP="00535F81">
            <w:pPr>
              <w:jc w:val="center"/>
              <w:rPr>
                <w:sz w:val="20"/>
                <w:szCs w:val="20"/>
              </w:rPr>
            </w:pPr>
            <w:r>
              <w:rPr>
                <w:sz w:val="20"/>
                <w:szCs w:val="20"/>
              </w:rPr>
              <w:t>9</w:t>
            </w:r>
            <w:r w:rsidR="00535F81" w:rsidRPr="008669C3">
              <w:rPr>
                <w:sz w:val="20"/>
                <w:szCs w:val="20"/>
              </w:rPr>
              <w:t>176</w:t>
            </w:r>
          </w:p>
        </w:tc>
        <w:tc>
          <w:tcPr>
            <w:tcW w:w="846" w:type="pct"/>
            <w:tcBorders>
              <w:top w:val="nil"/>
              <w:left w:val="nil"/>
              <w:bottom w:val="nil"/>
              <w:right w:val="nil"/>
            </w:tcBorders>
            <w:shd w:val="clear" w:color="auto" w:fill="auto"/>
            <w:noWrap/>
            <w:vAlign w:val="bottom"/>
            <w:hideMark/>
          </w:tcPr>
          <w:p w14:paraId="1DDFA188" w14:textId="0560AEB8" w:rsidR="00535F81" w:rsidRPr="008669C3" w:rsidRDefault="00890C53" w:rsidP="00535F81">
            <w:pPr>
              <w:jc w:val="center"/>
              <w:rPr>
                <w:sz w:val="20"/>
                <w:szCs w:val="20"/>
              </w:rPr>
            </w:pPr>
            <w:r>
              <w:rPr>
                <w:sz w:val="20"/>
                <w:szCs w:val="20"/>
              </w:rPr>
              <w:t>9</w:t>
            </w:r>
            <w:r w:rsidR="00535F81" w:rsidRPr="008669C3">
              <w:rPr>
                <w:sz w:val="20"/>
                <w:szCs w:val="20"/>
              </w:rPr>
              <w:t>176</w:t>
            </w:r>
          </w:p>
        </w:tc>
        <w:tc>
          <w:tcPr>
            <w:tcW w:w="162" w:type="pct"/>
            <w:tcBorders>
              <w:top w:val="nil"/>
              <w:left w:val="nil"/>
              <w:bottom w:val="nil"/>
              <w:right w:val="nil"/>
            </w:tcBorders>
            <w:shd w:val="clear" w:color="auto" w:fill="auto"/>
            <w:noWrap/>
            <w:vAlign w:val="bottom"/>
            <w:hideMark/>
          </w:tcPr>
          <w:p w14:paraId="27448E96" w14:textId="77777777" w:rsidR="00535F81" w:rsidRPr="008669C3" w:rsidRDefault="00535F81" w:rsidP="00535F81">
            <w:pPr>
              <w:jc w:val="center"/>
              <w:rPr>
                <w:sz w:val="20"/>
                <w:szCs w:val="20"/>
              </w:rPr>
            </w:pPr>
          </w:p>
        </w:tc>
        <w:tc>
          <w:tcPr>
            <w:tcW w:w="779" w:type="pct"/>
            <w:tcBorders>
              <w:top w:val="nil"/>
              <w:left w:val="nil"/>
              <w:bottom w:val="nil"/>
              <w:right w:val="nil"/>
            </w:tcBorders>
            <w:shd w:val="clear" w:color="auto" w:fill="auto"/>
            <w:noWrap/>
            <w:vAlign w:val="bottom"/>
            <w:hideMark/>
          </w:tcPr>
          <w:p w14:paraId="0C1EE278" w14:textId="691B7C18" w:rsidR="00535F81" w:rsidRPr="008669C3" w:rsidRDefault="00535F81" w:rsidP="00890C53">
            <w:pPr>
              <w:jc w:val="center"/>
              <w:rPr>
                <w:sz w:val="20"/>
                <w:szCs w:val="20"/>
              </w:rPr>
            </w:pPr>
            <w:r w:rsidRPr="008669C3">
              <w:rPr>
                <w:sz w:val="20"/>
                <w:szCs w:val="20"/>
              </w:rPr>
              <w:t>9176</w:t>
            </w:r>
          </w:p>
        </w:tc>
        <w:tc>
          <w:tcPr>
            <w:tcW w:w="847" w:type="pct"/>
            <w:tcBorders>
              <w:top w:val="nil"/>
              <w:left w:val="nil"/>
              <w:bottom w:val="nil"/>
              <w:right w:val="nil"/>
            </w:tcBorders>
            <w:shd w:val="clear" w:color="auto" w:fill="auto"/>
            <w:noWrap/>
            <w:vAlign w:val="bottom"/>
            <w:hideMark/>
          </w:tcPr>
          <w:p w14:paraId="17E2BE22" w14:textId="5E7487D9" w:rsidR="00535F81" w:rsidRPr="008669C3" w:rsidRDefault="00535F81" w:rsidP="00890C53">
            <w:pPr>
              <w:jc w:val="center"/>
              <w:rPr>
                <w:sz w:val="20"/>
                <w:szCs w:val="20"/>
              </w:rPr>
            </w:pPr>
            <w:r w:rsidRPr="008669C3">
              <w:rPr>
                <w:sz w:val="20"/>
                <w:szCs w:val="20"/>
              </w:rPr>
              <w:t>9176</w:t>
            </w:r>
          </w:p>
        </w:tc>
      </w:tr>
      <w:tr w:rsidR="0024682D" w:rsidRPr="008669C3" w14:paraId="292D4852" w14:textId="77777777" w:rsidTr="00EA4854">
        <w:trPr>
          <w:trHeight w:val="20"/>
          <w:jc w:val="center"/>
        </w:trPr>
        <w:tc>
          <w:tcPr>
            <w:tcW w:w="1586" w:type="pct"/>
            <w:tcBorders>
              <w:top w:val="nil"/>
              <w:left w:val="nil"/>
              <w:bottom w:val="single" w:sz="4" w:space="0" w:color="auto"/>
              <w:right w:val="nil"/>
            </w:tcBorders>
            <w:shd w:val="clear" w:color="auto" w:fill="auto"/>
            <w:noWrap/>
            <w:vAlign w:val="bottom"/>
            <w:hideMark/>
          </w:tcPr>
          <w:p w14:paraId="7F9C51F7" w14:textId="77777777" w:rsidR="0024682D" w:rsidRPr="008669C3" w:rsidRDefault="0024682D" w:rsidP="0024682D">
            <w:pPr>
              <w:rPr>
                <w:sz w:val="20"/>
                <w:szCs w:val="20"/>
              </w:rPr>
            </w:pPr>
            <w:r w:rsidRPr="008669C3">
              <w:rPr>
                <w:sz w:val="20"/>
                <w:szCs w:val="20"/>
              </w:rPr>
              <w:t>Adjusted R</w:t>
            </w:r>
            <w:r w:rsidRPr="008669C3">
              <w:rPr>
                <w:sz w:val="20"/>
                <w:szCs w:val="20"/>
                <w:vertAlign w:val="superscript"/>
              </w:rPr>
              <w:t>2</w:t>
            </w:r>
          </w:p>
        </w:tc>
        <w:tc>
          <w:tcPr>
            <w:tcW w:w="780" w:type="pct"/>
            <w:tcBorders>
              <w:top w:val="nil"/>
              <w:left w:val="nil"/>
              <w:bottom w:val="single" w:sz="4" w:space="0" w:color="auto"/>
              <w:right w:val="nil"/>
            </w:tcBorders>
            <w:shd w:val="clear" w:color="auto" w:fill="auto"/>
            <w:noWrap/>
            <w:vAlign w:val="bottom"/>
            <w:hideMark/>
          </w:tcPr>
          <w:p w14:paraId="2B017B6D" w14:textId="5862C793" w:rsidR="0024682D" w:rsidRPr="008669C3" w:rsidRDefault="0024682D" w:rsidP="0024682D">
            <w:pPr>
              <w:jc w:val="center"/>
              <w:rPr>
                <w:sz w:val="20"/>
                <w:szCs w:val="20"/>
              </w:rPr>
            </w:pPr>
            <w:r w:rsidRPr="008669C3">
              <w:rPr>
                <w:sz w:val="20"/>
                <w:szCs w:val="20"/>
              </w:rPr>
              <w:t>0.202</w:t>
            </w:r>
          </w:p>
        </w:tc>
        <w:tc>
          <w:tcPr>
            <w:tcW w:w="846" w:type="pct"/>
            <w:tcBorders>
              <w:top w:val="nil"/>
              <w:left w:val="nil"/>
              <w:bottom w:val="single" w:sz="4" w:space="0" w:color="auto"/>
              <w:right w:val="nil"/>
            </w:tcBorders>
            <w:shd w:val="clear" w:color="auto" w:fill="auto"/>
            <w:noWrap/>
            <w:vAlign w:val="bottom"/>
            <w:hideMark/>
          </w:tcPr>
          <w:p w14:paraId="72E8C076" w14:textId="6EDAC11E" w:rsidR="0024682D" w:rsidRPr="008669C3" w:rsidRDefault="0024682D" w:rsidP="0024682D">
            <w:pPr>
              <w:jc w:val="center"/>
              <w:rPr>
                <w:sz w:val="20"/>
                <w:szCs w:val="20"/>
              </w:rPr>
            </w:pPr>
            <w:r w:rsidRPr="008669C3">
              <w:rPr>
                <w:sz w:val="20"/>
                <w:szCs w:val="20"/>
              </w:rPr>
              <w:t>0.126</w:t>
            </w:r>
          </w:p>
        </w:tc>
        <w:tc>
          <w:tcPr>
            <w:tcW w:w="162" w:type="pct"/>
            <w:tcBorders>
              <w:top w:val="nil"/>
              <w:left w:val="nil"/>
              <w:bottom w:val="single" w:sz="4" w:space="0" w:color="auto"/>
              <w:right w:val="nil"/>
            </w:tcBorders>
            <w:shd w:val="clear" w:color="auto" w:fill="auto"/>
            <w:noWrap/>
            <w:vAlign w:val="bottom"/>
            <w:hideMark/>
          </w:tcPr>
          <w:p w14:paraId="662C7416" w14:textId="7F515B51" w:rsidR="0024682D" w:rsidRPr="008669C3" w:rsidRDefault="0024682D" w:rsidP="0024682D">
            <w:pPr>
              <w:jc w:val="center"/>
              <w:rPr>
                <w:sz w:val="20"/>
                <w:szCs w:val="20"/>
              </w:rPr>
            </w:pPr>
          </w:p>
        </w:tc>
        <w:tc>
          <w:tcPr>
            <w:tcW w:w="779" w:type="pct"/>
            <w:tcBorders>
              <w:top w:val="nil"/>
              <w:left w:val="nil"/>
              <w:bottom w:val="single" w:sz="4" w:space="0" w:color="auto"/>
              <w:right w:val="nil"/>
            </w:tcBorders>
            <w:shd w:val="clear" w:color="auto" w:fill="auto"/>
            <w:noWrap/>
            <w:vAlign w:val="bottom"/>
            <w:hideMark/>
          </w:tcPr>
          <w:p w14:paraId="526E6EB2" w14:textId="1114C76C" w:rsidR="0024682D" w:rsidRPr="008669C3" w:rsidRDefault="0024682D" w:rsidP="0024682D">
            <w:pPr>
              <w:jc w:val="center"/>
              <w:rPr>
                <w:sz w:val="20"/>
                <w:szCs w:val="20"/>
              </w:rPr>
            </w:pPr>
            <w:r w:rsidRPr="008669C3">
              <w:rPr>
                <w:sz w:val="20"/>
                <w:szCs w:val="20"/>
              </w:rPr>
              <w:t>0.202</w:t>
            </w:r>
          </w:p>
        </w:tc>
        <w:tc>
          <w:tcPr>
            <w:tcW w:w="847" w:type="pct"/>
            <w:tcBorders>
              <w:top w:val="nil"/>
              <w:left w:val="nil"/>
              <w:bottom w:val="single" w:sz="4" w:space="0" w:color="auto"/>
              <w:right w:val="nil"/>
            </w:tcBorders>
            <w:shd w:val="clear" w:color="auto" w:fill="auto"/>
            <w:noWrap/>
            <w:vAlign w:val="bottom"/>
            <w:hideMark/>
          </w:tcPr>
          <w:p w14:paraId="7199826B" w14:textId="7A8F6CB4" w:rsidR="0024682D" w:rsidRPr="008669C3" w:rsidRDefault="0024682D" w:rsidP="0024682D">
            <w:pPr>
              <w:jc w:val="center"/>
              <w:rPr>
                <w:sz w:val="20"/>
                <w:szCs w:val="20"/>
              </w:rPr>
            </w:pPr>
            <w:r w:rsidRPr="008669C3">
              <w:rPr>
                <w:sz w:val="20"/>
                <w:szCs w:val="20"/>
              </w:rPr>
              <w:t>0.127</w:t>
            </w:r>
          </w:p>
        </w:tc>
      </w:tr>
    </w:tbl>
    <w:p w14:paraId="493C3899" w14:textId="77777777" w:rsidR="001900E3" w:rsidRPr="008669C3" w:rsidRDefault="001900E3" w:rsidP="001900E3">
      <w:pPr>
        <w:jc w:val="both"/>
        <w:rPr>
          <w:iCs/>
          <w:color w:val="FF0000"/>
          <w:sz w:val="20"/>
          <w:szCs w:val="20"/>
        </w:rPr>
      </w:pPr>
    </w:p>
    <w:p w14:paraId="26541203" w14:textId="77777777" w:rsidR="001900E3" w:rsidRPr="008669C3" w:rsidRDefault="001900E3" w:rsidP="001900E3">
      <w:pPr>
        <w:snapToGrid w:val="0"/>
        <w:jc w:val="both"/>
        <w:rPr>
          <w:color w:val="FF0000"/>
          <w:sz w:val="20"/>
          <w:szCs w:val="20"/>
        </w:rPr>
      </w:pPr>
    </w:p>
    <w:p w14:paraId="0243BB0F" w14:textId="77777777" w:rsidR="001900E3" w:rsidRPr="008669C3" w:rsidRDefault="001900E3" w:rsidP="001900E3">
      <w:pPr>
        <w:snapToGrid w:val="0"/>
        <w:jc w:val="both"/>
        <w:rPr>
          <w:color w:val="FF0000"/>
          <w:sz w:val="20"/>
          <w:szCs w:val="20"/>
        </w:rPr>
      </w:pPr>
    </w:p>
    <w:p w14:paraId="787E13E5" w14:textId="77777777" w:rsidR="007A69F4" w:rsidRPr="008669C3" w:rsidRDefault="007A69F4" w:rsidP="001900E3">
      <w:pPr>
        <w:snapToGrid w:val="0"/>
        <w:jc w:val="both"/>
        <w:rPr>
          <w:color w:val="FF0000"/>
          <w:sz w:val="20"/>
          <w:szCs w:val="20"/>
        </w:rPr>
      </w:pPr>
    </w:p>
    <w:p w14:paraId="1402A683" w14:textId="77777777" w:rsidR="0075677A" w:rsidRPr="008669C3" w:rsidRDefault="0075677A" w:rsidP="001900E3">
      <w:pPr>
        <w:snapToGrid w:val="0"/>
        <w:jc w:val="both"/>
        <w:rPr>
          <w:color w:val="FF0000"/>
          <w:sz w:val="20"/>
          <w:szCs w:val="20"/>
        </w:rPr>
      </w:pPr>
    </w:p>
    <w:p w14:paraId="36C187C7" w14:textId="3982AEAA" w:rsidR="0075677A" w:rsidRPr="008669C3" w:rsidRDefault="00535F81" w:rsidP="001900E3">
      <w:pPr>
        <w:snapToGrid w:val="0"/>
        <w:jc w:val="both"/>
        <w:rPr>
          <w:i/>
          <w:szCs w:val="20"/>
        </w:rPr>
      </w:pPr>
      <w:r w:rsidRPr="008669C3">
        <w:rPr>
          <w:i/>
          <w:szCs w:val="20"/>
        </w:rPr>
        <w:t xml:space="preserve">Panel B. </w:t>
      </w:r>
      <w:r w:rsidR="0075677A" w:rsidRPr="008669C3">
        <w:rPr>
          <w:i/>
          <w:szCs w:val="20"/>
        </w:rPr>
        <w:t>Using an alternative measure of managerial risk-taking incentives</w:t>
      </w:r>
    </w:p>
    <w:tbl>
      <w:tblPr>
        <w:tblW w:w="5000" w:type="pct"/>
        <w:tblLook w:val="04A0" w:firstRow="1" w:lastRow="0" w:firstColumn="1" w:lastColumn="0" w:noHBand="0" w:noVBand="1"/>
      </w:tblPr>
      <w:tblGrid>
        <w:gridCol w:w="3659"/>
        <w:gridCol w:w="1454"/>
        <w:gridCol w:w="1454"/>
        <w:gridCol w:w="389"/>
        <w:gridCol w:w="1310"/>
        <w:gridCol w:w="1310"/>
      </w:tblGrid>
      <w:tr w:rsidR="00535F81" w:rsidRPr="008669C3" w14:paraId="02523A25" w14:textId="77777777" w:rsidTr="00535F81">
        <w:trPr>
          <w:trHeight w:val="20"/>
        </w:trPr>
        <w:tc>
          <w:tcPr>
            <w:tcW w:w="1911" w:type="pct"/>
            <w:tcBorders>
              <w:top w:val="single" w:sz="4" w:space="0" w:color="auto"/>
              <w:left w:val="nil"/>
              <w:bottom w:val="nil"/>
              <w:right w:val="nil"/>
            </w:tcBorders>
            <w:shd w:val="clear" w:color="auto" w:fill="auto"/>
            <w:noWrap/>
            <w:vAlign w:val="bottom"/>
            <w:hideMark/>
          </w:tcPr>
          <w:p w14:paraId="6B352BB9" w14:textId="0333B55A" w:rsidR="00535F81" w:rsidRPr="008669C3" w:rsidRDefault="00535F81" w:rsidP="00535F81">
            <w:pPr>
              <w:rPr>
                <w:iCs/>
                <w:color w:val="000000"/>
                <w:sz w:val="20"/>
                <w:szCs w:val="20"/>
              </w:rPr>
            </w:pPr>
          </w:p>
        </w:tc>
        <w:tc>
          <w:tcPr>
            <w:tcW w:w="3089" w:type="pct"/>
            <w:gridSpan w:val="5"/>
            <w:tcBorders>
              <w:top w:val="single" w:sz="4" w:space="0" w:color="auto"/>
              <w:left w:val="nil"/>
              <w:bottom w:val="single" w:sz="4" w:space="0" w:color="auto"/>
              <w:right w:val="nil"/>
            </w:tcBorders>
            <w:shd w:val="clear" w:color="auto" w:fill="auto"/>
            <w:noWrap/>
            <w:vAlign w:val="bottom"/>
            <w:hideMark/>
          </w:tcPr>
          <w:p w14:paraId="71DB3A23" w14:textId="6D9188A3" w:rsidR="00535F81" w:rsidRPr="008669C3" w:rsidRDefault="00A35B55" w:rsidP="00535F81">
            <w:pPr>
              <w:jc w:val="center"/>
              <w:rPr>
                <w:i/>
                <w:iCs/>
                <w:color w:val="000000"/>
                <w:sz w:val="20"/>
                <w:szCs w:val="20"/>
              </w:rPr>
            </w:pPr>
            <w:r w:rsidRPr="008669C3">
              <w:rPr>
                <w:iCs/>
                <w:color w:val="000000"/>
                <w:sz w:val="20"/>
                <w:szCs w:val="20"/>
              </w:rPr>
              <w:t xml:space="preserve">Dependent variable: </w:t>
            </w:r>
            <w:r w:rsidRPr="008669C3">
              <w:rPr>
                <w:i/>
                <w:iCs/>
                <w:color w:val="000000"/>
                <w:sz w:val="20"/>
                <w:szCs w:val="20"/>
              </w:rPr>
              <w:t>Ln(1+Option)</w:t>
            </w:r>
          </w:p>
        </w:tc>
      </w:tr>
      <w:tr w:rsidR="00535F81" w:rsidRPr="008669C3" w14:paraId="55830392" w14:textId="77777777" w:rsidTr="00535F81">
        <w:trPr>
          <w:trHeight w:val="20"/>
        </w:trPr>
        <w:tc>
          <w:tcPr>
            <w:tcW w:w="1911" w:type="pct"/>
            <w:tcBorders>
              <w:top w:val="nil"/>
              <w:left w:val="nil"/>
              <w:bottom w:val="single" w:sz="4" w:space="0" w:color="auto"/>
              <w:right w:val="nil"/>
            </w:tcBorders>
            <w:shd w:val="clear" w:color="auto" w:fill="auto"/>
            <w:noWrap/>
            <w:vAlign w:val="bottom"/>
            <w:hideMark/>
          </w:tcPr>
          <w:p w14:paraId="278D406F" w14:textId="77777777" w:rsidR="00535F81" w:rsidRPr="008669C3" w:rsidRDefault="00535F81" w:rsidP="00535F81">
            <w:pPr>
              <w:rPr>
                <w:iCs/>
                <w:color w:val="000000"/>
                <w:sz w:val="20"/>
                <w:szCs w:val="20"/>
              </w:rPr>
            </w:pPr>
            <w:r w:rsidRPr="008669C3">
              <w:rPr>
                <w:iCs/>
                <w:color w:val="000000"/>
                <w:sz w:val="20"/>
                <w:szCs w:val="20"/>
              </w:rPr>
              <w:t> </w:t>
            </w:r>
          </w:p>
        </w:tc>
        <w:tc>
          <w:tcPr>
            <w:tcW w:w="759" w:type="pct"/>
            <w:tcBorders>
              <w:top w:val="nil"/>
              <w:left w:val="nil"/>
              <w:bottom w:val="single" w:sz="4" w:space="0" w:color="auto"/>
              <w:right w:val="nil"/>
            </w:tcBorders>
            <w:shd w:val="clear" w:color="auto" w:fill="auto"/>
            <w:noWrap/>
            <w:vAlign w:val="bottom"/>
            <w:hideMark/>
          </w:tcPr>
          <w:p w14:paraId="70EDB57F" w14:textId="3E4D01FF" w:rsidR="00535F81" w:rsidRPr="008669C3" w:rsidRDefault="002E0A3A" w:rsidP="00535F81">
            <w:pPr>
              <w:jc w:val="center"/>
              <w:rPr>
                <w:color w:val="000000"/>
                <w:sz w:val="20"/>
                <w:szCs w:val="20"/>
              </w:rPr>
            </w:pPr>
            <w:r w:rsidRPr="008669C3">
              <w:rPr>
                <w:color w:val="000000"/>
                <w:sz w:val="20"/>
                <w:szCs w:val="20"/>
              </w:rPr>
              <w:t>(</w:t>
            </w:r>
            <w:r w:rsidR="00535F81" w:rsidRPr="008669C3">
              <w:rPr>
                <w:color w:val="000000"/>
                <w:sz w:val="20"/>
                <w:szCs w:val="20"/>
              </w:rPr>
              <w:t>1</w:t>
            </w:r>
            <w:r w:rsidRPr="008669C3">
              <w:rPr>
                <w:color w:val="000000"/>
                <w:sz w:val="20"/>
                <w:szCs w:val="20"/>
              </w:rPr>
              <w:t>)</w:t>
            </w:r>
          </w:p>
        </w:tc>
        <w:tc>
          <w:tcPr>
            <w:tcW w:w="759" w:type="pct"/>
            <w:tcBorders>
              <w:top w:val="nil"/>
              <w:left w:val="nil"/>
              <w:bottom w:val="single" w:sz="4" w:space="0" w:color="auto"/>
              <w:right w:val="nil"/>
            </w:tcBorders>
            <w:shd w:val="clear" w:color="auto" w:fill="auto"/>
            <w:noWrap/>
            <w:vAlign w:val="bottom"/>
            <w:hideMark/>
          </w:tcPr>
          <w:p w14:paraId="6A58AB71" w14:textId="5C092E6B" w:rsidR="00535F81" w:rsidRPr="008669C3" w:rsidRDefault="002E0A3A" w:rsidP="00535F81">
            <w:pPr>
              <w:jc w:val="center"/>
              <w:rPr>
                <w:color w:val="000000"/>
                <w:sz w:val="20"/>
                <w:szCs w:val="20"/>
              </w:rPr>
            </w:pPr>
            <w:r w:rsidRPr="008669C3">
              <w:rPr>
                <w:color w:val="000000"/>
                <w:sz w:val="20"/>
                <w:szCs w:val="20"/>
              </w:rPr>
              <w:t>(</w:t>
            </w:r>
            <w:r w:rsidR="00535F81" w:rsidRPr="008669C3">
              <w:rPr>
                <w:color w:val="000000"/>
                <w:sz w:val="20"/>
                <w:szCs w:val="20"/>
              </w:rPr>
              <w:t>2</w:t>
            </w:r>
            <w:r w:rsidRPr="008669C3">
              <w:rPr>
                <w:color w:val="000000"/>
                <w:sz w:val="20"/>
                <w:szCs w:val="20"/>
              </w:rPr>
              <w:t>)</w:t>
            </w:r>
          </w:p>
        </w:tc>
        <w:tc>
          <w:tcPr>
            <w:tcW w:w="203" w:type="pct"/>
            <w:tcBorders>
              <w:top w:val="nil"/>
              <w:left w:val="nil"/>
              <w:bottom w:val="single" w:sz="4" w:space="0" w:color="auto"/>
              <w:right w:val="nil"/>
            </w:tcBorders>
            <w:shd w:val="clear" w:color="auto" w:fill="auto"/>
            <w:noWrap/>
            <w:vAlign w:val="bottom"/>
            <w:hideMark/>
          </w:tcPr>
          <w:p w14:paraId="66B5F3E0" w14:textId="77777777" w:rsidR="00535F81" w:rsidRPr="008669C3" w:rsidRDefault="00535F81" w:rsidP="00535F81">
            <w:pPr>
              <w:jc w:val="center"/>
              <w:rPr>
                <w:color w:val="000000"/>
                <w:sz w:val="20"/>
                <w:szCs w:val="20"/>
              </w:rPr>
            </w:pPr>
            <w:r w:rsidRPr="008669C3">
              <w:rPr>
                <w:color w:val="000000"/>
                <w:sz w:val="20"/>
                <w:szCs w:val="20"/>
              </w:rPr>
              <w:t> </w:t>
            </w:r>
          </w:p>
        </w:tc>
        <w:tc>
          <w:tcPr>
            <w:tcW w:w="684" w:type="pct"/>
            <w:tcBorders>
              <w:top w:val="nil"/>
              <w:left w:val="nil"/>
              <w:bottom w:val="single" w:sz="4" w:space="0" w:color="auto"/>
              <w:right w:val="nil"/>
            </w:tcBorders>
            <w:shd w:val="clear" w:color="auto" w:fill="auto"/>
            <w:noWrap/>
            <w:vAlign w:val="bottom"/>
            <w:hideMark/>
          </w:tcPr>
          <w:p w14:paraId="6D59D2CE" w14:textId="6746ADB0" w:rsidR="00535F81" w:rsidRPr="008669C3" w:rsidRDefault="002E0A3A" w:rsidP="00535F81">
            <w:pPr>
              <w:jc w:val="center"/>
              <w:rPr>
                <w:color w:val="000000"/>
                <w:sz w:val="20"/>
                <w:szCs w:val="20"/>
              </w:rPr>
            </w:pPr>
            <w:r w:rsidRPr="008669C3">
              <w:rPr>
                <w:color w:val="000000"/>
                <w:sz w:val="20"/>
                <w:szCs w:val="20"/>
              </w:rPr>
              <w:t>(</w:t>
            </w:r>
            <w:r w:rsidR="00535F81" w:rsidRPr="008669C3">
              <w:rPr>
                <w:color w:val="000000"/>
                <w:sz w:val="20"/>
                <w:szCs w:val="20"/>
              </w:rPr>
              <w:t>3</w:t>
            </w:r>
            <w:r w:rsidRPr="008669C3">
              <w:rPr>
                <w:color w:val="000000"/>
                <w:sz w:val="20"/>
                <w:szCs w:val="20"/>
              </w:rPr>
              <w:t>)</w:t>
            </w:r>
          </w:p>
        </w:tc>
        <w:tc>
          <w:tcPr>
            <w:tcW w:w="684" w:type="pct"/>
            <w:tcBorders>
              <w:top w:val="nil"/>
              <w:left w:val="nil"/>
              <w:bottom w:val="single" w:sz="4" w:space="0" w:color="auto"/>
              <w:right w:val="nil"/>
            </w:tcBorders>
            <w:shd w:val="clear" w:color="auto" w:fill="auto"/>
            <w:noWrap/>
            <w:vAlign w:val="bottom"/>
            <w:hideMark/>
          </w:tcPr>
          <w:p w14:paraId="29F92166" w14:textId="1D822B95" w:rsidR="00535F81" w:rsidRPr="008669C3" w:rsidRDefault="002E0A3A" w:rsidP="00535F81">
            <w:pPr>
              <w:jc w:val="center"/>
              <w:rPr>
                <w:color w:val="000000"/>
                <w:sz w:val="20"/>
                <w:szCs w:val="20"/>
              </w:rPr>
            </w:pPr>
            <w:r w:rsidRPr="008669C3">
              <w:rPr>
                <w:color w:val="000000"/>
                <w:sz w:val="20"/>
                <w:szCs w:val="20"/>
              </w:rPr>
              <w:t>(</w:t>
            </w:r>
            <w:r w:rsidR="00535F81" w:rsidRPr="008669C3">
              <w:rPr>
                <w:color w:val="000000"/>
                <w:sz w:val="20"/>
                <w:szCs w:val="20"/>
              </w:rPr>
              <w:t>4</w:t>
            </w:r>
            <w:r w:rsidRPr="008669C3">
              <w:rPr>
                <w:color w:val="000000"/>
                <w:sz w:val="20"/>
                <w:szCs w:val="20"/>
              </w:rPr>
              <w:t>)</w:t>
            </w:r>
          </w:p>
        </w:tc>
      </w:tr>
      <w:tr w:rsidR="00535F81" w:rsidRPr="008669C3" w14:paraId="1EE42143" w14:textId="77777777" w:rsidTr="00535F81">
        <w:trPr>
          <w:trHeight w:val="20"/>
        </w:trPr>
        <w:tc>
          <w:tcPr>
            <w:tcW w:w="1911" w:type="pct"/>
            <w:tcBorders>
              <w:top w:val="nil"/>
              <w:left w:val="nil"/>
              <w:bottom w:val="nil"/>
              <w:right w:val="nil"/>
            </w:tcBorders>
            <w:shd w:val="clear" w:color="auto" w:fill="auto"/>
            <w:noWrap/>
            <w:vAlign w:val="bottom"/>
            <w:hideMark/>
          </w:tcPr>
          <w:p w14:paraId="1E2CD6C0" w14:textId="77777777" w:rsidR="00535F81" w:rsidRPr="008669C3" w:rsidRDefault="00535F81" w:rsidP="00535F81">
            <w:pPr>
              <w:rPr>
                <w:iCs/>
                <w:color w:val="000000"/>
                <w:sz w:val="20"/>
                <w:szCs w:val="20"/>
              </w:rPr>
            </w:pPr>
            <w:r w:rsidRPr="008669C3">
              <w:rPr>
                <w:iCs/>
                <w:color w:val="000000"/>
                <w:sz w:val="20"/>
                <w:szCs w:val="20"/>
              </w:rPr>
              <w:t>CDS trading</w:t>
            </w:r>
          </w:p>
        </w:tc>
        <w:tc>
          <w:tcPr>
            <w:tcW w:w="759" w:type="pct"/>
            <w:tcBorders>
              <w:top w:val="nil"/>
              <w:left w:val="nil"/>
              <w:bottom w:val="nil"/>
              <w:right w:val="nil"/>
            </w:tcBorders>
            <w:shd w:val="clear" w:color="auto" w:fill="auto"/>
            <w:noWrap/>
            <w:vAlign w:val="bottom"/>
            <w:hideMark/>
          </w:tcPr>
          <w:p w14:paraId="39374E01" w14:textId="77777777" w:rsidR="00535F81" w:rsidRPr="008669C3" w:rsidRDefault="00535F81" w:rsidP="00535F81">
            <w:pPr>
              <w:jc w:val="center"/>
              <w:rPr>
                <w:sz w:val="20"/>
                <w:szCs w:val="20"/>
              </w:rPr>
            </w:pPr>
            <w:r w:rsidRPr="008669C3">
              <w:rPr>
                <w:sz w:val="20"/>
                <w:szCs w:val="20"/>
              </w:rPr>
              <w:t>1.469**</w:t>
            </w:r>
          </w:p>
        </w:tc>
        <w:tc>
          <w:tcPr>
            <w:tcW w:w="759" w:type="pct"/>
            <w:tcBorders>
              <w:top w:val="nil"/>
              <w:left w:val="nil"/>
              <w:bottom w:val="nil"/>
              <w:right w:val="nil"/>
            </w:tcBorders>
            <w:shd w:val="clear" w:color="auto" w:fill="auto"/>
            <w:noWrap/>
            <w:vAlign w:val="bottom"/>
            <w:hideMark/>
          </w:tcPr>
          <w:p w14:paraId="19B8566E" w14:textId="77777777" w:rsidR="00535F81" w:rsidRPr="008669C3" w:rsidRDefault="00535F81" w:rsidP="00535F81">
            <w:pPr>
              <w:jc w:val="center"/>
              <w:rPr>
                <w:sz w:val="20"/>
                <w:szCs w:val="20"/>
              </w:rPr>
            </w:pPr>
            <w:r w:rsidRPr="008669C3">
              <w:rPr>
                <w:sz w:val="20"/>
                <w:szCs w:val="20"/>
              </w:rPr>
              <w:t>1.347**</w:t>
            </w:r>
          </w:p>
        </w:tc>
        <w:tc>
          <w:tcPr>
            <w:tcW w:w="203" w:type="pct"/>
            <w:tcBorders>
              <w:top w:val="nil"/>
              <w:left w:val="nil"/>
              <w:bottom w:val="nil"/>
              <w:right w:val="nil"/>
            </w:tcBorders>
            <w:shd w:val="clear" w:color="auto" w:fill="auto"/>
            <w:noWrap/>
            <w:vAlign w:val="bottom"/>
            <w:hideMark/>
          </w:tcPr>
          <w:p w14:paraId="4FD87A2D" w14:textId="77777777" w:rsidR="00535F81" w:rsidRPr="008669C3" w:rsidRDefault="00535F81" w:rsidP="00535F81">
            <w:pPr>
              <w:jc w:val="center"/>
              <w:rPr>
                <w:sz w:val="20"/>
                <w:szCs w:val="20"/>
              </w:rPr>
            </w:pPr>
          </w:p>
        </w:tc>
        <w:tc>
          <w:tcPr>
            <w:tcW w:w="684" w:type="pct"/>
            <w:tcBorders>
              <w:top w:val="nil"/>
              <w:left w:val="nil"/>
              <w:bottom w:val="nil"/>
              <w:right w:val="nil"/>
            </w:tcBorders>
            <w:shd w:val="clear" w:color="auto" w:fill="auto"/>
            <w:noWrap/>
            <w:vAlign w:val="bottom"/>
            <w:hideMark/>
          </w:tcPr>
          <w:p w14:paraId="3ED3DD60" w14:textId="0AC627E2" w:rsidR="00535F81" w:rsidRPr="008669C3" w:rsidRDefault="00535F81" w:rsidP="00535F81">
            <w:pPr>
              <w:jc w:val="center"/>
              <w:rPr>
                <w:sz w:val="20"/>
                <w:szCs w:val="20"/>
              </w:rPr>
            </w:pPr>
            <w:r w:rsidRPr="008669C3">
              <w:rPr>
                <w:iCs/>
                <w:sz w:val="20"/>
                <w:szCs w:val="20"/>
              </w:rPr>
              <w:t>—</w:t>
            </w:r>
          </w:p>
        </w:tc>
        <w:tc>
          <w:tcPr>
            <w:tcW w:w="684" w:type="pct"/>
            <w:tcBorders>
              <w:top w:val="nil"/>
              <w:left w:val="nil"/>
              <w:bottom w:val="nil"/>
              <w:right w:val="nil"/>
            </w:tcBorders>
            <w:shd w:val="clear" w:color="auto" w:fill="auto"/>
            <w:noWrap/>
            <w:vAlign w:val="bottom"/>
            <w:hideMark/>
          </w:tcPr>
          <w:p w14:paraId="60E07B39" w14:textId="6EF4C8DD" w:rsidR="00535F81" w:rsidRPr="008669C3" w:rsidRDefault="00535F81" w:rsidP="00535F81">
            <w:pPr>
              <w:jc w:val="center"/>
              <w:rPr>
                <w:sz w:val="20"/>
                <w:szCs w:val="20"/>
              </w:rPr>
            </w:pPr>
            <w:r w:rsidRPr="008669C3">
              <w:rPr>
                <w:iCs/>
                <w:sz w:val="20"/>
                <w:szCs w:val="20"/>
              </w:rPr>
              <w:t>—</w:t>
            </w:r>
          </w:p>
        </w:tc>
      </w:tr>
      <w:tr w:rsidR="00535F81" w:rsidRPr="008669C3" w14:paraId="1EE298D2" w14:textId="77777777" w:rsidTr="00535F81">
        <w:trPr>
          <w:trHeight w:val="20"/>
        </w:trPr>
        <w:tc>
          <w:tcPr>
            <w:tcW w:w="1911" w:type="pct"/>
            <w:tcBorders>
              <w:top w:val="nil"/>
              <w:left w:val="nil"/>
              <w:bottom w:val="nil"/>
              <w:right w:val="nil"/>
            </w:tcBorders>
            <w:shd w:val="clear" w:color="auto" w:fill="auto"/>
            <w:noWrap/>
            <w:vAlign w:val="bottom"/>
            <w:hideMark/>
          </w:tcPr>
          <w:p w14:paraId="30DCBBDE" w14:textId="77777777" w:rsidR="00535F81" w:rsidRPr="008669C3" w:rsidRDefault="00535F81" w:rsidP="00535F81">
            <w:pPr>
              <w:jc w:val="center"/>
              <w:rPr>
                <w:sz w:val="20"/>
                <w:szCs w:val="20"/>
              </w:rPr>
            </w:pPr>
          </w:p>
        </w:tc>
        <w:tc>
          <w:tcPr>
            <w:tcW w:w="759" w:type="pct"/>
            <w:tcBorders>
              <w:top w:val="nil"/>
              <w:left w:val="nil"/>
              <w:bottom w:val="nil"/>
              <w:right w:val="nil"/>
            </w:tcBorders>
            <w:shd w:val="clear" w:color="auto" w:fill="auto"/>
            <w:noWrap/>
            <w:vAlign w:val="bottom"/>
            <w:hideMark/>
          </w:tcPr>
          <w:p w14:paraId="1F1FF3CA" w14:textId="77777777" w:rsidR="00535F81" w:rsidRPr="008669C3" w:rsidRDefault="00535F81" w:rsidP="00535F81">
            <w:pPr>
              <w:jc w:val="center"/>
              <w:rPr>
                <w:sz w:val="20"/>
                <w:szCs w:val="20"/>
              </w:rPr>
            </w:pPr>
            <w:r w:rsidRPr="008669C3">
              <w:rPr>
                <w:sz w:val="20"/>
                <w:szCs w:val="20"/>
              </w:rPr>
              <w:t>(0.705)</w:t>
            </w:r>
          </w:p>
        </w:tc>
        <w:tc>
          <w:tcPr>
            <w:tcW w:w="759" w:type="pct"/>
            <w:tcBorders>
              <w:top w:val="nil"/>
              <w:left w:val="nil"/>
              <w:bottom w:val="nil"/>
              <w:right w:val="nil"/>
            </w:tcBorders>
            <w:shd w:val="clear" w:color="auto" w:fill="auto"/>
            <w:noWrap/>
            <w:vAlign w:val="bottom"/>
            <w:hideMark/>
          </w:tcPr>
          <w:p w14:paraId="27D85271" w14:textId="77777777" w:rsidR="00535F81" w:rsidRPr="008669C3" w:rsidRDefault="00535F81" w:rsidP="00535F81">
            <w:pPr>
              <w:jc w:val="center"/>
              <w:rPr>
                <w:sz w:val="20"/>
                <w:szCs w:val="20"/>
              </w:rPr>
            </w:pPr>
            <w:r w:rsidRPr="008669C3">
              <w:rPr>
                <w:sz w:val="20"/>
                <w:szCs w:val="20"/>
              </w:rPr>
              <w:t>(0.635)</w:t>
            </w:r>
          </w:p>
        </w:tc>
        <w:tc>
          <w:tcPr>
            <w:tcW w:w="203" w:type="pct"/>
            <w:tcBorders>
              <w:top w:val="nil"/>
              <w:left w:val="nil"/>
              <w:bottom w:val="nil"/>
              <w:right w:val="nil"/>
            </w:tcBorders>
            <w:shd w:val="clear" w:color="auto" w:fill="auto"/>
            <w:noWrap/>
            <w:vAlign w:val="bottom"/>
            <w:hideMark/>
          </w:tcPr>
          <w:p w14:paraId="30DF8C86" w14:textId="77777777" w:rsidR="00535F81" w:rsidRPr="008669C3" w:rsidRDefault="00535F81" w:rsidP="00535F81">
            <w:pPr>
              <w:jc w:val="center"/>
              <w:rPr>
                <w:sz w:val="20"/>
                <w:szCs w:val="20"/>
              </w:rPr>
            </w:pPr>
          </w:p>
        </w:tc>
        <w:tc>
          <w:tcPr>
            <w:tcW w:w="684" w:type="pct"/>
            <w:tcBorders>
              <w:top w:val="nil"/>
              <w:left w:val="nil"/>
              <w:bottom w:val="nil"/>
              <w:right w:val="nil"/>
            </w:tcBorders>
            <w:shd w:val="clear" w:color="auto" w:fill="auto"/>
            <w:noWrap/>
            <w:vAlign w:val="bottom"/>
            <w:hideMark/>
          </w:tcPr>
          <w:p w14:paraId="0B1EB17F" w14:textId="77777777" w:rsidR="00535F81" w:rsidRPr="008669C3" w:rsidRDefault="00535F81" w:rsidP="00535F81">
            <w:pPr>
              <w:jc w:val="center"/>
              <w:rPr>
                <w:sz w:val="20"/>
                <w:szCs w:val="20"/>
              </w:rPr>
            </w:pPr>
          </w:p>
        </w:tc>
        <w:tc>
          <w:tcPr>
            <w:tcW w:w="684" w:type="pct"/>
            <w:tcBorders>
              <w:top w:val="nil"/>
              <w:left w:val="nil"/>
              <w:bottom w:val="nil"/>
              <w:right w:val="nil"/>
            </w:tcBorders>
            <w:shd w:val="clear" w:color="auto" w:fill="auto"/>
            <w:noWrap/>
            <w:vAlign w:val="bottom"/>
            <w:hideMark/>
          </w:tcPr>
          <w:p w14:paraId="338C0D2F" w14:textId="77777777" w:rsidR="00535F81" w:rsidRPr="008669C3" w:rsidRDefault="00535F81" w:rsidP="00535F81">
            <w:pPr>
              <w:jc w:val="center"/>
              <w:rPr>
                <w:sz w:val="20"/>
                <w:szCs w:val="20"/>
              </w:rPr>
            </w:pPr>
          </w:p>
        </w:tc>
      </w:tr>
      <w:tr w:rsidR="00535F81" w:rsidRPr="008669C3" w14:paraId="5A059067" w14:textId="77777777" w:rsidTr="00535F81">
        <w:trPr>
          <w:trHeight w:val="20"/>
        </w:trPr>
        <w:tc>
          <w:tcPr>
            <w:tcW w:w="1911" w:type="pct"/>
            <w:tcBorders>
              <w:top w:val="nil"/>
              <w:left w:val="nil"/>
              <w:bottom w:val="nil"/>
              <w:right w:val="nil"/>
            </w:tcBorders>
            <w:shd w:val="clear" w:color="auto" w:fill="auto"/>
            <w:noWrap/>
            <w:vAlign w:val="bottom"/>
            <w:hideMark/>
          </w:tcPr>
          <w:p w14:paraId="760D7479" w14:textId="4C6020F8" w:rsidR="00535F81" w:rsidRPr="008669C3" w:rsidRDefault="00535F81" w:rsidP="00535F81">
            <w:pPr>
              <w:rPr>
                <w:iCs/>
                <w:color w:val="000000"/>
                <w:sz w:val="20"/>
                <w:szCs w:val="20"/>
              </w:rPr>
            </w:pPr>
            <w:r w:rsidRPr="008669C3">
              <w:rPr>
                <w:iCs/>
                <w:sz w:val="20"/>
                <w:szCs w:val="20"/>
              </w:rPr>
              <w:t>CDS trading</w:t>
            </w:r>
            <w:r w:rsidRPr="008669C3">
              <w:rPr>
                <w:iCs/>
                <w:sz w:val="20"/>
                <w:szCs w:val="20"/>
                <w:vertAlign w:val="superscript"/>
              </w:rPr>
              <w:t>-1</w:t>
            </w:r>
            <w:r w:rsidRPr="008669C3">
              <w:rPr>
                <w:iCs/>
                <w:sz w:val="20"/>
                <w:szCs w:val="20"/>
              </w:rPr>
              <w:t xml:space="preserve"> </w:t>
            </w:r>
          </w:p>
        </w:tc>
        <w:tc>
          <w:tcPr>
            <w:tcW w:w="759" w:type="pct"/>
            <w:tcBorders>
              <w:top w:val="nil"/>
              <w:left w:val="nil"/>
              <w:bottom w:val="nil"/>
              <w:right w:val="nil"/>
            </w:tcBorders>
            <w:shd w:val="clear" w:color="auto" w:fill="auto"/>
            <w:noWrap/>
            <w:vAlign w:val="bottom"/>
            <w:hideMark/>
          </w:tcPr>
          <w:p w14:paraId="7D3A2B08" w14:textId="218CAB58" w:rsidR="00535F81" w:rsidRPr="008669C3" w:rsidRDefault="00535F81" w:rsidP="00535F81">
            <w:pPr>
              <w:jc w:val="center"/>
              <w:rPr>
                <w:i/>
                <w:iCs/>
                <w:color w:val="000000"/>
                <w:sz w:val="20"/>
                <w:szCs w:val="20"/>
              </w:rPr>
            </w:pPr>
            <w:r w:rsidRPr="008669C3">
              <w:rPr>
                <w:iCs/>
                <w:sz w:val="20"/>
                <w:szCs w:val="20"/>
              </w:rPr>
              <w:t>—</w:t>
            </w:r>
          </w:p>
        </w:tc>
        <w:tc>
          <w:tcPr>
            <w:tcW w:w="759" w:type="pct"/>
            <w:tcBorders>
              <w:top w:val="nil"/>
              <w:left w:val="nil"/>
              <w:bottom w:val="nil"/>
              <w:right w:val="nil"/>
            </w:tcBorders>
            <w:shd w:val="clear" w:color="auto" w:fill="auto"/>
            <w:noWrap/>
            <w:vAlign w:val="bottom"/>
            <w:hideMark/>
          </w:tcPr>
          <w:p w14:paraId="3B91D375" w14:textId="2C961AA6" w:rsidR="00535F81" w:rsidRPr="008669C3" w:rsidRDefault="00535F81" w:rsidP="00535F81">
            <w:pPr>
              <w:jc w:val="center"/>
              <w:rPr>
                <w:sz w:val="20"/>
                <w:szCs w:val="20"/>
              </w:rPr>
            </w:pPr>
            <w:r w:rsidRPr="008669C3">
              <w:rPr>
                <w:iCs/>
                <w:sz w:val="20"/>
                <w:szCs w:val="20"/>
              </w:rPr>
              <w:t>—</w:t>
            </w:r>
          </w:p>
        </w:tc>
        <w:tc>
          <w:tcPr>
            <w:tcW w:w="203" w:type="pct"/>
            <w:tcBorders>
              <w:top w:val="nil"/>
              <w:left w:val="nil"/>
              <w:bottom w:val="nil"/>
              <w:right w:val="nil"/>
            </w:tcBorders>
            <w:shd w:val="clear" w:color="auto" w:fill="auto"/>
            <w:noWrap/>
            <w:vAlign w:val="bottom"/>
            <w:hideMark/>
          </w:tcPr>
          <w:p w14:paraId="646A0B97" w14:textId="77777777" w:rsidR="00535F81" w:rsidRPr="008669C3" w:rsidRDefault="00535F81" w:rsidP="00535F81">
            <w:pPr>
              <w:jc w:val="center"/>
              <w:rPr>
                <w:sz w:val="20"/>
                <w:szCs w:val="20"/>
              </w:rPr>
            </w:pPr>
          </w:p>
        </w:tc>
        <w:tc>
          <w:tcPr>
            <w:tcW w:w="684" w:type="pct"/>
            <w:tcBorders>
              <w:top w:val="nil"/>
              <w:left w:val="nil"/>
              <w:bottom w:val="nil"/>
              <w:right w:val="nil"/>
            </w:tcBorders>
            <w:shd w:val="clear" w:color="auto" w:fill="auto"/>
            <w:noWrap/>
            <w:vAlign w:val="bottom"/>
            <w:hideMark/>
          </w:tcPr>
          <w:p w14:paraId="534B82C3" w14:textId="77777777" w:rsidR="00535F81" w:rsidRPr="008669C3" w:rsidRDefault="00535F81" w:rsidP="00535F81">
            <w:pPr>
              <w:jc w:val="center"/>
              <w:rPr>
                <w:sz w:val="20"/>
                <w:szCs w:val="20"/>
              </w:rPr>
            </w:pPr>
            <w:r w:rsidRPr="008669C3">
              <w:rPr>
                <w:sz w:val="20"/>
                <w:szCs w:val="20"/>
              </w:rPr>
              <w:t>-0.355</w:t>
            </w:r>
          </w:p>
        </w:tc>
        <w:tc>
          <w:tcPr>
            <w:tcW w:w="684" w:type="pct"/>
            <w:tcBorders>
              <w:top w:val="nil"/>
              <w:left w:val="nil"/>
              <w:bottom w:val="nil"/>
              <w:right w:val="nil"/>
            </w:tcBorders>
            <w:shd w:val="clear" w:color="auto" w:fill="auto"/>
            <w:noWrap/>
            <w:vAlign w:val="bottom"/>
            <w:hideMark/>
          </w:tcPr>
          <w:p w14:paraId="12E443B1" w14:textId="77777777" w:rsidR="00535F81" w:rsidRPr="008669C3" w:rsidRDefault="00535F81" w:rsidP="00535F81">
            <w:pPr>
              <w:jc w:val="center"/>
              <w:rPr>
                <w:sz w:val="20"/>
                <w:szCs w:val="20"/>
              </w:rPr>
            </w:pPr>
            <w:r w:rsidRPr="008669C3">
              <w:rPr>
                <w:sz w:val="20"/>
                <w:szCs w:val="20"/>
              </w:rPr>
              <w:t>-0.449</w:t>
            </w:r>
          </w:p>
        </w:tc>
      </w:tr>
      <w:tr w:rsidR="00535F81" w:rsidRPr="008669C3" w14:paraId="3F44161D" w14:textId="77777777" w:rsidTr="00535F81">
        <w:trPr>
          <w:trHeight w:val="20"/>
        </w:trPr>
        <w:tc>
          <w:tcPr>
            <w:tcW w:w="1911" w:type="pct"/>
            <w:tcBorders>
              <w:top w:val="nil"/>
              <w:left w:val="nil"/>
              <w:bottom w:val="nil"/>
              <w:right w:val="nil"/>
            </w:tcBorders>
            <w:shd w:val="clear" w:color="auto" w:fill="auto"/>
            <w:noWrap/>
            <w:vAlign w:val="bottom"/>
            <w:hideMark/>
          </w:tcPr>
          <w:p w14:paraId="2281949D" w14:textId="77777777" w:rsidR="00535F81" w:rsidRPr="008669C3" w:rsidRDefault="00535F81" w:rsidP="00535F81">
            <w:pPr>
              <w:jc w:val="center"/>
              <w:rPr>
                <w:sz w:val="20"/>
                <w:szCs w:val="20"/>
              </w:rPr>
            </w:pPr>
          </w:p>
        </w:tc>
        <w:tc>
          <w:tcPr>
            <w:tcW w:w="759" w:type="pct"/>
            <w:tcBorders>
              <w:top w:val="nil"/>
              <w:left w:val="nil"/>
              <w:bottom w:val="nil"/>
              <w:right w:val="nil"/>
            </w:tcBorders>
            <w:shd w:val="clear" w:color="auto" w:fill="auto"/>
            <w:noWrap/>
            <w:vAlign w:val="bottom"/>
            <w:hideMark/>
          </w:tcPr>
          <w:p w14:paraId="602F12AA" w14:textId="77777777" w:rsidR="00535F81" w:rsidRPr="008669C3" w:rsidRDefault="00535F81" w:rsidP="00535F81">
            <w:pPr>
              <w:jc w:val="center"/>
              <w:rPr>
                <w:sz w:val="20"/>
                <w:szCs w:val="20"/>
              </w:rPr>
            </w:pPr>
          </w:p>
        </w:tc>
        <w:tc>
          <w:tcPr>
            <w:tcW w:w="759" w:type="pct"/>
            <w:tcBorders>
              <w:top w:val="nil"/>
              <w:left w:val="nil"/>
              <w:bottom w:val="nil"/>
              <w:right w:val="nil"/>
            </w:tcBorders>
            <w:shd w:val="clear" w:color="auto" w:fill="auto"/>
            <w:noWrap/>
            <w:vAlign w:val="bottom"/>
            <w:hideMark/>
          </w:tcPr>
          <w:p w14:paraId="08EBF67A" w14:textId="77777777" w:rsidR="00535F81" w:rsidRPr="008669C3" w:rsidRDefault="00535F81" w:rsidP="00535F81">
            <w:pPr>
              <w:jc w:val="center"/>
              <w:rPr>
                <w:sz w:val="20"/>
                <w:szCs w:val="20"/>
              </w:rPr>
            </w:pPr>
          </w:p>
        </w:tc>
        <w:tc>
          <w:tcPr>
            <w:tcW w:w="203" w:type="pct"/>
            <w:tcBorders>
              <w:top w:val="nil"/>
              <w:left w:val="nil"/>
              <w:bottom w:val="nil"/>
              <w:right w:val="nil"/>
            </w:tcBorders>
            <w:shd w:val="clear" w:color="auto" w:fill="auto"/>
            <w:noWrap/>
            <w:vAlign w:val="bottom"/>
            <w:hideMark/>
          </w:tcPr>
          <w:p w14:paraId="5F5B5D51" w14:textId="77777777" w:rsidR="00535F81" w:rsidRPr="008669C3" w:rsidRDefault="00535F81" w:rsidP="00535F81">
            <w:pPr>
              <w:jc w:val="center"/>
              <w:rPr>
                <w:sz w:val="20"/>
                <w:szCs w:val="20"/>
              </w:rPr>
            </w:pPr>
          </w:p>
        </w:tc>
        <w:tc>
          <w:tcPr>
            <w:tcW w:w="684" w:type="pct"/>
            <w:tcBorders>
              <w:top w:val="nil"/>
              <w:left w:val="nil"/>
              <w:bottom w:val="nil"/>
              <w:right w:val="nil"/>
            </w:tcBorders>
            <w:shd w:val="clear" w:color="auto" w:fill="auto"/>
            <w:noWrap/>
            <w:vAlign w:val="bottom"/>
            <w:hideMark/>
          </w:tcPr>
          <w:p w14:paraId="4F17D2B4" w14:textId="04FC34C8" w:rsidR="00535F81" w:rsidRPr="008669C3" w:rsidRDefault="00535F81" w:rsidP="0046273E">
            <w:pPr>
              <w:jc w:val="center"/>
              <w:rPr>
                <w:sz w:val="20"/>
                <w:szCs w:val="20"/>
              </w:rPr>
            </w:pPr>
            <w:r w:rsidRPr="008669C3">
              <w:rPr>
                <w:sz w:val="20"/>
                <w:szCs w:val="20"/>
              </w:rPr>
              <w:t>(1.</w:t>
            </w:r>
            <w:r w:rsidR="0046273E" w:rsidRPr="008669C3">
              <w:rPr>
                <w:sz w:val="20"/>
                <w:szCs w:val="20"/>
              </w:rPr>
              <w:t>01</w:t>
            </w:r>
            <w:r w:rsidRPr="008669C3">
              <w:rPr>
                <w:sz w:val="20"/>
                <w:szCs w:val="20"/>
              </w:rPr>
              <w:t>1)</w:t>
            </w:r>
          </w:p>
        </w:tc>
        <w:tc>
          <w:tcPr>
            <w:tcW w:w="684" w:type="pct"/>
            <w:tcBorders>
              <w:top w:val="nil"/>
              <w:left w:val="nil"/>
              <w:bottom w:val="nil"/>
              <w:right w:val="nil"/>
            </w:tcBorders>
            <w:shd w:val="clear" w:color="auto" w:fill="auto"/>
            <w:noWrap/>
            <w:vAlign w:val="bottom"/>
            <w:hideMark/>
          </w:tcPr>
          <w:p w14:paraId="5FFB1AE8" w14:textId="56BDF4F0" w:rsidR="00535F81" w:rsidRPr="008669C3" w:rsidRDefault="00535F81" w:rsidP="0046273E">
            <w:pPr>
              <w:jc w:val="center"/>
              <w:rPr>
                <w:sz w:val="20"/>
                <w:szCs w:val="20"/>
              </w:rPr>
            </w:pPr>
            <w:r w:rsidRPr="008669C3">
              <w:rPr>
                <w:sz w:val="20"/>
                <w:szCs w:val="20"/>
              </w:rPr>
              <w:t>(1.</w:t>
            </w:r>
            <w:r w:rsidR="0046273E" w:rsidRPr="008669C3">
              <w:rPr>
                <w:sz w:val="20"/>
                <w:szCs w:val="20"/>
              </w:rPr>
              <w:t>0</w:t>
            </w:r>
            <w:r w:rsidRPr="008669C3">
              <w:rPr>
                <w:sz w:val="20"/>
                <w:szCs w:val="20"/>
              </w:rPr>
              <w:t>12)</w:t>
            </w:r>
          </w:p>
        </w:tc>
      </w:tr>
      <w:tr w:rsidR="00535F81" w:rsidRPr="008669C3" w14:paraId="06E51ACD" w14:textId="77777777" w:rsidTr="00535F81">
        <w:trPr>
          <w:trHeight w:val="20"/>
        </w:trPr>
        <w:tc>
          <w:tcPr>
            <w:tcW w:w="1911" w:type="pct"/>
            <w:tcBorders>
              <w:top w:val="nil"/>
              <w:left w:val="nil"/>
              <w:bottom w:val="nil"/>
              <w:right w:val="nil"/>
            </w:tcBorders>
            <w:shd w:val="clear" w:color="auto" w:fill="auto"/>
            <w:noWrap/>
            <w:vAlign w:val="bottom"/>
            <w:hideMark/>
          </w:tcPr>
          <w:p w14:paraId="32113C97" w14:textId="3956C8F1" w:rsidR="00535F81" w:rsidRPr="008669C3" w:rsidRDefault="00535F81" w:rsidP="00535F81">
            <w:pPr>
              <w:rPr>
                <w:iCs/>
                <w:color w:val="000000"/>
                <w:sz w:val="20"/>
                <w:szCs w:val="20"/>
              </w:rPr>
            </w:pPr>
            <w:r w:rsidRPr="008669C3">
              <w:rPr>
                <w:iCs/>
                <w:sz w:val="20"/>
                <w:szCs w:val="20"/>
              </w:rPr>
              <w:t>CDS trading</w:t>
            </w:r>
            <w:r w:rsidRPr="008669C3">
              <w:rPr>
                <w:iCs/>
                <w:sz w:val="20"/>
                <w:szCs w:val="20"/>
                <w:vertAlign w:val="superscript"/>
              </w:rPr>
              <w:t>0</w:t>
            </w:r>
          </w:p>
        </w:tc>
        <w:tc>
          <w:tcPr>
            <w:tcW w:w="759" w:type="pct"/>
            <w:tcBorders>
              <w:top w:val="nil"/>
              <w:left w:val="nil"/>
              <w:bottom w:val="nil"/>
              <w:right w:val="nil"/>
            </w:tcBorders>
            <w:shd w:val="clear" w:color="auto" w:fill="auto"/>
            <w:noWrap/>
            <w:vAlign w:val="bottom"/>
            <w:hideMark/>
          </w:tcPr>
          <w:p w14:paraId="5A4E2F77" w14:textId="15891751" w:rsidR="00535F81" w:rsidRPr="008669C3" w:rsidRDefault="00535F81" w:rsidP="00535F81">
            <w:pPr>
              <w:jc w:val="center"/>
              <w:rPr>
                <w:i/>
                <w:iCs/>
                <w:color w:val="000000"/>
                <w:sz w:val="20"/>
                <w:szCs w:val="20"/>
              </w:rPr>
            </w:pPr>
            <w:r w:rsidRPr="008669C3">
              <w:rPr>
                <w:iCs/>
                <w:sz w:val="20"/>
                <w:szCs w:val="20"/>
              </w:rPr>
              <w:t>—</w:t>
            </w:r>
          </w:p>
        </w:tc>
        <w:tc>
          <w:tcPr>
            <w:tcW w:w="759" w:type="pct"/>
            <w:tcBorders>
              <w:top w:val="nil"/>
              <w:left w:val="nil"/>
              <w:bottom w:val="nil"/>
              <w:right w:val="nil"/>
            </w:tcBorders>
            <w:shd w:val="clear" w:color="auto" w:fill="auto"/>
            <w:noWrap/>
            <w:vAlign w:val="bottom"/>
            <w:hideMark/>
          </w:tcPr>
          <w:p w14:paraId="047FD46E" w14:textId="47503D11" w:rsidR="00535F81" w:rsidRPr="008669C3" w:rsidRDefault="00535F81" w:rsidP="00535F81">
            <w:pPr>
              <w:jc w:val="center"/>
              <w:rPr>
                <w:sz w:val="20"/>
                <w:szCs w:val="20"/>
              </w:rPr>
            </w:pPr>
            <w:r w:rsidRPr="008669C3">
              <w:rPr>
                <w:iCs/>
                <w:sz w:val="20"/>
                <w:szCs w:val="20"/>
              </w:rPr>
              <w:t>—</w:t>
            </w:r>
          </w:p>
        </w:tc>
        <w:tc>
          <w:tcPr>
            <w:tcW w:w="203" w:type="pct"/>
            <w:tcBorders>
              <w:top w:val="nil"/>
              <w:left w:val="nil"/>
              <w:bottom w:val="nil"/>
              <w:right w:val="nil"/>
            </w:tcBorders>
            <w:shd w:val="clear" w:color="auto" w:fill="auto"/>
            <w:noWrap/>
            <w:vAlign w:val="bottom"/>
            <w:hideMark/>
          </w:tcPr>
          <w:p w14:paraId="37053E87" w14:textId="77777777" w:rsidR="00535F81" w:rsidRPr="008669C3" w:rsidRDefault="00535F81" w:rsidP="00535F81">
            <w:pPr>
              <w:jc w:val="center"/>
              <w:rPr>
                <w:sz w:val="20"/>
                <w:szCs w:val="20"/>
              </w:rPr>
            </w:pPr>
          </w:p>
        </w:tc>
        <w:tc>
          <w:tcPr>
            <w:tcW w:w="684" w:type="pct"/>
            <w:tcBorders>
              <w:top w:val="nil"/>
              <w:left w:val="nil"/>
              <w:bottom w:val="nil"/>
              <w:right w:val="nil"/>
            </w:tcBorders>
            <w:shd w:val="clear" w:color="auto" w:fill="auto"/>
            <w:noWrap/>
            <w:vAlign w:val="bottom"/>
            <w:hideMark/>
          </w:tcPr>
          <w:p w14:paraId="5F3C8E38" w14:textId="3649E81F" w:rsidR="00535F81" w:rsidRPr="008669C3" w:rsidRDefault="00535F81" w:rsidP="0046273E">
            <w:pPr>
              <w:jc w:val="center"/>
              <w:rPr>
                <w:sz w:val="20"/>
                <w:szCs w:val="20"/>
              </w:rPr>
            </w:pPr>
            <w:r w:rsidRPr="008669C3">
              <w:rPr>
                <w:sz w:val="20"/>
                <w:szCs w:val="20"/>
              </w:rPr>
              <w:t>0.</w:t>
            </w:r>
            <w:r w:rsidR="0046273E" w:rsidRPr="008669C3">
              <w:rPr>
                <w:sz w:val="20"/>
                <w:szCs w:val="20"/>
              </w:rPr>
              <w:t>6</w:t>
            </w:r>
            <w:r w:rsidRPr="008669C3">
              <w:rPr>
                <w:sz w:val="20"/>
                <w:szCs w:val="20"/>
              </w:rPr>
              <w:t>68</w:t>
            </w:r>
          </w:p>
        </w:tc>
        <w:tc>
          <w:tcPr>
            <w:tcW w:w="684" w:type="pct"/>
            <w:tcBorders>
              <w:top w:val="nil"/>
              <w:left w:val="nil"/>
              <w:bottom w:val="nil"/>
              <w:right w:val="nil"/>
            </w:tcBorders>
            <w:shd w:val="clear" w:color="auto" w:fill="auto"/>
            <w:noWrap/>
            <w:vAlign w:val="bottom"/>
            <w:hideMark/>
          </w:tcPr>
          <w:p w14:paraId="3128D7A1" w14:textId="16581732" w:rsidR="00535F81" w:rsidRPr="008669C3" w:rsidRDefault="00535F81" w:rsidP="0046273E">
            <w:pPr>
              <w:jc w:val="center"/>
              <w:rPr>
                <w:sz w:val="20"/>
                <w:szCs w:val="20"/>
              </w:rPr>
            </w:pPr>
            <w:r w:rsidRPr="008669C3">
              <w:rPr>
                <w:sz w:val="20"/>
                <w:szCs w:val="20"/>
              </w:rPr>
              <w:t>-0.</w:t>
            </w:r>
            <w:r w:rsidR="0046273E" w:rsidRPr="008669C3">
              <w:rPr>
                <w:sz w:val="20"/>
                <w:szCs w:val="20"/>
              </w:rPr>
              <w:t>01</w:t>
            </w:r>
            <w:r w:rsidRPr="008669C3">
              <w:rPr>
                <w:sz w:val="20"/>
                <w:szCs w:val="20"/>
              </w:rPr>
              <w:t>8</w:t>
            </w:r>
          </w:p>
        </w:tc>
      </w:tr>
      <w:tr w:rsidR="00535F81" w:rsidRPr="008669C3" w14:paraId="21C828D6" w14:textId="77777777" w:rsidTr="00535F81">
        <w:trPr>
          <w:trHeight w:val="20"/>
        </w:trPr>
        <w:tc>
          <w:tcPr>
            <w:tcW w:w="1911" w:type="pct"/>
            <w:tcBorders>
              <w:top w:val="nil"/>
              <w:left w:val="nil"/>
              <w:bottom w:val="nil"/>
              <w:right w:val="nil"/>
            </w:tcBorders>
            <w:shd w:val="clear" w:color="auto" w:fill="auto"/>
            <w:noWrap/>
            <w:vAlign w:val="bottom"/>
            <w:hideMark/>
          </w:tcPr>
          <w:p w14:paraId="1E41DFC0" w14:textId="2B0BB768" w:rsidR="00535F81" w:rsidRPr="008669C3" w:rsidRDefault="00535F81" w:rsidP="00535F81">
            <w:pPr>
              <w:jc w:val="center"/>
              <w:rPr>
                <w:sz w:val="20"/>
                <w:szCs w:val="20"/>
              </w:rPr>
            </w:pPr>
          </w:p>
        </w:tc>
        <w:tc>
          <w:tcPr>
            <w:tcW w:w="759" w:type="pct"/>
            <w:tcBorders>
              <w:top w:val="nil"/>
              <w:left w:val="nil"/>
              <w:bottom w:val="nil"/>
              <w:right w:val="nil"/>
            </w:tcBorders>
            <w:shd w:val="clear" w:color="auto" w:fill="auto"/>
            <w:noWrap/>
            <w:vAlign w:val="bottom"/>
            <w:hideMark/>
          </w:tcPr>
          <w:p w14:paraId="603181D8" w14:textId="77777777" w:rsidR="00535F81" w:rsidRPr="008669C3" w:rsidRDefault="00535F81" w:rsidP="00535F81">
            <w:pPr>
              <w:jc w:val="center"/>
              <w:rPr>
                <w:sz w:val="20"/>
                <w:szCs w:val="20"/>
              </w:rPr>
            </w:pPr>
          </w:p>
        </w:tc>
        <w:tc>
          <w:tcPr>
            <w:tcW w:w="759" w:type="pct"/>
            <w:tcBorders>
              <w:top w:val="nil"/>
              <w:left w:val="nil"/>
              <w:bottom w:val="nil"/>
              <w:right w:val="nil"/>
            </w:tcBorders>
            <w:shd w:val="clear" w:color="auto" w:fill="auto"/>
            <w:noWrap/>
            <w:vAlign w:val="bottom"/>
            <w:hideMark/>
          </w:tcPr>
          <w:p w14:paraId="664F250A" w14:textId="77777777" w:rsidR="00535F81" w:rsidRPr="008669C3" w:rsidRDefault="00535F81" w:rsidP="00535F81">
            <w:pPr>
              <w:jc w:val="center"/>
              <w:rPr>
                <w:sz w:val="20"/>
                <w:szCs w:val="20"/>
              </w:rPr>
            </w:pPr>
          </w:p>
        </w:tc>
        <w:tc>
          <w:tcPr>
            <w:tcW w:w="203" w:type="pct"/>
            <w:tcBorders>
              <w:top w:val="nil"/>
              <w:left w:val="nil"/>
              <w:bottom w:val="nil"/>
              <w:right w:val="nil"/>
            </w:tcBorders>
            <w:shd w:val="clear" w:color="auto" w:fill="auto"/>
            <w:noWrap/>
            <w:vAlign w:val="bottom"/>
            <w:hideMark/>
          </w:tcPr>
          <w:p w14:paraId="054CEE37" w14:textId="77777777" w:rsidR="00535F81" w:rsidRPr="008669C3" w:rsidRDefault="00535F81" w:rsidP="00535F81">
            <w:pPr>
              <w:jc w:val="center"/>
              <w:rPr>
                <w:sz w:val="20"/>
                <w:szCs w:val="20"/>
              </w:rPr>
            </w:pPr>
          </w:p>
        </w:tc>
        <w:tc>
          <w:tcPr>
            <w:tcW w:w="684" w:type="pct"/>
            <w:tcBorders>
              <w:top w:val="nil"/>
              <w:left w:val="nil"/>
              <w:bottom w:val="nil"/>
              <w:right w:val="nil"/>
            </w:tcBorders>
            <w:shd w:val="clear" w:color="auto" w:fill="auto"/>
            <w:noWrap/>
            <w:vAlign w:val="bottom"/>
            <w:hideMark/>
          </w:tcPr>
          <w:p w14:paraId="735B77F0" w14:textId="4FD77629" w:rsidR="00535F81" w:rsidRPr="008669C3" w:rsidRDefault="00535F81" w:rsidP="0046273E">
            <w:pPr>
              <w:jc w:val="center"/>
              <w:rPr>
                <w:sz w:val="20"/>
                <w:szCs w:val="20"/>
              </w:rPr>
            </w:pPr>
            <w:r w:rsidRPr="008669C3">
              <w:rPr>
                <w:sz w:val="20"/>
                <w:szCs w:val="20"/>
              </w:rPr>
              <w:t>(1.</w:t>
            </w:r>
            <w:r w:rsidR="0046273E" w:rsidRPr="008669C3">
              <w:rPr>
                <w:sz w:val="20"/>
                <w:szCs w:val="20"/>
              </w:rPr>
              <w:t>3</w:t>
            </w:r>
            <w:r w:rsidRPr="008669C3">
              <w:rPr>
                <w:sz w:val="20"/>
                <w:szCs w:val="20"/>
              </w:rPr>
              <w:t>25)</w:t>
            </w:r>
          </w:p>
        </w:tc>
        <w:tc>
          <w:tcPr>
            <w:tcW w:w="684" w:type="pct"/>
            <w:tcBorders>
              <w:top w:val="nil"/>
              <w:left w:val="nil"/>
              <w:bottom w:val="nil"/>
              <w:right w:val="nil"/>
            </w:tcBorders>
            <w:shd w:val="clear" w:color="auto" w:fill="auto"/>
            <w:noWrap/>
            <w:vAlign w:val="bottom"/>
            <w:hideMark/>
          </w:tcPr>
          <w:p w14:paraId="171528BA" w14:textId="5A8C6A30" w:rsidR="00535F81" w:rsidRPr="008669C3" w:rsidRDefault="00535F81" w:rsidP="004E24C4">
            <w:pPr>
              <w:jc w:val="center"/>
              <w:rPr>
                <w:sz w:val="20"/>
                <w:szCs w:val="20"/>
              </w:rPr>
            </w:pPr>
            <w:r w:rsidRPr="008669C3">
              <w:rPr>
                <w:sz w:val="20"/>
                <w:szCs w:val="20"/>
              </w:rPr>
              <w:t>(1.</w:t>
            </w:r>
            <w:r w:rsidR="004E24C4" w:rsidRPr="008669C3">
              <w:rPr>
                <w:sz w:val="20"/>
                <w:szCs w:val="20"/>
              </w:rPr>
              <w:t>2</w:t>
            </w:r>
            <w:r w:rsidRPr="008669C3">
              <w:rPr>
                <w:sz w:val="20"/>
                <w:szCs w:val="20"/>
              </w:rPr>
              <w:t>48)</w:t>
            </w:r>
          </w:p>
        </w:tc>
      </w:tr>
      <w:tr w:rsidR="00535F81" w:rsidRPr="008669C3" w14:paraId="44F77A3F" w14:textId="77777777" w:rsidTr="00535F81">
        <w:trPr>
          <w:trHeight w:val="20"/>
        </w:trPr>
        <w:tc>
          <w:tcPr>
            <w:tcW w:w="1911" w:type="pct"/>
            <w:tcBorders>
              <w:top w:val="nil"/>
              <w:left w:val="nil"/>
              <w:bottom w:val="nil"/>
              <w:right w:val="nil"/>
            </w:tcBorders>
            <w:shd w:val="clear" w:color="auto" w:fill="auto"/>
            <w:noWrap/>
            <w:vAlign w:val="bottom"/>
            <w:hideMark/>
          </w:tcPr>
          <w:p w14:paraId="16D3553D" w14:textId="10B9413A" w:rsidR="00535F81" w:rsidRPr="008669C3" w:rsidRDefault="00535F81" w:rsidP="00535F81">
            <w:pPr>
              <w:rPr>
                <w:iCs/>
                <w:color w:val="000000"/>
                <w:sz w:val="20"/>
                <w:szCs w:val="20"/>
              </w:rPr>
            </w:pPr>
            <w:r w:rsidRPr="008669C3">
              <w:rPr>
                <w:iCs/>
                <w:sz w:val="20"/>
                <w:szCs w:val="20"/>
              </w:rPr>
              <w:t>CDS trading</w:t>
            </w:r>
            <w:r w:rsidRPr="008669C3">
              <w:rPr>
                <w:iCs/>
                <w:sz w:val="20"/>
                <w:szCs w:val="20"/>
                <w:vertAlign w:val="superscript"/>
              </w:rPr>
              <w:t>+1</w:t>
            </w:r>
          </w:p>
        </w:tc>
        <w:tc>
          <w:tcPr>
            <w:tcW w:w="759" w:type="pct"/>
            <w:tcBorders>
              <w:top w:val="nil"/>
              <w:left w:val="nil"/>
              <w:bottom w:val="nil"/>
              <w:right w:val="nil"/>
            </w:tcBorders>
            <w:shd w:val="clear" w:color="auto" w:fill="auto"/>
            <w:noWrap/>
            <w:vAlign w:val="bottom"/>
            <w:hideMark/>
          </w:tcPr>
          <w:p w14:paraId="4479C12E" w14:textId="6C438951" w:rsidR="00535F81" w:rsidRPr="008669C3" w:rsidRDefault="00535F81" w:rsidP="00535F81">
            <w:pPr>
              <w:jc w:val="center"/>
              <w:rPr>
                <w:i/>
                <w:iCs/>
                <w:color w:val="000000"/>
                <w:sz w:val="20"/>
                <w:szCs w:val="20"/>
              </w:rPr>
            </w:pPr>
            <w:r w:rsidRPr="008669C3">
              <w:rPr>
                <w:iCs/>
                <w:sz w:val="20"/>
                <w:szCs w:val="20"/>
              </w:rPr>
              <w:t>—</w:t>
            </w:r>
          </w:p>
        </w:tc>
        <w:tc>
          <w:tcPr>
            <w:tcW w:w="759" w:type="pct"/>
            <w:tcBorders>
              <w:top w:val="nil"/>
              <w:left w:val="nil"/>
              <w:bottom w:val="nil"/>
              <w:right w:val="nil"/>
            </w:tcBorders>
            <w:shd w:val="clear" w:color="auto" w:fill="auto"/>
            <w:noWrap/>
            <w:vAlign w:val="bottom"/>
            <w:hideMark/>
          </w:tcPr>
          <w:p w14:paraId="0DF4C826" w14:textId="75F7E7F3" w:rsidR="00535F81" w:rsidRPr="008669C3" w:rsidRDefault="00535F81" w:rsidP="00535F81">
            <w:pPr>
              <w:jc w:val="center"/>
              <w:rPr>
                <w:sz w:val="20"/>
                <w:szCs w:val="20"/>
              </w:rPr>
            </w:pPr>
            <w:r w:rsidRPr="008669C3">
              <w:rPr>
                <w:iCs/>
                <w:sz w:val="20"/>
                <w:szCs w:val="20"/>
              </w:rPr>
              <w:t>—</w:t>
            </w:r>
          </w:p>
        </w:tc>
        <w:tc>
          <w:tcPr>
            <w:tcW w:w="203" w:type="pct"/>
            <w:tcBorders>
              <w:top w:val="nil"/>
              <w:left w:val="nil"/>
              <w:bottom w:val="nil"/>
              <w:right w:val="nil"/>
            </w:tcBorders>
            <w:shd w:val="clear" w:color="auto" w:fill="auto"/>
            <w:noWrap/>
            <w:vAlign w:val="bottom"/>
            <w:hideMark/>
          </w:tcPr>
          <w:p w14:paraId="02AF0365" w14:textId="77777777" w:rsidR="00535F81" w:rsidRPr="008669C3" w:rsidRDefault="00535F81" w:rsidP="00535F81">
            <w:pPr>
              <w:jc w:val="center"/>
              <w:rPr>
                <w:sz w:val="20"/>
                <w:szCs w:val="20"/>
              </w:rPr>
            </w:pPr>
          </w:p>
        </w:tc>
        <w:tc>
          <w:tcPr>
            <w:tcW w:w="684" w:type="pct"/>
            <w:tcBorders>
              <w:top w:val="nil"/>
              <w:left w:val="nil"/>
              <w:bottom w:val="nil"/>
              <w:right w:val="nil"/>
            </w:tcBorders>
            <w:shd w:val="clear" w:color="auto" w:fill="auto"/>
            <w:noWrap/>
            <w:vAlign w:val="bottom"/>
            <w:hideMark/>
          </w:tcPr>
          <w:p w14:paraId="0F21E5E7" w14:textId="12B8DFAF" w:rsidR="00535F81" w:rsidRPr="008669C3" w:rsidRDefault="0046273E" w:rsidP="00535F81">
            <w:pPr>
              <w:jc w:val="center"/>
              <w:rPr>
                <w:sz w:val="20"/>
                <w:szCs w:val="20"/>
              </w:rPr>
            </w:pPr>
            <w:r w:rsidRPr="008669C3">
              <w:rPr>
                <w:sz w:val="20"/>
                <w:szCs w:val="20"/>
              </w:rPr>
              <w:t>1.2</w:t>
            </w:r>
            <w:r w:rsidR="00535F81" w:rsidRPr="008669C3">
              <w:rPr>
                <w:sz w:val="20"/>
                <w:szCs w:val="20"/>
              </w:rPr>
              <w:t>07</w:t>
            </w:r>
          </w:p>
        </w:tc>
        <w:tc>
          <w:tcPr>
            <w:tcW w:w="684" w:type="pct"/>
            <w:tcBorders>
              <w:top w:val="nil"/>
              <w:left w:val="nil"/>
              <w:bottom w:val="nil"/>
              <w:right w:val="nil"/>
            </w:tcBorders>
            <w:shd w:val="clear" w:color="auto" w:fill="auto"/>
            <w:noWrap/>
            <w:vAlign w:val="bottom"/>
            <w:hideMark/>
          </w:tcPr>
          <w:p w14:paraId="227D88D8" w14:textId="3E1C0E3E" w:rsidR="00535F81" w:rsidRPr="008669C3" w:rsidRDefault="004E24C4" w:rsidP="004E24C4">
            <w:pPr>
              <w:jc w:val="center"/>
              <w:rPr>
                <w:sz w:val="20"/>
                <w:szCs w:val="20"/>
              </w:rPr>
            </w:pPr>
            <w:r w:rsidRPr="008669C3">
              <w:rPr>
                <w:sz w:val="20"/>
                <w:szCs w:val="20"/>
              </w:rPr>
              <w:t>1.69</w:t>
            </w:r>
            <w:r w:rsidR="00535F81" w:rsidRPr="008669C3">
              <w:rPr>
                <w:sz w:val="20"/>
                <w:szCs w:val="20"/>
              </w:rPr>
              <w:t>8</w:t>
            </w:r>
            <w:r w:rsidRPr="008669C3">
              <w:rPr>
                <w:sz w:val="20"/>
                <w:szCs w:val="20"/>
              </w:rPr>
              <w:t>*</w:t>
            </w:r>
          </w:p>
        </w:tc>
      </w:tr>
      <w:tr w:rsidR="00535F81" w:rsidRPr="008669C3" w14:paraId="366410D8" w14:textId="77777777" w:rsidTr="00535F81">
        <w:trPr>
          <w:trHeight w:val="20"/>
        </w:trPr>
        <w:tc>
          <w:tcPr>
            <w:tcW w:w="1911" w:type="pct"/>
            <w:tcBorders>
              <w:top w:val="nil"/>
              <w:left w:val="nil"/>
              <w:bottom w:val="nil"/>
              <w:right w:val="nil"/>
            </w:tcBorders>
            <w:shd w:val="clear" w:color="auto" w:fill="auto"/>
            <w:noWrap/>
            <w:vAlign w:val="bottom"/>
            <w:hideMark/>
          </w:tcPr>
          <w:p w14:paraId="65198A11" w14:textId="77777777" w:rsidR="00535F81" w:rsidRPr="008669C3" w:rsidRDefault="00535F81" w:rsidP="00535F81">
            <w:pPr>
              <w:jc w:val="center"/>
              <w:rPr>
                <w:sz w:val="20"/>
                <w:szCs w:val="20"/>
              </w:rPr>
            </w:pPr>
          </w:p>
        </w:tc>
        <w:tc>
          <w:tcPr>
            <w:tcW w:w="759" w:type="pct"/>
            <w:tcBorders>
              <w:top w:val="nil"/>
              <w:left w:val="nil"/>
              <w:bottom w:val="nil"/>
              <w:right w:val="nil"/>
            </w:tcBorders>
            <w:shd w:val="clear" w:color="auto" w:fill="auto"/>
            <w:noWrap/>
            <w:vAlign w:val="bottom"/>
            <w:hideMark/>
          </w:tcPr>
          <w:p w14:paraId="1FD29D72" w14:textId="77777777" w:rsidR="00535F81" w:rsidRPr="008669C3" w:rsidRDefault="00535F81" w:rsidP="00535F81">
            <w:pPr>
              <w:jc w:val="center"/>
              <w:rPr>
                <w:sz w:val="20"/>
                <w:szCs w:val="20"/>
              </w:rPr>
            </w:pPr>
          </w:p>
        </w:tc>
        <w:tc>
          <w:tcPr>
            <w:tcW w:w="759" w:type="pct"/>
            <w:tcBorders>
              <w:top w:val="nil"/>
              <w:left w:val="nil"/>
              <w:bottom w:val="nil"/>
              <w:right w:val="nil"/>
            </w:tcBorders>
            <w:shd w:val="clear" w:color="auto" w:fill="auto"/>
            <w:noWrap/>
            <w:vAlign w:val="bottom"/>
            <w:hideMark/>
          </w:tcPr>
          <w:p w14:paraId="6DEEEE23" w14:textId="77777777" w:rsidR="00535F81" w:rsidRPr="008669C3" w:rsidRDefault="00535F81" w:rsidP="00535F81">
            <w:pPr>
              <w:jc w:val="center"/>
              <w:rPr>
                <w:sz w:val="20"/>
                <w:szCs w:val="20"/>
              </w:rPr>
            </w:pPr>
          </w:p>
        </w:tc>
        <w:tc>
          <w:tcPr>
            <w:tcW w:w="203" w:type="pct"/>
            <w:tcBorders>
              <w:top w:val="nil"/>
              <w:left w:val="nil"/>
              <w:bottom w:val="nil"/>
              <w:right w:val="nil"/>
            </w:tcBorders>
            <w:shd w:val="clear" w:color="auto" w:fill="auto"/>
            <w:noWrap/>
            <w:vAlign w:val="bottom"/>
            <w:hideMark/>
          </w:tcPr>
          <w:p w14:paraId="023298C0" w14:textId="77777777" w:rsidR="00535F81" w:rsidRPr="008669C3" w:rsidRDefault="00535F81" w:rsidP="00535F81">
            <w:pPr>
              <w:jc w:val="center"/>
              <w:rPr>
                <w:sz w:val="20"/>
                <w:szCs w:val="20"/>
              </w:rPr>
            </w:pPr>
          </w:p>
        </w:tc>
        <w:tc>
          <w:tcPr>
            <w:tcW w:w="684" w:type="pct"/>
            <w:tcBorders>
              <w:top w:val="nil"/>
              <w:left w:val="nil"/>
              <w:bottom w:val="nil"/>
              <w:right w:val="nil"/>
            </w:tcBorders>
            <w:shd w:val="clear" w:color="auto" w:fill="auto"/>
            <w:noWrap/>
            <w:vAlign w:val="bottom"/>
            <w:hideMark/>
          </w:tcPr>
          <w:p w14:paraId="6A1A9DBE" w14:textId="4F5EDD93" w:rsidR="00535F81" w:rsidRPr="008669C3" w:rsidRDefault="00535F81" w:rsidP="0046273E">
            <w:pPr>
              <w:jc w:val="center"/>
              <w:rPr>
                <w:sz w:val="20"/>
                <w:szCs w:val="20"/>
              </w:rPr>
            </w:pPr>
            <w:r w:rsidRPr="008669C3">
              <w:rPr>
                <w:sz w:val="20"/>
                <w:szCs w:val="20"/>
              </w:rPr>
              <w:t>(1.</w:t>
            </w:r>
            <w:r w:rsidR="0046273E" w:rsidRPr="008669C3">
              <w:rPr>
                <w:sz w:val="20"/>
                <w:szCs w:val="20"/>
              </w:rPr>
              <w:t>2</w:t>
            </w:r>
            <w:r w:rsidRPr="008669C3">
              <w:rPr>
                <w:sz w:val="20"/>
                <w:szCs w:val="20"/>
              </w:rPr>
              <w:t>28)</w:t>
            </w:r>
          </w:p>
        </w:tc>
        <w:tc>
          <w:tcPr>
            <w:tcW w:w="684" w:type="pct"/>
            <w:tcBorders>
              <w:top w:val="nil"/>
              <w:left w:val="nil"/>
              <w:bottom w:val="nil"/>
              <w:right w:val="nil"/>
            </w:tcBorders>
            <w:shd w:val="clear" w:color="auto" w:fill="auto"/>
            <w:noWrap/>
            <w:vAlign w:val="bottom"/>
            <w:hideMark/>
          </w:tcPr>
          <w:p w14:paraId="1A22715F" w14:textId="45F02BE3" w:rsidR="00535F81" w:rsidRPr="008669C3" w:rsidRDefault="00535F81" w:rsidP="004E24C4">
            <w:pPr>
              <w:jc w:val="center"/>
              <w:rPr>
                <w:sz w:val="20"/>
                <w:szCs w:val="20"/>
              </w:rPr>
            </w:pPr>
            <w:r w:rsidRPr="008669C3">
              <w:rPr>
                <w:sz w:val="20"/>
                <w:szCs w:val="20"/>
              </w:rPr>
              <w:t>(</w:t>
            </w:r>
            <w:r w:rsidR="004E24C4" w:rsidRPr="008669C3">
              <w:rPr>
                <w:sz w:val="20"/>
                <w:szCs w:val="20"/>
              </w:rPr>
              <w:t>1.0</w:t>
            </w:r>
            <w:r w:rsidRPr="008669C3">
              <w:rPr>
                <w:sz w:val="20"/>
                <w:szCs w:val="20"/>
              </w:rPr>
              <w:t>25)</w:t>
            </w:r>
          </w:p>
        </w:tc>
      </w:tr>
      <w:tr w:rsidR="00535F81" w:rsidRPr="008669C3" w14:paraId="61F2E1A7" w14:textId="77777777" w:rsidTr="00535F81">
        <w:trPr>
          <w:trHeight w:val="20"/>
        </w:trPr>
        <w:tc>
          <w:tcPr>
            <w:tcW w:w="1911" w:type="pct"/>
            <w:tcBorders>
              <w:top w:val="nil"/>
              <w:left w:val="nil"/>
              <w:right w:val="nil"/>
            </w:tcBorders>
            <w:shd w:val="clear" w:color="auto" w:fill="auto"/>
            <w:noWrap/>
            <w:vAlign w:val="bottom"/>
            <w:hideMark/>
          </w:tcPr>
          <w:p w14:paraId="37E70550" w14:textId="036A2B4E" w:rsidR="00535F81" w:rsidRPr="008669C3" w:rsidRDefault="00535F81" w:rsidP="00535F81">
            <w:pPr>
              <w:rPr>
                <w:iCs/>
                <w:color w:val="000000"/>
                <w:sz w:val="20"/>
                <w:szCs w:val="20"/>
              </w:rPr>
            </w:pPr>
            <w:r w:rsidRPr="008669C3">
              <w:rPr>
                <w:iCs/>
                <w:sz w:val="20"/>
                <w:szCs w:val="20"/>
              </w:rPr>
              <w:t>CDS trading</w:t>
            </w:r>
            <w:r w:rsidR="002E0A3A" w:rsidRPr="008669C3">
              <w:rPr>
                <w:i/>
                <w:iCs/>
                <w:sz w:val="20"/>
                <w:szCs w:val="20"/>
                <w:vertAlign w:val="superscript"/>
              </w:rPr>
              <w:t>≥</w:t>
            </w:r>
            <w:r w:rsidRPr="008669C3">
              <w:rPr>
                <w:iCs/>
                <w:sz w:val="20"/>
                <w:szCs w:val="20"/>
                <w:vertAlign w:val="superscript"/>
              </w:rPr>
              <w:t>+2</w:t>
            </w:r>
          </w:p>
        </w:tc>
        <w:tc>
          <w:tcPr>
            <w:tcW w:w="759" w:type="pct"/>
            <w:tcBorders>
              <w:top w:val="nil"/>
              <w:left w:val="nil"/>
              <w:right w:val="nil"/>
            </w:tcBorders>
            <w:shd w:val="clear" w:color="auto" w:fill="auto"/>
            <w:noWrap/>
            <w:vAlign w:val="bottom"/>
            <w:hideMark/>
          </w:tcPr>
          <w:p w14:paraId="34C3958C" w14:textId="428A5B79" w:rsidR="00535F81" w:rsidRPr="008669C3" w:rsidRDefault="00535F81" w:rsidP="00535F81">
            <w:pPr>
              <w:jc w:val="center"/>
              <w:rPr>
                <w:i/>
                <w:iCs/>
                <w:color w:val="000000"/>
                <w:sz w:val="20"/>
                <w:szCs w:val="20"/>
              </w:rPr>
            </w:pPr>
            <w:r w:rsidRPr="008669C3">
              <w:rPr>
                <w:iCs/>
                <w:sz w:val="20"/>
                <w:szCs w:val="20"/>
              </w:rPr>
              <w:t>—</w:t>
            </w:r>
          </w:p>
        </w:tc>
        <w:tc>
          <w:tcPr>
            <w:tcW w:w="759" w:type="pct"/>
            <w:tcBorders>
              <w:top w:val="nil"/>
              <w:left w:val="nil"/>
              <w:right w:val="nil"/>
            </w:tcBorders>
            <w:shd w:val="clear" w:color="auto" w:fill="auto"/>
            <w:noWrap/>
            <w:vAlign w:val="bottom"/>
            <w:hideMark/>
          </w:tcPr>
          <w:p w14:paraId="4E4CDA46" w14:textId="50E41715" w:rsidR="00535F81" w:rsidRPr="008669C3" w:rsidRDefault="00535F81" w:rsidP="00535F81">
            <w:pPr>
              <w:jc w:val="center"/>
              <w:rPr>
                <w:sz w:val="20"/>
                <w:szCs w:val="20"/>
              </w:rPr>
            </w:pPr>
            <w:r w:rsidRPr="008669C3">
              <w:rPr>
                <w:iCs/>
                <w:sz w:val="20"/>
                <w:szCs w:val="20"/>
              </w:rPr>
              <w:t>—</w:t>
            </w:r>
          </w:p>
        </w:tc>
        <w:tc>
          <w:tcPr>
            <w:tcW w:w="203" w:type="pct"/>
            <w:tcBorders>
              <w:top w:val="nil"/>
              <w:left w:val="nil"/>
              <w:right w:val="nil"/>
            </w:tcBorders>
            <w:shd w:val="clear" w:color="auto" w:fill="auto"/>
            <w:noWrap/>
            <w:vAlign w:val="bottom"/>
            <w:hideMark/>
          </w:tcPr>
          <w:p w14:paraId="755E9508" w14:textId="77777777" w:rsidR="00535F81" w:rsidRPr="008669C3" w:rsidRDefault="00535F81" w:rsidP="00535F81">
            <w:pPr>
              <w:jc w:val="center"/>
              <w:rPr>
                <w:sz w:val="20"/>
                <w:szCs w:val="20"/>
              </w:rPr>
            </w:pPr>
          </w:p>
        </w:tc>
        <w:tc>
          <w:tcPr>
            <w:tcW w:w="684" w:type="pct"/>
            <w:tcBorders>
              <w:top w:val="nil"/>
              <w:left w:val="nil"/>
              <w:right w:val="nil"/>
            </w:tcBorders>
            <w:shd w:val="clear" w:color="auto" w:fill="auto"/>
            <w:noWrap/>
            <w:vAlign w:val="bottom"/>
            <w:hideMark/>
          </w:tcPr>
          <w:p w14:paraId="4888396F" w14:textId="0BD335A4" w:rsidR="00535F81" w:rsidRPr="008669C3" w:rsidRDefault="0046273E" w:rsidP="00110178">
            <w:pPr>
              <w:jc w:val="center"/>
              <w:rPr>
                <w:sz w:val="20"/>
                <w:szCs w:val="20"/>
              </w:rPr>
            </w:pPr>
            <w:r w:rsidRPr="008669C3">
              <w:rPr>
                <w:sz w:val="20"/>
                <w:szCs w:val="20"/>
              </w:rPr>
              <w:t>2.</w:t>
            </w:r>
            <w:r w:rsidR="00110178" w:rsidRPr="008669C3">
              <w:rPr>
                <w:sz w:val="20"/>
                <w:szCs w:val="20"/>
              </w:rPr>
              <w:t>09</w:t>
            </w:r>
            <w:r w:rsidRPr="008669C3">
              <w:rPr>
                <w:sz w:val="20"/>
                <w:szCs w:val="20"/>
              </w:rPr>
              <w:t>8*</w:t>
            </w:r>
          </w:p>
        </w:tc>
        <w:tc>
          <w:tcPr>
            <w:tcW w:w="684" w:type="pct"/>
            <w:tcBorders>
              <w:top w:val="nil"/>
              <w:left w:val="nil"/>
              <w:right w:val="nil"/>
            </w:tcBorders>
            <w:shd w:val="clear" w:color="auto" w:fill="auto"/>
            <w:noWrap/>
            <w:vAlign w:val="bottom"/>
            <w:hideMark/>
          </w:tcPr>
          <w:p w14:paraId="2D1035F6" w14:textId="32CBD2C1" w:rsidR="00535F81" w:rsidRPr="008669C3" w:rsidRDefault="004E24C4" w:rsidP="001B65FC">
            <w:pPr>
              <w:jc w:val="center"/>
              <w:rPr>
                <w:sz w:val="20"/>
                <w:szCs w:val="20"/>
              </w:rPr>
            </w:pPr>
            <w:r w:rsidRPr="008669C3">
              <w:rPr>
                <w:sz w:val="20"/>
                <w:szCs w:val="20"/>
              </w:rPr>
              <w:t>2</w:t>
            </w:r>
            <w:r w:rsidR="00535F81" w:rsidRPr="008669C3">
              <w:rPr>
                <w:sz w:val="20"/>
                <w:szCs w:val="20"/>
              </w:rPr>
              <w:t>.</w:t>
            </w:r>
            <w:r w:rsidR="001B65FC" w:rsidRPr="008669C3">
              <w:rPr>
                <w:sz w:val="20"/>
                <w:szCs w:val="20"/>
              </w:rPr>
              <w:t>1</w:t>
            </w:r>
            <w:r w:rsidR="00535F81" w:rsidRPr="008669C3">
              <w:rPr>
                <w:sz w:val="20"/>
                <w:szCs w:val="20"/>
              </w:rPr>
              <w:t>38</w:t>
            </w:r>
            <w:r w:rsidR="001B65FC" w:rsidRPr="008669C3">
              <w:rPr>
                <w:sz w:val="20"/>
                <w:szCs w:val="20"/>
              </w:rPr>
              <w:t>**</w:t>
            </w:r>
          </w:p>
        </w:tc>
      </w:tr>
      <w:tr w:rsidR="00535F81" w:rsidRPr="008669C3" w14:paraId="338892E7" w14:textId="77777777" w:rsidTr="00535F81">
        <w:trPr>
          <w:trHeight w:val="20"/>
        </w:trPr>
        <w:tc>
          <w:tcPr>
            <w:tcW w:w="1911" w:type="pct"/>
            <w:tcBorders>
              <w:top w:val="nil"/>
              <w:left w:val="nil"/>
              <w:bottom w:val="single" w:sz="4" w:space="0" w:color="auto"/>
              <w:right w:val="nil"/>
            </w:tcBorders>
            <w:shd w:val="clear" w:color="auto" w:fill="auto"/>
            <w:noWrap/>
            <w:vAlign w:val="bottom"/>
            <w:hideMark/>
          </w:tcPr>
          <w:p w14:paraId="3DC7A1DA" w14:textId="77777777" w:rsidR="00535F81" w:rsidRPr="008669C3" w:rsidRDefault="00535F81" w:rsidP="00535F81">
            <w:pPr>
              <w:jc w:val="center"/>
              <w:rPr>
                <w:sz w:val="20"/>
                <w:szCs w:val="20"/>
              </w:rPr>
            </w:pPr>
          </w:p>
        </w:tc>
        <w:tc>
          <w:tcPr>
            <w:tcW w:w="759" w:type="pct"/>
            <w:tcBorders>
              <w:top w:val="nil"/>
              <w:left w:val="nil"/>
              <w:bottom w:val="single" w:sz="4" w:space="0" w:color="auto"/>
              <w:right w:val="nil"/>
            </w:tcBorders>
            <w:shd w:val="clear" w:color="auto" w:fill="auto"/>
            <w:noWrap/>
            <w:vAlign w:val="bottom"/>
            <w:hideMark/>
          </w:tcPr>
          <w:p w14:paraId="2E990E66" w14:textId="77777777" w:rsidR="00535F81" w:rsidRPr="008669C3" w:rsidRDefault="00535F81" w:rsidP="00535F81">
            <w:pPr>
              <w:rPr>
                <w:sz w:val="20"/>
                <w:szCs w:val="20"/>
              </w:rPr>
            </w:pPr>
          </w:p>
        </w:tc>
        <w:tc>
          <w:tcPr>
            <w:tcW w:w="759" w:type="pct"/>
            <w:tcBorders>
              <w:top w:val="nil"/>
              <w:left w:val="nil"/>
              <w:bottom w:val="single" w:sz="4" w:space="0" w:color="auto"/>
              <w:right w:val="nil"/>
            </w:tcBorders>
            <w:shd w:val="clear" w:color="auto" w:fill="auto"/>
            <w:noWrap/>
            <w:vAlign w:val="bottom"/>
            <w:hideMark/>
          </w:tcPr>
          <w:p w14:paraId="40CA2F9A" w14:textId="77777777" w:rsidR="00535F81" w:rsidRPr="008669C3" w:rsidRDefault="00535F81" w:rsidP="00535F81">
            <w:pPr>
              <w:jc w:val="center"/>
              <w:rPr>
                <w:sz w:val="20"/>
                <w:szCs w:val="20"/>
              </w:rPr>
            </w:pPr>
          </w:p>
        </w:tc>
        <w:tc>
          <w:tcPr>
            <w:tcW w:w="203" w:type="pct"/>
            <w:tcBorders>
              <w:top w:val="nil"/>
              <w:left w:val="nil"/>
              <w:bottom w:val="single" w:sz="4" w:space="0" w:color="auto"/>
              <w:right w:val="nil"/>
            </w:tcBorders>
            <w:shd w:val="clear" w:color="auto" w:fill="auto"/>
            <w:noWrap/>
            <w:vAlign w:val="bottom"/>
            <w:hideMark/>
          </w:tcPr>
          <w:p w14:paraId="27910AE7" w14:textId="77777777" w:rsidR="00535F81" w:rsidRPr="008669C3" w:rsidRDefault="00535F81" w:rsidP="00535F81">
            <w:pPr>
              <w:jc w:val="center"/>
              <w:rPr>
                <w:sz w:val="20"/>
                <w:szCs w:val="20"/>
              </w:rPr>
            </w:pPr>
          </w:p>
        </w:tc>
        <w:tc>
          <w:tcPr>
            <w:tcW w:w="684" w:type="pct"/>
            <w:tcBorders>
              <w:top w:val="nil"/>
              <w:left w:val="nil"/>
              <w:bottom w:val="single" w:sz="4" w:space="0" w:color="auto"/>
              <w:right w:val="nil"/>
            </w:tcBorders>
            <w:shd w:val="clear" w:color="auto" w:fill="auto"/>
            <w:noWrap/>
            <w:vAlign w:val="bottom"/>
            <w:hideMark/>
          </w:tcPr>
          <w:p w14:paraId="025BFF3D" w14:textId="0AB98D46" w:rsidR="00535F81" w:rsidRPr="008669C3" w:rsidRDefault="00535F81" w:rsidP="0046273E">
            <w:pPr>
              <w:jc w:val="center"/>
              <w:rPr>
                <w:sz w:val="20"/>
                <w:szCs w:val="20"/>
              </w:rPr>
            </w:pPr>
            <w:r w:rsidRPr="008669C3">
              <w:rPr>
                <w:sz w:val="20"/>
                <w:szCs w:val="20"/>
              </w:rPr>
              <w:t>(</w:t>
            </w:r>
            <w:r w:rsidR="0046273E" w:rsidRPr="008669C3">
              <w:rPr>
                <w:sz w:val="20"/>
                <w:szCs w:val="20"/>
              </w:rPr>
              <w:t>1.221</w:t>
            </w:r>
            <w:r w:rsidRPr="008669C3">
              <w:rPr>
                <w:sz w:val="20"/>
                <w:szCs w:val="20"/>
              </w:rPr>
              <w:t>)</w:t>
            </w:r>
          </w:p>
        </w:tc>
        <w:tc>
          <w:tcPr>
            <w:tcW w:w="684" w:type="pct"/>
            <w:tcBorders>
              <w:top w:val="nil"/>
              <w:left w:val="nil"/>
              <w:bottom w:val="single" w:sz="4" w:space="0" w:color="auto"/>
              <w:right w:val="nil"/>
            </w:tcBorders>
            <w:shd w:val="clear" w:color="auto" w:fill="auto"/>
            <w:noWrap/>
            <w:vAlign w:val="bottom"/>
            <w:hideMark/>
          </w:tcPr>
          <w:p w14:paraId="1E5B66EF" w14:textId="45272AE3" w:rsidR="00535F81" w:rsidRPr="008669C3" w:rsidRDefault="00535F81" w:rsidP="0046273E">
            <w:pPr>
              <w:jc w:val="center"/>
              <w:rPr>
                <w:sz w:val="20"/>
                <w:szCs w:val="20"/>
              </w:rPr>
            </w:pPr>
            <w:r w:rsidRPr="008669C3">
              <w:rPr>
                <w:sz w:val="20"/>
                <w:szCs w:val="20"/>
              </w:rPr>
              <w:t>(1.</w:t>
            </w:r>
            <w:r w:rsidR="001B65FC" w:rsidRPr="008669C3">
              <w:rPr>
                <w:sz w:val="20"/>
                <w:szCs w:val="20"/>
              </w:rPr>
              <w:t>0</w:t>
            </w:r>
            <w:r w:rsidRPr="008669C3">
              <w:rPr>
                <w:sz w:val="20"/>
                <w:szCs w:val="20"/>
              </w:rPr>
              <w:t>68)</w:t>
            </w:r>
          </w:p>
        </w:tc>
      </w:tr>
      <w:tr w:rsidR="0075677A" w:rsidRPr="008669C3" w14:paraId="12F83D80" w14:textId="77777777" w:rsidTr="00535F81">
        <w:trPr>
          <w:trHeight w:val="20"/>
        </w:trPr>
        <w:tc>
          <w:tcPr>
            <w:tcW w:w="1911" w:type="pct"/>
            <w:tcBorders>
              <w:top w:val="single" w:sz="4" w:space="0" w:color="auto"/>
              <w:left w:val="nil"/>
              <w:bottom w:val="nil"/>
              <w:right w:val="nil"/>
            </w:tcBorders>
            <w:shd w:val="clear" w:color="auto" w:fill="auto"/>
            <w:noWrap/>
            <w:vAlign w:val="bottom"/>
          </w:tcPr>
          <w:p w14:paraId="272CA766" w14:textId="0C66C859" w:rsidR="0075677A" w:rsidRPr="008669C3" w:rsidRDefault="0075677A" w:rsidP="0075677A">
            <w:pPr>
              <w:rPr>
                <w:sz w:val="20"/>
                <w:szCs w:val="20"/>
              </w:rPr>
            </w:pPr>
            <w:r w:rsidRPr="008669C3">
              <w:rPr>
                <w:sz w:val="20"/>
                <w:szCs w:val="20"/>
              </w:rPr>
              <w:t>All controls</w:t>
            </w:r>
          </w:p>
        </w:tc>
        <w:tc>
          <w:tcPr>
            <w:tcW w:w="759" w:type="pct"/>
            <w:tcBorders>
              <w:top w:val="single" w:sz="4" w:space="0" w:color="auto"/>
              <w:left w:val="nil"/>
              <w:bottom w:val="nil"/>
              <w:right w:val="nil"/>
            </w:tcBorders>
            <w:shd w:val="clear" w:color="auto" w:fill="auto"/>
            <w:noWrap/>
            <w:vAlign w:val="bottom"/>
          </w:tcPr>
          <w:p w14:paraId="771EB683" w14:textId="5A706779" w:rsidR="0075677A" w:rsidRPr="008669C3" w:rsidRDefault="0075677A" w:rsidP="0075677A">
            <w:pPr>
              <w:jc w:val="center"/>
              <w:rPr>
                <w:sz w:val="20"/>
                <w:szCs w:val="20"/>
              </w:rPr>
            </w:pPr>
            <w:r w:rsidRPr="008669C3">
              <w:rPr>
                <w:sz w:val="20"/>
                <w:szCs w:val="20"/>
              </w:rPr>
              <w:t>Yes</w:t>
            </w:r>
          </w:p>
        </w:tc>
        <w:tc>
          <w:tcPr>
            <w:tcW w:w="759" w:type="pct"/>
            <w:tcBorders>
              <w:top w:val="single" w:sz="4" w:space="0" w:color="auto"/>
              <w:left w:val="nil"/>
              <w:bottom w:val="nil"/>
              <w:right w:val="nil"/>
            </w:tcBorders>
            <w:shd w:val="clear" w:color="auto" w:fill="auto"/>
            <w:noWrap/>
            <w:vAlign w:val="bottom"/>
          </w:tcPr>
          <w:p w14:paraId="704CC436" w14:textId="253E7615" w:rsidR="0075677A" w:rsidRPr="008669C3" w:rsidRDefault="0075677A" w:rsidP="0075677A">
            <w:pPr>
              <w:jc w:val="center"/>
              <w:rPr>
                <w:sz w:val="20"/>
                <w:szCs w:val="20"/>
              </w:rPr>
            </w:pPr>
            <w:r w:rsidRPr="008669C3">
              <w:rPr>
                <w:sz w:val="20"/>
                <w:szCs w:val="20"/>
              </w:rPr>
              <w:t>Yes</w:t>
            </w:r>
          </w:p>
        </w:tc>
        <w:tc>
          <w:tcPr>
            <w:tcW w:w="203" w:type="pct"/>
            <w:tcBorders>
              <w:top w:val="single" w:sz="4" w:space="0" w:color="auto"/>
              <w:left w:val="nil"/>
              <w:bottom w:val="nil"/>
              <w:right w:val="nil"/>
            </w:tcBorders>
            <w:shd w:val="clear" w:color="auto" w:fill="auto"/>
            <w:noWrap/>
            <w:vAlign w:val="bottom"/>
          </w:tcPr>
          <w:p w14:paraId="4C1038F0" w14:textId="77777777" w:rsidR="0075677A" w:rsidRPr="008669C3" w:rsidRDefault="0075677A" w:rsidP="0075677A">
            <w:pPr>
              <w:jc w:val="center"/>
              <w:rPr>
                <w:sz w:val="20"/>
                <w:szCs w:val="20"/>
              </w:rPr>
            </w:pPr>
          </w:p>
        </w:tc>
        <w:tc>
          <w:tcPr>
            <w:tcW w:w="684" w:type="pct"/>
            <w:tcBorders>
              <w:top w:val="single" w:sz="4" w:space="0" w:color="auto"/>
              <w:left w:val="nil"/>
              <w:bottom w:val="nil"/>
              <w:right w:val="nil"/>
            </w:tcBorders>
            <w:shd w:val="clear" w:color="auto" w:fill="auto"/>
            <w:noWrap/>
            <w:vAlign w:val="bottom"/>
          </w:tcPr>
          <w:p w14:paraId="256529A1" w14:textId="6844D766" w:rsidR="0075677A" w:rsidRPr="008669C3" w:rsidRDefault="0075677A" w:rsidP="0075677A">
            <w:pPr>
              <w:jc w:val="center"/>
              <w:rPr>
                <w:sz w:val="20"/>
                <w:szCs w:val="20"/>
              </w:rPr>
            </w:pPr>
            <w:r w:rsidRPr="008669C3">
              <w:rPr>
                <w:sz w:val="20"/>
                <w:szCs w:val="20"/>
              </w:rPr>
              <w:t>Yes</w:t>
            </w:r>
          </w:p>
        </w:tc>
        <w:tc>
          <w:tcPr>
            <w:tcW w:w="684" w:type="pct"/>
            <w:tcBorders>
              <w:top w:val="single" w:sz="4" w:space="0" w:color="auto"/>
              <w:left w:val="nil"/>
              <w:bottom w:val="nil"/>
              <w:right w:val="nil"/>
            </w:tcBorders>
            <w:shd w:val="clear" w:color="auto" w:fill="auto"/>
            <w:noWrap/>
            <w:vAlign w:val="bottom"/>
          </w:tcPr>
          <w:p w14:paraId="34FAC22E" w14:textId="340840BE" w:rsidR="0075677A" w:rsidRPr="008669C3" w:rsidRDefault="0075677A" w:rsidP="0075677A">
            <w:pPr>
              <w:jc w:val="center"/>
              <w:rPr>
                <w:sz w:val="20"/>
                <w:szCs w:val="20"/>
              </w:rPr>
            </w:pPr>
            <w:r w:rsidRPr="008669C3">
              <w:rPr>
                <w:sz w:val="20"/>
                <w:szCs w:val="20"/>
              </w:rPr>
              <w:t>Yes</w:t>
            </w:r>
          </w:p>
        </w:tc>
      </w:tr>
      <w:tr w:rsidR="0075677A" w:rsidRPr="008669C3" w14:paraId="374AE8E6" w14:textId="77777777" w:rsidTr="00535F81">
        <w:trPr>
          <w:trHeight w:val="20"/>
        </w:trPr>
        <w:tc>
          <w:tcPr>
            <w:tcW w:w="1911" w:type="pct"/>
            <w:tcBorders>
              <w:top w:val="nil"/>
              <w:left w:val="nil"/>
              <w:bottom w:val="nil"/>
              <w:right w:val="nil"/>
            </w:tcBorders>
            <w:shd w:val="clear" w:color="auto" w:fill="auto"/>
            <w:noWrap/>
            <w:vAlign w:val="bottom"/>
          </w:tcPr>
          <w:p w14:paraId="585C025C" w14:textId="6FF83C3C" w:rsidR="0075677A" w:rsidRPr="008669C3" w:rsidRDefault="0075677A" w:rsidP="0075677A">
            <w:pPr>
              <w:rPr>
                <w:sz w:val="20"/>
                <w:szCs w:val="20"/>
              </w:rPr>
            </w:pPr>
            <w:r w:rsidRPr="008669C3">
              <w:rPr>
                <w:sz w:val="20"/>
                <w:szCs w:val="20"/>
              </w:rPr>
              <w:t>Firm FE</w:t>
            </w:r>
          </w:p>
        </w:tc>
        <w:tc>
          <w:tcPr>
            <w:tcW w:w="759" w:type="pct"/>
            <w:tcBorders>
              <w:top w:val="nil"/>
              <w:left w:val="nil"/>
              <w:bottom w:val="nil"/>
              <w:right w:val="nil"/>
            </w:tcBorders>
            <w:shd w:val="clear" w:color="auto" w:fill="auto"/>
            <w:noWrap/>
            <w:vAlign w:val="bottom"/>
          </w:tcPr>
          <w:p w14:paraId="5CD3595D" w14:textId="425DE091" w:rsidR="0075677A" w:rsidRPr="008669C3" w:rsidRDefault="0075677A" w:rsidP="0075677A">
            <w:pPr>
              <w:jc w:val="center"/>
              <w:rPr>
                <w:sz w:val="20"/>
                <w:szCs w:val="20"/>
              </w:rPr>
            </w:pPr>
            <w:r w:rsidRPr="008669C3">
              <w:rPr>
                <w:sz w:val="20"/>
                <w:szCs w:val="20"/>
              </w:rPr>
              <w:t>Yes</w:t>
            </w:r>
          </w:p>
        </w:tc>
        <w:tc>
          <w:tcPr>
            <w:tcW w:w="759" w:type="pct"/>
            <w:tcBorders>
              <w:top w:val="nil"/>
              <w:left w:val="nil"/>
              <w:bottom w:val="nil"/>
              <w:right w:val="nil"/>
            </w:tcBorders>
            <w:shd w:val="clear" w:color="auto" w:fill="auto"/>
            <w:noWrap/>
            <w:vAlign w:val="bottom"/>
          </w:tcPr>
          <w:p w14:paraId="33182BBD" w14:textId="267CF471" w:rsidR="0075677A" w:rsidRPr="008669C3" w:rsidRDefault="0075677A" w:rsidP="0075677A">
            <w:pPr>
              <w:jc w:val="center"/>
              <w:rPr>
                <w:sz w:val="20"/>
                <w:szCs w:val="20"/>
              </w:rPr>
            </w:pPr>
            <w:r w:rsidRPr="008669C3">
              <w:rPr>
                <w:sz w:val="20"/>
                <w:szCs w:val="20"/>
              </w:rPr>
              <w:t>No</w:t>
            </w:r>
          </w:p>
        </w:tc>
        <w:tc>
          <w:tcPr>
            <w:tcW w:w="203" w:type="pct"/>
            <w:tcBorders>
              <w:top w:val="nil"/>
              <w:left w:val="nil"/>
              <w:bottom w:val="nil"/>
              <w:right w:val="nil"/>
            </w:tcBorders>
            <w:shd w:val="clear" w:color="auto" w:fill="auto"/>
            <w:noWrap/>
            <w:vAlign w:val="bottom"/>
          </w:tcPr>
          <w:p w14:paraId="4152BB2A" w14:textId="77777777" w:rsidR="0075677A" w:rsidRPr="008669C3" w:rsidRDefault="0075677A" w:rsidP="0075677A">
            <w:pPr>
              <w:jc w:val="center"/>
              <w:rPr>
                <w:sz w:val="20"/>
                <w:szCs w:val="20"/>
              </w:rPr>
            </w:pPr>
          </w:p>
        </w:tc>
        <w:tc>
          <w:tcPr>
            <w:tcW w:w="684" w:type="pct"/>
            <w:tcBorders>
              <w:top w:val="nil"/>
              <w:left w:val="nil"/>
              <w:bottom w:val="nil"/>
              <w:right w:val="nil"/>
            </w:tcBorders>
            <w:shd w:val="clear" w:color="auto" w:fill="auto"/>
            <w:noWrap/>
            <w:vAlign w:val="bottom"/>
          </w:tcPr>
          <w:p w14:paraId="1DE31B5E" w14:textId="22BA5DC2" w:rsidR="0075677A" w:rsidRPr="008669C3" w:rsidRDefault="0075677A" w:rsidP="0075677A">
            <w:pPr>
              <w:jc w:val="center"/>
              <w:rPr>
                <w:sz w:val="20"/>
                <w:szCs w:val="20"/>
              </w:rPr>
            </w:pPr>
            <w:r w:rsidRPr="008669C3">
              <w:rPr>
                <w:sz w:val="20"/>
                <w:szCs w:val="20"/>
              </w:rPr>
              <w:t>Yes</w:t>
            </w:r>
          </w:p>
        </w:tc>
        <w:tc>
          <w:tcPr>
            <w:tcW w:w="684" w:type="pct"/>
            <w:tcBorders>
              <w:top w:val="nil"/>
              <w:left w:val="nil"/>
              <w:bottom w:val="nil"/>
              <w:right w:val="nil"/>
            </w:tcBorders>
            <w:shd w:val="clear" w:color="auto" w:fill="auto"/>
            <w:noWrap/>
            <w:vAlign w:val="bottom"/>
          </w:tcPr>
          <w:p w14:paraId="2C9DA836" w14:textId="62AB929F" w:rsidR="0075677A" w:rsidRPr="008669C3" w:rsidRDefault="0075677A" w:rsidP="0075677A">
            <w:pPr>
              <w:jc w:val="center"/>
              <w:rPr>
                <w:sz w:val="20"/>
                <w:szCs w:val="20"/>
              </w:rPr>
            </w:pPr>
            <w:r w:rsidRPr="008669C3">
              <w:rPr>
                <w:sz w:val="20"/>
                <w:szCs w:val="20"/>
              </w:rPr>
              <w:t>No</w:t>
            </w:r>
          </w:p>
        </w:tc>
      </w:tr>
      <w:tr w:rsidR="0075677A" w:rsidRPr="008669C3" w14:paraId="31097700" w14:textId="77777777" w:rsidTr="00535F81">
        <w:trPr>
          <w:trHeight w:val="20"/>
        </w:trPr>
        <w:tc>
          <w:tcPr>
            <w:tcW w:w="1911" w:type="pct"/>
            <w:tcBorders>
              <w:top w:val="nil"/>
              <w:left w:val="nil"/>
              <w:bottom w:val="nil"/>
              <w:right w:val="nil"/>
            </w:tcBorders>
            <w:shd w:val="clear" w:color="auto" w:fill="auto"/>
            <w:noWrap/>
            <w:vAlign w:val="bottom"/>
          </w:tcPr>
          <w:p w14:paraId="4FD58BC2" w14:textId="212BC701" w:rsidR="0075677A" w:rsidRPr="008669C3" w:rsidRDefault="0075677A" w:rsidP="0075677A">
            <w:pPr>
              <w:rPr>
                <w:sz w:val="20"/>
                <w:szCs w:val="20"/>
              </w:rPr>
            </w:pPr>
            <w:r w:rsidRPr="008669C3">
              <w:rPr>
                <w:sz w:val="20"/>
                <w:szCs w:val="20"/>
              </w:rPr>
              <w:t>CEO-Firm FE</w:t>
            </w:r>
          </w:p>
        </w:tc>
        <w:tc>
          <w:tcPr>
            <w:tcW w:w="759" w:type="pct"/>
            <w:tcBorders>
              <w:top w:val="nil"/>
              <w:left w:val="nil"/>
              <w:bottom w:val="nil"/>
              <w:right w:val="nil"/>
            </w:tcBorders>
            <w:shd w:val="clear" w:color="auto" w:fill="auto"/>
            <w:noWrap/>
            <w:vAlign w:val="bottom"/>
          </w:tcPr>
          <w:p w14:paraId="4E5F60E6" w14:textId="6B24D1F9" w:rsidR="0075677A" w:rsidRPr="008669C3" w:rsidRDefault="0075677A" w:rsidP="0075677A">
            <w:pPr>
              <w:jc w:val="center"/>
              <w:rPr>
                <w:sz w:val="20"/>
                <w:szCs w:val="20"/>
              </w:rPr>
            </w:pPr>
            <w:r w:rsidRPr="008669C3">
              <w:rPr>
                <w:sz w:val="20"/>
                <w:szCs w:val="20"/>
              </w:rPr>
              <w:t>No</w:t>
            </w:r>
          </w:p>
        </w:tc>
        <w:tc>
          <w:tcPr>
            <w:tcW w:w="759" w:type="pct"/>
            <w:tcBorders>
              <w:top w:val="nil"/>
              <w:left w:val="nil"/>
              <w:bottom w:val="nil"/>
              <w:right w:val="nil"/>
            </w:tcBorders>
            <w:shd w:val="clear" w:color="auto" w:fill="auto"/>
            <w:noWrap/>
            <w:vAlign w:val="bottom"/>
          </w:tcPr>
          <w:p w14:paraId="3C154613" w14:textId="7E983317" w:rsidR="0075677A" w:rsidRPr="008669C3" w:rsidRDefault="0075677A" w:rsidP="0075677A">
            <w:pPr>
              <w:jc w:val="center"/>
              <w:rPr>
                <w:sz w:val="20"/>
                <w:szCs w:val="20"/>
              </w:rPr>
            </w:pPr>
            <w:r w:rsidRPr="008669C3">
              <w:rPr>
                <w:sz w:val="20"/>
                <w:szCs w:val="20"/>
              </w:rPr>
              <w:t>Yes</w:t>
            </w:r>
          </w:p>
        </w:tc>
        <w:tc>
          <w:tcPr>
            <w:tcW w:w="203" w:type="pct"/>
            <w:tcBorders>
              <w:top w:val="nil"/>
              <w:left w:val="nil"/>
              <w:bottom w:val="nil"/>
              <w:right w:val="nil"/>
            </w:tcBorders>
            <w:shd w:val="clear" w:color="auto" w:fill="auto"/>
            <w:noWrap/>
            <w:vAlign w:val="bottom"/>
          </w:tcPr>
          <w:p w14:paraId="172E1DAC" w14:textId="77777777" w:rsidR="0075677A" w:rsidRPr="008669C3" w:rsidRDefault="0075677A" w:rsidP="0075677A">
            <w:pPr>
              <w:jc w:val="center"/>
              <w:rPr>
                <w:sz w:val="20"/>
                <w:szCs w:val="20"/>
              </w:rPr>
            </w:pPr>
          </w:p>
        </w:tc>
        <w:tc>
          <w:tcPr>
            <w:tcW w:w="684" w:type="pct"/>
            <w:tcBorders>
              <w:top w:val="nil"/>
              <w:left w:val="nil"/>
              <w:bottom w:val="nil"/>
              <w:right w:val="nil"/>
            </w:tcBorders>
            <w:shd w:val="clear" w:color="auto" w:fill="auto"/>
            <w:noWrap/>
            <w:vAlign w:val="bottom"/>
          </w:tcPr>
          <w:p w14:paraId="5F350FFF" w14:textId="2FED0074" w:rsidR="0075677A" w:rsidRPr="008669C3" w:rsidRDefault="0075677A" w:rsidP="0075677A">
            <w:pPr>
              <w:jc w:val="center"/>
              <w:rPr>
                <w:sz w:val="20"/>
                <w:szCs w:val="20"/>
              </w:rPr>
            </w:pPr>
            <w:r w:rsidRPr="008669C3">
              <w:rPr>
                <w:sz w:val="20"/>
                <w:szCs w:val="20"/>
              </w:rPr>
              <w:t>No</w:t>
            </w:r>
          </w:p>
        </w:tc>
        <w:tc>
          <w:tcPr>
            <w:tcW w:w="684" w:type="pct"/>
            <w:tcBorders>
              <w:top w:val="nil"/>
              <w:left w:val="nil"/>
              <w:bottom w:val="nil"/>
              <w:right w:val="nil"/>
            </w:tcBorders>
            <w:shd w:val="clear" w:color="auto" w:fill="auto"/>
            <w:noWrap/>
            <w:vAlign w:val="bottom"/>
          </w:tcPr>
          <w:p w14:paraId="11B3928A" w14:textId="323728CD" w:rsidR="0075677A" w:rsidRPr="008669C3" w:rsidRDefault="0075677A" w:rsidP="0075677A">
            <w:pPr>
              <w:jc w:val="center"/>
              <w:rPr>
                <w:sz w:val="20"/>
                <w:szCs w:val="20"/>
              </w:rPr>
            </w:pPr>
            <w:r w:rsidRPr="008669C3">
              <w:rPr>
                <w:sz w:val="20"/>
                <w:szCs w:val="20"/>
              </w:rPr>
              <w:t>Yes</w:t>
            </w:r>
          </w:p>
        </w:tc>
      </w:tr>
      <w:tr w:rsidR="0075677A" w:rsidRPr="008669C3" w14:paraId="2339D197" w14:textId="77777777" w:rsidTr="00535F81">
        <w:trPr>
          <w:trHeight w:val="20"/>
        </w:trPr>
        <w:tc>
          <w:tcPr>
            <w:tcW w:w="1911" w:type="pct"/>
            <w:tcBorders>
              <w:top w:val="nil"/>
              <w:left w:val="nil"/>
              <w:bottom w:val="nil"/>
              <w:right w:val="nil"/>
            </w:tcBorders>
            <w:shd w:val="clear" w:color="auto" w:fill="auto"/>
            <w:noWrap/>
            <w:vAlign w:val="bottom"/>
          </w:tcPr>
          <w:p w14:paraId="5326FDAF" w14:textId="277E4476" w:rsidR="0075677A" w:rsidRPr="008669C3" w:rsidRDefault="0075677A" w:rsidP="0075677A">
            <w:pPr>
              <w:rPr>
                <w:sz w:val="20"/>
                <w:szCs w:val="20"/>
              </w:rPr>
            </w:pPr>
            <w:r w:rsidRPr="008669C3">
              <w:rPr>
                <w:sz w:val="20"/>
                <w:szCs w:val="20"/>
              </w:rPr>
              <w:t>Industry-Year FE</w:t>
            </w:r>
          </w:p>
        </w:tc>
        <w:tc>
          <w:tcPr>
            <w:tcW w:w="759" w:type="pct"/>
            <w:tcBorders>
              <w:top w:val="nil"/>
              <w:left w:val="nil"/>
              <w:bottom w:val="nil"/>
              <w:right w:val="nil"/>
            </w:tcBorders>
            <w:shd w:val="clear" w:color="auto" w:fill="auto"/>
            <w:noWrap/>
            <w:vAlign w:val="bottom"/>
          </w:tcPr>
          <w:p w14:paraId="19DF15BE" w14:textId="08301CF2" w:rsidR="0075677A" w:rsidRPr="008669C3" w:rsidRDefault="0075677A" w:rsidP="0075677A">
            <w:pPr>
              <w:jc w:val="center"/>
              <w:rPr>
                <w:sz w:val="20"/>
                <w:szCs w:val="20"/>
              </w:rPr>
            </w:pPr>
            <w:r w:rsidRPr="008669C3">
              <w:rPr>
                <w:sz w:val="20"/>
                <w:szCs w:val="20"/>
              </w:rPr>
              <w:t>Yes</w:t>
            </w:r>
          </w:p>
        </w:tc>
        <w:tc>
          <w:tcPr>
            <w:tcW w:w="759" w:type="pct"/>
            <w:tcBorders>
              <w:top w:val="nil"/>
              <w:left w:val="nil"/>
              <w:bottom w:val="nil"/>
              <w:right w:val="nil"/>
            </w:tcBorders>
            <w:shd w:val="clear" w:color="auto" w:fill="auto"/>
            <w:noWrap/>
            <w:vAlign w:val="bottom"/>
          </w:tcPr>
          <w:p w14:paraId="1E51D478" w14:textId="38D31408" w:rsidR="0075677A" w:rsidRPr="008669C3" w:rsidRDefault="0075677A" w:rsidP="0075677A">
            <w:pPr>
              <w:jc w:val="center"/>
              <w:rPr>
                <w:sz w:val="20"/>
                <w:szCs w:val="20"/>
              </w:rPr>
            </w:pPr>
            <w:r w:rsidRPr="008669C3">
              <w:rPr>
                <w:sz w:val="20"/>
                <w:szCs w:val="20"/>
              </w:rPr>
              <w:t>Yes</w:t>
            </w:r>
          </w:p>
        </w:tc>
        <w:tc>
          <w:tcPr>
            <w:tcW w:w="203" w:type="pct"/>
            <w:tcBorders>
              <w:top w:val="nil"/>
              <w:left w:val="nil"/>
              <w:bottom w:val="nil"/>
              <w:right w:val="nil"/>
            </w:tcBorders>
            <w:shd w:val="clear" w:color="auto" w:fill="auto"/>
            <w:noWrap/>
            <w:vAlign w:val="bottom"/>
          </w:tcPr>
          <w:p w14:paraId="4450CD25" w14:textId="77777777" w:rsidR="0075677A" w:rsidRPr="008669C3" w:rsidRDefault="0075677A" w:rsidP="0075677A">
            <w:pPr>
              <w:jc w:val="center"/>
              <w:rPr>
                <w:sz w:val="20"/>
                <w:szCs w:val="20"/>
              </w:rPr>
            </w:pPr>
          </w:p>
        </w:tc>
        <w:tc>
          <w:tcPr>
            <w:tcW w:w="684" w:type="pct"/>
            <w:tcBorders>
              <w:top w:val="nil"/>
              <w:left w:val="nil"/>
              <w:bottom w:val="nil"/>
              <w:right w:val="nil"/>
            </w:tcBorders>
            <w:shd w:val="clear" w:color="auto" w:fill="auto"/>
            <w:noWrap/>
            <w:vAlign w:val="bottom"/>
          </w:tcPr>
          <w:p w14:paraId="6ADADE34" w14:textId="14B43F84" w:rsidR="0075677A" w:rsidRPr="008669C3" w:rsidRDefault="0075677A" w:rsidP="0075677A">
            <w:pPr>
              <w:jc w:val="center"/>
              <w:rPr>
                <w:sz w:val="20"/>
                <w:szCs w:val="20"/>
              </w:rPr>
            </w:pPr>
            <w:r w:rsidRPr="008669C3">
              <w:rPr>
                <w:sz w:val="20"/>
                <w:szCs w:val="20"/>
              </w:rPr>
              <w:t>Yes</w:t>
            </w:r>
          </w:p>
        </w:tc>
        <w:tc>
          <w:tcPr>
            <w:tcW w:w="684" w:type="pct"/>
            <w:tcBorders>
              <w:top w:val="nil"/>
              <w:left w:val="nil"/>
              <w:bottom w:val="nil"/>
              <w:right w:val="nil"/>
            </w:tcBorders>
            <w:shd w:val="clear" w:color="auto" w:fill="auto"/>
            <w:noWrap/>
            <w:vAlign w:val="bottom"/>
          </w:tcPr>
          <w:p w14:paraId="698B61F5" w14:textId="61F55ECD" w:rsidR="0075677A" w:rsidRPr="008669C3" w:rsidRDefault="0075677A" w:rsidP="0075677A">
            <w:pPr>
              <w:jc w:val="center"/>
              <w:rPr>
                <w:sz w:val="20"/>
                <w:szCs w:val="20"/>
              </w:rPr>
            </w:pPr>
            <w:r w:rsidRPr="008669C3">
              <w:rPr>
                <w:sz w:val="20"/>
                <w:szCs w:val="20"/>
              </w:rPr>
              <w:t>Yes</w:t>
            </w:r>
          </w:p>
        </w:tc>
      </w:tr>
      <w:tr w:rsidR="0075677A" w:rsidRPr="008669C3" w14:paraId="671E43CC" w14:textId="77777777" w:rsidTr="00535F81">
        <w:trPr>
          <w:trHeight w:val="20"/>
        </w:trPr>
        <w:tc>
          <w:tcPr>
            <w:tcW w:w="1911" w:type="pct"/>
            <w:tcBorders>
              <w:top w:val="nil"/>
              <w:left w:val="nil"/>
              <w:right w:val="nil"/>
            </w:tcBorders>
            <w:shd w:val="clear" w:color="auto" w:fill="auto"/>
            <w:noWrap/>
            <w:vAlign w:val="bottom"/>
          </w:tcPr>
          <w:p w14:paraId="7C2A62AC" w14:textId="32152734" w:rsidR="0075677A" w:rsidRPr="008669C3" w:rsidRDefault="0075677A" w:rsidP="0075677A">
            <w:pPr>
              <w:rPr>
                <w:sz w:val="20"/>
                <w:szCs w:val="20"/>
              </w:rPr>
            </w:pPr>
            <w:r w:rsidRPr="008669C3">
              <w:rPr>
                <w:sz w:val="20"/>
                <w:szCs w:val="20"/>
              </w:rPr>
              <w:t>N</w:t>
            </w:r>
          </w:p>
        </w:tc>
        <w:tc>
          <w:tcPr>
            <w:tcW w:w="759" w:type="pct"/>
            <w:tcBorders>
              <w:top w:val="nil"/>
              <w:left w:val="nil"/>
              <w:right w:val="nil"/>
            </w:tcBorders>
            <w:shd w:val="clear" w:color="auto" w:fill="auto"/>
            <w:noWrap/>
            <w:vAlign w:val="bottom"/>
          </w:tcPr>
          <w:p w14:paraId="01185201" w14:textId="788D2E5B" w:rsidR="0075677A" w:rsidRPr="008669C3" w:rsidRDefault="00890C53" w:rsidP="0075677A">
            <w:pPr>
              <w:jc w:val="center"/>
              <w:rPr>
                <w:sz w:val="20"/>
                <w:szCs w:val="20"/>
              </w:rPr>
            </w:pPr>
            <w:r>
              <w:rPr>
                <w:sz w:val="20"/>
                <w:szCs w:val="20"/>
              </w:rPr>
              <w:t>8</w:t>
            </w:r>
            <w:r w:rsidR="0075677A" w:rsidRPr="008669C3">
              <w:rPr>
                <w:sz w:val="20"/>
                <w:szCs w:val="20"/>
              </w:rPr>
              <w:t>987</w:t>
            </w:r>
          </w:p>
        </w:tc>
        <w:tc>
          <w:tcPr>
            <w:tcW w:w="759" w:type="pct"/>
            <w:tcBorders>
              <w:top w:val="nil"/>
              <w:left w:val="nil"/>
              <w:right w:val="nil"/>
            </w:tcBorders>
            <w:shd w:val="clear" w:color="auto" w:fill="auto"/>
            <w:noWrap/>
            <w:vAlign w:val="bottom"/>
          </w:tcPr>
          <w:p w14:paraId="1D0EAB09" w14:textId="1C9427C7" w:rsidR="0075677A" w:rsidRPr="008669C3" w:rsidRDefault="00890C53" w:rsidP="0075677A">
            <w:pPr>
              <w:jc w:val="center"/>
              <w:rPr>
                <w:sz w:val="20"/>
                <w:szCs w:val="20"/>
              </w:rPr>
            </w:pPr>
            <w:r>
              <w:rPr>
                <w:sz w:val="20"/>
                <w:szCs w:val="20"/>
              </w:rPr>
              <w:t>8</w:t>
            </w:r>
            <w:r w:rsidR="0075677A" w:rsidRPr="008669C3">
              <w:rPr>
                <w:sz w:val="20"/>
                <w:szCs w:val="20"/>
              </w:rPr>
              <w:t>654</w:t>
            </w:r>
          </w:p>
        </w:tc>
        <w:tc>
          <w:tcPr>
            <w:tcW w:w="203" w:type="pct"/>
            <w:tcBorders>
              <w:top w:val="nil"/>
              <w:left w:val="nil"/>
              <w:right w:val="nil"/>
            </w:tcBorders>
            <w:shd w:val="clear" w:color="auto" w:fill="auto"/>
            <w:noWrap/>
            <w:vAlign w:val="bottom"/>
          </w:tcPr>
          <w:p w14:paraId="56C4345D" w14:textId="77777777" w:rsidR="0075677A" w:rsidRPr="008669C3" w:rsidRDefault="0075677A" w:rsidP="0075677A">
            <w:pPr>
              <w:jc w:val="center"/>
              <w:rPr>
                <w:sz w:val="20"/>
                <w:szCs w:val="20"/>
              </w:rPr>
            </w:pPr>
          </w:p>
        </w:tc>
        <w:tc>
          <w:tcPr>
            <w:tcW w:w="684" w:type="pct"/>
            <w:tcBorders>
              <w:top w:val="nil"/>
              <w:left w:val="nil"/>
              <w:right w:val="nil"/>
            </w:tcBorders>
            <w:shd w:val="clear" w:color="auto" w:fill="auto"/>
            <w:noWrap/>
            <w:vAlign w:val="bottom"/>
          </w:tcPr>
          <w:p w14:paraId="4019ACB0" w14:textId="35F94A66" w:rsidR="0075677A" w:rsidRPr="008669C3" w:rsidRDefault="00890C53" w:rsidP="0075677A">
            <w:pPr>
              <w:jc w:val="center"/>
              <w:rPr>
                <w:sz w:val="20"/>
                <w:szCs w:val="20"/>
              </w:rPr>
            </w:pPr>
            <w:r>
              <w:rPr>
                <w:sz w:val="20"/>
                <w:szCs w:val="20"/>
              </w:rPr>
              <w:t>8</w:t>
            </w:r>
            <w:r w:rsidR="0075677A" w:rsidRPr="008669C3">
              <w:rPr>
                <w:sz w:val="20"/>
                <w:szCs w:val="20"/>
              </w:rPr>
              <w:t>987</w:t>
            </w:r>
          </w:p>
        </w:tc>
        <w:tc>
          <w:tcPr>
            <w:tcW w:w="684" w:type="pct"/>
            <w:tcBorders>
              <w:top w:val="nil"/>
              <w:left w:val="nil"/>
              <w:right w:val="nil"/>
            </w:tcBorders>
            <w:shd w:val="clear" w:color="auto" w:fill="auto"/>
            <w:noWrap/>
            <w:vAlign w:val="bottom"/>
          </w:tcPr>
          <w:p w14:paraId="3402B674" w14:textId="44045489" w:rsidR="0075677A" w:rsidRPr="008669C3" w:rsidRDefault="00890C53" w:rsidP="0075677A">
            <w:pPr>
              <w:jc w:val="center"/>
              <w:rPr>
                <w:sz w:val="20"/>
                <w:szCs w:val="20"/>
              </w:rPr>
            </w:pPr>
            <w:r>
              <w:rPr>
                <w:sz w:val="20"/>
                <w:szCs w:val="20"/>
              </w:rPr>
              <w:t>8</w:t>
            </w:r>
            <w:r w:rsidR="0075677A" w:rsidRPr="008669C3">
              <w:rPr>
                <w:sz w:val="20"/>
                <w:szCs w:val="20"/>
              </w:rPr>
              <w:t>654</w:t>
            </w:r>
          </w:p>
        </w:tc>
      </w:tr>
      <w:tr w:rsidR="0024682D" w:rsidRPr="008669C3" w14:paraId="139212C3" w14:textId="77777777" w:rsidTr="00535F81">
        <w:trPr>
          <w:trHeight w:val="20"/>
        </w:trPr>
        <w:tc>
          <w:tcPr>
            <w:tcW w:w="1911" w:type="pct"/>
            <w:tcBorders>
              <w:top w:val="nil"/>
              <w:left w:val="nil"/>
              <w:bottom w:val="single" w:sz="4" w:space="0" w:color="auto"/>
              <w:right w:val="nil"/>
            </w:tcBorders>
            <w:shd w:val="clear" w:color="auto" w:fill="auto"/>
            <w:noWrap/>
            <w:vAlign w:val="bottom"/>
          </w:tcPr>
          <w:p w14:paraId="0F1BEA24" w14:textId="708DC28A" w:rsidR="0024682D" w:rsidRPr="008669C3" w:rsidRDefault="0024682D" w:rsidP="0024682D">
            <w:pPr>
              <w:rPr>
                <w:sz w:val="20"/>
                <w:szCs w:val="20"/>
              </w:rPr>
            </w:pPr>
            <w:r w:rsidRPr="008669C3">
              <w:rPr>
                <w:sz w:val="20"/>
                <w:szCs w:val="20"/>
              </w:rPr>
              <w:t>Adjusted R</w:t>
            </w:r>
            <w:r w:rsidRPr="008669C3">
              <w:rPr>
                <w:sz w:val="20"/>
                <w:szCs w:val="20"/>
                <w:vertAlign w:val="superscript"/>
              </w:rPr>
              <w:t>2</w:t>
            </w:r>
          </w:p>
        </w:tc>
        <w:tc>
          <w:tcPr>
            <w:tcW w:w="759" w:type="pct"/>
            <w:tcBorders>
              <w:top w:val="nil"/>
              <w:left w:val="nil"/>
              <w:bottom w:val="single" w:sz="4" w:space="0" w:color="auto"/>
              <w:right w:val="nil"/>
            </w:tcBorders>
            <w:shd w:val="clear" w:color="auto" w:fill="auto"/>
            <w:noWrap/>
            <w:vAlign w:val="bottom"/>
          </w:tcPr>
          <w:p w14:paraId="3CF21250" w14:textId="59B67261" w:rsidR="0024682D" w:rsidRPr="008669C3" w:rsidRDefault="0024682D" w:rsidP="0024682D">
            <w:pPr>
              <w:jc w:val="center"/>
              <w:rPr>
                <w:sz w:val="20"/>
                <w:szCs w:val="20"/>
              </w:rPr>
            </w:pPr>
            <w:r w:rsidRPr="008669C3">
              <w:rPr>
                <w:sz w:val="20"/>
                <w:szCs w:val="20"/>
              </w:rPr>
              <w:t>0.073</w:t>
            </w:r>
          </w:p>
        </w:tc>
        <w:tc>
          <w:tcPr>
            <w:tcW w:w="759" w:type="pct"/>
            <w:tcBorders>
              <w:top w:val="nil"/>
              <w:left w:val="nil"/>
              <w:bottom w:val="single" w:sz="4" w:space="0" w:color="auto"/>
              <w:right w:val="nil"/>
            </w:tcBorders>
            <w:shd w:val="clear" w:color="auto" w:fill="auto"/>
            <w:noWrap/>
            <w:vAlign w:val="bottom"/>
          </w:tcPr>
          <w:p w14:paraId="2DB5597C" w14:textId="3878534C" w:rsidR="0024682D" w:rsidRPr="008669C3" w:rsidRDefault="0024682D" w:rsidP="0024682D">
            <w:pPr>
              <w:jc w:val="center"/>
              <w:rPr>
                <w:sz w:val="20"/>
                <w:szCs w:val="20"/>
              </w:rPr>
            </w:pPr>
            <w:r w:rsidRPr="008669C3">
              <w:rPr>
                <w:sz w:val="20"/>
                <w:szCs w:val="20"/>
              </w:rPr>
              <w:t>0.081</w:t>
            </w:r>
          </w:p>
        </w:tc>
        <w:tc>
          <w:tcPr>
            <w:tcW w:w="203" w:type="pct"/>
            <w:tcBorders>
              <w:top w:val="nil"/>
              <w:left w:val="nil"/>
              <w:bottom w:val="single" w:sz="4" w:space="0" w:color="auto"/>
              <w:right w:val="nil"/>
            </w:tcBorders>
            <w:shd w:val="clear" w:color="auto" w:fill="auto"/>
            <w:noWrap/>
            <w:vAlign w:val="bottom"/>
          </w:tcPr>
          <w:p w14:paraId="2136BC65" w14:textId="6EC5A550" w:rsidR="0024682D" w:rsidRPr="008669C3" w:rsidRDefault="0024682D" w:rsidP="0024682D">
            <w:pPr>
              <w:jc w:val="center"/>
              <w:rPr>
                <w:sz w:val="20"/>
                <w:szCs w:val="20"/>
              </w:rPr>
            </w:pPr>
          </w:p>
        </w:tc>
        <w:tc>
          <w:tcPr>
            <w:tcW w:w="684" w:type="pct"/>
            <w:tcBorders>
              <w:top w:val="nil"/>
              <w:left w:val="nil"/>
              <w:bottom w:val="single" w:sz="4" w:space="0" w:color="auto"/>
              <w:right w:val="nil"/>
            </w:tcBorders>
            <w:shd w:val="clear" w:color="auto" w:fill="auto"/>
            <w:noWrap/>
            <w:vAlign w:val="bottom"/>
          </w:tcPr>
          <w:p w14:paraId="4BE63A12" w14:textId="3EF3B7AF" w:rsidR="0024682D" w:rsidRPr="008669C3" w:rsidRDefault="0024682D" w:rsidP="0024682D">
            <w:pPr>
              <w:jc w:val="center"/>
              <w:rPr>
                <w:sz w:val="20"/>
                <w:szCs w:val="20"/>
              </w:rPr>
            </w:pPr>
            <w:r w:rsidRPr="008669C3">
              <w:rPr>
                <w:sz w:val="20"/>
                <w:szCs w:val="20"/>
              </w:rPr>
              <w:t>0.073</w:t>
            </w:r>
          </w:p>
        </w:tc>
        <w:tc>
          <w:tcPr>
            <w:tcW w:w="684" w:type="pct"/>
            <w:tcBorders>
              <w:top w:val="nil"/>
              <w:left w:val="nil"/>
              <w:bottom w:val="single" w:sz="4" w:space="0" w:color="auto"/>
              <w:right w:val="nil"/>
            </w:tcBorders>
            <w:shd w:val="clear" w:color="auto" w:fill="auto"/>
            <w:noWrap/>
            <w:vAlign w:val="bottom"/>
          </w:tcPr>
          <w:p w14:paraId="5A4E9409" w14:textId="2A768018" w:rsidR="0024682D" w:rsidRPr="008669C3" w:rsidRDefault="0024682D" w:rsidP="0024682D">
            <w:pPr>
              <w:jc w:val="center"/>
              <w:rPr>
                <w:sz w:val="20"/>
                <w:szCs w:val="20"/>
              </w:rPr>
            </w:pPr>
            <w:r w:rsidRPr="008669C3">
              <w:rPr>
                <w:sz w:val="20"/>
                <w:szCs w:val="20"/>
              </w:rPr>
              <w:t>0.082</w:t>
            </w:r>
          </w:p>
        </w:tc>
      </w:tr>
    </w:tbl>
    <w:p w14:paraId="64AFE9D2" w14:textId="77777777" w:rsidR="001900E3" w:rsidRPr="008669C3" w:rsidRDefault="001900E3" w:rsidP="001900E3">
      <w:pPr>
        <w:snapToGrid w:val="0"/>
        <w:jc w:val="both"/>
        <w:rPr>
          <w:color w:val="FF0000"/>
          <w:sz w:val="20"/>
          <w:szCs w:val="20"/>
        </w:rPr>
      </w:pPr>
    </w:p>
    <w:p w14:paraId="4BAA0C1C" w14:textId="77777777" w:rsidR="001900E3" w:rsidRPr="008669C3" w:rsidRDefault="001900E3" w:rsidP="001900E3">
      <w:pPr>
        <w:snapToGrid w:val="0"/>
        <w:jc w:val="both"/>
        <w:rPr>
          <w:color w:val="FF0000"/>
          <w:sz w:val="20"/>
          <w:szCs w:val="20"/>
        </w:rPr>
      </w:pPr>
    </w:p>
    <w:p w14:paraId="559F5A73" w14:textId="77777777" w:rsidR="001900E3" w:rsidRPr="008669C3" w:rsidRDefault="001900E3" w:rsidP="001900E3">
      <w:pPr>
        <w:snapToGrid w:val="0"/>
        <w:jc w:val="both"/>
        <w:rPr>
          <w:color w:val="FF0000"/>
          <w:sz w:val="20"/>
          <w:szCs w:val="20"/>
        </w:rPr>
      </w:pPr>
    </w:p>
    <w:p w14:paraId="5D5DC42B" w14:textId="77777777" w:rsidR="001900E3" w:rsidRPr="008669C3" w:rsidRDefault="001900E3" w:rsidP="001900E3">
      <w:pPr>
        <w:snapToGrid w:val="0"/>
        <w:jc w:val="both"/>
        <w:rPr>
          <w:color w:val="FF0000"/>
          <w:sz w:val="20"/>
          <w:szCs w:val="20"/>
        </w:rPr>
      </w:pPr>
    </w:p>
    <w:p w14:paraId="34729409" w14:textId="77777777" w:rsidR="001900E3" w:rsidRPr="008669C3" w:rsidRDefault="001900E3" w:rsidP="001900E3">
      <w:pPr>
        <w:jc w:val="both"/>
        <w:rPr>
          <w:color w:val="FF0000"/>
          <w:szCs w:val="20"/>
        </w:rPr>
      </w:pPr>
    </w:p>
    <w:p w14:paraId="2AA5F383" w14:textId="77777777" w:rsidR="001900E3" w:rsidRPr="008669C3" w:rsidRDefault="001900E3" w:rsidP="001900E3">
      <w:pPr>
        <w:jc w:val="both"/>
        <w:rPr>
          <w:color w:val="FF0000"/>
          <w:szCs w:val="20"/>
        </w:rPr>
      </w:pPr>
    </w:p>
    <w:p w14:paraId="3B7BC50D" w14:textId="77777777" w:rsidR="001900E3" w:rsidRPr="008669C3" w:rsidRDefault="001900E3" w:rsidP="001900E3">
      <w:pPr>
        <w:jc w:val="both"/>
        <w:rPr>
          <w:color w:val="FF0000"/>
          <w:szCs w:val="20"/>
        </w:rPr>
      </w:pPr>
    </w:p>
    <w:p w14:paraId="1643631C" w14:textId="77777777" w:rsidR="001900E3" w:rsidRPr="008669C3" w:rsidRDefault="001900E3" w:rsidP="001900E3">
      <w:pPr>
        <w:jc w:val="center"/>
        <w:rPr>
          <w:b/>
          <w:color w:val="FF0000"/>
          <w:szCs w:val="20"/>
        </w:rPr>
      </w:pPr>
    </w:p>
    <w:p w14:paraId="323DE56A" w14:textId="77777777" w:rsidR="001900E3" w:rsidRPr="008669C3" w:rsidRDefault="001900E3" w:rsidP="001900E3">
      <w:pPr>
        <w:jc w:val="center"/>
        <w:rPr>
          <w:b/>
          <w:color w:val="FF0000"/>
          <w:szCs w:val="20"/>
        </w:rPr>
      </w:pPr>
    </w:p>
    <w:p w14:paraId="0B96EED9" w14:textId="77777777" w:rsidR="001900E3" w:rsidRPr="008669C3" w:rsidRDefault="001900E3" w:rsidP="001900E3">
      <w:pPr>
        <w:jc w:val="center"/>
        <w:rPr>
          <w:b/>
          <w:color w:val="FF0000"/>
          <w:szCs w:val="20"/>
        </w:rPr>
      </w:pPr>
    </w:p>
    <w:p w14:paraId="3855BE6B" w14:textId="77777777" w:rsidR="001900E3" w:rsidRPr="008669C3" w:rsidRDefault="001900E3" w:rsidP="001900E3">
      <w:pPr>
        <w:jc w:val="center"/>
        <w:rPr>
          <w:b/>
          <w:color w:val="FF0000"/>
          <w:szCs w:val="20"/>
        </w:rPr>
      </w:pPr>
    </w:p>
    <w:p w14:paraId="4C76E291" w14:textId="77777777" w:rsidR="001900E3" w:rsidRPr="008669C3" w:rsidRDefault="001900E3" w:rsidP="001900E3">
      <w:pPr>
        <w:jc w:val="center"/>
        <w:rPr>
          <w:b/>
          <w:color w:val="FF0000"/>
          <w:szCs w:val="20"/>
        </w:rPr>
      </w:pPr>
    </w:p>
    <w:p w14:paraId="07DEAA66" w14:textId="77777777" w:rsidR="001900E3" w:rsidRPr="008669C3" w:rsidRDefault="001900E3" w:rsidP="001900E3">
      <w:pPr>
        <w:jc w:val="center"/>
        <w:rPr>
          <w:b/>
          <w:color w:val="FF0000"/>
          <w:szCs w:val="20"/>
        </w:rPr>
      </w:pPr>
    </w:p>
    <w:p w14:paraId="17CE3267" w14:textId="77777777" w:rsidR="007A69F4" w:rsidRPr="008669C3" w:rsidRDefault="007A69F4" w:rsidP="001900E3">
      <w:pPr>
        <w:jc w:val="center"/>
        <w:rPr>
          <w:b/>
          <w:color w:val="FF0000"/>
          <w:szCs w:val="20"/>
        </w:rPr>
      </w:pPr>
    </w:p>
    <w:p w14:paraId="5C7056C8" w14:textId="77777777" w:rsidR="007A69F4" w:rsidRPr="008669C3" w:rsidRDefault="007A69F4" w:rsidP="001900E3">
      <w:pPr>
        <w:jc w:val="center"/>
        <w:rPr>
          <w:b/>
          <w:color w:val="FF0000"/>
          <w:szCs w:val="20"/>
        </w:rPr>
      </w:pPr>
    </w:p>
    <w:p w14:paraId="5CBE2DCA" w14:textId="77777777" w:rsidR="007A69F4" w:rsidRPr="008669C3" w:rsidRDefault="007A69F4" w:rsidP="001900E3">
      <w:pPr>
        <w:jc w:val="center"/>
        <w:rPr>
          <w:b/>
          <w:color w:val="FF0000"/>
          <w:szCs w:val="20"/>
        </w:rPr>
      </w:pPr>
    </w:p>
    <w:p w14:paraId="06EF973F" w14:textId="77777777" w:rsidR="007A69F4" w:rsidRPr="008669C3" w:rsidRDefault="007A69F4" w:rsidP="001900E3">
      <w:pPr>
        <w:jc w:val="center"/>
        <w:rPr>
          <w:b/>
          <w:szCs w:val="20"/>
        </w:rPr>
      </w:pPr>
    </w:p>
    <w:p w14:paraId="79145C42" w14:textId="77777777" w:rsidR="00A94122" w:rsidRPr="008669C3" w:rsidRDefault="00A94122" w:rsidP="001900E3">
      <w:pPr>
        <w:jc w:val="center"/>
        <w:rPr>
          <w:b/>
          <w:szCs w:val="20"/>
        </w:rPr>
      </w:pPr>
    </w:p>
    <w:p w14:paraId="1D244DDC" w14:textId="77777777" w:rsidR="00A94122" w:rsidRPr="008669C3" w:rsidRDefault="00A94122" w:rsidP="001900E3">
      <w:pPr>
        <w:jc w:val="center"/>
        <w:rPr>
          <w:b/>
          <w:szCs w:val="20"/>
        </w:rPr>
      </w:pPr>
    </w:p>
    <w:p w14:paraId="14CBAA65" w14:textId="77777777" w:rsidR="00A94122" w:rsidRPr="008669C3" w:rsidRDefault="00A94122" w:rsidP="001900E3">
      <w:pPr>
        <w:jc w:val="center"/>
        <w:rPr>
          <w:b/>
          <w:szCs w:val="20"/>
        </w:rPr>
      </w:pPr>
    </w:p>
    <w:p w14:paraId="6454A461" w14:textId="77777777" w:rsidR="00A94122" w:rsidRPr="008669C3" w:rsidRDefault="00A94122" w:rsidP="001900E3">
      <w:pPr>
        <w:jc w:val="center"/>
        <w:rPr>
          <w:b/>
          <w:szCs w:val="20"/>
        </w:rPr>
      </w:pPr>
    </w:p>
    <w:p w14:paraId="043BB6BE" w14:textId="77777777" w:rsidR="001900E3" w:rsidRPr="008669C3" w:rsidRDefault="001900E3" w:rsidP="001900E3">
      <w:pPr>
        <w:jc w:val="center"/>
        <w:rPr>
          <w:b/>
          <w:szCs w:val="20"/>
        </w:rPr>
      </w:pPr>
      <w:r w:rsidRPr="008669C3">
        <w:rPr>
          <w:b/>
          <w:szCs w:val="20"/>
        </w:rPr>
        <w:t>Table 5</w:t>
      </w:r>
    </w:p>
    <w:p w14:paraId="01DE4688" w14:textId="77777777" w:rsidR="001900E3" w:rsidRPr="008669C3" w:rsidRDefault="001900E3" w:rsidP="001900E3">
      <w:pPr>
        <w:jc w:val="center"/>
        <w:rPr>
          <w:szCs w:val="20"/>
        </w:rPr>
      </w:pPr>
      <w:r w:rsidRPr="008669C3">
        <w:rPr>
          <w:szCs w:val="20"/>
        </w:rPr>
        <w:t>Instrumental variables approach</w:t>
      </w:r>
    </w:p>
    <w:p w14:paraId="47448907" w14:textId="77777777" w:rsidR="001900E3" w:rsidRPr="008669C3" w:rsidRDefault="001900E3" w:rsidP="001900E3">
      <w:pPr>
        <w:jc w:val="both"/>
        <w:rPr>
          <w:szCs w:val="20"/>
        </w:rPr>
      </w:pPr>
    </w:p>
    <w:p w14:paraId="410C6E3F" w14:textId="6CDB8FE7" w:rsidR="001900E3" w:rsidRPr="008669C3" w:rsidRDefault="001900E3" w:rsidP="001900E3">
      <w:pPr>
        <w:jc w:val="both"/>
        <w:rPr>
          <w:color w:val="FF0000"/>
          <w:sz w:val="20"/>
          <w:szCs w:val="20"/>
        </w:rPr>
      </w:pPr>
      <w:r w:rsidRPr="008669C3">
        <w:rPr>
          <w:sz w:val="20"/>
          <w:szCs w:val="20"/>
        </w:rPr>
        <w:t>Table 5 presents estimates of the instrumental variables method using two-stage least square</w:t>
      </w:r>
      <w:r w:rsidR="002E0A3A" w:rsidRPr="008669C3">
        <w:rPr>
          <w:sz w:val="20"/>
          <w:szCs w:val="20"/>
        </w:rPr>
        <w:t>s</w:t>
      </w:r>
      <w:r w:rsidRPr="008669C3">
        <w:rPr>
          <w:sz w:val="20"/>
          <w:szCs w:val="20"/>
        </w:rPr>
        <w:t xml:space="preserve"> (2SLS) panel regressions. The dependent variable is </w:t>
      </w:r>
      <w:r w:rsidRPr="008669C3">
        <w:rPr>
          <w:i/>
          <w:sz w:val="20"/>
          <w:szCs w:val="20"/>
        </w:rPr>
        <w:t>CDS trading</w:t>
      </w:r>
      <w:r w:rsidRPr="008669C3">
        <w:rPr>
          <w:sz w:val="20"/>
          <w:szCs w:val="20"/>
        </w:rPr>
        <w:t xml:space="preserve"> and </w:t>
      </w:r>
      <w:r w:rsidRPr="008669C3">
        <w:rPr>
          <w:i/>
          <w:iCs/>
          <w:sz w:val="20"/>
          <w:szCs w:val="20"/>
        </w:rPr>
        <w:t>Ln(1+Vega)</w:t>
      </w:r>
      <w:r w:rsidRPr="008669C3">
        <w:rPr>
          <w:iCs/>
          <w:sz w:val="20"/>
          <w:szCs w:val="20"/>
        </w:rPr>
        <w:t xml:space="preserve"> </w:t>
      </w:r>
      <w:r w:rsidRPr="008669C3">
        <w:rPr>
          <w:sz w:val="20"/>
          <w:szCs w:val="20"/>
        </w:rPr>
        <w:t>for the first</w:t>
      </w:r>
      <w:r w:rsidR="00520387" w:rsidRPr="008669C3">
        <w:rPr>
          <w:sz w:val="20"/>
          <w:szCs w:val="20"/>
        </w:rPr>
        <w:t>-</w:t>
      </w:r>
      <w:r w:rsidRPr="008669C3">
        <w:rPr>
          <w:sz w:val="20"/>
          <w:szCs w:val="20"/>
        </w:rPr>
        <w:t xml:space="preserve"> and second</w:t>
      </w:r>
      <w:r w:rsidR="00520387" w:rsidRPr="008669C3">
        <w:rPr>
          <w:sz w:val="20"/>
          <w:szCs w:val="20"/>
        </w:rPr>
        <w:t>-</w:t>
      </w:r>
      <w:r w:rsidRPr="008669C3">
        <w:rPr>
          <w:sz w:val="20"/>
          <w:szCs w:val="20"/>
        </w:rPr>
        <w:t xml:space="preserve">stage regressions, respectively. </w:t>
      </w:r>
      <w:r w:rsidRPr="008669C3">
        <w:rPr>
          <w:i/>
          <w:sz w:val="20"/>
          <w:szCs w:val="20"/>
        </w:rPr>
        <w:t>CDS trading</w:t>
      </w:r>
      <w:r w:rsidRPr="008669C3">
        <w:rPr>
          <w:sz w:val="20"/>
          <w:szCs w:val="20"/>
        </w:rPr>
        <w:t xml:space="preserve"> </w:t>
      </w:r>
      <w:r w:rsidR="000C58DD" w:rsidRPr="008669C3">
        <w:rPr>
          <w:sz w:val="20"/>
          <w:szCs w:val="20"/>
        </w:rPr>
        <w:t xml:space="preserve">is an indicator variable that equals one for a CDS firm after the inception of the firm’s CDS trading and zero prior to it. </w:t>
      </w:r>
      <w:r w:rsidRPr="008669C3">
        <w:rPr>
          <w:i/>
          <w:iCs/>
          <w:sz w:val="20"/>
          <w:szCs w:val="20"/>
        </w:rPr>
        <w:t>Ln(1+Vega)</w:t>
      </w:r>
      <w:r w:rsidRPr="008669C3">
        <w:rPr>
          <w:iCs/>
          <w:sz w:val="20"/>
          <w:szCs w:val="20"/>
        </w:rPr>
        <w:t xml:space="preserve"> </w:t>
      </w:r>
      <w:r w:rsidRPr="008669C3">
        <w:rPr>
          <w:sz w:val="20"/>
          <w:szCs w:val="20"/>
        </w:rPr>
        <w:t xml:space="preserve">is the natural logarithm of one plus </w:t>
      </w:r>
      <w:r w:rsidRPr="008669C3">
        <w:rPr>
          <w:i/>
          <w:sz w:val="20"/>
          <w:szCs w:val="20"/>
        </w:rPr>
        <w:t>Vega</w:t>
      </w:r>
      <w:r w:rsidRPr="008669C3">
        <w:rPr>
          <w:sz w:val="20"/>
          <w:szCs w:val="20"/>
        </w:rPr>
        <w:t xml:space="preserve">, where </w:t>
      </w:r>
      <w:r w:rsidRPr="008669C3">
        <w:rPr>
          <w:i/>
          <w:sz w:val="20"/>
          <w:szCs w:val="20"/>
        </w:rPr>
        <w:t>Vega</w:t>
      </w:r>
      <w:r w:rsidRPr="008669C3">
        <w:rPr>
          <w:sz w:val="20"/>
          <w:szCs w:val="20"/>
        </w:rPr>
        <w:t xml:space="preserve"> is the change (in thousands of dollars) </w:t>
      </w:r>
      <w:r w:rsidR="002E0A3A" w:rsidRPr="008669C3">
        <w:rPr>
          <w:sz w:val="20"/>
          <w:szCs w:val="20"/>
        </w:rPr>
        <w:t xml:space="preserve">in </w:t>
      </w:r>
      <w:r w:rsidRPr="008669C3">
        <w:rPr>
          <w:sz w:val="20"/>
          <w:szCs w:val="20"/>
        </w:rPr>
        <w:t xml:space="preserve">the value of the CEO’s wealth due to a 0.01 increase in the annualized standard deviation of the firm’s stock return. The instrumental variables are as follows. </w:t>
      </w:r>
      <w:r w:rsidRPr="008669C3">
        <w:rPr>
          <w:i/>
          <w:sz w:val="20"/>
          <w:szCs w:val="20"/>
        </w:rPr>
        <w:t>Lender FX Hedging</w:t>
      </w:r>
      <w:r w:rsidRPr="008669C3">
        <w:rPr>
          <w:sz w:val="20"/>
          <w:szCs w:val="20"/>
        </w:rPr>
        <w:t xml:space="preserve"> is constructed as the average notional amount of foreign exchange derivate contracts used for hedging purposes, relative to total assets, across all banks that have been identified as either leading lenders or bond underwriters for our sample firms over the previous five years. </w:t>
      </w:r>
      <w:r w:rsidRPr="008669C3">
        <w:rPr>
          <w:i/>
          <w:sz w:val="20"/>
          <w:szCs w:val="20"/>
        </w:rPr>
        <w:t>Lender Tier 1 Capital</w:t>
      </w:r>
      <w:r w:rsidRPr="008669C3">
        <w:rPr>
          <w:sz w:val="20"/>
          <w:szCs w:val="20"/>
        </w:rPr>
        <w:t xml:space="preserve"> is defined as the average of Tier One capital across all banks that have served as either leading syndicate loan lenders or bond underwriters for our sample firms over the previous five years.</w:t>
      </w:r>
      <w:r w:rsidRPr="008669C3">
        <w:rPr>
          <w:i/>
          <w:sz w:val="20"/>
          <w:szCs w:val="20"/>
        </w:rPr>
        <w:t xml:space="preserve"> TRACE covergae</w:t>
      </w:r>
      <w:r w:rsidRPr="008669C3">
        <w:rPr>
          <w:sz w:val="20"/>
          <w:szCs w:val="20"/>
        </w:rPr>
        <w:t xml:space="preserve"> is defined as the total frequency of a firm’s corresponding bond issuance deals that are reported by the TRACE in year </w:t>
      </w:r>
      <w:r w:rsidRPr="008669C3">
        <w:rPr>
          <w:i/>
          <w:sz w:val="20"/>
          <w:szCs w:val="20"/>
        </w:rPr>
        <w:t>t</w:t>
      </w:r>
      <w:r w:rsidRPr="008669C3">
        <w:rPr>
          <w:sz w:val="20"/>
          <w:szCs w:val="20"/>
        </w:rPr>
        <w:t xml:space="preserve">. All other variables are defined in Appendix A. </w:t>
      </w:r>
      <w:r w:rsidR="004937A1" w:rsidRPr="008669C3">
        <w:rPr>
          <w:sz w:val="20"/>
          <w:szCs w:val="20"/>
        </w:rPr>
        <w:t>I</w:t>
      </w:r>
      <w:r w:rsidRPr="008669C3">
        <w:rPr>
          <w:sz w:val="20"/>
          <w:szCs w:val="20"/>
        </w:rPr>
        <w:t>ndustry-year effects are constructed based on the Fama-French 49-industry classification. Statistical significance is based on the heteroskedasticity robust firm-clustered standard errors reported in brackets. ***, **</w:t>
      </w:r>
      <w:r w:rsidR="00520387" w:rsidRPr="008669C3">
        <w:rPr>
          <w:sz w:val="20"/>
          <w:szCs w:val="20"/>
        </w:rPr>
        <w:t>,</w:t>
      </w:r>
      <w:r w:rsidRPr="008669C3">
        <w:rPr>
          <w:sz w:val="20"/>
          <w:szCs w:val="20"/>
        </w:rPr>
        <w:t xml:space="preserve"> and * indicate significance at the 1%, 5%</w:t>
      </w:r>
      <w:r w:rsidR="00B37A31" w:rsidRPr="008669C3">
        <w:rPr>
          <w:sz w:val="20"/>
          <w:szCs w:val="20"/>
        </w:rPr>
        <w:t>,</w:t>
      </w:r>
      <w:r w:rsidRPr="008669C3">
        <w:rPr>
          <w:sz w:val="20"/>
          <w:szCs w:val="20"/>
        </w:rPr>
        <w:t xml:space="preserve"> and 10% level, respectively.</w:t>
      </w:r>
    </w:p>
    <w:tbl>
      <w:tblPr>
        <w:tblW w:w="5000" w:type="pct"/>
        <w:jc w:val="center"/>
        <w:tblLook w:val="04A0" w:firstRow="1" w:lastRow="0" w:firstColumn="1" w:lastColumn="0" w:noHBand="0" w:noVBand="1"/>
      </w:tblPr>
      <w:tblGrid>
        <w:gridCol w:w="4246"/>
        <w:gridCol w:w="2792"/>
        <w:gridCol w:w="2538"/>
      </w:tblGrid>
      <w:tr w:rsidR="004937A1" w:rsidRPr="008669C3" w14:paraId="7311A085" w14:textId="77777777" w:rsidTr="004937A1">
        <w:trPr>
          <w:trHeight w:val="20"/>
          <w:jc w:val="center"/>
        </w:trPr>
        <w:tc>
          <w:tcPr>
            <w:tcW w:w="2217" w:type="pct"/>
            <w:tcBorders>
              <w:top w:val="single" w:sz="4" w:space="0" w:color="auto"/>
              <w:left w:val="nil"/>
              <w:bottom w:val="single" w:sz="4" w:space="0" w:color="auto"/>
              <w:right w:val="nil"/>
            </w:tcBorders>
            <w:shd w:val="clear" w:color="auto" w:fill="auto"/>
            <w:noWrap/>
            <w:vAlign w:val="center"/>
          </w:tcPr>
          <w:p w14:paraId="5A4D0637" w14:textId="77777777" w:rsidR="004937A1" w:rsidRPr="008669C3" w:rsidRDefault="004937A1" w:rsidP="00A94131">
            <w:pPr>
              <w:rPr>
                <w:sz w:val="22"/>
                <w:szCs w:val="22"/>
              </w:rPr>
            </w:pPr>
          </w:p>
        </w:tc>
        <w:tc>
          <w:tcPr>
            <w:tcW w:w="2783" w:type="pct"/>
            <w:gridSpan w:val="2"/>
            <w:tcBorders>
              <w:top w:val="single" w:sz="4" w:space="0" w:color="auto"/>
              <w:left w:val="nil"/>
              <w:bottom w:val="single" w:sz="4" w:space="0" w:color="auto"/>
              <w:right w:val="nil"/>
            </w:tcBorders>
            <w:shd w:val="clear" w:color="auto" w:fill="auto"/>
            <w:noWrap/>
            <w:vAlign w:val="center"/>
          </w:tcPr>
          <w:p w14:paraId="55492B5E" w14:textId="591EF82A" w:rsidR="004937A1" w:rsidRPr="008669C3" w:rsidRDefault="004937A1" w:rsidP="00A94131">
            <w:pPr>
              <w:jc w:val="center"/>
              <w:rPr>
                <w:iCs/>
                <w:sz w:val="22"/>
                <w:szCs w:val="22"/>
              </w:rPr>
            </w:pPr>
            <w:r w:rsidRPr="008669C3">
              <w:rPr>
                <w:iCs/>
                <w:sz w:val="22"/>
                <w:szCs w:val="22"/>
              </w:rPr>
              <w:t>Dependent Variables:</w:t>
            </w:r>
          </w:p>
        </w:tc>
      </w:tr>
      <w:tr w:rsidR="004937A1" w:rsidRPr="008669C3" w14:paraId="67F3D586" w14:textId="77777777" w:rsidTr="004937A1">
        <w:trPr>
          <w:trHeight w:val="20"/>
          <w:jc w:val="center"/>
        </w:trPr>
        <w:tc>
          <w:tcPr>
            <w:tcW w:w="2217" w:type="pct"/>
            <w:vMerge w:val="restart"/>
            <w:tcBorders>
              <w:left w:val="nil"/>
              <w:bottom w:val="single" w:sz="4" w:space="0" w:color="auto"/>
              <w:right w:val="nil"/>
            </w:tcBorders>
            <w:shd w:val="clear" w:color="auto" w:fill="auto"/>
            <w:noWrap/>
            <w:vAlign w:val="center"/>
            <w:hideMark/>
          </w:tcPr>
          <w:p w14:paraId="5C3DD5B8" w14:textId="77777777" w:rsidR="004937A1" w:rsidRPr="008669C3" w:rsidRDefault="004937A1" w:rsidP="00A94131">
            <w:pPr>
              <w:rPr>
                <w:sz w:val="22"/>
                <w:szCs w:val="22"/>
              </w:rPr>
            </w:pPr>
          </w:p>
          <w:p w14:paraId="4B3CE85B" w14:textId="77777777" w:rsidR="004937A1" w:rsidRPr="008669C3" w:rsidRDefault="004937A1" w:rsidP="00A94131">
            <w:pPr>
              <w:rPr>
                <w:sz w:val="22"/>
                <w:szCs w:val="22"/>
              </w:rPr>
            </w:pPr>
            <w:r w:rsidRPr="008669C3">
              <w:rPr>
                <w:sz w:val="22"/>
                <w:szCs w:val="22"/>
              </w:rPr>
              <w:t> </w:t>
            </w:r>
          </w:p>
        </w:tc>
        <w:tc>
          <w:tcPr>
            <w:tcW w:w="1458" w:type="pct"/>
            <w:tcBorders>
              <w:top w:val="single" w:sz="4" w:space="0" w:color="auto"/>
              <w:left w:val="nil"/>
              <w:bottom w:val="single" w:sz="4" w:space="0" w:color="auto"/>
              <w:right w:val="nil"/>
            </w:tcBorders>
            <w:shd w:val="clear" w:color="auto" w:fill="auto"/>
            <w:noWrap/>
            <w:vAlign w:val="center"/>
            <w:hideMark/>
          </w:tcPr>
          <w:p w14:paraId="7AAAD634" w14:textId="77777777" w:rsidR="004937A1" w:rsidRPr="008669C3" w:rsidRDefault="004937A1" w:rsidP="00A94131">
            <w:pPr>
              <w:jc w:val="center"/>
              <w:rPr>
                <w:i/>
                <w:iCs/>
                <w:sz w:val="22"/>
                <w:szCs w:val="22"/>
              </w:rPr>
            </w:pPr>
            <w:r w:rsidRPr="008669C3">
              <w:rPr>
                <w:i/>
                <w:iCs/>
                <w:sz w:val="22"/>
                <w:szCs w:val="22"/>
              </w:rPr>
              <w:t>CDS trading</w:t>
            </w:r>
          </w:p>
        </w:tc>
        <w:tc>
          <w:tcPr>
            <w:tcW w:w="1325" w:type="pct"/>
            <w:tcBorders>
              <w:top w:val="single" w:sz="4" w:space="0" w:color="auto"/>
              <w:left w:val="nil"/>
              <w:bottom w:val="single" w:sz="4" w:space="0" w:color="auto"/>
              <w:right w:val="nil"/>
            </w:tcBorders>
            <w:shd w:val="clear" w:color="auto" w:fill="auto"/>
            <w:noWrap/>
            <w:vAlign w:val="center"/>
            <w:hideMark/>
          </w:tcPr>
          <w:p w14:paraId="06E87F5B" w14:textId="77777777" w:rsidR="004937A1" w:rsidRPr="008669C3" w:rsidRDefault="004937A1" w:rsidP="00A94131">
            <w:pPr>
              <w:jc w:val="center"/>
              <w:rPr>
                <w:i/>
                <w:iCs/>
                <w:sz w:val="22"/>
                <w:szCs w:val="22"/>
              </w:rPr>
            </w:pPr>
            <w:r w:rsidRPr="008669C3">
              <w:rPr>
                <w:i/>
                <w:iCs/>
                <w:sz w:val="22"/>
                <w:szCs w:val="22"/>
              </w:rPr>
              <w:t>Ln(1+ Vega)</w:t>
            </w:r>
          </w:p>
        </w:tc>
      </w:tr>
      <w:tr w:rsidR="004937A1" w:rsidRPr="008669C3" w14:paraId="76A12D3B" w14:textId="77777777" w:rsidTr="004937A1">
        <w:trPr>
          <w:trHeight w:val="20"/>
          <w:jc w:val="center"/>
        </w:trPr>
        <w:tc>
          <w:tcPr>
            <w:tcW w:w="2217" w:type="pct"/>
            <w:vMerge/>
            <w:tcBorders>
              <w:top w:val="single" w:sz="4" w:space="0" w:color="auto"/>
              <w:left w:val="nil"/>
              <w:bottom w:val="single" w:sz="4" w:space="0" w:color="auto"/>
              <w:right w:val="nil"/>
            </w:tcBorders>
            <w:shd w:val="clear" w:color="auto" w:fill="auto"/>
            <w:noWrap/>
            <w:vAlign w:val="bottom"/>
            <w:hideMark/>
          </w:tcPr>
          <w:p w14:paraId="10535DC2" w14:textId="77777777" w:rsidR="004937A1" w:rsidRPr="008669C3" w:rsidRDefault="004937A1" w:rsidP="00A94131">
            <w:pPr>
              <w:rPr>
                <w:i/>
                <w:iCs/>
                <w:sz w:val="22"/>
                <w:szCs w:val="22"/>
              </w:rPr>
            </w:pPr>
          </w:p>
        </w:tc>
        <w:tc>
          <w:tcPr>
            <w:tcW w:w="1458" w:type="pct"/>
            <w:tcBorders>
              <w:top w:val="single" w:sz="4" w:space="0" w:color="auto"/>
              <w:left w:val="nil"/>
              <w:bottom w:val="nil"/>
              <w:right w:val="nil"/>
            </w:tcBorders>
            <w:shd w:val="clear" w:color="auto" w:fill="auto"/>
            <w:noWrap/>
            <w:vAlign w:val="center"/>
          </w:tcPr>
          <w:p w14:paraId="69409A6A" w14:textId="77777777" w:rsidR="004937A1" w:rsidRPr="008669C3" w:rsidRDefault="004937A1" w:rsidP="00A94131">
            <w:pPr>
              <w:jc w:val="center"/>
              <w:rPr>
                <w:sz w:val="22"/>
                <w:szCs w:val="22"/>
              </w:rPr>
            </w:pPr>
            <w:r w:rsidRPr="008669C3">
              <w:rPr>
                <w:sz w:val="22"/>
                <w:szCs w:val="22"/>
              </w:rPr>
              <w:t>First stage</w:t>
            </w:r>
          </w:p>
        </w:tc>
        <w:tc>
          <w:tcPr>
            <w:tcW w:w="1325" w:type="pct"/>
            <w:tcBorders>
              <w:top w:val="single" w:sz="4" w:space="0" w:color="auto"/>
              <w:left w:val="nil"/>
              <w:bottom w:val="nil"/>
              <w:right w:val="nil"/>
            </w:tcBorders>
            <w:shd w:val="clear" w:color="auto" w:fill="auto"/>
            <w:noWrap/>
            <w:vAlign w:val="center"/>
          </w:tcPr>
          <w:p w14:paraId="6E70C486" w14:textId="77777777" w:rsidR="004937A1" w:rsidRPr="008669C3" w:rsidRDefault="004937A1" w:rsidP="00A94131">
            <w:pPr>
              <w:jc w:val="center"/>
              <w:rPr>
                <w:sz w:val="22"/>
                <w:szCs w:val="22"/>
              </w:rPr>
            </w:pPr>
            <w:r w:rsidRPr="008669C3">
              <w:rPr>
                <w:sz w:val="22"/>
                <w:szCs w:val="22"/>
              </w:rPr>
              <w:t>Second stage</w:t>
            </w:r>
          </w:p>
        </w:tc>
      </w:tr>
      <w:tr w:rsidR="004937A1" w:rsidRPr="008669C3" w14:paraId="6EA242AB" w14:textId="77777777" w:rsidTr="004937A1">
        <w:trPr>
          <w:trHeight w:val="20"/>
          <w:jc w:val="center"/>
        </w:trPr>
        <w:tc>
          <w:tcPr>
            <w:tcW w:w="2217" w:type="pct"/>
            <w:vMerge/>
            <w:tcBorders>
              <w:top w:val="single" w:sz="4" w:space="0" w:color="auto"/>
              <w:left w:val="nil"/>
              <w:bottom w:val="single" w:sz="4" w:space="0" w:color="auto"/>
              <w:right w:val="nil"/>
            </w:tcBorders>
            <w:shd w:val="clear" w:color="auto" w:fill="auto"/>
            <w:noWrap/>
            <w:vAlign w:val="bottom"/>
            <w:hideMark/>
          </w:tcPr>
          <w:p w14:paraId="20512001" w14:textId="77777777" w:rsidR="004937A1" w:rsidRPr="008669C3" w:rsidRDefault="004937A1" w:rsidP="00A94131">
            <w:pPr>
              <w:rPr>
                <w:sz w:val="22"/>
                <w:szCs w:val="22"/>
              </w:rPr>
            </w:pPr>
          </w:p>
        </w:tc>
        <w:tc>
          <w:tcPr>
            <w:tcW w:w="1458" w:type="pct"/>
            <w:tcBorders>
              <w:top w:val="nil"/>
              <w:left w:val="nil"/>
              <w:bottom w:val="single" w:sz="4" w:space="0" w:color="auto"/>
              <w:right w:val="nil"/>
            </w:tcBorders>
            <w:shd w:val="clear" w:color="auto" w:fill="auto"/>
            <w:noWrap/>
            <w:vAlign w:val="center"/>
            <w:hideMark/>
          </w:tcPr>
          <w:p w14:paraId="63458BAC" w14:textId="77777777" w:rsidR="004937A1" w:rsidRPr="008669C3" w:rsidRDefault="004937A1" w:rsidP="00A94131">
            <w:pPr>
              <w:jc w:val="center"/>
              <w:rPr>
                <w:sz w:val="22"/>
                <w:szCs w:val="22"/>
              </w:rPr>
            </w:pPr>
            <w:r w:rsidRPr="008669C3">
              <w:rPr>
                <w:sz w:val="22"/>
                <w:szCs w:val="22"/>
              </w:rPr>
              <w:t>(1)</w:t>
            </w:r>
          </w:p>
        </w:tc>
        <w:tc>
          <w:tcPr>
            <w:tcW w:w="1325" w:type="pct"/>
            <w:tcBorders>
              <w:top w:val="nil"/>
              <w:left w:val="nil"/>
              <w:bottom w:val="single" w:sz="4" w:space="0" w:color="auto"/>
              <w:right w:val="nil"/>
            </w:tcBorders>
            <w:shd w:val="clear" w:color="auto" w:fill="auto"/>
            <w:noWrap/>
            <w:vAlign w:val="center"/>
            <w:hideMark/>
          </w:tcPr>
          <w:p w14:paraId="7E0C1FFF" w14:textId="77777777" w:rsidR="004937A1" w:rsidRPr="008669C3" w:rsidRDefault="004937A1" w:rsidP="00A94131">
            <w:pPr>
              <w:jc w:val="center"/>
              <w:rPr>
                <w:sz w:val="22"/>
                <w:szCs w:val="22"/>
              </w:rPr>
            </w:pPr>
            <w:r w:rsidRPr="008669C3">
              <w:rPr>
                <w:sz w:val="22"/>
                <w:szCs w:val="22"/>
              </w:rPr>
              <w:t>(2)</w:t>
            </w:r>
          </w:p>
        </w:tc>
      </w:tr>
      <w:tr w:rsidR="00A94122" w:rsidRPr="008669C3" w14:paraId="1CF53BAE" w14:textId="77777777" w:rsidTr="004937A1">
        <w:trPr>
          <w:trHeight w:val="20"/>
          <w:jc w:val="center"/>
        </w:trPr>
        <w:tc>
          <w:tcPr>
            <w:tcW w:w="2217" w:type="pct"/>
            <w:tcBorders>
              <w:top w:val="nil"/>
              <w:left w:val="nil"/>
              <w:bottom w:val="nil"/>
              <w:right w:val="nil"/>
            </w:tcBorders>
            <w:shd w:val="clear" w:color="auto" w:fill="auto"/>
            <w:noWrap/>
            <w:vAlign w:val="center"/>
            <w:hideMark/>
          </w:tcPr>
          <w:p w14:paraId="61E49334" w14:textId="77777777" w:rsidR="00A94122" w:rsidRPr="008669C3" w:rsidRDefault="00A94122" w:rsidP="00A94122">
            <w:pPr>
              <w:rPr>
                <w:iCs/>
                <w:sz w:val="22"/>
                <w:szCs w:val="22"/>
              </w:rPr>
            </w:pPr>
            <w:r w:rsidRPr="008669C3">
              <w:rPr>
                <w:iCs/>
                <w:sz w:val="22"/>
                <w:szCs w:val="22"/>
              </w:rPr>
              <w:t>Lender FX Hedging</w:t>
            </w:r>
            <w:r w:rsidRPr="008669C3">
              <w:rPr>
                <w:sz w:val="22"/>
                <w:szCs w:val="22"/>
              </w:rPr>
              <w:t xml:space="preserve">, </w:t>
            </w:r>
            <w:r w:rsidRPr="008669C3">
              <w:rPr>
                <w:i/>
                <w:sz w:val="22"/>
                <w:szCs w:val="22"/>
              </w:rPr>
              <w:t>z</w:t>
            </w:r>
            <w:r w:rsidRPr="008669C3">
              <w:rPr>
                <w:i/>
                <w:sz w:val="22"/>
                <w:szCs w:val="22"/>
                <w:vertAlign w:val="subscript"/>
              </w:rPr>
              <w:t>1</w:t>
            </w:r>
          </w:p>
        </w:tc>
        <w:tc>
          <w:tcPr>
            <w:tcW w:w="1458" w:type="pct"/>
            <w:tcBorders>
              <w:top w:val="nil"/>
              <w:left w:val="nil"/>
              <w:bottom w:val="nil"/>
              <w:right w:val="nil"/>
            </w:tcBorders>
            <w:shd w:val="clear" w:color="auto" w:fill="auto"/>
            <w:noWrap/>
            <w:vAlign w:val="bottom"/>
            <w:hideMark/>
          </w:tcPr>
          <w:p w14:paraId="18F0201D" w14:textId="3B99EDE0" w:rsidR="00A94122" w:rsidRPr="008669C3" w:rsidRDefault="00A94122" w:rsidP="00A94122">
            <w:pPr>
              <w:jc w:val="center"/>
              <w:rPr>
                <w:color w:val="FF0000"/>
                <w:sz w:val="22"/>
                <w:szCs w:val="22"/>
              </w:rPr>
            </w:pPr>
            <w:r w:rsidRPr="008669C3">
              <w:rPr>
                <w:color w:val="000000"/>
                <w:sz w:val="22"/>
                <w:szCs w:val="22"/>
              </w:rPr>
              <w:t>0.180</w:t>
            </w:r>
          </w:p>
        </w:tc>
        <w:tc>
          <w:tcPr>
            <w:tcW w:w="1325" w:type="pct"/>
            <w:tcBorders>
              <w:top w:val="nil"/>
              <w:left w:val="nil"/>
              <w:bottom w:val="nil"/>
              <w:right w:val="nil"/>
            </w:tcBorders>
            <w:shd w:val="clear" w:color="auto" w:fill="auto"/>
            <w:noWrap/>
            <w:vAlign w:val="bottom"/>
            <w:hideMark/>
          </w:tcPr>
          <w:p w14:paraId="4F0CB36E" w14:textId="77777777" w:rsidR="00A94122" w:rsidRPr="008669C3" w:rsidRDefault="00A94122" w:rsidP="00A94122">
            <w:pPr>
              <w:jc w:val="center"/>
              <w:rPr>
                <w:sz w:val="22"/>
                <w:szCs w:val="22"/>
              </w:rPr>
            </w:pPr>
            <w:r w:rsidRPr="008669C3">
              <w:rPr>
                <w:iCs/>
                <w:sz w:val="22"/>
                <w:szCs w:val="22"/>
              </w:rPr>
              <w:t>—</w:t>
            </w:r>
          </w:p>
        </w:tc>
      </w:tr>
      <w:tr w:rsidR="00A94122" w:rsidRPr="008669C3" w14:paraId="3E454B60"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06FF47AC" w14:textId="77777777" w:rsidR="00A94122" w:rsidRPr="008669C3" w:rsidRDefault="00A94122" w:rsidP="00A94122">
            <w:pPr>
              <w:jc w:val="center"/>
              <w:rPr>
                <w:sz w:val="22"/>
                <w:szCs w:val="22"/>
              </w:rPr>
            </w:pPr>
          </w:p>
        </w:tc>
        <w:tc>
          <w:tcPr>
            <w:tcW w:w="1458" w:type="pct"/>
            <w:tcBorders>
              <w:top w:val="nil"/>
              <w:left w:val="nil"/>
              <w:bottom w:val="nil"/>
              <w:right w:val="nil"/>
            </w:tcBorders>
            <w:shd w:val="clear" w:color="auto" w:fill="auto"/>
            <w:noWrap/>
            <w:vAlign w:val="bottom"/>
            <w:hideMark/>
          </w:tcPr>
          <w:p w14:paraId="0A6D5393" w14:textId="57ADA4D9" w:rsidR="00A94122" w:rsidRPr="008669C3" w:rsidRDefault="00A94122" w:rsidP="00A94122">
            <w:pPr>
              <w:jc w:val="center"/>
              <w:rPr>
                <w:color w:val="FF0000"/>
                <w:sz w:val="22"/>
                <w:szCs w:val="22"/>
              </w:rPr>
            </w:pPr>
            <w:r w:rsidRPr="008669C3">
              <w:rPr>
                <w:color w:val="000000"/>
                <w:sz w:val="22"/>
                <w:szCs w:val="22"/>
              </w:rPr>
              <w:t>(0.162)</w:t>
            </w:r>
          </w:p>
        </w:tc>
        <w:tc>
          <w:tcPr>
            <w:tcW w:w="1325" w:type="pct"/>
            <w:tcBorders>
              <w:top w:val="nil"/>
              <w:left w:val="nil"/>
              <w:bottom w:val="nil"/>
              <w:right w:val="nil"/>
            </w:tcBorders>
            <w:shd w:val="clear" w:color="auto" w:fill="auto"/>
            <w:noWrap/>
            <w:vAlign w:val="bottom"/>
            <w:hideMark/>
          </w:tcPr>
          <w:p w14:paraId="1F2BE9D3" w14:textId="77777777" w:rsidR="00A94122" w:rsidRPr="008669C3" w:rsidRDefault="00A94122" w:rsidP="00A94122">
            <w:pPr>
              <w:jc w:val="center"/>
              <w:rPr>
                <w:sz w:val="22"/>
                <w:szCs w:val="22"/>
              </w:rPr>
            </w:pPr>
          </w:p>
        </w:tc>
      </w:tr>
      <w:tr w:rsidR="00A94122" w:rsidRPr="008669C3" w14:paraId="48517D93"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03696C48" w14:textId="77777777" w:rsidR="00A94122" w:rsidRPr="008669C3" w:rsidRDefault="00A94122" w:rsidP="00A94122">
            <w:pPr>
              <w:rPr>
                <w:iCs/>
                <w:sz w:val="22"/>
                <w:szCs w:val="22"/>
              </w:rPr>
            </w:pPr>
            <w:r w:rsidRPr="008669C3">
              <w:rPr>
                <w:iCs/>
                <w:sz w:val="22"/>
                <w:szCs w:val="22"/>
              </w:rPr>
              <w:t>Lender Tier 1 Capital</w:t>
            </w:r>
            <w:r w:rsidRPr="008669C3">
              <w:rPr>
                <w:sz w:val="22"/>
                <w:szCs w:val="22"/>
              </w:rPr>
              <w:t xml:space="preserve">, </w:t>
            </w:r>
            <w:r w:rsidRPr="008669C3">
              <w:rPr>
                <w:i/>
                <w:sz w:val="22"/>
                <w:szCs w:val="22"/>
              </w:rPr>
              <w:t>z</w:t>
            </w:r>
            <w:r w:rsidRPr="008669C3">
              <w:rPr>
                <w:i/>
                <w:sz w:val="22"/>
                <w:szCs w:val="22"/>
                <w:vertAlign w:val="subscript"/>
              </w:rPr>
              <w:t>2</w:t>
            </w:r>
          </w:p>
        </w:tc>
        <w:tc>
          <w:tcPr>
            <w:tcW w:w="1458" w:type="pct"/>
            <w:tcBorders>
              <w:top w:val="nil"/>
              <w:left w:val="nil"/>
              <w:bottom w:val="nil"/>
              <w:right w:val="nil"/>
            </w:tcBorders>
            <w:shd w:val="clear" w:color="auto" w:fill="auto"/>
            <w:noWrap/>
            <w:vAlign w:val="bottom"/>
            <w:hideMark/>
          </w:tcPr>
          <w:p w14:paraId="7E6BC7CA" w14:textId="5C111869" w:rsidR="00A94122" w:rsidRPr="008669C3" w:rsidRDefault="00A94122" w:rsidP="00A94122">
            <w:pPr>
              <w:jc w:val="center"/>
              <w:rPr>
                <w:color w:val="FF0000"/>
                <w:sz w:val="22"/>
                <w:szCs w:val="22"/>
              </w:rPr>
            </w:pPr>
            <w:r w:rsidRPr="008669C3">
              <w:rPr>
                <w:color w:val="000000"/>
                <w:sz w:val="22"/>
                <w:szCs w:val="22"/>
              </w:rPr>
              <w:t>-0.637</w:t>
            </w:r>
            <w:r w:rsidRPr="008669C3">
              <w:rPr>
                <w:sz w:val="20"/>
                <w:szCs w:val="22"/>
              </w:rPr>
              <w:t>**</w:t>
            </w:r>
          </w:p>
        </w:tc>
        <w:tc>
          <w:tcPr>
            <w:tcW w:w="1325" w:type="pct"/>
            <w:tcBorders>
              <w:top w:val="nil"/>
              <w:left w:val="nil"/>
              <w:bottom w:val="nil"/>
              <w:right w:val="nil"/>
            </w:tcBorders>
            <w:shd w:val="clear" w:color="auto" w:fill="auto"/>
            <w:noWrap/>
            <w:vAlign w:val="bottom"/>
            <w:hideMark/>
          </w:tcPr>
          <w:p w14:paraId="07DC9516" w14:textId="77777777" w:rsidR="00A94122" w:rsidRPr="008669C3" w:rsidRDefault="00A94122" w:rsidP="00A94122">
            <w:pPr>
              <w:jc w:val="center"/>
              <w:rPr>
                <w:sz w:val="22"/>
                <w:szCs w:val="22"/>
              </w:rPr>
            </w:pPr>
            <w:r w:rsidRPr="008669C3">
              <w:rPr>
                <w:iCs/>
                <w:sz w:val="22"/>
                <w:szCs w:val="22"/>
              </w:rPr>
              <w:t>—</w:t>
            </w:r>
          </w:p>
        </w:tc>
      </w:tr>
      <w:tr w:rsidR="00A94122" w:rsidRPr="008669C3" w14:paraId="1DBB1B05"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794B5D7F" w14:textId="77777777" w:rsidR="00A94122" w:rsidRPr="008669C3" w:rsidRDefault="00A94122" w:rsidP="00A94122">
            <w:pPr>
              <w:jc w:val="center"/>
              <w:rPr>
                <w:sz w:val="22"/>
                <w:szCs w:val="22"/>
              </w:rPr>
            </w:pPr>
          </w:p>
        </w:tc>
        <w:tc>
          <w:tcPr>
            <w:tcW w:w="1458" w:type="pct"/>
            <w:tcBorders>
              <w:top w:val="nil"/>
              <w:left w:val="nil"/>
              <w:bottom w:val="nil"/>
              <w:right w:val="nil"/>
            </w:tcBorders>
            <w:shd w:val="clear" w:color="auto" w:fill="auto"/>
            <w:noWrap/>
            <w:vAlign w:val="bottom"/>
            <w:hideMark/>
          </w:tcPr>
          <w:p w14:paraId="5B4EBCF5" w14:textId="63B7D15C" w:rsidR="00A94122" w:rsidRPr="008669C3" w:rsidRDefault="00A94122" w:rsidP="00A94122">
            <w:pPr>
              <w:jc w:val="center"/>
              <w:rPr>
                <w:color w:val="FF0000"/>
                <w:sz w:val="22"/>
                <w:szCs w:val="22"/>
              </w:rPr>
            </w:pPr>
            <w:r w:rsidRPr="008669C3">
              <w:rPr>
                <w:color w:val="000000"/>
                <w:sz w:val="22"/>
                <w:szCs w:val="22"/>
              </w:rPr>
              <w:t>(0.319)</w:t>
            </w:r>
          </w:p>
        </w:tc>
        <w:tc>
          <w:tcPr>
            <w:tcW w:w="1325" w:type="pct"/>
            <w:tcBorders>
              <w:top w:val="nil"/>
              <w:left w:val="nil"/>
              <w:bottom w:val="nil"/>
              <w:right w:val="nil"/>
            </w:tcBorders>
            <w:shd w:val="clear" w:color="auto" w:fill="auto"/>
            <w:noWrap/>
            <w:vAlign w:val="bottom"/>
            <w:hideMark/>
          </w:tcPr>
          <w:p w14:paraId="76B3EB87" w14:textId="77777777" w:rsidR="00A94122" w:rsidRPr="008669C3" w:rsidRDefault="00A94122" w:rsidP="00A94122">
            <w:pPr>
              <w:jc w:val="center"/>
              <w:rPr>
                <w:sz w:val="22"/>
                <w:szCs w:val="22"/>
              </w:rPr>
            </w:pPr>
          </w:p>
        </w:tc>
      </w:tr>
      <w:tr w:rsidR="00A94122" w:rsidRPr="008669C3" w14:paraId="5AF80780"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2E084CEF" w14:textId="77777777" w:rsidR="00A94122" w:rsidRPr="008669C3" w:rsidRDefault="00A94122" w:rsidP="00A94122">
            <w:pPr>
              <w:rPr>
                <w:iCs/>
                <w:sz w:val="22"/>
                <w:szCs w:val="22"/>
              </w:rPr>
            </w:pPr>
            <w:r w:rsidRPr="008669C3">
              <w:rPr>
                <w:iCs/>
                <w:sz w:val="22"/>
                <w:szCs w:val="22"/>
              </w:rPr>
              <w:t xml:space="preserve">TRACE Coverage, </w:t>
            </w:r>
            <w:r w:rsidRPr="008669C3">
              <w:rPr>
                <w:i/>
                <w:sz w:val="22"/>
                <w:szCs w:val="22"/>
              </w:rPr>
              <w:t>z</w:t>
            </w:r>
            <w:r w:rsidRPr="008669C3">
              <w:rPr>
                <w:i/>
                <w:sz w:val="22"/>
                <w:szCs w:val="22"/>
                <w:vertAlign w:val="subscript"/>
              </w:rPr>
              <w:t>3</w:t>
            </w:r>
          </w:p>
        </w:tc>
        <w:tc>
          <w:tcPr>
            <w:tcW w:w="1458" w:type="pct"/>
            <w:tcBorders>
              <w:top w:val="nil"/>
              <w:left w:val="nil"/>
              <w:bottom w:val="nil"/>
              <w:right w:val="nil"/>
            </w:tcBorders>
            <w:shd w:val="clear" w:color="auto" w:fill="auto"/>
            <w:noWrap/>
            <w:vAlign w:val="bottom"/>
            <w:hideMark/>
          </w:tcPr>
          <w:p w14:paraId="0F7C368F" w14:textId="3B749181" w:rsidR="00A94122" w:rsidRPr="008669C3" w:rsidRDefault="00A94122" w:rsidP="00A94122">
            <w:pPr>
              <w:jc w:val="center"/>
              <w:rPr>
                <w:color w:val="FF0000"/>
                <w:sz w:val="22"/>
                <w:szCs w:val="22"/>
              </w:rPr>
            </w:pPr>
            <w:r w:rsidRPr="008669C3">
              <w:rPr>
                <w:color w:val="000000"/>
                <w:sz w:val="22"/>
                <w:szCs w:val="22"/>
              </w:rPr>
              <w:t>0.011</w:t>
            </w:r>
            <w:r w:rsidRPr="008669C3">
              <w:rPr>
                <w:color w:val="000000"/>
                <w:sz w:val="20"/>
                <w:szCs w:val="22"/>
              </w:rPr>
              <w:t>***</w:t>
            </w:r>
          </w:p>
        </w:tc>
        <w:tc>
          <w:tcPr>
            <w:tcW w:w="1325" w:type="pct"/>
            <w:tcBorders>
              <w:top w:val="nil"/>
              <w:left w:val="nil"/>
              <w:bottom w:val="nil"/>
              <w:right w:val="nil"/>
            </w:tcBorders>
            <w:shd w:val="clear" w:color="auto" w:fill="auto"/>
            <w:noWrap/>
            <w:vAlign w:val="bottom"/>
            <w:hideMark/>
          </w:tcPr>
          <w:p w14:paraId="2B45B53C" w14:textId="77777777" w:rsidR="00A94122" w:rsidRPr="008669C3" w:rsidRDefault="00A94122" w:rsidP="00A94122">
            <w:pPr>
              <w:jc w:val="center"/>
              <w:rPr>
                <w:sz w:val="22"/>
                <w:szCs w:val="22"/>
              </w:rPr>
            </w:pPr>
            <w:r w:rsidRPr="008669C3">
              <w:rPr>
                <w:iCs/>
                <w:sz w:val="22"/>
                <w:szCs w:val="22"/>
              </w:rPr>
              <w:t>—</w:t>
            </w:r>
          </w:p>
        </w:tc>
      </w:tr>
      <w:tr w:rsidR="00A94122" w:rsidRPr="008669C3" w14:paraId="4DCFB987"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7844ADA3" w14:textId="77777777" w:rsidR="00A94122" w:rsidRPr="008669C3" w:rsidRDefault="00A94122" w:rsidP="00A94122">
            <w:pPr>
              <w:jc w:val="center"/>
              <w:rPr>
                <w:sz w:val="22"/>
                <w:szCs w:val="22"/>
              </w:rPr>
            </w:pPr>
          </w:p>
        </w:tc>
        <w:tc>
          <w:tcPr>
            <w:tcW w:w="1458" w:type="pct"/>
            <w:tcBorders>
              <w:top w:val="nil"/>
              <w:left w:val="nil"/>
              <w:bottom w:val="nil"/>
              <w:right w:val="nil"/>
            </w:tcBorders>
            <w:shd w:val="clear" w:color="auto" w:fill="auto"/>
            <w:noWrap/>
            <w:vAlign w:val="bottom"/>
            <w:hideMark/>
          </w:tcPr>
          <w:p w14:paraId="7DC634E1" w14:textId="29285B19" w:rsidR="00A94122" w:rsidRPr="008669C3" w:rsidRDefault="00A94122" w:rsidP="00A94122">
            <w:pPr>
              <w:jc w:val="center"/>
              <w:rPr>
                <w:color w:val="FF0000"/>
                <w:sz w:val="22"/>
                <w:szCs w:val="22"/>
              </w:rPr>
            </w:pPr>
            <w:r w:rsidRPr="008669C3">
              <w:rPr>
                <w:color w:val="000000"/>
                <w:sz w:val="22"/>
                <w:szCs w:val="22"/>
              </w:rPr>
              <w:t>(0.003)</w:t>
            </w:r>
          </w:p>
        </w:tc>
        <w:tc>
          <w:tcPr>
            <w:tcW w:w="1325" w:type="pct"/>
            <w:tcBorders>
              <w:top w:val="nil"/>
              <w:left w:val="nil"/>
              <w:bottom w:val="nil"/>
              <w:right w:val="nil"/>
            </w:tcBorders>
            <w:shd w:val="clear" w:color="auto" w:fill="auto"/>
            <w:noWrap/>
            <w:vAlign w:val="bottom"/>
            <w:hideMark/>
          </w:tcPr>
          <w:p w14:paraId="37E7A6E2" w14:textId="77777777" w:rsidR="00A94122" w:rsidRPr="008669C3" w:rsidRDefault="00A94122" w:rsidP="00A94122">
            <w:pPr>
              <w:jc w:val="center"/>
              <w:rPr>
                <w:sz w:val="22"/>
                <w:szCs w:val="22"/>
              </w:rPr>
            </w:pPr>
          </w:p>
        </w:tc>
      </w:tr>
      <w:tr w:rsidR="00A94122" w:rsidRPr="008669C3" w14:paraId="2E8CA5CA"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350D4ED5" w14:textId="77777777" w:rsidR="00A94122" w:rsidRPr="008669C3" w:rsidRDefault="00A94122" w:rsidP="00A94122">
            <w:pPr>
              <w:rPr>
                <w:iCs/>
                <w:sz w:val="22"/>
                <w:szCs w:val="22"/>
              </w:rPr>
            </w:pPr>
            <w:r w:rsidRPr="008669C3">
              <w:rPr>
                <w:iCs/>
                <w:sz w:val="22"/>
                <w:szCs w:val="22"/>
              </w:rPr>
              <w:t>CDS trading</w:t>
            </w:r>
          </w:p>
        </w:tc>
        <w:tc>
          <w:tcPr>
            <w:tcW w:w="1458" w:type="pct"/>
            <w:tcBorders>
              <w:top w:val="nil"/>
              <w:left w:val="nil"/>
              <w:bottom w:val="nil"/>
              <w:right w:val="nil"/>
            </w:tcBorders>
            <w:shd w:val="clear" w:color="auto" w:fill="auto"/>
            <w:noWrap/>
            <w:vAlign w:val="bottom"/>
            <w:hideMark/>
          </w:tcPr>
          <w:p w14:paraId="5A96033D" w14:textId="77777777" w:rsidR="00A94122" w:rsidRPr="008669C3" w:rsidRDefault="00A94122" w:rsidP="00A94122">
            <w:pPr>
              <w:jc w:val="center"/>
              <w:rPr>
                <w:i/>
                <w:iCs/>
                <w:sz w:val="22"/>
                <w:szCs w:val="22"/>
              </w:rPr>
            </w:pPr>
            <w:r w:rsidRPr="008669C3">
              <w:rPr>
                <w:iCs/>
                <w:sz w:val="22"/>
                <w:szCs w:val="22"/>
              </w:rPr>
              <w:t>—</w:t>
            </w:r>
          </w:p>
        </w:tc>
        <w:tc>
          <w:tcPr>
            <w:tcW w:w="1325" w:type="pct"/>
            <w:tcBorders>
              <w:top w:val="nil"/>
              <w:left w:val="nil"/>
              <w:bottom w:val="nil"/>
              <w:right w:val="nil"/>
            </w:tcBorders>
            <w:shd w:val="clear" w:color="auto" w:fill="auto"/>
            <w:noWrap/>
            <w:vAlign w:val="bottom"/>
            <w:hideMark/>
          </w:tcPr>
          <w:p w14:paraId="48072E66" w14:textId="55A7F048" w:rsidR="00A94122" w:rsidRPr="008669C3" w:rsidRDefault="00A94122" w:rsidP="00A94122">
            <w:pPr>
              <w:jc w:val="center"/>
              <w:rPr>
                <w:color w:val="FF0000"/>
                <w:sz w:val="22"/>
                <w:szCs w:val="22"/>
              </w:rPr>
            </w:pPr>
            <w:r w:rsidRPr="008669C3">
              <w:rPr>
                <w:color w:val="000000"/>
                <w:sz w:val="22"/>
                <w:szCs w:val="22"/>
              </w:rPr>
              <w:t>2.827</w:t>
            </w:r>
            <w:r w:rsidRPr="008669C3">
              <w:rPr>
                <w:color w:val="000000"/>
                <w:sz w:val="20"/>
                <w:szCs w:val="22"/>
              </w:rPr>
              <w:t>**</w:t>
            </w:r>
          </w:p>
        </w:tc>
      </w:tr>
      <w:tr w:rsidR="00A94122" w:rsidRPr="008669C3" w14:paraId="0750CB38"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64C0FF70" w14:textId="77777777" w:rsidR="00A94122" w:rsidRPr="008669C3" w:rsidRDefault="00A94122" w:rsidP="00A94122">
            <w:pPr>
              <w:jc w:val="center"/>
              <w:rPr>
                <w:color w:val="FF0000"/>
                <w:sz w:val="22"/>
                <w:szCs w:val="22"/>
              </w:rPr>
            </w:pPr>
          </w:p>
        </w:tc>
        <w:tc>
          <w:tcPr>
            <w:tcW w:w="1458" w:type="pct"/>
            <w:tcBorders>
              <w:top w:val="nil"/>
              <w:left w:val="nil"/>
              <w:bottom w:val="nil"/>
              <w:right w:val="nil"/>
            </w:tcBorders>
            <w:shd w:val="clear" w:color="auto" w:fill="auto"/>
            <w:noWrap/>
            <w:vAlign w:val="bottom"/>
            <w:hideMark/>
          </w:tcPr>
          <w:p w14:paraId="5B144959" w14:textId="77777777" w:rsidR="00A94122" w:rsidRPr="008669C3" w:rsidRDefault="00A94122" w:rsidP="00A94122">
            <w:pPr>
              <w:jc w:val="center"/>
              <w:rPr>
                <w:sz w:val="22"/>
                <w:szCs w:val="22"/>
              </w:rPr>
            </w:pPr>
          </w:p>
        </w:tc>
        <w:tc>
          <w:tcPr>
            <w:tcW w:w="1325" w:type="pct"/>
            <w:tcBorders>
              <w:top w:val="nil"/>
              <w:left w:val="nil"/>
              <w:bottom w:val="nil"/>
              <w:right w:val="nil"/>
            </w:tcBorders>
            <w:shd w:val="clear" w:color="auto" w:fill="auto"/>
            <w:noWrap/>
            <w:vAlign w:val="bottom"/>
            <w:hideMark/>
          </w:tcPr>
          <w:p w14:paraId="344EB71F" w14:textId="2F56982C" w:rsidR="00A94122" w:rsidRPr="008669C3" w:rsidRDefault="00A94122" w:rsidP="00A94122">
            <w:pPr>
              <w:jc w:val="center"/>
              <w:rPr>
                <w:color w:val="FF0000"/>
                <w:sz w:val="22"/>
                <w:szCs w:val="22"/>
              </w:rPr>
            </w:pPr>
            <w:r w:rsidRPr="008669C3">
              <w:rPr>
                <w:color w:val="000000"/>
                <w:sz w:val="22"/>
                <w:szCs w:val="22"/>
              </w:rPr>
              <w:t>(1.326)</w:t>
            </w:r>
          </w:p>
        </w:tc>
      </w:tr>
      <w:tr w:rsidR="00A94122" w:rsidRPr="008669C3" w14:paraId="6A1348F5"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4190CA4F" w14:textId="77777777" w:rsidR="00A94122" w:rsidRPr="008669C3" w:rsidRDefault="00A94122" w:rsidP="00A94122">
            <w:pPr>
              <w:rPr>
                <w:iCs/>
                <w:sz w:val="22"/>
                <w:szCs w:val="22"/>
              </w:rPr>
            </w:pPr>
            <w:r w:rsidRPr="008669C3">
              <w:rPr>
                <w:iCs/>
                <w:sz w:val="22"/>
                <w:szCs w:val="22"/>
              </w:rPr>
              <w:t>Ln(Sales)</w:t>
            </w:r>
          </w:p>
        </w:tc>
        <w:tc>
          <w:tcPr>
            <w:tcW w:w="1458" w:type="pct"/>
            <w:tcBorders>
              <w:top w:val="nil"/>
              <w:left w:val="nil"/>
              <w:bottom w:val="nil"/>
              <w:right w:val="nil"/>
            </w:tcBorders>
            <w:shd w:val="clear" w:color="auto" w:fill="auto"/>
            <w:noWrap/>
            <w:vAlign w:val="bottom"/>
            <w:hideMark/>
          </w:tcPr>
          <w:p w14:paraId="6AADFD8E" w14:textId="67498E2C" w:rsidR="00A94122" w:rsidRPr="008669C3" w:rsidRDefault="00A94122" w:rsidP="00A94122">
            <w:pPr>
              <w:jc w:val="center"/>
              <w:rPr>
                <w:color w:val="FF0000"/>
                <w:sz w:val="22"/>
                <w:szCs w:val="22"/>
              </w:rPr>
            </w:pPr>
            <w:r w:rsidRPr="008669C3">
              <w:rPr>
                <w:color w:val="000000"/>
                <w:sz w:val="22"/>
                <w:szCs w:val="22"/>
              </w:rPr>
              <w:t>0.033</w:t>
            </w:r>
          </w:p>
        </w:tc>
        <w:tc>
          <w:tcPr>
            <w:tcW w:w="1325" w:type="pct"/>
            <w:tcBorders>
              <w:top w:val="nil"/>
              <w:left w:val="nil"/>
              <w:bottom w:val="nil"/>
              <w:right w:val="nil"/>
            </w:tcBorders>
            <w:shd w:val="clear" w:color="auto" w:fill="auto"/>
            <w:noWrap/>
            <w:vAlign w:val="bottom"/>
            <w:hideMark/>
          </w:tcPr>
          <w:p w14:paraId="2FE52E04" w14:textId="31C8FF94" w:rsidR="00A94122" w:rsidRPr="008669C3" w:rsidRDefault="00A94122" w:rsidP="00A94122">
            <w:pPr>
              <w:jc w:val="center"/>
              <w:rPr>
                <w:color w:val="FF0000"/>
                <w:sz w:val="22"/>
                <w:szCs w:val="22"/>
              </w:rPr>
            </w:pPr>
            <w:r w:rsidRPr="008669C3">
              <w:rPr>
                <w:color w:val="000000"/>
                <w:sz w:val="22"/>
                <w:szCs w:val="22"/>
              </w:rPr>
              <w:t>-0.242</w:t>
            </w:r>
          </w:p>
        </w:tc>
      </w:tr>
      <w:tr w:rsidR="00A94122" w:rsidRPr="008669C3" w14:paraId="1ABA1FFD"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00E2CC7A" w14:textId="77777777" w:rsidR="00A94122" w:rsidRPr="008669C3" w:rsidRDefault="00A94122" w:rsidP="00A94122">
            <w:pPr>
              <w:jc w:val="center"/>
              <w:rPr>
                <w:sz w:val="22"/>
                <w:szCs w:val="22"/>
              </w:rPr>
            </w:pPr>
          </w:p>
        </w:tc>
        <w:tc>
          <w:tcPr>
            <w:tcW w:w="1458" w:type="pct"/>
            <w:tcBorders>
              <w:top w:val="nil"/>
              <w:left w:val="nil"/>
              <w:bottom w:val="nil"/>
              <w:right w:val="nil"/>
            </w:tcBorders>
            <w:shd w:val="clear" w:color="auto" w:fill="auto"/>
            <w:noWrap/>
            <w:vAlign w:val="bottom"/>
            <w:hideMark/>
          </w:tcPr>
          <w:p w14:paraId="17CB2643" w14:textId="624BF866" w:rsidR="00A94122" w:rsidRPr="008669C3" w:rsidRDefault="00A94122" w:rsidP="00A94122">
            <w:pPr>
              <w:jc w:val="center"/>
              <w:rPr>
                <w:color w:val="FF0000"/>
                <w:sz w:val="22"/>
                <w:szCs w:val="22"/>
              </w:rPr>
            </w:pPr>
            <w:r w:rsidRPr="008669C3">
              <w:rPr>
                <w:color w:val="000000"/>
                <w:sz w:val="22"/>
                <w:szCs w:val="22"/>
              </w:rPr>
              <w:t>(0.038)</w:t>
            </w:r>
          </w:p>
        </w:tc>
        <w:tc>
          <w:tcPr>
            <w:tcW w:w="1325" w:type="pct"/>
            <w:tcBorders>
              <w:top w:val="nil"/>
              <w:left w:val="nil"/>
              <w:bottom w:val="nil"/>
              <w:right w:val="nil"/>
            </w:tcBorders>
            <w:shd w:val="clear" w:color="auto" w:fill="auto"/>
            <w:noWrap/>
            <w:vAlign w:val="bottom"/>
            <w:hideMark/>
          </w:tcPr>
          <w:p w14:paraId="678785D2" w14:textId="6E78E61E" w:rsidR="00A94122" w:rsidRPr="008669C3" w:rsidRDefault="00A94122" w:rsidP="00A94122">
            <w:pPr>
              <w:jc w:val="center"/>
              <w:rPr>
                <w:color w:val="FF0000"/>
                <w:sz w:val="22"/>
                <w:szCs w:val="22"/>
              </w:rPr>
            </w:pPr>
            <w:r w:rsidRPr="008669C3">
              <w:rPr>
                <w:color w:val="000000"/>
                <w:sz w:val="22"/>
                <w:szCs w:val="22"/>
              </w:rPr>
              <w:t>(0.278)</w:t>
            </w:r>
          </w:p>
        </w:tc>
      </w:tr>
      <w:tr w:rsidR="00A94122" w:rsidRPr="008669C3" w14:paraId="34260A62"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7169F404" w14:textId="77777777" w:rsidR="00A94122" w:rsidRPr="008669C3" w:rsidRDefault="00A94122" w:rsidP="00A94122">
            <w:pPr>
              <w:rPr>
                <w:iCs/>
                <w:sz w:val="22"/>
                <w:szCs w:val="22"/>
              </w:rPr>
            </w:pPr>
            <w:r w:rsidRPr="008669C3">
              <w:rPr>
                <w:iCs/>
                <w:sz w:val="22"/>
                <w:szCs w:val="22"/>
              </w:rPr>
              <w:t>ROA</w:t>
            </w:r>
          </w:p>
        </w:tc>
        <w:tc>
          <w:tcPr>
            <w:tcW w:w="1458" w:type="pct"/>
            <w:tcBorders>
              <w:top w:val="nil"/>
              <w:left w:val="nil"/>
              <w:bottom w:val="nil"/>
              <w:right w:val="nil"/>
            </w:tcBorders>
            <w:shd w:val="clear" w:color="auto" w:fill="auto"/>
            <w:noWrap/>
            <w:vAlign w:val="bottom"/>
            <w:hideMark/>
          </w:tcPr>
          <w:p w14:paraId="08C325C2" w14:textId="4F0CE348" w:rsidR="00A94122" w:rsidRPr="008669C3" w:rsidRDefault="00A94122" w:rsidP="00A94122">
            <w:pPr>
              <w:jc w:val="center"/>
              <w:rPr>
                <w:color w:val="FF0000"/>
                <w:sz w:val="22"/>
                <w:szCs w:val="22"/>
              </w:rPr>
            </w:pPr>
            <w:r w:rsidRPr="008669C3">
              <w:rPr>
                <w:color w:val="000000"/>
                <w:sz w:val="22"/>
                <w:szCs w:val="22"/>
              </w:rPr>
              <w:t>-0.020</w:t>
            </w:r>
          </w:p>
        </w:tc>
        <w:tc>
          <w:tcPr>
            <w:tcW w:w="1325" w:type="pct"/>
            <w:tcBorders>
              <w:top w:val="nil"/>
              <w:left w:val="nil"/>
              <w:bottom w:val="nil"/>
              <w:right w:val="nil"/>
            </w:tcBorders>
            <w:shd w:val="clear" w:color="auto" w:fill="auto"/>
            <w:noWrap/>
            <w:vAlign w:val="bottom"/>
            <w:hideMark/>
          </w:tcPr>
          <w:p w14:paraId="418C30F5" w14:textId="684B87D0" w:rsidR="00A94122" w:rsidRPr="008669C3" w:rsidRDefault="00A94122" w:rsidP="00A94122">
            <w:pPr>
              <w:jc w:val="center"/>
              <w:rPr>
                <w:color w:val="FF0000"/>
                <w:sz w:val="22"/>
                <w:szCs w:val="22"/>
              </w:rPr>
            </w:pPr>
            <w:r w:rsidRPr="008669C3">
              <w:rPr>
                <w:color w:val="000000"/>
                <w:sz w:val="22"/>
                <w:szCs w:val="22"/>
              </w:rPr>
              <w:t>-0.065</w:t>
            </w:r>
          </w:p>
        </w:tc>
      </w:tr>
      <w:tr w:rsidR="00A94122" w:rsidRPr="008669C3" w14:paraId="05D3F6FB"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32691C62" w14:textId="77777777" w:rsidR="00A94122" w:rsidRPr="008669C3" w:rsidRDefault="00A94122" w:rsidP="00A94122">
            <w:pPr>
              <w:jc w:val="center"/>
              <w:rPr>
                <w:sz w:val="22"/>
                <w:szCs w:val="22"/>
              </w:rPr>
            </w:pPr>
          </w:p>
        </w:tc>
        <w:tc>
          <w:tcPr>
            <w:tcW w:w="1458" w:type="pct"/>
            <w:tcBorders>
              <w:top w:val="nil"/>
              <w:left w:val="nil"/>
              <w:bottom w:val="nil"/>
              <w:right w:val="nil"/>
            </w:tcBorders>
            <w:shd w:val="clear" w:color="auto" w:fill="auto"/>
            <w:noWrap/>
            <w:vAlign w:val="bottom"/>
            <w:hideMark/>
          </w:tcPr>
          <w:p w14:paraId="057299B9" w14:textId="656AC793" w:rsidR="00A94122" w:rsidRPr="008669C3" w:rsidRDefault="00A94122" w:rsidP="00A94122">
            <w:pPr>
              <w:jc w:val="center"/>
              <w:rPr>
                <w:color w:val="FF0000"/>
                <w:sz w:val="22"/>
                <w:szCs w:val="22"/>
              </w:rPr>
            </w:pPr>
            <w:r w:rsidRPr="008669C3">
              <w:rPr>
                <w:color w:val="000000"/>
                <w:sz w:val="22"/>
                <w:szCs w:val="22"/>
              </w:rPr>
              <w:t>(0.079)</w:t>
            </w:r>
          </w:p>
        </w:tc>
        <w:tc>
          <w:tcPr>
            <w:tcW w:w="1325" w:type="pct"/>
            <w:tcBorders>
              <w:top w:val="nil"/>
              <w:left w:val="nil"/>
              <w:bottom w:val="nil"/>
              <w:right w:val="nil"/>
            </w:tcBorders>
            <w:shd w:val="clear" w:color="auto" w:fill="auto"/>
            <w:noWrap/>
            <w:vAlign w:val="bottom"/>
            <w:hideMark/>
          </w:tcPr>
          <w:p w14:paraId="187FF193" w14:textId="15D196B4" w:rsidR="00A94122" w:rsidRPr="008669C3" w:rsidRDefault="00A94122" w:rsidP="00A94122">
            <w:pPr>
              <w:jc w:val="center"/>
              <w:rPr>
                <w:color w:val="FF0000"/>
                <w:sz w:val="22"/>
                <w:szCs w:val="22"/>
              </w:rPr>
            </w:pPr>
            <w:r w:rsidRPr="008669C3">
              <w:rPr>
                <w:color w:val="000000"/>
                <w:sz w:val="22"/>
                <w:szCs w:val="22"/>
              </w:rPr>
              <w:t>(0.673)</w:t>
            </w:r>
          </w:p>
        </w:tc>
      </w:tr>
      <w:tr w:rsidR="00A94122" w:rsidRPr="008669C3" w14:paraId="2252DF07"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2FB6AAEA" w14:textId="77777777" w:rsidR="00A94122" w:rsidRPr="008669C3" w:rsidRDefault="00A94122" w:rsidP="00A94122">
            <w:pPr>
              <w:rPr>
                <w:iCs/>
                <w:sz w:val="22"/>
                <w:szCs w:val="22"/>
              </w:rPr>
            </w:pPr>
            <w:r w:rsidRPr="008669C3">
              <w:rPr>
                <w:iCs/>
                <w:sz w:val="22"/>
                <w:szCs w:val="22"/>
              </w:rPr>
              <w:t>Tobin's q</w:t>
            </w:r>
          </w:p>
        </w:tc>
        <w:tc>
          <w:tcPr>
            <w:tcW w:w="1458" w:type="pct"/>
            <w:tcBorders>
              <w:top w:val="nil"/>
              <w:left w:val="nil"/>
              <w:bottom w:val="nil"/>
              <w:right w:val="nil"/>
            </w:tcBorders>
            <w:shd w:val="clear" w:color="auto" w:fill="auto"/>
            <w:noWrap/>
            <w:vAlign w:val="bottom"/>
            <w:hideMark/>
          </w:tcPr>
          <w:p w14:paraId="0DC7A189" w14:textId="7ADEA278" w:rsidR="00A94122" w:rsidRPr="008669C3" w:rsidRDefault="00A94122" w:rsidP="00A94122">
            <w:pPr>
              <w:jc w:val="center"/>
              <w:rPr>
                <w:color w:val="FF0000"/>
                <w:sz w:val="22"/>
                <w:szCs w:val="22"/>
              </w:rPr>
            </w:pPr>
            <w:r w:rsidRPr="008669C3">
              <w:rPr>
                <w:color w:val="000000"/>
                <w:sz w:val="22"/>
                <w:szCs w:val="22"/>
              </w:rPr>
              <w:t>-0.008</w:t>
            </w:r>
          </w:p>
        </w:tc>
        <w:tc>
          <w:tcPr>
            <w:tcW w:w="1325" w:type="pct"/>
            <w:tcBorders>
              <w:top w:val="nil"/>
              <w:left w:val="nil"/>
              <w:bottom w:val="nil"/>
              <w:right w:val="nil"/>
            </w:tcBorders>
            <w:shd w:val="clear" w:color="auto" w:fill="auto"/>
            <w:noWrap/>
            <w:vAlign w:val="bottom"/>
            <w:hideMark/>
          </w:tcPr>
          <w:p w14:paraId="3E8CC608" w14:textId="4091E1D3" w:rsidR="00A94122" w:rsidRPr="008669C3" w:rsidRDefault="00A94122" w:rsidP="00A94122">
            <w:pPr>
              <w:jc w:val="center"/>
              <w:rPr>
                <w:color w:val="FF0000"/>
                <w:sz w:val="22"/>
                <w:szCs w:val="22"/>
              </w:rPr>
            </w:pPr>
            <w:r w:rsidRPr="008669C3">
              <w:rPr>
                <w:color w:val="000000"/>
                <w:sz w:val="22"/>
                <w:szCs w:val="22"/>
              </w:rPr>
              <w:t>-0.085</w:t>
            </w:r>
          </w:p>
        </w:tc>
      </w:tr>
      <w:tr w:rsidR="00A94122" w:rsidRPr="008669C3" w14:paraId="4441220D"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6042E21D" w14:textId="77777777" w:rsidR="00A94122" w:rsidRPr="008669C3" w:rsidRDefault="00A94122" w:rsidP="00A94122">
            <w:pPr>
              <w:jc w:val="center"/>
              <w:rPr>
                <w:sz w:val="22"/>
                <w:szCs w:val="22"/>
              </w:rPr>
            </w:pPr>
          </w:p>
        </w:tc>
        <w:tc>
          <w:tcPr>
            <w:tcW w:w="1458" w:type="pct"/>
            <w:tcBorders>
              <w:top w:val="nil"/>
              <w:left w:val="nil"/>
              <w:bottom w:val="nil"/>
              <w:right w:val="nil"/>
            </w:tcBorders>
            <w:shd w:val="clear" w:color="auto" w:fill="auto"/>
            <w:noWrap/>
            <w:vAlign w:val="bottom"/>
            <w:hideMark/>
          </w:tcPr>
          <w:p w14:paraId="00E952D2" w14:textId="5A14050E" w:rsidR="00A94122" w:rsidRPr="008669C3" w:rsidRDefault="00A94122" w:rsidP="00A94122">
            <w:pPr>
              <w:jc w:val="center"/>
              <w:rPr>
                <w:color w:val="FF0000"/>
                <w:sz w:val="22"/>
                <w:szCs w:val="22"/>
              </w:rPr>
            </w:pPr>
            <w:r w:rsidRPr="008669C3">
              <w:rPr>
                <w:color w:val="000000"/>
                <w:sz w:val="22"/>
                <w:szCs w:val="22"/>
              </w:rPr>
              <w:t>(0.010)</w:t>
            </w:r>
          </w:p>
        </w:tc>
        <w:tc>
          <w:tcPr>
            <w:tcW w:w="1325" w:type="pct"/>
            <w:tcBorders>
              <w:top w:val="nil"/>
              <w:left w:val="nil"/>
              <w:bottom w:val="nil"/>
              <w:right w:val="nil"/>
            </w:tcBorders>
            <w:shd w:val="clear" w:color="auto" w:fill="auto"/>
            <w:noWrap/>
            <w:vAlign w:val="bottom"/>
            <w:hideMark/>
          </w:tcPr>
          <w:p w14:paraId="121B056E" w14:textId="6520FF30" w:rsidR="00A94122" w:rsidRPr="008669C3" w:rsidRDefault="00A94122" w:rsidP="00A94122">
            <w:pPr>
              <w:jc w:val="center"/>
              <w:rPr>
                <w:color w:val="FF0000"/>
                <w:sz w:val="22"/>
                <w:szCs w:val="22"/>
              </w:rPr>
            </w:pPr>
            <w:r w:rsidRPr="008669C3">
              <w:rPr>
                <w:color w:val="000000"/>
                <w:sz w:val="22"/>
                <w:szCs w:val="22"/>
              </w:rPr>
              <w:t>(0.076)</w:t>
            </w:r>
          </w:p>
        </w:tc>
      </w:tr>
      <w:tr w:rsidR="00A94122" w:rsidRPr="008669C3" w14:paraId="1DEB846B"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11C42208" w14:textId="77777777" w:rsidR="00A94122" w:rsidRPr="008669C3" w:rsidRDefault="00A94122" w:rsidP="00A94122">
            <w:pPr>
              <w:rPr>
                <w:iCs/>
                <w:sz w:val="22"/>
                <w:szCs w:val="22"/>
              </w:rPr>
            </w:pPr>
            <w:r w:rsidRPr="008669C3">
              <w:rPr>
                <w:iCs/>
                <w:sz w:val="22"/>
                <w:szCs w:val="22"/>
              </w:rPr>
              <w:t>Stock return</w:t>
            </w:r>
          </w:p>
        </w:tc>
        <w:tc>
          <w:tcPr>
            <w:tcW w:w="1458" w:type="pct"/>
            <w:tcBorders>
              <w:top w:val="nil"/>
              <w:left w:val="nil"/>
              <w:bottom w:val="nil"/>
              <w:right w:val="nil"/>
            </w:tcBorders>
            <w:shd w:val="clear" w:color="auto" w:fill="auto"/>
            <w:noWrap/>
            <w:vAlign w:val="bottom"/>
            <w:hideMark/>
          </w:tcPr>
          <w:p w14:paraId="2C5A4BD9" w14:textId="69905FE5" w:rsidR="00A94122" w:rsidRPr="008669C3" w:rsidRDefault="00A94122" w:rsidP="00A94122">
            <w:pPr>
              <w:jc w:val="center"/>
              <w:rPr>
                <w:color w:val="FF0000"/>
                <w:sz w:val="22"/>
                <w:szCs w:val="22"/>
              </w:rPr>
            </w:pPr>
            <w:r w:rsidRPr="008669C3">
              <w:rPr>
                <w:color w:val="000000"/>
                <w:sz w:val="22"/>
                <w:szCs w:val="22"/>
              </w:rPr>
              <w:t>0.004</w:t>
            </w:r>
          </w:p>
        </w:tc>
        <w:tc>
          <w:tcPr>
            <w:tcW w:w="1325" w:type="pct"/>
            <w:tcBorders>
              <w:top w:val="nil"/>
              <w:left w:val="nil"/>
              <w:bottom w:val="nil"/>
              <w:right w:val="nil"/>
            </w:tcBorders>
            <w:shd w:val="clear" w:color="auto" w:fill="auto"/>
            <w:noWrap/>
            <w:vAlign w:val="bottom"/>
            <w:hideMark/>
          </w:tcPr>
          <w:p w14:paraId="1F1C8D7D" w14:textId="569728FD" w:rsidR="00A94122" w:rsidRPr="008669C3" w:rsidRDefault="00A94122" w:rsidP="00A94122">
            <w:pPr>
              <w:jc w:val="center"/>
              <w:rPr>
                <w:color w:val="FF0000"/>
                <w:sz w:val="22"/>
                <w:szCs w:val="22"/>
              </w:rPr>
            </w:pPr>
            <w:r w:rsidRPr="008669C3">
              <w:rPr>
                <w:color w:val="000000"/>
                <w:sz w:val="22"/>
                <w:szCs w:val="22"/>
              </w:rPr>
              <w:t>-0.176</w:t>
            </w:r>
            <w:r w:rsidRPr="008669C3">
              <w:rPr>
                <w:color w:val="000000"/>
                <w:sz w:val="20"/>
                <w:szCs w:val="22"/>
              </w:rPr>
              <w:t>**</w:t>
            </w:r>
          </w:p>
        </w:tc>
      </w:tr>
      <w:tr w:rsidR="00A94122" w:rsidRPr="008669C3" w14:paraId="29BCDC0D"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6F43C972" w14:textId="77777777" w:rsidR="00A94122" w:rsidRPr="008669C3" w:rsidRDefault="00A94122" w:rsidP="00A94122">
            <w:pPr>
              <w:jc w:val="center"/>
              <w:rPr>
                <w:color w:val="FF0000"/>
                <w:sz w:val="22"/>
                <w:szCs w:val="22"/>
              </w:rPr>
            </w:pPr>
          </w:p>
        </w:tc>
        <w:tc>
          <w:tcPr>
            <w:tcW w:w="1458" w:type="pct"/>
            <w:tcBorders>
              <w:top w:val="nil"/>
              <w:left w:val="nil"/>
              <w:bottom w:val="nil"/>
              <w:right w:val="nil"/>
            </w:tcBorders>
            <w:shd w:val="clear" w:color="auto" w:fill="auto"/>
            <w:noWrap/>
            <w:vAlign w:val="bottom"/>
            <w:hideMark/>
          </w:tcPr>
          <w:p w14:paraId="16940CAF" w14:textId="74F07D54" w:rsidR="00A94122" w:rsidRPr="008669C3" w:rsidRDefault="00A94122" w:rsidP="00A94122">
            <w:pPr>
              <w:jc w:val="center"/>
              <w:rPr>
                <w:color w:val="FF0000"/>
                <w:sz w:val="22"/>
                <w:szCs w:val="22"/>
              </w:rPr>
            </w:pPr>
            <w:r w:rsidRPr="008669C3">
              <w:rPr>
                <w:color w:val="000000"/>
                <w:sz w:val="22"/>
                <w:szCs w:val="22"/>
              </w:rPr>
              <w:t>(0.014)</w:t>
            </w:r>
          </w:p>
        </w:tc>
        <w:tc>
          <w:tcPr>
            <w:tcW w:w="1325" w:type="pct"/>
            <w:tcBorders>
              <w:top w:val="nil"/>
              <w:left w:val="nil"/>
              <w:bottom w:val="nil"/>
              <w:right w:val="nil"/>
            </w:tcBorders>
            <w:shd w:val="clear" w:color="auto" w:fill="auto"/>
            <w:noWrap/>
            <w:vAlign w:val="bottom"/>
            <w:hideMark/>
          </w:tcPr>
          <w:p w14:paraId="48B74933" w14:textId="60AD8B66" w:rsidR="00A94122" w:rsidRPr="008669C3" w:rsidRDefault="00A94122" w:rsidP="00A94122">
            <w:pPr>
              <w:jc w:val="center"/>
              <w:rPr>
                <w:color w:val="FF0000"/>
                <w:sz w:val="22"/>
                <w:szCs w:val="22"/>
              </w:rPr>
            </w:pPr>
            <w:r w:rsidRPr="008669C3">
              <w:rPr>
                <w:color w:val="000000"/>
                <w:sz w:val="22"/>
                <w:szCs w:val="22"/>
              </w:rPr>
              <w:t>(0.070)</w:t>
            </w:r>
          </w:p>
        </w:tc>
      </w:tr>
      <w:tr w:rsidR="00A94122" w:rsidRPr="008669C3" w14:paraId="61370C02"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4D52A7DA" w14:textId="77777777" w:rsidR="00A94122" w:rsidRPr="008669C3" w:rsidRDefault="00A94122" w:rsidP="00A94122">
            <w:pPr>
              <w:rPr>
                <w:iCs/>
                <w:color w:val="FF0000"/>
                <w:sz w:val="22"/>
                <w:szCs w:val="22"/>
              </w:rPr>
            </w:pPr>
            <w:r w:rsidRPr="008669C3">
              <w:rPr>
                <w:iCs/>
                <w:sz w:val="22"/>
                <w:szCs w:val="22"/>
              </w:rPr>
              <w:t>Volatility</w:t>
            </w:r>
          </w:p>
        </w:tc>
        <w:tc>
          <w:tcPr>
            <w:tcW w:w="1458" w:type="pct"/>
            <w:tcBorders>
              <w:top w:val="nil"/>
              <w:left w:val="nil"/>
              <w:bottom w:val="nil"/>
              <w:right w:val="nil"/>
            </w:tcBorders>
            <w:shd w:val="clear" w:color="auto" w:fill="auto"/>
            <w:noWrap/>
            <w:vAlign w:val="bottom"/>
            <w:hideMark/>
          </w:tcPr>
          <w:p w14:paraId="76FE3AD2" w14:textId="372B483D" w:rsidR="00A94122" w:rsidRPr="008669C3" w:rsidRDefault="00A94122" w:rsidP="00A94122">
            <w:pPr>
              <w:jc w:val="center"/>
              <w:rPr>
                <w:color w:val="FF0000"/>
                <w:sz w:val="22"/>
                <w:szCs w:val="22"/>
              </w:rPr>
            </w:pPr>
            <w:r w:rsidRPr="008669C3">
              <w:rPr>
                <w:color w:val="000000"/>
                <w:sz w:val="22"/>
                <w:szCs w:val="22"/>
              </w:rPr>
              <w:t>-0.038</w:t>
            </w:r>
          </w:p>
        </w:tc>
        <w:tc>
          <w:tcPr>
            <w:tcW w:w="1325" w:type="pct"/>
            <w:tcBorders>
              <w:top w:val="nil"/>
              <w:left w:val="nil"/>
              <w:bottom w:val="nil"/>
              <w:right w:val="nil"/>
            </w:tcBorders>
            <w:shd w:val="clear" w:color="auto" w:fill="auto"/>
            <w:noWrap/>
            <w:vAlign w:val="bottom"/>
            <w:hideMark/>
          </w:tcPr>
          <w:p w14:paraId="12238852" w14:textId="320169C3" w:rsidR="00A94122" w:rsidRPr="008669C3" w:rsidRDefault="00A94122" w:rsidP="00A94122">
            <w:pPr>
              <w:jc w:val="center"/>
              <w:rPr>
                <w:color w:val="FF0000"/>
                <w:sz w:val="22"/>
                <w:szCs w:val="22"/>
              </w:rPr>
            </w:pPr>
            <w:r w:rsidRPr="008669C3">
              <w:rPr>
                <w:color w:val="000000"/>
                <w:sz w:val="22"/>
                <w:szCs w:val="22"/>
              </w:rPr>
              <w:t>0.226</w:t>
            </w:r>
          </w:p>
        </w:tc>
      </w:tr>
      <w:tr w:rsidR="00A94122" w:rsidRPr="008669C3" w14:paraId="7909D946"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17D4A20A" w14:textId="77777777" w:rsidR="00A94122" w:rsidRPr="008669C3" w:rsidRDefault="00A94122" w:rsidP="00A94122">
            <w:pPr>
              <w:jc w:val="center"/>
              <w:rPr>
                <w:color w:val="FF0000"/>
                <w:sz w:val="22"/>
                <w:szCs w:val="22"/>
              </w:rPr>
            </w:pPr>
          </w:p>
        </w:tc>
        <w:tc>
          <w:tcPr>
            <w:tcW w:w="1458" w:type="pct"/>
            <w:tcBorders>
              <w:top w:val="nil"/>
              <w:left w:val="nil"/>
              <w:bottom w:val="nil"/>
              <w:right w:val="nil"/>
            </w:tcBorders>
            <w:shd w:val="clear" w:color="auto" w:fill="auto"/>
            <w:noWrap/>
            <w:vAlign w:val="bottom"/>
            <w:hideMark/>
          </w:tcPr>
          <w:p w14:paraId="53591008" w14:textId="591889C8" w:rsidR="00A94122" w:rsidRPr="008669C3" w:rsidRDefault="00A94122" w:rsidP="00A94122">
            <w:pPr>
              <w:jc w:val="center"/>
              <w:rPr>
                <w:color w:val="FF0000"/>
                <w:sz w:val="22"/>
                <w:szCs w:val="22"/>
              </w:rPr>
            </w:pPr>
            <w:r w:rsidRPr="008669C3">
              <w:rPr>
                <w:color w:val="000000"/>
                <w:sz w:val="22"/>
                <w:szCs w:val="22"/>
              </w:rPr>
              <w:t>(0.037)</w:t>
            </w:r>
          </w:p>
        </w:tc>
        <w:tc>
          <w:tcPr>
            <w:tcW w:w="1325" w:type="pct"/>
            <w:tcBorders>
              <w:top w:val="nil"/>
              <w:left w:val="nil"/>
              <w:bottom w:val="nil"/>
              <w:right w:val="nil"/>
            </w:tcBorders>
            <w:shd w:val="clear" w:color="auto" w:fill="auto"/>
            <w:noWrap/>
            <w:vAlign w:val="bottom"/>
            <w:hideMark/>
          </w:tcPr>
          <w:p w14:paraId="1AC8D7CD" w14:textId="21D7800C" w:rsidR="00A94122" w:rsidRPr="008669C3" w:rsidRDefault="00A94122" w:rsidP="00A94122">
            <w:pPr>
              <w:jc w:val="center"/>
              <w:rPr>
                <w:color w:val="FF0000"/>
                <w:sz w:val="22"/>
                <w:szCs w:val="22"/>
              </w:rPr>
            </w:pPr>
            <w:r w:rsidRPr="008669C3">
              <w:rPr>
                <w:color w:val="000000"/>
                <w:sz w:val="22"/>
                <w:szCs w:val="22"/>
              </w:rPr>
              <w:t>(0.209)</w:t>
            </w:r>
          </w:p>
        </w:tc>
      </w:tr>
      <w:tr w:rsidR="00A94122" w:rsidRPr="008669C3" w14:paraId="3E1F50AE" w14:textId="77777777" w:rsidTr="004937A1">
        <w:trPr>
          <w:trHeight w:val="20"/>
          <w:jc w:val="center"/>
        </w:trPr>
        <w:tc>
          <w:tcPr>
            <w:tcW w:w="2217" w:type="pct"/>
            <w:tcBorders>
              <w:top w:val="nil"/>
              <w:left w:val="nil"/>
              <w:bottom w:val="nil"/>
              <w:right w:val="nil"/>
            </w:tcBorders>
            <w:shd w:val="clear" w:color="auto" w:fill="auto"/>
            <w:noWrap/>
            <w:vAlign w:val="bottom"/>
          </w:tcPr>
          <w:p w14:paraId="7A981B67" w14:textId="4584C8AE" w:rsidR="00A94122" w:rsidRPr="008669C3" w:rsidRDefault="00A94122" w:rsidP="00A94122">
            <w:pPr>
              <w:rPr>
                <w:iCs/>
                <w:color w:val="FF0000"/>
                <w:sz w:val="22"/>
                <w:szCs w:val="22"/>
              </w:rPr>
            </w:pPr>
            <w:r w:rsidRPr="008669C3">
              <w:rPr>
                <w:iCs/>
                <w:sz w:val="22"/>
                <w:szCs w:val="22"/>
              </w:rPr>
              <w:t>Z-score</w:t>
            </w:r>
          </w:p>
        </w:tc>
        <w:tc>
          <w:tcPr>
            <w:tcW w:w="1458" w:type="pct"/>
            <w:tcBorders>
              <w:top w:val="nil"/>
              <w:left w:val="nil"/>
              <w:bottom w:val="nil"/>
              <w:right w:val="nil"/>
            </w:tcBorders>
            <w:shd w:val="clear" w:color="auto" w:fill="auto"/>
            <w:noWrap/>
            <w:vAlign w:val="bottom"/>
          </w:tcPr>
          <w:p w14:paraId="386042AB" w14:textId="6EDB0BCC" w:rsidR="00A94122" w:rsidRPr="008669C3" w:rsidRDefault="00A94122" w:rsidP="00A94122">
            <w:pPr>
              <w:jc w:val="center"/>
              <w:rPr>
                <w:color w:val="FF0000"/>
                <w:sz w:val="22"/>
                <w:szCs w:val="22"/>
              </w:rPr>
            </w:pPr>
            <w:r w:rsidRPr="008669C3">
              <w:rPr>
                <w:color w:val="000000"/>
                <w:sz w:val="22"/>
                <w:szCs w:val="22"/>
              </w:rPr>
              <w:t>0.004</w:t>
            </w:r>
          </w:p>
        </w:tc>
        <w:tc>
          <w:tcPr>
            <w:tcW w:w="1325" w:type="pct"/>
            <w:tcBorders>
              <w:top w:val="nil"/>
              <w:left w:val="nil"/>
              <w:bottom w:val="nil"/>
              <w:right w:val="nil"/>
            </w:tcBorders>
            <w:shd w:val="clear" w:color="auto" w:fill="auto"/>
            <w:noWrap/>
            <w:vAlign w:val="bottom"/>
          </w:tcPr>
          <w:p w14:paraId="5FEA6486" w14:textId="64609222" w:rsidR="00A94122" w:rsidRPr="008669C3" w:rsidRDefault="00A94122" w:rsidP="00A94122">
            <w:pPr>
              <w:jc w:val="center"/>
              <w:rPr>
                <w:color w:val="FF0000"/>
                <w:sz w:val="22"/>
                <w:szCs w:val="22"/>
              </w:rPr>
            </w:pPr>
            <w:r w:rsidRPr="008669C3">
              <w:rPr>
                <w:color w:val="000000"/>
                <w:sz w:val="22"/>
                <w:szCs w:val="22"/>
              </w:rPr>
              <w:t>0.070</w:t>
            </w:r>
          </w:p>
        </w:tc>
      </w:tr>
      <w:tr w:rsidR="00A94122" w:rsidRPr="008669C3" w14:paraId="5B7C2105" w14:textId="77777777" w:rsidTr="004937A1">
        <w:trPr>
          <w:trHeight w:val="20"/>
          <w:jc w:val="center"/>
        </w:trPr>
        <w:tc>
          <w:tcPr>
            <w:tcW w:w="2217" w:type="pct"/>
            <w:tcBorders>
              <w:top w:val="nil"/>
              <w:left w:val="nil"/>
              <w:bottom w:val="nil"/>
              <w:right w:val="nil"/>
            </w:tcBorders>
            <w:shd w:val="clear" w:color="auto" w:fill="auto"/>
            <w:noWrap/>
            <w:vAlign w:val="bottom"/>
          </w:tcPr>
          <w:p w14:paraId="5267018B" w14:textId="77777777" w:rsidR="00A94122" w:rsidRPr="008669C3" w:rsidRDefault="00A94122" w:rsidP="00A94122">
            <w:pPr>
              <w:rPr>
                <w:iCs/>
                <w:color w:val="FF0000"/>
                <w:sz w:val="22"/>
                <w:szCs w:val="22"/>
              </w:rPr>
            </w:pPr>
          </w:p>
        </w:tc>
        <w:tc>
          <w:tcPr>
            <w:tcW w:w="1458" w:type="pct"/>
            <w:tcBorders>
              <w:top w:val="nil"/>
              <w:left w:val="nil"/>
              <w:bottom w:val="nil"/>
              <w:right w:val="nil"/>
            </w:tcBorders>
            <w:shd w:val="clear" w:color="auto" w:fill="auto"/>
            <w:noWrap/>
            <w:vAlign w:val="bottom"/>
          </w:tcPr>
          <w:p w14:paraId="54B325A2" w14:textId="67D31A76" w:rsidR="00A94122" w:rsidRPr="008669C3" w:rsidRDefault="00A94122" w:rsidP="00A94122">
            <w:pPr>
              <w:jc w:val="center"/>
              <w:rPr>
                <w:color w:val="FF0000"/>
                <w:sz w:val="22"/>
                <w:szCs w:val="22"/>
              </w:rPr>
            </w:pPr>
            <w:r w:rsidRPr="008669C3">
              <w:rPr>
                <w:color w:val="000000"/>
                <w:sz w:val="22"/>
                <w:szCs w:val="22"/>
              </w:rPr>
              <w:t>(0.013)</w:t>
            </w:r>
          </w:p>
        </w:tc>
        <w:tc>
          <w:tcPr>
            <w:tcW w:w="1325" w:type="pct"/>
            <w:tcBorders>
              <w:top w:val="nil"/>
              <w:left w:val="nil"/>
              <w:bottom w:val="nil"/>
              <w:right w:val="nil"/>
            </w:tcBorders>
            <w:shd w:val="clear" w:color="auto" w:fill="auto"/>
            <w:noWrap/>
            <w:vAlign w:val="bottom"/>
          </w:tcPr>
          <w:p w14:paraId="77B7A684" w14:textId="28AB013A" w:rsidR="00A94122" w:rsidRPr="008669C3" w:rsidRDefault="00A94122" w:rsidP="00A94122">
            <w:pPr>
              <w:jc w:val="center"/>
              <w:rPr>
                <w:color w:val="FF0000"/>
                <w:sz w:val="22"/>
                <w:szCs w:val="22"/>
              </w:rPr>
            </w:pPr>
            <w:r w:rsidRPr="008669C3">
              <w:rPr>
                <w:color w:val="000000"/>
                <w:sz w:val="22"/>
                <w:szCs w:val="22"/>
              </w:rPr>
              <w:t>(0.101)</w:t>
            </w:r>
          </w:p>
        </w:tc>
      </w:tr>
      <w:tr w:rsidR="00A94122" w:rsidRPr="008669C3" w14:paraId="17A679DC" w14:textId="77777777" w:rsidTr="004937A1">
        <w:trPr>
          <w:trHeight w:val="20"/>
          <w:jc w:val="center"/>
        </w:trPr>
        <w:tc>
          <w:tcPr>
            <w:tcW w:w="2217" w:type="pct"/>
            <w:tcBorders>
              <w:top w:val="nil"/>
              <w:left w:val="nil"/>
              <w:bottom w:val="nil"/>
              <w:right w:val="nil"/>
            </w:tcBorders>
            <w:shd w:val="clear" w:color="auto" w:fill="auto"/>
            <w:noWrap/>
            <w:vAlign w:val="bottom"/>
          </w:tcPr>
          <w:p w14:paraId="440B9B73" w14:textId="121386BE" w:rsidR="00A94122" w:rsidRPr="008669C3" w:rsidRDefault="00A94122" w:rsidP="00A94122">
            <w:pPr>
              <w:rPr>
                <w:iCs/>
                <w:color w:val="FF0000"/>
                <w:sz w:val="22"/>
                <w:szCs w:val="22"/>
              </w:rPr>
            </w:pPr>
            <w:r w:rsidRPr="008669C3">
              <w:rPr>
                <w:iCs/>
                <w:sz w:val="22"/>
                <w:szCs w:val="22"/>
              </w:rPr>
              <w:t>KZ index</w:t>
            </w:r>
          </w:p>
        </w:tc>
        <w:tc>
          <w:tcPr>
            <w:tcW w:w="1458" w:type="pct"/>
            <w:tcBorders>
              <w:top w:val="nil"/>
              <w:left w:val="nil"/>
              <w:bottom w:val="nil"/>
              <w:right w:val="nil"/>
            </w:tcBorders>
            <w:shd w:val="clear" w:color="auto" w:fill="auto"/>
            <w:noWrap/>
            <w:vAlign w:val="bottom"/>
          </w:tcPr>
          <w:p w14:paraId="0C57746E" w14:textId="435AD82D" w:rsidR="00A94122" w:rsidRPr="008669C3" w:rsidRDefault="00A94122" w:rsidP="00A94122">
            <w:pPr>
              <w:jc w:val="center"/>
              <w:rPr>
                <w:color w:val="FF0000"/>
                <w:sz w:val="22"/>
                <w:szCs w:val="22"/>
              </w:rPr>
            </w:pPr>
            <w:r w:rsidRPr="008669C3">
              <w:rPr>
                <w:color w:val="000000"/>
                <w:sz w:val="22"/>
                <w:szCs w:val="22"/>
              </w:rPr>
              <w:t>0.001</w:t>
            </w:r>
          </w:p>
        </w:tc>
        <w:tc>
          <w:tcPr>
            <w:tcW w:w="1325" w:type="pct"/>
            <w:tcBorders>
              <w:top w:val="nil"/>
              <w:left w:val="nil"/>
              <w:bottom w:val="nil"/>
              <w:right w:val="nil"/>
            </w:tcBorders>
            <w:shd w:val="clear" w:color="auto" w:fill="auto"/>
            <w:noWrap/>
            <w:vAlign w:val="bottom"/>
          </w:tcPr>
          <w:p w14:paraId="121A57C9" w14:textId="0F24027A" w:rsidR="00A94122" w:rsidRPr="008669C3" w:rsidRDefault="00A94122" w:rsidP="00A94122">
            <w:pPr>
              <w:jc w:val="center"/>
              <w:rPr>
                <w:color w:val="FF0000"/>
                <w:sz w:val="22"/>
                <w:szCs w:val="22"/>
              </w:rPr>
            </w:pPr>
            <w:r w:rsidRPr="008669C3">
              <w:rPr>
                <w:color w:val="000000"/>
                <w:sz w:val="22"/>
                <w:szCs w:val="22"/>
              </w:rPr>
              <w:t>0.005</w:t>
            </w:r>
          </w:p>
        </w:tc>
      </w:tr>
      <w:tr w:rsidR="00A94122" w:rsidRPr="008669C3" w14:paraId="024C9C45" w14:textId="77777777" w:rsidTr="004937A1">
        <w:trPr>
          <w:trHeight w:val="20"/>
          <w:jc w:val="center"/>
        </w:trPr>
        <w:tc>
          <w:tcPr>
            <w:tcW w:w="2217" w:type="pct"/>
            <w:tcBorders>
              <w:top w:val="nil"/>
              <w:left w:val="nil"/>
              <w:bottom w:val="nil"/>
              <w:right w:val="nil"/>
            </w:tcBorders>
            <w:shd w:val="clear" w:color="auto" w:fill="auto"/>
            <w:noWrap/>
            <w:vAlign w:val="bottom"/>
          </w:tcPr>
          <w:p w14:paraId="689DBD78" w14:textId="77777777" w:rsidR="00A94122" w:rsidRPr="008669C3" w:rsidRDefault="00A94122" w:rsidP="00A94122">
            <w:pPr>
              <w:rPr>
                <w:iCs/>
                <w:color w:val="FF0000"/>
                <w:sz w:val="22"/>
                <w:szCs w:val="22"/>
              </w:rPr>
            </w:pPr>
          </w:p>
        </w:tc>
        <w:tc>
          <w:tcPr>
            <w:tcW w:w="1458" w:type="pct"/>
            <w:tcBorders>
              <w:top w:val="nil"/>
              <w:left w:val="nil"/>
              <w:bottom w:val="nil"/>
              <w:right w:val="nil"/>
            </w:tcBorders>
            <w:shd w:val="clear" w:color="auto" w:fill="auto"/>
            <w:noWrap/>
            <w:vAlign w:val="bottom"/>
          </w:tcPr>
          <w:p w14:paraId="067A888D" w14:textId="737FCAC6" w:rsidR="00A94122" w:rsidRPr="008669C3" w:rsidRDefault="00A94122" w:rsidP="00A94122">
            <w:pPr>
              <w:jc w:val="center"/>
              <w:rPr>
                <w:color w:val="FF0000"/>
                <w:sz w:val="22"/>
                <w:szCs w:val="22"/>
              </w:rPr>
            </w:pPr>
            <w:r w:rsidRPr="008669C3">
              <w:rPr>
                <w:color w:val="000000"/>
                <w:sz w:val="22"/>
                <w:szCs w:val="22"/>
              </w:rPr>
              <w:t>(0.001)</w:t>
            </w:r>
          </w:p>
        </w:tc>
        <w:tc>
          <w:tcPr>
            <w:tcW w:w="1325" w:type="pct"/>
            <w:tcBorders>
              <w:top w:val="nil"/>
              <w:left w:val="nil"/>
              <w:bottom w:val="nil"/>
              <w:right w:val="nil"/>
            </w:tcBorders>
            <w:shd w:val="clear" w:color="auto" w:fill="auto"/>
            <w:noWrap/>
            <w:vAlign w:val="bottom"/>
          </w:tcPr>
          <w:p w14:paraId="25D5488A" w14:textId="08930093" w:rsidR="00A94122" w:rsidRPr="008669C3" w:rsidRDefault="00A94122" w:rsidP="00A94122">
            <w:pPr>
              <w:jc w:val="center"/>
              <w:rPr>
                <w:color w:val="FF0000"/>
                <w:sz w:val="22"/>
                <w:szCs w:val="22"/>
              </w:rPr>
            </w:pPr>
            <w:r w:rsidRPr="008669C3">
              <w:rPr>
                <w:color w:val="000000"/>
                <w:sz w:val="22"/>
                <w:szCs w:val="22"/>
              </w:rPr>
              <w:t>(0.008)</w:t>
            </w:r>
          </w:p>
        </w:tc>
      </w:tr>
      <w:tr w:rsidR="00A94122" w:rsidRPr="008669C3" w14:paraId="63925E3B" w14:textId="77777777" w:rsidTr="004937A1">
        <w:trPr>
          <w:trHeight w:val="20"/>
          <w:jc w:val="center"/>
        </w:trPr>
        <w:tc>
          <w:tcPr>
            <w:tcW w:w="2217" w:type="pct"/>
            <w:tcBorders>
              <w:top w:val="nil"/>
              <w:left w:val="nil"/>
              <w:bottom w:val="nil"/>
              <w:right w:val="nil"/>
            </w:tcBorders>
            <w:shd w:val="clear" w:color="auto" w:fill="auto"/>
            <w:noWrap/>
            <w:vAlign w:val="bottom"/>
          </w:tcPr>
          <w:p w14:paraId="5013B724" w14:textId="1224DE19" w:rsidR="00A94122" w:rsidRPr="008669C3" w:rsidRDefault="00A94122" w:rsidP="00A94122">
            <w:pPr>
              <w:rPr>
                <w:iCs/>
                <w:color w:val="FF0000"/>
                <w:sz w:val="22"/>
                <w:szCs w:val="22"/>
              </w:rPr>
            </w:pPr>
            <w:r w:rsidRPr="008669C3">
              <w:rPr>
                <w:iCs/>
                <w:sz w:val="22"/>
                <w:szCs w:val="22"/>
              </w:rPr>
              <w:t>Bank debt</w:t>
            </w:r>
          </w:p>
        </w:tc>
        <w:tc>
          <w:tcPr>
            <w:tcW w:w="1458" w:type="pct"/>
            <w:tcBorders>
              <w:top w:val="nil"/>
              <w:left w:val="nil"/>
              <w:bottom w:val="nil"/>
              <w:right w:val="nil"/>
            </w:tcBorders>
            <w:shd w:val="clear" w:color="auto" w:fill="auto"/>
            <w:noWrap/>
            <w:vAlign w:val="bottom"/>
          </w:tcPr>
          <w:p w14:paraId="1F65C323" w14:textId="0A89B796" w:rsidR="00A94122" w:rsidRPr="008669C3" w:rsidRDefault="00A94122" w:rsidP="00A94122">
            <w:pPr>
              <w:jc w:val="center"/>
              <w:rPr>
                <w:color w:val="FF0000"/>
                <w:sz w:val="22"/>
                <w:szCs w:val="22"/>
              </w:rPr>
            </w:pPr>
            <w:r w:rsidRPr="008669C3">
              <w:rPr>
                <w:color w:val="000000"/>
                <w:sz w:val="22"/>
                <w:szCs w:val="22"/>
              </w:rPr>
              <w:t>-0.008</w:t>
            </w:r>
          </w:p>
        </w:tc>
        <w:tc>
          <w:tcPr>
            <w:tcW w:w="1325" w:type="pct"/>
            <w:tcBorders>
              <w:top w:val="nil"/>
              <w:left w:val="nil"/>
              <w:bottom w:val="nil"/>
              <w:right w:val="nil"/>
            </w:tcBorders>
            <w:shd w:val="clear" w:color="auto" w:fill="auto"/>
            <w:noWrap/>
            <w:vAlign w:val="bottom"/>
          </w:tcPr>
          <w:p w14:paraId="1DFBE524" w14:textId="6054A119" w:rsidR="00A94122" w:rsidRPr="008669C3" w:rsidRDefault="00A94122" w:rsidP="00A94122">
            <w:pPr>
              <w:jc w:val="center"/>
              <w:rPr>
                <w:color w:val="FF0000"/>
                <w:sz w:val="22"/>
                <w:szCs w:val="22"/>
              </w:rPr>
            </w:pPr>
            <w:r w:rsidRPr="008669C3">
              <w:rPr>
                <w:color w:val="000000"/>
                <w:sz w:val="22"/>
                <w:szCs w:val="22"/>
              </w:rPr>
              <w:t>-0.014</w:t>
            </w:r>
          </w:p>
        </w:tc>
      </w:tr>
      <w:tr w:rsidR="00A94122" w:rsidRPr="008669C3" w14:paraId="3482BAF9" w14:textId="77777777" w:rsidTr="004937A1">
        <w:trPr>
          <w:trHeight w:val="20"/>
          <w:jc w:val="center"/>
        </w:trPr>
        <w:tc>
          <w:tcPr>
            <w:tcW w:w="2217" w:type="pct"/>
            <w:tcBorders>
              <w:top w:val="nil"/>
              <w:left w:val="nil"/>
              <w:bottom w:val="nil"/>
              <w:right w:val="nil"/>
            </w:tcBorders>
            <w:shd w:val="clear" w:color="auto" w:fill="auto"/>
            <w:noWrap/>
            <w:vAlign w:val="bottom"/>
          </w:tcPr>
          <w:p w14:paraId="0135FA91" w14:textId="77777777" w:rsidR="00A94122" w:rsidRPr="008669C3" w:rsidRDefault="00A94122" w:rsidP="00A94122">
            <w:pPr>
              <w:rPr>
                <w:iCs/>
                <w:color w:val="FF0000"/>
                <w:sz w:val="22"/>
                <w:szCs w:val="22"/>
              </w:rPr>
            </w:pPr>
          </w:p>
        </w:tc>
        <w:tc>
          <w:tcPr>
            <w:tcW w:w="1458" w:type="pct"/>
            <w:tcBorders>
              <w:top w:val="nil"/>
              <w:left w:val="nil"/>
              <w:bottom w:val="nil"/>
              <w:right w:val="nil"/>
            </w:tcBorders>
            <w:shd w:val="clear" w:color="auto" w:fill="auto"/>
            <w:noWrap/>
            <w:vAlign w:val="bottom"/>
          </w:tcPr>
          <w:p w14:paraId="0EDA4D31" w14:textId="29B53159" w:rsidR="00A94122" w:rsidRPr="008669C3" w:rsidRDefault="00A94122" w:rsidP="00A94122">
            <w:pPr>
              <w:jc w:val="center"/>
              <w:rPr>
                <w:color w:val="FF0000"/>
                <w:sz w:val="22"/>
                <w:szCs w:val="22"/>
              </w:rPr>
            </w:pPr>
            <w:r w:rsidRPr="008669C3">
              <w:rPr>
                <w:color w:val="000000"/>
                <w:sz w:val="22"/>
                <w:szCs w:val="22"/>
              </w:rPr>
              <w:t>(0.010)</w:t>
            </w:r>
          </w:p>
        </w:tc>
        <w:tc>
          <w:tcPr>
            <w:tcW w:w="1325" w:type="pct"/>
            <w:tcBorders>
              <w:top w:val="nil"/>
              <w:left w:val="nil"/>
              <w:bottom w:val="nil"/>
              <w:right w:val="nil"/>
            </w:tcBorders>
            <w:shd w:val="clear" w:color="auto" w:fill="auto"/>
            <w:noWrap/>
            <w:vAlign w:val="bottom"/>
          </w:tcPr>
          <w:p w14:paraId="67D01356" w14:textId="2732E113" w:rsidR="00A94122" w:rsidRPr="008669C3" w:rsidRDefault="00A94122" w:rsidP="00A94122">
            <w:pPr>
              <w:jc w:val="center"/>
              <w:rPr>
                <w:color w:val="FF0000"/>
                <w:sz w:val="22"/>
                <w:szCs w:val="22"/>
              </w:rPr>
            </w:pPr>
            <w:r w:rsidRPr="008669C3">
              <w:rPr>
                <w:color w:val="000000"/>
                <w:sz w:val="22"/>
                <w:szCs w:val="22"/>
              </w:rPr>
              <w:t>(0.069)</w:t>
            </w:r>
          </w:p>
        </w:tc>
      </w:tr>
      <w:tr w:rsidR="00A94122" w:rsidRPr="008669C3" w14:paraId="5EC78104"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09E15602" w14:textId="77777777" w:rsidR="00A94122" w:rsidRPr="008669C3" w:rsidRDefault="00A94122" w:rsidP="00A94122">
            <w:pPr>
              <w:rPr>
                <w:iCs/>
                <w:sz w:val="22"/>
                <w:szCs w:val="22"/>
              </w:rPr>
            </w:pPr>
            <w:r w:rsidRPr="008669C3">
              <w:rPr>
                <w:iCs/>
                <w:sz w:val="22"/>
                <w:szCs w:val="22"/>
              </w:rPr>
              <w:lastRenderedPageBreak/>
              <w:t>Age</w:t>
            </w:r>
          </w:p>
        </w:tc>
        <w:tc>
          <w:tcPr>
            <w:tcW w:w="1458" w:type="pct"/>
            <w:tcBorders>
              <w:top w:val="nil"/>
              <w:left w:val="nil"/>
              <w:bottom w:val="nil"/>
              <w:right w:val="nil"/>
            </w:tcBorders>
            <w:shd w:val="clear" w:color="auto" w:fill="auto"/>
            <w:noWrap/>
            <w:vAlign w:val="bottom"/>
            <w:hideMark/>
          </w:tcPr>
          <w:p w14:paraId="24AD3CB5" w14:textId="6D7F678F" w:rsidR="00A94122" w:rsidRPr="008669C3" w:rsidRDefault="00A94122" w:rsidP="00A94122">
            <w:pPr>
              <w:jc w:val="center"/>
              <w:rPr>
                <w:sz w:val="22"/>
                <w:szCs w:val="22"/>
              </w:rPr>
            </w:pPr>
            <w:r w:rsidRPr="008669C3">
              <w:rPr>
                <w:sz w:val="22"/>
                <w:szCs w:val="22"/>
              </w:rPr>
              <w:t>0.000</w:t>
            </w:r>
          </w:p>
        </w:tc>
        <w:tc>
          <w:tcPr>
            <w:tcW w:w="1325" w:type="pct"/>
            <w:tcBorders>
              <w:top w:val="nil"/>
              <w:left w:val="nil"/>
              <w:bottom w:val="nil"/>
              <w:right w:val="nil"/>
            </w:tcBorders>
            <w:shd w:val="clear" w:color="auto" w:fill="auto"/>
            <w:noWrap/>
            <w:vAlign w:val="bottom"/>
            <w:hideMark/>
          </w:tcPr>
          <w:p w14:paraId="24FEA527" w14:textId="71329EFC" w:rsidR="00A94122" w:rsidRPr="008669C3" w:rsidRDefault="00A94122" w:rsidP="00A94122">
            <w:pPr>
              <w:jc w:val="center"/>
              <w:rPr>
                <w:sz w:val="22"/>
                <w:szCs w:val="22"/>
              </w:rPr>
            </w:pPr>
            <w:r w:rsidRPr="008669C3">
              <w:rPr>
                <w:sz w:val="22"/>
                <w:szCs w:val="22"/>
              </w:rPr>
              <w:t>-0.034</w:t>
            </w:r>
            <w:r w:rsidRPr="008669C3">
              <w:rPr>
                <w:sz w:val="20"/>
                <w:szCs w:val="22"/>
              </w:rPr>
              <w:t>***</w:t>
            </w:r>
          </w:p>
        </w:tc>
      </w:tr>
      <w:tr w:rsidR="00A94122" w:rsidRPr="008669C3" w14:paraId="082D9C39"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26AD583D" w14:textId="77777777" w:rsidR="00A94122" w:rsidRPr="008669C3" w:rsidRDefault="00A94122" w:rsidP="00A94122">
            <w:pPr>
              <w:jc w:val="center"/>
              <w:rPr>
                <w:sz w:val="22"/>
                <w:szCs w:val="22"/>
              </w:rPr>
            </w:pPr>
          </w:p>
        </w:tc>
        <w:tc>
          <w:tcPr>
            <w:tcW w:w="1458" w:type="pct"/>
            <w:tcBorders>
              <w:top w:val="nil"/>
              <w:left w:val="nil"/>
              <w:bottom w:val="nil"/>
              <w:right w:val="nil"/>
            </w:tcBorders>
            <w:shd w:val="clear" w:color="auto" w:fill="auto"/>
            <w:noWrap/>
            <w:vAlign w:val="bottom"/>
            <w:hideMark/>
          </w:tcPr>
          <w:p w14:paraId="631EE836" w14:textId="25D9A91E" w:rsidR="00A94122" w:rsidRPr="008669C3" w:rsidRDefault="00A94122" w:rsidP="00A94122">
            <w:pPr>
              <w:jc w:val="center"/>
              <w:rPr>
                <w:sz w:val="22"/>
                <w:szCs w:val="22"/>
              </w:rPr>
            </w:pPr>
            <w:r w:rsidRPr="008669C3">
              <w:rPr>
                <w:sz w:val="22"/>
                <w:szCs w:val="22"/>
              </w:rPr>
              <w:t>(0.001)</w:t>
            </w:r>
          </w:p>
        </w:tc>
        <w:tc>
          <w:tcPr>
            <w:tcW w:w="1325" w:type="pct"/>
            <w:tcBorders>
              <w:top w:val="nil"/>
              <w:left w:val="nil"/>
              <w:bottom w:val="nil"/>
              <w:right w:val="nil"/>
            </w:tcBorders>
            <w:shd w:val="clear" w:color="auto" w:fill="auto"/>
            <w:noWrap/>
            <w:vAlign w:val="bottom"/>
            <w:hideMark/>
          </w:tcPr>
          <w:p w14:paraId="33BF4778" w14:textId="02E07C78" w:rsidR="00A94122" w:rsidRPr="008669C3" w:rsidRDefault="00A94122" w:rsidP="00A94122">
            <w:pPr>
              <w:jc w:val="center"/>
              <w:rPr>
                <w:sz w:val="22"/>
                <w:szCs w:val="22"/>
              </w:rPr>
            </w:pPr>
            <w:r w:rsidRPr="008669C3">
              <w:rPr>
                <w:sz w:val="22"/>
                <w:szCs w:val="22"/>
              </w:rPr>
              <w:t>(0.010)</w:t>
            </w:r>
          </w:p>
        </w:tc>
      </w:tr>
      <w:tr w:rsidR="00A94122" w:rsidRPr="008669C3" w14:paraId="152726E7"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58CEF1F9" w14:textId="77777777" w:rsidR="00A94122" w:rsidRPr="008669C3" w:rsidRDefault="00A94122" w:rsidP="00A94122">
            <w:pPr>
              <w:rPr>
                <w:iCs/>
                <w:sz w:val="22"/>
                <w:szCs w:val="22"/>
              </w:rPr>
            </w:pPr>
            <w:r w:rsidRPr="008669C3">
              <w:rPr>
                <w:iCs/>
                <w:sz w:val="22"/>
                <w:szCs w:val="22"/>
              </w:rPr>
              <w:t>Tenure</w:t>
            </w:r>
          </w:p>
        </w:tc>
        <w:tc>
          <w:tcPr>
            <w:tcW w:w="1458" w:type="pct"/>
            <w:tcBorders>
              <w:top w:val="nil"/>
              <w:left w:val="nil"/>
              <w:bottom w:val="nil"/>
              <w:right w:val="nil"/>
            </w:tcBorders>
            <w:shd w:val="clear" w:color="auto" w:fill="auto"/>
            <w:noWrap/>
            <w:vAlign w:val="bottom"/>
            <w:hideMark/>
          </w:tcPr>
          <w:p w14:paraId="1625D14D" w14:textId="026FF093" w:rsidR="00A94122" w:rsidRPr="008669C3" w:rsidRDefault="00A94122" w:rsidP="00A94122">
            <w:pPr>
              <w:jc w:val="center"/>
              <w:rPr>
                <w:sz w:val="22"/>
                <w:szCs w:val="22"/>
              </w:rPr>
            </w:pPr>
            <w:r w:rsidRPr="008669C3">
              <w:rPr>
                <w:sz w:val="22"/>
                <w:szCs w:val="22"/>
              </w:rPr>
              <w:t>-0.001</w:t>
            </w:r>
          </w:p>
        </w:tc>
        <w:tc>
          <w:tcPr>
            <w:tcW w:w="1325" w:type="pct"/>
            <w:tcBorders>
              <w:top w:val="nil"/>
              <w:left w:val="nil"/>
              <w:bottom w:val="nil"/>
              <w:right w:val="nil"/>
            </w:tcBorders>
            <w:shd w:val="clear" w:color="auto" w:fill="auto"/>
            <w:noWrap/>
            <w:vAlign w:val="bottom"/>
            <w:hideMark/>
          </w:tcPr>
          <w:p w14:paraId="43DB2368" w14:textId="3C534D39" w:rsidR="00A94122" w:rsidRPr="008669C3" w:rsidRDefault="00A94122" w:rsidP="00A94122">
            <w:pPr>
              <w:jc w:val="center"/>
              <w:rPr>
                <w:sz w:val="22"/>
                <w:szCs w:val="22"/>
              </w:rPr>
            </w:pPr>
            <w:r w:rsidRPr="008669C3">
              <w:rPr>
                <w:sz w:val="22"/>
                <w:szCs w:val="22"/>
              </w:rPr>
              <w:t>-0.008</w:t>
            </w:r>
          </w:p>
        </w:tc>
      </w:tr>
      <w:tr w:rsidR="00A94122" w:rsidRPr="008669C3" w14:paraId="1C41F327"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1A0C2444" w14:textId="77777777" w:rsidR="00A94122" w:rsidRPr="008669C3" w:rsidRDefault="00A94122" w:rsidP="00A94122">
            <w:pPr>
              <w:jc w:val="center"/>
              <w:rPr>
                <w:sz w:val="22"/>
                <w:szCs w:val="22"/>
              </w:rPr>
            </w:pPr>
          </w:p>
        </w:tc>
        <w:tc>
          <w:tcPr>
            <w:tcW w:w="1458" w:type="pct"/>
            <w:tcBorders>
              <w:top w:val="nil"/>
              <w:left w:val="nil"/>
              <w:bottom w:val="nil"/>
              <w:right w:val="nil"/>
            </w:tcBorders>
            <w:shd w:val="clear" w:color="auto" w:fill="auto"/>
            <w:noWrap/>
            <w:vAlign w:val="bottom"/>
            <w:hideMark/>
          </w:tcPr>
          <w:p w14:paraId="5ED80EF5" w14:textId="6F86AF73" w:rsidR="00A94122" w:rsidRPr="008669C3" w:rsidRDefault="00A94122" w:rsidP="00A94122">
            <w:pPr>
              <w:jc w:val="center"/>
              <w:rPr>
                <w:sz w:val="22"/>
                <w:szCs w:val="22"/>
              </w:rPr>
            </w:pPr>
            <w:r w:rsidRPr="008669C3">
              <w:rPr>
                <w:sz w:val="22"/>
                <w:szCs w:val="22"/>
              </w:rPr>
              <w:t>(0.002)</w:t>
            </w:r>
          </w:p>
        </w:tc>
        <w:tc>
          <w:tcPr>
            <w:tcW w:w="1325" w:type="pct"/>
            <w:tcBorders>
              <w:top w:val="nil"/>
              <w:left w:val="nil"/>
              <w:bottom w:val="nil"/>
              <w:right w:val="nil"/>
            </w:tcBorders>
            <w:shd w:val="clear" w:color="auto" w:fill="auto"/>
            <w:noWrap/>
            <w:vAlign w:val="bottom"/>
            <w:hideMark/>
          </w:tcPr>
          <w:p w14:paraId="21C2A712" w14:textId="028928DE" w:rsidR="00A94122" w:rsidRPr="008669C3" w:rsidRDefault="00A94122" w:rsidP="00A94122">
            <w:pPr>
              <w:jc w:val="center"/>
              <w:rPr>
                <w:sz w:val="22"/>
                <w:szCs w:val="22"/>
              </w:rPr>
            </w:pPr>
            <w:r w:rsidRPr="008669C3">
              <w:rPr>
                <w:sz w:val="22"/>
                <w:szCs w:val="22"/>
              </w:rPr>
              <w:t>(0.011)</w:t>
            </w:r>
          </w:p>
        </w:tc>
      </w:tr>
      <w:tr w:rsidR="00A94122" w:rsidRPr="008669C3" w14:paraId="515A2C85"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2919D3B2" w14:textId="77777777" w:rsidR="00A94122" w:rsidRPr="008669C3" w:rsidRDefault="00A94122" w:rsidP="00A94122">
            <w:pPr>
              <w:rPr>
                <w:iCs/>
                <w:sz w:val="22"/>
                <w:szCs w:val="22"/>
              </w:rPr>
            </w:pPr>
            <w:r w:rsidRPr="008669C3">
              <w:rPr>
                <w:iCs/>
                <w:sz w:val="22"/>
                <w:szCs w:val="22"/>
              </w:rPr>
              <w:t>Female CEO</w:t>
            </w:r>
          </w:p>
        </w:tc>
        <w:tc>
          <w:tcPr>
            <w:tcW w:w="1458" w:type="pct"/>
            <w:tcBorders>
              <w:top w:val="nil"/>
              <w:left w:val="nil"/>
              <w:bottom w:val="nil"/>
              <w:right w:val="nil"/>
            </w:tcBorders>
            <w:shd w:val="clear" w:color="auto" w:fill="auto"/>
            <w:noWrap/>
            <w:vAlign w:val="bottom"/>
            <w:hideMark/>
          </w:tcPr>
          <w:p w14:paraId="5EDB13CD" w14:textId="67A1A838" w:rsidR="00A94122" w:rsidRPr="008669C3" w:rsidRDefault="00A94122" w:rsidP="00A94122">
            <w:pPr>
              <w:jc w:val="center"/>
              <w:rPr>
                <w:sz w:val="22"/>
                <w:szCs w:val="22"/>
              </w:rPr>
            </w:pPr>
            <w:r w:rsidRPr="008669C3">
              <w:rPr>
                <w:sz w:val="22"/>
                <w:szCs w:val="22"/>
              </w:rPr>
              <w:t>-0.017</w:t>
            </w:r>
          </w:p>
        </w:tc>
        <w:tc>
          <w:tcPr>
            <w:tcW w:w="1325" w:type="pct"/>
            <w:tcBorders>
              <w:top w:val="nil"/>
              <w:left w:val="nil"/>
              <w:bottom w:val="nil"/>
              <w:right w:val="nil"/>
            </w:tcBorders>
            <w:shd w:val="clear" w:color="auto" w:fill="auto"/>
            <w:noWrap/>
            <w:vAlign w:val="bottom"/>
            <w:hideMark/>
          </w:tcPr>
          <w:p w14:paraId="15938BE6" w14:textId="28674593" w:rsidR="00A94122" w:rsidRPr="008669C3" w:rsidRDefault="00A94122" w:rsidP="00A94122">
            <w:pPr>
              <w:jc w:val="center"/>
              <w:rPr>
                <w:sz w:val="22"/>
                <w:szCs w:val="22"/>
              </w:rPr>
            </w:pPr>
            <w:r w:rsidRPr="008669C3">
              <w:rPr>
                <w:sz w:val="22"/>
                <w:szCs w:val="22"/>
              </w:rPr>
              <w:t>0.122</w:t>
            </w:r>
          </w:p>
        </w:tc>
      </w:tr>
      <w:tr w:rsidR="00A94122" w:rsidRPr="008669C3" w14:paraId="087C1299"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0B6AD4DE" w14:textId="77777777" w:rsidR="00A94122" w:rsidRPr="008669C3" w:rsidRDefault="00A94122" w:rsidP="00A94122">
            <w:pPr>
              <w:jc w:val="center"/>
              <w:rPr>
                <w:sz w:val="22"/>
                <w:szCs w:val="22"/>
              </w:rPr>
            </w:pPr>
          </w:p>
        </w:tc>
        <w:tc>
          <w:tcPr>
            <w:tcW w:w="1458" w:type="pct"/>
            <w:tcBorders>
              <w:top w:val="nil"/>
              <w:left w:val="nil"/>
              <w:bottom w:val="nil"/>
              <w:right w:val="nil"/>
            </w:tcBorders>
            <w:shd w:val="clear" w:color="auto" w:fill="auto"/>
            <w:noWrap/>
            <w:vAlign w:val="bottom"/>
            <w:hideMark/>
          </w:tcPr>
          <w:p w14:paraId="1C75075E" w14:textId="1467DAA2" w:rsidR="00A94122" w:rsidRPr="008669C3" w:rsidRDefault="00A94122" w:rsidP="00A94122">
            <w:pPr>
              <w:jc w:val="center"/>
              <w:rPr>
                <w:sz w:val="22"/>
                <w:szCs w:val="22"/>
              </w:rPr>
            </w:pPr>
            <w:r w:rsidRPr="008669C3">
              <w:rPr>
                <w:sz w:val="22"/>
                <w:szCs w:val="22"/>
              </w:rPr>
              <w:t>(0.025)</w:t>
            </w:r>
          </w:p>
        </w:tc>
        <w:tc>
          <w:tcPr>
            <w:tcW w:w="1325" w:type="pct"/>
            <w:tcBorders>
              <w:top w:val="nil"/>
              <w:left w:val="nil"/>
              <w:bottom w:val="nil"/>
              <w:right w:val="nil"/>
            </w:tcBorders>
            <w:shd w:val="clear" w:color="auto" w:fill="auto"/>
            <w:noWrap/>
            <w:vAlign w:val="bottom"/>
            <w:hideMark/>
          </w:tcPr>
          <w:p w14:paraId="50A855E6" w14:textId="4BE6E6C6" w:rsidR="00A94122" w:rsidRPr="008669C3" w:rsidRDefault="00A94122" w:rsidP="00A94122">
            <w:pPr>
              <w:jc w:val="center"/>
              <w:rPr>
                <w:sz w:val="22"/>
                <w:szCs w:val="22"/>
              </w:rPr>
            </w:pPr>
            <w:r w:rsidRPr="008669C3">
              <w:rPr>
                <w:sz w:val="22"/>
                <w:szCs w:val="22"/>
              </w:rPr>
              <w:t>(0.275)</w:t>
            </w:r>
          </w:p>
        </w:tc>
      </w:tr>
      <w:tr w:rsidR="00A94122" w:rsidRPr="008669C3" w14:paraId="660FE512"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1AE23E8B" w14:textId="77777777" w:rsidR="00A94122" w:rsidRPr="008669C3" w:rsidRDefault="00A94122" w:rsidP="00A94122">
            <w:pPr>
              <w:rPr>
                <w:iCs/>
                <w:sz w:val="22"/>
                <w:szCs w:val="22"/>
              </w:rPr>
            </w:pPr>
            <w:r w:rsidRPr="008669C3">
              <w:rPr>
                <w:iCs/>
                <w:sz w:val="22"/>
                <w:szCs w:val="22"/>
              </w:rPr>
              <w:t>Ln(1+Delta)</w:t>
            </w:r>
          </w:p>
        </w:tc>
        <w:tc>
          <w:tcPr>
            <w:tcW w:w="1458" w:type="pct"/>
            <w:tcBorders>
              <w:top w:val="nil"/>
              <w:left w:val="nil"/>
              <w:bottom w:val="nil"/>
              <w:right w:val="nil"/>
            </w:tcBorders>
            <w:shd w:val="clear" w:color="auto" w:fill="auto"/>
            <w:noWrap/>
            <w:vAlign w:val="bottom"/>
            <w:hideMark/>
          </w:tcPr>
          <w:p w14:paraId="74860E7E" w14:textId="34167092" w:rsidR="00A94122" w:rsidRPr="008669C3" w:rsidRDefault="00A94122" w:rsidP="00A94122">
            <w:pPr>
              <w:jc w:val="center"/>
              <w:rPr>
                <w:sz w:val="22"/>
                <w:szCs w:val="22"/>
              </w:rPr>
            </w:pPr>
            <w:r w:rsidRPr="008669C3">
              <w:rPr>
                <w:sz w:val="22"/>
                <w:szCs w:val="22"/>
              </w:rPr>
              <w:t>0.009</w:t>
            </w:r>
            <w:r w:rsidRPr="008669C3">
              <w:rPr>
                <w:sz w:val="20"/>
                <w:szCs w:val="22"/>
              </w:rPr>
              <w:t>*</w:t>
            </w:r>
          </w:p>
        </w:tc>
        <w:tc>
          <w:tcPr>
            <w:tcW w:w="1325" w:type="pct"/>
            <w:tcBorders>
              <w:top w:val="nil"/>
              <w:left w:val="nil"/>
              <w:bottom w:val="nil"/>
              <w:right w:val="nil"/>
            </w:tcBorders>
            <w:shd w:val="clear" w:color="auto" w:fill="auto"/>
            <w:noWrap/>
            <w:vAlign w:val="bottom"/>
            <w:hideMark/>
          </w:tcPr>
          <w:p w14:paraId="55E6FA39" w14:textId="216EB12D" w:rsidR="00A94122" w:rsidRPr="008669C3" w:rsidRDefault="00A94122" w:rsidP="00A94122">
            <w:pPr>
              <w:jc w:val="center"/>
              <w:rPr>
                <w:sz w:val="22"/>
                <w:szCs w:val="22"/>
              </w:rPr>
            </w:pPr>
            <w:r w:rsidRPr="008669C3">
              <w:rPr>
                <w:sz w:val="22"/>
                <w:szCs w:val="22"/>
              </w:rPr>
              <w:t>0.272</w:t>
            </w:r>
            <w:r w:rsidRPr="008669C3">
              <w:rPr>
                <w:sz w:val="20"/>
                <w:szCs w:val="22"/>
              </w:rPr>
              <w:t>***</w:t>
            </w:r>
          </w:p>
        </w:tc>
      </w:tr>
      <w:tr w:rsidR="00A94122" w:rsidRPr="008669C3" w14:paraId="215892F9"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0AD3CE04" w14:textId="77777777" w:rsidR="00A94122" w:rsidRPr="008669C3" w:rsidRDefault="00A94122" w:rsidP="00A94122">
            <w:pPr>
              <w:jc w:val="center"/>
              <w:rPr>
                <w:sz w:val="22"/>
                <w:szCs w:val="22"/>
              </w:rPr>
            </w:pPr>
          </w:p>
        </w:tc>
        <w:tc>
          <w:tcPr>
            <w:tcW w:w="1458" w:type="pct"/>
            <w:tcBorders>
              <w:top w:val="nil"/>
              <w:left w:val="nil"/>
              <w:bottom w:val="nil"/>
              <w:right w:val="nil"/>
            </w:tcBorders>
            <w:shd w:val="clear" w:color="auto" w:fill="auto"/>
            <w:noWrap/>
            <w:vAlign w:val="bottom"/>
            <w:hideMark/>
          </w:tcPr>
          <w:p w14:paraId="7A932732" w14:textId="5DA39EC9" w:rsidR="00A94122" w:rsidRPr="008669C3" w:rsidRDefault="00A94122" w:rsidP="00A94122">
            <w:pPr>
              <w:jc w:val="center"/>
              <w:rPr>
                <w:sz w:val="22"/>
                <w:szCs w:val="22"/>
              </w:rPr>
            </w:pPr>
            <w:r w:rsidRPr="008669C3">
              <w:rPr>
                <w:sz w:val="22"/>
                <w:szCs w:val="22"/>
              </w:rPr>
              <w:t>(0.005)</w:t>
            </w:r>
          </w:p>
        </w:tc>
        <w:tc>
          <w:tcPr>
            <w:tcW w:w="1325" w:type="pct"/>
            <w:tcBorders>
              <w:top w:val="nil"/>
              <w:left w:val="nil"/>
              <w:bottom w:val="nil"/>
              <w:right w:val="nil"/>
            </w:tcBorders>
            <w:shd w:val="clear" w:color="auto" w:fill="auto"/>
            <w:noWrap/>
            <w:vAlign w:val="bottom"/>
            <w:hideMark/>
          </w:tcPr>
          <w:p w14:paraId="7A53AEC2" w14:textId="103AD2A1" w:rsidR="00A94122" w:rsidRPr="008669C3" w:rsidRDefault="00A94122" w:rsidP="00A94122">
            <w:pPr>
              <w:jc w:val="center"/>
              <w:rPr>
                <w:sz w:val="22"/>
                <w:szCs w:val="22"/>
              </w:rPr>
            </w:pPr>
            <w:r w:rsidRPr="008669C3">
              <w:rPr>
                <w:sz w:val="22"/>
                <w:szCs w:val="22"/>
              </w:rPr>
              <w:t>(0.055)</w:t>
            </w:r>
          </w:p>
        </w:tc>
      </w:tr>
      <w:tr w:rsidR="00A94122" w:rsidRPr="008669C3" w14:paraId="5B1D2292"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5E0B2BE7" w14:textId="77777777" w:rsidR="00A94122" w:rsidRPr="008669C3" w:rsidRDefault="00A94122" w:rsidP="00A94122">
            <w:pPr>
              <w:rPr>
                <w:iCs/>
                <w:sz w:val="22"/>
                <w:szCs w:val="22"/>
              </w:rPr>
            </w:pPr>
            <w:r w:rsidRPr="008669C3">
              <w:rPr>
                <w:iCs/>
                <w:sz w:val="22"/>
                <w:szCs w:val="22"/>
              </w:rPr>
              <w:t>Ln(Total pay)</w:t>
            </w:r>
          </w:p>
        </w:tc>
        <w:tc>
          <w:tcPr>
            <w:tcW w:w="1458" w:type="pct"/>
            <w:tcBorders>
              <w:top w:val="nil"/>
              <w:left w:val="nil"/>
              <w:bottom w:val="nil"/>
              <w:right w:val="nil"/>
            </w:tcBorders>
            <w:shd w:val="clear" w:color="auto" w:fill="auto"/>
            <w:noWrap/>
            <w:vAlign w:val="bottom"/>
            <w:hideMark/>
          </w:tcPr>
          <w:p w14:paraId="6DA027C3" w14:textId="47B02351" w:rsidR="00A94122" w:rsidRPr="008669C3" w:rsidRDefault="00A94122" w:rsidP="00A94122">
            <w:pPr>
              <w:jc w:val="center"/>
              <w:rPr>
                <w:sz w:val="22"/>
                <w:szCs w:val="22"/>
              </w:rPr>
            </w:pPr>
            <w:r w:rsidRPr="008669C3">
              <w:rPr>
                <w:sz w:val="22"/>
                <w:szCs w:val="22"/>
              </w:rPr>
              <w:t>-0.002</w:t>
            </w:r>
          </w:p>
        </w:tc>
        <w:tc>
          <w:tcPr>
            <w:tcW w:w="1325" w:type="pct"/>
            <w:tcBorders>
              <w:top w:val="nil"/>
              <w:left w:val="nil"/>
              <w:bottom w:val="nil"/>
              <w:right w:val="nil"/>
            </w:tcBorders>
            <w:shd w:val="clear" w:color="auto" w:fill="auto"/>
            <w:noWrap/>
            <w:vAlign w:val="bottom"/>
            <w:hideMark/>
          </w:tcPr>
          <w:p w14:paraId="342264CB" w14:textId="1942E1B9" w:rsidR="00A94122" w:rsidRPr="008669C3" w:rsidRDefault="00A94122" w:rsidP="00A94122">
            <w:pPr>
              <w:jc w:val="center"/>
              <w:rPr>
                <w:sz w:val="22"/>
                <w:szCs w:val="22"/>
              </w:rPr>
            </w:pPr>
            <w:r w:rsidRPr="008669C3">
              <w:rPr>
                <w:sz w:val="22"/>
                <w:szCs w:val="22"/>
              </w:rPr>
              <w:t>-0.043</w:t>
            </w:r>
          </w:p>
        </w:tc>
      </w:tr>
      <w:tr w:rsidR="00A94122" w:rsidRPr="008669C3" w14:paraId="05AD43E8"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07C41BA0" w14:textId="77777777" w:rsidR="00A94122" w:rsidRPr="008669C3" w:rsidRDefault="00A94122" w:rsidP="00A94122">
            <w:pPr>
              <w:jc w:val="center"/>
              <w:rPr>
                <w:sz w:val="22"/>
                <w:szCs w:val="22"/>
              </w:rPr>
            </w:pPr>
          </w:p>
        </w:tc>
        <w:tc>
          <w:tcPr>
            <w:tcW w:w="1458" w:type="pct"/>
            <w:tcBorders>
              <w:top w:val="nil"/>
              <w:left w:val="nil"/>
              <w:bottom w:val="nil"/>
              <w:right w:val="nil"/>
            </w:tcBorders>
            <w:shd w:val="clear" w:color="auto" w:fill="auto"/>
            <w:noWrap/>
            <w:vAlign w:val="bottom"/>
            <w:hideMark/>
          </w:tcPr>
          <w:p w14:paraId="096481C6" w14:textId="0E30283B" w:rsidR="00A94122" w:rsidRPr="008669C3" w:rsidRDefault="00A94122" w:rsidP="00A94122">
            <w:pPr>
              <w:jc w:val="center"/>
              <w:rPr>
                <w:sz w:val="22"/>
                <w:szCs w:val="22"/>
              </w:rPr>
            </w:pPr>
            <w:r w:rsidRPr="008669C3">
              <w:rPr>
                <w:sz w:val="22"/>
                <w:szCs w:val="22"/>
              </w:rPr>
              <w:t>(0.010)</w:t>
            </w:r>
          </w:p>
        </w:tc>
        <w:tc>
          <w:tcPr>
            <w:tcW w:w="1325" w:type="pct"/>
            <w:tcBorders>
              <w:top w:val="nil"/>
              <w:left w:val="nil"/>
              <w:bottom w:val="nil"/>
              <w:right w:val="nil"/>
            </w:tcBorders>
            <w:shd w:val="clear" w:color="auto" w:fill="auto"/>
            <w:noWrap/>
            <w:vAlign w:val="bottom"/>
            <w:hideMark/>
          </w:tcPr>
          <w:p w14:paraId="6FD348B1" w14:textId="2FB93097" w:rsidR="00A94122" w:rsidRPr="008669C3" w:rsidRDefault="00A94122" w:rsidP="00A94122">
            <w:pPr>
              <w:jc w:val="center"/>
              <w:rPr>
                <w:sz w:val="22"/>
                <w:szCs w:val="22"/>
              </w:rPr>
            </w:pPr>
            <w:r w:rsidRPr="008669C3">
              <w:rPr>
                <w:sz w:val="22"/>
                <w:szCs w:val="22"/>
              </w:rPr>
              <w:t>(0.072)</w:t>
            </w:r>
          </w:p>
        </w:tc>
      </w:tr>
      <w:tr w:rsidR="00A94122" w:rsidRPr="008669C3" w14:paraId="58B0775D"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6312BE59" w14:textId="77777777" w:rsidR="00A94122" w:rsidRPr="008669C3" w:rsidRDefault="00A94122" w:rsidP="00A94122">
            <w:pPr>
              <w:rPr>
                <w:iCs/>
                <w:sz w:val="22"/>
                <w:szCs w:val="22"/>
              </w:rPr>
            </w:pPr>
            <w:r w:rsidRPr="008669C3">
              <w:rPr>
                <w:iCs/>
                <w:sz w:val="22"/>
                <w:szCs w:val="22"/>
              </w:rPr>
              <w:t>Equity mix</w:t>
            </w:r>
          </w:p>
        </w:tc>
        <w:tc>
          <w:tcPr>
            <w:tcW w:w="1458" w:type="pct"/>
            <w:tcBorders>
              <w:top w:val="nil"/>
              <w:left w:val="nil"/>
              <w:bottom w:val="nil"/>
              <w:right w:val="nil"/>
            </w:tcBorders>
            <w:shd w:val="clear" w:color="auto" w:fill="auto"/>
            <w:noWrap/>
            <w:vAlign w:val="bottom"/>
            <w:hideMark/>
          </w:tcPr>
          <w:p w14:paraId="611D3678" w14:textId="3BA74437" w:rsidR="00A94122" w:rsidRPr="008669C3" w:rsidRDefault="00A94122" w:rsidP="00A94122">
            <w:pPr>
              <w:jc w:val="center"/>
              <w:rPr>
                <w:sz w:val="22"/>
                <w:szCs w:val="22"/>
              </w:rPr>
            </w:pPr>
            <w:r w:rsidRPr="008669C3">
              <w:rPr>
                <w:sz w:val="22"/>
                <w:szCs w:val="22"/>
              </w:rPr>
              <w:t>0.031</w:t>
            </w:r>
          </w:p>
        </w:tc>
        <w:tc>
          <w:tcPr>
            <w:tcW w:w="1325" w:type="pct"/>
            <w:tcBorders>
              <w:top w:val="nil"/>
              <w:left w:val="nil"/>
              <w:bottom w:val="nil"/>
              <w:right w:val="nil"/>
            </w:tcBorders>
            <w:shd w:val="clear" w:color="auto" w:fill="auto"/>
            <w:noWrap/>
            <w:vAlign w:val="bottom"/>
            <w:hideMark/>
          </w:tcPr>
          <w:p w14:paraId="38BF8724" w14:textId="23FE7AFF" w:rsidR="00A94122" w:rsidRPr="008669C3" w:rsidRDefault="00A94122" w:rsidP="00A94122">
            <w:pPr>
              <w:jc w:val="center"/>
              <w:rPr>
                <w:sz w:val="22"/>
                <w:szCs w:val="22"/>
              </w:rPr>
            </w:pPr>
            <w:r w:rsidRPr="008669C3">
              <w:rPr>
                <w:sz w:val="22"/>
                <w:szCs w:val="22"/>
              </w:rPr>
              <w:t>0.251</w:t>
            </w:r>
          </w:p>
        </w:tc>
      </w:tr>
      <w:tr w:rsidR="00A94122" w:rsidRPr="008669C3" w14:paraId="564F19D6"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04E0132A" w14:textId="77777777" w:rsidR="00A94122" w:rsidRPr="008669C3" w:rsidRDefault="00A94122" w:rsidP="00A94122">
            <w:pPr>
              <w:jc w:val="center"/>
              <w:rPr>
                <w:sz w:val="22"/>
                <w:szCs w:val="22"/>
              </w:rPr>
            </w:pPr>
          </w:p>
        </w:tc>
        <w:tc>
          <w:tcPr>
            <w:tcW w:w="1458" w:type="pct"/>
            <w:tcBorders>
              <w:top w:val="nil"/>
              <w:left w:val="nil"/>
              <w:bottom w:val="nil"/>
              <w:right w:val="nil"/>
            </w:tcBorders>
            <w:shd w:val="clear" w:color="auto" w:fill="auto"/>
            <w:noWrap/>
            <w:vAlign w:val="bottom"/>
            <w:hideMark/>
          </w:tcPr>
          <w:p w14:paraId="234BE6B6" w14:textId="36651C9A" w:rsidR="00A94122" w:rsidRPr="008669C3" w:rsidRDefault="00A94122" w:rsidP="00A94122">
            <w:pPr>
              <w:jc w:val="center"/>
              <w:rPr>
                <w:sz w:val="22"/>
                <w:szCs w:val="22"/>
              </w:rPr>
            </w:pPr>
            <w:r w:rsidRPr="008669C3">
              <w:rPr>
                <w:sz w:val="22"/>
                <w:szCs w:val="22"/>
              </w:rPr>
              <w:t>(0.027)</w:t>
            </w:r>
          </w:p>
        </w:tc>
        <w:tc>
          <w:tcPr>
            <w:tcW w:w="1325" w:type="pct"/>
            <w:tcBorders>
              <w:top w:val="nil"/>
              <w:left w:val="nil"/>
              <w:bottom w:val="nil"/>
              <w:right w:val="nil"/>
            </w:tcBorders>
            <w:shd w:val="clear" w:color="auto" w:fill="auto"/>
            <w:noWrap/>
            <w:vAlign w:val="bottom"/>
            <w:hideMark/>
          </w:tcPr>
          <w:p w14:paraId="31DE8D4A" w14:textId="09D71851" w:rsidR="00A94122" w:rsidRPr="008669C3" w:rsidRDefault="00A94122" w:rsidP="00A94122">
            <w:pPr>
              <w:jc w:val="center"/>
              <w:rPr>
                <w:sz w:val="22"/>
                <w:szCs w:val="22"/>
              </w:rPr>
            </w:pPr>
            <w:r w:rsidRPr="008669C3">
              <w:rPr>
                <w:sz w:val="22"/>
                <w:szCs w:val="22"/>
              </w:rPr>
              <w:t>(0.196)</w:t>
            </w:r>
          </w:p>
        </w:tc>
      </w:tr>
      <w:tr w:rsidR="00A94122" w:rsidRPr="008669C3" w14:paraId="39B2586F"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339EF99D" w14:textId="77777777" w:rsidR="00A94122" w:rsidRPr="008669C3" w:rsidRDefault="00A94122" w:rsidP="00A94122">
            <w:pPr>
              <w:rPr>
                <w:iCs/>
                <w:sz w:val="22"/>
                <w:szCs w:val="22"/>
              </w:rPr>
            </w:pPr>
            <w:r w:rsidRPr="008669C3">
              <w:rPr>
                <w:iCs/>
                <w:sz w:val="22"/>
                <w:szCs w:val="22"/>
              </w:rPr>
              <w:t>Board independence</w:t>
            </w:r>
          </w:p>
        </w:tc>
        <w:tc>
          <w:tcPr>
            <w:tcW w:w="1458" w:type="pct"/>
            <w:tcBorders>
              <w:top w:val="nil"/>
              <w:left w:val="nil"/>
              <w:bottom w:val="nil"/>
              <w:right w:val="nil"/>
            </w:tcBorders>
            <w:shd w:val="clear" w:color="auto" w:fill="auto"/>
            <w:noWrap/>
            <w:vAlign w:val="bottom"/>
            <w:hideMark/>
          </w:tcPr>
          <w:p w14:paraId="74DAD1D3" w14:textId="771D3B41" w:rsidR="00A94122" w:rsidRPr="008669C3" w:rsidRDefault="00A94122" w:rsidP="00A94122">
            <w:pPr>
              <w:jc w:val="center"/>
              <w:rPr>
                <w:sz w:val="22"/>
                <w:szCs w:val="22"/>
              </w:rPr>
            </w:pPr>
            <w:r w:rsidRPr="008669C3">
              <w:rPr>
                <w:sz w:val="22"/>
                <w:szCs w:val="22"/>
              </w:rPr>
              <w:t>0.036</w:t>
            </w:r>
          </w:p>
        </w:tc>
        <w:tc>
          <w:tcPr>
            <w:tcW w:w="1325" w:type="pct"/>
            <w:tcBorders>
              <w:top w:val="nil"/>
              <w:left w:val="nil"/>
              <w:bottom w:val="nil"/>
              <w:right w:val="nil"/>
            </w:tcBorders>
            <w:shd w:val="clear" w:color="auto" w:fill="auto"/>
            <w:noWrap/>
            <w:vAlign w:val="bottom"/>
            <w:hideMark/>
          </w:tcPr>
          <w:p w14:paraId="09B08B09" w14:textId="722D1D9A" w:rsidR="00A94122" w:rsidRPr="008669C3" w:rsidRDefault="00A94122" w:rsidP="00A94122">
            <w:pPr>
              <w:jc w:val="center"/>
              <w:rPr>
                <w:sz w:val="22"/>
                <w:szCs w:val="22"/>
              </w:rPr>
            </w:pPr>
            <w:r w:rsidRPr="008669C3">
              <w:rPr>
                <w:sz w:val="22"/>
                <w:szCs w:val="22"/>
              </w:rPr>
              <w:t>0.333</w:t>
            </w:r>
          </w:p>
        </w:tc>
      </w:tr>
      <w:tr w:rsidR="00A94122" w:rsidRPr="008669C3" w14:paraId="7DAFACB6"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09F762C9" w14:textId="77777777" w:rsidR="00A94122" w:rsidRPr="008669C3" w:rsidRDefault="00A94122" w:rsidP="00A94122">
            <w:pPr>
              <w:jc w:val="center"/>
              <w:rPr>
                <w:sz w:val="22"/>
                <w:szCs w:val="22"/>
              </w:rPr>
            </w:pPr>
          </w:p>
        </w:tc>
        <w:tc>
          <w:tcPr>
            <w:tcW w:w="1458" w:type="pct"/>
            <w:tcBorders>
              <w:top w:val="nil"/>
              <w:left w:val="nil"/>
              <w:bottom w:val="nil"/>
              <w:right w:val="nil"/>
            </w:tcBorders>
            <w:shd w:val="clear" w:color="auto" w:fill="auto"/>
            <w:noWrap/>
            <w:vAlign w:val="bottom"/>
            <w:hideMark/>
          </w:tcPr>
          <w:p w14:paraId="72955EEE" w14:textId="65D2D0F7" w:rsidR="00A94122" w:rsidRPr="008669C3" w:rsidRDefault="00A94122" w:rsidP="00A94122">
            <w:pPr>
              <w:jc w:val="center"/>
              <w:rPr>
                <w:sz w:val="22"/>
                <w:szCs w:val="22"/>
              </w:rPr>
            </w:pPr>
            <w:r w:rsidRPr="008669C3">
              <w:rPr>
                <w:sz w:val="22"/>
                <w:szCs w:val="22"/>
              </w:rPr>
              <w:t>(0.060)</w:t>
            </w:r>
          </w:p>
        </w:tc>
        <w:tc>
          <w:tcPr>
            <w:tcW w:w="1325" w:type="pct"/>
            <w:tcBorders>
              <w:top w:val="nil"/>
              <w:left w:val="nil"/>
              <w:bottom w:val="nil"/>
              <w:right w:val="nil"/>
            </w:tcBorders>
            <w:shd w:val="clear" w:color="auto" w:fill="auto"/>
            <w:noWrap/>
            <w:vAlign w:val="bottom"/>
            <w:hideMark/>
          </w:tcPr>
          <w:p w14:paraId="6767CD37" w14:textId="2C39C826" w:rsidR="00A94122" w:rsidRPr="008669C3" w:rsidRDefault="00A94122" w:rsidP="00A94122">
            <w:pPr>
              <w:jc w:val="center"/>
              <w:rPr>
                <w:sz w:val="22"/>
                <w:szCs w:val="22"/>
              </w:rPr>
            </w:pPr>
            <w:r w:rsidRPr="008669C3">
              <w:rPr>
                <w:sz w:val="22"/>
                <w:szCs w:val="22"/>
              </w:rPr>
              <w:t>(0.332)</w:t>
            </w:r>
          </w:p>
        </w:tc>
      </w:tr>
      <w:tr w:rsidR="00A94122" w:rsidRPr="008669C3" w14:paraId="2931E322"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5781CC0F" w14:textId="77777777" w:rsidR="00A94122" w:rsidRPr="008669C3" w:rsidRDefault="00A94122" w:rsidP="00A94122">
            <w:pPr>
              <w:rPr>
                <w:iCs/>
                <w:sz w:val="22"/>
                <w:szCs w:val="22"/>
              </w:rPr>
            </w:pPr>
            <w:r w:rsidRPr="008669C3">
              <w:rPr>
                <w:iCs/>
                <w:sz w:val="22"/>
                <w:szCs w:val="22"/>
              </w:rPr>
              <w:t>Institutional ownership</w:t>
            </w:r>
          </w:p>
        </w:tc>
        <w:tc>
          <w:tcPr>
            <w:tcW w:w="1458" w:type="pct"/>
            <w:tcBorders>
              <w:top w:val="nil"/>
              <w:left w:val="nil"/>
              <w:bottom w:val="nil"/>
              <w:right w:val="nil"/>
            </w:tcBorders>
            <w:shd w:val="clear" w:color="auto" w:fill="auto"/>
            <w:noWrap/>
            <w:vAlign w:val="bottom"/>
            <w:hideMark/>
          </w:tcPr>
          <w:p w14:paraId="297E44BA" w14:textId="485C9736" w:rsidR="00A94122" w:rsidRPr="008669C3" w:rsidRDefault="00A94122" w:rsidP="00A94122">
            <w:pPr>
              <w:jc w:val="center"/>
              <w:rPr>
                <w:sz w:val="22"/>
                <w:szCs w:val="22"/>
              </w:rPr>
            </w:pPr>
            <w:r w:rsidRPr="008669C3">
              <w:rPr>
                <w:sz w:val="22"/>
                <w:szCs w:val="22"/>
              </w:rPr>
              <w:t>-0.137</w:t>
            </w:r>
            <w:r w:rsidRPr="008669C3">
              <w:rPr>
                <w:sz w:val="20"/>
                <w:szCs w:val="22"/>
              </w:rPr>
              <w:t>**</w:t>
            </w:r>
          </w:p>
        </w:tc>
        <w:tc>
          <w:tcPr>
            <w:tcW w:w="1325" w:type="pct"/>
            <w:tcBorders>
              <w:top w:val="nil"/>
              <w:left w:val="nil"/>
              <w:bottom w:val="nil"/>
              <w:right w:val="nil"/>
            </w:tcBorders>
            <w:shd w:val="clear" w:color="auto" w:fill="auto"/>
            <w:noWrap/>
            <w:vAlign w:val="bottom"/>
            <w:hideMark/>
          </w:tcPr>
          <w:p w14:paraId="6C1F4EE9" w14:textId="64E97C70" w:rsidR="00A94122" w:rsidRPr="008669C3" w:rsidRDefault="00A94122" w:rsidP="00A94122">
            <w:pPr>
              <w:jc w:val="center"/>
              <w:rPr>
                <w:sz w:val="22"/>
                <w:szCs w:val="22"/>
              </w:rPr>
            </w:pPr>
            <w:r w:rsidRPr="008669C3">
              <w:rPr>
                <w:sz w:val="22"/>
                <w:szCs w:val="22"/>
              </w:rPr>
              <w:t>0.627</w:t>
            </w:r>
            <w:r w:rsidRPr="008669C3">
              <w:rPr>
                <w:sz w:val="20"/>
                <w:szCs w:val="22"/>
              </w:rPr>
              <w:t>*</w:t>
            </w:r>
          </w:p>
        </w:tc>
      </w:tr>
      <w:tr w:rsidR="00A94122" w:rsidRPr="008669C3" w14:paraId="6D8D5A30"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79E34C7D" w14:textId="77777777" w:rsidR="00A94122" w:rsidRPr="008669C3" w:rsidRDefault="00A94122" w:rsidP="00A94122">
            <w:pPr>
              <w:jc w:val="center"/>
              <w:rPr>
                <w:sz w:val="22"/>
                <w:szCs w:val="22"/>
              </w:rPr>
            </w:pPr>
          </w:p>
        </w:tc>
        <w:tc>
          <w:tcPr>
            <w:tcW w:w="1458" w:type="pct"/>
            <w:tcBorders>
              <w:top w:val="nil"/>
              <w:left w:val="nil"/>
              <w:bottom w:val="nil"/>
              <w:right w:val="nil"/>
            </w:tcBorders>
            <w:shd w:val="clear" w:color="auto" w:fill="auto"/>
            <w:noWrap/>
            <w:vAlign w:val="bottom"/>
            <w:hideMark/>
          </w:tcPr>
          <w:p w14:paraId="1FFA6002" w14:textId="7E52FA3B" w:rsidR="00A94122" w:rsidRPr="008669C3" w:rsidRDefault="00A94122" w:rsidP="00A94122">
            <w:pPr>
              <w:jc w:val="center"/>
              <w:rPr>
                <w:sz w:val="22"/>
                <w:szCs w:val="22"/>
              </w:rPr>
            </w:pPr>
            <w:r w:rsidRPr="008669C3">
              <w:rPr>
                <w:sz w:val="22"/>
                <w:szCs w:val="22"/>
              </w:rPr>
              <w:t>(0.061)</w:t>
            </w:r>
          </w:p>
        </w:tc>
        <w:tc>
          <w:tcPr>
            <w:tcW w:w="1325" w:type="pct"/>
            <w:tcBorders>
              <w:top w:val="nil"/>
              <w:left w:val="nil"/>
              <w:bottom w:val="nil"/>
              <w:right w:val="nil"/>
            </w:tcBorders>
            <w:shd w:val="clear" w:color="auto" w:fill="auto"/>
            <w:noWrap/>
            <w:vAlign w:val="bottom"/>
            <w:hideMark/>
          </w:tcPr>
          <w:p w14:paraId="6341E54C" w14:textId="29D30BA6" w:rsidR="00A94122" w:rsidRPr="008669C3" w:rsidRDefault="00A94122" w:rsidP="00A94122">
            <w:pPr>
              <w:jc w:val="center"/>
              <w:rPr>
                <w:sz w:val="22"/>
                <w:szCs w:val="22"/>
              </w:rPr>
            </w:pPr>
            <w:r w:rsidRPr="008669C3">
              <w:rPr>
                <w:sz w:val="22"/>
                <w:szCs w:val="22"/>
              </w:rPr>
              <w:t>(0.363)</w:t>
            </w:r>
          </w:p>
        </w:tc>
      </w:tr>
      <w:tr w:rsidR="00A94122" w:rsidRPr="008669C3" w14:paraId="4EAE634F"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62C9C48B" w14:textId="77777777" w:rsidR="00A94122" w:rsidRPr="008669C3" w:rsidRDefault="00A94122" w:rsidP="00A94122">
            <w:pPr>
              <w:rPr>
                <w:iCs/>
                <w:sz w:val="22"/>
                <w:szCs w:val="22"/>
              </w:rPr>
            </w:pPr>
            <w:r w:rsidRPr="008669C3">
              <w:rPr>
                <w:iCs/>
                <w:sz w:val="22"/>
                <w:szCs w:val="22"/>
              </w:rPr>
              <w:t>E index</w:t>
            </w:r>
          </w:p>
        </w:tc>
        <w:tc>
          <w:tcPr>
            <w:tcW w:w="1458" w:type="pct"/>
            <w:tcBorders>
              <w:top w:val="nil"/>
              <w:left w:val="nil"/>
              <w:bottom w:val="nil"/>
              <w:right w:val="nil"/>
            </w:tcBorders>
            <w:shd w:val="clear" w:color="auto" w:fill="auto"/>
            <w:noWrap/>
            <w:vAlign w:val="bottom"/>
            <w:hideMark/>
          </w:tcPr>
          <w:p w14:paraId="7185F1EB" w14:textId="6C1033CB" w:rsidR="00A94122" w:rsidRPr="008669C3" w:rsidRDefault="00A94122" w:rsidP="00A94122">
            <w:pPr>
              <w:jc w:val="center"/>
              <w:rPr>
                <w:sz w:val="22"/>
                <w:szCs w:val="22"/>
              </w:rPr>
            </w:pPr>
            <w:r w:rsidRPr="008669C3">
              <w:rPr>
                <w:sz w:val="22"/>
                <w:szCs w:val="22"/>
              </w:rPr>
              <w:t>-0.003</w:t>
            </w:r>
          </w:p>
        </w:tc>
        <w:tc>
          <w:tcPr>
            <w:tcW w:w="1325" w:type="pct"/>
            <w:tcBorders>
              <w:top w:val="nil"/>
              <w:left w:val="nil"/>
              <w:bottom w:val="nil"/>
              <w:right w:val="nil"/>
            </w:tcBorders>
            <w:shd w:val="clear" w:color="auto" w:fill="auto"/>
            <w:noWrap/>
            <w:vAlign w:val="bottom"/>
            <w:hideMark/>
          </w:tcPr>
          <w:p w14:paraId="3A9EB404" w14:textId="43AEAEB0" w:rsidR="00A94122" w:rsidRPr="008669C3" w:rsidRDefault="00A94122" w:rsidP="00A94122">
            <w:pPr>
              <w:jc w:val="center"/>
              <w:rPr>
                <w:sz w:val="22"/>
                <w:szCs w:val="22"/>
              </w:rPr>
            </w:pPr>
            <w:r w:rsidRPr="008669C3">
              <w:rPr>
                <w:sz w:val="22"/>
                <w:szCs w:val="22"/>
              </w:rPr>
              <w:t>-0.026</w:t>
            </w:r>
          </w:p>
        </w:tc>
      </w:tr>
      <w:tr w:rsidR="00A94122" w:rsidRPr="008669C3" w14:paraId="6240D0AC" w14:textId="77777777" w:rsidTr="004937A1">
        <w:trPr>
          <w:trHeight w:val="20"/>
          <w:jc w:val="center"/>
        </w:trPr>
        <w:tc>
          <w:tcPr>
            <w:tcW w:w="2217" w:type="pct"/>
            <w:tcBorders>
              <w:top w:val="nil"/>
              <w:left w:val="nil"/>
              <w:bottom w:val="single" w:sz="4" w:space="0" w:color="auto"/>
              <w:right w:val="nil"/>
            </w:tcBorders>
            <w:shd w:val="clear" w:color="auto" w:fill="auto"/>
            <w:noWrap/>
            <w:vAlign w:val="bottom"/>
            <w:hideMark/>
          </w:tcPr>
          <w:p w14:paraId="1324A571" w14:textId="77777777" w:rsidR="00A94122" w:rsidRPr="008669C3" w:rsidRDefault="00A94122" w:rsidP="00A94122">
            <w:pPr>
              <w:rPr>
                <w:sz w:val="22"/>
                <w:szCs w:val="22"/>
              </w:rPr>
            </w:pPr>
            <w:r w:rsidRPr="008669C3">
              <w:rPr>
                <w:sz w:val="22"/>
                <w:szCs w:val="22"/>
              </w:rPr>
              <w:t> </w:t>
            </w:r>
          </w:p>
        </w:tc>
        <w:tc>
          <w:tcPr>
            <w:tcW w:w="1458" w:type="pct"/>
            <w:tcBorders>
              <w:top w:val="nil"/>
              <w:left w:val="nil"/>
              <w:bottom w:val="single" w:sz="4" w:space="0" w:color="auto"/>
              <w:right w:val="nil"/>
            </w:tcBorders>
            <w:shd w:val="clear" w:color="auto" w:fill="auto"/>
            <w:noWrap/>
            <w:vAlign w:val="bottom"/>
            <w:hideMark/>
          </w:tcPr>
          <w:p w14:paraId="7FEBAE6C" w14:textId="367D227A" w:rsidR="00A94122" w:rsidRPr="008669C3" w:rsidRDefault="00A94122" w:rsidP="00A94122">
            <w:pPr>
              <w:jc w:val="center"/>
              <w:rPr>
                <w:sz w:val="22"/>
                <w:szCs w:val="22"/>
              </w:rPr>
            </w:pPr>
            <w:r w:rsidRPr="008669C3">
              <w:rPr>
                <w:sz w:val="22"/>
                <w:szCs w:val="22"/>
              </w:rPr>
              <w:t>(0.007)</w:t>
            </w:r>
          </w:p>
        </w:tc>
        <w:tc>
          <w:tcPr>
            <w:tcW w:w="1325" w:type="pct"/>
            <w:tcBorders>
              <w:top w:val="nil"/>
              <w:left w:val="nil"/>
              <w:bottom w:val="single" w:sz="4" w:space="0" w:color="auto"/>
              <w:right w:val="nil"/>
            </w:tcBorders>
            <w:shd w:val="clear" w:color="auto" w:fill="auto"/>
            <w:noWrap/>
            <w:vAlign w:val="bottom"/>
            <w:hideMark/>
          </w:tcPr>
          <w:p w14:paraId="0F8F654A" w14:textId="1A300071" w:rsidR="00A94122" w:rsidRPr="008669C3" w:rsidRDefault="00A94122" w:rsidP="00A94122">
            <w:pPr>
              <w:jc w:val="center"/>
              <w:rPr>
                <w:sz w:val="22"/>
                <w:szCs w:val="22"/>
              </w:rPr>
            </w:pPr>
            <w:r w:rsidRPr="008669C3">
              <w:rPr>
                <w:sz w:val="22"/>
                <w:szCs w:val="22"/>
              </w:rPr>
              <w:t>(0.044)</w:t>
            </w:r>
          </w:p>
        </w:tc>
      </w:tr>
      <w:tr w:rsidR="00A94122" w:rsidRPr="008669C3" w14:paraId="313D0079" w14:textId="77777777" w:rsidTr="004937A1">
        <w:trPr>
          <w:trHeight w:val="20"/>
          <w:jc w:val="center"/>
        </w:trPr>
        <w:tc>
          <w:tcPr>
            <w:tcW w:w="2217" w:type="pct"/>
            <w:tcBorders>
              <w:top w:val="nil"/>
              <w:left w:val="nil"/>
              <w:bottom w:val="nil"/>
              <w:right w:val="nil"/>
            </w:tcBorders>
            <w:shd w:val="clear" w:color="auto" w:fill="auto"/>
            <w:noWrap/>
            <w:vAlign w:val="bottom"/>
          </w:tcPr>
          <w:p w14:paraId="3188E767" w14:textId="0100543F" w:rsidR="00A94122" w:rsidRPr="008669C3" w:rsidRDefault="00A94122" w:rsidP="00A94122">
            <w:pPr>
              <w:rPr>
                <w:sz w:val="22"/>
                <w:szCs w:val="22"/>
              </w:rPr>
            </w:pPr>
            <w:r w:rsidRPr="008669C3">
              <w:rPr>
                <w:sz w:val="22"/>
                <w:szCs w:val="22"/>
              </w:rPr>
              <w:t>CEO-Firm FE</w:t>
            </w:r>
          </w:p>
        </w:tc>
        <w:tc>
          <w:tcPr>
            <w:tcW w:w="1458" w:type="pct"/>
            <w:tcBorders>
              <w:top w:val="nil"/>
              <w:left w:val="nil"/>
              <w:bottom w:val="nil"/>
              <w:right w:val="nil"/>
            </w:tcBorders>
            <w:shd w:val="clear" w:color="auto" w:fill="auto"/>
            <w:noWrap/>
            <w:vAlign w:val="bottom"/>
          </w:tcPr>
          <w:p w14:paraId="6C221802" w14:textId="0D304876" w:rsidR="00A94122" w:rsidRPr="008669C3" w:rsidRDefault="00A94122" w:rsidP="00A94122">
            <w:pPr>
              <w:jc w:val="center"/>
              <w:rPr>
                <w:sz w:val="22"/>
                <w:szCs w:val="22"/>
              </w:rPr>
            </w:pPr>
            <w:r w:rsidRPr="008669C3">
              <w:rPr>
                <w:sz w:val="22"/>
                <w:szCs w:val="22"/>
              </w:rPr>
              <w:t>Yes</w:t>
            </w:r>
          </w:p>
        </w:tc>
        <w:tc>
          <w:tcPr>
            <w:tcW w:w="1325" w:type="pct"/>
            <w:tcBorders>
              <w:top w:val="nil"/>
              <w:left w:val="nil"/>
              <w:bottom w:val="nil"/>
              <w:right w:val="nil"/>
            </w:tcBorders>
            <w:shd w:val="clear" w:color="auto" w:fill="auto"/>
            <w:noWrap/>
            <w:vAlign w:val="bottom"/>
          </w:tcPr>
          <w:p w14:paraId="72FFEA67" w14:textId="4D5AB8DA" w:rsidR="00A94122" w:rsidRPr="008669C3" w:rsidRDefault="00A94122" w:rsidP="00A94122">
            <w:pPr>
              <w:jc w:val="center"/>
              <w:rPr>
                <w:sz w:val="22"/>
                <w:szCs w:val="22"/>
              </w:rPr>
            </w:pPr>
            <w:r w:rsidRPr="008669C3">
              <w:rPr>
                <w:sz w:val="22"/>
                <w:szCs w:val="22"/>
              </w:rPr>
              <w:t>Yes</w:t>
            </w:r>
          </w:p>
        </w:tc>
      </w:tr>
      <w:tr w:rsidR="00A94122" w:rsidRPr="008669C3" w14:paraId="40B286EB" w14:textId="77777777" w:rsidTr="004937A1">
        <w:trPr>
          <w:trHeight w:val="20"/>
          <w:jc w:val="center"/>
        </w:trPr>
        <w:tc>
          <w:tcPr>
            <w:tcW w:w="2217" w:type="pct"/>
            <w:tcBorders>
              <w:top w:val="nil"/>
              <w:left w:val="nil"/>
              <w:bottom w:val="nil"/>
              <w:right w:val="nil"/>
            </w:tcBorders>
            <w:shd w:val="clear" w:color="auto" w:fill="auto"/>
            <w:noWrap/>
            <w:vAlign w:val="bottom"/>
          </w:tcPr>
          <w:p w14:paraId="0C47F009" w14:textId="77777777" w:rsidR="00A94122" w:rsidRPr="008669C3" w:rsidRDefault="00A94122" w:rsidP="00A94122">
            <w:pPr>
              <w:rPr>
                <w:sz w:val="22"/>
                <w:szCs w:val="22"/>
              </w:rPr>
            </w:pPr>
            <w:r w:rsidRPr="008669C3">
              <w:rPr>
                <w:sz w:val="22"/>
                <w:szCs w:val="22"/>
              </w:rPr>
              <w:t>Industry-Year FE</w:t>
            </w:r>
          </w:p>
        </w:tc>
        <w:tc>
          <w:tcPr>
            <w:tcW w:w="1458" w:type="pct"/>
            <w:tcBorders>
              <w:top w:val="nil"/>
              <w:left w:val="nil"/>
              <w:bottom w:val="nil"/>
              <w:right w:val="nil"/>
            </w:tcBorders>
            <w:shd w:val="clear" w:color="auto" w:fill="auto"/>
            <w:noWrap/>
            <w:vAlign w:val="bottom"/>
          </w:tcPr>
          <w:p w14:paraId="3ED04716" w14:textId="70B23124" w:rsidR="00A94122" w:rsidRPr="008669C3" w:rsidRDefault="00A94122" w:rsidP="00A94122">
            <w:pPr>
              <w:jc w:val="center"/>
              <w:rPr>
                <w:sz w:val="22"/>
                <w:szCs w:val="22"/>
              </w:rPr>
            </w:pPr>
            <w:r w:rsidRPr="008669C3">
              <w:rPr>
                <w:sz w:val="22"/>
                <w:szCs w:val="22"/>
              </w:rPr>
              <w:t>Yes</w:t>
            </w:r>
          </w:p>
        </w:tc>
        <w:tc>
          <w:tcPr>
            <w:tcW w:w="1325" w:type="pct"/>
            <w:tcBorders>
              <w:top w:val="nil"/>
              <w:left w:val="nil"/>
              <w:bottom w:val="nil"/>
              <w:right w:val="nil"/>
            </w:tcBorders>
            <w:shd w:val="clear" w:color="auto" w:fill="auto"/>
            <w:noWrap/>
            <w:vAlign w:val="bottom"/>
          </w:tcPr>
          <w:p w14:paraId="5743EB36" w14:textId="3B174C0E" w:rsidR="00A94122" w:rsidRPr="008669C3" w:rsidRDefault="00A94122" w:rsidP="00A94122">
            <w:pPr>
              <w:jc w:val="center"/>
              <w:rPr>
                <w:sz w:val="22"/>
                <w:szCs w:val="22"/>
              </w:rPr>
            </w:pPr>
            <w:r w:rsidRPr="008669C3">
              <w:rPr>
                <w:sz w:val="22"/>
                <w:szCs w:val="22"/>
              </w:rPr>
              <w:t>Yes</w:t>
            </w:r>
          </w:p>
        </w:tc>
      </w:tr>
      <w:tr w:rsidR="00A94122" w:rsidRPr="008669C3" w14:paraId="054F8E58"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1BEEBC37" w14:textId="77777777" w:rsidR="00A94122" w:rsidRPr="008669C3" w:rsidRDefault="00A94122" w:rsidP="00A94122">
            <w:pPr>
              <w:rPr>
                <w:sz w:val="22"/>
                <w:szCs w:val="22"/>
              </w:rPr>
            </w:pPr>
            <w:r w:rsidRPr="008669C3">
              <w:rPr>
                <w:sz w:val="22"/>
                <w:szCs w:val="22"/>
              </w:rPr>
              <w:t>N</w:t>
            </w:r>
          </w:p>
        </w:tc>
        <w:tc>
          <w:tcPr>
            <w:tcW w:w="1458" w:type="pct"/>
            <w:tcBorders>
              <w:top w:val="nil"/>
              <w:left w:val="nil"/>
              <w:bottom w:val="nil"/>
              <w:right w:val="nil"/>
            </w:tcBorders>
            <w:shd w:val="clear" w:color="auto" w:fill="auto"/>
            <w:noWrap/>
            <w:vAlign w:val="bottom"/>
            <w:hideMark/>
          </w:tcPr>
          <w:p w14:paraId="30B75177" w14:textId="3064DFB9" w:rsidR="00A94122" w:rsidRPr="008669C3" w:rsidRDefault="00890C53" w:rsidP="00A94122">
            <w:pPr>
              <w:jc w:val="center"/>
              <w:rPr>
                <w:sz w:val="22"/>
                <w:szCs w:val="22"/>
              </w:rPr>
            </w:pPr>
            <w:r>
              <w:rPr>
                <w:sz w:val="22"/>
                <w:szCs w:val="22"/>
              </w:rPr>
              <w:t>3</w:t>
            </w:r>
            <w:r w:rsidR="00A94122" w:rsidRPr="008669C3">
              <w:rPr>
                <w:sz w:val="22"/>
                <w:szCs w:val="22"/>
              </w:rPr>
              <w:t>765</w:t>
            </w:r>
          </w:p>
        </w:tc>
        <w:tc>
          <w:tcPr>
            <w:tcW w:w="1325" w:type="pct"/>
            <w:tcBorders>
              <w:top w:val="nil"/>
              <w:left w:val="nil"/>
              <w:bottom w:val="nil"/>
              <w:right w:val="nil"/>
            </w:tcBorders>
            <w:shd w:val="clear" w:color="auto" w:fill="auto"/>
            <w:noWrap/>
            <w:vAlign w:val="bottom"/>
            <w:hideMark/>
          </w:tcPr>
          <w:p w14:paraId="03BD00A6" w14:textId="575D1D11" w:rsidR="00A94122" w:rsidRPr="008669C3" w:rsidRDefault="00890C53" w:rsidP="00A94122">
            <w:pPr>
              <w:jc w:val="center"/>
              <w:rPr>
                <w:sz w:val="22"/>
                <w:szCs w:val="22"/>
              </w:rPr>
            </w:pPr>
            <w:r>
              <w:rPr>
                <w:sz w:val="22"/>
                <w:szCs w:val="22"/>
              </w:rPr>
              <w:t>3</w:t>
            </w:r>
            <w:r w:rsidR="00A94122" w:rsidRPr="008669C3">
              <w:rPr>
                <w:sz w:val="22"/>
                <w:szCs w:val="22"/>
              </w:rPr>
              <w:t>765</w:t>
            </w:r>
          </w:p>
        </w:tc>
      </w:tr>
      <w:tr w:rsidR="00A94122" w:rsidRPr="008669C3" w14:paraId="2CE255D5" w14:textId="77777777" w:rsidTr="004937A1">
        <w:trPr>
          <w:trHeight w:val="20"/>
          <w:jc w:val="center"/>
        </w:trPr>
        <w:tc>
          <w:tcPr>
            <w:tcW w:w="2217" w:type="pct"/>
            <w:tcBorders>
              <w:top w:val="nil"/>
              <w:left w:val="nil"/>
              <w:bottom w:val="nil"/>
              <w:right w:val="nil"/>
            </w:tcBorders>
            <w:shd w:val="clear" w:color="auto" w:fill="auto"/>
            <w:noWrap/>
            <w:vAlign w:val="bottom"/>
            <w:hideMark/>
          </w:tcPr>
          <w:p w14:paraId="581481E9" w14:textId="77777777" w:rsidR="00A94122" w:rsidRPr="008669C3" w:rsidRDefault="00A94122" w:rsidP="00A94122">
            <w:pPr>
              <w:rPr>
                <w:sz w:val="22"/>
                <w:szCs w:val="22"/>
              </w:rPr>
            </w:pPr>
            <w:r w:rsidRPr="008669C3">
              <w:rPr>
                <w:sz w:val="22"/>
                <w:szCs w:val="22"/>
              </w:rPr>
              <w:t>F-statistics (</w:t>
            </w:r>
            <w:r w:rsidRPr="008669C3">
              <w:rPr>
                <w:i/>
                <w:sz w:val="22"/>
                <w:szCs w:val="22"/>
              </w:rPr>
              <w:t>z1</w:t>
            </w:r>
            <w:r w:rsidRPr="008669C3">
              <w:rPr>
                <w:sz w:val="22"/>
                <w:szCs w:val="22"/>
              </w:rPr>
              <w:t>=</w:t>
            </w:r>
            <w:r w:rsidRPr="008669C3">
              <w:rPr>
                <w:i/>
                <w:sz w:val="22"/>
                <w:szCs w:val="22"/>
              </w:rPr>
              <w:t>z2</w:t>
            </w:r>
            <w:r w:rsidRPr="008669C3">
              <w:rPr>
                <w:sz w:val="22"/>
                <w:szCs w:val="22"/>
              </w:rPr>
              <w:t>=</w:t>
            </w:r>
            <w:r w:rsidRPr="008669C3">
              <w:rPr>
                <w:i/>
                <w:sz w:val="22"/>
                <w:szCs w:val="22"/>
              </w:rPr>
              <w:t>z3</w:t>
            </w:r>
            <w:r w:rsidRPr="008669C3">
              <w:rPr>
                <w:sz w:val="22"/>
                <w:szCs w:val="22"/>
              </w:rPr>
              <w:t>=0)</w:t>
            </w:r>
          </w:p>
        </w:tc>
        <w:tc>
          <w:tcPr>
            <w:tcW w:w="1458" w:type="pct"/>
            <w:tcBorders>
              <w:top w:val="nil"/>
              <w:left w:val="nil"/>
              <w:bottom w:val="nil"/>
              <w:right w:val="nil"/>
            </w:tcBorders>
            <w:shd w:val="clear" w:color="auto" w:fill="auto"/>
            <w:noWrap/>
            <w:vAlign w:val="bottom"/>
            <w:hideMark/>
          </w:tcPr>
          <w:p w14:paraId="25C8AD79" w14:textId="2CFEFE52" w:rsidR="00A94122" w:rsidRPr="008669C3" w:rsidRDefault="00A94122" w:rsidP="00A94122">
            <w:pPr>
              <w:jc w:val="center"/>
              <w:rPr>
                <w:sz w:val="22"/>
                <w:szCs w:val="22"/>
              </w:rPr>
            </w:pPr>
            <w:r w:rsidRPr="008669C3">
              <w:rPr>
                <w:sz w:val="22"/>
                <w:szCs w:val="22"/>
              </w:rPr>
              <w:t>8.890</w:t>
            </w:r>
            <w:r w:rsidRPr="008669C3">
              <w:rPr>
                <w:sz w:val="20"/>
                <w:szCs w:val="22"/>
              </w:rPr>
              <w:t>***</w:t>
            </w:r>
          </w:p>
        </w:tc>
        <w:tc>
          <w:tcPr>
            <w:tcW w:w="1325" w:type="pct"/>
            <w:tcBorders>
              <w:top w:val="nil"/>
              <w:left w:val="nil"/>
              <w:bottom w:val="nil"/>
              <w:right w:val="nil"/>
            </w:tcBorders>
            <w:shd w:val="clear" w:color="auto" w:fill="auto"/>
            <w:noWrap/>
            <w:vAlign w:val="bottom"/>
            <w:hideMark/>
          </w:tcPr>
          <w:p w14:paraId="1EB3CF07" w14:textId="77777777" w:rsidR="00A94122" w:rsidRPr="008669C3" w:rsidRDefault="00A94122" w:rsidP="00A94122">
            <w:pPr>
              <w:jc w:val="center"/>
              <w:rPr>
                <w:sz w:val="22"/>
                <w:szCs w:val="22"/>
              </w:rPr>
            </w:pPr>
            <w:r w:rsidRPr="008669C3">
              <w:rPr>
                <w:iCs/>
                <w:sz w:val="22"/>
                <w:szCs w:val="22"/>
              </w:rPr>
              <w:t>—</w:t>
            </w:r>
          </w:p>
        </w:tc>
      </w:tr>
      <w:tr w:rsidR="00A94122" w:rsidRPr="008669C3" w14:paraId="4EAE71A7" w14:textId="77777777" w:rsidTr="004937A1">
        <w:trPr>
          <w:trHeight w:val="20"/>
          <w:jc w:val="center"/>
        </w:trPr>
        <w:tc>
          <w:tcPr>
            <w:tcW w:w="2217" w:type="pct"/>
            <w:tcBorders>
              <w:top w:val="nil"/>
              <w:left w:val="nil"/>
              <w:bottom w:val="single" w:sz="4" w:space="0" w:color="auto"/>
              <w:right w:val="nil"/>
            </w:tcBorders>
            <w:shd w:val="clear" w:color="auto" w:fill="auto"/>
            <w:noWrap/>
            <w:vAlign w:val="bottom"/>
            <w:hideMark/>
          </w:tcPr>
          <w:p w14:paraId="0203A612" w14:textId="77777777" w:rsidR="00A94122" w:rsidRPr="008669C3" w:rsidRDefault="00A94122" w:rsidP="00A94122">
            <w:pPr>
              <w:rPr>
                <w:sz w:val="22"/>
                <w:szCs w:val="22"/>
              </w:rPr>
            </w:pPr>
            <w:r w:rsidRPr="008669C3">
              <w:rPr>
                <w:sz w:val="22"/>
                <w:szCs w:val="22"/>
              </w:rPr>
              <w:t xml:space="preserve">Hansen’s </w:t>
            </w:r>
            <w:r w:rsidRPr="008669C3">
              <w:rPr>
                <w:i/>
                <w:sz w:val="22"/>
                <w:szCs w:val="22"/>
              </w:rPr>
              <w:t>J</w:t>
            </w:r>
            <w:r w:rsidRPr="008669C3">
              <w:rPr>
                <w:sz w:val="22"/>
                <w:szCs w:val="22"/>
              </w:rPr>
              <w:t xml:space="preserve"> test </w:t>
            </w:r>
            <w:r w:rsidRPr="008669C3">
              <w:rPr>
                <w:i/>
                <w:sz w:val="22"/>
                <w:szCs w:val="22"/>
              </w:rPr>
              <w:t>p</w:t>
            </w:r>
            <w:r w:rsidRPr="008669C3">
              <w:rPr>
                <w:sz w:val="22"/>
                <w:szCs w:val="22"/>
              </w:rPr>
              <w:t>-value</w:t>
            </w:r>
          </w:p>
        </w:tc>
        <w:tc>
          <w:tcPr>
            <w:tcW w:w="1458" w:type="pct"/>
            <w:tcBorders>
              <w:top w:val="nil"/>
              <w:left w:val="nil"/>
              <w:bottom w:val="single" w:sz="4" w:space="0" w:color="auto"/>
              <w:right w:val="nil"/>
            </w:tcBorders>
            <w:shd w:val="clear" w:color="auto" w:fill="auto"/>
            <w:noWrap/>
            <w:vAlign w:val="bottom"/>
            <w:hideMark/>
          </w:tcPr>
          <w:p w14:paraId="6106C446" w14:textId="77777777" w:rsidR="00A94122" w:rsidRPr="008669C3" w:rsidRDefault="00A94122" w:rsidP="00A94122">
            <w:pPr>
              <w:jc w:val="center"/>
              <w:rPr>
                <w:sz w:val="22"/>
                <w:szCs w:val="22"/>
              </w:rPr>
            </w:pPr>
            <w:r w:rsidRPr="008669C3">
              <w:rPr>
                <w:iCs/>
                <w:sz w:val="22"/>
                <w:szCs w:val="22"/>
              </w:rPr>
              <w:t>—</w:t>
            </w:r>
          </w:p>
        </w:tc>
        <w:tc>
          <w:tcPr>
            <w:tcW w:w="1325" w:type="pct"/>
            <w:tcBorders>
              <w:top w:val="nil"/>
              <w:left w:val="nil"/>
              <w:bottom w:val="single" w:sz="4" w:space="0" w:color="auto"/>
              <w:right w:val="nil"/>
            </w:tcBorders>
            <w:shd w:val="clear" w:color="auto" w:fill="auto"/>
            <w:noWrap/>
            <w:vAlign w:val="bottom"/>
            <w:hideMark/>
          </w:tcPr>
          <w:p w14:paraId="5BA49310" w14:textId="1462C5F5" w:rsidR="00A94122" w:rsidRPr="008669C3" w:rsidRDefault="00A94122" w:rsidP="00A94122">
            <w:pPr>
              <w:jc w:val="center"/>
              <w:rPr>
                <w:sz w:val="22"/>
                <w:szCs w:val="22"/>
              </w:rPr>
            </w:pPr>
            <w:r w:rsidRPr="008669C3">
              <w:rPr>
                <w:sz w:val="22"/>
                <w:szCs w:val="22"/>
              </w:rPr>
              <w:t>0.896</w:t>
            </w:r>
          </w:p>
        </w:tc>
      </w:tr>
    </w:tbl>
    <w:p w14:paraId="154B0470" w14:textId="77777777" w:rsidR="001900E3" w:rsidRPr="008669C3" w:rsidRDefault="001900E3" w:rsidP="001900E3">
      <w:pPr>
        <w:jc w:val="both"/>
        <w:rPr>
          <w:color w:val="FF0000"/>
          <w:szCs w:val="20"/>
        </w:rPr>
      </w:pPr>
    </w:p>
    <w:p w14:paraId="79F5FE52" w14:textId="77777777" w:rsidR="001900E3" w:rsidRPr="008669C3" w:rsidRDefault="001900E3" w:rsidP="001900E3">
      <w:pPr>
        <w:jc w:val="both"/>
        <w:rPr>
          <w:color w:val="FF0000"/>
        </w:rPr>
      </w:pPr>
    </w:p>
    <w:p w14:paraId="6D2A947C" w14:textId="77777777" w:rsidR="001900E3" w:rsidRPr="008669C3" w:rsidRDefault="001900E3" w:rsidP="001900E3">
      <w:pPr>
        <w:jc w:val="both"/>
        <w:rPr>
          <w:color w:val="FF0000"/>
        </w:rPr>
      </w:pPr>
    </w:p>
    <w:p w14:paraId="158F4D43" w14:textId="77777777" w:rsidR="001900E3" w:rsidRPr="008669C3" w:rsidRDefault="001900E3" w:rsidP="001900E3">
      <w:pPr>
        <w:jc w:val="both"/>
        <w:rPr>
          <w:color w:val="FF0000"/>
        </w:rPr>
      </w:pPr>
    </w:p>
    <w:p w14:paraId="3593D2B1" w14:textId="77777777" w:rsidR="001900E3" w:rsidRPr="008669C3" w:rsidRDefault="001900E3" w:rsidP="001900E3">
      <w:pPr>
        <w:jc w:val="both"/>
        <w:rPr>
          <w:color w:val="FF0000"/>
        </w:rPr>
      </w:pPr>
    </w:p>
    <w:p w14:paraId="0306917E" w14:textId="77777777" w:rsidR="001900E3" w:rsidRPr="008669C3" w:rsidRDefault="001900E3" w:rsidP="001900E3">
      <w:pPr>
        <w:jc w:val="both"/>
        <w:rPr>
          <w:color w:val="FF0000"/>
        </w:rPr>
      </w:pPr>
    </w:p>
    <w:p w14:paraId="2E08434D" w14:textId="77777777" w:rsidR="001900E3" w:rsidRPr="008669C3" w:rsidRDefault="001900E3" w:rsidP="001900E3">
      <w:pPr>
        <w:jc w:val="both"/>
        <w:rPr>
          <w:color w:val="FF0000"/>
        </w:rPr>
      </w:pPr>
    </w:p>
    <w:p w14:paraId="0E0AA11E" w14:textId="77777777" w:rsidR="001900E3" w:rsidRPr="008669C3" w:rsidRDefault="001900E3" w:rsidP="001900E3">
      <w:pPr>
        <w:jc w:val="both"/>
        <w:rPr>
          <w:color w:val="FF0000"/>
        </w:rPr>
      </w:pPr>
    </w:p>
    <w:p w14:paraId="48D3B299" w14:textId="77777777" w:rsidR="001900E3" w:rsidRPr="008669C3" w:rsidRDefault="001900E3" w:rsidP="001900E3">
      <w:pPr>
        <w:jc w:val="both"/>
        <w:rPr>
          <w:color w:val="FF0000"/>
        </w:rPr>
      </w:pPr>
    </w:p>
    <w:p w14:paraId="7C7761FC" w14:textId="77777777" w:rsidR="001900E3" w:rsidRPr="008669C3" w:rsidRDefault="001900E3" w:rsidP="001900E3">
      <w:pPr>
        <w:jc w:val="both"/>
        <w:rPr>
          <w:color w:val="FF0000"/>
        </w:rPr>
      </w:pPr>
    </w:p>
    <w:p w14:paraId="0AF6E88D" w14:textId="77777777" w:rsidR="001900E3" w:rsidRPr="008669C3" w:rsidRDefault="001900E3" w:rsidP="001900E3">
      <w:pPr>
        <w:jc w:val="both"/>
        <w:rPr>
          <w:color w:val="FF0000"/>
        </w:rPr>
      </w:pPr>
    </w:p>
    <w:p w14:paraId="3D442132" w14:textId="77777777" w:rsidR="001900E3" w:rsidRPr="008669C3" w:rsidRDefault="001900E3" w:rsidP="001900E3">
      <w:pPr>
        <w:jc w:val="both"/>
        <w:rPr>
          <w:color w:val="FF0000"/>
        </w:rPr>
      </w:pPr>
    </w:p>
    <w:p w14:paraId="79BA48F0" w14:textId="77777777" w:rsidR="001900E3" w:rsidRPr="008669C3" w:rsidRDefault="001900E3" w:rsidP="001900E3">
      <w:pPr>
        <w:jc w:val="both"/>
        <w:rPr>
          <w:color w:val="FF0000"/>
        </w:rPr>
      </w:pPr>
    </w:p>
    <w:p w14:paraId="1E330637" w14:textId="77777777" w:rsidR="00A94122" w:rsidRPr="008669C3" w:rsidRDefault="00A94122" w:rsidP="001900E3">
      <w:pPr>
        <w:jc w:val="both"/>
        <w:rPr>
          <w:color w:val="FF0000"/>
        </w:rPr>
      </w:pPr>
    </w:p>
    <w:p w14:paraId="268231D1" w14:textId="77777777" w:rsidR="00A94122" w:rsidRPr="008669C3" w:rsidRDefault="00A94122" w:rsidP="001900E3">
      <w:pPr>
        <w:jc w:val="both"/>
        <w:rPr>
          <w:color w:val="FF0000"/>
        </w:rPr>
      </w:pPr>
    </w:p>
    <w:p w14:paraId="6BBDDD7D" w14:textId="77777777" w:rsidR="00A94122" w:rsidRPr="008669C3" w:rsidRDefault="00A94122" w:rsidP="001900E3">
      <w:pPr>
        <w:jc w:val="both"/>
        <w:rPr>
          <w:color w:val="FF0000"/>
        </w:rPr>
      </w:pPr>
    </w:p>
    <w:p w14:paraId="6DE6F7F2" w14:textId="77777777" w:rsidR="00A94122" w:rsidRPr="008669C3" w:rsidRDefault="00A94122" w:rsidP="001900E3">
      <w:pPr>
        <w:jc w:val="both"/>
        <w:rPr>
          <w:color w:val="FF0000"/>
        </w:rPr>
      </w:pPr>
    </w:p>
    <w:p w14:paraId="50C302B6" w14:textId="77777777" w:rsidR="00A94122" w:rsidRPr="008669C3" w:rsidRDefault="00A94122" w:rsidP="001900E3">
      <w:pPr>
        <w:jc w:val="both"/>
        <w:rPr>
          <w:color w:val="FF0000"/>
        </w:rPr>
      </w:pPr>
    </w:p>
    <w:p w14:paraId="4D069C7F" w14:textId="77777777" w:rsidR="00A94122" w:rsidRPr="008669C3" w:rsidRDefault="00A94122" w:rsidP="001900E3">
      <w:pPr>
        <w:jc w:val="both"/>
        <w:rPr>
          <w:color w:val="FF0000"/>
        </w:rPr>
      </w:pPr>
    </w:p>
    <w:p w14:paraId="11AE897C" w14:textId="77777777" w:rsidR="00A94122" w:rsidRPr="008669C3" w:rsidRDefault="00A94122" w:rsidP="001900E3">
      <w:pPr>
        <w:jc w:val="both"/>
        <w:rPr>
          <w:color w:val="FF0000"/>
        </w:rPr>
      </w:pPr>
    </w:p>
    <w:p w14:paraId="6FDD0940" w14:textId="77777777" w:rsidR="00A94122" w:rsidRPr="008669C3" w:rsidRDefault="00A94122" w:rsidP="001900E3">
      <w:pPr>
        <w:jc w:val="both"/>
        <w:rPr>
          <w:color w:val="FF0000"/>
        </w:rPr>
      </w:pPr>
    </w:p>
    <w:p w14:paraId="0DB8C6BA" w14:textId="77777777" w:rsidR="00A94122" w:rsidRPr="008669C3" w:rsidRDefault="00A94122" w:rsidP="001900E3">
      <w:pPr>
        <w:jc w:val="both"/>
        <w:rPr>
          <w:color w:val="FF0000"/>
        </w:rPr>
      </w:pPr>
    </w:p>
    <w:p w14:paraId="04AC8565" w14:textId="77777777" w:rsidR="00A94122" w:rsidRPr="008669C3" w:rsidRDefault="00A94122" w:rsidP="001900E3">
      <w:pPr>
        <w:jc w:val="both"/>
        <w:rPr>
          <w:color w:val="FF0000"/>
        </w:rPr>
      </w:pPr>
    </w:p>
    <w:p w14:paraId="69863387" w14:textId="77777777" w:rsidR="00A94122" w:rsidRPr="008669C3" w:rsidRDefault="00A94122" w:rsidP="001900E3">
      <w:pPr>
        <w:jc w:val="both"/>
        <w:rPr>
          <w:color w:val="FF0000"/>
        </w:rPr>
      </w:pPr>
    </w:p>
    <w:p w14:paraId="10596F57" w14:textId="77777777" w:rsidR="001900E3" w:rsidRPr="008669C3" w:rsidRDefault="001900E3" w:rsidP="001900E3">
      <w:pPr>
        <w:jc w:val="both"/>
        <w:rPr>
          <w:color w:val="FF0000"/>
        </w:rPr>
      </w:pPr>
    </w:p>
    <w:p w14:paraId="6056D85E" w14:textId="77777777" w:rsidR="002E5072" w:rsidRPr="008669C3" w:rsidRDefault="002E5072" w:rsidP="001900E3">
      <w:pPr>
        <w:jc w:val="center"/>
        <w:rPr>
          <w:b/>
          <w:color w:val="FF0000"/>
        </w:rPr>
        <w:sectPr w:rsidR="002E5072" w:rsidRPr="008669C3">
          <w:pgSz w:w="12240" w:h="15840"/>
          <w:pgMar w:top="1440" w:right="1440" w:bottom="1440" w:left="1440" w:header="708" w:footer="708" w:gutter="0"/>
          <w:cols w:space="708"/>
          <w:docGrid w:linePitch="360"/>
        </w:sectPr>
      </w:pPr>
    </w:p>
    <w:p w14:paraId="52111BEB" w14:textId="19334E7D" w:rsidR="001900E3" w:rsidRPr="008669C3" w:rsidRDefault="001900E3" w:rsidP="001900E3">
      <w:pPr>
        <w:jc w:val="center"/>
        <w:rPr>
          <w:b/>
        </w:rPr>
      </w:pPr>
      <w:r w:rsidRPr="008669C3">
        <w:rPr>
          <w:b/>
        </w:rPr>
        <w:lastRenderedPageBreak/>
        <w:t>Table 6</w:t>
      </w:r>
    </w:p>
    <w:p w14:paraId="7568F2DD" w14:textId="77777777" w:rsidR="001900E3" w:rsidRPr="008669C3" w:rsidRDefault="001900E3" w:rsidP="001900E3">
      <w:pPr>
        <w:jc w:val="center"/>
      </w:pPr>
      <w:r w:rsidRPr="008669C3">
        <w:t>Heterogeneity in the effect of CDS introduction on vega</w:t>
      </w:r>
    </w:p>
    <w:p w14:paraId="563A0916" w14:textId="77777777" w:rsidR="001900E3" w:rsidRPr="008669C3" w:rsidRDefault="001900E3" w:rsidP="001900E3">
      <w:pPr>
        <w:jc w:val="both"/>
      </w:pPr>
    </w:p>
    <w:p w14:paraId="0E84E200" w14:textId="6A2EE536" w:rsidR="002E5072" w:rsidRPr="008669C3" w:rsidRDefault="001900E3" w:rsidP="001900E3">
      <w:pPr>
        <w:jc w:val="both"/>
        <w:rPr>
          <w:sz w:val="20"/>
          <w:szCs w:val="20"/>
        </w:rPr>
      </w:pPr>
      <w:r w:rsidRPr="008669C3">
        <w:rPr>
          <w:sz w:val="20"/>
          <w:szCs w:val="20"/>
        </w:rPr>
        <w:t xml:space="preserve">This table presents the heterogeneity in the effect of CDS introduction on </w:t>
      </w:r>
      <w:r w:rsidR="0014192B" w:rsidRPr="008669C3">
        <w:rPr>
          <w:sz w:val="20"/>
          <w:szCs w:val="20"/>
        </w:rPr>
        <w:t>CEO</w:t>
      </w:r>
      <w:r w:rsidRPr="008669C3">
        <w:rPr>
          <w:sz w:val="20"/>
          <w:szCs w:val="20"/>
        </w:rPr>
        <w:t xml:space="preserve"> vega. The dependent variable is the natural logarithm of one plus </w:t>
      </w:r>
      <w:r w:rsidRPr="008669C3">
        <w:rPr>
          <w:i/>
          <w:sz w:val="20"/>
          <w:szCs w:val="20"/>
        </w:rPr>
        <w:t>Vega</w:t>
      </w:r>
      <w:r w:rsidRPr="008669C3">
        <w:rPr>
          <w:sz w:val="20"/>
          <w:szCs w:val="20"/>
        </w:rPr>
        <w:t xml:space="preserve">, where </w:t>
      </w:r>
      <w:r w:rsidRPr="008669C3">
        <w:rPr>
          <w:i/>
          <w:sz w:val="20"/>
          <w:szCs w:val="20"/>
        </w:rPr>
        <w:t>Vega</w:t>
      </w:r>
      <w:r w:rsidRPr="008669C3">
        <w:rPr>
          <w:sz w:val="20"/>
          <w:szCs w:val="20"/>
        </w:rPr>
        <w:t xml:space="preserve"> is the change (in thousands of dollars) </w:t>
      </w:r>
      <w:r w:rsidR="00B37A31" w:rsidRPr="008669C3">
        <w:rPr>
          <w:sz w:val="20"/>
          <w:szCs w:val="20"/>
        </w:rPr>
        <w:t xml:space="preserve">in </w:t>
      </w:r>
      <w:r w:rsidRPr="008669C3">
        <w:rPr>
          <w:sz w:val="20"/>
          <w:szCs w:val="20"/>
        </w:rPr>
        <w:t xml:space="preserve">the value of the CEO’s wealth due to a 0.01 increase in the annualized standard deviation of the firm’s stock return. Our main variable of interest </w:t>
      </w:r>
      <w:r w:rsidRPr="008669C3">
        <w:rPr>
          <w:i/>
          <w:sz w:val="20"/>
          <w:szCs w:val="20"/>
        </w:rPr>
        <w:t>CDS trading</w:t>
      </w:r>
      <w:r w:rsidRPr="008669C3">
        <w:rPr>
          <w:sz w:val="20"/>
          <w:szCs w:val="20"/>
        </w:rPr>
        <w:t xml:space="preserve"> </w:t>
      </w:r>
      <w:r w:rsidR="000C58DD" w:rsidRPr="008669C3">
        <w:rPr>
          <w:sz w:val="20"/>
          <w:szCs w:val="20"/>
        </w:rPr>
        <w:t xml:space="preserve">is an indicator variable that equals one for a CDS firm after the inception of the firm’s CDS trading and zero prior to it. </w:t>
      </w:r>
      <w:r w:rsidRPr="008669C3">
        <w:rPr>
          <w:sz w:val="20"/>
          <w:szCs w:val="20"/>
        </w:rPr>
        <w:t xml:space="preserve">We include the same set of control variables as in Table </w:t>
      </w:r>
      <w:r w:rsidR="00A42485" w:rsidRPr="008669C3">
        <w:rPr>
          <w:sz w:val="20"/>
          <w:szCs w:val="20"/>
        </w:rPr>
        <w:t>4</w:t>
      </w:r>
      <w:r w:rsidRPr="008669C3">
        <w:rPr>
          <w:sz w:val="20"/>
          <w:szCs w:val="20"/>
        </w:rPr>
        <w:t xml:space="preserve">. The coefficient estimates for </w:t>
      </w:r>
      <w:r w:rsidR="00B37A31" w:rsidRPr="008669C3">
        <w:rPr>
          <w:sz w:val="20"/>
          <w:szCs w:val="20"/>
        </w:rPr>
        <w:t xml:space="preserve">the </w:t>
      </w:r>
      <w:r w:rsidRPr="008669C3">
        <w:rPr>
          <w:sz w:val="20"/>
          <w:szCs w:val="20"/>
        </w:rPr>
        <w:t>control variables are suppressed for brevity. In each panel, we partition the sample based on whether the split variable is above or below the sample median</w:t>
      </w:r>
      <w:r w:rsidR="001D14E3">
        <w:rPr>
          <w:sz w:val="20"/>
          <w:szCs w:val="20"/>
        </w:rPr>
        <w:t xml:space="preserve">. </w:t>
      </w:r>
      <w:r w:rsidR="0081460B" w:rsidRPr="008669C3">
        <w:rPr>
          <w:sz w:val="20"/>
          <w:szCs w:val="20"/>
        </w:rPr>
        <w:t xml:space="preserve">In addition to </w:t>
      </w:r>
      <w:r w:rsidR="003E7E6F" w:rsidRPr="008669C3">
        <w:rPr>
          <w:sz w:val="20"/>
          <w:szCs w:val="20"/>
        </w:rPr>
        <w:t xml:space="preserve">the </w:t>
      </w:r>
      <w:r w:rsidR="0081460B" w:rsidRPr="008669C3">
        <w:rPr>
          <w:sz w:val="20"/>
          <w:szCs w:val="20"/>
        </w:rPr>
        <w:t>split-sample analysis</w:t>
      </w:r>
      <w:r w:rsidR="003E7E6F" w:rsidRPr="008669C3">
        <w:rPr>
          <w:sz w:val="20"/>
          <w:szCs w:val="20"/>
        </w:rPr>
        <w:t xml:space="preserve"> results, we report the results from estimating specifications that include </w:t>
      </w:r>
      <w:r w:rsidR="00FF12A4" w:rsidRPr="008669C3">
        <w:rPr>
          <w:sz w:val="20"/>
          <w:szCs w:val="20"/>
        </w:rPr>
        <w:t>interaction terms</w:t>
      </w:r>
      <w:r w:rsidR="003E7E6F" w:rsidRPr="008669C3">
        <w:rPr>
          <w:sz w:val="20"/>
          <w:szCs w:val="20"/>
        </w:rPr>
        <w:t xml:space="preserve"> </w:t>
      </w:r>
      <w:r w:rsidR="00B37A31" w:rsidRPr="008669C3">
        <w:rPr>
          <w:sz w:val="20"/>
          <w:szCs w:val="20"/>
        </w:rPr>
        <w:t>based on</w:t>
      </w:r>
      <w:r w:rsidR="003E7E6F" w:rsidRPr="008669C3">
        <w:rPr>
          <w:sz w:val="20"/>
          <w:szCs w:val="20"/>
        </w:rPr>
        <w:t xml:space="preserve"> the whole sample. </w:t>
      </w:r>
      <w:r w:rsidRPr="008669C3">
        <w:rPr>
          <w:i/>
          <w:sz w:val="20"/>
          <w:szCs w:val="20"/>
        </w:rPr>
        <w:t>Institutional ownership</w:t>
      </w:r>
      <w:r w:rsidRPr="008669C3">
        <w:rPr>
          <w:sz w:val="20"/>
          <w:szCs w:val="20"/>
        </w:rPr>
        <w:t xml:space="preserve"> is the number of shares owned by institutional investors divided by total number of shares outstanding. </w:t>
      </w:r>
      <w:r w:rsidRPr="008669C3">
        <w:rPr>
          <w:i/>
          <w:sz w:val="20"/>
          <w:szCs w:val="20"/>
        </w:rPr>
        <w:t>Z-score</w:t>
      </w:r>
      <w:r w:rsidRPr="008669C3">
        <w:rPr>
          <w:sz w:val="20"/>
          <w:szCs w:val="20"/>
        </w:rPr>
        <w:t xml:space="preserve"> and </w:t>
      </w:r>
      <w:r w:rsidRPr="008669C3">
        <w:rPr>
          <w:i/>
          <w:sz w:val="20"/>
          <w:szCs w:val="20"/>
        </w:rPr>
        <w:t>KZ index</w:t>
      </w:r>
      <w:r w:rsidRPr="008669C3">
        <w:rPr>
          <w:sz w:val="20"/>
          <w:szCs w:val="20"/>
        </w:rPr>
        <w:t xml:space="preserve"> are measures of financial distress based on Altman (1968) and Kaplan and Zingales (1997), respectively. </w:t>
      </w:r>
      <w:r w:rsidR="00A42485" w:rsidRPr="008669C3">
        <w:rPr>
          <w:i/>
          <w:sz w:val="20"/>
          <w:szCs w:val="20"/>
        </w:rPr>
        <w:t>Age</w:t>
      </w:r>
      <w:r w:rsidR="00A42485" w:rsidRPr="008669C3">
        <w:rPr>
          <w:sz w:val="20"/>
          <w:szCs w:val="20"/>
        </w:rPr>
        <w:t xml:space="preserve"> is the age of CEO in years.</w:t>
      </w:r>
      <w:r w:rsidRPr="008669C3">
        <w:rPr>
          <w:sz w:val="20"/>
          <w:szCs w:val="20"/>
        </w:rPr>
        <w:t xml:space="preserve"> Industry-year effects are constructed based on the Fama-French 49-industry classification. Statistical significance is based on the heteroskedasticity robust firm-clustered standard errors reported in brackets. ***, **</w:t>
      </w:r>
      <w:r w:rsidR="00B37A31" w:rsidRPr="008669C3">
        <w:rPr>
          <w:sz w:val="20"/>
          <w:szCs w:val="20"/>
        </w:rPr>
        <w:t>,</w:t>
      </w:r>
      <w:r w:rsidRPr="008669C3">
        <w:rPr>
          <w:sz w:val="20"/>
          <w:szCs w:val="20"/>
        </w:rPr>
        <w:t xml:space="preserve"> and * indicate significance at the 1%, 5%</w:t>
      </w:r>
      <w:r w:rsidR="00B37A31" w:rsidRPr="008669C3">
        <w:rPr>
          <w:sz w:val="20"/>
          <w:szCs w:val="20"/>
        </w:rPr>
        <w:t>,</w:t>
      </w:r>
      <w:r w:rsidRPr="008669C3">
        <w:rPr>
          <w:sz w:val="20"/>
          <w:szCs w:val="20"/>
        </w:rPr>
        <w:t xml:space="preserve"> and 10% level, respectively.</w:t>
      </w:r>
    </w:p>
    <w:tbl>
      <w:tblPr>
        <w:tblW w:w="5000" w:type="pct"/>
        <w:tblLook w:val="04A0" w:firstRow="1" w:lastRow="0" w:firstColumn="1" w:lastColumn="0" w:noHBand="0" w:noVBand="1"/>
      </w:tblPr>
      <w:tblGrid>
        <w:gridCol w:w="4451"/>
        <w:gridCol w:w="1386"/>
        <w:gridCol w:w="1434"/>
        <w:gridCol w:w="271"/>
        <w:gridCol w:w="1473"/>
        <w:gridCol w:w="1476"/>
        <w:gridCol w:w="271"/>
        <w:gridCol w:w="1096"/>
        <w:gridCol w:w="1318"/>
      </w:tblGrid>
      <w:tr w:rsidR="002E5072" w:rsidRPr="008669C3" w14:paraId="7B97EBF8" w14:textId="77777777" w:rsidTr="00142C1A">
        <w:trPr>
          <w:trHeight w:val="397"/>
        </w:trPr>
        <w:tc>
          <w:tcPr>
            <w:tcW w:w="1689" w:type="pct"/>
            <w:tcBorders>
              <w:top w:val="single" w:sz="4" w:space="0" w:color="auto"/>
              <w:left w:val="nil"/>
              <w:bottom w:val="single" w:sz="4" w:space="0" w:color="auto"/>
              <w:right w:val="nil"/>
            </w:tcBorders>
            <w:shd w:val="clear" w:color="auto" w:fill="auto"/>
            <w:noWrap/>
            <w:vAlign w:val="bottom"/>
          </w:tcPr>
          <w:p w14:paraId="6DC5FF43" w14:textId="77777777" w:rsidR="002E5072" w:rsidRPr="008669C3" w:rsidRDefault="002E5072" w:rsidP="002E5072">
            <w:pPr>
              <w:rPr>
                <w:color w:val="000000"/>
                <w:sz w:val="22"/>
                <w:szCs w:val="22"/>
              </w:rPr>
            </w:pPr>
          </w:p>
        </w:tc>
        <w:tc>
          <w:tcPr>
            <w:tcW w:w="3311" w:type="pct"/>
            <w:gridSpan w:val="8"/>
            <w:tcBorders>
              <w:top w:val="single" w:sz="4" w:space="0" w:color="auto"/>
              <w:left w:val="nil"/>
              <w:bottom w:val="single" w:sz="4" w:space="0" w:color="auto"/>
              <w:right w:val="nil"/>
            </w:tcBorders>
            <w:shd w:val="clear" w:color="auto" w:fill="auto"/>
            <w:noWrap/>
            <w:vAlign w:val="center"/>
          </w:tcPr>
          <w:p w14:paraId="5FDEA61F" w14:textId="6BA56063" w:rsidR="002E5072" w:rsidRPr="008669C3" w:rsidRDefault="002E5072" w:rsidP="004470B4">
            <w:pPr>
              <w:jc w:val="center"/>
              <w:rPr>
                <w:color w:val="000000"/>
                <w:sz w:val="22"/>
                <w:szCs w:val="22"/>
              </w:rPr>
            </w:pPr>
            <w:r w:rsidRPr="008669C3">
              <w:rPr>
                <w:sz w:val="22"/>
                <w:szCs w:val="22"/>
              </w:rPr>
              <w:t xml:space="preserve">Dependent variable: </w:t>
            </w:r>
            <w:r w:rsidRPr="008669C3">
              <w:rPr>
                <w:i/>
                <w:iCs/>
                <w:sz w:val="22"/>
                <w:szCs w:val="22"/>
              </w:rPr>
              <w:t>Ln(1+Vega)</w:t>
            </w:r>
          </w:p>
        </w:tc>
      </w:tr>
      <w:tr w:rsidR="002E5072" w:rsidRPr="008669C3" w14:paraId="6DD405BA" w14:textId="77777777" w:rsidTr="00142C1A">
        <w:trPr>
          <w:trHeight w:val="20"/>
        </w:trPr>
        <w:tc>
          <w:tcPr>
            <w:tcW w:w="1689" w:type="pct"/>
            <w:tcBorders>
              <w:top w:val="single" w:sz="4" w:space="0" w:color="auto"/>
              <w:left w:val="nil"/>
              <w:right w:val="nil"/>
            </w:tcBorders>
            <w:shd w:val="clear" w:color="auto" w:fill="auto"/>
            <w:noWrap/>
            <w:vAlign w:val="bottom"/>
          </w:tcPr>
          <w:p w14:paraId="5A03D1CF" w14:textId="4327864D" w:rsidR="002E5072" w:rsidRPr="008669C3" w:rsidRDefault="002E5072" w:rsidP="002E5072">
            <w:pPr>
              <w:rPr>
                <w:i/>
                <w:color w:val="000000"/>
                <w:sz w:val="22"/>
                <w:szCs w:val="22"/>
              </w:rPr>
            </w:pPr>
            <w:r w:rsidRPr="008669C3">
              <w:rPr>
                <w:i/>
                <w:color w:val="000000"/>
                <w:sz w:val="22"/>
                <w:szCs w:val="22"/>
              </w:rPr>
              <w:t>Panel A</w:t>
            </w:r>
            <w:r w:rsidR="004470B4" w:rsidRPr="008669C3">
              <w:rPr>
                <w:i/>
                <w:color w:val="000000"/>
                <w:sz w:val="22"/>
                <w:szCs w:val="22"/>
              </w:rPr>
              <w:t>:Based on institutional ownership</w:t>
            </w:r>
          </w:p>
        </w:tc>
        <w:tc>
          <w:tcPr>
            <w:tcW w:w="3311" w:type="pct"/>
            <w:gridSpan w:val="8"/>
            <w:tcBorders>
              <w:top w:val="single" w:sz="4" w:space="0" w:color="auto"/>
              <w:left w:val="nil"/>
              <w:right w:val="nil"/>
            </w:tcBorders>
            <w:shd w:val="clear" w:color="auto" w:fill="auto"/>
            <w:noWrap/>
            <w:vAlign w:val="bottom"/>
          </w:tcPr>
          <w:p w14:paraId="5F94E2F7" w14:textId="77777777" w:rsidR="002E5072" w:rsidRPr="008669C3" w:rsidRDefault="002E5072" w:rsidP="002E5072">
            <w:pPr>
              <w:jc w:val="center"/>
              <w:rPr>
                <w:color w:val="000000"/>
                <w:sz w:val="22"/>
                <w:szCs w:val="22"/>
              </w:rPr>
            </w:pPr>
          </w:p>
        </w:tc>
      </w:tr>
      <w:tr w:rsidR="002E5072" w:rsidRPr="008669C3" w14:paraId="1A499434" w14:textId="77777777" w:rsidTr="00142C1A">
        <w:trPr>
          <w:trHeight w:val="20"/>
        </w:trPr>
        <w:tc>
          <w:tcPr>
            <w:tcW w:w="1689" w:type="pct"/>
            <w:tcBorders>
              <w:top w:val="nil"/>
              <w:left w:val="nil"/>
              <w:bottom w:val="nil"/>
              <w:right w:val="nil"/>
            </w:tcBorders>
            <w:shd w:val="clear" w:color="auto" w:fill="auto"/>
            <w:noWrap/>
            <w:vAlign w:val="bottom"/>
            <w:hideMark/>
          </w:tcPr>
          <w:p w14:paraId="05421B3A" w14:textId="77777777" w:rsidR="002E5072" w:rsidRPr="008669C3" w:rsidRDefault="002E5072" w:rsidP="002E5072">
            <w:pPr>
              <w:jc w:val="center"/>
              <w:rPr>
                <w:color w:val="000000"/>
                <w:sz w:val="22"/>
                <w:szCs w:val="22"/>
              </w:rPr>
            </w:pPr>
          </w:p>
        </w:tc>
        <w:tc>
          <w:tcPr>
            <w:tcW w:w="1070" w:type="pct"/>
            <w:gridSpan w:val="2"/>
            <w:tcBorders>
              <w:top w:val="nil"/>
              <w:left w:val="nil"/>
              <w:bottom w:val="single" w:sz="4" w:space="0" w:color="auto"/>
              <w:right w:val="nil"/>
            </w:tcBorders>
            <w:shd w:val="clear" w:color="auto" w:fill="auto"/>
            <w:noWrap/>
            <w:vAlign w:val="bottom"/>
            <w:hideMark/>
          </w:tcPr>
          <w:p w14:paraId="541B3FAF" w14:textId="4B93A4C2" w:rsidR="002E5072" w:rsidRPr="008669C3" w:rsidRDefault="002E5072" w:rsidP="00A26E25">
            <w:pPr>
              <w:jc w:val="center"/>
              <w:rPr>
                <w:color w:val="000000"/>
                <w:sz w:val="22"/>
                <w:szCs w:val="22"/>
              </w:rPr>
            </w:pPr>
            <w:r w:rsidRPr="008669C3">
              <w:rPr>
                <w:color w:val="000000"/>
                <w:sz w:val="22"/>
                <w:szCs w:val="22"/>
              </w:rPr>
              <w:t>High</w:t>
            </w:r>
            <w:r w:rsidR="00A26E25" w:rsidRPr="008669C3">
              <w:rPr>
                <w:color w:val="000000"/>
                <w:sz w:val="22"/>
                <w:szCs w:val="22"/>
              </w:rPr>
              <w:t xml:space="preserve"> institutional ownership</w:t>
            </w:r>
          </w:p>
        </w:tc>
        <w:tc>
          <w:tcPr>
            <w:tcW w:w="103" w:type="pct"/>
            <w:tcBorders>
              <w:top w:val="nil"/>
              <w:left w:val="nil"/>
              <w:bottom w:val="nil"/>
              <w:right w:val="nil"/>
            </w:tcBorders>
            <w:shd w:val="clear" w:color="auto" w:fill="auto"/>
            <w:noWrap/>
            <w:vAlign w:val="bottom"/>
            <w:hideMark/>
          </w:tcPr>
          <w:p w14:paraId="3466FE95" w14:textId="77777777" w:rsidR="002E5072" w:rsidRPr="008669C3" w:rsidRDefault="002E5072" w:rsidP="002E5072">
            <w:pPr>
              <w:jc w:val="center"/>
              <w:rPr>
                <w:color w:val="000000"/>
                <w:sz w:val="22"/>
                <w:szCs w:val="22"/>
              </w:rPr>
            </w:pPr>
          </w:p>
        </w:tc>
        <w:tc>
          <w:tcPr>
            <w:tcW w:w="1119" w:type="pct"/>
            <w:gridSpan w:val="2"/>
            <w:tcBorders>
              <w:top w:val="nil"/>
              <w:left w:val="nil"/>
              <w:bottom w:val="single" w:sz="4" w:space="0" w:color="auto"/>
              <w:right w:val="nil"/>
            </w:tcBorders>
            <w:shd w:val="clear" w:color="auto" w:fill="auto"/>
            <w:noWrap/>
            <w:vAlign w:val="bottom"/>
            <w:hideMark/>
          </w:tcPr>
          <w:p w14:paraId="6E416415" w14:textId="48CA3B2C" w:rsidR="002E5072" w:rsidRPr="008669C3" w:rsidRDefault="002E5072" w:rsidP="00A26E25">
            <w:pPr>
              <w:jc w:val="center"/>
              <w:rPr>
                <w:color w:val="000000"/>
                <w:sz w:val="22"/>
                <w:szCs w:val="22"/>
              </w:rPr>
            </w:pPr>
            <w:r w:rsidRPr="008669C3">
              <w:rPr>
                <w:color w:val="000000"/>
                <w:sz w:val="22"/>
                <w:szCs w:val="22"/>
              </w:rPr>
              <w:t>Low</w:t>
            </w:r>
            <w:r w:rsidR="00A26E25" w:rsidRPr="008669C3">
              <w:rPr>
                <w:color w:val="000000"/>
                <w:sz w:val="22"/>
                <w:szCs w:val="22"/>
              </w:rPr>
              <w:t xml:space="preserve"> institutional ownership</w:t>
            </w:r>
          </w:p>
        </w:tc>
        <w:tc>
          <w:tcPr>
            <w:tcW w:w="103" w:type="pct"/>
            <w:tcBorders>
              <w:top w:val="nil"/>
              <w:left w:val="nil"/>
              <w:bottom w:val="nil"/>
              <w:right w:val="nil"/>
            </w:tcBorders>
            <w:shd w:val="clear" w:color="auto" w:fill="auto"/>
            <w:noWrap/>
            <w:vAlign w:val="bottom"/>
            <w:hideMark/>
          </w:tcPr>
          <w:p w14:paraId="5DA95E2E" w14:textId="77777777" w:rsidR="002E5072" w:rsidRPr="008669C3" w:rsidRDefault="002E5072" w:rsidP="002E5072">
            <w:pPr>
              <w:jc w:val="center"/>
              <w:rPr>
                <w:color w:val="000000"/>
                <w:sz w:val="22"/>
                <w:szCs w:val="22"/>
              </w:rPr>
            </w:pPr>
          </w:p>
        </w:tc>
        <w:tc>
          <w:tcPr>
            <w:tcW w:w="916" w:type="pct"/>
            <w:gridSpan w:val="2"/>
            <w:tcBorders>
              <w:top w:val="nil"/>
              <w:left w:val="nil"/>
              <w:bottom w:val="single" w:sz="4" w:space="0" w:color="auto"/>
              <w:right w:val="nil"/>
            </w:tcBorders>
            <w:shd w:val="clear" w:color="auto" w:fill="auto"/>
            <w:noWrap/>
            <w:vAlign w:val="bottom"/>
            <w:hideMark/>
          </w:tcPr>
          <w:p w14:paraId="458F01EC" w14:textId="6327D3CE" w:rsidR="002E5072" w:rsidRPr="008669C3" w:rsidRDefault="00A26E25" w:rsidP="002E5072">
            <w:pPr>
              <w:jc w:val="center"/>
              <w:rPr>
                <w:color w:val="000000"/>
                <w:sz w:val="22"/>
                <w:szCs w:val="22"/>
              </w:rPr>
            </w:pPr>
            <w:r w:rsidRPr="008669C3">
              <w:rPr>
                <w:color w:val="000000"/>
                <w:sz w:val="22"/>
                <w:szCs w:val="22"/>
              </w:rPr>
              <w:t>Whole sample</w:t>
            </w:r>
          </w:p>
        </w:tc>
      </w:tr>
      <w:tr w:rsidR="00142C1A" w:rsidRPr="008669C3" w14:paraId="736670FD" w14:textId="77777777" w:rsidTr="00142C1A">
        <w:trPr>
          <w:trHeight w:val="20"/>
        </w:trPr>
        <w:tc>
          <w:tcPr>
            <w:tcW w:w="1689" w:type="pct"/>
            <w:tcBorders>
              <w:top w:val="nil"/>
              <w:left w:val="nil"/>
              <w:bottom w:val="single" w:sz="4" w:space="0" w:color="auto"/>
              <w:right w:val="nil"/>
            </w:tcBorders>
            <w:shd w:val="clear" w:color="auto" w:fill="auto"/>
            <w:noWrap/>
            <w:vAlign w:val="bottom"/>
            <w:hideMark/>
          </w:tcPr>
          <w:p w14:paraId="13C73DB9" w14:textId="77777777" w:rsidR="002E5072" w:rsidRPr="008669C3" w:rsidRDefault="002E5072" w:rsidP="002E5072">
            <w:pPr>
              <w:rPr>
                <w:color w:val="000000"/>
                <w:sz w:val="22"/>
                <w:szCs w:val="22"/>
              </w:rPr>
            </w:pPr>
            <w:r w:rsidRPr="008669C3">
              <w:rPr>
                <w:color w:val="000000"/>
                <w:sz w:val="22"/>
                <w:szCs w:val="22"/>
              </w:rPr>
              <w:t> </w:t>
            </w:r>
          </w:p>
        </w:tc>
        <w:tc>
          <w:tcPr>
            <w:tcW w:w="526" w:type="pct"/>
            <w:tcBorders>
              <w:top w:val="nil"/>
              <w:left w:val="nil"/>
              <w:bottom w:val="single" w:sz="4" w:space="0" w:color="auto"/>
              <w:right w:val="nil"/>
            </w:tcBorders>
            <w:shd w:val="clear" w:color="auto" w:fill="auto"/>
            <w:noWrap/>
            <w:vAlign w:val="bottom"/>
            <w:hideMark/>
          </w:tcPr>
          <w:p w14:paraId="5D97A9D6" w14:textId="77777777" w:rsidR="002E5072" w:rsidRPr="008669C3" w:rsidRDefault="002E5072" w:rsidP="002E5072">
            <w:pPr>
              <w:jc w:val="center"/>
              <w:rPr>
                <w:color w:val="000000"/>
                <w:sz w:val="22"/>
                <w:szCs w:val="22"/>
              </w:rPr>
            </w:pPr>
            <w:r w:rsidRPr="008669C3">
              <w:rPr>
                <w:color w:val="000000"/>
                <w:sz w:val="22"/>
                <w:szCs w:val="22"/>
              </w:rPr>
              <w:t>(1)</w:t>
            </w:r>
          </w:p>
        </w:tc>
        <w:tc>
          <w:tcPr>
            <w:tcW w:w="544" w:type="pct"/>
            <w:tcBorders>
              <w:top w:val="nil"/>
              <w:left w:val="nil"/>
              <w:bottom w:val="single" w:sz="4" w:space="0" w:color="auto"/>
              <w:right w:val="nil"/>
            </w:tcBorders>
            <w:shd w:val="clear" w:color="auto" w:fill="auto"/>
            <w:noWrap/>
            <w:vAlign w:val="bottom"/>
            <w:hideMark/>
          </w:tcPr>
          <w:p w14:paraId="1E5B6976" w14:textId="77777777" w:rsidR="002E5072" w:rsidRPr="008669C3" w:rsidRDefault="002E5072" w:rsidP="002E5072">
            <w:pPr>
              <w:jc w:val="center"/>
              <w:rPr>
                <w:color w:val="000000"/>
                <w:sz w:val="22"/>
                <w:szCs w:val="22"/>
              </w:rPr>
            </w:pPr>
            <w:r w:rsidRPr="008669C3">
              <w:rPr>
                <w:color w:val="000000"/>
                <w:sz w:val="22"/>
                <w:szCs w:val="22"/>
              </w:rPr>
              <w:t>(2)</w:t>
            </w:r>
          </w:p>
        </w:tc>
        <w:tc>
          <w:tcPr>
            <w:tcW w:w="103" w:type="pct"/>
            <w:tcBorders>
              <w:top w:val="nil"/>
              <w:left w:val="nil"/>
              <w:bottom w:val="single" w:sz="4" w:space="0" w:color="auto"/>
              <w:right w:val="nil"/>
            </w:tcBorders>
            <w:shd w:val="clear" w:color="auto" w:fill="auto"/>
            <w:noWrap/>
            <w:vAlign w:val="bottom"/>
            <w:hideMark/>
          </w:tcPr>
          <w:p w14:paraId="33E98ADE" w14:textId="77777777" w:rsidR="002E5072" w:rsidRPr="008669C3" w:rsidRDefault="002E5072" w:rsidP="002E5072">
            <w:pPr>
              <w:jc w:val="center"/>
              <w:rPr>
                <w:color w:val="000000"/>
                <w:sz w:val="22"/>
                <w:szCs w:val="22"/>
              </w:rPr>
            </w:pPr>
            <w:r w:rsidRPr="008669C3">
              <w:rPr>
                <w:color w:val="000000"/>
                <w:sz w:val="22"/>
                <w:szCs w:val="22"/>
              </w:rPr>
              <w:t> </w:t>
            </w:r>
          </w:p>
        </w:tc>
        <w:tc>
          <w:tcPr>
            <w:tcW w:w="559" w:type="pct"/>
            <w:tcBorders>
              <w:top w:val="nil"/>
              <w:left w:val="nil"/>
              <w:bottom w:val="single" w:sz="4" w:space="0" w:color="auto"/>
              <w:right w:val="nil"/>
            </w:tcBorders>
            <w:shd w:val="clear" w:color="auto" w:fill="auto"/>
            <w:noWrap/>
            <w:vAlign w:val="bottom"/>
            <w:hideMark/>
          </w:tcPr>
          <w:p w14:paraId="21812691" w14:textId="77777777" w:rsidR="002E5072" w:rsidRPr="008669C3" w:rsidRDefault="002E5072" w:rsidP="002E5072">
            <w:pPr>
              <w:jc w:val="center"/>
              <w:rPr>
                <w:color w:val="000000"/>
                <w:sz w:val="22"/>
                <w:szCs w:val="22"/>
              </w:rPr>
            </w:pPr>
            <w:r w:rsidRPr="008669C3">
              <w:rPr>
                <w:color w:val="000000"/>
                <w:sz w:val="22"/>
                <w:szCs w:val="22"/>
              </w:rPr>
              <w:t>(3)</w:t>
            </w:r>
          </w:p>
        </w:tc>
        <w:tc>
          <w:tcPr>
            <w:tcW w:w="560" w:type="pct"/>
            <w:tcBorders>
              <w:top w:val="nil"/>
              <w:left w:val="nil"/>
              <w:bottom w:val="single" w:sz="4" w:space="0" w:color="auto"/>
              <w:right w:val="nil"/>
            </w:tcBorders>
            <w:shd w:val="clear" w:color="auto" w:fill="auto"/>
            <w:noWrap/>
            <w:vAlign w:val="bottom"/>
            <w:hideMark/>
          </w:tcPr>
          <w:p w14:paraId="72B139D3" w14:textId="77777777" w:rsidR="002E5072" w:rsidRPr="008669C3" w:rsidRDefault="002E5072" w:rsidP="002E5072">
            <w:pPr>
              <w:jc w:val="center"/>
              <w:rPr>
                <w:color w:val="000000"/>
                <w:sz w:val="22"/>
                <w:szCs w:val="22"/>
              </w:rPr>
            </w:pPr>
            <w:r w:rsidRPr="008669C3">
              <w:rPr>
                <w:color w:val="000000"/>
                <w:sz w:val="22"/>
                <w:szCs w:val="22"/>
              </w:rPr>
              <w:t>(4)</w:t>
            </w:r>
          </w:p>
        </w:tc>
        <w:tc>
          <w:tcPr>
            <w:tcW w:w="103" w:type="pct"/>
            <w:tcBorders>
              <w:top w:val="nil"/>
              <w:left w:val="nil"/>
              <w:bottom w:val="single" w:sz="4" w:space="0" w:color="auto"/>
              <w:right w:val="nil"/>
            </w:tcBorders>
            <w:shd w:val="clear" w:color="auto" w:fill="auto"/>
            <w:noWrap/>
            <w:vAlign w:val="bottom"/>
            <w:hideMark/>
          </w:tcPr>
          <w:p w14:paraId="140459DA" w14:textId="77777777" w:rsidR="002E5072" w:rsidRPr="008669C3" w:rsidRDefault="002E5072" w:rsidP="002E5072">
            <w:pPr>
              <w:jc w:val="center"/>
              <w:rPr>
                <w:color w:val="000000"/>
                <w:sz w:val="22"/>
                <w:szCs w:val="22"/>
              </w:rPr>
            </w:pPr>
            <w:r w:rsidRPr="008669C3">
              <w:rPr>
                <w:color w:val="000000"/>
                <w:sz w:val="22"/>
                <w:szCs w:val="22"/>
              </w:rPr>
              <w:t> </w:t>
            </w:r>
          </w:p>
        </w:tc>
        <w:tc>
          <w:tcPr>
            <w:tcW w:w="416" w:type="pct"/>
            <w:tcBorders>
              <w:top w:val="nil"/>
              <w:left w:val="nil"/>
              <w:bottom w:val="single" w:sz="4" w:space="0" w:color="auto"/>
              <w:right w:val="nil"/>
            </w:tcBorders>
            <w:shd w:val="clear" w:color="auto" w:fill="auto"/>
            <w:noWrap/>
            <w:vAlign w:val="bottom"/>
            <w:hideMark/>
          </w:tcPr>
          <w:p w14:paraId="05F7BFF7" w14:textId="77777777" w:rsidR="002E5072" w:rsidRPr="008669C3" w:rsidRDefault="002E5072" w:rsidP="002E5072">
            <w:pPr>
              <w:jc w:val="center"/>
              <w:rPr>
                <w:color w:val="000000"/>
                <w:sz w:val="22"/>
                <w:szCs w:val="22"/>
              </w:rPr>
            </w:pPr>
            <w:r w:rsidRPr="008669C3">
              <w:rPr>
                <w:color w:val="000000"/>
                <w:sz w:val="22"/>
                <w:szCs w:val="22"/>
              </w:rPr>
              <w:t>(5)</w:t>
            </w:r>
          </w:p>
        </w:tc>
        <w:tc>
          <w:tcPr>
            <w:tcW w:w="500" w:type="pct"/>
            <w:tcBorders>
              <w:top w:val="nil"/>
              <w:left w:val="nil"/>
              <w:bottom w:val="single" w:sz="4" w:space="0" w:color="auto"/>
              <w:right w:val="nil"/>
            </w:tcBorders>
            <w:shd w:val="clear" w:color="auto" w:fill="auto"/>
            <w:noWrap/>
            <w:vAlign w:val="bottom"/>
            <w:hideMark/>
          </w:tcPr>
          <w:p w14:paraId="0C8C09F3" w14:textId="77777777" w:rsidR="002E5072" w:rsidRPr="008669C3" w:rsidRDefault="002E5072" w:rsidP="002E5072">
            <w:pPr>
              <w:jc w:val="center"/>
              <w:rPr>
                <w:color w:val="000000"/>
                <w:sz w:val="22"/>
                <w:szCs w:val="22"/>
              </w:rPr>
            </w:pPr>
            <w:r w:rsidRPr="008669C3">
              <w:rPr>
                <w:color w:val="000000"/>
                <w:sz w:val="22"/>
                <w:szCs w:val="22"/>
              </w:rPr>
              <w:t>(6)</w:t>
            </w:r>
          </w:p>
        </w:tc>
      </w:tr>
      <w:tr w:rsidR="00142C1A" w:rsidRPr="008669C3" w14:paraId="5B795112" w14:textId="77777777" w:rsidTr="00142C1A">
        <w:trPr>
          <w:trHeight w:val="20"/>
        </w:trPr>
        <w:tc>
          <w:tcPr>
            <w:tcW w:w="1689" w:type="pct"/>
            <w:tcBorders>
              <w:top w:val="nil"/>
              <w:left w:val="nil"/>
              <w:bottom w:val="nil"/>
              <w:right w:val="nil"/>
            </w:tcBorders>
            <w:shd w:val="clear" w:color="auto" w:fill="auto"/>
            <w:noWrap/>
            <w:vAlign w:val="bottom"/>
            <w:hideMark/>
          </w:tcPr>
          <w:p w14:paraId="3C097F37" w14:textId="77777777" w:rsidR="002E5072" w:rsidRPr="008669C3" w:rsidRDefault="002E5072" w:rsidP="002E5072">
            <w:pPr>
              <w:rPr>
                <w:color w:val="000000"/>
                <w:sz w:val="22"/>
                <w:szCs w:val="22"/>
              </w:rPr>
            </w:pPr>
            <w:r w:rsidRPr="008669C3">
              <w:rPr>
                <w:color w:val="000000"/>
                <w:sz w:val="22"/>
                <w:szCs w:val="22"/>
              </w:rPr>
              <w:t>CDS trading</w:t>
            </w:r>
          </w:p>
        </w:tc>
        <w:tc>
          <w:tcPr>
            <w:tcW w:w="526" w:type="pct"/>
            <w:tcBorders>
              <w:top w:val="nil"/>
              <w:left w:val="nil"/>
              <w:bottom w:val="nil"/>
              <w:right w:val="nil"/>
            </w:tcBorders>
            <w:shd w:val="clear" w:color="auto" w:fill="auto"/>
            <w:noWrap/>
            <w:vAlign w:val="bottom"/>
            <w:hideMark/>
          </w:tcPr>
          <w:p w14:paraId="53622AA2" w14:textId="77777777" w:rsidR="002E5072" w:rsidRPr="008669C3" w:rsidRDefault="002E5072" w:rsidP="002E5072">
            <w:pPr>
              <w:jc w:val="center"/>
              <w:rPr>
                <w:color w:val="000000"/>
                <w:sz w:val="22"/>
                <w:szCs w:val="22"/>
              </w:rPr>
            </w:pPr>
            <w:r w:rsidRPr="008669C3">
              <w:rPr>
                <w:color w:val="000000"/>
                <w:sz w:val="22"/>
                <w:szCs w:val="22"/>
              </w:rPr>
              <w:t>0.454</w:t>
            </w:r>
            <w:r w:rsidRPr="008669C3">
              <w:rPr>
                <w:color w:val="000000"/>
                <w:sz w:val="20"/>
                <w:szCs w:val="22"/>
              </w:rPr>
              <w:t>**</w:t>
            </w:r>
          </w:p>
        </w:tc>
        <w:tc>
          <w:tcPr>
            <w:tcW w:w="544" w:type="pct"/>
            <w:tcBorders>
              <w:top w:val="nil"/>
              <w:left w:val="nil"/>
              <w:bottom w:val="nil"/>
              <w:right w:val="nil"/>
            </w:tcBorders>
            <w:shd w:val="clear" w:color="auto" w:fill="auto"/>
            <w:noWrap/>
            <w:vAlign w:val="bottom"/>
            <w:hideMark/>
          </w:tcPr>
          <w:p w14:paraId="780A77E4" w14:textId="7DD3B8BC" w:rsidR="002E5072" w:rsidRPr="008669C3" w:rsidRDefault="002E5072" w:rsidP="004470B4">
            <w:pPr>
              <w:jc w:val="center"/>
              <w:rPr>
                <w:color w:val="000000"/>
                <w:sz w:val="22"/>
                <w:szCs w:val="22"/>
              </w:rPr>
            </w:pPr>
            <w:r w:rsidRPr="008669C3">
              <w:rPr>
                <w:color w:val="000000"/>
                <w:sz w:val="22"/>
                <w:szCs w:val="22"/>
              </w:rPr>
              <w:t>0.3</w:t>
            </w:r>
            <w:r w:rsidR="004470B4" w:rsidRPr="008669C3">
              <w:rPr>
                <w:color w:val="000000"/>
                <w:sz w:val="22"/>
                <w:szCs w:val="22"/>
              </w:rPr>
              <w:t>4</w:t>
            </w:r>
            <w:r w:rsidRPr="008669C3">
              <w:rPr>
                <w:color w:val="000000"/>
                <w:sz w:val="22"/>
                <w:szCs w:val="22"/>
              </w:rPr>
              <w:t>2</w:t>
            </w:r>
            <w:r w:rsidR="004470B4" w:rsidRPr="008669C3">
              <w:rPr>
                <w:color w:val="000000"/>
                <w:sz w:val="20"/>
                <w:szCs w:val="22"/>
              </w:rPr>
              <w:t>*</w:t>
            </w:r>
          </w:p>
        </w:tc>
        <w:tc>
          <w:tcPr>
            <w:tcW w:w="103" w:type="pct"/>
            <w:tcBorders>
              <w:top w:val="nil"/>
              <w:left w:val="nil"/>
              <w:bottom w:val="nil"/>
              <w:right w:val="nil"/>
            </w:tcBorders>
            <w:shd w:val="clear" w:color="auto" w:fill="auto"/>
            <w:noWrap/>
            <w:vAlign w:val="bottom"/>
            <w:hideMark/>
          </w:tcPr>
          <w:p w14:paraId="44A66D60" w14:textId="77777777" w:rsidR="002E5072" w:rsidRPr="008669C3" w:rsidRDefault="002E5072" w:rsidP="002E5072">
            <w:pPr>
              <w:jc w:val="center"/>
              <w:rPr>
                <w:color w:val="000000"/>
                <w:sz w:val="22"/>
                <w:szCs w:val="22"/>
              </w:rPr>
            </w:pPr>
          </w:p>
        </w:tc>
        <w:tc>
          <w:tcPr>
            <w:tcW w:w="559" w:type="pct"/>
            <w:tcBorders>
              <w:top w:val="nil"/>
              <w:left w:val="nil"/>
              <w:bottom w:val="nil"/>
              <w:right w:val="nil"/>
            </w:tcBorders>
            <w:shd w:val="clear" w:color="auto" w:fill="auto"/>
            <w:noWrap/>
            <w:vAlign w:val="bottom"/>
            <w:hideMark/>
          </w:tcPr>
          <w:p w14:paraId="3FBEC5FB" w14:textId="3B8F7E09" w:rsidR="002E5072" w:rsidRPr="008669C3" w:rsidRDefault="004470B4" w:rsidP="004470B4">
            <w:pPr>
              <w:jc w:val="center"/>
              <w:rPr>
                <w:color w:val="000000"/>
                <w:sz w:val="22"/>
                <w:szCs w:val="22"/>
              </w:rPr>
            </w:pPr>
            <w:r w:rsidRPr="008669C3">
              <w:rPr>
                <w:color w:val="000000"/>
                <w:sz w:val="22"/>
                <w:szCs w:val="22"/>
              </w:rPr>
              <w:t>0.3</w:t>
            </w:r>
            <w:r w:rsidR="002E5072" w:rsidRPr="008669C3">
              <w:rPr>
                <w:color w:val="000000"/>
                <w:sz w:val="22"/>
                <w:szCs w:val="22"/>
              </w:rPr>
              <w:t>28</w:t>
            </w:r>
          </w:p>
        </w:tc>
        <w:tc>
          <w:tcPr>
            <w:tcW w:w="560" w:type="pct"/>
            <w:tcBorders>
              <w:top w:val="nil"/>
              <w:left w:val="nil"/>
              <w:bottom w:val="nil"/>
              <w:right w:val="nil"/>
            </w:tcBorders>
            <w:shd w:val="clear" w:color="auto" w:fill="auto"/>
            <w:noWrap/>
            <w:vAlign w:val="bottom"/>
            <w:hideMark/>
          </w:tcPr>
          <w:p w14:paraId="14BDFA50" w14:textId="3295E56E" w:rsidR="002E5072" w:rsidRPr="008669C3" w:rsidRDefault="002E5072" w:rsidP="004470B4">
            <w:pPr>
              <w:jc w:val="center"/>
              <w:rPr>
                <w:color w:val="000000"/>
                <w:sz w:val="22"/>
                <w:szCs w:val="22"/>
              </w:rPr>
            </w:pPr>
            <w:r w:rsidRPr="008669C3">
              <w:rPr>
                <w:color w:val="000000"/>
                <w:sz w:val="22"/>
                <w:szCs w:val="22"/>
              </w:rPr>
              <w:t>0.</w:t>
            </w:r>
            <w:r w:rsidR="004470B4" w:rsidRPr="008669C3">
              <w:rPr>
                <w:color w:val="000000"/>
                <w:sz w:val="22"/>
                <w:szCs w:val="22"/>
              </w:rPr>
              <w:t>2</w:t>
            </w:r>
            <w:r w:rsidRPr="008669C3">
              <w:rPr>
                <w:color w:val="000000"/>
                <w:sz w:val="22"/>
                <w:szCs w:val="22"/>
              </w:rPr>
              <w:t>05</w:t>
            </w:r>
          </w:p>
        </w:tc>
        <w:tc>
          <w:tcPr>
            <w:tcW w:w="103" w:type="pct"/>
            <w:tcBorders>
              <w:top w:val="nil"/>
              <w:left w:val="nil"/>
              <w:bottom w:val="nil"/>
              <w:right w:val="nil"/>
            </w:tcBorders>
            <w:shd w:val="clear" w:color="auto" w:fill="auto"/>
            <w:noWrap/>
            <w:vAlign w:val="bottom"/>
            <w:hideMark/>
          </w:tcPr>
          <w:p w14:paraId="57389784" w14:textId="77777777" w:rsidR="002E5072" w:rsidRPr="008669C3" w:rsidRDefault="002E5072" w:rsidP="002E5072">
            <w:pPr>
              <w:jc w:val="center"/>
              <w:rPr>
                <w:color w:val="000000"/>
                <w:sz w:val="22"/>
                <w:szCs w:val="22"/>
              </w:rPr>
            </w:pPr>
          </w:p>
        </w:tc>
        <w:tc>
          <w:tcPr>
            <w:tcW w:w="416" w:type="pct"/>
            <w:tcBorders>
              <w:top w:val="nil"/>
              <w:left w:val="nil"/>
              <w:bottom w:val="nil"/>
              <w:right w:val="nil"/>
            </w:tcBorders>
            <w:shd w:val="clear" w:color="auto" w:fill="auto"/>
            <w:noWrap/>
            <w:vAlign w:val="bottom"/>
            <w:hideMark/>
          </w:tcPr>
          <w:p w14:paraId="31199598" w14:textId="39749E85" w:rsidR="002E5072" w:rsidRPr="008669C3" w:rsidRDefault="002E5072" w:rsidP="002E5072">
            <w:pPr>
              <w:jc w:val="center"/>
              <w:rPr>
                <w:color w:val="000000"/>
                <w:sz w:val="22"/>
                <w:szCs w:val="22"/>
              </w:rPr>
            </w:pPr>
            <w:r w:rsidRPr="008669C3">
              <w:rPr>
                <w:color w:val="000000"/>
                <w:sz w:val="22"/>
                <w:szCs w:val="22"/>
              </w:rPr>
              <w:t>0.827</w:t>
            </w:r>
            <w:r w:rsidR="00142C1A" w:rsidRPr="008669C3">
              <w:rPr>
                <w:color w:val="000000"/>
                <w:sz w:val="20"/>
                <w:szCs w:val="22"/>
              </w:rPr>
              <w:t>*</w:t>
            </w:r>
          </w:p>
        </w:tc>
        <w:tc>
          <w:tcPr>
            <w:tcW w:w="500" w:type="pct"/>
            <w:tcBorders>
              <w:top w:val="nil"/>
              <w:left w:val="nil"/>
              <w:bottom w:val="nil"/>
              <w:right w:val="nil"/>
            </w:tcBorders>
            <w:shd w:val="clear" w:color="auto" w:fill="auto"/>
            <w:noWrap/>
            <w:vAlign w:val="bottom"/>
            <w:hideMark/>
          </w:tcPr>
          <w:p w14:paraId="3D8CBE9D" w14:textId="77777777" w:rsidR="002E5072" w:rsidRPr="008669C3" w:rsidRDefault="002E5072" w:rsidP="002E5072">
            <w:pPr>
              <w:jc w:val="center"/>
              <w:rPr>
                <w:color w:val="000000"/>
                <w:sz w:val="22"/>
                <w:szCs w:val="22"/>
              </w:rPr>
            </w:pPr>
            <w:r w:rsidRPr="008669C3">
              <w:rPr>
                <w:color w:val="000000"/>
                <w:sz w:val="22"/>
                <w:szCs w:val="22"/>
              </w:rPr>
              <w:t>0.399</w:t>
            </w:r>
          </w:p>
        </w:tc>
      </w:tr>
      <w:tr w:rsidR="00142C1A" w:rsidRPr="008669C3" w14:paraId="36993635" w14:textId="77777777" w:rsidTr="00142C1A">
        <w:trPr>
          <w:trHeight w:val="20"/>
        </w:trPr>
        <w:tc>
          <w:tcPr>
            <w:tcW w:w="1689" w:type="pct"/>
            <w:tcBorders>
              <w:top w:val="nil"/>
              <w:left w:val="nil"/>
              <w:bottom w:val="nil"/>
              <w:right w:val="nil"/>
            </w:tcBorders>
            <w:shd w:val="clear" w:color="auto" w:fill="auto"/>
            <w:noWrap/>
            <w:vAlign w:val="bottom"/>
            <w:hideMark/>
          </w:tcPr>
          <w:p w14:paraId="5827F6AE" w14:textId="77777777" w:rsidR="002E5072" w:rsidRPr="008669C3" w:rsidRDefault="002E5072" w:rsidP="002E5072">
            <w:pPr>
              <w:jc w:val="center"/>
              <w:rPr>
                <w:color w:val="000000"/>
                <w:sz w:val="22"/>
                <w:szCs w:val="22"/>
              </w:rPr>
            </w:pPr>
          </w:p>
        </w:tc>
        <w:tc>
          <w:tcPr>
            <w:tcW w:w="526" w:type="pct"/>
            <w:tcBorders>
              <w:top w:val="nil"/>
              <w:left w:val="nil"/>
              <w:bottom w:val="nil"/>
              <w:right w:val="nil"/>
            </w:tcBorders>
            <w:shd w:val="clear" w:color="auto" w:fill="auto"/>
            <w:noWrap/>
            <w:vAlign w:val="bottom"/>
            <w:hideMark/>
          </w:tcPr>
          <w:p w14:paraId="102F5492" w14:textId="77777777" w:rsidR="002E5072" w:rsidRPr="008669C3" w:rsidRDefault="002E5072" w:rsidP="002E5072">
            <w:pPr>
              <w:jc w:val="center"/>
              <w:rPr>
                <w:color w:val="000000"/>
                <w:sz w:val="22"/>
                <w:szCs w:val="22"/>
              </w:rPr>
            </w:pPr>
            <w:r w:rsidRPr="008669C3">
              <w:rPr>
                <w:color w:val="000000"/>
                <w:sz w:val="22"/>
                <w:szCs w:val="22"/>
              </w:rPr>
              <w:t>(0.176)</w:t>
            </w:r>
          </w:p>
        </w:tc>
        <w:tc>
          <w:tcPr>
            <w:tcW w:w="544" w:type="pct"/>
            <w:tcBorders>
              <w:top w:val="nil"/>
              <w:left w:val="nil"/>
              <w:bottom w:val="nil"/>
              <w:right w:val="nil"/>
            </w:tcBorders>
            <w:shd w:val="clear" w:color="auto" w:fill="auto"/>
            <w:noWrap/>
            <w:vAlign w:val="bottom"/>
            <w:hideMark/>
          </w:tcPr>
          <w:p w14:paraId="02CC12F9" w14:textId="77777777" w:rsidR="002E5072" w:rsidRPr="008669C3" w:rsidRDefault="002E5072" w:rsidP="002E5072">
            <w:pPr>
              <w:jc w:val="center"/>
              <w:rPr>
                <w:color w:val="000000"/>
                <w:sz w:val="22"/>
                <w:szCs w:val="22"/>
              </w:rPr>
            </w:pPr>
            <w:r w:rsidRPr="008669C3">
              <w:rPr>
                <w:color w:val="000000"/>
                <w:sz w:val="22"/>
                <w:szCs w:val="22"/>
              </w:rPr>
              <w:t>(0.185)</w:t>
            </w:r>
          </w:p>
        </w:tc>
        <w:tc>
          <w:tcPr>
            <w:tcW w:w="103" w:type="pct"/>
            <w:tcBorders>
              <w:top w:val="nil"/>
              <w:left w:val="nil"/>
              <w:bottom w:val="nil"/>
              <w:right w:val="nil"/>
            </w:tcBorders>
            <w:shd w:val="clear" w:color="auto" w:fill="auto"/>
            <w:noWrap/>
            <w:vAlign w:val="bottom"/>
            <w:hideMark/>
          </w:tcPr>
          <w:p w14:paraId="6A009B31" w14:textId="77777777" w:rsidR="002E5072" w:rsidRPr="008669C3" w:rsidRDefault="002E5072" w:rsidP="002E5072">
            <w:pPr>
              <w:jc w:val="center"/>
              <w:rPr>
                <w:color w:val="000000"/>
                <w:sz w:val="22"/>
                <w:szCs w:val="22"/>
              </w:rPr>
            </w:pPr>
          </w:p>
        </w:tc>
        <w:tc>
          <w:tcPr>
            <w:tcW w:w="559" w:type="pct"/>
            <w:tcBorders>
              <w:top w:val="nil"/>
              <w:left w:val="nil"/>
              <w:bottom w:val="nil"/>
              <w:right w:val="nil"/>
            </w:tcBorders>
            <w:shd w:val="clear" w:color="auto" w:fill="auto"/>
            <w:noWrap/>
            <w:vAlign w:val="bottom"/>
            <w:hideMark/>
          </w:tcPr>
          <w:p w14:paraId="344EA49C" w14:textId="77777777" w:rsidR="002E5072" w:rsidRPr="008669C3" w:rsidRDefault="002E5072" w:rsidP="002E5072">
            <w:pPr>
              <w:jc w:val="center"/>
              <w:rPr>
                <w:color w:val="000000"/>
                <w:sz w:val="22"/>
                <w:szCs w:val="22"/>
              </w:rPr>
            </w:pPr>
            <w:r w:rsidRPr="008669C3">
              <w:rPr>
                <w:color w:val="000000"/>
                <w:sz w:val="22"/>
                <w:szCs w:val="22"/>
              </w:rPr>
              <w:t>(0.208)</w:t>
            </w:r>
          </w:p>
        </w:tc>
        <w:tc>
          <w:tcPr>
            <w:tcW w:w="560" w:type="pct"/>
            <w:tcBorders>
              <w:top w:val="nil"/>
              <w:left w:val="nil"/>
              <w:bottom w:val="nil"/>
              <w:right w:val="nil"/>
            </w:tcBorders>
            <w:shd w:val="clear" w:color="auto" w:fill="auto"/>
            <w:noWrap/>
            <w:vAlign w:val="bottom"/>
            <w:hideMark/>
          </w:tcPr>
          <w:p w14:paraId="480DBE2D" w14:textId="77777777" w:rsidR="002E5072" w:rsidRPr="008669C3" w:rsidRDefault="002E5072" w:rsidP="002E5072">
            <w:pPr>
              <w:jc w:val="center"/>
              <w:rPr>
                <w:color w:val="000000"/>
                <w:sz w:val="22"/>
                <w:szCs w:val="22"/>
              </w:rPr>
            </w:pPr>
            <w:r w:rsidRPr="008669C3">
              <w:rPr>
                <w:color w:val="000000"/>
                <w:sz w:val="22"/>
                <w:szCs w:val="22"/>
              </w:rPr>
              <w:t>(0.152)</w:t>
            </w:r>
          </w:p>
        </w:tc>
        <w:tc>
          <w:tcPr>
            <w:tcW w:w="103" w:type="pct"/>
            <w:tcBorders>
              <w:top w:val="nil"/>
              <w:left w:val="nil"/>
              <w:bottom w:val="nil"/>
              <w:right w:val="nil"/>
            </w:tcBorders>
            <w:shd w:val="clear" w:color="auto" w:fill="auto"/>
            <w:noWrap/>
            <w:vAlign w:val="bottom"/>
            <w:hideMark/>
          </w:tcPr>
          <w:p w14:paraId="5245A574" w14:textId="77777777" w:rsidR="002E5072" w:rsidRPr="008669C3" w:rsidRDefault="002E5072" w:rsidP="002E5072">
            <w:pPr>
              <w:jc w:val="center"/>
              <w:rPr>
                <w:color w:val="000000"/>
                <w:sz w:val="22"/>
                <w:szCs w:val="22"/>
              </w:rPr>
            </w:pPr>
          </w:p>
        </w:tc>
        <w:tc>
          <w:tcPr>
            <w:tcW w:w="416" w:type="pct"/>
            <w:tcBorders>
              <w:top w:val="nil"/>
              <w:left w:val="nil"/>
              <w:bottom w:val="nil"/>
              <w:right w:val="nil"/>
            </w:tcBorders>
            <w:shd w:val="clear" w:color="auto" w:fill="auto"/>
            <w:noWrap/>
            <w:vAlign w:val="bottom"/>
            <w:hideMark/>
          </w:tcPr>
          <w:p w14:paraId="54E93C90" w14:textId="44582F09" w:rsidR="002E5072" w:rsidRPr="008669C3" w:rsidRDefault="002E5072" w:rsidP="00142C1A">
            <w:pPr>
              <w:jc w:val="center"/>
              <w:rPr>
                <w:color w:val="000000"/>
                <w:sz w:val="22"/>
                <w:szCs w:val="22"/>
              </w:rPr>
            </w:pPr>
            <w:r w:rsidRPr="008669C3">
              <w:rPr>
                <w:color w:val="000000"/>
                <w:sz w:val="22"/>
                <w:szCs w:val="22"/>
              </w:rPr>
              <w:t>(0.</w:t>
            </w:r>
            <w:r w:rsidR="00142C1A" w:rsidRPr="008669C3">
              <w:rPr>
                <w:color w:val="000000"/>
                <w:sz w:val="22"/>
                <w:szCs w:val="22"/>
              </w:rPr>
              <w:t>4</w:t>
            </w:r>
            <w:r w:rsidRPr="008669C3">
              <w:rPr>
                <w:color w:val="000000"/>
                <w:sz w:val="22"/>
                <w:szCs w:val="22"/>
              </w:rPr>
              <w:t>51)</w:t>
            </w:r>
          </w:p>
        </w:tc>
        <w:tc>
          <w:tcPr>
            <w:tcW w:w="500" w:type="pct"/>
            <w:tcBorders>
              <w:top w:val="nil"/>
              <w:left w:val="nil"/>
              <w:bottom w:val="nil"/>
              <w:right w:val="nil"/>
            </w:tcBorders>
            <w:shd w:val="clear" w:color="auto" w:fill="auto"/>
            <w:noWrap/>
            <w:vAlign w:val="bottom"/>
            <w:hideMark/>
          </w:tcPr>
          <w:p w14:paraId="12C54FF5" w14:textId="77777777" w:rsidR="002E5072" w:rsidRPr="008669C3" w:rsidRDefault="002E5072" w:rsidP="002E5072">
            <w:pPr>
              <w:jc w:val="center"/>
              <w:rPr>
                <w:color w:val="000000"/>
                <w:sz w:val="22"/>
                <w:szCs w:val="22"/>
              </w:rPr>
            </w:pPr>
            <w:r w:rsidRPr="008669C3">
              <w:rPr>
                <w:color w:val="000000"/>
                <w:sz w:val="22"/>
                <w:szCs w:val="22"/>
              </w:rPr>
              <w:t>(0.379)</w:t>
            </w:r>
          </w:p>
        </w:tc>
      </w:tr>
      <w:tr w:rsidR="00142C1A" w:rsidRPr="008669C3" w14:paraId="11F12F85" w14:textId="77777777" w:rsidTr="00142C1A">
        <w:trPr>
          <w:trHeight w:val="20"/>
        </w:trPr>
        <w:tc>
          <w:tcPr>
            <w:tcW w:w="1689" w:type="pct"/>
            <w:tcBorders>
              <w:top w:val="nil"/>
              <w:left w:val="nil"/>
              <w:bottom w:val="nil"/>
              <w:right w:val="nil"/>
            </w:tcBorders>
            <w:shd w:val="clear" w:color="auto" w:fill="auto"/>
            <w:noWrap/>
            <w:vAlign w:val="bottom"/>
            <w:hideMark/>
          </w:tcPr>
          <w:p w14:paraId="2EC15EAE" w14:textId="5DC155EA" w:rsidR="002E5072" w:rsidRPr="008669C3" w:rsidRDefault="002E5072" w:rsidP="004470B4">
            <w:pPr>
              <w:rPr>
                <w:color w:val="000000"/>
                <w:sz w:val="22"/>
                <w:szCs w:val="22"/>
              </w:rPr>
            </w:pPr>
            <w:r w:rsidRPr="008669C3">
              <w:rPr>
                <w:color w:val="000000"/>
                <w:sz w:val="22"/>
                <w:szCs w:val="22"/>
              </w:rPr>
              <w:t>CDS trading</w:t>
            </w:r>
            <w:r w:rsidR="004470B4" w:rsidRPr="008669C3">
              <w:rPr>
                <w:color w:val="000000"/>
                <w:sz w:val="22"/>
                <w:szCs w:val="22"/>
              </w:rPr>
              <w:t xml:space="preserve"> × </w:t>
            </w:r>
            <w:r w:rsidRPr="008669C3">
              <w:rPr>
                <w:color w:val="000000"/>
                <w:sz w:val="22"/>
                <w:szCs w:val="22"/>
              </w:rPr>
              <w:t>Institutional ownership</w:t>
            </w:r>
          </w:p>
        </w:tc>
        <w:tc>
          <w:tcPr>
            <w:tcW w:w="526" w:type="pct"/>
            <w:tcBorders>
              <w:top w:val="nil"/>
              <w:left w:val="nil"/>
              <w:bottom w:val="nil"/>
              <w:right w:val="nil"/>
            </w:tcBorders>
            <w:shd w:val="clear" w:color="auto" w:fill="auto"/>
            <w:noWrap/>
            <w:vAlign w:val="bottom"/>
            <w:hideMark/>
          </w:tcPr>
          <w:p w14:paraId="4B5A015E" w14:textId="27312B4C" w:rsidR="002E5072" w:rsidRPr="008669C3" w:rsidRDefault="004470B4" w:rsidP="004470B4">
            <w:pPr>
              <w:jc w:val="center"/>
              <w:rPr>
                <w:color w:val="000000"/>
                <w:sz w:val="22"/>
                <w:szCs w:val="22"/>
              </w:rPr>
            </w:pPr>
            <w:r w:rsidRPr="008669C3">
              <w:rPr>
                <w:iCs/>
                <w:sz w:val="22"/>
                <w:szCs w:val="22"/>
              </w:rPr>
              <w:t>—</w:t>
            </w:r>
          </w:p>
        </w:tc>
        <w:tc>
          <w:tcPr>
            <w:tcW w:w="544" w:type="pct"/>
            <w:tcBorders>
              <w:top w:val="nil"/>
              <w:left w:val="nil"/>
              <w:bottom w:val="nil"/>
              <w:right w:val="nil"/>
            </w:tcBorders>
            <w:shd w:val="clear" w:color="auto" w:fill="auto"/>
            <w:noWrap/>
            <w:vAlign w:val="bottom"/>
            <w:hideMark/>
          </w:tcPr>
          <w:p w14:paraId="56F349EA" w14:textId="2456D688" w:rsidR="002E5072" w:rsidRPr="008669C3" w:rsidRDefault="004470B4" w:rsidP="004470B4">
            <w:pPr>
              <w:jc w:val="center"/>
              <w:rPr>
                <w:sz w:val="22"/>
                <w:szCs w:val="22"/>
              </w:rPr>
            </w:pPr>
            <w:r w:rsidRPr="008669C3">
              <w:rPr>
                <w:iCs/>
                <w:sz w:val="22"/>
                <w:szCs w:val="22"/>
              </w:rPr>
              <w:t>—</w:t>
            </w:r>
          </w:p>
        </w:tc>
        <w:tc>
          <w:tcPr>
            <w:tcW w:w="103" w:type="pct"/>
            <w:tcBorders>
              <w:top w:val="nil"/>
              <w:left w:val="nil"/>
              <w:bottom w:val="nil"/>
              <w:right w:val="nil"/>
            </w:tcBorders>
            <w:shd w:val="clear" w:color="auto" w:fill="auto"/>
            <w:noWrap/>
            <w:vAlign w:val="bottom"/>
            <w:hideMark/>
          </w:tcPr>
          <w:p w14:paraId="4E677CE2" w14:textId="77777777" w:rsidR="002E5072" w:rsidRPr="008669C3" w:rsidRDefault="002E5072" w:rsidP="004470B4">
            <w:pPr>
              <w:jc w:val="center"/>
              <w:rPr>
                <w:sz w:val="22"/>
                <w:szCs w:val="22"/>
              </w:rPr>
            </w:pPr>
          </w:p>
        </w:tc>
        <w:tc>
          <w:tcPr>
            <w:tcW w:w="559" w:type="pct"/>
            <w:tcBorders>
              <w:top w:val="nil"/>
              <w:left w:val="nil"/>
              <w:bottom w:val="nil"/>
              <w:right w:val="nil"/>
            </w:tcBorders>
            <w:shd w:val="clear" w:color="auto" w:fill="auto"/>
            <w:noWrap/>
            <w:vAlign w:val="bottom"/>
            <w:hideMark/>
          </w:tcPr>
          <w:p w14:paraId="732ED300" w14:textId="501A965E" w:rsidR="00A26E25" w:rsidRPr="008669C3" w:rsidRDefault="004470B4" w:rsidP="00A26E25">
            <w:pPr>
              <w:jc w:val="center"/>
              <w:rPr>
                <w:iCs/>
                <w:sz w:val="22"/>
                <w:szCs w:val="22"/>
              </w:rPr>
            </w:pPr>
            <w:r w:rsidRPr="008669C3">
              <w:rPr>
                <w:iCs/>
                <w:sz w:val="22"/>
                <w:szCs w:val="22"/>
              </w:rPr>
              <w:t>—</w:t>
            </w:r>
          </w:p>
        </w:tc>
        <w:tc>
          <w:tcPr>
            <w:tcW w:w="560" w:type="pct"/>
            <w:tcBorders>
              <w:top w:val="nil"/>
              <w:left w:val="nil"/>
              <w:bottom w:val="nil"/>
              <w:right w:val="nil"/>
            </w:tcBorders>
            <w:shd w:val="clear" w:color="auto" w:fill="auto"/>
            <w:noWrap/>
            <w:vAlign w:val="bottom"/>
            <w:hideMark/>
          </w:tcPr>
          <w:p w14:paraId="66618C3A" w14:textId="2FDADCCE" w:rsidR="002E5072" w:rsidRPr="008669C3" w:rsidRDefault="004470B4" w:rsidP="004470B4">
            <w:pPr>
              <w:jc w:val="center"/>
              <w:rPr>
                <w:sz w:val="22"/>
                <w:szCs w:val="22"/>
              </w:rPr>
            </w:pPr>
            <w:r w:rsidRPr="008669C3">
              <w:rPr>
                <w:iCs/>
                <w:sz w:val="22"/>
                <w:szCs w:val="22"/>
              </w:rPr>
              <w:t>—</w:t>
            </w:r>
          </w:p>
        </w:tc>
        <w:tc>
          <w:tcPr>
            <w:tcW w:w="103" w:type="pct"/>
            <w:tcBorders>
              <w:top w:val="nil"/>
              <w:left w:val="nil"/>
              <w:bottom w:val="nil"/>
              <w:right w:val="nil"/>
            </w:tcBorders>
            <w:shd w:val="clear" w:color="auto" w:fill="auto"/>
            <w:noWrap/>
            <w:vAlign w:val="bottom"/>
            <w:hideMark/>
          </w:tcPr>
          <w:p w14:paraId="474D7632" w14:textId="77777777" w:rsidR="002E5072" w:rsidRPr="008669C3" w:rsidRDefault="002E5072" w:rsidP="002E5072">
            <w:pPr>
              <w:jc w:val="center"/>
              <w:rPr>
                <w:sz w:val="22"/>
                <w:szCs w:val="22"/>
              </w:rPr>
            </w:pPr>
          </w:p>
        </w:tc>
        <w:tc>
          <w:tcPr>
            <w:tcW w:w="416" w:type="pct"/>
            <w:tcBorders>
              <w:top w:val="nil"/>
              <w:left w:val="nil"/>
              <w:bottom w:val="nil"/>
              <w:right w:val="nil"/>
            </w:tcBorders>
            <w:shd w:val="clear" w:color="auto" w:fill="auto"/>
            <w:noWrap/>
            <w:vAlign w:val="bottom"/>
            <w:hideMark/>
          </w:tcPr>
          <w:p w14:paraId="01BC2FF0" w14:textId="6652BFCD" w:rsidR="002E5072" w:rsidRPr="008669C3" w:rsidRDefault="002E5072" w:rsidP="002E5072">
            <w:pPr>
              <w:jc w:val="center"/>
              <w:rPr>
                <w:color w:val="000000"/>
                <w:sz w:val="22"/>
                <w:szCs w:val="22"/>
              </w:rPr>
            </w:pPr>
            <w:r w:rsidRPr="008669C3">
              <w:rPr>
                <w:color w:val="000000"/>
                <w:sz w:val="22"/>
                <w:szCs w:val="22"/>
              </w:rPr>
              <w:t>0.655</w:t>
            </w:r>
            <w:r w:rsidR="004470B4" w:rsidRPr="008669C3">
              <w:rPr>
                <w:color w:val="000000"/>
                <w:sz w:val="20"/>
                <w:szCs w:val="22"/>
              </w:rPr>
              <w:t>*</w:t>
            </w:r>
          </w:p>
        </w:tc>
        <w:tc>
          <w:tcPr>
            <w:tcW w:w="500" w:type="pct"/>
            <w:tcBorders>
              <w:top w:val="nil"/>
              <w:left w:val="nil"/>
              <w:bottom w:val="nil"/>
              <w:right w:val="nil"/>
            </w:tcBorders>
            <w:shd w:val="clear" w:color="auto" w:fill="auto"/>
            <w:noWrap/>
            <w:vAlign w:val="bottom"/>
            <w:hideMark/>
          </w:tcPr>
          <w:p w14:paraId="2B87C083" w14:textId="3DDDAC79" w:rsidR="002E5072" w:rsidRPr="008669C3" w:rsidRDefault="002E5072" w:rsidP="002E5072">
            <w:pPr>
              <w:jc w:val="center"/>
              <w:rPr>
                <w:color w:val="000000"/>
                <w:sz w:val="22"/>
                <w:szCs w:val="22"/>
              </w:rPr>
            </w:pPr>
            <w:r w:rsidRPr="008669C3">
              <w:rPr>
                <w:color w:val="000000"/>
                <w:sz w:val="22"/>
                <w:szCs w:val="22"/>
              </w:rPr>
              <w:t>0.143</w:t>
            </w:r>
          </w:p>
        </w:tc>
      </w:tr>
      <w:tr w:rsidR="00142C1A" w:rsidRPr="008669C3" w14:paraId="120FAFDB" w14:textId="77777777" w:rsidTr="00142C1A">
        <w:trPr>
          <w:trHeight w:val="20"/>
        </w:trPr>
        <w:tc>
          <w:tcPr>
            <w:tcW w:w="1689" w:type="pct"/>
            <w:tcBorders>
              <w:top w:val="nil"/>
              <w:left w:val="nil"/>
              <w:bottom w:val="nil"/>
              <w:right w:val="nil"/>
            </w:tcBorders>
            <w:shd w:val="clear" w:color="auto" w:fill="auto"/>
            <w:noWrap/>
            <w:vAlign w:val="bottom"/>
            <w:hideMark/>
          </w:tcPr>
          <w:p w14:paraId="6CB8C832" w14:textId="77777777" w:rsidR="002E5072" w:rsidRPr="008669C3" w:rsidRDefault="002E5072" w:rsidP="002E5072">
            <w:pPr>
              <w:jc w:val="center"/>
              <w:rPr>
                <w:color w:val="000000"/>
                <w:sz w:val="22"/>
                <w:szCs w:val="22"/>
              </w:rPr>
            </w:pPr>
          </w:p>
        </w:tc>
        <w:tc>
          <w:tcPr>
            <w:tcW w:w="526" w:type="pct"/>
            <w:tcBorders>
              <w:top w:val="nil"/>
              <w:left w:val="nil"/>
              <w:bottom w:val="nil"/>
              <w:right w:val="nil"/>
            </w:tcBorders>
            <w:shd w:val="clear" w:color="auto" w:fill="auto"/>
            <w:noWrap/>
            <w:vAlign w:val="bottom"/>
            <w:hideMark/>
          </w:tcPr>
          <w:p w14:paraId="07E51FED" w14:textId="77777777" w:rsidR="002E5072" w:rsidRPr="008669C3" w:rsidRDefault="002E5072" w:rsidP="002E5072">
            <w:pPr>
              <w:rPr>
                <w:sz w:val="22"/>
                <w:szCs w:val="22"/>
              </w:rPr>
            </w:pPr>
          </w:p>
        </w:tc>
        <w:tc>
          <w:tcPr>
            <w:tcW w:w="544" w:type="pct"/>
            <w:tcBorders>
              <w:top w:val="nil"/>
              <w:left w:val="nil"/>
              <w:bottom w:val="nil"/>
              <w:right w:val="nil"/>
            </w:tcBorders>
            <w:shd w:val="clear" w:color="auto" w:fill="auto"/>
            <w:noWrap/>
            <w:vAlign w:val="bottom"/>
            <w:hideMark/>
          </w:tcPr>
          <w:p w14:paraId="7C068104" w14:textId="77777777" w:rsidR="002E5072" w:rsidRPr="008669C3" w:rsidRDefault="002E5072" w:rsidP="002E5072">
            <w:pPr>
              <w:jc w:val="center"/>
              <w:rPr>
                <w:sz w:val="22"/>
                <w:szCs w:val="22"/>
              </w:rPr>
            </w:pPr>
          </w:p>
        </w:tc>
        <w:tc>
          <w:tcPr>
            <w:tcW w:w="103" w:type="pct"/>
            <w:tcBorders>
              <w:top w:val="nil"/>
              <w:left w:val="nil"/>
              <w:bottom w:val="nil"/>
              <w:right w:val="nil"/>
            </w:tcBorders>
            <w:shd w:val="clear" w:color="auto" w:fill="auto"/>
            <w:noWrap/>
            <w:vAlign w:val="bottom"/>
            <w:hideMark/>
          </w:tcPr>
          <w:p w14:paraId="20905FF4" w14:textId="77777777" w:rsidR="002E5072" w:rsidRPr="008669C3" w:rsidRDefault="002E5072" w:rsidP="002E5072">
            <w:pPr>
              <w:jc w:val="center"/>
              <w:rPr>
                <w:sz w:val="22"/>
                <w:szCs w:val="22"/>
              </w:rPr>
            </w:pPr>
          </w:p>
        </w:tc>
        <w:tc>
          <w:tcPr>
            <w:tcW w:w="559" w:type="pct"/>
            <w:tcBorders>
              <w:top w:val="nil"/>
              <w:left w:val="nil"/>
              <w:bottom w:val="nil"/>
              <w:right w:val="nil"/>
            </w:tcBorders>
            <w:shd w:val="clear" w:color="auto" w:fill="auto"/>
            <w:noWrap/>
            <w:vAlign w:val="bottom"/>
            <w:hideMark/>
          </w:tcPr>
          <w:p w14:paraId="5DBDE3E3" w14:textId="77777777" w:rsidR="002E5072" w:rsidRPr="008669C3" w:rsidRDefault="002E5072" w:rsidP="002E5072">
            <w:pPr>
              <w:jc w:val="center"/>
              <w:rPr>
                <w:sz w:val="22"/>
                <w:szCs w:val="22"/>
              </w:rPr>
            </w:pPr>
          </w:p>
        </w:tc>
        <w:tc>
          <w:tcPr>
            <w:tcW w:w="560" w:type="pct"/>
            <w:tcBorders>
              <w:top w:val="nil"/>
              <w:left w:val="nil"/>
              <w:bottom w:val="nil"/>
              <w:right w:val="nil"/>
            </w:tcBorders>
            <w:shd w:val="clear" w:color="auto" w:fill="auto"/>
            <w:noWrap/>
            <w:vAlign w:val="bottom"/>
            <w:hideMark/>
          </w:tcPr>
          <w:p w14:paraId="58DC69E8" w14:textId="77777777" w:rsidR="002E5072" w:rsidRPr="008669C3" w:rsidRDefault="002E5072" w:rsidP="002E5072">
            <w:pPr>
              <w:jc w:val="center"/>
              <w:rPr>
                <w:sz w:val="22"/>
                <w:szCs w:val="22"/>
              </w:rPr>
            </w:pPr>
          </w:p>
        </w:tc>
        <w:tc>
          <w:tcPr>
            <w:tcW w:w="103" w:type="pct"/>
            <w:tcBorders>
              <w:top w:val="nil"/>
              <w:left w:val="nil"/>
              <w:bottom w:val="nil"/>
              <w:right w:val="nil"/>
            </w:tcBorders>
            <w:shd w:val="clear" w:color="auto" w:fill="auto"/>
            <w:noWrap/>
            <w:vAlign w:val="bottom"/>
            <w:hideMark/>
          </w:tcPr>
          <w:p w14:paraId="1AD7DF72" w14:textId="77777777" w:rsidR="002E5072" w:rsidRPr="008669C3" w:rsidRDefault="002E5072" w:rsidP="002E5072">
            <w:pPr>
              <w:jc w:val="center"/>
              <w:rPr>
                <w:sz w:val="22"/>
                <w:szCs w:val="22"/>
              </w:rPr>
            </w:pPr>
          </w:p>
        </w:tc>
        <w:tc>
          <w:tcPr>
            <w:tcW w:w="416" w:type="pct"/>
            <w:tcBorders>
              <w:top w:val="nil"/>
              <w:left w:val="nil"/>
              <w:bottom w:val="nil"/>
              <w:right w:val="nil"/>
            </w:tcBorders>
            <w:shd w:val="clear" w:color="auto" w:fill="auto"/>
            <w:noWrap/>
            <w:vAlign w:val="bottom"/>
            <w:hideMark/>
          </w:tcPr>
          <w:p w14:paraId="66A3DD0C" w14:textId="101E4602" w:rsidR="002E5072" w:rsidRPr="008669C3" w:rsidRDefault="002E5072" w:rsidP="004470B4">
            <w:pPr>
              <w:jc w:val="center"/>
              <w:rPr>
                <w:color w:val="000000"/>
                <w:sz w:val="22"/>
                <w:szCs w:val="22"/>
              </w:rPr>
            </w:pPr>
            <w:r w:rsidRPr="008669C3">
              <w:rPr>
                <w:color w:val="000000"/>
                <w:sz w:val="22"/>
                <w:szCs w:val="22"/>
              </w:rPr>
              <w:t>(0.</w:t>
            </w:r>
            <w:r w:rsidR="004470B4" w:rsidRPr="008669C3">
              <w:rPr>
                <w:color w:val="000000"/>
                <w:sz w:val="22"/>
                <w:szCs w:val="22"/>
              </w:rPr>
              <w:t>3</w:t>
            </w:r>
            <w:r w:rsidRPr="008669C3">
              <w:rPr>
                <w:color w:val="000000"/>
                <w:sz w:val="22"/>
                <w:szCs w:val="22"/>
              </w:rPr>
              <w:t>47)</w:t>
            </w:r>
          </w:p>
        </w:tc>
        <w:tc>
          <w:tcPr>
            <w:tcW w:w="500" w:type="pct"/>
            <w:tcBorders>
              <w:top w:val="nil"/>
              <w:left w:val="nil"/>
              <w:bottom w:val="nil"/>
              <w:right w:val="nil"/>
            </w:tcBorders>
            <w:shd w:val="clear" w:color="auto" w:fill="auto"/>
            <w:noWrap/>
            <w:vAlign w:val="bottom"/>
            <w:hideMark/>
          </w:tcPr>
          <w:p w14:paraId="3763FDE3" w14:textId="74A85729" w:rsidR="002E5072" w:rsidRPr="008669C3" w:rsidRDefault="002E5072" w:rsidP="004470B4">
            <w:pPr>
              <w:jc w:val="center"/>
              <w:rPr>
                <w:color w:val="000000"/>
                <w:sz w:val="22"/>
                <w:szCs w:val="22"/>
              </w:rPr>
            </w:pPr>
            <w:r w:rsidRPr="008669C3">
              <w:rPr>
                <w:color w:val="000000"/>
                <w:sz w:val="22"/>
                <w:szCs w:val="22"/>
              </w:rPr>
              <w:t>(0.</w:t>
            </w:r>
            <w:r w:rsidR="004470B4" w:rsidRPr="008669C3">
              <w:rPr>
                <w:color w:val="000000"/>
                <w:sz w:val="22"/>
                <w:szCs w:val="22"/>
              </w:rPr>
              <w:t>2</w:t>
            </w:r>
            <w:r w:rsidRPr="008669C3">
              <w:rPr>
                <w:color w:val="000000"/>
                <w:sz w:val="22"/>
                <w:szCs w:val="22"/>
              </w:rPr>
              <w:t>98)</w:t>
            </w:r>
          </w:p>
        </w:tc>
      </w:tr>
      <w:tr w:rsidR="00142C1A" w:rsidRPr="008669C3" w14:paraId="6206D25E" w14:textId="77777777" w:rsidTr="00142C1A">
        <w:trPr>
          <w:trHeight w:val="20"/>
        </w:trPr>
        <w:tc>
          <w:tcPr>
            <w:tcW w:w="1689" w:type="pct"/>
            <w:tcBorders>
              <w:top w:val="nil"/>
              <w:left w:val="nil"/>
              <w:bottom w:val="nil"/>
              <w:right w:val="nil"/>
            </w:tcBorders>
            <w:shd w:val="clear" w:color="auto" w:fill="auto"/>
            <w:noWrap/>
            <w:vAlign w:val="bottom"/>
            <w:hideMark/>
          </w:tcPr>
          <w:p w14:paraId="7EDA157C" w14:textId="77777777" w:rsidR="002E5072" w:rsidRPr="008669C3" w:rsidRDefault="002E5072" w:rsidP="002E5072">
            <w:pPr>
              <w:rPr>
                <w:color w:val="000000"/>
                <w:sz w:val="22"/>
                <w:szCs w:val="22"/>
              </w:rPr>
            </w:pPr>
            <w:r w:rsidRPr="008669C3">
              <w:rPr>
                <w:color w:val="000000"/>
                <w:sz w:val="22"/>
                <w:szCs w:val="22"/>
              </w:rPr>
              <w:t>Institutional ownership</w:t>
            </w:r>
          </w:p>
        </w:tc>
        <w:tc>
          <w:tcPr>
            <w:tcW w:w="526" w:type="pct"/>
            <w:tcBorders>
              <w:top w:val="nil"/>
              <w:left w:val="nil"/>
              <w:bottom w:val="nil"/>
              <w:right w:val="nil"/>
            </w:tcBorders>
            <w:shd w:val="clear" w:color="auto" w:fill="auto"/>
            <w:noWrap/>
            <w:vAlign w:val="bottom"/>
            <w:hideMark/>
          </w:tcPr>
          <w:p w14:paraId="0F772757" w14:textId="7208461B" w:rsidR="002E5072" w:rsidRPr="008669C3" w:rsidRDefault="002E5072" w:rsidP="00926983">
            <w:pPr>
              <w:jc w:val="center"/>
              <w:rPr>
                <w:color w:val="000000"/>
                <w:sz w:val="22"/>
                <w:szCs w:val="22"/>
              </w:rPr>
            </w:pPr>
            <w:r w:rsidRPr="008669C3">
              <w:rPr>
                <w:color w:val="000000"/>
                <w:sz w:val="22"/>
                <w:szCs w:val="22"/>
              </w:rPr>
              <w:t>-0.</w:t>
            </w:r>
            <w:r w:rsidR="00926983" w:rsidRPr="008669C3">
              <w:rPr>
                <w:color w:val="000000"/>
                <w:sz w:val="22"/>
                <w:szCs w:val="22"/>
              </w:rPr>
              <w:t>5</w:t>
            </w:r>
            <w:r w:rsidRPr="008669C3">
              <w:rPr>
                <w:color w:val="000000"/>
                <w:sz w:val="22"/>
                <w:szCs w:val="22"/>
              </w:rPr>
              <w:t>20</w:t>
            </w:r>
          </w:p>
        </w:tc>
        <w:tc>
          <w:tcPr>
            <w:tcW w:w="544" w:type="pct"/>
            <w:tcBorders>
              <w:top w:val="nil"/>
              <w:left w:val="nil"/>
              <w:bottom w:val="nil"/>
              <w:right w:val="nil"/>
            </w:tcBorders>
            <w:shd w:val="clear" w:color="auto" w:fill="auto"/>
            <w:noWrap/>
            <w:vAlign w:val="bottom"/>
            <w:hideMark/>
          </w:tcPr>
          <w:p w14:paraId="692D00A8" w14:textId="77777777" w:rsidR="002E5072" w:rsidRPr="008669C3" w:rsidRDefault="002E5072" w:rsidP="002E5072">
            <w:pPr>
              <w:jc w:val="center"/>
              <w:rPr>
                <w:color w:val="000000"/>
                <w:sz w:val="22"/>
                <w:szCs w:val="22"/>
              </w:rPr>
            </w:pPr>
            <w:r w:rsidRPr="008669C3">
              <w:rPr>
                <w:color w:val="000000"/>
                <w:sz w:val="22"/>
                <w:szCs w:val="22"/>
              </w:rPr>
              <w:t>-0.348</w:t>
            </w:r>
          </w:p>
        </w:tc>
        <w:tc>
          <w:tcPr>
            <w:tcW w:w="103" w:type="pct"/>
            <w:tcBorders>
              <w:top w:val="nil"/>
              <w:left w:val="nil"/>
              <w:bottom w:val="nil"/>
              <w:right w:val="nil"/>
            </w:tcBorders>
            <w:shd w:val="clear" w:color="auto" w:fill="auto"/>
            <w:noWrap/>
            <w:vAlign w:val="bottom"/>
            <w:hideMark/>
          </w:tcPr>
          <w:p w14:paraId="7E7F14E1" w14:textId="77777777" w:rsidR="002E5072" w:rsidRPr="008669C3" w:rsidRDefault="002E5072" w:rsidP="002E5072">
            <w:pPr>
              <w:jc w:val="center"/>
              <w:rPr>
                <w:color w:val="000000"/>
                <w:sz w:val="22"/>
                <w:szCs w:val="22"/>
              </w:rPr>
            </w:pPr>
          </w:p>
        </w:tc>
        <w:tc>
          <w:tcPr>
            <w:tcW w:w="559" w:type="pct"/>
            <w:tcBorders>
              <w:top w:val="nil"/>
              <w:left w:val="nil"/>
              <w:bottom w:val="nil"/>
              <w:right w:val="nil"/>
            </w:tcBorders>
            <w:shd w:val="clear" w:color="auto" w:fill="auto"/>
            <w:noWrap/>
            <w:vAlign w:val="bottom"/>
            <w:hideMark/>
          </w:tcPr>
          <w:p w14:paraId="6C50F27F" w14:textId="77777777" w:rsidR="002E5072" w:rsidRPr="008669C3" w:rsidRDefault="002E5072" w:rsidP="002E5072">
            <w:pPr>
              <w:jc w:val="center"/>
              <w:rPr>
                <w:color w:val="000000"/>
                <w:sz w:val="22"/>
                <w:szCs w:val="22"/>
              </w:rPr>
            </w:pPr>
            <w:r w:rsidRPr="008669C3">
              <w:rPr>
                <w:color w:val="000000"/>
                <w:sz w:val="22"/>
                <w:szCs w:val="22"/>
              </w:rPr>
              <w:t>0.758</w:t>
            </w:r>
            <w:r w:rsidRPr="008669C3">
              <w:rPr>
                <w:color w:val="000000"/>
                <w:sz w:val="20"/>
                <w:szCs w:val="22"/>
              </w:rPr>
              <w:t>*</w:t>
            </w:r>
          </w:p>
        </w:tc>
        <w:tc>
          <w:tcPr>
            <w:tcW w:w="560" w:type="pct"/>
            <w:tcBorders>
              <w:top w:val="nil"/>
              <w:left w:val="nil"/>
              <w:bottom w:val="nil"/>
              <w:right w:val="nil"/>
            </w:tcBorders>
            <w:shd w:val="clear" w:color="auto" w:fill="auto"/>
            <w:noWrap/>
            <w:vAlign w:val="bottom"/>
            <w:hideMark/>
          </w:tcPr>
          <w:p w14:paraId="7873EE97" w14:textId="77777777" w:rsidR="002E5072" w:rsidRPr="008669C3" w:rsidRDefault="002E5072" w:rsidP="002E5072">
            <w:pPr>
              <w:jc w:val="center"/>
              <w:rPr>
                <w:color w:val="000000"/>
                <w:sz w:val="22"/>
                <w:szCs w:val="22"/>
              </w:rPr>
            </w:pPr>
            <w:r w:rsidRPr="008669C3">
              <w:rPr>
                <w:color w:val="000000"/>
                <w:sz w:val="22"/>
                <w:szCs w:val="22"/>
              </w:rPr>
              <w:t>0.691</w:t>
            </w:r>
            <w:r w:rsidRPr="008669C3">
              <w:rPr>
                <w:color w:val="000000"/>
                <w:sz w:val="20"/>
                <w:szCs w:val="22"/>
              </w:rPr>
              <w:t>*</w:t>
            </w:r>
          </w:p>
        </w:tc>
        <w:tc>
          <w:tcPr>
            <w:tcW w:w="103" w:type="pct"/>
            <w:tcBorders>
              <w:top w:val="nil"/>
              <w:left w:val="nil"/>
              <w:bottom w:val="nil"/>
              <w:right w:val="nil"/>
            </w:tcBorders>
            <w:shd w:val="clear" w:color="auto" w:fill="auto"/>
            <w:noWrap/>
            <w:vAlign w:val="bottom"/>
            <w:hideMark/>
          </w:tcPr>
          <w:p w14:paraId="12950BD2" w14:textId="77777777" w:rsidR="002E5072" w:rsidRPr="008669C3" w:rsidRDefault="002E5072" w:rsidP="002E5072">
            <w:pPr>
              <w:jc w:val="center"/>
              <w:rPr>
                <w:color w:val="000000"/>
                <w:sz w:val="22"/>
                <w:szCs w:val="22"/>
              </w:rPr>
            </w:pPr>
          </w:p>
        </w:tc>
        <w:tc>
          <w:tcPr>
            <w:tcW w:w="416" w:type="pct"/>
            <w:tcBorders>
              <w:top w:val="nil"/>
              <w:left w:val="nil"/>
              <w:bottom w:val="nil"/>
              <w:right w:val="nil"/>
            </w:tcBorders>
            <w:shd w:val="clear" w:color="auto" w:fill="auto"/>
            <w:noWrap/>
            <w:vAlign w:val="bottom"/>
            <w:hideMark/>
          </w:tcPr>
          <w:p w14:paraId="7AF33F97" w14:textId="77777777" w:rsidR="002E5072" w:rsidRPr="008669C3" w:rsidRDefault="002E5072" w:rsidP="002E5072">
            <w:pPr>
              <w:jc w:val="center"/>
              <w:rPr>
                <w:color w:val="000000"/>
                <w:sz w:val="22"/>
                <w:szCs w:val="22"/>
              </w:rPr>
            </w:pPr>
            <w:r w:rsidRPr="008669C3">
              <w:rPr>
                <w:color w:val="000000"/>
                <w:sz w:val="22"/>
                <w:szCs w:val="22"/>
              </w:rPr>
              <w:t>-0.047</w:t>
            </w:r>
          </w:p>
        </w:tc>
        <w:tc>
          <w:tcPr>
            <w:tcW w:w="500" w:type="pct"/>
            <w:tcBorders>
              <w:top w:val="nil"/>
              <w:left w:val="nil"/>
              <w:bottom w:val="nil"/>
              <w:right w:val="nil"/>
            </w:tcBorders>
            <w:shd w:val="clear" w:color="auto" w:fill="auto"/>
            <w:noWrap/>
            <w:vAlign w:val="bottom"/>
            <w:hideMark/>
          </w:tcPr>
          <w:p w14:paraId="60DB8EEC" w14:textId="77777777" w:rsidR="002E5072" w:rsidRPr="008669C3" w:rsidRDefault="002E5072" w:rsidP="002E5072">
            <w:pPr>
              <w:jc w:val="center"/>
              <w:rPr>
                <w:color w:val="000000"/>
                <w:sz w:val="22"/>
                <w:szCs w:val="22"/>
              </w:rPr>
            </w:pPr>
            <w:r w:rsidRPr="008669C3">
              <w:rPr>
                <w:color w:val="000000"/>
                <w:sz w:val="22"/>
                <w:szCs w:val="22"/>
              </w:rPr>
              <w:t>0.068</w:t>
            </w:r>
          </w:p>
        </w:tc>
      </w:tr>
      <w:tr w:rsidR="00142C1A" w:rsidRPr="008669C3" w14:paraId="77AE6585" w14:textId="77777777" w:rsidTr="00142C1A">
        <w:trPr>
          <w:trHeight w:val="20"/>
        </w:trPr>
        <w:tc>
          <w:tcPr>
            <w:tcW w:w="1689" w:type="pct"/>
            <w:tcBorders>
              <w:top w:val="nil"/>
              <w:left w:val="nil"/>
              <w:bottom w:val="single" w:sz="4" w:space="0" w:color="auto"/>
              <w:right w:val="nil"/>
            </w:tcBorders>
            <w:shd w:val="clear" w:color="auto" w:fill="auto"/>
            <w:noWrap/>
            <w:vAlign w:val="bottom"/>
            <w:hideMark/>
          </w:tcPr>
          <w:p w14:paraId="3AC149CC" w14:textId="77777777" w:rsidR="002E5072" w:rsidRPr="008669C3" w:rsidRDefault="002E5072" w:rsidP="002E5072">
            <w:pPr>
              <w:rPr>
                <w:color w:val="000000"/>
                <w:sz w:val="22"/>
                <w:szCs w:val="22"/>
              </w:rPr>
            </w:pPr>
            <w:r w:rsidRPr="008669C3">
              <w:rPr>
                <w:color w:val="000000"/>
                <w:sz w:val="22"/>
                <w:szCs w:val="22"/>
              </w:rPr>
              <w:t> </w:t>
            </w:r>
          </w:p>
        </w:tc>
        <w:tc>
          <w:tcPr>
            <w:tcW w:w="526" w:type="pct"/>
            <w:tcBorders>
              <w:top w:val="nil"/>
              <w:left w:val="nil"/>
              <w:bottom w:val="single" w:sz="4" w:space="0" w:color="auto"/>
              <w:right w:val="nil"/>
            </w:tcBorders>
            <w:shd w:val="clear" w:color="auto" w:fill="auto"/>
            <w:noWrap/>
            <w:vAlign w:val="bottom"/>
            <w:hideMark/>
          </w:tcPr>
          <w:p w14:paraId="2438F54C" w14:textId="2083B6D6" w:rsidR="002E5072" w:rsidRPr="008669C3" w:rsidRDefault="002E5072" w:rsidP="00926983">
            <w:pPr>
              <w:jc w:val="center"/>
              <w:rPr>
                <w:color w:val="000000"/>
                <w:sz w:val="22"/>
                <w:szCs w:val="22"/>
              </w:rPr>
            </w:pPr>
            <w:r w:rsidRPr="008669C3">
              <w:rPr>
                <w:color w:val="000000"/>
                <w:sz w:val="22"/>
                <w:szCs w:val="22"/>
              </w:rPr>
              <w:t>(0.</w:t>
            </w:r>
            <w:r w:rsidR="00926983" w:rsidRPr="008669C3">
              <w:rPr>
                <w:color w:val="000000"/>
                <w:sz w:val="22"/>
                <w:szCs w:val="22"/>
              </w:rPr>
              <w:t>4</w:t>
            </w:r>
            <w:r w:rsidRPr="008669C3">
              <w:rPr>
                <w:color w:val="000000"/>
                <w:sz w:val="22"/>
                <w:szCs w:val="22"/>
              </w:rPr>
              <w:t>13)</w:t>
            </w:r>
          </w:p>
        </w:tc>
        <w:tc>
          <w:tcPr>
            <w:tcW w:w="544" w:type="pct"/>
            <w:tcBorders>
              <w:top w:val="nil"/>
              <w:left w:val="nil"/>
              <w:bottom w:val="single" w:sz="4" w:space="0" w:color="auto"/>
              <w:right w:val="nil"/>
            </w:tcBorders>
            <w:shd w:val="clear" w:color="auto" w:fill="auto"/>
            <w:noWrap/>
            <w:vAlign w:val="bottom"/>
            <w:hideMark/>
          </w:tcPr>
          <w:p w14:paraId="38272473" w14:textId="77777777" w:rsidR="002E5072" w:rsidRPr="008669C3" w:rsidRDefault="002E5072" w:rsidP="002E5072">
            <w:pPr>
              <w:jc w:val="center"/>
              <w:rPr>
                <w:color w:val="000000"/>
                <w:sz w:val="22"/>
                <w:szCs w:val="22"/>
              </w:rPr>
            </w:pPr>
            <w:r w:rsidRPr="008669C3">
              <w:rPr>
                <w:color w:val="000000"/>
                <w:sz w:val="22"/>
                <w:szCs w:val="22"/>
              </w:rPr>
              <w:t>(0.316)</w:t>
            </w:r>
          </w:p>
        </w:tc>
        <w:tc>
          <w:tcPr>
            <w:tcW w:w="103" w:type="pct"/>
            <w:tcBorders>
              <w:top w:val="nil"/>
              <w:left w:val="nil"/>
              <w:bottom w:val="single" w:sz="4" w:space="0" w:color="auto"/>
              <w:right w:val="nil"/>
            </w:tcBorders>
            <w:shd w:val="clear" w:color="auto" w:fill="auto"/>
            <w:noWrap/>
            <w:vAlign w:val="bottom"/>
            <w:hideMark/>
          </w:tcPr>
          <w:p w14:paraId="50AE2053" w14:textId="77777777" w:rsidR="002E5072" w:rsidRPr="008669C3" w:rsidRDefault="002E5072" w:rsidP="002E5072">
            <w:pPr>
              <w:jc w:val="center"/>
              <w:rPr>
                <w:color w:val="000000"/>
                <w:sz w:val="22"/>
                <w:szCs w:val="22"/>
              </w:rPr>
            </w:pPr>
            <w:r w:rsidRPr="008669C3">
              <w:rPr>
                <w:color w:val="000000"/>
                <w:sz w:val="22"/>
                <w:szCs w:val="22"/>
              </w:rPr>
              <w:t> </w:t>
            </w:r>
          </w:p>
        </w:tc>
        <w:tc>
          <w:tcPr>
            <w:tcW w:w="559" w:type="pct"/>
            <w:tcBorders>
              <w:top w:val="nil"/>
              <w:left w:val="nil"/>
              <w:bottom w:val="single" w:sz="4" w:space="0" w:color="auto"/>
              <w:right w:val="nil"/>
            </w:tcBorders>
            <w:shd w:val="clear" w:color="auto" w:fill="auto"/>
            <w:noWrap/>
            <w:vAlign w:val="bottom"/>
            <w:hideMark/>
          </w:tcPr>
          <w:p w14:paraId="431AF41B" w14:textId="77777777" w:rsidR="002E5072" w:rsidRPr="008669C3" w:rsidRDefault="002E5072" w:rsidP="002E5072">
            <w:pPr>
              <w:jc w:val="center"/>
              <w:rPr>
                <w:color w:val="000000"/>
                <w:sz w:val="22"/>
                <w:szCs w:val="22"/>
              </w:rPr>
            </w:pPr>
            <w:r w:rsidRPr="008669C3">
              <w:rPr>
                <w:color w:val="000000"/>
                <w:sz w:val="22"/>
                <w:szCs w:val="22"/>
              </w:rPr>
              <w:t>(0.423)</w:t>
            </w:r>
          </w:p>
        </w:tc>
        <w:tc>
          <w:tcPr>
            <w:tcW w:w="560" w:type="pct"/>
            <w:tcBorders>
              <w:top w:val="nil"/>
              <w:left w:val="nil"/>
              <w:bottom w:val="single" w:sz="4" w:space="0" w:color="auto"/>
              <w:right w:val="nil"/>
            </w:tcBorders>
            <w:shd w:val="clear" w:color="auto" w:fill="auto"/>
            <w:noWrap/>
            <w:vAlign w:val="bottom"/>
            <w:hideMark/>
          </w:tcPr>
          <w:p w14:paraId="7C13957C" w14:textId="77777777" w:rsidR="002E5072" w:rsidRPr="008669C3" w:rsidRDefault="002E5072" w:rsidP="002E5072">
            <w:pPr>
              <w:jc w:val="center"/>
              <w:rPr>
                <w:color w:val="000000"/>
                <w:sz w:val="22"/>
                <w:szCs w:val="22"/>
              </w:rPr>
            </w:pPr>
            <w:r w:rsidRPr="008669C3">
              <w:rPr>
                <w:color w:val="000000"/>
                <w:sz w:val="22"/>
                <w:szCs w:val="22"/>
              </w:rPr>
              <w:t>(0.356)</w:t>
            </w:r>
          </w:p>
        </w:tc>
        <w:tc>
          <w:tcPr>
            <w:tcW w:w="103" w:type="pct"/>
            <w:tcBorders>
              <w:top w:val="nil"/>
              <w:left w:val="nil"/>
              <w:bottom w:val="single" w:sz="4" w:space="0" w:color="auto"/>
              <w:right w:val="nil"/>
            </w:tcBorders>
            <w:shd w:val="clear" w:color="auto" w:fill="auto"/>
            <w:noWrap/>
            <w:vAlign w:val="bottom"/>
            <w:hideMark/>
          </w:tcPr>
          <w:p w14:paraId="165AA28C" w14:textId="77777777" w:rsidR="002E5072" w:rsidRPr="008669C3" w:rsidRDefault="002E5072" w:rsidP="002E5072">
            <w:pPr>
              <w:jc w:val="center"/>
              <w:rPr>
                <w:color w:val="000000"/>
                <w:sz w:val="22"/>
                <w:szCs w:val="22"/>
              </w:rPr>
            </w:pPr>
            <w:r w:rsidRPr="008669C3">
              <w:rPr>
                <w:color w:val="000000"/>
                <w:sz w:val="22"/>
                <w:szCs w:val="22"/>
              </w:rPr>
              <w:t> </w:t>
            </w:r>
          </w:p>
        </w:tc>
        <w:tc>
          <w:tcPr>
            <w:tcW w:w="416" w:type="pct"/>
            <w:tcBorders>
              <w:top w:val="nil"/>
              <w:left w:val="nil"/>
              <w:bottom w:val="single" w:sz="4" w:space="0" w:color="auto"/>
              <w:right w:val="nil"/>
            </w:tcBorders>
            <w:shd w:val="clear" w:color="auto" w:fill="auto"/>
            <w:noWrap/>
            <w:vAlign w:val="bottom"/>
            <w:hideMark/>
          </w:tcPr>
          <w:p w14:paraId="2E1A88F0" w14:textId="77777777" w:rsidR="002E5072" w:rsidRPr="008669C3" w:rsidRDefault="002E5072" w:rsidP="002E5072">
            <w:pPr>
              <w:jc w:val="center"/>
              <w:rPr>
                <w:color w:val="000000"/>
                <w:sz w:val="22"/>
                <w:szCs w:val="22"/>
              </w:rPr>
            </w:pPr>
            <w:r w:rsidRPr="008669C3">
              <w:rPr>
                <w:color w:val="000000"/>
                <w:sz w:val="22"/>
                <w:szCs w:val="22"/>
              </w:rPr>
              <w:t>(0.225)</w:t>
            </w:r>
          </w:p>
        </w:tc>
        <w:tc>
          <w:tcPr>
            <w:tcW w:w="500" w:type="pct"/>
            <w:tcBorders>
              <w:top w:val="nil"/>
              <w:left w:val="nil"/>
              <w:bottom w:val="single" w:sz="4" w:space="0" w:color="auto"/>
              <w:right w:val="nil"/>
            </w:tcBorders>
            <w:shd w:val="clear" w:color="auto" w:fill="auto"/>
            <w:noWrap/>
            <w:vAlign w:val="bottom"/>
            <w:hideMark/>
          </w:tcPr>
          <w:p w14:paraId="4B041BE1" w14:textId="77777777" w:rsidR="002E5072" w:rsidRPr="008669C3" w:rsidRDefault="002E5072" w:rsidP="002E5072">
            <w:pPr>
              <w:jc w:val="center"/>
              <w:rPr>
                <w:color w:val="000000"/>
                <w:sz w:val="22"/>
                <w:szCs w:val="22"/>
              </w:rPr>
            </w:pPr>
            <w:r w:rsidRPr="008669C3">
              <w:rPr>
                <w:color w:val="000000"/>
                <w:sz w:val="22"/>
                <w:szCs w:val="22"/>
              </w:rPr>
              <w:t>(0.187)</w:t>
            </w:r>
          </w:p>
        </w:tc>
      </w:tr>
      <w:tr w:rsidR="00142C1A" w:rsidRPr="008669C3" w14:paraId="30F23F2B" w14:textId="77777777" w:rsidTr="00142C1A">
        <w:trPr>
          <w:trHeight w:val="20"/>
        </w:trPr>
        <w:tc>
          <w:tcPr>
            <w:tcW w:w="1689" w:type="pct"/>
            <w:tcBorders>
              <w:top w:val="nil"/>
              <w:left w:val="nil"/>
              <w:bottom w:val="nil"/>
              <w:right w:val="nil"/>
            </w:tcBorders>
            <w:shd w:val="clear" w:color="auto" w:fill="auto"/>
            <w:noWrap/>
            <w:vAlign w:val="bottom"/>
          </w:tcPr>
          <w:p w14:paraId="30473ADA" w14:textId="586E2757" w:rsidR="002E5072" w:rsidRPr="008669C3" w:rsidRDefault="002E5072" w:rsidP="002E5072">
            <w:pPr>
              <w:rPr>
                <w:color w:val="000000"/>
                <w:sz w:val="22"/>
                <w:szCs w:val="22"/>
              </w:rPr>
            </w:pPr>
            <w:r w:rsidRPr="008669C3">
              <w:rPr>
                <w:color w:val="000000"/>
                <w:sz w:val="22"/>
                <w:szCs w:val="22"/>
              </w:rPr>
              <w:t>All controls</w:t>
            </w:r>
          </w:p>
        </w:tc>
        <w:tc>
          <w:tcPr>
            <w:tcW w:w="526" w:type="pct"/>
            <w:tcBorders>
              <w:top w:val="nil"/>
              <w:left w:val="nil"/>
              <w:bottom w:val="nil"/>
              <w:right w:val="nil"/>
            </w:tcBorders>
            <w:shd w:val="clear" w:color="auto" w:fill="auto"/>
            <w:noWrap/>
            <w:vAlign w:val="bottom"/>
          </w:tcPr>
          <w:p w14:paraId="37A99BD5" w14:textId="3E9090A4" w:rsidR="002E5072" w:rsidRPr="008669C3" w:rsidRDefault="002E5072" w:rsidP="002E5072">
            <w:pPr>
              <w:jc w:val="center"/>
              <w:rPr>
                <w:color w:val="000000"/>
                <w:sz w:val="22"/>
                <w:szCs w:val="22"/>
              </w:rPr>
            </w:pPr>
            <w:r w:rsidRPr="008669C3">
              <w:rPr>
                <w:color w:val="000000"/>
                <w:sz w:val="22"/>
                <w:szCs w:val="22"/>
              </w:rPr>
              <w:t>Yes</w:t>
            </w:r>
          </w:p>
        </w:tc>
        <w:tc>
          <w:tcPr>
            <w:tcW w:w="544" w:type="pct"/>
            <w:tcBorders>
              <w:top w:val="nil"/>
              <w:left w:val="nil"/>
              <w:bottom w:val="nil"/>
              <w:right w:val="nil"/>
            </w:tcBorders>
            <w:shd w:val="clear" w:color="auto" w:fill="auto"/>
            <w:noWrap/>
            <w:vAlign w:val="bottom"/>
          </w:tcPr>
          <w:p w14:paraId="00CBFDAB" w14:textId="4B09CAFB" w:rsidR="002E5072" w:rsidRPr="008669C3" w:rsidRDefault="002E5072" w:rsidP="002E5072">
            <w:pPr>
              <w:jc w:val="center"/>
              <w:rPr>
                <w:color w:val="000000"/>
                <w:sz w:val="22"/>
                <w:szCs w:val="22"/>
              </w:rPr>
            </w:pPr>
            <w:r w:rsidRPr="008669C3">
              <w:rPr>
                <w:color w:val="000000"/>
                <w:sz w:val="22"/>
                <w:szCs w:val="22"/>
              </w:rPr>
              <w:t>Yes</w:t>
            </w:r>
          </w:p>
        </w:tc>
        <w:tc>
          <w:tcPr>
            <w:tcW w:w="103" w:type="pct"/>
            <w:tcBorders>
              <w:top w:val="nil"/>
              <w:left w:val="nil"/>
              <w:bottom w:val="nil"/>
              <w:right w:val="nil"/>
            </w:tcBorders>
            <w:shd w:val="clear" w:color="auto" w:fill="auto"/>
            <w:noWrap/>
            <w:vAlign w:val="bottom"/>
          </w:tcPr>
          <w:p w14:paraId="2CCF40F2" w14:textId="77777777" w:rsidR="002E5072" w:rsidRPr="008669C3" w:rsidRDefault="002E5072" w:rsidP="002E5072">
            <w:pPr>
              <w:jc w:val="center"/>
              <w:rPr>
                <w:sz w:val="22"/>
                <w:szCs w:val="22"/>
              </w:rPr>
            </w:pPr>
          </w:p>
        </w:tc>
        <w:tc>
          <w:tcPr>
            <w:tcW w:w="559" w:type="pct"/>
            <w:tcBorders>
              <w:top w:val="nil"/>
              <w:left w:val="nil"/>
              <w:bottom w:val="nil"/>
              <w:right w:val="nil"/>
            </w:tcBorders>
            <w:shd w:val="clear" w:color="auto" w:fill="auto"/>
            <w:noWrap/>
            <w:vAlign w:val="bottom"/>
          </w:tcPr>
          <w:p w14:paraId="25FB43C2" w14:textId="51BCCC22" w:rsidR="002E5072" w:rsidRPr="008669C3" w:rsidRDefault="002E5072" w:rsidP="002E5072">
            <w:pPr>
              <w:jc w:val="center"/>
              <w:rPr>
                <w:color w:val="000000"/>
                <w:sz w:val="22"/>
                <w:szCs w:val="22"/>
              </w:rPr>
            </w:pPr>
            <w:r w:rsidRPr="008669C3">
              <w:rPr>
                <w:color w:val="000000"/>
                <w:sz w:val="22"/>
                <w:szCs w:val="22"/>
              </w:rPr>
              <w:t>Yes</w:t>
            </w:r>
          </w:p>
        </w:tc>
        <w:tc>
          <w:tcPr>
            <w:tcW w:w="560" w:type="pct"/>
            <w:tcBorders>
              <w:top w:val="nil"/>
              <w:left w:val="nil"/>
              <w:bottom w:val="nil"/>
              <w:right w:val="nil"/>
            </w:tcBorders>
            <w:shd w:val="clear" w:color="auto" w:fill="auto"/>
            <w:noWrap/>
            <w:vAlign w:val="bottom"/>
          </w:tcPr>
          <w:p w14:paraId="33631F2A" w14:textId="52F02318" w:rsidR="002E5072" w:rsidRPr="008669C3" w:rsidRDefault="002E5072" w:rsidP="002E5072">
            <w:pPr>
              <w:jc w:val="center"/>
              <w:rPr>
                <w:color w:val="000000"/>
                <w:sz w:val="22"/>
                <w:szCs w:val="22"/>
              </w:rPr>
            </w:pPr>
            <w:r w:rsidRPr="008669C3">
              <w:rPr>
                <w:color w:val="000000"/>
                <w:sz w:val="22"/>
                <w:szCs w:val="22"/>
              </w:rPr>
              <w:t>Yes</w:t>
            </w:r>
          </w:p>
        </w:tc>
        <w:tc>
          <w:tcPr>
            <w:tcW w:w="103" w:type="pct"/>
            <w:tcBorders>
              <w:top w:val="nil"/>
              <w:left w:val="nil"/>
              <w:bottom w:val="nil"/>
              <w:right w:val="nil"/>
            </w:tcBorders>
            <w:shd w:val="clear" w:color="auto" w:fill="auto"/>
            <w:noWrap/>
            <w:vAlign w:val="bottom"/>
          </w:tcPr>
          <w:p w14:paraId="7CAF5A7E" w14:textId="77777777" w:rsidR="002E5072" w:rsidRPr="008669C3" w:rsidRDefault="002E5072" w:rsidP="002E5072">
            <w:pPr>
              <w:jc w:val="center"/>
              <w:rPr>
                <w:sz w:val="22"/>
                <w:szCs w:val="22"/>
              </w:rPr>
            </w:pPr>
          </w:p>
        </w:tc>
        <w:tc>
          <w:tcPr>
            <w:tcW w:w="416" w:type="pct"/>
            <w:tcBorders>
              <w:top w:val="nil"/>
              <w:left w:val="nil"/>
              <w:bottom w:val="nil"/>
              <w:right w:val="nil"/>
            </w:tcBorders>
            <w:shd w:val="clear" w:color="auto" w:fill="auto"/>
            <w:noWrap/>
            <w:vAlign w:val="bottom"/>
          </w:tcPr>
          <w:p w14:paraId="6E2FA039" w14:textId="617F3B64" w:rsidR="002E5072" w:rsidRPr="008669C3" w:rsidRDefault="002E5072" w:rsidP="002E5072">
            <w:pPr>
              <w:jc w:val="center"/>
              <w:rPr>
                <w:color w:val="000000"/>
                <w:sz w:val="22"/>
                <w:szCs w:val="22"/>
              </w:rPr>
            </w:pPr>
            <w:r w:rsidRPr="008669C3">
              <w:rPr>
                <w:color w:val="000000"/>
                <w:sz w:val="22"/>
                <w:szCs w:val="22"/>
              </w:rPr>
              <w:t>Yes</w:t>
            </w:r>
          </w:p>
        </w:tc>
        <w:tc>
          <w:tcPr>
            <w:tcW w:w="500" w:type="pct"/>
            <w:tcBorders>
              <w:top w:val="nil"/>
              <w:left w:val="nil"/>
              <w:bottom w:val="nil"/>
              <w:right w:val="nil"/>
            </w:tcBorders>
            <w:shd w:val="clear" w:color="auto" w:fill="auto"/>
            <w:noWrap/>
            <w:vAlign w:val="bottom"/>
          </w:tcPr>
          <w:p w14:paraId="3422AA76" w14:textId="691645D7" w:rsidR="002E5072" w:rsidRPr="008669C3" w:rsidRDefault="002E5072" w:rsidP="002E5072">
            <w:pPr>
              <w:jc w:val="center"/>
              <w:rPr>
                <w:color w:val="000000"/>
                <w:sz w:val="22"/>
                <w:szCs w:val="22"/>
              </w:rPr>
            </w:pPr>
            <w:r w:rsidRPr="008669C3">
              <w:rPr>
                <w:color w:val="000000"/>
                <w:sz w:val="22"/>
                <w:szCs w:val="22"/>
              </w:rPr>
              <w:t>Yes</w:t>
            </w:r>
          </w:p>
        </w:tc>
      </w:tr>
      <w:tr w:rsidR="00142C1A" w:rsidRPr="008669C3" w14:paraId="0B5871C4" w14:textId="77777777" w:rsidTr="00142C1A">
        <w:trPr>
          <w:trHeight w:val="20"/>
        </w:trPr>
        <w:tc>
          <w:tcPr>
            <w:tcW w:w="1689" w:type="pct"/>
            <w:tcBorders>
              <w:top w:val="nil"/>
              <w:left w:val="nil"/>
              <w:bottom w:val="nil"/>
              <w:right w:val="nil"/>
            </w:tcBorders>
            <w:shd w:val="clear" w:color="auto" w:fill="auto"/>
            <w:noWrap/>
            <w:vAlign w:val="bottom"/>
            <w:hideMark/>
          </w:tcPr>
          <w:p w14:paraId="787996E6" w14:textId="77777777" w:rsidR="002E5072" w:rsidRPr="008669C3" w:rsidRDefault="002E5072" w:rsidP="002E5072">
            <w:pPr>
              <w:rPr>
                <w:color w:val="000000"/>
                <w:sz w:val="22"/>
                <w:szCs w:val="22"/>
              </w:rPr>
            </w:pPr>
            <w:r w:rsidRPr="008669C3">
              <w:rPr>
                <w:color w:val="000000"/>
                <w:sz w:val="22"/>
                <w:szCs w:val="22"/>
              </w:rPr>
              <w:t>Firm FE</w:t>
            </w:r>
          </w:p>
        </w:tc>
        <w:tc>
          <w:tcPr>
            <w:tcW w:w="526" w:type="pct"/>
            <w:tcBorders>
              <w:top w:val="nil"/>
              <w:left w:val="nil"/>
              <w:bottom w:val="nil"/>
              <w:right w:val="nil"/>
            </w:tcBorders>
            <w:shd w:val="clear" w:color="auto" w:fill="auto"/>
            <w:noWrap/>
            <w:vAlign w:val="bottom"/>
            <w:hideMark/>
          </w:tcPr>
          <w:p w14:paraId="6B9EF1DC" w14:textId="740F4FC1" w:rsidR="002E5072" w:rsidRPr="008669C3" w:rsidRDefault="002E5072" w:rsidP="002E5072">
            <w:pPr>
              <w:jc w:val="center"/>
              <w:rPr>
                <w:color w:val="000000"/>
                <w:sz w:val="22"/>
                <w:szCs w:val="22"/>
              </w:rPr>
            </w:pPr>
            <w:r w:rsidRPr="008669C3">
              <w:rPr>
                <w:color w:val="000000"/>
                <w:sz w:val="22"/>
                <w:szCs w:val="22"/>
              </w:rPr>
              <w:t>Yes</w:t>
            </w:r>
          </w:p>
        </w:tc>
        <w:tc>
          <w:tcPr>
            <w:tcW w:w="544" w:type="pct"/>
            <w:tcBorders>
              <w:top w:val="nil"/>
              <w:left w:val="nil"/>
              <w:bottom w:val="nil"/>
              <w:right w:val="nil"/>
            </w:tcBorders>
            <w:shd w:val="clear" w:color="auto" w:fill="auto"/>
            <w:noWrap/>
            <w:vAlign w:val="bottom"/>
            <w:hideMark/>
          </w:tcPr>
          <w:p w14:paraId="4BB16BF3" w14:textId="0922869D" w:rsidR="002E5072" w:rsidRPr="008669C3" w:rsidRDefault="002E5072" w:rsidP="002E5072">
            <w:pPr>
              <w:jc w:val="center"/>
              <w:rPr>
                <w:color w:val="000000"/>
                <w:sz w:val="22"/>
                <w:szCs w:val="22"/>
              </w:rPr>
            </w:pPr>
            <w:r w:rsidRPr="008669C3">
              <w:rPr>
                <w:color w:val="000000"/>
                <w:sz w:val="22"/>
                <w:szCs w:val="22"/>
              </w:rPr>
              <w:t>No</w:t>
            </w:r>
          </w:p>
        </w:tc>
        <w:tc>
          <w:tcPr>
            <w:tcW w:w="103" w:type="pct"/>
            <w:tcBorders>
              <w:top w:val="nil"/>
              <w:left w:val="nil"/>
              <w:bottom w:val="nil"/>
              <w:right w:val="nil"/>
            </w:tcBorders>
            <w:shd w:val="clear" w:color="auto" w:fill="auto"/>
            <w:noWrap/>
            <w:vAlign w:val="bottom"/>
            <w:hideMark/>
          </w:tcPr>
          <w:p w14:paraId="708719D3" w14:textId="77777777" w:rsidR="002E5072" w:rsidRPr="008669C3" w:rsidRDefault="002E5072" w:rsidP="002E5072">
            <w:pPr>
              <w:jc w:val="center"/>
              <w:rPr>
                <w:sz w:val="22"/>
                <w:szCs w:val="22"/>
              </w:rPr>
            </w:pPr>
          </w:p>
        </w:tc>
        <w:tc>
          <w:tcPr>
            <w:tcW w:w="559" w:type="pct"/>
            <w:tcBorders>
              <w:top w:val="nil"/>
              <w:left w:val="nil"/>
              <w:bottom w:val="nil"/>
              <w:right w:val="nil"/>
            </w:tcBorders>
            <w:shd w:val="clear" w:color="auto" w:fill="auto"/>
            <w:noWrap/>
            <w:vAlign w:val="bottom"/>
            <w:hideMark/>
          </w:tcPr>
          <w:p w14:paraId="09F6979C" w14:textId="05C3362F" w:rsidR="002E5072" w:rsidRPr="008669C3" w:rsidRDefault="002E5072" w:rsidP="002E5072">
            <w:pPr>
              <w:jc w:val="center"/>
              <w:rPr>
                <w:color w:val="000000"/>
                <w:sz w:val="22"/>
                <w:szCs w:val="22"/>
              </w:rPr>
            </w:pPr>
            <w:r w:rsidRPr="008669C3">
              <w:rPr>
                <w:color w:val="000000"/>
                <w:sz w:val="22"/>
                <w:szCs w:val="22"/>
              </w:rPr>
              <w:t>Yes</w:t>
            </w:r>
          </w:p>
        </w:tc>
        <w:tc>
          <w:tcPr>
            <w:tcW w:w="560" w:type="pct"/>
            <w:tcBorders>
              <w:top w:val="nil"/>
              <w:left w:val="nil"/>
              <w:bottom w:val="nil"/>
              <w:right w:val="nil"/>
            </w:tcBorders>
            <w:shd w:val="clear" w:color="auto" w:fill="auto"/>
            <w:noWrap/>
            <w:vAlign w:val="bottom"/>
            <w:hideMark/>
          </w:tcPr>
          <w:p w14:paraId="5422FB23" w14:textId="78B594DD" w:rsidR="002E5072" w:rsidRPr="008669C3" w:rsidRDefault="002E5072" w:rsidP="002E5072">
            <w:pPr>
              <w:jc w:val="center"/>
              <w:rPr>
                <w:color w:val="000000"/>
                <w:sz w:val="22"/>
                <w:szCs w:val="22"/>
              </w:rPr>
            </w:pPr>
            <w:r w:rsidRPr="008669C3">
              <w:rPr>
                <w:color w:val="000000"/>
                <w:sz w:val="22"/>
                <w:szCs w:val="22"/>
              </w:rPr>
              <w:t>No</w:t>
            </w:r>
          </w:p>
        </w:tc>
        <w:tc>
          <w:tcPr>
            <w:tcW w:w="103" w:type="pct"/>
            <w:tcBorders>
              <w:top w:val="nil"/>
              <w:left w:val="nil"/>
              <w:bottom w:val="nil"/>
              <w:right w:val="nil"/>
            </w:tcBorders>
            <w:shd w:val="clear" w:color="auto" w:fill="auto"/>
            <w:noWrap/>
            <w:vAlign w:val="bottom"/>
            <w:hideMark/>
          </w:tcPr>
          <w:p w14:paraId="5D0941C8" w14:textId="77777777" w:rsidR="002E5072" w:rsidRPr="008669C3" w:rsidRDefault="002E5072" w:rsidP="002E5072">
            <w:pPr>
              <w:jc w:val="center"/>
              <w:rPr>
                <w:sz w:val="22"/>
                <w:szCs w:val="22"/>
              </w:rPr>
            </w:pPr>
          </w:p>
        </w:tc>
        <w:tc>
          <w:tcPr>
            <w:tcW w:w="416" w:type="pct"/>
            <w:tcBorders>
              <w:top w:val="nil"/>
              <w:left w:val="nil"/>
              <w:bottom w:val="nil"/>
              <w:right w:val="nil"/>
            </w:tcBorders>
            <w:shd w:val="clear" w:color="auto" w:fill="auto"/>
            <w:noWrap/>
            <w:vAlign w:val="bottom"/>
            <w:hideMark/>
          </w:tcPr>
          <w:p w14:paraId="472D8E37" w14:textId="5398037A" w:rsidR="002E5072" w:rsidRPr="008669C3" w:rsidRDefault="002E5072" w:rsidP="002E5072">
            <w:pPr>
              <w:jc w:val="center"/>
              <w:rPr>
                <w:color w:val="000000"/>
                <w:sz w:val="22"/>
                <w:szCs w:val="22"/>
              </w:rPr>
            </w:pPr>
            <w:r w:rsidRPr="008669C3">
              <w:rPr>
                <w:color w:val="000000"/>
                <w:sz w:val="22"/>
                <w:szCs w:val="22"/>
              </w:rPr>
              <w:t>Yes</w:t>
            </w:r>
          </w:p>
        </w:tc>
        <w:tc>
          <w:tcPr>
            <w:tcW w:w="500" w:type="pct"/>
            <w:tcBorders>
              <w:top w:val="nil"/>
              <w:left w:val="nil"/>
              <w:bottom w:val="nil"/>
              <w:right w:val="nil"/>
            </w:tcBorders>
            <w:shd w:val="clear" w:color="auto" w:fill="auto"/>
            <w:noWrap/>
            <w:vAlign w:val="bottom"/>
            <w:hideMark/>
          </w:tcPr>
          <w:p w14:paraId="39B5B7C9" w14:textId="15A51617" w:rsidR="002E5072" w:rsidRPr="008669C3" w:rsidRDefault="002E5072" w:rsidP="002E5072">
            <w:pPr>
              <w:jc w:val="center"/>
              <w:rPr>
                <w:color w:val="000000"/>
                <w:sz w:val="22"/>
                <w:szCs w:val="22"/>
              </w:rPr>
            </w:pPr>
            <w:r w:rsidRPr="008669C3">
              <w:rPr>
                <w:color w:val="000000"/>
                <w:sz w:val="22"/>
                <w:szCs w:val="22"/>
              </w:rPr>
              <w:t>No</w:t>
            </w:r>
          </w:p>
        </w:tc>
      </w:tr>
      <w:tr w:rsidR="00142C1A" w:rsidRPr="008669C3" w14:paraId="3EE6E80D" w14:textId="77777777" w:rsidTr="00142C1A">
        <w:trPr>
          <w:trHeight w:val="20"/>
        </w:trPr>
        <w:tc>
          <w:tcPr>
            <w:tcW w:w="1689" w:type="pct"/>
            <w:tcBorders>
              <w:top w:val="nil"/>
              <w:left w:val="nil"/>
              <w:bottom w:val="nil"/>
              <w:right w:val="nil"/>
            </w:tcBorders>
            <w:shd w:val="clear" w:color="auto" w:fill="auto"/>
            <w:noWrap/>
            <w:vAlign w:val="bottom"/>
            <w:hideMark/>
          </w:tcPr>
          <w:p w14:paraId="5B111437" w14:textId="77777777" w:rsidR="002E5072" w:rsidRPr="008669C3" w:rsidRDefault="002E5072" w:rsidP="002E5072">
            <w:pPr>
              <w:rPr>
                <w:color w:val="000000"/>
                <w:sz w:val="22"/>
                <w:szCs w:val="22"/>
              </w:rPr>
            </w:pPr>
            <w:r w:rsidRPr="008669C3">
              <w:rPr>
                <w:color w:val="000000"/>
                <w:sz w:val="22"/>
                <w:szCs w:val="22"/>
              </w:rPr>
              <w:t>CEO-Firm FE</w:t>
            </w:r>
          </w:p>
        </w:tc>
        <w:tc>
          <w:tcPr>
            <w:tcW w:w="526" w:type="pct"/>
            <w:tcBorders>
              <w:top w:val="nil"/>
              <w:left w:val="nil"/>
              <w:bottom w:val="nil"/>
              <w:right w:val="nil"/>
            </w:tcBorders>
            <w:shd w:val="clear" w:color="auto" w:fill="auto"/>
            <w:noWrap/>
            <w:vAlign w:val="bottom"/>
            <w:hideMark/>
          </w:tcPr>
          <w:p w14:paraId="39415BAC" w14:textId="0A739701" w:rsidR="002E5072" w:rsidRPr="008669C3" w:rsidRDefault="002E5072" w:rsidP="002E5072">
            <w:pPr>
              <w:jc w:val="center"/>
              <w:rPr>
                <w:color w:val="000000"/>
                <w:sz w:val="22"/>
                <w:szCs w:val="22"/>
              </w:rPr>
            </w:pPr>
            <w:r w:rsidRPr="008669C3">
              <w:rPr>
                <w:color w:val="000000"/>
                <w:sz w:val="22"/>
                <w:szCs w:val="22"/>
              </w:rPr>
              <w:t>No</w:t>
            </w:r>
          </w:p>
        </w:tc>
        <w:tc>
          <w:tcPr>
            <w:tcW w:w="544" w:type="pct"/>
            <w:tcBorders>
              <w:top w:val="nil"/>
              <w:left w:val="nil"/>
              <w:bottom w:val="nil"/>
              <w:right w:val="nil"/>
            </w:tcBorders>
            <w:shd w:val="clear" w:color="auto" w:fill="auto"/>
            <w:noWrap/>
            <w:vAlign w:val="bottom"/>
            <w:hideMark/>
          </w:tcPr>
          <w:p w14:paraId="1B669939" w14:textId="2B5BD199" w:rsidR="002E5072" w:rsidRPr="008669C3" w:rsidRDefault="002E5072" w:rsidP="002E5072">
            <w:pPr>
              <w:jc w:val="center"/>
              <w:rPr>
                <w:color w:val="000000"/>
                <w:sz w:val="22"/>
                <w:szCs w:val="22"/>
              </w:rPr>
            </w:pPr>
            <w:r w:rsidRPr="008669C3">
              <w:rPr>
                <w:color w:val="000000"/>
                <w:sz w:val="22"/>
                <w:szCs w:val="22"/>
              </w:rPr>
              <w:t>Yes</w:t>
            </w:r>
          </w:p>
        </w:tc>
        <w:tc>
          <w:tcPr>
            <w:tcW w:w="103" w:type="pct"/>
            <w:tcBorders>
              <w:top w:val="nil"/>
              <w:left w:val="nil"/>
              <w:bottom w:val="nil"/>
              <w:right w:val="nil"/>
            </w:tcBorders>
            <w:shd w:val="clear" w:color="auto" w:fill="auto"/>
            <w:noWrap/>
            <w:vAlign w:val="bottom"/>
            <w:hideMark/>
          </w:tcPr>
          <w:p w14:paraId="4A10DAFA" w14:textId="77777777" w:rsidR="002E5072" w:rsidRPr="008669C3" w:rsidRDefault="002E5072" w:rsidP="002E5072">
            <w:pPr>
              <w:jc w:val="center"/>
              <w:rPr>
                <w:color w:val="000000"/>
                <w:sz w:val="22"/>
                <w:szCs w:val="22"/>
              </w:rPr>
            </w:pPr>
          </w:p>
        </w:tc>
        <w:tc>
          <w:tcPr>
            <w:tcW w:w="559" w:type="pct"/>
            <w:tcBorders>
              <w:top w:val="nil"/>
              <w:left w:val="nil"/>
              <w:bottom w:val="nil"/>
              <w:right w:val="nil"/>
            </w:tcBorders>
            <w:shd w:val="clear" w:color="auto" w:fill="auto"/>
            <w:noWrap/>
            <w:vAlign w:val="bottom"/>
            <w:hideMark/>
          </w:tcPr>
          <w:p w14:paraId="03AD764D" w14:textId="0C92D9AE" w:rsidR="002E5072" w:rsidRPr="008669C3" w:rsidRDefault="002E5072" w:rsidP="002E5072">
            <w:pPr>
              <w:jc w:val="center"/>
              <w:rPr>
                <w:sz w:val="22"/>
                <w:szCs w:val="22"/>
              </w:rPr>
            </w:pPr>
            <w:r w:rsidRPr="008669C3">
              <w:rPr>
                <w:color w:val="000000"/>
                <w:sz w:val="22"/>
                <w:szCs w:val="22"/>
              </w:rPr>
              <w:t>No</w:t>
            </w:r>
          </w:p>
        </w:tc>
        <w:tc>
          <w:tcPr>
            <w:tcW w:w="560" w:type="pct"/>
            <w:tcBorders>
              <w:top w:val="nil"/>
              <w:left w:val="nil"/>
              <w:bottom w:val="nil"/>
              <w:right w:val="nil"/>
            </w:tcBorders>
            <w:shd w:val="clear" w:color="auto" w:fill="auto"/>
            <w:noWrap/>
            <w:vAlign w:val="bottom"/>
            <w:hideMark/>
          </w:tcPr>
          <w:p w14:paraId="30A01468" w14:textId="4E2CA453" w:rsidR="002E5072" w:rsidRPr="008669C3" w:rsidRDefault="002E5072" w:rsidP="002E5072">
            <w:pPr>
              <w:jc w:val="center"/>
              <w:rPr>
                <w:color w:val="000000"/>
                <w:sz w:val="22"/>
                <w:szCs w:val="22"/>
              </w:rPr>
            </w:pPr>
            <w:r w:rsidRPr="008669C3">
              <w:rPr>
                <w:color w:val="000000"/>
                <w:sz w:val="22"/>
                <w:szCs w:val="22"/>
              </w:rPr>
              <w:t>Yes</w:t>
            </w:r>
          </w:p>
        </w:tc>
        <w:tc>
          <w:tcPr>
            <w:tcW w:w="103" w:type="pct"/>
            <w:tcBorders>
              <w:top w:val="nil"/>
              <w:left w:val="nil"/>
              <w:bottom w:val="nil"/>
              <w:right w:val="nil"/>
            </w:tcBorders>
            <w:shd w:val="clear" w:color="auto" w:fill="auto"/>
            <w:noWrap/>
            <w:vAlign w:val="bottom"/>
            <w:hideMark/>
          </w:tcPr>
          <w:p w14:paraId="083BA89C" w14:textId="77777777" w:rsidR="002E5072" w:rsidRPr="008669C3" w:rsidRDefault="002E5072" w:rsidP="002E5072">
            <w:pPr>
              <w:jc w:val="center"/>
              <w:rPr>
                <w:color w:val="000000"/>
                <w:sz w:val="22"/>
                <w:szCs w:val="22"/>
              </w:rPr>
            </w:pPr>
          </w:p>
        </w:tc>
        <w:tc>
          <w:tcPr>
            <w:tcW w:w="416" w:type="pct"/>
            <w:tcBorders>
              <w:top w:val="nil"/>
              <w:left w:val="nil"/>
              <w:bottom w:val="nil"/>
              <w:right w:val="nil"/>
            </w:tcBorders>
            <w:shd w:val="clear" w:color="auto" w:fill="auto"/>
            <w:noWrap/>
            <w:vAlign w:val="bottom"/>
            <w:hideMark/>
          </w:tcPr>
          <w:p w14:paraId="73C01F71" w14:textId="691CEC60" w:rsidR="002E5072" w:rsidRPr="008669C3" w:rsidRDefault="002E5072" w:rsidP="002E5072">
            <w:pPr>
              <w:jc w:val="center"/>
              <w:rPr>
                <w:sz w:val="22"/>
                <w:szCs w:val="22"/>
              </w:rPr>
            </w:pPr>
            <w:r w:rsidRPr="008669C3">
              <w:rPr>
                <w:color w:val="000000"/>
                <w:sz w:val="22"/>
                <w:szCs w:val="22"/>
              </w:rPr>
              <w:t>No</w:t>
            </w:r>
          </w:p>
        </w:tc>
        <w:tc>
          <w:tcPr>
            <w:tcW w:w="500" w:type="pct"/>
            <w:tcBorders>
              <w:top w:val="nil"/>
              <w:left w:val="nil"/>
              <w:bottom w:val="nil"/>
              <w:right w:val="nil"/>
            </w:tcBorders>
            <w:shd w:val="clear" w:color="auto" w:fill="auto"/>
            <w:noWrap/>
            <w:vAlign w:val="bottom"/>
            <w:hideMark/>
          </w:tcPr>
          <w:p w14:paraId="2C8329CA" w14:textId="75F8B18E" w:rsidR="002E5072" w:rsidRPr="008669C3" w:rsidRDefault="002E5072" w:rsidP="002E5072">
            <w:pPr>
              <w:jc w:val="center"/>
              <w:rPr>
                <w:color w:val="000000"/>
                <w:sz w:val="22"/>
                <w:szCs w:val="22"/>
              </w:rPr>
            </w:pPr>
            <w:r w:rsidRPr="008669C3">
              <w:rPr>
                <w:color w:val="000000"/>
                <w:sz w:val="22"/>
                <w:szCs w:val="22"/>
              </w:rPr>
              <w:t>Yes</w:t>
            </w:r>
          </w:p>
        </w:tc>
      </w:tr>
      <w:tr w:rsidR="00142C1A" w:rsidRPr="008669C3" w14:paraId="1FD3670F" w14:textId="77777777" w:rsidTr="00142C1A">
        <w:trPr>
          <w:trHeight w:val="20"/>
        </w:trPr>
        <w:tc>
          <w:tcPr>
            <w:tcW w:w="1689" w:type="pct"/>
            <w:tcBorders>
              <w:top w:val="nil"/>
              <w:left w:val="nil"/>
              <w:bottom w:val="nil"/>
              <w:right w:val="nil"/>
            </w:tcBorders>
            <w:shd w:val="clear" w:color="auto" w:fill="auto"/>
            <w:noWrap/>
            <w:vAlign w:val="bottom"/>
            <w:hideMark/>
          </w:tcPr>
          <w:p w14:paraId="3B610102" w14:textId="77777777" w:rsidR="002E5072" w:rsidRPr="008669C3" w:rsidRDefault="002E5072" w:rsidP="002E5072">
            <w:pPr>
              <w:rPr>
                <w:color w:val="000000"/>
                <w:sz w:val="22"/>
                <w:szCs w:val="22"/>
              </w:rPr>
            </w:pPr>
            <w:r w:rsidRPr="008669C3">
              <w:rPr>
                <w:color w:val="000000"/>
                <w:sz w:val="22"/>
                <w:szCs w:val="22"/>
              </w:rPr>
              <w:t>Industry-Year FE</w:t>
            </w:r>
          </w:p>
        </w:tc>
        <w:tc>
          <w:tcPr>
            <w:tcW w:w="526" w:type="pct"/>
            <w:tcBorders>
              <w:top w:val="nil"/>
              <w:left w:val="nil"/>
              <w:bottom w:val="nil"/>
              <w:right w:val="nil"/>
            </w:tcBorders>
            <w:shd w:val="clear" w:color="auto" w:fill="auto"/>
            <w:noWrap/>
            <w:vAlign w:val="bottom"/>
            <w:hideMark/>
          </w:tcPr>
          <w:p w14:paraId="13706BBE" w14:textId="6CC1A59D" w:rsidR="002E5072" w:rsidRPr="008669C3" w:rsidRDefault="002E5072" w:rsidP="002E5072">
            <w:pPr>
              <w:jc w:val="center"/>
              <w:rPr>
                <w:color w:val="000000"/>
                <w:sz w:val="22"/>
                <w:szCs w:val="22"/>
              </w:rPr>
            </w:pPr>
            <w:r w:rsidRPr="008669C3">
              <w:rPr>
                <w:color w:val="000000"/>
                <w:sz w:val="22"/>
                <w:szCs w:val="22"/>
              </w:rPr>
              <w:t>Yes</w:t>
            </w:r>
          </w:p>
        </w:tc>
        <w:tc>
          <w:tcPr>
            <w:tcW w:w="544" w:type="pct"/>
            <w:tcBorders>
              <w:top w:val="nil"/>
              <w:left w:val="nil"/>
              <w:bottom w:val="nil"/>
              <w:right w:val="nil"/>
            </w:tcBorders>
            <w:shd w:val="clear" w:color="auto" w:fill="auto"/>
            <w:noWrap/>
            <w:vAlign w:val="bottom"/>
            <w:hideMark/>
          </w:tcPr>
          <w:p w14:paraId="5AE20C79" w14:textId="59298EF1" w:rsidR="002E5072" w:rsidRPr="008669C3" w:rsidRDefault="002E5072" w:rsidP="002E5072">
            <w:pPr>
              <w:jc w:val="center"/>
              <w:rPr>
                <w:color w:val="000000"/>
                <w:sz w:val="22"/>
                <w:szCs w:val="22"/>
              </w:rPr>
            </w:pPr>
            <w:r w:rsidRPr="008669C3">
              <w:rPr>
                <w:color w:val="000000"/>
                <w:sz w:val="22"/>
                <w:szCs w:val="22"/>
              </w:rPr>
              <w:t>Yes</w:t>
            </w:r>
          </w:p>
        </w:tc>
        <w:tc>
          <w:tcPr>
            <w:tcW w:w="103" w:type="pct"/>
            <w:tcBorders>
              <w:top w:val="nil"/>
              <w:left w:val="nil"/>
              <w:bottom w:val="nil"/>
              <w:right w:val="nil"/>
            </w:tcBorders>
            <w:shd w:val="clear" w:color="auto" w:fill="auto"/>
            <w:noWrap/>
            <w:vAlign w:val="bottom"/>
            <w:hideMark/>
          </w:tcPr>
          <w:p w14:paraId="2D055D7E" w14:textId="77777777" w:rsidR="002E5072" w:rsidRPr="008669C3" w:rsidRDefault="002E5072" w:rsidP="002E5072">
            <w:pPr>
              <w:jc w:val="center"/>
              <w:rPr>
                <w:color w:val="000000"/>
                <w:sz w:val="22"/>
                <w:szCs w:val="22"/>
              </w:rPr>
            </w:pPr>
          </w:p>
        </w:tc>
        <w:tc>
          <w:tcPr>
            <w:tcW w:w="559" w:type="pct"/>
            <w:tcBorders>
              <w:top w:val="nil"/>
              <w:left w:val="nil"/>
              <w:bottom w:val="nil"/>
              <w:right w:val="nil"/>
            </w:tcBorders>
            <w:shd w:val="clear" w:color="auto" w:fill="auto"/>
            <w:noWrap/>
            <w:vAlign w:val="bottom"/>
            <w:hideMark/>
          </w:tcPr>
          <w:p w14:paraId="41E074F4" w14:textId="6231250F" w:rsidR="002E5072" w:rsidRPr="008669C3" w:rsidRDefault="002E5072" w:rsidP="002E5072">
            <w:pPr>
              <w:jc w:val="center"/>
              <w:rPr>
                <w:color w:val="000000"/>
                <w:sz w:val="22"/>
                <w:szCs w:val="22"/>
              </w:rPr>
            </w:pPr>
            <w:r w:rsidRPr="008669C3">
              <w:rPr>
                <w:color w:val="000000"/>
                <w:sz w:val="22"/>
                <w:szCs w:val="22"/>
              </w:rPr>
              <w:t>Yes</w:t>
            </w:r>
          </w:p>
        </w:tc>
        <w:tc>
          <w:tcPr>
            <w:tcW w:w="560" w:type="pct"/>
            <w:tcBorders>
              <w:top w:val="nil"/>
              <w:left w:val="nil"/>
              <w:bottom w:val="nil"/>
              <w:right w:val="nil"/>
            </w:tcBorders>
            <w:shd w:val="clear" w:color="auto" w:fill="auto"/>
            <w:noWrap/>
            <w:vAlign w:val="bottom"/>
            <w:hideMark/>
          </w:tcPr>
          <w:p w14:paraId="5AF387BC" w14:textId="693909D6" w:rsidR="002E5072" w:rsidRPr="008669C3" w:rsidRDefault="002E5072" w:rsidP="002E5072">
            <w:pPr>
              <w:jc w:val="center"/>
              <w:rPr>
                <w:color w:val="000000"/>
                <w:sz w:val="22"/>
                <w:szCs w:val="22"/>
              </w:rPr>
            </w:pPr>
            <w:r w:rsidRPr="008669C3">
              <w:rPr>
                <w:color w:val="000000"/>
                <w:sz w:val="22"/>
                <w:szCs w:val="22"/>
              </w:rPr>
              <w:t>Yes</w:t>
            </w:r>
          </w:p>
        </w:tc>
        <w:tc>
          <w:tcPr>
            <w:tcW w:w="103" w:type="pct"/>
            <w:tcBorders>
              <w:top w:val="nil"/>
              <w:left w:val="nil"/>
              <w:bottom w:val="nil"/>
              <w:right w:val="nil"/>
            </w:tcBorders>
            <w:shd w:val="clear" w:color="auto" w:fill="auto"/>
            <w:noWrap/>
            <w:vAlign w:val="bottom"/>
            <w:hideMark/>
          </w:tcPr>
          <w:p w14:paraId="4BAB21FF" w14:textId="77777777" w:rsidR="002E5072" w:rsidRPr="008669C3" w:rsidRDefault="002E5072" w:rsidP="002E5072">
            <w:pPr>
              <w:jc w:val="center"/>
              <w:rPr>
                <w:color w:val="000000"/>
                <w:sz w:val="22"/>
                <w:szCs w:val="22"/>
              </w:rPr>
            </w:pPr>
          </w:p>
        </w:tc>
        <w:tc>
          <w:tcPr>
            <w:tcW w:w="416" w:type="pct"/>
            <w:tcBorders>
              <w:top w:val="nil"/>
              <w:left w:val="nil"/>
              <w:bottom w:val="nil"/>
              <w:right w:val="nil"/>
            </w:tcBorders>
            <w:shd w:val="clear" w:color="auto" w:fill="auto"/>
            <w:noWrap/>
            <w:vAlign w:val="bottom"/>
            <w:hideMark/>
          </w:tcPr>
          <w:p w14:paraId="7F440049" w14:textId="18923579" w:rsidR="002E5072" w:rsidRPr="008669C3" w:rsidRDefault="002E5072" w:rsidP="002E5072">
            <w:pPr>
              <w:jc w:val="center"/>
              <w:rPr>
                <w:color w:val="000000"/>
                <w:sz w:val="22"/>
                <w:szCs w:val="22"/>
              </w:rPr>
            </w:pPr>
            <w:r w:rsidRPr="008669C3">
              <w:rPr>
                <w:color w:val="000000"/>
                <w:sz w:val="22"/>
                <w:szCs w:val="22"/>
              </w:rPr>
              <w:t>Yes</w:t>
            </w:r>
          </w:p>
        </w:tc>
        <w:tc>
          <w:tcPr>
            <w:tcW w:w="500" w:type="pct"/>
            <w:tcBorders>
              <w:top w:val="nil"/>
              <w:left w:val="nil"/>
              <w:bottom w:val="nil"/>
              <w:right w:val="nil"/>
            </w:tcBorders>
            <w:shd w:val="clear" w:color="auto" w:fill="auto"/>
            <w:noWrap/>
            <w:vAlign w:val="bottom"/>
            <w:hideMark/>
          </w:tcPr>
          <w:p w14:paraId="6ECBE9C0" w14:textId="509EE934" w:rsidR="002E5072" w:rsidRPr="008669C3" w:rsidRDefault="002E5072" w:rsidP="002E5072">
            <w:pPr>
              <w:jc w:val="center"/>
              <w:rPr>
                <w:color w:val="000000"/>
                <w:sz w:val="22"/>
                <w:szCs w:val="22"/>
              </w:rPr>
            </w:pPr>
            <w:r w:rsidRPr="008669C3">
              <w:rPr>
                <w:color w:val="000000"/>
                <w:sz w:val="22"/>
                <w:szCs w:val="22"/>
              </w:rPr>
              <w:t>Yes</w:t>
            </w:r>
          </w:p>
        </w:tc>
      </w:tr>
      <w:tr w:rsidR="00142C1A" w:rsidRPr="008669C3" w14:paraId="332D7D12" w14:textId="77777777" w:rsidTr="00142C1A">
        <w:trPr>
          <w:trHeight w:val="20"/>
        </w:trPr>
        <w:tc>
          <w:tcPr>
            <w:tcW w:w="1689" w:type="pct"/>
            <w:tcBorders>
              <w:top w:val="nil"/>
              <w:left w:val="nil"/>
              <w:bottom w:val="nil"/>
              <w:right w:val="nil"/>
            </w:tcBorders>
            <w:shd w:val="clear" w:color="auto" w:fill="auto"/>
            <w:noWrap/>
            <w:vAlign w:val="bottom"/>
            <w:hideMark/>
          </w:tcPr>
          <w:p w14:paraId="0C256B1E" w14:textId="77777777" w:rsidR="002E5072" w:rsidRPr="008669C3" w:rsidRDefault="002E5072" w:rsidP="002E5072">
            <w:pPr>
              <w:rPr>
                <w:color w:val="000000"/>
                <w:sz w:val="22"/>
                <w:szCs w:val="22"/>
              </w:rPr>
            </w:pPr>
            <w:r w:rsidRPr="008669C3">
              <w:rPr>
                <w:color w:val="000000"/>
                <w:sz w:val="22"/>
                <w:szCs w:val="22"/>
              </w:rPr>
              <w:t>N</w:t>
            </w:r>
          </w:p>
        </w:tc>
        <w:tc>
          <w:tcPr>
            <w:tcW w:w="526" w:type="pct"/>
            <w:tcBorders>
              <w:top w:val="nil"/>
              <w:left w:val="nil"/>
              <w:bottom w:val="nil"/>
              <w:right w:val="nil"/>
            </w:tcBorders>
            <w:shd w:val="clear" w:color="auto" w:fill="auto"/>
            <w:noWrap/>
            <w:vAlign w:val="bottom"/>
            <w:hideMark/>
          </w:tcPr>
          <w:p w14:paraId="128B0803" w14:textId="316E0837" w:rsidR="002E5072" w:rsidRPr="008669C3" w:rsidRDefault="00890C53" w:rsidP="002E5072">
            <w:pPr>
              <w:jc w:val="center"/>
              <w:rPr>
                <w:color w:val="000000"/>
                <w:sz w:val="22"/>
                <w:szCs w:val="22"/>
              </w:rPr>
            </w:pPr>
            <w:r>
              <w:rPr>
                <w:color w:val="000000"/>
                <w:sz w:val="22"/>
                <w:szCs w:val="22"/>
              </w:rPr>
              <w:t>4</w:t>
            </w:r>
            <w:r w:rsidR="002E5072" w:rsidRPr="008669C3">
              <w:rPr>
                <w:color w:val="000000"/>
                <w:sz w:val="22"/>
                <w:szCs w:val="22"/>
              </w:rPr>
              <w:t>588</w:t>
            </w:r>
          </w:p>
        </w:tc>
        <w:tc>
          <w:tcPr>
            <w:tcW w:w="544" w:type="pct"/>
            <w:tcBorders>
              <w:top w:val="nil"/>
              <w:left w:val="nil"/>
              <w:bottom w:val="nil"/>
              <w:right w:val="nil"/>
            </w:tcBorders>
            <w:shd w:val="clear" w:color="auto" w:fill="auto"/>
            <w:noWrap/>
            <w:vAlign w:val="bottom"/>
            <w:hideMark/>
          </w:tcPr>
          <w:p w14:paraId="7ABF11B6" w14:textId="12E896DE" w:rsidR="002E5072" w:rsidRPr="008669C3" w:rsidRDefault="00890C53" w:rsidP="002E5072">
            <w:pPr>
              <w:jc w:val="center"/>
              <w:rPr>
                <w:color w:val="000000"/>
                <w:sz w:val="22"/>
                <w:szCs w:val="22"/>
              </w:rPr>
            </w:pPr>
            <w:r>
              <w:rPr>
                <w:color w:val="000000"/>
                <w:sz w:val="22"/>
                <w:szCs w:val="22"/>
              </w:rPr>
              <w:t>4</w:t>
            </w:r>
            <w:r w:rsidR="002E5072" w:rsidRPr="008669C3">
              <w:rPr>
                <w:color w:val="000000"/>
                <w:sz w:val="22"/>
                <w:szCs w:val="22"/>
              </w:rPr>
              <w:t>588</w:t>
            </w:r>
          </w:p>
        </w:tc>
        <w:tc>
          <w:tcPr>
            <w:tcW w:w="103" w:type="pct"/>
            <w:tcBorders>
              <w:top w:val="nil"/>
              <w:left w:val="nil"/>
              <w:bottom w:val="nil"/>
              <w:right w:val="nil"/>
            </w:tcBorders>
            <w:shd w:val="clear" w:color="auto" w:fill="auto"/>
            <w:noWrap/>
            <w:vAlign w:val="bottom"/>
            <w:hideMark/>
          </w:tcPr>
          <w:p w14:paraId="0F175CEB" w14:textId="77777777" w:rsidR="002E5072" w:rsidRPr="008669C3" w:rsidRDefault="002E5072" w:rsidP="002E5072">
            <w:pPr>
              <w:jc w:val="center"/>
              <w:rPr>
                <w:color w:val="000000"/>
                <w:sz w:val="22"/>
                <w:szCs w:val="22"/>
              </w:rPr>
            </w:pPr>
          </w:p>
        </w:tc>
        <w:tc>
          <w:tcPr>
            <w:tcW w:w="559" w:type="pct"/>
            <w:tcBorders>
              <w:top w:val="nil"/>
              <w:left w:val="nil"/>
              <w:bottom w:val="nil"/>
              <w:right w:val="nil"/>
            </w:tcBorders>
            <w:shd w:val="clear" w:color="auto" w:fill="auto"/>
            <w:noWrap/>
            <w:vAlign w:val="bottom"/>
            <w:hideMark/>
          </w:tcPr>
          <w:p w14:paraId="0E546922" w14:textId="45BFC901" w:rsidR="002E5072" w:rsidRPr="008669C3" w:rsidRDefault="00890C53" w:rsidP="002E5072">
            <w:pPr>
              <w:jc w:val="center"/>
              <w:rPr>
                <w:color w:val="000000"/>
                <w:sz w:val="22"/>
                <w:szCs w:val="22"/>
              </w:rPr>
            </w:pPr>
            <w:r>
              <w:rPr>
                <w:color w:val="000000"/>
                <w:sz w:val="22"/>
                <w:szCs w:val="22"/>
              </w:rPr>
              <w:t>4</w:t>
            </w:r>
            <w:r w:rsidR="002E5072" w:rsidRPr="008669C3">
              <w:rPr>
                <w:color w:val="000000"/>
                <w:sz w:val="22"/>
                <w:szCs w:val="22"/>
              </w:rPr>
              <w:t>588</w:t>
            </w:r>
          </w:p>
        </w:tc>
        <w:tc>
          <w:tcPr>
            <w:tcW w:w="560" w:type="pct"/>
            <w:tcBorders>
              <w:top w:val="nil"/>
              <w:left w:val="nil"/>
              <w:bottom w:val="nil"/>
              <w:right w:val="nil"/>
            </w:tcBorders>
            <w:shd w:val="clear" w:color="auto" w:fill="auto"/>
            <w:noWrap/>
            <w:vAlign w:val="bottom"/>
            <w:hideMark/>
          </w:tcPr>
          <w:p w14:paraId="5751F4F2" w14:textId="30EF54BC" w:rsidR="002E5072" w:rsidRPr="008669C3" w:rsidRDefault="00890C53" w:rsidP="002E5072">
            <w:pPr>
              <w:jc w:val="center"/>
              <w:rPr>
                <w:color w:val="000000"/>
                <w:sz w:val="22"/>
                <w:szCs w:val="22"/>
              </w:rPr>
            </w:pPr>
            <w:r>
              <w:rPr>
                <w:color w:val="000000"/>
                <w:sz w:val="22"/>
                <w:szCs w:val="22"/>
              </w:rPr>
              <w:t>4</w:t>
            </w:r>
            <w:r w:rsidR="002E5072" w:rsidRPr="008669C3">
              <w:rPr>
                <w:color w:val="000000"/>
                <w:sz w:val="22"/>
                <w:szCs w:val="22"/>
              </w:rPr>
              <w:t>588</w:t>
            </w:r>
          </w:p>
        </w:tc>
        <w:tc>
          <w:tcPr>
            <w:tcW w:w="103" w:type="pct"/>
            <w:tcBorders>
              <w:top w:val="nil"/>
              <w:left w:val="nil"/>
              <w:bottom w:val="nil"/>
              <w:right w:val="nil"/>
            </w:tcBorders>
            <w:shd w:val="clear" w:color="auto" w:fill="auto"/>
            <w:noWrap/>
            <w:vAlign w:val="bottom"/>
            <w:hideMark/>
          </w:tcPr>
          <w:p w14:paraId="7E2EDF92" w14:textId="77777777" w:rsidR="002E5072" w:rsidRPr="008669C3" w:rsidRDefault="002E5072" w:rsidP="002E5072">
            <w:pPr>
              <w:jc w:val="center"/>
              <w:rPr>
                <w:color w:val="000000"/>
                <w:sz w:val="22"/>
                <w:szCs w:val="22"/>
              </w:rPr>
            </w:pPr>
          </w:p>
        </w:tc>
        <w:tc>
          <w:tcPr>
            <w:tcW w:w="416" w:type="pct"/>
            <w:tcBorders>
              <w:top w:val="nil"/>
              <w:left w:val="nil"/>
              <w:bottom w:val="nil"/>
              <w:right w:val="nil"/>
            </w:tcBorders>
            <w:shd w:val="clear" w:color="auto" w:fill="auto"/>
            <w:noWrap/>
            <w:vAlign w:val="bottom"/>
            <w:hideMark/>
          </w:tcPr>
          <w:p w14:paraId="6743E750" w14:textId="55211C8C" w:rsidR="002E5072" w:rsidRPr="008669C3" w:rsidRDefault="00890C53" w:rsidP="002E5072">
            <w:pPr>
              <w:jc w:val="center"/>
              <w:rPr>
                <w:color w:val="000000"/>
                <w:sz w:val="22"/>
                <w:szCs w:val="22"/>
              </w:rPr>
            </w:pPr>
            <w:r>
              <w:rPr>
                <w:color w:val="000000"/>
                <w:sz w:val="22"/>
                <w:szCs w:val="22"/>
              </w:rPr>
              <w:t>9</w:t>
            </w:r>
            <w:r w:rsidR="002E5072" w:rsidRPr="008669C3">
              <w:rPr>
                <w:color w:val="000000"/>
                <w:sz w:val="22"/>
                <w:szCs w:val="22"/>
              </w:rPr>
              <w:t>176</w:t>
            </w:r>
          </w:p>
        </w:tc>
        <w:tc>
          <w:tcPr>
            <w:tcW w:w="500" w:type="pct"/>
            <w:tcBorders>
              <w:top w:val="nil"/>
              <w:left w:val="nil"/>
              <w:bottom w:val="nil"/>
              <w:right w:val="nil"/>
            </w:tcBorders>
            <w:shd w:val="clear" w:color="auto" w:fill="auto"/>
            <w:noWrap/>
            <w:vAlign w:val="bottom"/>
            <w:hideMark/>
          </w:tcPr>
          <w:p w14:paraId="330DCAE5" w14:textId="28A0242F" w:rsidR="002E5072" w:rsidRPr="008669C3" w:rsidRDefault="00890C53" w:rsidP="002E5072">
            <w:pPr>
              <w:jc w:val="center"/>
              <w:rPr>
                <w:color w:val="000000"/>
                <w:sz w:val="22"/>
                <w:szCs w:val="22"/>
              </w:rPr>
            </w:pPr>
            <w:r>
              <w:rPr>
                <w:color w:val="000000"/>
                <w:sz w:val="22"/>
                <w:szCs w:val="22"/>
              </w:rPr>
              <w:t>9</w:t>
            </w:r>
            <w:r w:rsidR="002E5072" w:rsidRPr="008669C3">
              <w:rPr>
                <w:color w:val="000000"/>
                <w:sz w:val="22"/>
                <w:szCs w:val="22"/>
              </w:rPr>
              <w:t>176</w:t>
            </w:r>
          </w:p>
        </w:tc>
      </w:tr>
      <w:tr w:rsidR="0024682D" w:rsidRPr="008669C3" w14:paraId="6E3D6C8C" w14:textId="77777777" w:rsidTr="00142C1A">
        <w:trPr>
          <w:trHeight w:val="20"/>
        </w:trPr>
        <w:tc>
          <w:tcPr>
            <w:tcW w:w="1689" w:type="pct"/>
            <w:tcBorders>
              <w:top w:val="nil"/>
              <w:left w:val="nil"/>
              <w:bottom w:val="single" w:sz="4" w:space="0" w:color="auto"/>
              <w:right w:val="nil"/>
            </w:tcBorders>
            <w:shd w:val="clear" w:color="auto" w:fill="auto"/>
            <w:noWrap/>
            <w:vAlign w:val="bottom"/>
            <w:hideMark/>
          </w:tcPr>
          <w:p w14:paraId="7323F91F" w14:textId="191B4FE9" w:rsidR="0024682D" w:rsidRPr="008669C3" w:rsidRDefault="0024682D" w:rsidP="0024682D">
            <w:pPr>
              <w:rPr>
                <w:color w:val="000000"/>
                <w:sz w:val="22"/>
                <w:szCs w:val="22"/>
              </w:rPr>
            </w:pPr>
            <w:r w:rsidRPr="008669C3">
              <w:rPr>
                <w:sz w:val="22"/>
                <w:szCs w:val="22"/>
              </w:rPr>
              <w:t>Adjusted R</w:t>
            </w:r>
            <w:r w:rsidRPr="008669C3">
              <w:rPr>
                <w:sz w:val="22"/>
                <w:szCs w:val="22"/>
                <w:vertAlign w:val="superscript"/>
              </w:rPr>
              <w:t>2</w:t>
            </w:r>
          </w:p>
        </w:tc>
        <w:tc>
          <w:tcPr>
            <w:tcW w:w="526" w:type="pct"/>
            <w:tcBorders>
              <w:top w:val="nil"/>
              <w:left w:val="nil"/>
              <w:bottom w:val="single" w:sz="4" w:space="0" w:color="auto"/>
              <w:right w:val="nil"/>
            </w:tcBorders>
            <w:shd w:val="clear" w:color="auto" w:fill="auto"/>
            <w:noWrap/>
            <w:vAlign w:val="bottom"/>
            <w:hideMark/>
          </w:tcPr>
          <w:p w14:paraId="46191572" w14:textId="0E08326B" w:rsidR="0024682D" w:rsidRPr="008669C3" w:rsidRDefault="0024682D" w:rsidP="0024682D">
            <w:pPr>
              <w:jc w:val="center"/>
              <w:rPr>
                <w:color w:val="000000"/>
                <w:sz w:val="22"/>
                <w:szCs w:val="22"/>
              </w:rPr>
            </w:pPr>
            <w:r w:rsidRPr="008669C3">
              <w:rPr>
                <w:color w:val="000000"/>
                <w:sz w:val="22"/>
                <w:szCs w:val="22"/>
              </w:rPr>
              <w:t>0.179</w:t>
            </w:r>
          </w:p>
        </w:tc>
        <w:tc>
          <w:tcPr>
            <w:tcW w:w="544" w:type="pct"/>
            <w:tcBorders>
              <w:top w:val="nil"/>
              <w:left w:val="nil"/>
              <w:bottom w:val="single" w:sz="4" w:space="0" w:color="auto"/>
              <w:right w:val="nil"/>
            </w:tcBorders>
            <w:shd w:val="clear" w:color="auto" w:fill="auto"/>
            <w:noWrap/>
            <w:vAlign w:val="bottom"/>
            <w:hideMark/>
          </w:tcPr>
          <w:p w14:paraId="4B588191" w14:textId="1644C798" w:rsidR="0024682D" w:rsidRPr="008669C3" w:rsidRDefault="0024682D" w:rsidP="0024682D">
            <w:pPr>
              <w:jc w:val="center"/>
              <w:rPr>
                <w:color w:val="000000"/>
                <w:sz w:val="22"/>
                <w:szCs w:val="22"/>
              </w:rPr>
            </w:pPr>
            <w:r w:rsidRPr="008669C3">
              <w:rPr>
                <w:color w:val="000000"/>
                <w:sz w:val="22"/>
                <w:szCs w:val="22"/>
              </w:rPr>
              <w:t>0.159</w:t>
            </w:r>
          </w:p>
        </w:tc>
        <w:tc>
          <w:tcPr>
            <w:tcW w:w="103" w:type="pct"/>
            <w:tcBorders>
              <w:top w:val="nil"/>
              <w:left w:val="nil"/>
              <w:bottom w:val="single" w:sz="4" w:space="0" w:color="auto"/>
              <w:right w:val="nil"/>
            </w:tcBorders>
            <w:shd w:val="clear" w:color="auto" w:fill="auto"/>
            <w:noWrap/>
            <w:vAlign w:val="bottom"/>
            <w:hideMark/>
          </w:tcPr>
          <w:p w14:paraId="1D6F78A3" w14:textId="77777777" w:rsidR="0024682D" w:rsidRPr="008669C3" w:rsidRDefault="0024682D" w:rsidP="0024682D">
            <w:pPr>
              <w:jc w:val="center"/>
              <w:rPr>
                <w:color w:val="000000"/>
                <w:sz w:val="22"/>
                <w:szCs w:val="22"/>
              </w:rPr>
            </w:pPr>
            <w:r w:rsidRPr="008669C3">
              <w:rPr>
                <w:color w:val="000000"/>
                <w:sz w:val="22"/>
                <w:szCs w:val="22"/>
              </w:rPr>
              <w:t> </w:t>
            </w:r>
          </w:p>
        </w:tc>
        <w:tc>
          <w:tcPr>
            <w:tcW w:w="559" w:type="pct"/>
            <w:tcBorders>
              <w:top w:val="nil"/>
              <w:left w:val="nil"/>
              <w:bottom w:val="single" w:sz="4" w:space="0" w:color="auto"/>
              <w:right w:val="nil"/>
            </w:tcBorders>
            <w:shd w:val="clear" w:color="auto" w:fill="auto"/>
            <w:noWrap/>
            <w:vAlign w:val="bottom"/>
            <w:hideMark/>
          </w:tcPr>
          <w:p w14:paraId="5873BA56" w14:textId="1F124F2C" w:rsidR="0024682D" w:rsidRPr="008669C3" w:rsidRDefault="0024682D" w:rsidP="0024682D">
            <w:pPr>
              <w:jc w:val="center"/>
              <w:rPr>
                <w:color w:val="000000"/>
                <w:sz w:val="22"/>
                <w:szCs w:val="22"/>
              </w:rPr>
            </w:pPr>
            <w:r w:rsidRPr="008669C3">
              <w:rPr>
                <w:color w:val="000000"/>
                <w:sz w:val="22"/>
                <w:szCs w:val="22"/>
              </w:rPr>
              <w:t>0.241</w:t>
            </w:r>
          </w:p>
        </w:tc>
        <w:tc>
          <w:tcPr>
            <w:tcW w:w="560" w:type="pct"/>
            <w:tcBorders>
              <w:top w:val="nil"/>
              <w:left w:val="nil"/>
              <w:bottom w:val="single" w:sz="4" w:space="0" w:color="auto"/>
              <w:right w:val="nil"/>
            </w:tcBorders>
            <w:shd w:val="clear" w:color="auto" w:fill="auto"/>
            <w:noWrap/>
            <w:vAlign w:val="bottom"/>
            <w:hideMark/>
          </w:tcPr>
          <w:p w14:paraId="6AC06D20" w14:textId="2D093798" w:rsidR="0024682D" w:rsidRPr="008669C3" w:rsidRDefault="0024682D" w:rsidP="0024682D">
            <w:pPr>
              <w:jc w:val="center"/>
              <w:rPr>
                <w:color w:val="000000"/>
                <w:sz w:val="22"/>
                <w:szCs w:val="22"/>
              </w:rPr>
            </w:pPr>
            <w:r w:rsidRPr="008669C3">
              <w:rPr>
                <w:color w:val="000000"/>
                <w:sz w:val="22"/>
                <w:szCs w:val="22"/>
              </w:rPr>
              <w:t>0.149</w:t>
            </w:r>
          </w:p>
        </w:tc>
        <w:tc>
          <w:tcPr>
            <w:tcW w:w="103" w:type="pct"/>
            <w:tcBorders>
              <w:top w:val="nil"/>
              <w:left w:val="nil"/>
              <w:bottom w:val="single" w:sz="4" w:space="0" w:color="auto"/>
              <w:right w:val="nil"/>
            </w:tcBorders>
            <w:shd w:val="clear" w:color="auto" w:fill="auto"/>
            <w:noWrap/>
            <w:vAlign w:val="bottom"/>
            <w:hideMark/>
          </w:tcPr>
          <w:p w14:paraId="73275670" w14:textId="77777777" w:rsidR="0024682D" w:rsidRPr="008669C3" w:rsidRDefault="0024682D" w:rsidP="0024682D">
            <w:pPr>
              <w:jc w:val="center"/>
              <w:rPr>
                <w:color w:val="000000"/>
                <w:sz w:val="22"/>
                <w:szCs w:val="22"/>
              </w:rPr>
            </w:pPr>
            <w:r w:rsidRPr="008669C3">
              <w:rPr>
                <w:color w:val="000000"/>
                <w:sz w:val="22"/>
                <w:szCs w:val="22"/>
              </w:rPr>
              <w:t> </w:t>
            </w:r>
          </w:p>
        </w:tc>
        <w:tc>
          <w:tcPr>
            <w:tcW w:w="416" w:type="pct"/>
            <w:tcBorders>
              <w:top w:val="nil"/>
              <w:left w:val="nil"/>
              <w:bottom w:val="single" w:sz="4" w:space="0" w:color="auto"/>
              <w:right w:val="nil"/>
            </w:tcBorders>
            <w:shd w:val="clear" w:color="auto" w:fill="auto"/>
            <w:noWrap/>
            <w:vAlign w:val="bottom"/>
            <w:hideMark/>
          </w:tcPr>
          <w:p w14:paraId="472C0385" w14:textId="1F2A89D3" w:rsidR="0024682D" w:rsidRPr="008669C3" w:rsidRDefault="0024682D" w:rsidP="0024682D">
            <w:pPr>
              <w:jc w:val="center"/>
              <w:rPr>
                <w:color w:val="000000"/>
                <w:sz w:val="22"/>
                <w:szCs w:val="22"/>
              </w:rPr>
            </w:pPr>
            <w:r w:rsidRPr="008669C3">
              <w:rPr>
                <w:color w:val="000000"/>
                <w:sz w:val="22"/>
                <w:szCs w:val="22"/>
              </w:rPr>
              <w:t>0.202</w:t>
            </w:r>
          </w:p>
        </w:tc>
        <w:tc>
          <w:tcPr>
            <w:tcW w:w="500" w:type="pct"/>
            <w:tcBorders>
              <w:top w:val="nil"/>
              <w:left w:val="nil"/>
              <w:bottom w:val="single" w:sz="4" w:space="0" w:color="auto"/>
              <w:right w:val="nil"/>
            </w:tcBorders>
            <w:shd w:val="clear" w:color="auto" w:fill="auto"/>
            <w:noWrap/>
            <w:vAlign w:val="bottom"/>
            <w:hideMark/>
          </w:tcPr>
          <w:p w14:paraId="7E8FD077" w14:textId="29826961" w:rsidR="0024682D" w:rsidRPr="008669C3" w:rsidRDefault="0024682D" w:rsidP="0024682D">
            <w:pPr>
              <w:jc w:val="center"/>
              <w:rPr>
                <w:color w:val="000000"/>
                <w:sz w:val="22"/>
                <w:szCs w:val="22"/>
              </w:rPr>
            </w:pPr>
            <w:r w:rsidRPr="008669C3">
              <w:rPr>
                <w:color w:val="000000"/>
                <w:sz w:val="22"/>
                <w:szCs w:val="22"/>
              </w:rPr>
              <w:t>0.126</w:t>
            </w:r>
          </w:p>
        </w:tc>
      </w:tr>
      <w:tr w:rsidR="002E5072" w:rsidRPr="008669C3" w14:paraId="7CE42F74" w14:textId="77777777" w:rsidTr="002E5072">
        <w:trPr>
          <w:trHeight w:val="20"/>
        </w:trPr>
        <w:tc>
          <w:tcPr>
            <w:tcW w:w="5000" w:type="pct"/>
            <w:gridSpan w:val="9"/>
            <w:tcBorders>
              <w:top w:val="nil"/>
              <w:left w:val="nil"/>
              <w:bottom w:val="nil"/>
              <w:right w:val="nil"/>
            </w:tcBorders>
            <w:shd w:val="clear" w:color="auto" w:fill="auto"/>
            <w:noWrap/>
            <w:vAlign w:val="bottom"/>
            <w:hideMark/>
          </w:tcPr>
          <w:p w14:paraId="0742FA8F" w14:textId="77777777" w:rsidR="00A26E25" w:rsidRPr="008669C3" w:rsidRDefault="00A26E25" w:rsidP="002E5072">
            <w:pPr>
              <w:rPr>
                <w:color w:val="000000"/>
                <w:sz w:val="22"/>
                <w:szCs w:val="22"/>
              </w:rPr>
            </w:pPr>
          </w:p>
          <w:p w14:paraId="2F92EAF6" w14:textId="77777777" w:rsidR="00A26E25" w:rsidRPr="008669C3" w:rsidRDefault="00A26E25" w:rsidP="002E5072">
            <w:pPr>
              <w:rPr>
                <w:color w:val="000000"/>
                <w:sz w:val="22"/>
                <w:szCs w:val="22"/>
              </w:rPr>
            </w:pPr>
          </w:p>
          <w:p w14:paraId="1747E868" w14:textId="77777777" w:rsidR="00142C1A" w:rsidRPr="008669C3" w:rsidRDefault="00142C1A" w:rsidP="002E5072">
            <w:pPr>
              <w:rPr>
                <w:color w:val="000000"/>
                <w:sz w:val="22"/>
                <w:szCs w:val="22"/>
              </w:rPr>
            </w:pPr>
          </w:p>
          <w:p w14:paraId="2757E5CF" w14:textId="77777777" w:rsidR="00DA3349" w:rsidRPr="008669C3" w:rsidRDefault="00DA3349" w:rsidP="002E5072">
            <w:pPr>
              <w:rPr>
                <w:color w:val="000000"/>
                <w:sz w:val="22"/>
                <w:szCs w:val="22"/>
              </w:rPr>
            </w:pPr>
          </w:p>
          <w:p w14:paraId="72180C97" w14:textId="77777777" w:rsidR="00DA3349" w:rsidRPr="008669C3" w:rsidRDefault="00DA3349" w:rsidP="002E5072">
            <w:pPr>
              <w:rPr>
                <w:color w:val="000000"/>
                <w:sz w:val="22"/>
                <w:szCs w:val="22"/>
              </w:rPr>
            </w:pPr>
          </w:p>
          <w:p w14:paraId="1FA7E742" w14:textId="77777777" w:rsidR="00DA3349" w:rsidRPr="008669C3" w:rsidRDefault="00DA3349" w:rsidP="002E5072">
            <w:pPr>
              <w:rPr>
                <w:color w:val="000000"/>
                <w:sz w:val="22"/>
                <w:szCs w:val="22"/>
              </w:rPr>
            </w:pPr>
          </w:p>
          <w:p w14:paraId="324C9CE2" w14:textId="77777777" w:rsidR="00A26E25" w:rsidRPr="008669C3" w:rsidRDefault="00A26E25" w:rsidP="002E5072">
            <w:pPr>
              <w:rPr>
                <w:color w:val="000000"/>
                <w:sz w:val="22"/>
                <w:szCs w:val="22"/>
              </w:rPr>
            </w:pPr>
          </w:p>
          <w:p w14:paraId="457A38DC" w14:textId="359B0EE1" w:rsidR="002E5072" w:rsidRPr="008669C3" w:rsidRDefault="002E5072" w:rsidP="00A26E25">
            <w:pPr>
              <w:rPr>
                <w:i/>
                <w:color w:val="000000"/>
                <w:sz w:val="22"/>
                <w:szCs w:val="22"/>
              </w:rPr>
            </w:pPr>
            <w:r w:rsidRPr="008669C3">
              <w:rPr>
                <w:i/>
                <w:sz w:val="22"/>
                <w:szCs w:val="22"/>
              </w:rPr>
              <w:lastRenderedPageBreak/>
              <w:t>Panel B</w:t>
            </w:r>
            <w:r w:rsidR="00A26E25" w:rsidRPr="008669C3">
              <w:rPr>
                <w:i/>
                <w:sz w:val="22"/>
                <w:szCs w:val="22"/>
              </w:rPr>
              <w:t xml:space="preserve">: </w:t>
            </w:r>
            <w:r w:rsidR="00A26E25" w:rsidRPr="008669C3">
              <w:rPr>
                <w:i/>
                <w:iCs/>
                <w:sz w:val="22"/>
                <w:szCs w:val="22"/>
              </w:rPr>
              <w:t>Based on Altman Z-score</w:t>
            </w:r>
          </w:p>
        </w:tc>
      </w:tr>
      <w:tr w:rsidR="002E5072" w:rsidRPr="008669C3" w14:paraId="203256D9" w14:textId="77777777" w:rsidTr="00142C1A">
        <w:trPr>
          <w:trHeight w:val="20"/>
        </w:trPr>
        <w:tc>
          <w:tcPr>
            <w:tcW w:w="1689" w:type="pct"/>
            <w:tcBorders>
              <w:top w:val="nil"/>
              <w:left w:val="nil"/>
              <w:bottom w:val="nil"/>
              <w:right w:val="nil"/>
            </w:tcBorders>
            <w:shd w:val="clear" w:color="auto" w:fill="auto"/>
            <w:noWrap/>
            <w:vAlign w:val="bottom"/>
            <w:hideMark/>
          </w:tcPr>
          <w:p w14:paraId="19949FBA" w14:textId="77777777" w:rsidR="002E5072" w:rsidRPr="008669C3" w:rsidRDefault="002E5072" w:rsidP="002E5072">
            <w:pPr>
              <w:jc w:val="center"/>
              <w:rPr>
                <w:sz w:val="22"/>
                <w:szCs w:val="22"/>
              </w:rPr>
            </w:pPr>
          </w:p>
        </w:tc>
        <w:tc>
          <w:tcPr>
            <w:tcW w:w="1070" w:type="pct"/>
            <w:gridSpan w:val="2"/>
            <w:tcBorders>
              <w:top w:val="nil"/>
              <w:left w:val="nil"/>
              <w:bottom w:val="single" w:sz="4" w:space="0" w:color="auto"/>
              <w:right w:val="nil"/>
            </w:tcBorders>
            <w:shd w:val="clear" w:color="auto" w:fill="auto"/>
            <w:noWrap/>
            <w:vAlign w:val="bottom"/>
            <w:hideMark/>
          </w:tcPr>
          <w:p w14:paraId="75C04FD3" w14:textId="21D1A72E" w:rsidR="002E5072" w:rsidRPr="008669C3" w:rsidRDefault="00A26E25" w:rsidP="002E5072">
            <w:pPr>
              <w:jc w:val="center"/>
              <w:rPr>
                <w:sz w:val="22"/>
                <w:szCs w:val="22"/>
              </w:rPr>
            </w:pPr>
            <w:r w:rsidRPr="008669C3">
              <w:rPr>
                <w:sz w:val="22"/>
                <w:szCs w:val="22"/>
              </w:rPr>
              <w:t>High Z-score: Non-distressed</w:t>
            </w:r>
          </w:p>
        </w:tc>
        <w:tc>
          <w:tcPr>
            <w:tcW w:w="103" w:type="pct"/>
            <w:tcBorders>
              <w:top w:val="nil"/>
              <w:left w:val="nil"/>
              <w:bottom w:val="nil"/>
              <w:right w:val="nil"/>
            </w:tcBorders>
            <w:shd w:val="clear" w:color="auto" w:fill="auto"/>
            <w:noWrap/>
            <w:vAlign w:val="bottom"/>
            <w:hideMark/>
          </w:tcPr>
          <w:p w14:paraId="6DC346C3" w14:textId="77777777" w:rsidR="002E5072" w:rsidRPr="008669C3" w:rsidRDefault="002E5072" w:rsidP="002E5072">
            <w:pPr>
              <w:jc w:val="center"/>
              <w:rPr>
                <w:sz w:val="22"/>
                <w:szCs w:val="22"/>
              </w:rPr>
            </w:pPr>
          </w:p>
        </w:tc>
        <w:tc>
          <w:tcPr>
            <w:tcW w:w="1119" w:type="pct"/>
            <w:gridSpan w:val="2"/>
            <w:tcBorders>
              <w:top w:val="nil"/>
              <w:left w:val="nil"/>
              <w:bottom w:val="single" w:sz="4" w:space="0" w:color="auto"/>
              <w:right w:val="nil"/>
            </w:tcBorders>
            <w:shd w:val="clear" w:color="auto" w:fill="auto"/>
            <w:noWrap/>
            <w:vAlign w:val="bottom"/>
            <w:hideMark/>
          </w:tcPr>
          <w:p w14:paraId="777EA371" w14:textId="5FC014CE" w:rsidR="002E5072" w:rsidRPr="008669C3" w:rsidRDefault="00A26E25" w:rsidP="002E5072">
            <w:pPr>
              <w:jc w:val="center"/>
              <w:rPr>
                <w:sz w:val="22"/>
                <w:szCs w:val="22"/>
              </w:rPr>
            </w:pPr>
            <w:r w:rsidRPr="008669C3">
              <w:rPr>
                <w:sz w:val="22"/>
                <w:szCs w:val="22"/>
              </w:rPr>
              <w:t>Low Z-score: Distressed</w:t>
            </w:r>
          </w:p>
        </w:tc>
        <w:tc>
          <w:tcPr>
            <w:tcW w:w="103" w:type="pct"/>
            <w:tcBorders>
              <w:top w:val="nil"/>
              <w:left w:val="nil"/>
              <w:bottom w:val="nil"/>
              <w:right w:val="nil"/>
            </w:tcBorders>
            <w:shd w:val="clear" w:color="auto" w:fill="auto"/>
            <w:noWrap/>
            <w:vAlign w:val="bottom"/>
            <w:hideMark/>
          </w:tcPr>
          <w:p w14:paraId="505128F3" w14:textId="77777777" w:rsidR="002E5072" w:rsidRPr="008669C3" w:rsidRDefault="002E5072" w:rsidP="002E5072">
            <w:pPr>
              <w:jc w:val="center"/>
              <w:rPr>
                <w:sz w:val="22"/>
                <w:szCs w:val="22"/>
              </w:rPr>
            </w:pPr>
          </w:p>
        </w:tc>
        <w:tc>
          <w:tcPr>
            <w:tcW w:w="916" w:type="pct"/>
            <w:gridSpan w:val="2"/>
            <w:tcBorders>
              <w:top w:val="nil"/>
              <w:left w:val="nil"/>
              <w:bottom w:val="single" w:sz="4" w:space="0" w:color="auto"/>
              <w:right w:val="nil"/>
            </w:tcBorders>
            <w:shd w:val="clear" w:color="auto" w:fill="auto"/>
            <w:noWrap/>
            <w:vAlign w:val="bottom"/>
            <w:hideMark/>
          </w:tcPr>
          <w:p w14:paraId="549CD8B4" w14:textId="7197FF19" w:rsidR="002E5072" w:rsidRPr="008669C3" w:rsidRDefault="00A26E25" w:rsidP="002E5072">
            <w:pPr>
              <w:jc w:val="center"/>
              <w:rPr>
                <w:sz w:val="22"/>
                <w:szCs w:val="22"/>
              </w:rPr>
            </w:pPr>
            <w:r w:rsidRPr="008669C3">
              <w:rPr>
                <w:sz w:val="22"/>
                <w:szCs w:val="22"/>
              </w:rPr>
              <w:t>Whole sample</w:t>
            </w:r>
          </w:p>
        </w:tc>
      </w:tr>
      <w:tr w:rsidR="00142C1A" w:rsidRPr="008669C3" w14:paraId="62CC0AFC" w14:textId="77777777" w:rsidTr="00B37A31">
        <w:trPr>
          <w:trHeight w:val="20"/>
        </w:trPr>
        <w:tc>
          <w:tcPr>
            <w:tcW w:w="1689" w:type="pct"/>
            <w:tcBorders>
              <w:top w:val="nil"/>
              <w:left w:val="nil"/>
              <w:bottom w:val="single" w:sz="4" w:space="0" w:color="auto"/>
              <w:right w:val="nil"/>
            </w:tcBorders>
            <w:shd w:val="clear" w:color="auto" w:fill="auto"/>
            <w:noWrap/>
            <w:vAlign w:val="bottom"/>
            <w:hideMark/>
          </w:tcPr>
          <w:p w14:paraId="463A740F" w14:textId="77777777" w:rsidR="002E5072" w:rsidRPr="008669C3" w:rsidRDefault="002E5072" w:rsidP="002E5072">
            <w:pPr>
              <w:jc w:val="center"/>
              <w:rPr>
                <w:color w:val="000000"/>
                <w:sz w:val="22"/>
                <w:szCs w:val="22"/>
              </w:rPr>
            </w:pPr>
          </w:p>
        </w:tc>
        <w:tc>
          <w:tcPr>
            <w:tcW w:w="526" w:type="pct"/>
            <w:tcBorders>
              <w:top w:val="nil"/>
              <w:left w:val="nil"/>
              <w:bottom w:val="single" w:sz="4" w:space="0" w:color="auto"/>
              <w:right w:val="nil"/>
            </w:tcBorders>
            <w:shd w:val="clear" w:color="auto" w:fill="auto"/>
            <w:noWrap/>
            <w:vAlign w:val="bottom"/>
            <w:hideMark/>
          </w:tcPr>
          <w:p w14:paraId="4B834A40" w14:textId="77777777" w:rsidR="002E5072" w:rsidRPr="008669C3" w:rsidRDefault="002E5072" w:rsidP="002E5072">
            <w:pPr>
              <w:jc w:val="center"/>
              <w:rPr>
                <w:color w:val="000000"/>
                <w:sz w:val="22"/>
                <w:szCs w:val="22"/>
              </w:rPr>
            </w:pPr>
            <w:r w:rsidRPr="008669C3">
              <w:rPr>
                <w:color w:val="000000"/>
                <w:sz w:val="22"/>
                <w:szCs w:val="22"/>
              </w:rPr>
              <w:t>(1)</w:t>
            </w:r>
          </w:p>
        </w:tc>
        <w:tc>
          <w:tcPr>
            <w:tcW w:w="544" w:type="pct"/>
            <w:tcBorders>
              <w:top w:val="nil"/>
              <w:left w:val="nil"/>
              <w:bottom w:val="single" w:sz="4" w:space="0" w:color="auto"/>
              <w:right w:val="nil"/>
            </w:tcBorders>
            <w:shd w:val="clear" w:color="auto" w:fill="auto"/>
            <w:noWrap/>
            <w:vAlign w:val="bottom"/>
            <w:hideMark/>
          </w:tcPr>
          <w:p w14:paraId="06C45B2F" w14:textId="77777777" w:rsidR="002E5072" w:rsidRPr="008669C3" w:rsidRDefault="002E5072" w:rsidP="002E5072">
            <w:pPr>
              <w:jc w:val="center"/>
              <w:rPr>
                <w:color w:val="000000"/>
                <w:sz w:val="22"/>
                <w:szCs w:val="22"/>
              </w:rPr>
            </w:pPr>
            <w:r w:rsidRPr="008669C3">
              <w:rPr>
                <w:color w:val="000000"/>
                <w:sz w:val="22"/>
                <w:szCs w:val="22"/>
              </w:rPr>
              <w:t>(2)</w:t>
            </w:r>
          </w:p>
        </w:tc>
        <w:tc>
          <w:tcPr>
            <w:tcW w:w="103" w:type="pct"/>
            <w:tcBorders>
              <w:top w:val="nil"/>
              <w:left w:val="nil"/>
              <w:bottom w:val="single" w:sz="4" w:space="0" w:color="auto"/>
              <w:right w:val="nil"/>
            </w:tcBorders>
            <w:shd w:val="clear" w:color="auto" w:fill="auto"/>
            <w:noWrap/>
            <w:vAlign w:val="bottom"/>
            <w:hideMark/>
          </w:tcPr>
          <w:p w14:paraId="35EADD10" w14:textId="77777777" w:rsidR="002E5072" w:rsidRPr="008669C3" w:rsidRDefault="002E5072" w:rsidP="002E5072">
            <w:pPr>
              <w:jc w:val="center"/>
              <w:rPr>
                <w:color w:val="000000"/>
                <w:sz w:val="22"/>
                <w:szCs w:val="22"/>
              </w:rPr>
            </w:pPr>
            <w:r w:rsidRPr="008669C3">
              <w:rPr>
                <w:color w:val="000000"/>
                <w:sz w:val="22"/>
                <w:szCs w:val="22"/>
              </w:rPr>
              <w:t> </w:t>
            </w:r>
          </w:p>
        </w:tc>
        <w:tc>
          <w:tcPr>
            <w:tcW w:w="559" w:type="pct"/>
            <w:tcBorders>
              <w:top w:val="nil"/>
              <w:left w:val="nil"/>
              <w:bottom w:val="single" w:sz="4" w:space="0" w:color="auto"/>
              <w:right w:val="nil"/>
            </w:tcBorders>
            <w:shd w:val="clear" w:color="auto" w:fill="auto"/>
            <w:noWrap/>
            <w:vAlign w:val="bottom"/>
            <w:hideMark/>
          </w:tcPr>
          <w:p w14:paraId="0E2F7121" w14:textId="77777777" w:rsidR="002E5072" w:rsidRPr="008669C3" w:rsidRDefault="002E5072" w:rsidP="002E5072">
            <w:pPr>
              <w:jc w:val="center"/>
              <w:rPr>
                <w:color w:val="000000"/>
                <w:sz w:val="22"/>
                <w:szCs w:val="22"/>
              </w:rPr>
            </w:pPr>
            <w:r w:rsidRPr="008669C3">
              <w:rPr>
                <w:color w:val="000000"/>
                <w:sz w:val="22"/>
                <w:szCs w:val="22"/>
              </w:rPr>
              <w:t>(3)</w:t>
            </w:r>
          </w:p>
        </w:tc>
        <w:tc>
          <w:tcPr>
            <w:tcW w:w="560" w:type="pct"/>
            <w:tcBorders>
              <w:top w:val="nil"/>
              <w:left w:val="nil"/>
              <w:bottom w:val="single" w:sz="4" w:space="0" w:color="auto"/>
              <w:right w:val="nil"/>
            </w:tcBorders>
            <w:shd w:val="clear" w:color="auto" w:fill="auto"/>
            <w:noWrap/>
            <w:vAlign w:val="bottom"/>
            <w:hideMark/>
          </w:tcPr>
          <w:p w14:paraId="4D13A8F3" w14:textId="77777777" w:rsidR="002E5072" w:rsidRPr="008669C3" w:rsidRDefault="002E5072" w:rsidP="002E5072">
            <w:pPr>
              <w:jc w:val="center"/>
              <w:rPr>
                <w:color w:val="000000"/>
                <w:sz w:val="22"/>
                <w:szCs w:val="22"/>
              </w:rPr>
            </w:pPr>
            <w:r w:rsidRPr="008669C3">
              <w:rPr>
                <w:color w:val="000000"/>
                <w:sz w:val="22"/>
                <w:szCs w:val="22"/>
              </w:rPr>
              <w:t>(4)</w:t>
            </w:r>
          </w:p>
        </w:tc>
        <w:tc>
          <w:tcPr>
            <w:tcW w:w="103" w:type="pct"/>
            <w:tcBorders>
              <w:top w:val="nil"/>
              <w:left w:val="nil"/>
              <w:bottom w:val="single" w:sz="4" w:space="0" w:color="auto"/>
              <w:right w:val="nil"/>
            </w:tcBorders>
            <w:shd w:val="clear" w:color="auto" w:fill="auto"/>
            <w:noWrap/>
            <w:vAlign w:val="bottom"/>
            <w:hideMark/>
          </w:tcPr>
          <w:p w14:paraId="06454155" w14:textId="77777777" w:rsidR="002E5072" w:rsidRPr="008669C3" w:rsidRDefault="002E5072" w:rsidP="002E5072">
            <w:pPr>
              <w:jc w:val="center"/>
              <w:rPr>
                <w:color w:val="000000"/>
                <w:sz w:val="22"/>
                <w:szCs w:val="22"/>
              </w:rPr>
            </w:pPr>
            <w:r w:rsidRPr="008669C3">
              <w:rPr>
                <w:color w:val="000000"/>
                <w:sz w:val="22"/>
                <w:szCs w:val="22"/>
              </w:rPr>
              <w:t> </w:t>
            </w:r>
          </w:p>
        </w:tc>
        <w:tc>
          <w:tcPr>
            <w:tcW w:w="416" w:type="pct"/>
            <w:tcBorders>
              <w:top w:val="nil"/>
              <w:left w:val="nil"/>
              <w:bottom w:val="single" w:sz="4" w:space="0" w:color="auto"/>
              <w:right w:val="nil"/>
            </w:tcBorders>
            <w:shd w:val="clear" w:color="auto" w:fill="auto"/>
            <w:noWrap/>
            <w:vAlign w:val="bottom"/>
            <w:hideMark/>
          </w:tcPr>
          <w:p w14:paraId="29E7FF32" w14:textId="77777777" w:rsidR="002E5072" w:rsidRPr="008669C3" w:rsidRDefault="002E5072" w:rsidP="002E5072">
            <w:pPr>
              <w:jc w:val="center"/>
              <w:rPr>
                <w:color w:val="000000"/>
                <w:sz w:val="22"/>
                <w:szCs w:val="22"/>
              </w:rPr>
            </w:pPr>
            <w:r w:rsidRPr="008669C3">
              <w:rPr>
                <w:color w:val="000000"/>
                <w:sz w:val="22"/>
                <w:szCs w:val="22"/>
              </w:rPr>
              <w:t>(5)</w:t>
            </w:r>
          </w:p>
        </w:tc>
        <w:tc>
          <w:tcPr>
            <w:tcW w:w="500" w:type="pct"/>
            <w:tcBorders>
              <w:top w:val="nil"/>
              <w:left w:val="nil"/>
              <w:bottom w:val="single" w:sz="4" w:space="0" w:color="auto"/>
              <w:right w:val="nil"/>
            </w:tcBorders>
            <w:shd w:val="clear" w:color="auto" w:fill="auto"/>
            <w:noWrap/>
            <w:vAlign w:val="bottom"/>
            <w:hideMark/>
          </w:tcPr>
          <w:p w14:paraId="4435E62C" w14:textId="77777777" w:rsidR="002E5072" w:rsidRPr="008669C3" w:rsidRDefault="002E5072" w:rsidP="002E5072">
            <w:pPr>
              <w:jc w:val="center"/>
              <w:rPr>
                <w:color w:val="000000"/>
                <w:sz w:val="22"/>
                <w:szCs w:val="22"/>
              </w:rPr>
            </w:pPr>
            <w:r w:rsidRPr="008669C3">
              <w:rPr>
                <w:color w:val="000000"/>
                <w:sz w:val="22"/>
                <w:szCs w:val="22"/>
              </w:rPr>
              <w:t>(6)</w:t>
            </w:r>
          </w:p>
        </w:tc>
      </w:tr>
      <w:tr w:rsidR="00142C1A" w:rsidRPr="008669C3" w14:paraId="114F4F4C" w14:textId="77777777" w:rsidTr="00B37A31">
        <w:trPr>
          <w:trHeight w:val="20"/>
        </w:trPr>
        <w:tc>
          <w:tcPr>
            <w:tcW w:w="1689" w:type="pct"/>
            <w:tcBorders>
              <w:top w:val="single" w:sz="4" w:space="0" w:color="auto"/>
              <w:left w:val="nil"/>
              <w:bottom w:val="nil"/>
              <w:right w:val="nil"/>
            </w:tcBorders>
            <w:shd w:val="clear" w:color="auto" w:fill="auto"/>
            <w:noWrap/>
            <w:vAlign w:val="bottom"/>
            <w:hideMark/>
          </w:tcPr>
          <w:p w14:paraId="48CE600E" w14:textId="77777777" w:rsidR="002E5072" w:rsidRPr="008669C3" w:rsidRDefault="002E5072" w:rsidP="002E5072">
            <w:pPr>
              <w:rPr>
                <w:color w:val="000000"/>
                <w:sz w:val="22"/>
                <w:szCs w:val="22"/>
              </w:rPr>
            </w:pPr>
            <w:r w:rsidRPr="008669C3">
              <w:rPr>
                <w:color w:val="000000"/>
                <w:sz w:val="22"/>
                <w:szCs w:val="22"/>
              </w:rPr>
              <w:t>CDS trading</w:t>
            </w:r>
          </w:p>
        </w:tc>
        <w:tc>
          <w:tcPr>
            <w:tcW w:w="526" w:type="pct"/>
            <w:tcBorders>
              <w:top w:val="nil"/>
              <w:left w:val="nil"/>
              <w:bottom w:val="nil"/>
              <w:right w:val="nil"/>
            </w:tcBorders>
            <w:shd w:val="clear" w:color="auto" w:fill="auto"/>
            <w:noWrap/>
            <w:vAlign w:val="bottom"/>
            <w:hideMark/>
          </w:tcPr>
          <w:p w14:paraId="3047D240" w14:textId="77777777" w:rsidR="002E5072" w:rsidRPr="008669C3" w:rsidRDefault="002E5072" w:rsidP="002E5072">
            <w:pPr>
              <w:jc w:val="center"/>
              <w:rPr>
                <w:sz w:val="22"/>
                <w:szCs w:val="22"/>
              </w:rPr>
            </w:pPr>
            <w:r w:rsidRPr="008669C3">
              <w:rPr>
                <w:sz w:val="22"/>
                <w:szCs w:val="22"/>
              </w:rPr>
              <w:t>0.200</w:t>
            </w:r>
          </w:p>
        </w:tc>
        <w:tc>
          <w:tcPr>
            <w:tcW w:w="544" w:type="pct"/>
            <w:tcBorders>
              <w:top w:val="nil"/>
              <w:left w:val="nil"/>
              <w:bottom w:val="nil"/>
              <w:right w:val="nil"/>
            </w:tcBorders>
            <w:shd w:val="clear" w:color="auto" w:fill="auto"/>
            <w:noWrap/>
            <w:vAlign w:val="bottom"/>
            <w:hideMark/>
          </w:tcPr>
          <w:p w14:paraId="4E59C0EF" w14:textId="77777777" w:rsidR="002E5072" w:rsidRPr="008669C3" w:rsidRDefault="002E5072" w:rsidP="002E5072">
            <w:pPr>
              <w:jc w:val="center"/>
              <w:rPr>
                <w:sz w:val="22"/>
                <w:szCs w:val="22"/>
              </w:rPr>
            </w:pPr>
            <w:r w:rsidRPr="008669C3">
              <w:rPr>
                <w:sz w:val="22"/>
                <w:szCs w:val="22"/>
              </w:rPr>
              <w:t>0.100</w:t>
            </w:r>
          </w:p>
        </w:tc>
        <w:tc>
          <w:tcPr>
            <w:tcW w:w="103" w:type="pct"/>
            <w:tcBorders>
              <w:top w:val="nil"/>
              <w:left w:val="nil"/>
              <w:bottom w:val="nil"/>
              <w:right w:val="nil"/>
            </w:tcBorders>
            <w:shd w:val="clear" w:color="auto" w:fill="auto"/>
            <w:noWrap/>
            <w:vAlign w:val="bottom"/>
            <w:hideMark/>
          </w:tcPr>
          <w:p w14:paraId="644B68F0" w14:textId="77777777" w:rsidR="002E5072" w:rsidRPr="008669C3" w:rsidRDefault="002E5072" w:rsidP="002E5072">
            <w:pPr>
              <w:jc w:val="center"/>
              <w:rPr>
                <w:sz w:val="22"/>
                <w:szCs w:val="22"/>
              </w:rPr>
            </w:pPr>
          </w:p>
        </w:tc>
        <w:tc>
          <w:tcPr>
            <w:tcW w:w="559" w:type="pct"/>
            <w:tcBorders>
              <w:top w:val="nil"/>
              <w:left w:val="nil"/>
              <w:bottom w:val="nil"/>
              <w:right w:val="nil"/>
            </w:tcBorders>
            <w:shd w:val="clear" w:color="auto" w:fill="auto"/>
            <w:noWrap/>
            <w:vAlign w:val="bottom"/>
            <w:hideMark/>
          </w:tcPr>
          <w:p w14:paraId="3C05B068" w14:textId="673EAA83" w:rsidR="002E5072" w:rsidRPr="008669C3" w:rsidRDefault="002E5072" w:rsidP="00A26E25">
            <w:pPr>
              <w:jc w:val="center"/>
              <w:rPr>
                <w:sz w:val="22"/>
                <w:szCs w:val="22"/>
              </w:rPr>
            </w:pPr>
            <w:r w:rsidRPr="008669C3">
              <w:rPr>
                <w:sz w:val="22"/>
                <w:szCs w:val="22"/>
              </w:rPr>
              <w:t>0.3</w:t>
            </w:r>
            <w:r w:rsidR="00A26E25" w:rsidRPr="008669C3">
              <w:rPr>
                <w:sz w:val="22"/>
                <w:szCs w:val="22"/>
              </w:rPr>
              <w:t>4</w:t>
            </w:r>
            <w:r w:rsidRPr="008669C3">
              <w:rPr>
                <w:sz w:val="22"/>
                <w:szCs w:val="22"/>
              </w:rPr>
              <w:t>8</w:t>
            </w:r>
            <w:r w:rsidR="00A26E25" w:rsidRPr="008669C3">
              <w:rPr>
                <w:sz w:val="20"/>
                <w:szCs w:val="22"/>
              </w:rPr>
              <w:t>**</w:t>
            </w:r>
          </w:p>
        </w:tc>
        <w:tc>
          <w:tcPr>
            <w:tcW w:w="560" w:type="pct"/>
            <w:tcBorders>
              <w:top w:val="nil"/>
              <w:left w:val="nil"/>
              <w:bottom w:val="nil"/>
              <w:right w:val="nil"/>
            </w:tcBorders>
            <w:shd w:val="clear" w:color="auto" w:fill="auto"/>
            <w:noWrap/>
            <w:vAlign w:val="bottom"/>
            <w:hideMark/>
          </w:tcPr>
          <w:p w14:paraId="414D4ADE" w14:textId="77777777" w:rsidR="002E5072" w:rsidRPr="008669C3" w:rsidRDefault="002E5072" w:rsidP="002E5072">
            <w:pPr>
              <w:jc w:val="center"/>
              <w:rPr>
                <w:sz w:val="22"/>
                <w:szCs w:val="22"/>
              </w:rPr>
            </w:pPr>
            <w:r w:rsidRPr="008669C3">
              <w:rPr>
                <w:sz w:val="22"/>
                <w:szCs w:val="22"/>
              </w:rPr>
              <w:t>0.503</w:t>
            </w:r>
            <w:r w:rsidRPr="008669C3">
              <w:rPr>
                <w:sz w:val="20"/>
                <w:szCs w:val="22"/>
              </w:rPr>
              <w:t>***</w:t>
            </w:r>
          </w:p>
        </w:tc>
        <w:tc>
          <w:tcPr>
            <w:tcW w:w="103" w:type="pct"/>
            <w:tcBorders>
              <w:top w:val="nil"/>
              <w:left w:val="nil"/>
              <w:bottom w:val="nil"/>
              <w:right w:val="nil"/>
            </w:tcBorders>
            <w:shd w:val="clear" w:color="auto" w:fill="auto"/>
            <w:noWrap/>
            <w:vAlign w:val="bottom"/>
            <w:hideMark/>
          </w:tcPr>
          <w:p w14:paraId="4D3DEC42" w14:textId="77777777" w:rsidR="002E5072" w:rsidRPr="008669C3" w:rsidRDefault="002E5072" w:rsidP="002E5072">
            <w:pPr>
              <w:jc w:val="center"/>
              <w:rPr>
                <w:sz w:val="22"/>
                <w:szCs w:val="22"/>
              </w:rPr>
            </w:pPr>
          </w:p>
        </w:tc>
        <w:tc>
          <w:tcPr>
            <w:tcW w:w="416" w:type="pct"/>
            <w:tcBorders>
              <w:top w:val="nil"/>
              <w:left w:val="nil"/>
              <w:bottom w:val="nil"/>
              <w:right w:val="nil"/>
            </w:tcBorders>
            <w:shd w:val="clear" w:color="auto" w:fill="auto"/>
            <w:noWrap/>
            <w:vAlign w:val="bottom"/>
            <w:hideMark/>
          </w:tcPr>
          <w:p w14:paraId="5B9D7000" w14:textId="77777777" w:rsidR="002E5072" w:rsidRPr="008669C3" w:rsidRDefault="002E5072" w:rsidP="002E5072">
            <w:pPr>
              <w:jc w:val="center"/>
              <w:rPr>
                <w:sz w:val="22"/>
                <w:szCs w:val="22"/>
              </w:rPr>
            </w:pPr>
            <w:r w:rsidRPr="008669C3">
              <w:rPr>
                <w:sz w:val="22"/>
                <w:szCs w:val="22"/>
              </w:rPr>
              <w:t>0.328</w:t>
            </w:r>
            <w:r w:rsidRPr="008669C3">
              <w:rPr>
                <w:sz w:val="20"/>
                <w:szCs w:val="22"/>
              </w:rPr>
              <w:t>**</w:t>
            </w:r>
          </w:p>
        </w:tc>
        <w:tc>
          <w:tcPr>
            <w:tcW w:w="500" w:type="pct"/>
            <w:tcBorders>
              <w:top w:val="nil"/>
              <w:left w:val="nil"/>
              <w:bottom w:val="nil"/>
              <w:right w:val="nil"/>
            </w:tcBorders>
            <w:shd w:val="clear" w:color="auto" w:fill="auto"/>
            <w:noWrap/>
            <w:vAlign w:val="bottom"/>
            <w:hideMark/>
          </w:tcPr>
          <w:p w14:paraId="41DE898A" w14:textId="77777777" w:rsidR="002E5072" w:rsidRPr="008669C3" w:rsidRDefault="002E5072" w:rsidP="002E5072">
            <w:pPr>
              <w:jc w:val="center"/>
              <w:rPr>
                <w:sz w:val="22"/>
                <w:szCs w:val="22"/>
              </w:rPr>
            </w:pPr>
            <w:r w:rsidRPr="008669C3">
              <w:rPr>
                <w:sz w:val="22"/>
                <w:szCs w:val="22"/>
              </w:rPr>
              <w:t>0.294</w:t>
            </w:r>
            <w:r w:rsidRPr="008669C3">
              <w:rPr>
                <w:sz w:val="20"/>
                <w:szCs w:val="22"/>
              </w:rPr>
              <w:t>***</w:t>
            </w:r>
          </w:p>
        </w:tc>
      </w:tr>
      <w:tr w:rsidR="00142C1A" w:rsidRPr="008669C3" w14:paraId="383726BA" w14:textId="77777777" w:rsidTr="00142C1A">
        <w:trPr>
          <w:trHeight w:val="20"/>
        </w:trPr>
        <w:tc>
          <w:tcPr>
            <w:tcW w:w="1689" w:type="pct"/>
            <w:tcBorders>
              <w:top w:val="nil"/>
              <w:left w:val="nil"/>
              <w:bottom w:val="nil"/>
              <w:right w:val="nil"/>
            </w:tcBorders>
            <w:shd w:val="clear" w:color="auto" w:fill="auto"/>
            <w:noWrap/>
            <w:vAlign w:val="bottom"/>
            <w:hideMark/>
          </w:tcPr>
          <w:p w14:paraId="2AA1DA1F" w14:textId="77777777" w:rsidR="002E5072" w:rsidRPr="008669C3" w:rsidRDefault="002E5072" w:rsidP="002E5072">
            <w:pPr>
              <w:jc w:val="center"/>
              <w:rPr>
                <w:sz w:val="22"/>
                <w:szCs w:val="22"/>
              </w:rPr>
            </w:pPr>
          </w:p>
        </w:tc>
        <w:tc>
          <w:tcPr>
            <w:tcW w:w="526" w:type="pct"/>
            <w:tcBorders>
              <w:top w:val="nil"/>
              <w:left w:val="nil"/>
              <w:bottom w:val="nil"/>
              <w:right w:val="nil"/>
            </w:tcBorders>
            <w:shd w:val="clear" w:color="auto" w:fill="auto"/>
            <w:noWrap/>
            <w:vAlign w:val="bottom"/>
            <w:hideMark/>
          </w:tcPr>
          <w:p w14:paraId="1E39A3FE" w14:textId="77777777" w:rsidR="002E5072" w:rsidRPr="008669C3" w:rsidRDefault="002E5072" w:rsidP="002E5072">
            <w:pPr>
              <w:jc w:val="center"/>
              <w:rPr>
                <w:sz w:val="22"/>
                <w:szCs w:val="22"/>
              </w:rPr>
            </w:pPr>
            <w:r w:rsidRPr="008669C3">
              <w:rPr>
                <w:sz w:val="22"/>
                <w:szCs w:val="22"/>
              </w:rPr>
              <w:t>(0.163)</w:t>
            </w:r>
          </w:p>
        </w:tc>
        <w:tc>
          <w:tcPr>
            <w:tcW w:w="544" w:type="pct"/>
            <w:tcBorders>
              <w:top w:val="nil"/>
              <w:left w:val="nil"/>
              <w:bottom w:val="nil"/>
              <w:right w:val="nil"/>
            </w:tcBorders>
            <w:shd w:val="clear" w:color="auto" w:fill="auto"/>
            <w:noWrap/>
            <w:vAlign w:val="bottom"/>
            <w:hideMark/>
          </w:tcPr>
          <w:p w14:paraId="2454FAC0" w14:textId="77777777" w:rsidR="002E5072" w:rsidRPr="008669C3" w:rsidRDefault="002E5072" w:rsidP="002E5072">
            <w:pPr>
              <w:jc w:val="center"/>
              <w:rPr>
                <w:sz w:val="22"/>
                <w:szCs w:val="22"/>
              </w:rPr>
            </w:pPr>
            <w:r w:rsidRPr="008669C3">
              <w:rPr>
                <w:sz w:val="22"/>
                <w:szCs w:val="22"/>
              </w:rPr>
              <w:t>(0.125)</w:t>
            </w:r>
          </w:p>
        </w:tc>
        <w:tc>
          <w:tcPr>
            <w:tcW w:w="103" w:type="pct"/>
            <w:tcBorders>
              <w:top w:val="nil"/>
              <w:left w:val="nil"/>
              <w:bottom w:val="nil"/>
              <w:right w:val="nil"/>
            </w:tcBorders>
            <w:shd w:val="clear" w:color="auto" w:fill="auto"/>
            <w:noWrap/>
            <w:vAlign w:val="bottom"/>
            <w:hideMark/>
          </w:tcPr>
          <w:p w14:paraId="6B24696B" w14:textId="77777777" w:rsidR="002E5072" w:rsidRPr="008669C3" w:rsidRDefault="002E5072" w:rsidP="002E5072">
            <w:pPr>
              <w:jc w:val="center"/>
              <w:rPr>
                <w:sz w:val="22"/>
                <w:szCs w:val="22"/>
              </w:rPr>
            </w:pPr>
          </w:p>
        </w:tc>
        <w:tc>
          <w:tcPr>
            <w:tcW w:w="559" w:type="pct"/>
            <w:tcBorders>
              <w:top w:val="nil"/>
              <w:left w:val="nil"/>
              <w:bottom w:val="nil"/>
              <w:right w:val="nil"/>
            </w:tcBorders>
            <w:shd w:val="clear" w:color="auto" w:fill="auto"/>
            <w:noWrap/>
            <w:vAlign w:val="bottom"/>
            <w:hideMark/>
          </w:tcPr>
          <w:p w14:paraId="6EED2D9F" w14:textId="16618FA9" w:rsidR="002E5072" w:rsidRPr="008669C3" w:rsidRDefault="002E5072" w:rsidP="00A26E25">
            <w:pPr>
              <w:jc w:val="center"/>
              <w:rPr>
                <w:sz w:val="22"/>
                <w:szCs w:val="22"/>
              </w:rPr>
            </w:pPr>
            <w:r w:rsidRPr="008669C3">
              <w:rPr>
                <w:sz w:val="22"/>
                <w:szCs w:val="22"/>
              </w:rPr>
              <w:t>(0.</w:t>
            </w:r>
            <w:r w:rsidR="00A26E25" w:rsidRPr="008669C3">
              <w:rPr>
                <w:sz w:val="22"/>
                <w:szCs w:val="22"/>
              </w:rPr>
              <w:t>16</w:t>
            </w:r>
            <w:r w:rsidRPr="008669C3">
              <w:rPr>
                <w:sz w:val="22"/>
                <w:szCs w:val="22"/>
              </w:rPr>
              <w:t>7)</w:t>
            </w:r>
          </w:p>
        </w:tc>
        <w:tc>
          <w:tcPr>
            <w:tcW w:w="560" w:type="pct"/>
            <w:tcBorders>
              <w:top w:val="nil"/>
              <w:left w:val="nil"/>
              <w:bottom w:val="nil"/>
              <w:right w:val="nil"/>
            </w:tcBorders>
            <w:shd w:val="clear" w:color="auto" w:fill="auto"/>
            <w:noWrap/>
            <w:vAlign w:val="bottom"/>
            <w:hideMark/>
          </w:tcPr>
          <w:p w14:paraId="1BFC216D" w14:textId="77777777" w:rsidR="002E5072" w:rsidRPr="008669C3" w:rsidRDefault="002E5072" w:rsidP="002E5072">
            <w:pPr>
              <w:jc w:val="center"/>
              <w:rPr>
                <w:sz w:val="22"/>
                <w:szCs w:val="22"/>
              </w:rPr>
            </w:pPr>
            <w:r w:rsidRPr="008669C3">
              <w:rPr>
                <w:sz w:val="22"/>
                <w:szCs w:val="22"/>
              </w:rPr>
              <w:t>(0.168)</w:t>
            </w:r>
          </w:p>
        </w:tc>
        <w:tc>
          <w:tcPr>
            <w:tcW w:w="103" w:type="pct"/>
            <w:tcBorders>
              <w:top w:val="nil"/>
              <w:left w:val="nil"/>
              <w:bottom w:val="nil"/>
              <w:right w:val="nil"/>
            </w:tcBorders>
            <w:shd w:val="clear" w:color="auto" w:fill="auto"/>
            <w:noWrap/>
            <w:vAlign w:val="bottom"/>
            <w:hideMark/>
          </w:tcPr>
          <w:p w14:paraId="329B2565" w14:textId="77777777" w:rsidR="002E5072" w:rsidRPr="008669C3" w:rsidRDefault="002E5072" w:rsidP="002E5072">
            <w:pPr>
              <w:jc w:val="center"/>
              <w:rPr>
                <w:sz w:val="22"/>
                <w:szCs w:val="22"/>
              </w:rPr>
            </w:pPr>
          </w:p>
        </w:tc>
        <w:tc>
          <w:tcPr>
            <w:tcW w:w="416" w:type="pct"/>
            <w:tcBorders>
              <w:top w:val="nil"/>
              <w:left w:val="nil"/>
              <w:bottom w:val="nil"/>
              <w:right w:val="nil"/>
            </w:tcBorders>
            <w:shd w:val="clear" w:color="auto" w:fill="auto"/>
            <w:noWrap/>
            <w:vAlign w:val="bottom"/>
            <w:hideMark/>
          </w:tcPr>
          <w:p w14:paraId="04F66285" w14:textId="77777777" w:rsidR="002E5072" w:rsidRPr="008669C3" w:rsidRDefault="002E5072" w:rsidP="002E5072">
            <w:pPr>
              <w:jc w:val="center"/>
              <w:rPr>
                <w:sz w:val="22"/>
                <w:szCs w:val="22"/>
              </w:rPr>
            </w:pPr>
            <w:r w:rsidRPr="008669C3">
              <w:rPr>
                <w:sz w:val="22"/>
                <w:szCs w:val="22"/>
              </w:rPr>
              <w:t>(0.137)</w:t>
            </w:r>
          </w:p>
        </w:tc>
        <w:tc>
          <w:tcPr>
            <w:tcW w:w="500" w:type="pct"/>
            <w:tcBorders>
              <w:top w:val="nil"/>
              <w:left w:val="nil"/>
              <w:bottom w:val="nil"/>
              <w:right w:val="nil"/>
            </w:tcBorders>
            <w:shd w:val="clear" w:color="auto" w:fill="auto"/>
            <w:noWrap/>
            <w:vAlign w:val="bottom"/>
            <w:hideMark/>
          </w:tcPr>
          <w:p w14:paraId="7B2E3F16" w14:textId="77777777" w:rsidR="002E5072" w:rsidRPr="008669C3" w:rsidRDefault="002E5072" w:rsidP="002E5072">
            <w:pPr>
              <w:jc w:val="center"/>
              <w:rPr>
                <w:sz w:val="22"/>
                <w:szCs w:val="22"/>
              </w:rPr>
            </w:pPr>
            <w:r w:rsidRPr="008669C3">
              <w:rPr>
                <w:sz w:val="22"/>
                <w:szCs w:val="22"/>
              </w:rPr>
              <w:t>(0.111)</w:t>
            </w:r>
          </w:p>
        </w:tc>
      </w:tr>
      <w:tr w:rsidR="00142C1A" w:rsidRPr="008669C3" w14:paraId="7F5679B8" w14:textId="77777777" w:rsidTr="00142C1A">
        <w:trPr>
          <w:trHeight w:val="20"/>
        </w:trPr>
        <w:tc>
          <w:tcPr>
            <w:tcW w:w="1689" w:type="pct"/>
            <w:tcBorders>
              <w:top w:val="nil"/>
              <w:left w:val="nil"/>
              <w:bottom w:val="nil"/>
              <w:right w:val="nil"/>
            </w:tcBorders>
            <w:shd w:val="clear" w:color="auto" w:fill="auto"/>
            <w:noWrap/>
            <w:vAlign w:val="bottom"/>
            <w:hideMark/>
          </w:tcPr>
          <w:p w14:paraId="36D5919A" w14:textId="6D068496" w:rsidR="002E5072" w:rsidRPr="008669C3" w:rsidRDefault="002E5072" w:rsidP="002E5072">
            <w:pPr>
              <w:rPr>
                <w:color w:val="000000"/>
                <w:sz w:val="22"/>
                <w:szCs w:val="22"/>
              </w:rPr>
            </w:pPr>
            <w:r w:rsidRPr="008669C3">
              <w:rPr>
                <w:color w:val="000000"/>
                <w:sz w:val="22"/>
                <w:szCs w:val="22"/>
              </w:rPr>
              <w:t xml:space="preserve">CDS trading </w:t>
            </w:r>
            <w:r w:rsidR="004470B4" w:rsidRPr="008669C3">
              <w:rPr>
                <w:color w:val="000000"/>
                <w:sz w:val="22"/>
                <w:szCs w:val="22"/>
              </w:rPr>
              <w:t>×</w:t>
            </w:r>
            <w:r w:rsidRPr="008669C3">
              <w:rPr>
                <w:color w:val="000000"/>
                <w:sz w:val="22"/>
                <w:szCs w:val="22"/>
              </w:rPr>
              <w:t xml:space="preserve"> Z-score</w:t>
            </w:r>
          </w:p>
        </w:tc>
        <w:tc>
          <w:tcPr>
            <w:tcW w:w="526" w:type="pct"/>
            <w:tcBorders>
              <w:top w:val="nil"/>
              <w:left w:val="nil"/>
              <w:bottom w:val="nil"/>
              <w:right w:val="nil"/>
            </w:tcBorders>
            <w:shd w:val="clear" w:color="auto" w:fill="auto"/>
            <w:noWrap/>
            <w:vAlign w:val="bottom"/>
            <w:hideMark/>
          </w:tcPr>
          <w:p w14:paraId="3A3F873B" w14:textId="286078E8" w:rsidR="002E5072" w:rsidRPr="008669C3" w:rsidRDefault="00A26E25" w:rsidP="00A26E25">
            <w:pPr>
              <w:jc w:val="center"/>
              <w:rPr>
                <w:color w:val="000000"/>
                <w:sz w:val="22"/>
                <w:szCs w:val="22"/>
              </w:rPr>
            </w:pPr>
            <w:r w:rsidRPr="008669C3">
              <w:rPr>
                <w:iCs/>
                <w:sz w:val="22"/>
                <w:szCs w:val="22"/>
              </w:rPr>
              <w:t>—</w:t>
            </w:r>
          </w:p>
        </w:tc>
        <w:tc>
          <w:tcPr>
            <w:tcW w:w="544" w:type="pct"/>
            <w:tcBorders>
              <w:top w:val="nil"/>
              <w:left w:val="nil"/>
              <w:bottom w:val="nil"/>
              <w:right w:val="nil"/>
            </w:tcBorders>
            <w:shd w:val="clear" w:color="auto" w:fill="auto"/>
            <w:noWrap/>
            <w:vAlign w:val="bottom"/>
            <w:hideMark/>
          </w:tcPr>
          <w:p w14:paraId="3233A472" w14:textId="180B305B" w:rsidR="002E5072" w:rsidRPr="008669C3" w:rsidRDefault="00A26E25" w:rsidP="002E5072">
            <w:pPr>
              <w:jc w:val="center"/>
              <w:rPr>
                <w:sz w:val="22"/>
                <w:szCs w:val="22"/>
              </w:rPr>
            </w:pPr>
            <w:r w:rsidRPr="008669C3">
              <w:rPr>
                <w:iCs/>
                <w:sz w:val="22"/>
                <w:szCs w:val="22"/>
              </w:rPr>
              <w:t>—</w:t>
            </w:r>
          </w:p>
        </w:tc>
        <w:tc>
          <w:tcPr>
            <w:tcW w:w="103" w:type="pct"/>
            <w:tcBorders>
              <w:top w:val="nil"/>
              <w:left w:val="nil"/>
              <w:bottom w:val="nil"/>
              <w:right w:val="nil"/>
            </w:tcBorders>
            <w:shd w:val="clear" w:color="auto" w:fill="auto"/>
            <w:noWrap/>
            <w:vAlign w:val="bottom"/>
            <w:hideMark/>
          </w:tcPr>
          <w:p w14:paraId="0238843B" w14:textId="77777777" w:rsidR="002E5072" w:rsidRPr="008669C3" w:rsidRDefault="002E5072" w:rsidP="002E5072">
            <w:pPr>
              <w:jc w:val="center"/>
              <w:rPr>
                <w:sz w:val="22"/>
                <w:szCs w:val="22"/>
              </w:rPr>
            </w:pPr>
          </w:p>
        </w:tc>
        <w:tc>
          <w:tcPr>
            <w:tcW w:w="559" w:type="pct"/>
            <w:tcBorders>
              <w:top w:val="nil"/>
              <w:left w:val="nil"/>
              <w:bottom w:val="nil"/>
              <w:right w:val="nil"/>
            </w:tcBorders>
            <w:shd w:val="clear" w:color="auto" w:fill="auto"/>
            <w:noWrap/>
            <w:vAlign w:val="bottom"/>
            <w:hideMark/>
          </w:tcPr>
          <w:p w14:paraId="4D35849A" w14:textId="004ABEE5" w:rsidR="002E5072" w:rsidRPr="008669C3" w:rsidRDefault="00A26E25" w:rsidP="002E5072">
            <w:pPr>
              <w:jc w:val="center"/>
              <w:rPr>
                <w:sz w:val="22"/>
                <w:szCs w:val="22"/>
              </w:rPr>
            </w:pPr>
            <w:r w:rsidRPr="008669C3">
              <w:rPr>
                <w:iCs/>
                <w:sz w:val="22"/>
                <w:szCs w:val="22"/>
              </w:rPr>
              <w:t>—</w:t>
            </w:r>
          </w:p>
        </w:tc>
        <w:tc>
          <w:tcPr>
            <w:tcW w:w="560" w:type="pct"/>
            <w:tcBorders>
              <w:top w:val="nil"/>
              <w:left w:val="nil"/>
              <w:bottom w:val="nil"/>
              <w:right w:val="nil"/>
            </w:tcBorders>
            <w:shd w:val="clear" w:color="auto" w:fill="auto"/>
            <w:noWrap/>
            <w:vAlign w:val="bottom"/>
            <w:hideMark/>
          </w:tcPr>
          <w:p w14:paraId="192CF87E" w14:textId="4E8A14A2" w:rsidR="002E5072" w:rsidRPr="008669C3" w:rsidRDefault="00A26E25" w:rsidP="002E5072">
            <w:pPr>
              <w:jc w:val="center"/>
              <w:rPr>
                <w:sz w:val="22"/>
                <w:szCs w:val="22"/>
              </w:rPr>
            </w:pPr>
            <w:r w:rsidRPr="008669C3">
              <w:rPr>
                <w:iCs/>
                <w:sz w:val="22"/>
                <w:szCs w:val="22"/>
              </w:rPr>
              <w:t>—</w:t>
            </w:r>
          </w:p>
        </w:tc>
        <w:tc>
          <w:tcPr>
            <w:tcW w:w="103" w:type="pct"/>
            <w:tcBorders>
              <w:top w:val="nil"/>
              <w:left w:val="nil"/>
              <w:bottom w:val="nil"/>
              <w:right w:val="nil"/>
            </w:tcBorders>
            <w:shd w:val="clear" w:color="auto" w:fill="auto"/>
            <w:noWrap/>
            <w:vAlign w:val="bottom"/>
            <w:hideMark/>
          </w:tcPr>
          <w:p w14:paraId="6D45BD82" w14:textId="77777777" w:rsidR="002E5072" w:rsidRPr="008669C3" w:rsidRDefault="002E5072" w:rsidP="002E5072">
            <w:pPr>
              <w:jc w:val="center"/>
              <w:rPr>
                <w:sz w:val="22"/>
                <w:szCs w:val="22"/>
              </w:rPr>
            </w:pPr>
          </w:p>
        </w:tc>
        <w:tc>
          <w:tcPr>
            <w:tcW w:w="416" w:type="pct"/>
            <w:tcBorders>
              <w:top w:val="nil"/>
              <w:left w:val="nil"/>
              <w:bottom w:val="nil"/>
              <w:right w:val="nil"/>
            </w:tcBorders>
            <w:shd w:val="clear" w:color="auto" w:fill="auto"/>
            <w:noWrap/>
            <w:vAlign w:val="bottom"/>
            <w:hideMark/>
          </w:tcPr>
          <w:p w14:paraId="278405DC" w14:textId="5CBD2947" w:rsidR="002E5072" w:rsidRPr="008669C3" w:rsidRDefault="002E5072" w:rsidP="00F226A3">
            <w:pPr>
              <w:jc w:val="center"/>
              <w:rPr>
                <w:sz w:val="22"/>
                <w:szCs w:val="22"/>
              </w:rPr>
            </w:pPr>
            <w:r w:rsidRPr="008669C3">
              <w:rPr>
                <w:sz w:val="22"/>
                <w:szCs w:val="22"/>
              </w:rPr>
              <w:t>-0.0</w:t>
            </w:r>
            <w:r w:rsidR="00F226A3" w:rsidRPr="008669C3">
              <w:rPr>
                <w:sz w:val="22"/>
                <w:szCs w:val="22"/>
              </w:rPr>
              <w:t>7</w:t>
            </w:r>
            <w:r w:rsidRPr="008669C3">
              <w:rPr>
                <w:sz w:val="22"/>
                <w:szCs w:val="22"/>
              </w:rPr>
              <w:t>0</w:t>
            </w:r>
          </w:p>
        </w:tc>
        <w:tc>
          <w:tcPr>
            <w:tcW w:w="500" w:type="pct"/>
            <w:tcBorders>
              <w:top w:val="nil"/>
              <w:left w:val="nil"/>
              <w:bottom w:val="nil"/>
              <w:right w:val="nil"/>
            </w:tcBorders>
            <w:shd w:val="clear" w:color="auto" w:fill="auto"/>
            <w:noWrap/>
            <w:vAlign w:val="bottom"/>
            <w:hideMark/>
          </w:tcPr>
          <w:p w14:paraId="0EE1967A" w14:textId="6B1C3CD7" w:rsidR="002E5072" w:rsidRPr="008669C3" w:rsidRDefault="002E5072" w:rsidP="00F226A3">
            <w:pPr>
              <w:jc w:val="center"/>
              <w:rPr>
                <w:sz w:val="22"/>
                <w:szCs w:val="22"/>
              </w:rPr>
            </w:pPr>
            <w:r w:rsidRPr="008669C3">
              <w:rPr>
                <w:sz w:val="22"/>
                <w:szCs w:val="22"/>
              </w:rPr>
              <w:t>-0.</w:t>
            </w:r>
            <w:r w:rsidR="00F226A3" w:rsidRPr="008669C3">
              <w:rPr>
                <w:sz w:val="22"/>
                <w:szCs w:val="22"/>
              </w:rPr>
              <w:t>10</w:t>
            </w:r>
            <w:r w:rsidRPr="008669C3">
              <w:rPr>
                <w:sz w:val="22"/>
                <w:szCs w:val="22"/>
              </w:rPr>
              <w:t>5</w:t>
            </w:r>
            <w:r w:rsidR="00F226A3" w:rsidRPr="008669C3">
              <w:rPr>
                <w:sz w:val="20"/>
                <w:szCs w:val="22"/>
              </w:rPr>
              <w:t>*</w:t>
            </w:r>
          </w:p>
        </w:tc>
      </w:tr>
      <w:tr w:rsidR="00142C1A" w:rsidRPr="008669C3" w14:paraId="4301704D" w14:textId="77777777" w:rsidTr="00142C1A">
        <w:trPr>
          <w:trHeight w:val="20"/>
        </w:trPr>
        <w:tc>
          <w:tcPr>
            <w:tcW w:w="1689" w:type="pct"/>
            <w:tcBorders>
              <w:top w:val="nil"/>
              <w:left w:val="nil"/>
              <w:bottom w:val="nil"/>
              <w:right w:val="nil"/>
            </w:tcBorders>
            <w:shd w:val="clear" w:color="auto" w:fill="auto"/>
            <w:noWrap/>
            <w:vAlign w:val="bottom"/>
            <w:hideMark/>
          </w:tcPr>
          <w:p w14:paraId="338878E9" w14:textId="77777777" w:rsidR="002E5072" w:rsidRPr="008669C3" w:rsidRDefault="002E5072" w:rsidP="002E5072">
            <w:pPr>
              <w:jc w:val="center"/>
              <w:rPr>
                <w:sz w:val="22"/>
                <w:szCs w:val="22"/>
              </w:rPr>
            </w:pPr>
          </w:p>
        </w:tc>
        <w:tc>
          <w:tcPr>
            <w:tcW w:w="526" w:type="pct"/>
            <w:tcBorders>
              <w:top w:val="nil"/>
              <w:left w:val="nil"/>
              <w:bottom w:val="nil"/>
              <w:right w:val="nil"/>
            </w:tcBorders>
            <w:shd w:val="clear" w:color="auto" w:fill="auto"/>
            <w:noWrap/>
            <w:vAlign w:val="bottom"/>
            <w:hideMark/>
          </w:tcPr>
          <w:p w14:paraId="1593603C" w14:textId="77777777" w:rsidR="002E5072" w:rsidRPr="008669C3" w:rsidRDefault="002E5072" w:rsidP="002E5072">
            <w:pPr>
              <w:rPr>
                <w:sz w:val="22"/>
                <w:szCs w:val="22"/>
              </w:rPr>
            </w:pPr>
          </w:p>
        </w:tc>
        <w:tc>
          <w:tcPr>
            <w:tcW w:w="544" w:type="pct"/>
            <w:tcBorders>
              <w:top w:val="nil"/>
              <w:left w:val="nil"/>
              <w:bottom w:val="nil"/>
              <w:right w:val="nil"/>
            </w:tcBorders>
            <w:shd w:val="clear" w:color="auto" w:fill="auto"/>
            <w:noWrap/>
            <w:vAlign w:val="bottom"/>
            <w:hideMark/>
          </w:tcPr>
          <w:p w14:paraId="51DF8C40" w14:textId="77777777" w:rsidR="002E5072" w:rsidRPr="008669C3" w:rsidRDefault="002E5072" w:rsidP="002E5072">
            <w:pPr>
              <w:jc w:val="center"/>
              <w:rPr>
                <w:sz w:val="22"/>
                <w:szCs w:val="22"/>
              </w:rPr>
            </w:pPr>
          </w:p>
        </w:tc>
        <w:tc>
          <w:tcPr>
            <w:tcW w:w="103" w:type="pct"/>
            <w:tcBorders>
              <w:top w:val="nil"/>
              <w:left w:val="nil"/>
              <w:bottom w:val="nil"/>
              <w:right w:val="nil"/>
            </w:tcBorders>
            <w:shd w:val="clear" w:color="auto" w:fill="auto"/>
            <w:noWrap/>
            <w:vAlign w:val="bottom"/>
            <w:hideMark/>
          </w:tcPr>
          <w:p w14:paraId="081464C5" w14:textId="77777777" w:rsidR="002E5072" w:rsidRPr="008669C3" w:rsidRDefault="002E5072" w:rsidP="002E5072">
            <w:pPr>
              <w:jc w:val="center"/>
              <w:rPr>
                <w:sz w:val="22"/>
                <w:szCs w:val="22"/>
              </w:rPr>
            </w:pPr>
          </w:p>
        </w:tc>
        <w:tc>
          <w:tcPr>
            <w:tcW w:w="559" w:type="pct"/>
            <w:tcBorders>
              <w:top w:val="nil"/>
              <w:left w:val="nil"/>
              <w:bottom w:val="nil"/>
              <w:right w:val="nil"/>
            </w:tcBorders>
            <w:shd w:val="clear" w:color="auto" w:fill="auto"/>
            <w:noWrap/>
            <w:vAlign w:val="bottom"/>
            <w:hideMark/>
          </w:tcPr>
          <w:p w14:paraId="116A942A" w14:textId="77777777" w:rsidR="002E5072" w:rsidRPr="008669C3" w:rsidRDefault="002E5072" w:rsidP="002E5072">
            <w:pPr>
              <w:jc w:val="center"/>
              <w:rPr>
                <w:sz w:val="22"/>
                <w:szCs w:val="22"/>
              </w:rPr>
            </w:pPr>
          </w:p>
        </w:tc>
        <w:tc>
          <w:tcPr>
            <w:tcW w:w="560" w:type="pct"/>
            <w:tcBorders>
              <w:top w:val="nil"/>
              <w:left w:val="nil"/>
              <w:bottom w:val="nil"/>
              <w:right w:val="nil"/>
            </w:tcBorders>
            <w:shd w:val="clear" w:color="auto" w:fill="auto"/>
            <w:noWrap/>
            <w:vAlign w:val="bottom"/>
            <w:hideMark/>
          </w:tcPr>
          <w:p w14:paraId="40C2C462" w14:textId="77777777" w:rsidR="002E5072" w:rsidRPr="008669C3" w:rsidRDefault="002E5072" w:rsidP="002E5072">
            <w:pPr>
              <w:jc w:val="center"/>
              <w:rPr>
                <w:sz w:val="22"/>
                <w:szCs w:val="22"/>
              </w:rPr>
            </w:pPr>
          </w:p>
        </w:tc>
        <w:tc>
          <w:tcPr>
            <w:tcW w:w="103" w:type="pct"/>
            <w:tcBorders>
              <w:top w:val="nil"/>
              <w:left w:val="nil"/>
              <w:bottom w:val="nil"/>
              <w:right w:val="nil"/>
            </w:tcBorders>
            <w:shd w:val="clear" w:color="auto" w:fill="auto"/>
            <w:noWrap/>
            <w:vAlign w:val="bottom"/>
            <w:hideMark/>
          </w:tcPr>
          <w:p w14:paraId="0AF4B521" w14:textId="77777777" w:rsidR="002E5072" w:rsidRPr="008669C3" w:rsidRDefault="002E5072" w:rsidP="002E5072">
            <w:pPr>
              <w:jc w:val="center"/>
              <w:rPr>
                <w:sz w:val="22"/>
                <w:szCs w:val="22"/>
              </w:rPr>
            </w:pPr>
          </w:p>
        </w:tc>
        <w:tc>
          <w:tcPr>
            <w:tcW w:w="416" w:type="pct"/>
            <w:tcBorders>
              <w:top w:val="nil"/>
              <w:left w:val="nil"/>
              <w:bottom w:val="nil"/>
              <w:right w:val="nil"/>
            </w:tcBorders>
            <w:shd w:val="clear" w:color="auto" w:fill="auto"/>
            <w:noWrap/>
            <w:vAlign w:val="bottom"/>
            <w:hideMark/>
          </w:tcPr>
          <w:p w14:paraId="68D55813" w14:textId="2F63B282" w:rsidR="002E5072" w:rsidRPr="008669C3" w:rsidRDefault="002E5072" w:rsidP="00142C1A">
            <w:pPr>
              <w:jc w:val="center"/>
              <w:rPr>
                <w:sz w:val="22"/>
                <w:szCs w:val="22"/>
              </w:rPr>
            </w:pPr>
            <w:r w:rsidRPr="008669C3">
              <w:rPr>
                <w:sz w:val="22"/>
                <w:szCs w:val="22"/>
              </w:rPr>
              <w:t>(0.</w:t>
            </w:r>
            <w:r w:rsidR="00142C1A" w:rsidRPr="008669C3">
              <w:rPr>
                <w:sz w:val="22"/>
                <w:szCs w:val="22"/>
              </w:rPr>
              <w:t>0</w:t>
            </w:r>
            <w:r w:rsidRPr="008669C3">
              <w:rPr>
                <w:sz w:val="22"/>
                <w:szCs w:val="22"/>
              </w:rPr>
              <w:t>48)</w:t>
            </w:r>
          </w:p>
        </w:tc>
        <w:tc>
          <w:tcPr>
            <w:tcW w:w="500" w:type="pct"/>
            <w:tcBorders>
              <w:top w:val="nil"/>
              <w:left w:val="nil"/>
              <w:bottom w:val="nil"/>
              <w:right w:val="nil"/>
            </w:tcBorders>
            <w:shd w:val="clear" w:color="auto" w:fill="auto"/>
            <w:noWrap/>
            <w:vAlign w:val="bottom"/>
            <w:hideMark/>
          </w:tcPr>
          <w:p w14:paraId="5BA0CDBB" w14:textId="60EBF789" w:rsidR="002E5072" w:rsidRPr="008669C3" w:rsidRDefault="002E5072" w:rsidP="00142C1A">
            <w:pPr>
              <w:jc w:val="center"/>
              <w:rPr>
                <w:sz w:val="22"/>
                <w:szCs w:val="22"/>
              </w:rPr>
            </w:pPr>
            <w:r w:rsidRPr="008669C3">
              <w:rPr>
                <w:sz w:val="22"/>
                <w:szCs w:val="22"/>
              </w:rPr>
              <w:t>(0.0</w:t>
            </w:r>
            <w:r w:rsidR="00142C1A" w:rsidRPr="008669C3">
              <w:rPr>
                <w:sz w:val="22"/>
                <w:szCs w:val="22"/>
              </w:rPr>
              <w:t>5</w:t>
            </w:r>
            <w:r w:rsidRPr="008669C3">
              <w:rPr>
                <w:sz w:val="22"/>
                <w:szCs w:val="22"/>
              </w:rPr>
              <w:t>6)</w:t>
            </w:r>
          </w:p>
        </w:tc>
      </w:tr>
      <w:tr w:rsidR="00142C1A" w:rsidRPr="008669C3" w14:paraId="7402B1EB" w14:textId="77777777" w:rsidTr="00142C1A">
        <w:trPr>
          <w:trHeight w:val="20"/>
        </w:trPr>
        <w:tc>
          <w:tcPr>
            <w:tcW w:w="1689" w:type="pct"/>
            <w:tcBorders>
              <w:top w:val="nil"/>
              <w:left w:val="nil"/>
              <w:bottom w:val="nil"/>
              <w:right w:val="nil"/>
            </w:tcBorders>
            <w:shd w:val="clear" w:color="auto" w:fill="auto"/>
            <w:noWrap/>
            <w:vAlign w:val="bottom"/>
            <w:hideMark/>
          </w:tcPr>
          <w:p w14:paraId="293E0CFF" w14:textId="77777777" w:rsidR="002E5072" w:rsidRPr="008669C3" w:rsidRDefault="002E5072" w:rsidP="002E5072">
            <w:pPr>
              <w:rPr>
                <w:color w:val="000000"/>
                <w:sz w:val="22"/>
                <w:szCs w:val="22"/>
              </w:rPr>
            </w:pPr>
            <w:r w:rsidRPr="008669C3">
              <w:rPr>
                <w:color w:val="000000"/>
                <w:sz w:val="22"/>
                <w:szCs w:val="22"/>
              </w:rPr>
              <w:t>Z-score</w:t>
            </w:r>
          </w:p>
        </w:tc>
        <w:tc>
          <w:tcPr>
            <w:tcW w:w="526" w:type="pct"/>
            <w:tcBorders>
              <w:top w:val="nil"/>
              <w:left w:val="nil"/>
              <w:bottom w:val="nil"/>
              <w:right w:val="nil"/>
            </w:tcBorders>
            <w:shd w:val="clear" w:color="auto" w:fill="auto"/>
            <w:noWrap/>
            <w:vAlign w:val="bottom"/>
            <w:hideMark/>
          </w:tcPr>
          <w:p w14:paraId="4C855001" w14:textId="77777777" w:rsidR="002E5072" w:rsidRPr="008669C3" w:rsidRDefault="002E5072" w:rsidP="002E5072">
            <w:pPr>
              <w:jc w:val="center"/>
              <w:rPr>
                <w:sz w:val="22"/>
                <w:szCs w:val="22"/>
              </w:rPr>
            </w:pPr>
            <w:r w:rsidRPr="008669C3">
              <w:rPr>
                <w:sz w:val="22"/>
                <w:szCs w:val="22"/>
              </w:rPr>
              <w:t>-0.058</w:t>
            </w:r>
          </w:p>
        </w:tc>
        <w:tc>
          <w:tcPr>
            <w:tcW w:w="544" w:type="pct"/>
            <w:tcBorders>
              <w:top w:val="nil"/>
              <w:left w:val="nil"/>
              <w:bottom w:val="nil"/>
              <w:right w:val="nil"/>
            </w:tcBorders>
            <w:shd w:val="clear" w:color="auto" w:fill="auto"/>
            <w:noWrap/>
            <w:vAlign w:val="bottom"/>
            <w:hideMark/>
          </w:tcPr>
          <w:p w14:paraId="315B0723" w14:textId="77777777" w:rsidR="002E5072" w:rsidRPr="008669C3" w:rsidRDefault="002E5072" w:rsidP="002E5072">
            <w:pPr>
              <w:jc w:val="center"/>
              <w:rPr>
                <w:sz w:val="22"/>
                <w:szCs w:val="22"/>
              </w:rPr>
            </w:pPr>
            <w:r w:rsidRPr="008669C3">
              <w:rPr>
                <w:sz w:val="22"/>
                <w:szCs w:val="22"/>
              </w:rPr>
              <w:t>-0.039</w:t>
            </w:r>
          </w:p>
        </w:tc>
        <w:tc>
          <w:tcPr>
            <w:tcW w:w="103" w:type="pct"/>
            <w:tcBorders>
              <w:top w:val="nil"/>
              <w:left w:val="nil"/>
              <w:bottom w:val="nil"/>
              <w:right w:val="nil"/>
            </w:tcBorders>
            <w:shd w:val="clear" w:color="auto" w:fill="auto"/>
            <w:noWrap/>
            <w:vAlign w:val="bottom"/>
            <w:hideMark/>
          </w:tcPr>
          <w:p w14:paraId="0C2D9C37" w14:textId="77777777" w:rsidR="002E5072" w:rsidRPr="008669C3" w:rsidRDefault="002E5072" w:rsidP="002E5072">
            <w:pPr>
              <w:jc w:val="center"/>
              <w:rPr>
                <w:sz w:val="22"/>
                <w:szCs w:val="22"/>
              </w:rPr>
            </w:pPr>
          </w:p>
        </w:tc>
        <w:tc>
          <w:tcPr>
            <w:tcW w:w="559" w:type="pct"/>
            <w:tcBorders>
              <w:top w:val="nil"/>
              <w:left w:val="nil"/>
              <w:bottom w:val="nil"/>
              <w:right w:val="nil"/>
            </w:tcBorders>
            <w:shd w:val="clear" w:color="auto" w:fill="auto"/>
            <w:noWrap/>
            <w:vAlign w:val="bottom"/>
            <w:hideMark/>
          </w:tcPr>
          <w:p w14:paraId="4CCE9CEE" w14:textId="77777777" w:rsidR="002E5072" w:rsidRPr="008669C3" w:rsidRDefault="002E5072" w:rsidP="002E5072">
            <w:pPr>
              <w:jc w:val="center"/>
              <w:rPr>
                <w:sz w:val="22"/>
                <w:szCs w:val="22"/>
              </w:rPr>
            </w:pPr>
            <w:r w:rsidRPr="008669C3">
              <w:rPr>
                <w:sz w:val="22"/>
                <w:szCs w:val="22"/>
              </w:rPr>
              <w:t>29.022</w:t>
            </w:r>
          </w:p>
        </w:tc>
        <w:tc>
          <w:tcPr>
            <w:tcW w:w="560" w:type="pct"/>
            <w:tcBorders>
              <w:top w:val="nil"/>
              <w:left w:val="nil"/>
              <w:bottom w:val="nil"/>
              <w:right w:val="nil"/>
            </w:tcBorders>
            <w:shd w:val="clear" w:color="auto" w:fill="auto"/>
            <w:noWrap/>
            <w:vAlign w:val="bottom"/>
            <w:hideMark/>
          </w:tcPr>
          <w:p w14:paraId="2D674415" w14:textId="77777777" w:rsidR="002E5072" w:rsidRPr="008669C3" w:rsidRDefault="002E5072" w:rsidP="002E5072">
            <w:pPr>
              <w:jc w:val="center"/>
              <w:rPr>
                <w:sz w:val="22"/>
                <w:szCs w:val="22"/>
              </w:rPr>
            </w:pPr>
            <w:r w:rsidRPr="008669C3">
              <w:rPr>
                <w:sz w:val="22"/>
                <w:szCs w:val="22"/>
              </w:rPr>
              <w:t>1.205</w:t>
            </w:r>
          </w:p>
        </w:tc>
        <w:tc>
          <w:tcPr>
            <w:tcW w:w="103" w:type="pct"/>
            <w:tcBorders>
              <w:top w:val="nil"/>
              <w:left w:val="nil"/>
              <w:bottom w:val="nil"/>
              <w:right w:val="nil"/>
            </w:tcBorders>
            <w:shd w:val="clear" w:color="auto" w:fill="auto"/>
            <w:noWrap/>
            <w:vAlign w:val="bottom"/>
            <w:hideMark/>
          </w:tcPr>
          <w:p w14:paraId="6DABA980" w14:textId="77777777" w:rsidR="002E5072" w:rsidRPr="008669C3" w:rsidRDefault="002E5072" w:rsidP="002E5072">
            <w:pPr>
              <w:jc w:val="center"/>
              <w:rPr>
                <w:sz w:val="22"/>
                <w:szCs w:val="22"/>
              </w:rPr>
            </w:pPr>
          </w:p>
        </w:tc>
        <w:tc>
          <w:tcPr>
            <w:tcW w:w="416" w:type="pct"/>
            <w:tcBorders>
              <w:top w:val="nil"/>
              <w:left w:val="nil"/>
              <w:bottom w:val="nil"/>
              <w:right w:val="nil"/>
            </w:tcBorders>
            <w:shd w:val="clear" w:color="auto" w:fill="auto"/>
            <w:noWrap/>
            <w:vAlign w:val="bottom"/>
            <w:hideMark/>
          </w:tcPr>
          <w:p w14:paraId="6D928577" w14:textId="77777777" w:rsidR="002E5072" w:rsidRPr="008669C3" w:rsidRDefault="002E5072" w:rsidP="002E5072">
            <w:pPr>
              <w:jc w:val="center"/>
              <w:rPr>
                <w:sz w:val="22"/>
                <w:szCs w:val="22"/>
              </w:rPr>
            </w:pPr>
            <w:r w:rsidRPr="008669C3">
              <w:rPr>
                <w:sz w:val="22"/>
                <w:szCs w:val="22"/>
              </w:rPr>
              <w:t>-0.023</w:t>
            </w:r>
          </w:p>
        </w:tc>
        <w:tc>
          <w:tcPr>
            <w:tcW w:w="500" w:type="pct"/>
            <w:tcBorders>
              <w:top w:val="nil"/>
              <w:left w:val="nil"/>
              <w:bottom w:val="nil"/>
              <w:right w:val="nil"/>
            </w:tcBorders>
            <w:shd w:val="clear" w:color="auto" w:fill="auto"/>
            <w:noWrap/>
            <w:vAlign w:val="bottom"/>
            <w:hideMark/>
          </w:tcPr>
          <w:p w14:paraId="29170AB6" w14:textId="77777777" w:rsidR="002E5072" w:rsidRPr="008669C3" w:rsidRDefault="002E5072" w:rsidP="002E5072">
            <w:pPr>
              <w:jc w:val="center"/>
              <w:rPr>
                <w:sz w:val="22"/>
                <w:szCs w:val="22"/>
              </w:rPr>
            </w:pPr>
            <w:r w:rsidRPr="008669C3">
              <w:rPr>
                <w:sz w:val="22"/>
                <w:szCs w:val="22"/>
              </w:rPr>
              <w:t>-0.021</w:t>
            </w:r>
          </w:p>
        </w:tc>
      </w:tr>
      <w:tr w:rsidR="00142C1A" w:rsidRPr="008669C3" w14:paraId="176C0003" w14:textId="77777777" w:rsidTr="00142C1A">
        <w:trPr>
          <w:trHeight w:val="20"/>
        </w:trPr>
        <w:tc>
          <w:tcPr>
            <w:tcW w:w="1689" w:type="pct"/>
            <w:tcBorders>
              <w:top w:val="nil"/>
              <w:left w:val="nil"/>
              <w:bottom w:val="single" w:sz="4" w:space="0" w:color="auto"/>
              <w:right w:val="nil"/>
            </w:tcBorders>
            <w:shd w:val="clear" w:color="auto" w:fill="auto"/>
            <w:noWrap/>
            <w:vAlign w:val="bottom"/>
            <w:hideMark/>
          </w:tcPr>
          <w:p w14:paraId="2670815A" w14:textId="77777777" w:rsidR="002E5072" w:rsidRPr="008669C3" w:rsidRDefault="002E5072" w:rsidP="002E5072">
            <w:pPr>
              <w:rPr>
                <w:color w:val="000000"/>
                <w:sz w:val="22"/>
                <w:szCs w:val="22"/>
              </w:rPr>
            </w:pPr>
            <w:r w:rsidRPr="008669C3">
              <w:rPr>
                <w:color w:val="000000"/>
                <w:sz w:val="22"/>
                <w:szCs w:val="22"/>
              </w:rPr>
              <w:t> </w:t>
            </w:r>
          </w:p>
        </w:tc>
        <w:tc>
          <w:tcPr>
            <w:tcW w:w="526" w:type="pct"/>
            <w:tcBorders>
              <w:top w:val="nil"/>
              <w:left w:val="nil"/>
              <w:bottom w:val="single" w:sz="4" w:space="0" w:color="auto"/>
              <w:right w:val="nil"/>
            </w:tcBorders>
            <w:shd w:val="clear" w:color="auto" w:fill="auto"/>
            <w:noWrap/>
            <w:vAlign w:val="bottom"/>
            <w:hideMark/>
          </w:tcPr>
          <w:p w14:paraId="451F32A3" w14:textId="77777777" w:rsidR="002E5072" w:rsidRPr="008669C3" w:rsidRDefault="002E5072" w:rsidP="002E5072">
            <w:pPr>
              <w:jc w:val="center"/>
              <w:rPr>
                <w:sz w:val="22"/>
                <w:szCs w:val="22"/>
              </w:rPr>
            </w:pPr>
            <w:r w:rsidRPr="008669C3">
              <w:rPr>
                <w:sz w:val="22"/>
                <w:szCs w:val="22"/>
              </w:rPr>
              <w:t>(0.071)</w:t>
            </w:r>
          </w:p>
        </w:tc>
        <w:tc>
          <w:tcPr>
            <w:tcW w:w="544" w:type="pct"/>
            <w:tcBorders>
              <w:top w:val="nil"/>
              <w:left w:val="nil"/>
              <w:bottom w:val="single" w:sz="4" w:space="0" w:color="auto"/>
              <w:right w:val="nil"/>
            </w:tcBorders>
            <w:shd w:val="clear" w:color="auto" w:fill="auto"/>
            <w:noWrap/>
            <w:vAlign w:val="bottom"/>
            <w:hideMark/>
          </w:tcPr>
          <w:p w14:paraId="58E661FE" w14:textId="77777777" w:rsidR="002E5072" w:rsidRPr="008669C3" w:rsidRDefault="002E5072" w:rsidP="002E5072">
            <w:pPr>
              <w:jc w:val="center"/>
              <w:rPr>
                <w:sz w:val="22"/>
                <w:szCs w:val="22"/>
              </w:rPr>
            </w:pPr>
            <w:r w:rsidRPr="008669C3">
              <w:rPr>
                <w:sz w:val="22"/>
                <w:szCs w:val="22"/>
              </w:rPr>
              <w:t>(0.062)</w:t>
            </w:r>
          </w:p>
        </w:tc>
        <w:tc>
          <w:tcPr>
            <w:tcW w:w="103" w:type="pct"/>
            <w:tcBorders>
              <w:top w:val="nil"/>
              <w:left w:val="nil"/>
              <w:bottom w:val="single" w:sz="4" w:space="0" w:color="auto"/>
              <w:right w:val="nil"/>
            </w:tcBorders>
            <w:shd w:val="clear" w:color="auto" w:fill="auto"/>
            <w:noWrap/>
            <w:vAlign w:val="bottom"/>
            <w:hideMark/>
          </w:tcPr>
          <w:p w14:paraId="194A31C1" w14:textId="77777777" w:rsidR="002E5072" w:rsidRPr="008669C3" w:rsidRDefault="002E5072" w:rsidP="002E5072">
            <w:pPr>
              <w:jc w:val="center"/>
              <w:rPr>
                <w:sz w:val="22"/>
                <w:szCs w:val="22"/>
              </w:rPr>
            </w:pPr>
            <w:r w:rsidRPr="008669C3">
              <w:rPr>
                <w:sz w:val="22"/>
                <w:szCs w:val="22"/>
              </w:rPr>
              <w:t> </w:t>
            </w:r>
          </w:p>
        </w:tc>
        <w:tc>
          <w:tcPr>
            <w:tcW w:w="559" w:type="pct"/>
            <w:tcBorders>
              <w:top w:val="nil"/>
              <w:left w:val="nil"/>
              <w:bottom w:val="single" w:sz="4" w:space="0" w:color="auto"/>
              <w:right w:val="nil"/>
            </w:tcBorders>
            <w:shd w:val="clear" w:color="auto" w:fill="auto"/>
            <w:noWrap/>
            <w:vAlign w:val="bottom"/>
            <w:hideMark/>
          </w:tcPr>
          <w:p w14:paraId="4E6382D8" w14:textId="77777777" w:rsidR="002E5072" w:rsidRPr="008669C3" w:rsidRDefault="002E5072" w:rsidP="002E5072">
            <w:pPr>
              <w:jc w:val="center"/>
              <w:rPr>
                <w:sz w:val="22"/>
                <w:szCs w:val="22"/>
              </w:rPr>
            </w:pPr>
            <w:r w:rsidRPr="008669C3">
              <w:rPr>
                <w:sz w:val="22"/>
                <w:szCs w:val="22"/>
              </w:rPr>
              <w:t>(48.493)</w:t>
            </w:r>
          </w:p>
        </w:tc>
        <w:tc>
          <w:tcPr>
            <w:tcW w:w="560" w:type="pct"/>
            <w:tcBorders>
              <w:top w:val="nil"/>
              <w:left w:val="nil"/>
              <w:bottom w:val="single" w:sz="4" w:space="0" w:color="auto"/>
              <w:right w:val="nil"/>
            </w:tcBorders>
            <w:shd w:val="clear" w:color="auto" w:fill="auto"/>
            <w:noWrap/>
            <w:vAlign w:val="bottom"/>
            <w:hideMark/>
          </w:tcPr>
          <w:p w14:paraId="5A9F681E" w14:textId="77777777" w:rsidR="002E5072" w:rsidRPr="008669C3" w:rsidRDefault="002E5072" w:rsidP="002E5072">
            <w:pPr>
              <w:jc w:val="center"/>
              <w:rPr>
                <w:sz w:val="22"/>
                <w:szCs w:val="22"/>
              </w:rPr>
            </w:pPr>
            <w:r w:rsidRPr="008669C3">
              <w:rPr>
                <w:sz w:val="22"/>
                <w:szCs w:val="22"/>
              </w:rPr>
              <w:t>(44.062)</w:t>
            </w:r>
          </w:p>
        </w:tc>
        <w:tc>
          <w:tcPr>
            <w:tcW w:w="103" w:type="pct"/>
            <w:tcBorders>
              <w:top w:val="nil"/>
              <w:left w:val="nil"/>
              <w:bottom w:val="single" w:sz="4" w:space="0" w:color="auto"/>
              <w:right w:val="nil"/>
            </w:tcBorders>
            <w:shd w:val="clear" w:color="auto" w:fill="auto"/>
            <w:noWrap/>
            <w:vAlign w:val="bottom"/>
            <w:hideMark/>
          </w:tcPr>
          <w:p w14:paraId="306A23F6" w14:textId="77777777" w:rsidR="002E5072" w:rsidRPr="008669C3" w:rsidRDefault="002E5072" w:rsidP="002E5072">
            <w:pPr>
              <w:jc w:val="center"/>
              <w:rPr>
                <w:sz w:val="22"/>
                <w:szCs w:val="22"/>
              </w:rPr>
            </w:pPr>
            <w:r w:rsidRPr="008669C3">
              <w:rPr>
                <w:sz w:val="22"/>
                <w:szCs w:val="22"/>
              </w:rPr>
              <w:t> </w:t>
            </w:r>
          </w:p>
        </w:tc>
        <w:tc>
          <w:tcPr>
            <w:tcW w:w="416" w:type="pct"/>
            <w:tcBorders>
              <w:top w:val="nil"/>
              <w:left w:val="nil"/>
              <w:bottom w:val="single" w:sz="4" w:space="0" w:color="auto"/>
              <w:right w:val="nil"/>
            </w:tcBorders>
            <w:shd w:val="clear" w:color="auto" w:fill="auto"/>
            <w:noWrap/>
            <w:vAlign w:val="bottom"/>
            <w:hideMark/>
          </w:tcPr>
          <w:p w14:paraId="72F25EC5" w14:textId="77777777" w:rsidR="002E5072" w:rsidRPr="008669C3" w:rsidRDefault="002E5072" w:rsidP="002E5072">
            <w:pPr>
              <w:jc w:val="center"/>
              <w:rPr>
                <w:sz w:val="22"/>
                <w:szCs w:val="22"/>
              </w:rPr>
            </w:pPr>
            <w:r w:rsidRPr="008669C3">
              <w:rPr>
                <w:sz w:val="22"/>
                <w:szCs w:val="22"/>
              </w:rPr>
              <w:t>(0.065)</w:t>
            </w:r>
          </w:p>
        </w:tc>
        <w:tc>
          <w:tcPr>
            <w:tcW w:w="500" w:type="pct"/>
            <w:tcBorders>
              <w:top w:val="nil"/>
              <w:left w:val="nil"/>
              <w:bottom w:val="single" w:sz="4" w:space="0" w:color="auto"/>
              <w:right w:val="nil"/>
            </w:tcBorders>
            <w:shd w:val="clear" w:color="auto" w:fill="auto"/>
            <w:noWrap/>
            <w:vAlign w:val="bottom"/>
            <w:hideMark/>
          </w:tcPr>
          <w:p w14:paraId="572A9391" w14:textId="77777777" w:rsidR="002E5072" w:rsidRPr="008669C3" w:rsidRDefault="002E5072" w:rsidP="002E5072">
            <w:pPr>
              <w:jc w:val="center"/>
              <w:rPr>
                <w:sz w:val="22"/>
                <w:szCs w:val="22"/>
              </w:rPr>
            </w:pPr>
            <w:r w:rsidRPr="008669C3">
              <w:rPr>
                <w:sz w:val="22"/>
                <w:szCs w:val="22"/>
              </w:rPr>
              <w:t>(0.060)</w:t>
            </w:r>
          </w:p>
        </w:tc>
      </w:tr>
      <w:tr w:rsidR="00A26E25" w:rsidRPr="008669C3" w14:paraId="1CB83A17" w14:textId="77777777" w:rsidTr="00142C1A">
        <w:trPr>
          <w:trHeight w:val="20"/>
        </w:trPr>
        <w:tc>
          <w:tcPr>
            <w:tcW w:w="1689" w:type="pct"/>
            <w:tcBorders>
              <w:top w:val="nil"/>
              <w:left w:val="nil"/>
              <w:bottom w:val="nil"/>
              <w:right w:val="nil"/>
            </w:tcBorders>
            <w:shd w:val="clear" w:color="auto" w:fill="auto"/>
            <w:noWrap/>
            <w:vAlign w:val="bottom"/>
          </w:tcPr>
          <w:p w14:paraId="778EEA55" w14:textId="6299580C" w:rsidR="00A26E25" w:rsidRPr="008669C3" w:rsidRDefault="00A26E25" w:rsidP="00A26E25">
            <w:pPr>
              <w:rPr>
                <w:color w:val="000000"/>
                <w:sz w:val="22"/>
                <w:szCs w:val="22"/>
              </w:rPr>
            </w:pPr>
            <w:r w:rsidRPr="008669C3">
              <w:rPr>
                <w:color w:val="000000"/>
                <w:sz w:val="22"/>
                <w:szCs w:val="22"/>
              </w:rPr>
              <w:t>All controls</w:t>
            </w:r>
          </w:p>
        </w:tc>
        <w:tc>
          <w:tcPr>
            <w:tcW w:w="526" w:type="pct"/>
            <w:tcBorders>
              <w:top w:val="nil"/>
              <w:left w:val="nil"/>
              <w:bottom w:val="nil"/>
              <w:right w:val="nil"/>
            </w:tcBorders>
            <w:shd w:val="clear" w:color="auto" w:fill="auto"/>
            <w:noWrap/>
            <w:vAlign w:val="bottom"/>
          </w:tcPr>
          <w:p w14:paraId="40C0B232" w14:textId="7552984B" w:rsidR="00A26E25" w:rsidRPr="008669C3" w:rsidRDefault="00A26E25" w:rsidP="00A26E25">
            <w:pPr>
              <w:jc w:val="center"/>
              <w:rPr>
                <w:color w:val="000000"/>
                <w:sz w:val="22"/>
                <w:szCs w:val="22"/>
              </w:rPr>
            </w:pPr>
            <w:r w:rsidRPr="008669C3">
              <w:rPr>
                <w:color w:val="000000"/>
                <w:sz w:val="22"/>
                <w:szCs w:val="22"/>
              </w:rPr>
              <w:t>Yes</w:t>
            </w:r>
          </w:p>
        </w:tc>
        <w:tc>
          <w:tcPr>
            <w:tcW w:w="544" w:type="pct"/>
            <w:tcBorders>
              <w:top w:val="nil"/>
              <w:left w:val="nil"/>
              <w:bottom w:val="nil"/>
              <w:right w:val="nil"/>
            </w:tcBorders>
            <w:shd w:val="clear" w:color="auto" w:fill="auto"/>
            <w:noWrap/>
            <w:vAlign w:val="bottom"/>
          </w:tcPr>
          <w:p w14:paraId="3B80F09F" w14:textId="7CA9773E" w:rsidR="00A26E25" w:rsidRPr="008669C3" w:rsidRDefault="00A26E25" w:rsidP="00A26E25">
            <w:pPr>
              <w:jc w:val="center"/>
              <w:rPr>
                <w:color w:val="000000"/>
                <w:sz w:val="22"/>
                <w:szCs w:val="22"/>
              </w:rPr>
            </w:pPr>
            <w:r w:rsidRPr="008669C3">
              <w:rPr>
                <w:color w:val="000000"/>
                <w:sz w:val="22"/>
                <w:szCs w:val="22"/>
              </w:rPr>
              <w:t>Yes</w:t>
            </w:r>
          </w:p>
        </w:tc>
        <w:tc>
          <w:tcPr>
            <w:tcW w:w="103" w:type="pct"/>
            <w:tcBorders>
              <w:top w:val="nil"/>
              <w:left w:val="nil"/>
              <w:bottom w:val="nil"/>
              <w:right w:val="nil"/>
            </w:tcBorders>
            <w:shd w:val="clear" w:color="auto" w:fill="auto"/>
            <w:noWrap/>
            <w:vAlign w:val="bottom"/>
          </w:tcPr>
          <w:p w14:paraId="5C9BD00A" w14:textId="77777777" w:rsidR="00A26E25" w:rsidRPr="008669C3" w:rsidRDefault="00A26E25" w:rsidP="00A26E25">
            <w:pPr>
              <w:jc w:val="center"/>
              <w:rPr>
                <w:sz w:val="22"/>
                <w:szCs w:val="22"/>
              </w:rPr>
            </w:pPr>
          </w:p>
        </w:tc>
        <w:tc>
          <w:tcPr>
            <w:tcW w:w="559" w:type="pct"/>
            <w:tcBorders>
              <w:top w:val="nil"/>
              <w:left w:val="nil"/>
              <w:bottom w:val="nil"/>
              <w:right w:val="nil"/>
            </w:tcBorders>
            <w:shd w:val="clear" w:color="auto" w:fill="auto"/>
            <w:noWrap/>
            <w:vAlign w:val="bottom"/>
          </w:tcPr>
          <w:p w14:paraId="6088E606" w14:textId="132B91CD" w:rsidR="00A26E25" w:rsidRPr="008669C3" w:rsidRDefault="00A26E25" w:rsidP="00A26E25">
            <w:pPr>
              <w:jc w:val="center"/>
              <w:rPr>
                <w:color w:val="000000"/>
                <w:sz w:val="22"/>
                <w:szCs w:val="22"/>
              </w:rPr>
            </w:pPr>
            <w:r w:rsidRPr="008669C3">
              <w:rPr>
                <w:color w:val="000000"/>
                <w:sz w:val="22"/>
                <w:szCs w:val="22"/>
              </w:rPr>
              <w:t>Yes</w:t>
            </w:r>
          </w:p>
        </w:tc>
        <w:tc>
          <w:tcPr>
            <w:tcW w:w="560" w:type="pct"/>
            <w:tcBorders>
              <w:top w:val="nil"/>
              <w:left w:val="nil"/>
              <w:bottom w:val="nil"/>
              <w:right w:val="nil"/>
            </w:tcBorders>
            <w:shd w:val="clear" w:color="auto" w:fill="auto"/>
            <w:noWrap/>
            <w:vAlign w:val="bottom"/>
          </w:tcPr>
          <w:p w14:paraId="7EED5E93" w14:textId="09850E76" w:rsidR="00A26E25" w:rsidRPr="008669C3" w:rsidRDefault="00A26E25" w:rsidP="00A26E25">
            <w:pPr>
              <w:jc w:val="center"/>
              <w:rPr>
                <w:color w:val="000000"/>
                <w:sz w:val="22"/>
                <w:szCs w:val="22"/>
              </w:rPr>
            </w:pPr>
            <w:r w:rsidRPr="008669C3">
              <w:rPr>
                <w:color w:val="000000"/>
                <w:sz w:val="22"/>
                <w:szCs w:val="22"/>
              </w:rPr>
              <w:t>Yes</w:t>
            </w:r>
          </w:p>
        </w:tc>
        <w:tc>
          <w:tcPr>
            <w:tcW w:w="103" w:type="pct"/>
            <w:tcBorders>
              <w:top w:val="nil"/>
              <w:left w:val="nil"/>
              <w:bottom w:val="nil"/>
              <w:right w:val="nil"/>
            </w:tcBorders>
            <w:shd w:val="clear" w:color="auto" w:fill="auto"/>
            <w:noWrap/>
            <w:vAlign w:val="bottom"/>
          </w:tcPr>
          <w:p w14:paraId="73522AE8" w14:textId="77777777" w:rsidR="00A26E25" w:rsidRPr="008669C3" w:rsidRDefault="00A26E25" w:rsidP="00A26E25">
            <w:pPr>
              <w:jc w:val="center"/>
              <w:rPr>
                <w:sz w:val="22"/>
                <w:szCs w:val="22"/>
              </w:rPr>
            </w:pPr>
          </w:p>
        </w:tc>
        <w:tc>
          <w:tcPr>
            <w:tcW w:w="416" w:type="pct"/>
            <w:tcBorders>
              <w:top w:val="nil"/>
              <w:left w:val="nil"/>
              <w:bottom w:val="nil"/>
              <w:right w:val="nil"/>
            </w:tcBorders>
            <w:shd w:val="clear" w:color="auto" w:fill="auto"/>
            <w:noWrap/>
            <w:vAlign w:val="bottom"/>
          </w:tcPr>
          <w:p w14:paraId="3244E9B6" w14:textId="7C23EB10" w:rsidR="00A26E25" w:rsidRPr="008669C3" w:rsidRDefault="00A26E25" w:rsidP="00A26E25">
            <w:pPr>
              <w:jc w:val="center"/>
              <w:rPr>
                <w:color w:val="000000"/>
                <w:sz w:val="22"/>
                <w:szCs w:val="22"/>
              </w:rPr>
            </w:pPr>
            <w:r w:rsidRPr="008669C3">
              <w:rPr>
                <w:color w:val="000000"/>
                <w:sz w:val="22"/>
                <w:szCs w:val="22"/>
              </w:rPr>
              <w:t>Yes</w:t>
            </w:r>
          </w:p>
        </w:tc>
        <w:tc>
          <w:tcPr>
            <w:tcW w:w="500" w:type="pct"/>
            <w:tcBorders>
              <w:top w:val="nil"/>
              <w:left w:val="nil"/>
              <w:bottom w:val="nil"/>
              <w:right w:val="nil"/>
            </w:tcBorders>
            <w:shd w:val="clear" w:color="auto" w:fill="auto"/>
            <w:noWrap/>
            <w:vAlign w:val="bottom"/>
          </w:tcPr>
          <w:p w14:paraId="18C6C675" w14:textId="08FDD25B" w:rsidR="00A26E25" w:rsidRPr="008669C3" w:rsidRDefault="00A26E25" w:rsidP="00A26E25">
            <w:pPr>
              <w:jc w:val="center"/>
              <w:rPr>
                <w:color w:val="000000"/>
                <w:sz w:val="22"/>
                <w:szCs w:val="22"/>
              </w:rPr>
            </w:pPr>
            <w:r w:rsidRPr="008669C3">
              <w:rPr>
                <w:color w:val="000000"/>
                <w:sz w:val="22"/>
                <w:szCs w:val="22"/>
              </w:rPr>
              <w:t>Yes</w:t>
            </w:r>
          </w:p>
        </w:tc>
      </w:tr>
      <w:tr w:rsidR="00142C1A" w:rsidRPr="008669C3" w14:paraId="227ADF54" w14:textId="77777777" w:rsidTr="00142C1A">
        <w:trPr>
          <w:trHeight w:val="20"/>
        </w:trPr>
        <w:tc>
          <w:tcPr>
            <w:tcW w:w="1689" w:type="pct"/>
            <w:tcBorders>
              <w:top w:val="nil"/>
              <w:left w:val="nil"/>
              <w:bottom w:val="nil"/>
              <w:right w:val="nil"/>
            </w:tcBorders>
            <w:shd w:val="clear" w:color="auto" w:fill="auto"/>
            <w:noWrap/>
            <w:vAlign w:val="bottom"/>
            <w:hideMark/>
          </w:tcPr>
          <w:p w14:paraId="254940DE" w14:textId="77777777" w:rsidR="00A26E25" w:rsidRPr="008669C3" w:rsidRDefault="00A26E25" w:rsidP="00A26E25">
            <w:pPr>
              <w:rPr>
                <w:color w:val="000000"/>
                <w:sz w:val="22"/>
                <w:szCs w:val="22"/>
              </w:rPr>
            </w:pPr>
            <w:r w:rsidRPr="008669C3">
              <w:rPr>
                <w:color w:val="000000"/>
                <w:sz w:val="22"/>
                <w:szCs w:val="22"/>
              </w:rPr>
              <w:t>Firm FE</w:t>
            </w:r>
          </w:p>
        </w:tc>
        <w:tc>
          <w:tcPr>
            <w:tcW w:w="526" w:type="pct"/>
            <w:tcBorders>
              <w:top w:val="nil"/>
              <w:left w:val="nil"/>
              <w:bottom w:val="nil"/>
              <w:right w:val="nil"/>
            </w:tcBorders>
            <w:shd w:val="clear" w:color="auto" w:fill="auto"/>
            <w:noWrap/>
            <w:vAlign w:val="bottom"/>
            <w:hideMark/>
          </w:tcPr>
          <w:p w14:paraId="064A4CF5" w14:textId="0EB9CF0F" w:rsidR="00A26E25" w:rsidRPr="008669C3" w:rsidRDefault="00A26E25" w:rsidP="00A26E25">
            <w:pPr>
              <w:jc w:val="center"/>
              <w:rPr>
                <w:color w:val="000000"/>
                <w:sz w:val="22"/>
                <w:szCs w:val="22"/>
              </w:rPr>
            </w:pPr>
            <w:r w:rsidRPr="008669C3">
              <w:rPr>
                <w:color w:val="000000"/>
                <w:sz w:val="22"/>
                <w:szCs w:val="22"/>
              </w:rPr>
              <w:t>Yes</w:t>
            </w:r>
          </w:p>
        </w:tc>
        <w:tc>
          <w:tcPr>
            <w:tcW w:w="544" w:type="pct"/>
            <w:tcBorders>
              <w:top w:val="nil"/>
              <w:left w:val="nil"/>
              <w:bottom w:val="nil"/>
              <w:right w:val="nil"/>
            </w:tcBorders>
            <w:shd w:val="clear" w:color="auto" w:fill="auto"/>
            <w:noWrap/>
            <w:vAlign w:val="bottom"/>
            <w:hideMark/>
          </w:tcPr>
          <w:p w14:paraId="6B771158" w14:textId="5D848C45" w:rsidR="00A26E25" w:rsidRPr="008669C3" w:rsidRDefault="00A26E25" w:rsidP="00A26E25">
            <w:pPr>
              <w:jc w:val="center"/>
              <w:rPr>
                <w:color w:val="000000"/>
                <w:sz w:val="22"/>
                <w:szCs w:val="22"/>
              </w:rPr>
            </w:pPr>
            <w:r w:rsidRPr="008669C3">
              <w:rPr>
                <w:color w:val="000000"/>
                <w:sz w:val="22"/>
                <w:szCs w:val="22"/>
              </w:rPr>
              <w:t>No</w:t>
            </w:r>
          </w:p>
        </w:tc>
        <w:tc>
          <w:tcPr>
            <w:tcW w:w="103" w:type="pct"/>
            <w:tcBorders>
              <w:top w:val="nil"/>
              <w:left w:val="nil"/>
              <w:bottom w:val="nil"/>
              <w:right w:val="nil"/>
            </w:tcBorders>
            <w:shd w:val="clear" w:color="auto" w:fill="auto"/>
            <w:noWrap/>
            <w:vAlign w:val="bottom"/>
            <w:hideMark/>
          </w:tcPr>
          <w:p w14:paraId="51E13B9A" w14:textId="77777777" w:rsidR="00A26E25" w:rsidRPr="008669C3" w:rsidRDefault="00A26E25" w:rsidP="00A26E25">
            <w:pPr>
              <w:jc w:val="center"/>
              <w:rPr>
                <w:sz w:val="22"/>
                <w:szCs w:val="22"/>
              </w:rPr>
            </w:pPr>
          </w:p>
        </w:tc>
        <w:tc>
          <w:tcPr>
            <w:tcW w:w="559" w:type="pct"/>
            <w:tcBorders>
              <w:top w:val="nil"/>
              <w:left w:val="nil"/>
              <w:bottom w:val="nil"/>
              <w:right w:val="nil"/>
            </w:tcBorders>
            <w:shd w:val="clear" w:color="auto" w:fill="auto"/>
            <w:noWrap/>
            <w:vAlign w:val="bottom"/>
            <w:hideMark/>
          </w:tcPr>
          <w:p w14:paraId="48B86CAB" w14:textId="10AF62AA" w:rsidR="00A26E25" w:rsidRPr="008669C3" w:rsidRDefault="00A26E25" w:rsidP="00A26E25">
            <w:pPr>
              <w:jc w:val="center"/>
              <w:rPr>
                <w:color w:val="000000"/>
                <w:sz w:val="22"/>
                <w:szCs w:val="22"/>
              </w:rPr>
            </w:pPr>
            <w:r w:rsidRPr="008669C3">
              <w:rPr>
                <w:color w:val="000000"/>
                <w:sz w:val="22"/>
                <w:szCs w:val="22"/>
              </w:rPr>
              <w:t>Yes</w:t>
            </w:r>
          </w:p>
        </w:tc>
        <w:tc>
          <w:tcPr>
            <w:tcW w:w="560" w:type="pct"/>
            <w:tcBorders>
              <w:top w:val="nil"/>
              <w:left w:val="nil"/>
              <w:bottom w:val="nil"/>
              <w:right w:val="nil"/>
            </w:tcBorders>
            <w:shd w:val="clear" w:color="auto" w:fill="auto"/>
            <w:noWrap/>
            <w:vAlign w:val="bottom"/>
            <w:hideMark/>
          </w:tcPr>
          <w:p w14:paraId="662DC146" w14:textId="2293C2EA" w:rsidR="00A26E25" w:rsidRPr="008669C3" w:rsidRDefault="00A26E25" w:rsidP="00A26E25">
            <w:pPr>
              <w:jc w:val="center"/>
              <w:rPr>
                <w:color w:val="000000"/>
                <w:sz w:val="22"/>
                <w:szCs w:val="22"/>
              </w:rPr>
            </w:pPr>
            <w:r w:rsidRPr="008669C3">
              <w:rPr>
                <w:color w:val="000000"/>
                <w:sz w:val="22"/>
                <w:szCs w:val="22"/>
              </w:rPr>
              <w:t>No</w:t>
            </w:r>
          </w:p>
        </w:tc>
        <w:tc>
          <w:tcPr>
            <w:tcW w:w="103" w:type="pct"/>
            <w:tcBorders>
              <w:top w:val="nil"/>
              <w:left w:val="nil"/>
              <w:bottom w:val="nil"/>
              <w:right w:val="nil"/>
            </w:tcBorders>
            <w:shd w:val="clear" w:color="auto" w:fill="auto"/>
            <w:noWrap/>
            <w:vAlign w:val="bottom"/>
            <w:hideMark/>
          </w:tcPr>
          <w:p w14:paraId="045C7C84" w14:textId="77777777" w:rsidR="00A26E25" w:rsidRPr="008669C3" w:rsidRDefault="00A26E25" w:rsidP="00A26E25">
            <w:pPr>
              <w:jc w:val="center"/>
              <w:rPr>
                <w:sz w:val="22"/>
                <w:szCs w:val="22"/>
              </w:rPr>
            </w:pPr>
          </w:p>
        </w:tc>
        <w:tc>
          <w:tcPr>
            <w:tcW w:w="416" w:type="pct"/>
            <w:tcBorders>
              <w:top w:val="nil"/>
              <w:left w:val="nil"/>
              <w:bottom w:val="nil"/>
              <w:right w:val="nil"/>
            </w:tcBorders>
            <w:shd w:val="clear" w:color="auto" w:fill="auto"/>
            <w:noWrap/>
            <w:vAlign w:val="bottom"/>
            <w:hideMark/>
          </w:tcPr>
          <w:p w14:paraId="6B217E83" w14:textId="5E972912" w:rsidR="00A26E25" w:rsidRPr="008669C3" w:rsidRDefault="00A26E25" w:rsidP="00A26E25">
            <w:pPr>
              <w:jc w:val="center"/>
              <w:rPr>
                <w:color w:val="000000"/>
                <w:sz w:val="22"/>
                <w:szCs w:val="22"/>
              </w:rPr>
            </w:pPr>
            <w:r w:rsidRPr="008669C3">
              <w:rPr>
                <w:color w:val="000000"/>
                <w:sz w:val="22"/>
                <w:szCs w:val="22"/>
              </w:rPr>
              <w:t>Yes</w:t>
            </w:r>
          </w:p>
        </w:tc>
        <w:tc>
          <w:tcPr>
            <w:tcW w:w="500" w:type="pct"/>
            <w:tcBorders>
              <w:top w:val="nil"/>
              <w:left w:val="nil"/>
              <w:bottom w:val="nil"/>
              <w:right w:val="nil"/>
            </w:tcBorders>
            <w:shd w:val="clear" w:color="auto" w:fill="auto"/>
            <w:noWrap/>
            <w:vAlign w:val="bottom"/>
            <w:hideMark/>
          </w:tcPr>
          <w:p w14:paraId="7EFF4805" w14:textId="0E7299D7" w:rsidR="00A26E25" w:rsidRPr="008669C3" w:rsidRDefault="00A26E25" w:rsidP="00A26E25">
            <w:pPr>
              <w:jc w:val="center"/>
              <w:rPr>
                <w:color w:val="000000"/>
                <w:sz w:val="22"/>
                <w:szCs w:val="22"/>
              </w:rPr>
            </w:pPr>
            <w:r w:rsidRPr="008669C3">
              <w:rPr>
                <w:color w:val="000000"/>
                <w:sz w:val="22"/>
                <w:szCs w:val="22"/>
              </w:rPr>
              <w:t>No</w:t>
            </w:r>
          </w:p>
        </w:tc>
      </w:tr>
      <w:tr w:rsidR="00142C1A" w:rsidRPr="008669C3" w14:paraId="501F158A" w14:textId="77777777" w:rsidTr="00142C1A">
        <w:trPr>
          <w:trHeight w:val="20"/>
        </w:trPr>
        <w:tc>
          <w:tcPr>
            <w:tcW w:w="1689" w:type="pct"/>
            <w:tcBorders>
              <w:top w:val="nil"/>
              <w:left w:val="nil"/>
              <w:bottom w:val="nil"/>
              <w:right w:val="nil"/>
            </w:tcBorders>
            <w:shd w:val="clear" w:color="auto" w:fill="auto"/>
            <w:noWrap/>
            <w:vAlign w:val="bottom"/>
            <w:hideMark/>
          </w:tcPr>
          <w:p w14:paraId="5ED66890" w14:textId="77777777" w:rsidR="00A26E25" w:rsidRPr="008669C3" w:rsidRDefault="00A26E25" w:rsidP="00A26E25">
            <w:pPr>
              <w:rPr>
                <w:color w:val="000000"/>
                <w:sz w:val="22"/>
                <w:szCs w:val="22"/>
              </w:rPr>
            </w:pPr>
            <w:r w:rsidRPr="008669C3">
              <w:rPr>
                <w:color w:val="000000"/>
                <w:sz w:val="22"/>
                <w:szCs w:val="22"/>
              </w:rPr>
              <w:t>CEO-Firm FE</w:t>
            </w:r>
          </w:p>
        </w:tc>
        <w:tc>
          <w:tcPr>
            <w:tcW w:w="526" w:type="pct"/>
            <w:tcBorders>
              <w:top w:val="nil"/>
              <w:left w:val="nil"/>
              <w:bottom w:val="nil"/>
              <w:right w:val="nil"/>
            </w:tcBorders>
            <w:shd w:val="clear" w:color="auto" w:fill="auto"/>
            <w:noWrap/>
            <w:vAlign w:val="bottom"/>
            <w:hideMark/>
          </w:tcPr>
          <w:p w14:paraId="62764E5A" w14:textId="410611A0" w:rsidR="00A26E25" w:rsidRPr="008669C3" w:rsidRDefault="00A26E25" w:rsidP="00A26E25">
            <w:pPr>
              <w:jc w:val="center"/>
              <w:rPr>
                <w:color w:val="000000"/>
                <w:sz w:val="22"/>
                <w:szCs w:val="22"/>
              </w:rPr>
            </w:pPr>
            <w:r w:rsidRPr="008669C3">
              <w:rPr>
                <w:color w:val="000000"/>
                <w:sz w:val="22"/>
                <w:szCs w:val="22"/>
              </w:rPr>
              <w:t>No</w:t>
            </w:r>
          </w:p>
        </w:tc>
        <w:tc>
          <w:tcPr>
            <w:tcW w:w="544" w:type="pct"/>
            <w:tcBorders>
              <w:top w:val="nil"/>
              <w:left w:val="nil"/>
              <w:bottom w:val="nil"/>
              <w:right w:val="nil"/>
            </w:tcBorders>
            <w:shd w:val="clear" w:color="auto" w:fill="auto"/>
            <w:noWrap/>
            <w:vAlign w:val="bottom"/>
            <w:hideMark/>
          </w:tcPr>
          <w:p w14:paraId="6FA8BE11" w14:textId="09980A9C" w:rsidR="00A26E25" w:rsidRPr="008669C3" w:rsidRDefault="00A26E25" w:rsidP="00A26E25">
            <w:pPr>
              <w:jc w:val="center"/>
              <w:rPr>
                <w:color w:val="000000"/>
                <w:sz w:val="22"/>
                <w:szCs w:val="22"/>
              </w:rPr>
            </w:pPr>
            <w:r w:rsidRPr="008669C3">
              <w:rPr>
                <w:color w:val="000000"/>
                <w:sz w:val="22"/>
                <w:szCs w:val="22"/>
              </w:rPr>
              <w:t>Yes</w:t>
            </w:r>
          </w:p>
        </w:tc>
        <w:tc>
          <w:tcPr>
            <w:tcW w:w="103" w:type="pct"/>
            <w:tcBorders>
              <w:top w:val="nil"/>
              <w:left w:val="nil"/>
              <w:bottom w:val="nil"/>
              <w:right w:val="nil"/>
            </w:tcBorders>
            <w:shd w:val="clear" w:color="auto" w:fill="auto"/>
            <w:noWrap/>
            <w:vAlign w:val="bottom"/>
            <w:hideMark/>
          </w:tcPr>
          <w:p w14:paraId="3790772E" w14:textId="77777777" w:rsidR="00A26E25" w:rsidRPr="008669C3" w:rsidRDefault="00A26E25" w:rsidP="00A26E25">
            <w:pPr>
              <w:jc w:val="center"/>
              <w:rPr>
                <w:color w:val="000000"/>
                <w:sz w:val="22"/>
                <w:szCs w:val="22"/>
              </w:rPr>
            </w:pPr>
          </w:p>
        </w:tc>
        <w:tc>
          <w:tcPr>
            <w:tcW w:w="559" w:type="pct"/>
            <w:tcBorders>
              <w:top w:val="nil"/>
              <w:left w:val="nil"/>
              <w:bottom w:val="nil"/>
              <w:right w:val="nil"/>
            </w:tcBorders>
            <w:shd w:val="clear" w:color="auto" w:fill="auto"/>
            <w:noWrap/>
            <w:vAlign w:val="bottom"/>
            <w:hideMark/>
          </w:tcPr>
          <w:p w14:paraId="3C38F3DB" w14:textId="60EA9645" w:rsidR="00A26E25" w:rsidRPr="008669C3" w:rsidRDefault="00A26E25" w:rsidP="00A26E25">
            <w:pPr>
              <w:jc w:val="center"/>
              <w:rPr>
                <w:sz w:val="22"/>
                <w:szCs w:val="22"/>
              </w:rPr>
            </w:pPr>
            <w:r w:rsidRPr="008669C3">
              <w:rPr>
                <w:color w:val="000000"/>
                <w:sz w:val="22"/>
                <w:szCs w:val="22"/>
              </w:rPr>
              <w:t>No</w:t>
            </w:r>
          </w:p>
        </w:tc>
        <w:tc>
          <w:tcPr>
            <w:tcW w:w="560" w:type="pct"/>
            <w:tcBorders>
              <w:top w:val="nil"/>
              <w:left w:val="nil"/>
              <w:bottom w:val="nil"/>
              <w:right w:val="nil"/>
            </w:tcBorders>
            <w:shd w:val="clear" w:color="auto" w:fill="auto"/>
            <w:noWrap/>
            <w:vAlign w:val="bottom"/>
            <w:hideMark/>
          </w:tcPr>
          <w:p w14:paraId="6FEFF1B8" w14:textId="3BD4DF67" w:rsidR="00A26E25" w:rsidRPr="008669C3" w:rsidRDefault="00A26E25" w:rsidP="00A26E25">
            <w:pPr>
              <w:jc w:val="center"/>
              <w:rPr>
                <w:color w:val="000000"/>
                <w:sz w:val="22"/>
                <w:szCs w:val="22"/>
              </w:rPr>
            </w:pPr>
            <w:r w:rsidRPr="008669C3">
              <w:rPr>
                <w:color w:val="000000"/>
                <w:sz w:val="22"/>
                <w:szCs w:val="22"/>
              </w:rPr>
              <w:t>Yes</w:t>
            </w:r>
          </w:p>
        </w:tc>
        <w:tc>
          <w:tcPr>
            <w:tcW w:w="103" w:type="pct"/>
            <w:tcBorders>
              <w:top w:val="nil"/>
              <w:left w:val="nil"/>
              <w:bottom w:val="nil"/>
              <w:right w:val="nil"/>
            </w:tcBorders>
            <w:shd w:val="clear" w:color="auto" w:fill="auto"/>
            <w:noWrap/>
            <w:vAlign w:val="bottom"/>
            <w:hideMark/>
          </w:tcPr>
          <w:p w14:paraId="631925E3" w14:textId="77777777" w:rsidR="00A26E25" w:rsidRPr="008669C3" w:rsidRDefault="00A26E25" w:rsidP="00A26E25">
            <w:pPr>
              <w:jc w:val="center"/>
              <w:rPr>
                <w:color w:val="000000"/>
                <w:sz w:val="22"/>
                <w:szCs w:val="22"/>
              </w:rPr>
            </w:pPr>
          </w:p>
        </w:tc>
        <w:tc>
          <w:tcPr>
            <w:tcW w:w="416" w:type="pct"/>
            <w:tcBorders>
              <w:top w:val="nil"/>
              <w:left w:val="nil"/>
              <w:bottom w:val="nil"/>
              <w:right w:val="nil"/>
            </w:tcBorders>
            <w:shd w:val="clear" w:color="auto" w:fill="auto"/>
            <w:noWrap/>
            <w:vAlign w:val="bottom"/>
            <w:hideMark/>
          </w:tcPr>
          <w:p w14:paraId="56CF7405" w14:textId="19A9496D" w:rsidR="00A26E25" w:rsidRPr="008669C3" w:rsidRDefault="00A26E25" w:rsidP="00A26E25">
            <w:pPr>
              <w:jc w:val="center"/>
              <w:rPr>
                <w:sz w:val="22"/>
                <w:szCs w:val="22"/>
              </w:rPr>
            </w:pPr>
            <w:r w:rsidRPr="008669C3">
              <w:rPr>
                <w:color w:val="000000"/>
                <w:sz w:val="22"/>
                <w:szCs w:val="22"/>
              </w:rPr>
              <w:t>No</w:t>
            </w:r>
          </w:p>
        </w:tc>
        <w:tc>
          <w:tcPr>
            <w:tcW w:w="500" w:type="pct"/>
            <w:tcBorders>
              <w:top w:val="nil"/>
              <w:left w:val="nil"/>
              <w:bottom w:val="nil"/>
              <w:right w:val="nil"/>
            </w:tcBorders>
            <w:shd w:val="clear" w:color="auto" w:fill="auto"/>
            <w:noWrap/>
            <w:vAlign w:val="bottom"/>
            <w:hideMark/>
          </w:tcPr>
          <w:p w14:paraId="6FA2B5A3" w14:textId="3F7E6654" w:rsidR="00A26E25" w:rsidRPr="008669C3" w:rsidRDefault="00A26E25" w:rsidP="00A26E25">
            <w:pPr>
              <w:jc w:val="center"/>
              <w:rPr>
                <w:color w:val="000000"/>
                <w:sz w:val="22"/>
                <w:szCs w:val="22"/>
              </w:rPr>
            </w:pPr>
            <w:r w:rsidRPr="008669C3">
              <w:rPr>
                <w:color w:val="000000"/>
                <w:sz w:val="22"/>
                <w:szCs w:val="22"/>
              </w:rPr>
              <w:t>Yes</w:t>
            </w:r>
          </w:p>
        </w:tc>
      </w:tr>
      <w:tr w:rsidR="00142C1A" w:rsidRPr="008669C3" w14:paraId="275E0451" w14:textId="77777777" w:rsidTr="00142C1A">
        <w:trPr>
          <w:trHeight w:val="20"/>
        </w:trPr>
        <w:tc>
          <w:tcPr>
            <w:tcW w:w="1689" w:type="pct"/>
            <w:tcBorders>
              <w:top w:val="nil"/>
              <w:left w:val="nil"/>
              <w:bottom w:val="nil"/>
              <w:right w:val="nil"/>
            </w:tcBorders>
            <w:shd w:val="clear" w:color="auto" w:fill="auto"/>
            <w:noWrap/>
            <w:vAlign w:val="bottom"/>
            <w:hideMark/>
          </w:tcPr>
          <w:p w14:paraId="538A3B8E" w14:textId="77777777" w:rsidR="00A26E25" w:rsidRPr="008669C3" w:rsidRDefault="00A26E25" w:rsidP="00A26E25">
            <w:pPr>
              <w:rPr>
                <w:color w:val="000000"/>
                <w:sz w:val="22"/>
                <w:szCs w:val="22"/>
              </w:rPr>
            </w:pPr>
            <w:r w:rsidRPr="008669C3">
              <w:rPr>
                <w:color w:val="000000"/>
                <w:sz w:val="22"/>
                <w:szCs w:val="22"/>
              </w:rPr>
              <w:t>Industry-Year FE</w:t>
            </w:r>
          </w:p>
        </w:tc>
        <w:tc>
          <w:tcPr>
            <w:tcW w:w="526" w:type="pct"/>
            <w:tcBorders>
              <w:top w:val="nil"/>
              <w:left w:val="nil"/>
              <w:bottom w:val="nil"/>
              <w:right w:val="nil"/>
            </w:tcBorders>
            <w:shd w:val="clear" w:color="auto" w:fill="auto"/>
            <w:noWrap/>
            <w:vAlign w:val="bottom"/>
            <w:hideMark/>
          </w:tcPr>
          <w:p w14:paraId="791B8A0E" w14:textId="57CA950D" w:rsidR="00A26E25" w:rsidRPr="008669C3" w:rsidRDefault="00A26E25" w:rsidP="00A26E25">
            <w:pPr>
              <w:jc w:val="center"/>
              <w:rPr>
                <w:color w:val="000000"/>
                <w:sz w:val="22"/>
                <w:szCs w:val="22"/>
              </w:rPr>
            </w:pPr>
            <w:r w:rsidRPr="008669C3">
              <w:rPr>
                <w:color w:val="000000"/>
                <w:sz w:val="22"/>
                <w:szCs w:val="22"/>
              </w:rPr>
              <w:t>Yes</w:t>
            </w:r>
          </w:p>
        </w:tc>
        <w:tc>
          <w:tcPr>
            <w:tcW w:w="544" w:type="pct"/>
            <w:tcBorders>
              <w:top w:val="nil"/>
              <w:left w:val="nil"/>
              <w:bottom w:val="nil"/>
              <w:right w:val="nil"/>
            </w:tcBorders>
            <w:shd w:val="clear" w:color="auto" w:fill="auto"/>
            <w:noWrap/>
            <w:vAlign w:val="bottom"/>
            <w:hideMark/>
          </w:tcPr>
          <w:p w14:paraId="308C2243" w14:textId="4C6A0D02" w:rsidR="00A26E25" w:rsidRPr="008669C3" w:rsidRDefault="00A26E25" w:rsidP="00A26E25">
            <w:pPr>
              <w:jc w:val="center"/>
              <w:rPr>
                <w:color w:val="000000"/>
                <w:sz w:val="22"/>
                <w:szCs w:val="22"/>
              </w:rPr>
            </w:pPr>
            <w:r w:rsidRPr="008669C3">
              <w:rPr>
                <w:color w:val="000000"/>
                <w:sz w:val="22"/>
                <w:szCs w:val="22"/>
              </w:rPr>
              <w:t>Yes</w:t>
            </w:r>
          </w:p>
        </w:tc>
        <w:tc>
          <w:tcPr>
            <w:tcW w:w="103" w:type="pct"/>
            <w:tcBorders>
              <w:top w:val="nil"/>
              <w:left w:val="nil"/>
              <w:bottom w:val="nil"/>
              <w:right w:val="nil"/>
            </w:tcBorders>
            <w:shd w:val="clear" w:color="auto" w:fill="auto"/>
            <w:noWrap/>
            <w:vAlign w:val="bottom"/>
            <w:hideMark/>
          </w:tcPr>
          <w:p w14:paraId="0B0B42D4" w14:textId="77777777" w:rsidR="00A26E25" w:rsidRPr="008669C3" w:rsidRDefault="00A26E25" w:rsidP="00A26E25">
            <w:pPr>
              <w:jc w:val="center"/>
              <w:rPr>
                <w:color w:val="000000"/>
                <w:sz w:val="22"/>
                <w:szCs w:val="22"/>
              </w:rPr>
            </w:pPr>
          </w:p>
        </w:tc>
        <w:tc>
          <w:tcPr>
            <w:tcW w:w="559" w:type="pct"/>
            <w:tcBorders>
              <w:top w:val="nil"/>
              <w:left w:val="nil"/>
              <w:bottom w:val="nil"/>
              <w:right w:val="nil"/>
            </w:tcBorders>
            <w:shd w:val="clear" w:color="auto" w:fill="auto"/>
            <w:noWrap/>
            <w:vAlign w:val="bottom"/>
            <w:hideMark/>
          </w:tcPr>
          <w:p w14:paraId="4A0F745D" w14:textId="5770864B" w:rsidR="00A26E25" w:rsidRPr="008669C3" w:rsidRDefault="00A26E25" w:rsidP="00A26E25">
            <w:pPr>
              <w:jc w:val="center"/>
              <w:rPr>
                <w:color w:val="000000"/>
                <w:sz w:val="22"/>
                <w:szCs w:val="22"/>
              </w:rPr>
            </w:pPr>
            <w:r w:rsidRPr="008669C3">
              <w:rPr>
                <w:color w:val="000000"/>
                <w:sz w:val="22"/>
                <w:szCs w:val="22"/>
              </w:rPr>
              <w:t>Yes</w:t>
            </w:r>
          </w:p>
        </w:tc>
        <w:tc>
          <w:tcPr>
            <w:tcW w:w="560" w:type="pct"/>
            <w:tcBorders>
              <w:top w:val="nil"/>
              <w:left w:val="nil"/>
              <w:bottom w:val="nil"/>
              <w:right w:val="nil"/>
            </w:tcBorders>
            <w:shd w:val="clear" w:color="auto" w:fill="auto"/>
            <w:noWrap/>
            <w:vAlign w:val="bottom"/>
            <w:hideMark/>
          </w:tcPr>
          <w:p w14:paraId="4DEFFA36" w14:textId="2CC53CF5" w:rsidR="00A26E25" w:rsidRPr="008669C3" w:rsidRDefault="00A26E25" w:rsidP="00A26E25">
            <w:pPr>
              <w:jc w:val="center"/>
              <w:rPr>
                <w:color w:val="000000"/>
                <w:sz w:val="22"/>
                <w:szCs w:val="22"/>
              </w:rPr>
            </w:pPr>
            <w:r w:rsidRPr="008669C3">
              <w:rPr>
                <w:color w:val="000000"/>
                <w:sz w:val="22"/>
                <w:szCs w:val="22"/>
              </w:rPr>
              <w:t>Yes</w:t>
            </w:r>
          </w:p>
        </w:tc>
        <w:tc>
          <w:tcPr>
            <w:tcW w:w="103" w:type="pct"/>
            <w:tcBorders>
              <w:top w:val="nil"/>
              <w:left w:val="nil"/>
              <w:bottom w:val="nil"/>
              <w:right w:val="nil"/>
            </w:tcBorders>
            <w:shd w:val="clear" w:color="auto" w:fill="auto"/>
            <w:noWrap/>
            <w:vAlign w:val="bottom"/>
            <w:hideMark/>
          </w:tcPr>
          <w:p w14:paraId="0A5ECF13" w14:textId="77777777" w:rsidR="00A26E25" w:rsidRPr="008669C3" w:rsidRDefault="00A26E25" w:rsidP="00A26E25">
            <w:pPr>
              <w:jc w:val="center"/>
              <w:rPr>
                <w:color w:val="000000"/>
                <w:sz w:val="22"/>
                <w:szCs w:val="22"/>
              </w:rPr>
            </w:pPr>
          </w:p>
        </w:tc>
        <w:tc>
          <w:tcPr>
            <w:tcW w:w="416" w:type="pct"/>
            <w:tcBorders>
              <w:top w:val="nil"/>
              <w:left w:val="nil"/>
              <w:bottom w:val="nil"/>
              <w:right w:val="nil"/>
            </w:tcBorders>
            <w:shd w:val="clear" w:color="auto" w:fill="auto"/>
            <w:noWrap/>
            <w:vAlign w:val="bottom"/>
            <w:hideMark/>
          </w:tcPr>
          <w:p w14:paraId="723ABD21" w14:textId="37B0778B" w:rsidR="00A26E25" w:rsidRPr="008669C3" w:rsidRDefault="00A26E25" w:rsidP="00A26E25">
            <w:pPr>
              <w:jc w:val="center"/>
              <w:rPr>
                <w:color w:val="000000"/>
                <w:sz w:val="22"/>
                <w:szCs w:val="22"/>
              </w:rPr>
            </w:pPr>
            <w:r w:rsidRPr="008669C3">
              <w:rPr>
                <w:color w:val="000000"/>
                <w:sz w:val="22"/>
                <w:szCs w:val="22"/>
              </w:rPr>
              <w:t>Yes</w:t>
            </w:r>
          </w:p>
        </w:tc>
        <w:tc>
          <w:tcPr>
            <w:tcW w:w="500" w:type="pct"/>
            <w:tcBorders>
              <w:top w:val="nil"/>
              <w:left w:val="nil"/>
              <w:bottom w:val="nil"/>
              <w:right w:val="nil"/>
            </w:tcBorders>
            <w:shd w:val="clear" w:color="auto" w:fill="auto"/>
            <w:noWrap/>
            <w:vAlign w:val="bottom"/>
            <w:hideMark/>
          </w:tcPr>
          <w:p w14:paraId="527681CA" w14:textId="013EE6D2" w:rsidR="00A26E25" w:rsidRPr="008669C3" w:rsidRDefault="00A26E25" w:rsidP="00A26E25">
            <w:pPr>
              <w:jc w:val="center"/>
              <w:rPr>
                <w:color w:val="000000"/>
                <w:sz w:val="22"/>
                <w:szCs w:val="22"/>
              </w:rPr>
            </w:pPr>
            <w:r w:rsidRPr="008669C3">
              <w:rPr>
                <w:color w:val="000000"/>
                <w:sz w:val="22"/>
                <w:szCs w:val="22"/>
              </w:rPr>
              <w:t>Yes</w:t>
            </w:r>
          </w:p>
        </w:tc>
      </w:tr>
      <w:tr w:rsidR="00142C1A" w:rsidRPr="008669C3" w14:paraId="0B81A8CA" w14:textId="77777777" w:rsidTr="00142C1A">
        <w:trPr>
          <w:trHeight w:val="20"/>
        </w:trPr>
        <w:tc>
          <w:tcPr>
            <w:tcW w:w="1689" w:type="pct"/>
            <w:tcBorders>
              <w:top w:val="nil"/>
              <w:left w:val="nil"/>
              <w:bottom w:val="nil"/>
              <w:right w:val="nil"/>
            </w:tcBorders>
            <w:shd w:val="clear" w:color="auto" w:fill="auto"/>
            <w:noWrap/>
            <w:vAlign w:val="bottom"/>
            <w:hideMark/>
          </w:tcPr>
          <w:p w14:paraId="5CD85A69" w14:textId="77777777" w:rsidR="00A26E25" w:rsidRPr="008669C3" w:rsidRDefault="00A26E25" w:rsidP="00A26E25">
            <w:pPr>
              <w:rPr>
                <w:color w:val="000000"/>
                <w:sz w:val="22"/>
                <w:szCs w:val="22"/>
              </w:rPr>
            </w:pPr>
            <w:r w:rsidRPr="008669C3">
              <w:rPr>
                <w:color w:val="000000"/>
                <w:sz w:val="22"/>
                <w:szCs w:val="22"/>
              </w:rPr>
              <w:t>N</w:t>
            </w:r>
          </w:p>
        </w:tc>
        <w:tc>
          <w:tcPr>
            <w:tcW w:w="526" w:type="pct"/>
            <w:tcBorders>
              <w:top w:val="nil"/>
              <w:left w:val="nil"/>
              <w:bottom w:val="nil"/>
              <w:right w:val="nil"/>
            </w:tcBorders>
            <w:shd w:val="clear" w:color="auto" w:fill="auto"/>
            <w:noWrap/>
            <w:vAlign w:val="bottom"/>
            <w:hideMark/>
          </w:tcPr>
          <w:p w14:paraId="731156D1" w14:textId="5F0E17A6" w:rsidR="00A26E25" w:rsidRPr="008669C3" w:rsidRDefault="00890C53" w:rsidP="00A26E25">
            <w:pPr>
              <w:jc w:val="center"/>
              <w:rPr>
                <w:sz w:val="22"/>
                <w:szCs w:val="22"/>
              </w:rPr>
            </w:pPr>
            <w:r>
              <w:rPr>
                <w:sz w:val="22"/>
                <w:szCs w:val="22"/>
              </w:rPr>
              <w:t>4</w:t>
            </w:r>
            <w:r w:rsidR="00A26E25" w:rsidRPr="008669C3">
              <w:rPr>
                <w:sz w:val="22"/>
                <w:szCs w:val="22"/>
              </w:rPr>
              <w:t>588</w:t>
            </w:r>
          </w:p>
        </w:tc>
        <w:tc>
          <w:tcPr>
            <w:tcW w:w="544" w:type="pct"/>
            <w:tcBorders>
              <w:top w:val="nil"/>
              <w:left w:val="nil"/>
              <w:bottom w:val="nil"/>
              <w:right w:val="nil"/>
            </w:tcBorders>
            <w:shd w:val="clear" w:color="auto" w:fill="auto"/>
            <w:noWrap/>
            <w:vAlign w:val="bottom"/>
            <w:hideMark/>
          </w:tcPr>
          <w:p w14:paraId="7B3C869C" w14:textId="43B8BAC0" w:rsidR="00A26E25" w:rsidRPr="008669C3" w:rsidRDefault="00890C53" w:rsidP="00A26E25">
            <w:pPr>
              <w:jc w:val="center"/>
              <w:rPr>
                <w:sz w:val="22"/>
                <w:szCs w:val="22"/>
              </w:rPr>
            </w:pPr>
            <w:r>
              <w:rPr>
                <w:sz w:val="22"/>
                <w:szCs w:val="22"/>
              </w:rPr>
              <w:t>4</w:t>
            </w:r>
            <w:r w:rsidR="00A26E25" w:rsidRPr="008669C3">
              <w:rPr>
                <w:sz w:val="22"/>
                <w:szCs w:val="22"/>
              </w:rPr>
              <w:t>588</w:t>
            </w:r>
          </w:p>
        </w:tc>
        <w:tc>
          <w:tcPr>
            <w:tcW w:w="103" w:type="pct"/>
            <w:tcBorders>
              <w:top w:val="nil"/>
              <w:left w:val="nil"/>
              <w:bottom w:val="nil"/>
              <w:right w:val="nil"/>
            </w:tcBorders>
            <w:shd w:val="clear" w:color="auto" w:fill="auto"/>
            <w:noWrap/>
            <w:vAlign w:val="bottom"/>
            <w:hideMark/>
          </w:tcPr>
          <w:p w14:paraId="5C050415" w14:textId="77777777" w:rsidR="00A26E25" w:rsidRPr="008669C3" w:rsidRDefault="00A26E25" w:rsidP="00A26E25">
            <w:pPr>
              <w:jc w:val="center"/>
              <w:rPr>
                <w:sz w:val="22"/>
                <w:szCs w:val="22"/>
              </w:rPr>
            </w:pPr>
          </w:p>
        </w:tc>
        <w:tc>
          <w:tcPr>
            <w:tcW w:w="559" w:type="pct"/>
            <w:tcBorders>
              <w:top w:val="nil"/>
              <w:left w:val="nil"/>
              <w:bottom w:val="nil"/>
              <w:right w:val="nil"/>
            </w:tcBorders>
            <w:shd w:val="clear" w:color="auto" w:fill="auto"/>
            <w:noWrap/>
            <w:vAlign w:val="bottom"/>
            <w:hideMark/>
          </w:tcPr>
          <w:p w14:paraId="477A8BBF" w14:textId="7B57B297" w:rsidR="00A26E25" w:rsidRPr="008669C3" w:rsidRDefault="00890C53" w:rsidP="00A26E25">
            <w:pPr>
              <w:jc w:val="center"/>
              <w:rPr>
                <w:sz w:val="22"/>
                <w:szCs w:val="22"/>
              </w:rPr>
            </w:pPr>
            <w:r>
              <w:rPr>
                <w:sz w:val="22"/>
                <w:szCs w:val="22"/>
              </w:rPr>
              <w:t>4</w:t>
            </w:r>
            <w:r w:rsidR="00A26E25" w:rsidRPr="008669C3">
              <w:rPr>
                <w:sz w:val="22"/>
                <w:szCs w:val="22"/>
              </w:rPr>
              <w:t>588</w:t>
            </w:r>
          </w:p>
        </w:tc>
        <w:tc>
          <w:tcPr>
            <w:tcW w:w="560" w:type="pct"/>
            <w:tcBorders>
              <w:top w:val="nil"/>
              <w:left w:val="nil"/>
              <w:bottom w:val="nil"/>
              <w:right w:val="nil"/>
            </w:tcBorders>
            <w:shd w:val="clear" w:color="auto" w:fill="auto"/>
            <w:noWrap/>
            <w:vAlign w:val="bottom"/>
            <w:hideMark/>
          </w:tcPr>
          <w:p w14:paraId="434FEA5D" w14:textId="26957FE7" w:rsidR="00A26E25" w:rsidRPr="008669C3" w:rsidRDefault="00890C53" w:rsidP="00A26E25">
            <w:pPr>
              <w:jc w:val="center"/>
              <w:rPr>
                <w:sz w:val="22"/>
                <w:szCs w:val="22"/>
              </w:rPr>
            </w:pPr>
            <w:r>
              <w:rPr>
                <w:sz w:val="22"/>
                <w:szCs w:val="22"/>
              </w:rPr>
              <w:t>4</w:t>
            </w:r>
            <w:r w:rsidR="00A26E25" w:rsidRPr="008669C3">
              <w:rPr>
                <w:sz w:val="22"/>
                <w:szCs w:val="22"/>
              </w:rPr>
              <w:t>588</w:t>
            </w:r>
          </w:p>
        </w:tc>
        <w:tc>
          <w:tcPr>
            <w:tcW w:w="103" w:type="pct"/>
            <w:tcBorders>
              <w:top w:val="nil"/>
              <w:left w:val="nil"/>
              <w:bottom w:val="nil"/>
              <w:right w:val="nil"/>
            </w:tcBorders>
            <w:shd w:val="clear" w:color="auto" w:fill="auto"/>
            <w:noWrap/>
            <w:vAlign w:val="bottom"/>
            <w:hideMark/>
          </w:tcPr>
          <w:p w14:paraId="6BDED2AA" w14:textId="77777777" w:rsidR="00A26E25" w:rsidRPr="008669C3" w:rsidRDefault="00A26E25" w:rsidP="00A26E25">
            <w:pPr>
              <w:jc w:val="center"/>
              <w:rPr>
                <w:sz w:val="22"/>
                <w:szCs w:val="22"/>
              </w:rPr>
            </w:pPr>
          </w:p>
        </w:tc>
        <w:tc>
          <w:tcPr>
            <w:tcW w:w="416" w:type="pct"/>
            <w:tcBorders>
              <w:top w:val="nil"/>
              <w:left w:val="nil"/>
              <w:bottom w:val="nil"/>
              <w:right w:val="nil"/>
            </w:tcBorders>
            <w:shd w:val="clear" w:color="auto" w:fill="auto"/>
            <w:noWrap/>
            <w:vAlign w:val="bottom"/>
            <w:hideMark/>
          </w:tcPr>
          <w:p w14:paraId="5E44BEA4" w14:textId="701F2E33" w:rsidR="00A26E25" w:rsidRPr="008669C3" w:rsidRDefault="00890C53" w:rsidP="00A26E25">
            <w:pPr>
              <w:jc w:val="center"/>
              <w:rPr>
                <w:sz w:val="22"/>
                <w:szCs w:val="22"/>
              </w:rPr>
            </w:pPr>
            <w:r>
              <w:rPr>
                <w:sz w:val="22"/>
                <w:szCs w:val="22"/>
              </w:rPr>
              <w:t>9</w:t>
            </w:r>
            <w:r w:rsidR="00A26E25" w:rsidRPr="008669C3">
              <w:rPr>
                <w:sz w:val="22"/>
                <w:szCs w:val="22"/>
              </w:rPr>
              <w:t>176</w:t>
            </w:r>
          </w:p>
        </w:tc>
        <w:tc>
          <w:tcPr>
            <w:tcW w:w="500" w:type="pct"/>
            <w:tcBorders>
              <w:top w:val="nil"/>
              <w:left w:val="nil"/>
              <w:bottom w:val="nil"/>
              <w:right w:val="nil"/>
            </w:tcBorders>
            <w:shd w:val="clear" w:color="auto" w:fill="auto"/>
            <w:noWrap/>
            <w:vAlign w:val="bottom"/>
            <w:hideMark/>
          </w:tcPr>
          <w:p w14:paraId="0E526F39" w14:textId="61438BBF" w:rsidR="00A26E25" w:rsidRPr="008669C3" w:rsidRDefault="00890C53" w:rsidP="00A26E25">
            <w:pPr>
              <w:jc w:val="center"/>
              <w:rPr>
                <w:sz w:val="22"/>
                <w:szCs w:val="22"/>
              </w:rPr>
            </w:pPr>
            <w:r>
              <w:rPr>
                <w:sz w:val="22"/>
                <w:szCs w:val="22"/>
              </w:rPr>
              <w:t>9</w:t>
            </w:r>
            <w:r w:rsidR="00A26E25" w:rsidRPr="008669C3">
              <w:rPr>
                <w:sz w:val="22"/>
                <w:szCs w:val="22"/>
              </w:rPr>
              <w:t>176</w:t>
            </w:r>
          </w:p>
        </w:tc>
      </w:tr>
      <w:tr w:rsidR="0024682D" w:rsidRPr="008669C3" w14:paraId="230467F1" w14:textId="77777777" w:rsidTr="00142C1A">
        <w:trPr>
          <w:trHeight w:val="20"/>
        </w:trPr>
        <w:tc>
          <w:tcPr>
            <w:tcW w:w="1689" w:type="pct"/>
            <w:tcBorders>
              <w:top w:val="nil"/>
              <w:left w:val="nil"/>
              <w:bottom w:val="single" w:sz="4" w:space="0" w:color="auto"/>
              <w:right w:val="nil"/>
            </w:tcBorders>
            <w:shd w:val="clear" w:color="auto" w:fill="auto"/>
            <w:noWrap/>
            <w:vAlign w:val="bottom"/>
            <w:hideMark/>
          </w:tcPr>
          <w:p w14:paraId="08350103" w14:textId="23D0CEF6" w:rsidR="0024682D" w:rsidRPr="008669C3" w:rsidRDefault="0024682D" w:rsidP="0024682D">
            <w:pPr>
              <w:rPr>
                <w:color w:val="000000"/>
                <w:sz w:val="22"/>
                <w:szCs w:val="22"/>
              </w:rPr>
            </w:pPr>
            <w:r w:rsidRPr="008669C3">
              <w:rPr>
                <w:sz w:val="22"/>
                <w:szCs w:val="22"/>
              </w:rPr>
              <w:t>Adjusted R</w:t>
            </w:r>
            <w:r w:rsidRPr="008669C3">
              <w:rPr>
                <w:sz w:val="22"/>
                <w:szCs w:val="22"/>
                <w:vertAlign w:val="superscript"/>
              </w:rPr>
              <w:t>2</w:t>
            </w:r>
          </w:p>
        </w:tc>
        <w:tc>
          <w:tcPr>
            <w:tcW w:w="526" w:type="pct"/>
            <w:tcBorders>
              <w:top w:val="nil"/>
              <w:left w:val="nil"/>
              <w:bottom w:val="single" w:sz="4" w:space="0" w:color="auto"/>
              <w:right w:val="nil"/>
            </w:tcBorders>
            <w:shd w:val="clear" w:color="auto" w:fill="auto"/>
            <w:noWrap/>
            <w:vAlign w:val="bottom"/>
            <w:hideMark/>
          </w:tcPr>
          <w:p w14:paraId="74748955" w14:textId="68C8FD33" w:rsidR="0024682D" w:rsidRPr="008669C3" w:rsidRDefault="0024682D" w:rsidP="0024682D">
            <w:pPr>
              <w:jc w:val="center"/>
              <w:rPr>
                <w:sz w:val="22"/>
                <w:szCs w:val="22"/>
              </w:rPr>
            </w:pPr>
            <w:r w:rsidRPr="008669C3">
              <w:rPr>
                <w:color w:val="000000"/>
                <w:sz w:val="22"/>
                <w:szCs w:val="22"/>
              </w:rPr>
              <w:t>0.132</w:t>
            </w:r>
          </w:p>
        </w:tc>
        <w:tc>
          <w:tcPr>
            <w:tcW w:w="544" w:type="pct"/>
            <w:tcBorders>
              <w:top w:val="nil"/>
              <w:left w:val="nil"/>
              <w:bottom w:val="single" w:sz="4" w:space="0" w:color="auto"/>
              <w:right w:val="nil"/>
            </w:tcBorders>
            <w:shd w:val="clear" w:color="auto" w:fill="auto"/>
            <w:noWrap/>
            <w:vAlign w:val="bottom"/>
            <w:hideMark/>
          </w:tcPr>
          <w:p w14:paraId="35C57964" w14:textId="6B19ED50" w:rsidR="0024682D" w:rsidRPr="008669C3" w:rsidRDefault="0024682D" w:rsidP="0024682D">
            <w:pPr>
              <w:jc w:val="center"/>
              <w:rPr>
                <w:sz w:val="22"/>
                <w:szCs w:val="22"/>
              </w:rPr>
            </w:pPr>
            <w:r w:rsidRPr="008669C3">
              <w:rPr>
                <w:color w:val="000000"/>
                <w:sz w:val="22"/>
                <w:szCs w:val="22"/>
              </w:rPr>
              <w:t>0.103</w:t>
            </w:r>
          </w:p>
        </w:tc>
        <w:tc>
          <w:tcPr>
            <w:tcW w:w="103" w:type="pct"/>
            <w:tcBorders>
              <w:top w:val="nil"/>
              <w:left w:val="nil"/>
              <w:bottom w:val="single" w:sz="4" w:space="0" w:color="auto"/>
              <w:right w:val="nil"/>
            </w:tcBorders>
            <w:shd w:val="clear" w:color="auto" w:fill="auto"/>
            <w:noWrap/>
            <w:vAlign w:val="bottom"/>
            <w:hideMark/>
          </w:tcPr>
          <w:p w14:paraId="73CEC060" w14:textId="77777777" w:rsidR="0024682D" w:rsidRPr="008669C3" w:rsidRDefault="0024682D" w:rsidP="0024682D">
            <w:pPr>
              <w:jc w:val="center"/>
              <w:rPr>
                <w:sz w:val="22"/>
                <w:szCs w:val="22"/>
              </w:rPr>
            </w:pPr>
            <w:r w:rsidRPr="008669C3">
              <w:rPr>
                <w:sz w:val="22"/>
                <w:szCs w:val="22"/>
              </w:rPr>
              <w:t> </w:t>
            </w:r>
          </w:p>
        </w:tc>
        <w:tc>
          <w:tcPr>
            <w:tcW w:w="559" w:type="pct"/>
            <w:tcBorders>
              <w:top w:val="nil"/>
              <w:left w:val="nil"/>
              <w:bottom w:val="single" w:sz="4" w:space="0" w:color="auto"/>
              <w:right w:val="nil"/>
            </w:tcBorders>
            <w:shd w:val="clear" w:color="auto" w:fill="auto"/>
            <w:noWrap/>
            <w:vAlign w:val="bottom"/>
            <w:hideMark/>
          </w:tcPr>
          <w:p w14:paraId="5DB714EA" w14:textId="3099B5B2" w:rsidR="0024682D" w:rsidRPr="008669C3" w:rsidRDefault="0024682D" w:rsidP="0024682D">
            <w:pPr>
              <w:jc w:val="center"/>
              <w:rPr>
                <w:sz w:val="22"/>
                <w:szCs w:val="22"/>
              </w:rPr>
            </w:pPr>
            <w:r w:rsidRPr="008669C3">
              <w:rPr>
                <w:color w:val="000000"/>
                <w:sz w:val="22"/>
                <w:szCs w:val="22"/>
              </w:rPr>
              <w:t>0.272</w:t>
            </w:r>
          </w:p>
        </w:tc>
        <w:tc>
          <w:tcPr>
            <w:tcW w:w="560" w:type="pct"/>
            <w:tcBorders>
              <w:top w:val="nil"/>
              <w:left w:val="nil"/>
              <w:bottom w:val="single" w:sz="4" w:space="0" w:color="auto"/>
              <w:right w:val="nil"/>
            </w:tcBorders>
            <w:shd w:val="clear" w:color="auto" w:fill="auto"/>
            <w:noWrap/>
            <w:vAlign w:val="bottom"/>
            <w:hideMark/>
          </w:tcPr>
          <w:p w14:paraId="53AA4087" w14:textId="0453F5AD" w:rsidR="0024682D" w:rsidRPr="008669C3" w:rsidRDefault="0024682D" w:rsidP="0024682D">
            <w:pPr>
              <w:jc w:val="center"/>
              <w:rPr>
                <w:sz w:val="22"/>
                <w:szCs w:val="22"/>
              </w:rPr>
            </w:pPr>
            <w:r w:rsidRPr="008669C3">
              <w:rPr>
                <w:color w:val="000000"/>
                <w:sz w:val="22"/>
                <w:szCs w:val="22"/>
              </w:rPr>
              <w:t>0.189</w:t>
            </w:r>
          </w:p>
        </w:tc>
        <w:tc>
          <w:tcPr>
            <w:tcW w:w="103" w:type="pct"/>
            <w:tcBorders>
              <w:top w:val="nil"/>
              <w:left w:val="nil"/>
              <w:bottom w:val="single" w:sz="4" w:space="0" w:color="auto"/>
              <w:right w:val="nil"/>
            </w:tcBorders>
            <w:shd w:val="clear" w:color="auto" w:fill="auto"/>
            <w:noWrap/>
            <w:vAlign w:val="bottom"/>
            <w:hideMark/>
          </w:tcPr>
          <w:p w14:paraId="457A6DFC" w14:textId="77777777" w:rsidR="0024682D" w:rsidRPr="008669C3" w:rsidRDefault="0024682D" w:rsidP="0024682D">
            <w:pPr>
              <w:jc w:val="center"/>
              <w:rPr>
                <w:sz w:val="22"/>
                <w:szCs w:val="22"/>
              </w:rPr>
            </w:pPr>
            <w:r w:rsidRPr="008669C3">
              <w:rPr>
                <w:sz w:val="22"/>
                <w:szCs w:val="22"/>
              </w:rPr>
              <w:t> </w:t>
            </w:r>
          </w:p>
        </w:tc>
        <w:tc>
          <w:tcPr>
            <w:tcW w:w="416" w:type="pct"/>
            <w:tcBorders>
              <w:top w:val="nil"/>
              <w:left w:val="nil"/>
              <w:bottom w:val="single" w:sz="4" w:space="0" w:color="auto"/>
              <w:right w:val="nil"/>
            </w:tcBorders>
            <w:shd w:val="clear" w:color="auto" w:fill="auto"/>
            <w:noWrap/>
            <w:vAlign w:val="bottom"/>
            <w:hideMark/>
          </w:tcPr>
          <w:p w14:paraId="04DA2874" w14:textId="743A718B" w:rsidR="0024682D" w:rsidRPr="008669C3" w:rsidRDefault="0024682D" w:rsidP="0024682D">
            <w:pPr>
              <w:jc w:val="center"/>
              <w:rPr>
                <w:sz w:val="22"/>
                <w:szCs w:val="22"/>
              </w:rPr>
            </w:pPr>
            <w:r w:rsidRPr="008669C3">
              <w:rPr>
                <w:color w:val="000000"/>
                <w:sz w:val="22"/>
                <w:szCs w:val="22"/>
              </w:rPr>
              <w:t>0.202</w:t>
            </w:r>
          </w:p>
        </w:tc>
        <w:tc>
          <w:tcPr>
            <w:tcW w:w="500" w:type="pct"/>
            <w:tcBorders>
              <w:top w:val="nil"/>
              <w:left w:val="nil"/>
              <w:bottom w:val="single" w:sz="4" w:space="0" w:color="auto"/>
              <w:right w:val="nil"/>
            </w:tcBorders>
            <w:shd w:val="clear" w:color="auto" w:fill="auto"/>
            <w:noWrap/>
            <w:vAlign w:val="bottom"/>
            <w:hideMark/>
          </w:tcPr>
          <w:p w14:paraId="404E9DB1" w14:textId="3130EDAC" w:rsidR="0024682D" w:rsidRPr="008669C3" w:rsidRDefault="0024682D" w:rsidP="0024682D">
            <w:pPr>
              <w:jc w:val="center"/>
              <w:rPr>
                <w:sz w:val="22"/>
                <w:szCs w:val="22"/>
              </w:rPr>
            </w:pPr>
            <w:r w:rsidRPr="008669C3">
              <w:rPr>
                <w:color w:val="000000"/>
                <w:sz w:val="22"/>
                <w:szCs w:val="22"/>
              </w:rPr>
              <w:t>0.126</w:t>
            </w:r>
          </w:p>
        </w:tc>
      </w:tr>
      <w:tr w:rsidR="00A26E25" w:rsidRPr="008669C3" w14:paraId="57600FE3" w14:textId="77777777" w:rsidTr="00142C1A">
        <w:trPr>
          <w:trHeight w:val="20"/>
        </w:trPr>
        <w:tc>
          <w:tcPr>
            <w:tcW w:w="5000" w:type="pct"/>
            <w:gridSpan w:val="9"/>
            <w:tcBorders>
              <w:top w:val="nil"/>
              <w:left w:val="nil"/>
              <w:right w:val="nil"/>
            </w:tcBorders>
            <w:shd w:val="clear" w:color="auto" w:fill="auto"/>
            <w:noWrap/>
            <w:vAlign w:val="bottom"/>
            <w:hideMark/>
          </w:tcPr>
          <w:p w14:paraId="3E68665D" w14:textId="77777777" w:rsidR="00142C1A" w:rsidRPr="008669C3" w:rsidRDefault="00142C1A" w:rsidP="00A26E25">
            <w:pPr>
              <w:rPr>
                <w:sz w:val="22"/>
                <w:szCs w:val="22"/>
              </w:rPr>
            </w:pPr>
          </w:p>
          <w:p w14:paraId="462BCEA2" w14:textId="77777777" w:rsidR="00142C1A" w:rsidRPr="008669C3" w:rsidRDefault="00142C1A" w:rsidP="00A26E25">
            <w:pPr>
              <w:rPr>
                <w:sz w:val="22"/>
                <w:szCs w:val="22"/>
              </w:rPr>
            </w:pPr>
          </w:p>
          <w:p w14:paraId="7B145DD1" w14:textId="78A0A84F" w:rsidR="00A26E25" w:rsidRPr="008669C3" w:rsidRDefault="00A26E25" w:rsidP="00142C1A">
            <w:pPr>
              <w:rPr>
                <w:sz w:val="22"/>
                <w:szCs w:val="22"/>
              </w:rPr>
            </w:pPr>
            <w:r w:rsidRPr="008669C3">
              <w:rPr>
                <w:i/>
                <w:iCs/>
                <w:sz w:val="22"/>
                <w:szCs w:val="22"/>
              </w:rPr>
              <w:t>Panel C</w:t>
            </w:r>
            <w:r w:rsidR="00142C1A" w:rsidRPr="008669C3">
              <w:rPr>
                <w:i/>
                <w:iCs/>
                <w:sz w:val="22"/>
                <w:szCs w:val="22"/>
              </w:rPr>
              <w:t>: Based on KZ index</w:t>
            </w:r>
          </w:p>
        </w:tc>
      </w:tr>
      <w:tr w:rsidR="00A26E25" w:rsidRPr="008669C3" w14:paraId="4B2C63ED" w14:textId="77777777" w:rsidTr="00142C1A">
        <w:trPr>
          <w:trHeight w:val="20"/>
        </w:trPr>
        <w:tc>
          <w:tcPr>
            <w:tcW w:w="1689" w:type="pct"/>
            <w:tcBorders>
              <w:left w:val="nil"/>
              <w:bottom w:val="nil"/>
              <w:right w:val="nil"/>
            </w:tcBorders>
            <w:shd w:val="clear" w:color="auto" w:fill="auto"/>
            <w:noWrap/>
            <w:vAlign w:val="bottom"/>
            <w:hideMark/>
          </w:tcPr>
          <w:p w14:paraId="4E62DA7E" w14:textId="77777777" w:rsidR="00A26E25" w:rsidRPr="008669C3" w:rsidRDefault="00A26E25" w:rsidP="00A26E25">
            <w:pPr>
              <w:rPr>
                <w:sz w:val="22"/>
                <w:szCs w:val="22"/>
              </w:rPr>
            </w:pPr>
            <w:r w:rsidRPr="008669C3">
              <w:rPr>
                <w:sz w:val="22"/>
                <w:szCs w:val="22"/>
              </w:rPr>
              <w:t> </w:t>
            </w:r>
          </w:p>
        </w:tc>
        <w:tc>
          <w:tcPr>
            <w:tcW w:w="1070" w:type="pct"/>
            <w:gridSpan w:val="2"/>
            <w:tcBorders>
              <w:left w:val="nil"/>
              <w:bottom w:val="single" w:sz="4" w:space="0" w:color="auto"/>
              <w:right w:val="nil"/>
            </w:tcBorders>
            <w:shd w:val="clear" w:color="auto" w:fill="auto"/>
            <w:noWrap/>
            <w:vAlign w:val="bottom"/>
            <w:hideMark/>
          </w:tcPr>
          <w:p w14:paraId="4164F1F5" w14:textId="49C76FB7" w:rsidR="00A26E25" w:rsidRPr="008669C3" w:rsidRDefault="00142C1A" w:rsidP="00A26E25">
            <w:pPr>
              <w:jc w:val="center"/>
              <w:rPr>
                <w:sz w:val="22"/>
                <w:szCs w:val="22"/>
              </w:rPr>
            </w:pPr>
            <w:r w:rsidRPr="008669C3">
              <w:rPr>
                <w:sz w:val="22"/>
                <w:szCs w:val="22"/>
              </w:rPr>
              <w:t>High KZ index: Distressed</w:t>
            </w:r>
          </w:p>
        </w:tc>
        <w:tc>
          <w:tcPr>
            <w:tcW w:w="103" w:type="pct"/>
            <w:tcBorders>
              <w:left w:val="nil"/>
              <w:bottom w:val="nil"/>
              <w:right w:val="nil"/>
            </w:tcBorders>
            <w:shd w:val="clear" w:color="auto" w:fill="auto"/>
            <w:noWrap/>
            <w:vAlign w:val="bottom"/>
            <w:hideMark/>
          </w:tcPr>
          <w:p w14:paraId="58A32A34" w14:textId="77777777" w:rsidR="00A26E25" w:rsidRPr="008669C3" w:rsidRDefault="00A26E25" w:rsidP="00A26E25">
            <w:pPr>
              <w:jc w:val="center"/>
              <w:rPr>
                <w:sz w:val="22"/>
                <w:szCs w:val="22"/>
              </w:rPr>
            </w:pPr>
          </w:p>
        </w:tc>
        <w:tc>
          <w:tcPr>
            <w:tcW w:w="1119" w:type="pct"/>
            <w:gridSpan w:val="2"/>
            <w:tcBorders>
              <w:left w:val="nil"/>
              <w:bottom w:val="single" w:sz="4" w:space="0" w:color="auto"/>
              <w:right w:val="nil"/>
            </w:tcBorders>
            <w:shd w:val="clear" w:color="auto" w:fill="auto"/>
            <w:noWrap/>
            <w:vAlign w:val="bottom"/>
            <w:hideMark/>
          </w:tcPr>
          <w:p w14:paraId="069703CE" w14:textId="3CAD3572" w:rsidR="00A26E25" w:rsidRPr="008669C3" w:rsidRDefault="00142C1A" w:rsidP="00A26E25">
            <w:pPr>
              <w:jc w:val="center"/>
              <w:rPr>
                <w:sz w:val="22"/>
                <w:szCs w:val="22"/>
              </w:rPr>
            </w:pPr>
            <w:r w:rsidRPr="008669C3">
              <w:rPr>
                <w:sz w:val="22"/>
                <w:szCs w:val="22"/>
              </w:rPr>
              <w:t>Low KZ index: Non-distressed</w:t>
            </w:r>
          </w:p>
        </w:tc>
        <w:tc>
          <w:tcPr>
            <w:tcW w:w="103" w:type="pct"/>
            <w:tcBorders>
              <w:left w:val="nil"/>
              <w:bottom w:val="nil"/>
              <w:right w:val="nil"/>
            </w:tcBorders>
            <w:shd w:val="clear" w:color="auto" w:fill="auto"/>
            <w:noWrap/>
            <w:vAlign w:val="bottom"/>
            <w:hideMark/>
          </w:tcPr>
          <w:p w14:paraId="6A79B36D" w14:textId="77777777" w:rsidR="00A26E25" w:rsidRPr="008669C3" w:rsidRDefault="00A26E25" w:rsidP="00A26E25">
            <w:pPr>
              <w:jc w:val="center"/>
              <w:rPr>
                <w:sz w:val="22"/>
                <w:szCs w:val="22"/>
              </w:rPr>
            </w:pPr>
          </w:p>
        </w:tc>
        <w:tc>
          <w:tcPr>
            <w:tcW w:w="916" w:type="pct"/>
            <w:gridSpan w:val="2"/>
            <w:tcBorders>
              <w:left w:val="nil"/>
              <w:bottom w:val="single" w:sz="4" w:space="0" w:color="auto"/>
              <w:right w:val="nil"/>
            </w:tcBorders>
            <w:shd w:val="clear" w:color="auto" w:fill="auto"/>
            <w:noWrap/>
            <w:vAlign w:val="bottom"/>
            <w:hideMark/>
          </w:tcPr>
          <w:p w14:paraId="59E54246" w14:textId="4FE5CFF9" w:rsidR="00A26E25" w:rsidRPr="008669C3" w:rsidRDefault="00142C1A" w:rsidP="00A26E25">
            <w:pPr>
              <w:jc w:val="center"/>
              <w:rPr>
                <w:sz w:val="22"/>
                <w:szCs w:val="22"/>
              </w:rPr>
            </w:pPr>
            <w:r w:rsidRPr="008669C3">
              <w:rPr>
                <w:sz w:val="22"/>
                <w:szCs w:val="22"/>
              </w:rPr>
              <w:t>Whole sample</w:t>
            </w:r>
          </w:p>
        </w:tc>
      </w:tr>
      <w:tr w:rsidR="00142C1A" w:rsidRPr="008669C3" w14:paraId="0745894D" w14:textId="77777777" w:rsidTr="00142C1A">
        <w:trPr>
          <w:trHeight w:val="20"/>
        </w:trPr>
        <w:tc>
          <w:tcPr>
            <w:tcW w:w="1689" w:type="pct"/>
            <w:tcBorders>
              <w:top w:val="nil"/>
              <w:left w:val="nil"/>
              <w:bottom w:val="single" w:sz="4" w:space="0" w:color="auto"/>
              <w:right w:val="nil"/>
            </w:tcBorders>
            <w:shd w:val="clear" w:color="auto" w:fill="auto"/>
            <w:noWrap/>
            <w:vAlign w:val="bottom"/>
            <w:hideMark/>
          </w:tcPr>
          <w:p w14:paraId="0102558A" w14:textId="77777777" w:rsidR="00A26E25" w:rsidRPr="008669C3" w:rsidRDefault="00A26E25" w:rsidP="00A26E25">
            <w:pPr>
              <w:rPr>
                <w:color w:val="000000"/>
                <w:sz w:val="22"/>
                <w:szCs w:val="22"/>
              </w:rPr>
            </w:pPr>
            <w:r w:rsidRPr="008669C3">
              <w:rPr>
                <w:color w:val="000000"/>
                <w:sz w:val="22"/>
                <w:szCs w:val="22"/>
              </w:rPr>
              <w:t> </w:t>
            </w:r>
          </w:p>
        </w:tc>
        <w:tc>
          <w:tcPr>
            <w:tcW w:w="526" w:type="pct"/>
            <w:tcBorders>
              <w:top w:val="nil"/>
              <w:left w:val="nil"/>
              <w:bottom w:val="single" w:sz="4" w:space="0" w:color="auto"/>
              <w:right w:val="nil"/>
            </w:tcBorders>
            <w:shd w:val="clear" w:color="auto" w:fill="auto"/>
            <w:noWrap/>
            <w:vAlign w:val="bottom"/>
            <w:hideMark/>
          </w:tcPr>
          <w:p w14:paraId="51984BD3" w14:textId="77777777" w:rsidR="00A26E25" w:rsidRPr="008669C3" w:rsidRDefault="00A26E25" w:rsidP="00A26E25">
            <w:pPr>
              <w:jc w:val="center"/>
              <w:rPr>
                <w:color w:val="000000"/>
                <w:sz w:val="22"/>
                <w:szCs w:val="22"/>
              </w:rPr>
            </w:pPr>
            <w:r w:rsidRPr="008669C3">
              <w:rPr>
                <w:color w:val="000000"/>
                <w:sz w:val="22"/>
                <w:szCs w:val="22"/>
              </w:rPr>
              <w:t>(1)</w:t>
            </w:r>
          </w:p>
        </w:tc>
        <w:tc>
          <w:tcPr>
            <w:tcW w:w="544" w:type="pct"/>
            <w:tcBorders>
              <w:top w:val="nil"/>
              <w:left w:val="nil"/>
              <w:bottom w:val="single" w:sz="4" w:space="0" w:color="auto"/>
              <w:right w:val="nil"/>
            </w:tcBorders>
            <w:shd w:val="clear" w:color="auto" w:fill="auto"/>
            <w:noWrap/>
            <w:vAlign w:val="bottom"/>
            <w:hideMark/>
          </w:tcPr>
          <w:p w14:paraId="5AA1BC70" w14:textId="77777777" w:rsidR="00A26E25" w:rsidRPr="008669C3" w:rsidRDefault="00A26E25" w:rsidP="00A26E25">
            <w:pPr>
              <w:jc w:val="center"/>
              <w:rPr>
                <w:color w:val="000000"/>
                <w:sz w:val="22"/>
                <w:szCs w:val="22"/>
              </w:rPr>
            </w:pPr>
            <w:r w:rsidRPr="008669C3">
              <w:rPr>
                <w:color w:val="000000"/>
                <w:sz w:val="22"/>
                <w:szCs w:val="22"/>
              </w:rPr>
              <w:t>(2)</w:t>
            </w:r>
          </w:p>
        </w:tc>
        <w:tc>
          <w:tcPr>
            <w:tcW w:w="103" w:type="pct"/>
            <w:tcBorders>
              <w:top w:val="nil"/>
              <w:left w:val="nil"/>
              <w:bottom w:val="single" w:sz="4" w:space="0" w:color="auto"/>
              <w:right w:val="nil"/>
            </w:tcBorders>
            <w:shd w:val="clear" w:color="auto" w:fill="auto"/>
            <w:noWrap/>
            <w:vAlign w:val="bottom"/>
            <w:hideMark/>
          </w:tcPr>
          <w:p w14:paraId="09C6F161" w14:textId="77777777" w:rsidR="00A26E25" w:rsidRPr="008669C3" w:rsidRDefault="00A26E25" w:rsidP="00A26E25">
            <w:pPr>
              <w:jc w:val="center"/>
              <w:rPr>
                <w:color w:val="000000"/>
                <w:sz w:val="22"/>
                <w:szCs w:val="22"/>
              </w:rPr>
            </w:pPr>
            <w:r w:rsidRPr="008669C3">
              <w:rPr>
                <w:color w:val="000000"/>
                <w:sz w:val="22"/>
                <w:szCs w:val="22"/>
              </w:rPr>
              <w:t> </w:t>
            </w:r>
          </w:p>
        </w:tc>
        <w:tc>
          <w:tcPr>
            <w:tcW w:w="559" w:type="pct"/>
            <w:tcBorders>
              <w:top w:val="nil"/>
              <w:left w:val="nil"/>
              <w:bottom w:val="single" w:sz="4" w:space="0" w:color="auto"/>
              <w:right w:val="nil"/>
            </w:tcBorders>
            <w:shd w:val="clear" w:color="auto" w:fill="auto"/>
            <w:noWrap/>
            <w:vAlign w:val="bottom"/>
            <w:hideMark/>
          </w:tcPr>
          <w:p w14:paraId="3026BDCD" w14:textId="77777777" w:rsidR="00A26E25" w:rsidRPr="008669C3" w:rsidRDefault="00A26E25" w:rsidP="00A26E25">
            <w:pPr>
              <w:jc w:val="center"/>
              <w:rPr>
                <w:color w:val="000000"/>
                <w:sz w:val="22"/>
                <w:szCs w:val="22"/>
              </w:rPr>
            </w:pPr>
            <w:r w:rsidRPr="008669C3">
              <w:rPr>
                <w:color w:val="000000"/>
                <w:sz w:val="22"/>
                <w:szCs w:val="22"/>
              </w:rPr>
              <w:t>(3)</w:t>
            </w:r>
          </w:p>
        </w:tc>
        <w:tc>
          <w:tcPr>
            <w:tcW w:w="560" w:type="pct"/>
            <w:tcBorders>
              <w:top w:val="nil"/>
              <w:left w:val="nil"/>
              <w:bottom w:val="single" w:sz="4" w:space="0" w:color="auto"/>
              <w:right w:val="nil"/>
            </w:tcBorders>
            <w:shd w:val="clear" w:color="auto" w:fill="auto"/>
            <w:noWrap/>
            <w:vAlign w:val="bottom"/>
            <w:hideMark/>
          </w:tcPr>
          <w:p w14:paraId="594C37B7" w14:textId="77777777" w:rsidR="00A26E25" w:rsidRPr="008669C3" w:rsidRDefault="00A26E25" w:rsidP="00A26E25">
            <w:pPr>
              <w:jc w:val="center"/>
              <w:rPr>
                <w:color w:val="000000"/>
                <w:sz w:val="22"/>
                <w:szCs w:val="22"/>
              </w:rPr>
            </w:pPr>
            <w:r w:rsidRPr="008669C3">
              <w:rPr>
                <w:color w:val="000000"/>
                <w:sz w:val="22"/>
                <w:szCs w:val="22"/>
              </w:rPr>
              <w:t>(4)</w:t>
            </w:r>
          </w:p>
        </w:tc>
        <w:tc>
          <w:tcPr>
            <w:tcW w:w="103" w:type="pct"/>
            <w:tcBorders>
              <w:top w:val="nil"/>
              <w:left w:val="nil"/>
              <w:bottom w:val="single" w:sz="4" w:space="0" w:color="auto"/>
              <w:right w:val="nil"/>
            </w:tcBorders>
            <w:shd w:val="clear" w:color="auto" w:fill="auto"/>
            <w:noWrap/>
            <w:vAlign w:val="bottom"/>
            <w:hideMark/>
          </w:tcPr>
          <w:p w14:paraId="5C0243F1" w14:textId="77777777" w:rsidR="00A26E25" w:rsidRPr="008669C3" w:rsidRDefault="00A26E25" w:rsidP="00A26E25">
            <w:pPr>
              <w:jc w:val="center"/>
              <w:rPr>
                <w:color w:val="000000"/>
                <w:sz w:val="22"/>
                <w:szCs w:val="22"/>
              </w:rPr>
            </w:pPr>
            <w:r w:rsidRPr="008669C3">
              <w:rPr>
                <w:color w:val="000000"/>
                <w:sz w:val="22"/>
                <w:szCs w:val="22"/>
              </w:rPr>
              <w:t> </w:t>
            </w:r>
          </w:p>
        </w:tc>
        <w:tc>
          <w:tcPr>
            <w:tcW w:w="416" w:type="pct"/>
            <w:tcBorders>
              <w:top w:val="nil"/>
              <w:left w:val="nil"/>
              <w:bottom w:val="single" w:sz="4" w:space="0" w:color="auto"/>
              <w:right w:val="nil"/>
            </w:tcBorders>
            <w:shd w:val="clear" w:color="auto" w:fill="auto"/>
            <w:noWrap/>
            <w:vAlign w:val="bottom"/>
            <w:hideMark/>
          </w:tcPr>
          <w:p w14:paraId="5DF553EF" w14:textId="77777777" w:rsidR="00A26E25" w:rsidRPr="008669C3" w:rsidRDefault="00A26E25" w:rsidP="00A26E25">
            <w:pPr>
              <w:jc w:val="center"/>
              <w:rPr>
                <w:color w:val="000000"/>
                <w:sz w:val="22"/>
                <w:szCs w:val="22"/>
              </w:rPr>
            </w:pPr>
            <w:r w:rsidRPr="008669C3">
              <w:rPr>
                <w:color w:val="000000"/>
                <w:sz w:val="22"/>
                <w:szCs w:val="22"/>
              </w:rPr>
              <w:t>(5)</w:t>
            </w:r>
          </w:p>
        </w:tc>
        <w:tc>
          <w:tcPr>
            <w:tcW w:w="500" w:type="pct"/>
            <w:tcBorders>
              <w:top w:val="nil"/>
              <w:left w:val="nil"/>
              <w:bottom w:val="single" w:sz="4" w:space="0" w:color="auto"/>
              <w:right w:val="nil"/>
            </w:tcBorders>
            <w:shd w:val="clear" w:color="auto" w:fill="auto"/>
            <w:noWrap/>
            <w:vAlign w:val="bottom"/>
            <w:hideMark/>
          </w:tcPr>
          <w:p w14:paraId="27A1DA6F" w14:textId="77777777" w:rsidR="00A26E25" w:rsidRPr="008669C3" w:rsidRDefault="00A26E25" w:rsidP="00A26E25">
            <w:pPr>
              <w:jc w:val="center"/>
              <w:rPr>
                <w:color w:val="000000"/>
                <w:sz w:val="22"/>
                <w:szCs w:val="22"/>
              </w:rPr>
            </w:pPr>
            <w:r w:rsidRPr="008669C3">
              <w:rPr>
                <w:color w:val="000000"/>
                <w:sz w:val="22"/>
                <w:szCs w:val="22"/>
              </w:rPr>
              <w:t>(6)</w:t>
            </w:r>
          </w:p>
        </w:tc>
      </w:tr>
      <w:tr w:rsidR="00142C1A" w:rsidRPr="008669C3" w14:paraId="14CA976E" w14:textId="77777777" w:rsidTr="00142C1A">
        <w:trPr>
          <w:trHeight w:val="20"/>
        </w:trPr>
        <w:tc>
          <w:tcPr>
            <w:tcW w:w="1689" w:type="pct"/>
            <w:tcBorders>
              <w:top w:val="nil"/>
              <w:left w:val="nil"/>
              <w:bottom w:val="nil"/>
              <w:right w:val="nil"/>
            </w:tcBorders>
            <w:shd w:val="clear" w:color="auto" w:fill="auto"/>
            <w:noWrap/>
            <w:vAlign w:val="bottom"/>
            <w:hideMark/>
          </w:tcPr>
          <w:p w14:paraId="11B11290" w14:textId="77777777" w:rsidR="00A26E25" w:rsidRPr="008669C3" w:rsidRDefault="00A26E25" w:rsidP="00A26E25">
            <w:pPr>
              <w:rPr>
                <w:color w:val="000000"/>
                <w:sz w:val="22"/>
                <w:szCs w:val="22"/>
              </w:rPr>
            </w:pPr>
            <w:r w:rsidRPr="008669C3">
              <w:rPr>
                <w:color w:val="000000"/>
                <w:sz w:val="22"/>
                <w:szCs w:val="22"/>
              </w:rPr>
              <w:t>CDS trading</w:t>
            </w:r>
          </w:p>
        </w:tc>
        <w:tc>
          <w:tcPr>
            <w:tcW w:w="526" w:type="pct"/>
            <w:tcBorders>
              <w:top w:val="single" w:sz="4" w:space="0" w:color="auto"/>
              <w:left w:val="nil"/>
              <w:bottom w:val="nil"/>
              <w:right w:val="nil"/>
            </w:tcBorders>
            <w:shd w:val="clear" w:color="auto" w:fill="auto"/>
            <w:noWrap/>
            <w:vAlign w:val="bottom"/>
            <w:hideMark/>
          </w:tcPr>
          <w:p w14:paraId="5121CBA5" w14:textId="77445A98" w:rsidR="00A26E25" w:rsidRPr="008669C3" w:rsidRDefault="00A26E25" w:rsidP="00142C1A">
            <w:pPr>
              <w:jc w:val="center"/>
              <w:rPr>
                <w:sz w:val="22"/>
                <w:szCs w:val="22"/>
              </w:rPr>
            </w:pPr>
            <w:r w:rsidRPr="008669C3">
              <w:rPr>
                <w:sz w:val="22"/>
                <w:szCs w:val="22"/>
              </w:rPr>
              <w:t>0.</w:t>
            </w:r>
            <w:r w:rsidR="00142C1A" w:rsidRPr="008669C3">
              <w:rPr>
                <w:sz w:val="22"/>
                <w:szCs w:val="22"/>
              </w:rPr>
              <w:t>3</w:t>
            </w:r>
            <w:r w:rsidRPr="008669C3">
              <w:rPr>
                <w:sz w:val="22"/>
                <w:szCs w:val="22"/>
              </w:rPr>
              <w:t>35</w:t>
            </w:r>
            <w:r w:rsidR="00F226A3" w:rsidRPr="008669C3">
              <w:rPr>
                <w:sz w:val="20"/>
                <w:szCs w:val="22"/>
              </w:rPr>
              <w:t>*</w:t>
            </w:r>
          </w:p>
        </w:tc>
        <w:tc>
          <w:tcPr>
            <w:tcW w:w="544" w:type="pct"/>
            <w:tcBorders>
              <w:top w:val="nil"/>
              <w:left w:val="nil"/>
              <w:bottom w:val="nil"/>
              <w:right w:val="nil"/>
            </w:tcBorders>
            <w:shd w:val="clear" w:color="auto" w:fill="auto"/>
            <w:noWrap/>
            <w:vAlign w:val="bottom"/>
            <w:hideMark/>
          </w:tcPr>
          <w:p w14:paraId="188E4EA9" w14:textId="7A01EB50" w:rsidR="00A26E25" w:rsidRPr="008669C3" w:rsidRDefault="00A26E25" w:rsidP="00142C1A">
            <w:pPr>
              <w:jc w:val="center"/>
              <w:rPr>
                <w:sz w:val="22"/>
                <w:szCs w:val="22"/>
              </w:rPr>
            </w:pPr>
            <w:r w:rsidRPr="008669C3">
              <w:rPr>
                <w:sz w:val="22"/>
                <w:szCs w:val="22"/>
              </w:rPr>
              <w:t>0.</w:t>
            </w:r>
            <w:r w:rsidR="00142C1A" w:rsidRPr="008669C3">
              <w:rPr>
                <w:sz w:val="22"/>
                <w:szCs w:val="22"/>
              </w:rPr>
              <w:t>3</w:t>
            </w:r>
            <w:r w:rsidRPr="008669C3">
              <w:rPr>
                <w:sz w:val="22"/>
                <w:szCs w:val="22"/>
              </w:rPr>
              <w:t>70</w:t>
            </w:r>
            <w:r w:rsidR="00142C1A" w:rsidRPr="008669C3">
              <w:rPr>
                <w:sz w:val="20"/>
                <w:szCs w:val="22"/>
              </w:rPr>
              <w:t>***</w:t>
            </w:r>
          </w:p>
        </w:tc>
        <w:tc>
          <w:tcPr>
            <w:tcW w:w="103" w:type="pct"/>
            <w:tcBorders>
              <w:top w:val="nil"/>
              <w:left w:val="nil"/>
              <w:bottom w:val="nil"/>
              <w:right w:val="nil"/>
            </w:tcBorders>
            <w:shd w:val="clear" w:color="auto" w:fill="auto"/>
            <w:noWrap/>
            <w:vAlign w:val="bottom"/>
            <w:hideMark/>
          </w:tcPr>
          <w:p w14:paraId="266C7B71" w14:textId="77777777" w:rsidR="00A26E25" w:rsidRPr="008669C3" w:rsidRDefault="00A26E25" w:rsidP="00A26E25">
            <w:pPr>
              <w:jc w:val="center"/>
              <w:rPr>
                <w:sz w:val="22"/>
                <w:szCs w:val="22"/>
              </w:rPr>
            </w:pPr>
            <w:r w:rsidRPr="008669C3">
              <w:rPr>
                <w:sz w:val="22"/>
                <w:szCs w:val="22"/>
              </w:rPr>
              <w:t> </w:t>
            </w:r>
          </w:p>
        </w:tc>
        <w:tc>
          <w:tcPr>
            <w:tcW w:w="559" w:type="pct"/>
            <w:tcBorders>
              <w:top w:val="nil"/>
              <w:left w:val="nil"/>
              <w:bottom w:val="nil"/>
              <w:right w:val="nil"/>
            </w:tcBorders>
            <w:shd w:val="clear" w:color="auto" w:fill="auto"/>
            <w:noWrap/>
            <w:vAlign w:val="bottom"/>
            <w:hideMark/>
          </w:tcPr>
          <w:p w14:paraId="2AC873EC" w14:textId="4DE85B7F" w:rsidR="00A26E25" w:rsidRPr="008669C3" w:rsidRDefault="00A26E25" w:rsidP="00270B01">
            <w:pPr>
              <w:jc w:val="center"/>
              <w:rPr>
                <w:sz w:val="22"/>
                <w:szCs w:val="22"/>
              </w:rPr>
            </w:pPr>
            <w:r w:rsidRPr="008669C3">
              <w:rPr>
                <w:sz w:val="22"/>
                <w:szCs w:val="22"/>
              </w:rPr>
              <w:t>0.</w:t>
            </w:r>
            <w:r w:rsidR="00142C1A" w:rsidRPr="008669C3">
              <w:rPr>
                <w:sz w:val="22"/>
                <w:szCs w:val="22"/>
              </w:rPr>
              <w:t>1</w:t>
            </w:r>
            <w:r w:rsidR="00270B01" w:rsidRPr="008669C3">
              <w:rPr>
                <w:sz w:val="22"/>
                <w:szCs w:val="22"/>
              </w:rPr>
              <w:t>4</w:t>
            </w:r>
            <w:r w:rsidRPr="008669C3">
              <w:rPr>
                <w:sz w:val="22"/>
                <w:szCs w:val="22"/>
              </w:rPr>
              <w:t>9</w:t>
            </w:r>
          </w:p>
        </w:tc>
        <w:tc>
          <w:tcPr>
            <w:tcW w:w="560" w:type="pct"/>
            <w:tcBorders>
              <w:top w:val="nil"/>
              <w:left w:val="nil"/>
              <w:bottom w:val="nil"/>
              <w:right w:val="nil"/>
            </w:tcBorders>
            <w:shd w:val="clear" w:color="auto" w:fill="auto"/>
            <w:noWrap/>
            <w:vAlign w:val="bottom"/>
            <w:hideMark/>
          </w:tcPr>
          <w:p w14:paraId="6713DE5A" w14:textId="77777777" w:rsidR="00A26E25" w:rsidRPr="008669C3" w:rsidRDefault="00A26E25" w:rsidP="00A26E25">
            <w:pPr>
              <w:jc w:val="center"/>
              <w:rPr>
                <w:sz w:val="22"/>
                <w:szCs w:val="22"/>
              </w:rPr>
            </w:pPr>
            <w:r w:rsidRPr="008669C3">
              <w:rPr>
                <w:sz w:val="22"/>
                <w:szCs w:val="22"/>
              </w:rPr>
              <w:t>0.112</w:t>
            </w:r>
          </w:p>
        </w:tc>
        <w:tc>
          <w:tcPr>
            <w:tcW w:w="103" w:type="pct"/>
            <w:tcBorders>
              <w:top w:val="nil"/>
              <w:left w:val="nil"/>
              <w:bottom w:val="nil"/>
              <w:right w:val="nil"/>
            </w:tcBorders>
            <w:shd w:val="clear" w:color="auto" w:fill="auto"/>
            <w:noWrap/>
            <w:vAlign w:val="bottom"/>
            <w:hideMark/>
          </w:tcPr>
          <w:p w14:paraId="004616B0" w14:textId="77777777" w:rsidR="00A26E25" w:rsidRPr="008669C3" w:rsidRDefault="00A26E25" w:rsidP="00A26E25">
            <w:pPr>
              <w:jc w:val="center"/>
              <w:rPr>
                <w:sz w:val="22"/>
                <w:szCs w:val="22"/>
              </w:rPr>
            </w:pPr>
            <w:r w:rsidRPr="008669C3">
              <w:rPr>
                <w:sz w:val="22"/>
                <w:szCs w:val="22"/>
              </w:rPr>
              <w:t> </w:t>
            </w:r>
          </w:p>
        </w:tc>
        <w:tc>
          <w:tcPr>
            <w:tcW w:w="416" w:type="pct"/>
            <w:tcBorders>
              <w:top w:val="nil"/>
              <w:left w:val="nil"/>
              <w:bottom w:val="nil"/>
              <w:right w:val="nil"/>
            </w:tcBorders>
            <w:shd w:val="clear" w:color="auto" w:fill="auto"/>
            <w:noWrap/>
            <w:vAlign w:val="bottom"/>
            <w:hideMark/>
          </w:tcPr>
          <w:p w14:paraId="1BE1184F" w14:textId="77777777" w:rsidR="00A26E25" w:rsidRPr="008669C3" w:rsidRDefault="00A26E25" w:rsidP="00A26E25">
            <w:pPr>
              <w:jc w:val="center"/>
              <w:rPr>
                <w:sz w:val="22"/>
                <w:szCs w:val="22"/>
              </w:rPr>
            </w:pPr>
            <w:r w:rsidRPr="008669C3">
              <w:rPr>
                <w:sz w:val="22"/>
                <w:szCs w:val="22"/>
              </w:rPr>
              <w:t>0.327</w:t>
            </w:r>
            <w:r w:rsidRPr="008669C3">
              <w:rPr>
                <w:sz w:val="20"/>
                <w:szCs w:val="22"/>
              </w:rPr>
              <w:t>**</w:t>
            </w:r>
          </w:p>
        </w:tc>
        <w:tc>
          <w:tcPr>
            <w:tcW w:w="500" w:type="pct"/>
            <w:tcBorders>
              <w:top w:val="nil"/>
              <w:left w:val="nil"/>
              <w:bottom w:val="nil"/>
              <w:right w:val="nil"/>
            </w:tcBorders>
            <w:shd w:val="clear" w:color="auto" w:fill="auto"/>
            <w:noWrap/>
            <w:vAlign w:val="bottom"/>
            <w:hideMark/>
          </w:tcPr>
          <w:p w14:paraId="256E5549" w14:textId="77777777" w:rsidR="00A26E25" w:rsidRPr="008669C3" w:rsidRDefault="00A26E25" w:rsidP="00A26E25">
            <w:pPr>
              <w:jc w:val="center"/>
              <w:rPr>
                <w:sz w:val="22"/>
                <w:szCs w:val="22"/>
              </w:rPr>
            </w:pPr>
            <w:r w:rsidRPr="008669C3">
              <w:rPr>
                <w:sz w:val="22"/>
                <w:szCs w:val="22"/>
              </w:rPr>
              <w:t>0.290</w:t>
            </w:r>
            <w:r w:rsidRPr="008669C3">
              <w:rPr>
                <w:sz w:val="20"/>
                <w:szCs w:val="22"/>
              </w:rPr>
              <w:t>***</w:t>
            </w:r>
          </w:p>
        </w:tc>
      </w:tr>
      <w:tr w:rsidR="00142C1A" w:rsidRPr="008669C3" w14:paraId="0BB16BF1" w14:textId="77777777" w:rsidTr="00142C1A">
        <w:trPr>
          <w:trHeight w:val="20"/>
        </w:trPr>
        <w:tc>
          <w:tcPr>
            <w:tcW w:w="1689" w:type="pct"/>
            <w:tcBorders>
              <w:top w:val="nil"/>
              <w:left w:val="nil"/>
              <w:bottom w:val="nil"/>
              <w:right w:val="nil"/>
            </w:tcBorders>
            <w:shd w:val="clear" w:color="auto" w:fill="auto"/>
            <w:noWrap/>
            <w:vAlign w:val="bottom"/>
            <w:hideMark/>
          </w:tcPr>
          <w:p w14:paraId="3B201C7F" w14:textId="77777777" w:rsidR="00A26E25" w:rsidRPr="008669C3" w:rsidRDefault="00A26E25" w:rsidP="00A26E25">
            <w:pPr>
              <w:jc w:val="center"/>
              <w:rPr>
                <w:sz w:val="22"/>
                <w:szCs w:val="22"/>
              </w:rPr>
            </w:pPr>
          </w:p>
        </w:tc>
        <w:tc>
          <w:tcPr>
            <w:tcW w:w="526" w:type="pct"/>
            <w:tcBorders>
              <w:top w:val="nil"/>
              <w:left w:val="nil"/>
              <w:bottom w:val="nil"/>
              <w:right w:val="nil"/>
            </w:tcBorders>
            <w:shd w:val="clear" w:color="auto" w:fill="auto"/>
            <w:noWrap/>
            <w:vAlign w:val="bottom"/>
            <w:hideMark/>
          </w:tcPr>
          <w:p w14:paraId="59F1FD31" w14:textId="77777777" w:rsidR="00A26E25" w:rsidRPr="008669C3" w:rsidRDefault="00A26E25" w:rsidP="00A26E25">
            <w:pPr>
              <w:jc w:val="center"/>
              <w:rPr>
                <w:sz w:val="22"/>
                <w:szCs w:val="22"/>
              </w:rPr>
            </w:pPr>
            <w:r w:rsidRPr="008669C3">
              <w:rPr>
                <w:sz w:val="22"/>
                <w:szCs w:val="22"/>
              </w:rPr>
              <w:t>(0.186)</w:t>
            </w:r>
          </w:p>
        </w:tc>
        <w:tc>
          <w:tcPr>
            <w:tcW w:w="544" w:type="pct"/>
            <w:tcBorders>
              <w:top w:val="nil"/>
              <w:left w:val="nil"/>
              <w:bottom w:val="nil"/>
              <w:right w:val="nil"/>
            </w:tcBorders>
            <w:shd w:val="clear" w:color="auto" w:fill="auto"/>
            <w:noWrap/>
            <w:vAlign w:val="bottom"/>
            <w:hideMark/>
          </w:tcPr>
          <w:p w14:paraId="338B1E76" w14:textId="77777777" w:rsidR="00A26E25" w:rsidRPr="008669C3" w:rsidRDefault="00A26E25" w:rsidP="00A26E25">
            <w:pPr>
              <w:jc w:val="center"/>
              <w:rPr>
                <w:sz w:val="22"/>
                <w:szCs w:val="22"/>
              </w:rPr>
            </w:pPr>
            <w:r w:rsidRPr="008669C3">
              <w:rPr>
                <w:sz w:val="22"/>
                <w:szCs w:val="22"/>
              </w:rPr>
              <w:t>(0.148)</w:t>
            </w:r>
          </w:p>
        </w:tc>
        <w:tc>
          <w:tcPr>
            <w:tcW w:w="103" w:type="pct"/>
            <w:tcBorders>
              <w:top w:val="nil"/>
              <w:left w:val="nil"/>
              <w:bottom w:val="nil"/>
              <w:right w:val="nil"/>
            </w:tcBorders>
            <w:shd w:val="clear" w:color="auto" w:fill="auto"/>
            <w:noWrap/>
            <w:vAlign w:val="bottom"/>
            <w:hideMark/>
          </w:tcPr>
          <w:p w14:paraId="7B1C70A7" w14:textId="77777777" w:rsidR="00A26E25" w:rsidRPr="008669C3" w:rsidRDefault="00A26E25" w:rsidP="00A26E25">
            <w:pPr>
              <w:jc w:val="center"/>
              <w:rPr>
                <w:sz w:val="22"/>
                <w:szCs w:val="22"/>
              </w:rPr>
            </w:pPr>
          </w:p>
        </w:tc>
        <w:tc>
          <w:tcPr>
            <w:tcW w:w="559" w:type="pct"/>
            <w:tcBorders>
              <w:top w:val="nil"/>
              <w:left w:val="nil"/>
              <w:bottom w:val="nil"/>
              <w:right w:val="nil"/>
            </w:tcBorders>
            <w:shd w:val="clear" w:color="auto" w:fill="auto"/>
            <w:noWrap/>
            <w:vAlign w:val="bottom"/>
            <w:hideMark/>
          </w:tcPr>
          <w:p w14:paraId="0D1AA411" w14:textId="77777777" w:rsidR="00A26E25" w:rsidRPr="008669C3" w:rsidRDefault="00A26E25" w:rsidP="00A26E25">
            <w:pPr>
              <w:jc w:val="center"/>
              <w:rPr>
                <w:sz w:val="22"/>
                <w:szCs w:val="22"/>
              </w:rPr>
            </w:pPr>
            <w:r w:rsidRPr="008669C3">
              <w:rPr>
                <w:sz w:val="22"/>
                <w:szCs w:val="22"/>
              </w:rPr>
              <w:t>(0.228)</w:t>
            </w:r>
          </w:p>
        </w:tc>
        <w:tc>
          <w:tcPr>
            <w:tcW w:w="560" w:type="pct"/>
            <w:tcBorders>
              <w:top w:val="nil"/>
              <w:left w:val="nil"/>
              <w:bottom w:val="nil"/>
              <w:right w:val="nil"/>
            </w:tcBorders>
            <w:shd w:val="clear" w:color="auto" w:fill="auto"/>
            <w:noWrap/>
            <w:vAlign w:val="bottom"/>
            <w:hideMark/>
          </w:tcPr>
          <w:p w14:paraId="5214DB25" w14:textId="77777777" w:rsidR="00A26E25" w:rsidRPr="008669C3" w:rsidRDefault="00A26E25" w:rsidP="00A26E25">
            <w:pPr>
              <w:jc w:val="center"/>
              <w:rPr>
                <w:sz w:val="22"/>
                <w:szCs w:val="22"/>
              </w:rPr>
            </w:pPr>
            <w:r w:rsidRPr="008669C3">
              <w:rPr>
                <w:sz w:val="22"/>
                <w:szCs w:val="22"/>
              </w:rPr>
              <w:t>(0.170)</w:t>
            </w:r>
          </w:p>
        </w:tc>
        <w:tc>
          <w:tcPr>
            <w:tcW w:w="103" w:type="pct"/>
            <w:tcBorders>
              <w:top w:val="nil"/>
              <w:left w:val="nil"/>
              <w:bottom w:val="nil"/>
              <w:right w:val="nil"/>
            </w:tcBorders>
            <w:shd w:val="clear" w:color="auto" w:fill="auto"/>
            <w:noWrap/>
            <w:vAlign w:val="bottom"/>
            <w:hideMark/>
          </w:tcPr>
          <w:p w14:paraId="0527F269" w14:textId="77777777" w:rsidR="00A26E25" w:rsidRPr="008669C3" w:rsidRDefault="00A26E25" w:rsidP="00A26E25">
            <w:pPr>
              <w:jc w:val="center"/>
              <w:rPr>
                <w:sz w:val="22"/>
                <w:szCs w:val="22"/>
              </w:rPr>
            </w:pPr>
          </w:p>
        </w:tc>
        <w:tc>
          <w:tcPr>
            <w:tcW w:w="416" w:type="pct"/>
            <w:tcBorders>
              <w:top w:val="nil"/>
              <w:left w:val="nil"/>
              <w:bottom w:val="nil"/>
              <w:right w:val="nil"/>
            </w:tcBorders>
            <w:shd w:val="clear" w:color="auto" w:fill="auto"/>
            <w:noWrap/>
            <w:vAlign w:val="bottom"/>
            <w:hideMark/>
          </w:tcPr>
          <w:p w14:paraId="688B630F" w14:textId="77777777" w:rsidR="00A26E25" w:rsidRPr="008669C3" w:rsidRDefault="00A26E25" w:rsidP="00A26E25">
            <w:pPr>
              <w:jc w:val="center"/>
              <w:rPr>
                <w:sz w:val="22"/>
                <w:szCs w:val="22"/>
              </w:rPr>
            </w:pPr>
            <w:r w:rsidRPr="008669C3">
              <w:rPr>
                <w:sz w:val="22"/>
                <w:szCs w:val="22"/>
              </w:rPr>
              <w:t>(0.137)</w:t>
            </w:r>
          </w:p>
        </w:tc>
        <w:tc>
          <w:tcPr>
            <w:tcW w:w="500" w:type="pct"/>
            <w:tcBorders>
              <w:top w:val="nil"/>
              <w:left w:val="nil"/>
              <w:bottom w:val="nil"/>
              <w:right w:val="nil"/>
            </w:tcBorders>
            <w:shd w:val="clear" w:color="auto" w:fill="auto"/>
            <w:noWrap/>
            <w:vAlign w:val="bottom"/>
            <w:hideMark/>
          </w:tcPr>
          <w:p w14:paraId="46642A23" w14:textId="77777777" w:rsidR="00A26E25" w:rsidRPr="008669C3" w:rsidRDefault="00A26E25" w:rsidP="00A26E25">
            <w:pPr>
              <w:jc w:val="center"/>
              <w:rPr>
                <w:sz w:val="22"/>
                <w:szCs w:val="22"/>
              </w:rPr>
            </w:pPr>
            <w:r w:rsidRPr="008669C3">
              <w:rPr>
                <w:sz w:val="22"/>
                <w:szCs w:val="22"/>
              </w:rPr>
              <w:t>(0.110)</w:t>
            </w:r>
          </w:p>
        </w:tc>
      </w:tr>
      <w:tr w:rsidR="00142C1A" w:rsidRPr="008669C3" w14:paraId="5B70913D" w14:textId="77777777" w:rsidTr="00142C1A">
        <w:trPr>
          <w:trHeight w:val="20"/>
        </w:trPr>
        <w:tc>
          <w:tcPr>
            <w:tcW w:w="1689" w:type="pct"/>
            <w:tcBorders>
              <w:top w:val="nil"/>
              <w:left w:val="nil"/>
              <w:bottom w:val="nil"/>
              <w:right w:val="nil"/>
            </w:tcBorders>
            <w:shd w:val="clear" w:color="auto" w:fill="auto"/>
            <w:noWrap/>
            <w:vAlign w:val="bottom"/>
            <w:hideMark/>
          </w:tcPr>
          <w:p w14:paraId="3086AD41" w14:textId="2108F0CB" w:rsidR="00142C1A" w:rsidRPr="008669C3" w:rsidRDefault="00142C1A" w:rsidP="00142C1A">
            <w:pPr>
              <w:rPr>
                <w:color w:val="000000"/>
                <w:sz w:val="22"/>
                <w:szCs w:val="22"/>
              </w:rPr>
            </w:pPr>
            <w:r w:rsidRPr="008669C3">
              <w:rPr>
                <w:color w:val="000000"/>
                <w:sz w:val="22"/>
                <w:szCs w:val="22"/>
              </w:rPr>
              <w:t>CDS trading × KZ index</w:t>
            </w:r>
          </w:p>
        </w:tc>
        <w:tc>
          <w:tcPr>
            <w:tcW w:w="526" w:type="pct"/>
            <w:tcBorders>
              <w:top w:val="nil"/>
              <w:left w:val="nil"/>
              <w:bottom w:val="nil"/>
              <w:right w:val="nil"/>
            </w:tcBorders>
            <w:shd w:val="clear" w:color="auto" w:fill="auto"/>
            <w:noWrap/>
            <w:vAlign w:val="bottom"/>
            <w:hideMark/>
          </w:tcPr>
          <w:p w14:paraId="39B17300" w14:textId="4B492A0C" w:rsidR="00142C1A" w:rsidRPr="008669C3" w:rsidRDefault="00142C1A" w:rsidP="00142C1A">
            <w:pPr>
              <w:jc w:val="center"/>
              <w:rPr>
                <w:color w:val="000000"/>
                <w:sz w:val="22"/>
                <w:szCs w:val="22"/>
              </w:rPr>
            </w:pPr>
            <w:r w:rsidRPr="008669C3">
              <w:rPr>
                <w:iCs/>
                <w:sz w:val="22"/>
                <w:szCs w:val="22"/>
              </w:rPr>
              <w:t>—</w:t>
            </w:r>
          </w:p>
        </w:tc>
        <w:tc>
          <w:tcPr>
            <w:tcW w:w="544" w:type="pct"/>
            <w:tcBorders>
              <w:top w:val="nil"/>
              <w:left w:val="nil"/>
              <w:bottom w:val="nil"/>
              <w:right w:val="nil"/>
            </w:tcBorders>
            <w:shd w:val="clear" w:color="auto" w:fill="auto"/>
            <w:noWrap/>
            <w:vAlign w:val="bottom"/>
            <w:hideMark/>
          </w:tcPr>
          <w:p w14:paraId="67959F6A" w14:textId="50DEF83B" w:rsidR="00142C1A" w:rsidRPr="008669C3" w:rsidRDefault="00142C1A" w:rsidP="00142C1A">
            <w:pPr>
              <w:jc w:val="center"/>
              <w:rPr>
                <w:sz w:val="22"/>
                <w:szCs w:val="22"/>
              </w:rPr>
            </w:pPr>
            <w:r w:rsidRPr="008669C3">
              <w:rPr>
                <w:iCs/>
                <w:sz w:val="22"/>
                <w:szCs w:val="22"/>
              </w:rPr>
              <w:t>—</w:t>
            </w:r>
          </w:p>
        </w:tc>
        <w:tc>
          <w:tcPr>
            <w:tcW w:w="103" w:type="pct"/>
            <w:tcBorders>
              <w:top w:val="nil"/>
              <w:left w:val="nil"/>
              <w:bottom w:val="nil"/>
              <w:right w:val="nil"/>
            </w:tcBorders>
            <w:shd w:val="clear" w:color="auto" w:fill="auto"/>
            <w:noWrap/>
            <w:vAlign w:val="bottom"/>
            <w:hideMark/>
          </w:tcPr>
          <w:p w14:paraId="72118C3B" w14:textId="77777777" w:rsidR="00142C1A" w:rsidRPr="008669C3" w:rsidRDefault="00142C1A" w:rsidP="00142C1A">
            <w:pPr>
              <w:jc w:val="center"/>
              <w:rPr>
                <w:sz w:val="22"/>
                <w:szCs w:val="22"/>
              </w:rPr>
            </w:pPr>
          </w:p>
        </w:tc>
        <w:tc>
          <w:tcPr>
            <w:tcW w:w="559" w:type="pct"/>
            <w:tcBorders>
              <w:top w:val="nil"/>
              <w:left w:val="nil"/>
              <w:bottom w:val="nil"/>
              <w:right w:val="nil"/>
            </w:tcBorders>
            <w:shd w:val="clear" w:color="auto" w:fill="auto"/>
            <w:noWrap/>
            <w:vAlign w:val="bottom"/>
            <w:hideMark/>
          </w:tcPr>
          <w:p w14:paraId="263DB4C3" w14:textId="6354FDD9" w:rsidR="00142C1A" w:rsidRPr="008669C3" w:rsidRDefault="00142C1A" w:rsidP="00142C1A">
            <w:pPr>
              <w:jc w:val="center"/>
              <w:rPr>
                <w:sz w:val="22"/>
                <w:szCs w:val="22"/>
              </w:rPr>
            </w:pPr>
            <w:r w:rsidRPr="008669C3">
              <w:rPr>
                <w:iCs/>
                <w:sz w:val="22"/>
                <w:szCs w:val="22"/>
              </w:rPr>
              <w:t>—</w:t>
            </w:r>
          </w:p>
        </w:tc>
        <w:tc>
          <w:tcPr>
            <w:tcW w:w="560" w:type="pct"/>
            <w:tcBorders>
              <w:top w:val="nil"/>
              <w:left w:val="nil"/>
              <w:bottom w:val="nil"/>
              <w:right w:val="nil"/>
            </w:tcBorders>
            <w:shd w:val="clear" w:color="auto" w:fill="auto"/>
            <w:noWrap/>
            <w:vAlign w:val="bottom"/>
            <w:hideMark/>
          </w:tcPr>
          <w:p w14:paraId="284C6419" w14:textId="4E9B5F0C" w:rsidR="00142C1A" w:rsidRPr="008669C3" w:rsidRDefault="00142C1A" w:rsidP="00142C1A">
            <w:pPr>
              <w:jc w:val="center"/>
              <w:rPr>
                <w:sz w:val="22"/>
                <w:szCs w:val="22"/>
              </w:rPr>
            </w:pPr>
            <w:r w:rsidRPr="008669C3">
              <w:rPr>
                <w:iCs/>
                <w:sz w:val="22"/>
                <w:szCs w:val="22"/>
              </w:rPr>
              <w:t>—</w:t>
            </w:r>
          </w:p>
        </w:tc>
        <w:tc>
          <w:tcPr>
            <w:tcW w:w="103" w:type="pct"/>
            <w:tcBorders>
              <w:top w:val="nil"/>
              <w:left w:val="nil"/>
              <w:bottom w:val="nil"/>
              <w:right w:val="nil"/>
            </w:tcBorders>
            <w:shd w:val="clear" w:color="auto" w:fill="auto"/>
            <w:noWrap/>
            <w:vAlign w:val="bottom"/>
            <w:hideMark/>
          </w:tcPr>
          <w:p w14:paraId="15A8E2F5" w14:textId="77777777" w:rsidR="00142C1A" w:rsidRPr="008669C3" w:rsidRDefault="00142C1A" w:rsidP="00142C1A">
            <w:pPr>
              <w:jc w:val="center"/>
              <w:rPr>
                <w:sz w:val="22"/>
                <w:szCs w:val="22"/>
              </w:rPr>
            </w:pPr>
          </w:p>
        </w:tc>
        <w:tc>
          <w:tcPr>
            <w:tcW w:w="416" w:type="pct"/>
            <w:tcBorders>
              <w:top w:val="nil"/>
              <w:left w:val="nil"/>
              <w:bottom w:val="nil"/>
              <w:right w:val="nil"/>
            </w:tcBorders>
            <w:shd w:val="clear" w:color="auto" w:fill="auto"/>
            <w:noWrap/>
            <w:vAlign w:val="bottom"/>
            <w:hideMark/>
          </w:tcPr>
          <w:p w14:paraId="0B179C9C" w14:textId="297DC2B6" w:rsidR="00142C1A" w:rsidRPr="008669C3" w:rsidRDefault="00142C1A" w:rsidP="00142C1A">
            <w:pPr>
              <w:jc w:val="center"/>
              <w:rPr>
                <w:sz w:val="22"/>
                <w:szCs w:val="22"/>
              </w:rPr>
            </w:pPr>
            <w:r w:rsidRPr="008669C3">
              <w:rPr>
                <w:sz w:val="22"/>
                <w:szCs w:val="22"/>
              </w:rPr>
              <w:t>0.005</w:t>
            </w:r>
            <w:r w:rsidRPr="008669C3">
              <w:rPr>
                <w:sz w:val="20"/>
                <w:szCs w:val="22"/>
              </w:rPr>
              <w:t>*</w:t>
            </w:r>
          </w:p>
        </w:tc>
        <w:tc>
          <w:tcPr>
            <w:tcW w:w="500" w:type="pct"/>
            <w:tcBorders>
              <w:top w:val="nil"/>
              <w:left w:val="nil"/>
              <w:bottom w:val="nil"/>
              <w:right w:val="nil"/>
            </w:tcBorders>
            <w:shd w:val="clear" w:color="auto" w:fill="auto"/>
            <w:noWrap/>
            <w:vAlign w:val="bottom"/>
            <w:hideMark/>
          </w:tcPr>
          <w:p w14:paraId="23DFCAB7" w14:textId="14E379DF" w:rsidR="00142C1A" w:rsidRPr="008669C3" w:rsidRDefault="00142C1A" w:rsidP="00142C1A">
            <w:pPr>
              <w:jc w:val="center"/>
              <w:rPr>
                <w:sz w:val="22"/>
                <w:szCs w:val="22"/>
              </w:rPr>
            </w:pPr>
            <w:r w:rsidRPr="008669C3">
              <w:rPr>
                <w:sz w:val="22"/>
                <w:szCs w:val="22"/>
              </w:rPr>
              <w:t>0.006</w:t>
            </w:r>
            <w:r w:rsidRPr="008669C3">
              <w:rPr>
                <w:sz w:val="20"/>
                <w:szCs w:val="22"/>
              </w:rPr>
              <w:t>**</w:t>
            </w:r>
          </w:p>
        </w:tc>
      </w:tr>
      <w:tr w:rsidR="00142C1A" w:rsidRPr="008669C3" w14:paraId="32871494" w14:textId="77777777" w:rsidTr="00142C1A">
        <w:trPr>
          <w:trHeight w:val="20"/>
        </w:trPr>
        <w:tc>
          <w:tcPr>
            <w:tcW w:w="1689" w:type="pct"/>
            <w:tcBorders>
              <w:top w:val="nil"/>
              <w:left w:val="nil"/>
              <w:bottom w:val="nil"/>
              <w:right w:val="nil"/>
            </w:tcBorders>
            <w:shd w:val="clear" w:color="auto" w:fill="auto"/>
            <w:noWrap/>
            <w:vAlign w:val="bottom"/>
            <w:hideMark/>
          </w:tcPr>
          <w:p w14:paraId="0880CB4C" w14:textId="77777777" w:rsidR="00142C1A" w:rsidRPr="008669C3" w:rsidRDefault="00142C1A" w:rsidP="00142C1A">
            <w:pPr>
              <w:jc w:val="center"/>
              <w:rPr>
                <w:sz w:val="22"/>
                <w:szCs w:val="22"/>
              </w:rPr>
            </w:pPr>
          </w:p>
        </w:tc>
        <w:tc>
          <w:tcPr>
            <w:tcW w:w="526" w:type="pct"/>
            <w:tcBorders>
              <w:top w:val="nil"/>
              <w:left w:val="nil"/>
              <w:bottom w:val="nil"/>
              <w:right w:val="nil"/>
            </w:tcBorders>
            <w:shd w:val="clear" w:color="auto" w:fill="auto"/>
            <w:noWrap/>
            <w:vAlign w:val="bottom"/>
            <w:hideMark/>
          </w:tcPr>
          <w:p w14:paraId="5003D8EF" w14:textId="77777777" w:rsidR="00142C1A" w:rsidRPr="008669C3" w:rsidRDefault="00142C1A" w:rsidP="00142C1A">
            <w:pPr>
              <w:rPr>
                <w:sz w:val="22"/>
                <w:szCs w:val="22"/>
              </w:rPr>
            </w:pPr>
          </w:p>
        </w:tc>
        <w:tc>
          <w:tcPr>
            <w:tcW w:w="544" w:type="pct"/>
            <w:tcBorders>
              <w:top w:val="nil"/>
              <w:left w:val="nil"/>
              <w:bottom w:val="nil"/>
              <w:right w:val="nil"/>
            </w:tcBorders>
            <w:shd w:val="clear" w:color="auto" w:fill="auto"/>
            <w:noWrap/>
            <w:vAlign w:val="bottom"/>
            <w:hideMark/>
          </w:tcPr>
          <w:p w14:paraId="3EA616C0" w14:textId="77777777" w:rsidR="00142C1A" w:rsidRPr="008669C3" w:rsidRDefault="00142C1A" w:rsidP="00142C1A">
            <w:pPr>
              <w:jc w:val="center"/>
              <w:rPr>
                <w:sz w:val="22"/>
                <w:szCs w:val="22"/>
              </w:rPr>
            </w:pPr>
          </w:p>
        </w:tc>
        <w:tc>
          <w:tcPr>
            <w:tcW w:w="103" w:type="pct"/>
            <w:tcBorders>
              <w:top w:val="nil"/>
              <w:left w:val="nil"/>
              <w:bottom w:val="nil"/>
              <w:right w:val="nil"/>
            </w:tcBorders>
            <w:shd w:val="clear" w:color="auto" w:fill="auto"/>
            <w:noWrap/>
            <w:vAlign w:val="bottom"/>
            <w:hideMark/>
          </w:tcPr>
          <w:p w14:paraId="04C399FF" w14:textId="77777777" w:rsidR="00142C1A" w:rsidRPr="008669C3" w:rsidRDefault="00142C1A" w:rsidP="00142C1A">
            <w:pPr>
              <w:jc w:val="center"/>
              <w:rPr>
                <w:sz w:val="22"/>
                <w:szCs w:val="22"/>
              </w:rPr>
            </w:pPr>
          </w:p>
        </w:tc>
        <w:tc>
          <w:tcPr>
            <w:tcW w:w="559" w:type="pct"/>
            <w:tcBorders>
              <w:top w:val="nil"/>
              <w:left w:val="nil"/>
              <w:bottom w:val="nil"/>
              <w:right w:val="nil"/>
            </w:tcBorders>
            <w:shd w:val="clear" w:color="auto" w:fill="auto"/>
            <w:noWrap/>
            <w:vAlign w:val="bottom"/>
            <w:hideMark/>
          </w:tcPr>
          <w:p w14:paraId="5EF781BC" w14:textId="77777777" w:rsidR="00142C1A" w:rsidRPr="008669C3" w:rsidRDefault="00142C1A" w:rsidP="00142C1A">
            <w:pPr>
              <w:jc w:val="center"/>
              <w:rPr>
                <w:sz w:val="22"/>
                <w:szCs w:val="22"/>
              </w:rPr>
            </w:pPr>
          </w:p>
        </w:tc>
        <w:tc>
          <w:tcPr>
            <w:tcW w:w="560" w:type="pct"/>
            <w:tcBorders>
              <w:top w:val="nil"/>
              <w:left w:val="nil"/>
              <w:bottom w:val="nil"/>
              <w:right w:val="nil"/>
            </w:tcBorders>
            <w:shd w:val="clear" w:color="auto" w:fill="auto"/>
            <w:noWrap/>
            <w:vAlign w:val="bottom"/>
            <w:hideMark/>
          </w:tcPr>
          <w:p w14:paraId="5838E8AE" w14:textId="77777777" w:rsidR="00142C1A" w:rsidRPr="008669C3" w:rsidRDefault="00142C1A" w:rsidP="00142C1A">
            <w:pPr>
              <w:jc w:val="center"/>
              <w:rPr>
                <w:sz w:val="22"/>
                <w:szCs w:val="22"/>
              </w:rPr>
            </w:pPr>
          </w:p>
        </w:tc>
        <w:tc>
          <w:tcPr>
            <w:tcW w:w="103" w:type="pct"/>
            <w:tcBorders>
              <w:top w:val="nil"/>
              <w:left w:val="nil"/>
              <w:bottom w:val="nil"/>
              <w:right w:val="nil"/>
            </w:tcBorders>
            <w:shd w:val="clear" w:color="auto" w:fill="auto"/>
            <w:noWrap/>
            <w:vAlign w:val="bottom"/>
            <w:hideMark/>
          </w:tcPr>
          <w:p w14:paraId="1A433DD2" w14:textId="77777777" w:rsidR="00142C1A" w:rsidRPr="008669C3" w:rsidRDefault="00142C1A" w:rsidP="00142C1A">
            <w:pPr>
              <w:jc w:val="center"/>
              <w:rPr>
                <w:sz w:val="22"/>
                <w:szCs w:val="22"/>
              </w:rPr>
            </w:pPr>
          </w:p>
        </w:tc>
        <w:tc>
          <w:tcPr>
            <w:tcW w:w="416" w:type="pct"/>
            <w:tcBorders>
              <w:top w:val="nil"/>
              <w:left w:val="nil"/>
              <w:bottom w:val="nil"/>
              <w:right w:val="nil"/>
            </w:tcBorders>
            <w:shd w:val="clear" w:color="auto" w:fill="auto"/>
            <w:noWrap/>
            <w:vAlign w:val="bottom"/>
            <w:hideMark/>
          </w:tcPr>
          <w:p w14:paraId="20A75644" w14:textId="0211B7CD" w:rsidR="00142C1A" w:rsidRPr="008669C3" w:rsidRDefault="00142C1A" w:rsidP="00142C1A">
            <w:pPr>
              <w:jc w:val="center"/>
              <w:rPr>
                <w:sz w:val="22"/>
                <w:szCs w:val="22"/>
              </w:rPr>
            </w:pPr>
            <w:r w:rsidRPr="008669C3">
              <w:rPr>
                <w:sz w:val="22"/>
                <w:szCs w:val="22"/>
              </w:rPr>
              <w:t>(0.003)</w:t>
            </w:r>
          </w:p>
        </w:tc>
        <w:tc>
          <w:tcPr>
            <w:tcW w:w="500" w:type="pct"/>
            <w:tcBorders>
              <w:top w:val="nil"/>
              <w:left w:val="nil"/>
              <w:bottom w:val="nil"/>
              <w:right w:val="nil"/>
            </w:tcBorders>
            <w:shd w:val="clear" w:color="auto" w:fill="auto"/>
            <w:noWrap/>
            <w:vAlign w:val="bottom"/>
            <w:hideMark/>
          </w:tcPr>
          <w:p w14:paraId="4EA5324A" w14:textId="7399592E" w:rsidR="00142C1A" w:rsidRPr="008669C3" w:rsidRDefault="00142C1A" w:rsidP="00142C1A">
            <w:pPr>
              <w:jc w:val="center"/>
              <w:rPr>
                <w:sz w:val="22"/>
                <w:szCs w:val="22"/>
              </w:rPr>
            </w:pPr>
            <w:r w:rsidRPr="008669C3">
              <w:rPr>
                <w:sz w:val="22"/>
                <w:szCs w:val="22"/>
              </w:rPr>
              <w:t>(0.003)</w:t>
            </w:r>
          </w:p>
        </w:tc>
      </w:tr>
      <w:tr w:rsidR="00142C1A" w:rsidRPr="008669C3" w14:paraId="54545C91" w14:textId="77777777" w:rsidTr="00142C1A">
        <w:trPr>
          <w:trHeight w:val="20"/>
        </w:trPr>
        <w:tc>
          <w:tcPr>
            <w:tcW w:w="1689" w:type="pct"/>
            <w:tcBorders>
              <w:top w:val="nil"/>
              <w:left w:val="nil"/>
              <w:bottom w:val="nil"/>
              <w:right w:val="nil"/>
            </w:tcBorders>
            <w:shd w:val="clear" w:color="auto" w:fill="auto"/>
            <w:noWrap/>
            <w:vAlign w:val="bottom"/>
            <w:hideMark/>
          </w:tcPr>
          <w:p w14:paraId="032D477D" w14:textId="77777777" w:rsidR="00142C1A" w:rsidRPr="008669C3" w:rsidRDefault="00142C1A" w:rsidP="00142C1A">
            <w:pPr>
              <w:rPr>
                <w:color w:val="000000"/>
                <w:sz w:val="22"/>
                <w:szCs w:val="22"/>
              </w:rPr>
            </w:pPr>
            <w:r w:rsidRPr="008669C3">
              <w:rPr>
                <w:color w:val="000000"/>
                <w:sz w:val="22"/>
                <w:szCs w:val="22"/>
              </w:rPr>
              <w:t>KZ index</w:t>
            </w:r>
          </w:p>
        </w:tc>
        <w:tc>
          <w:tcPr>
            <w:tcW w:w="526" w:type="pct"/>
            <w:tcBorders>
              <w:top w:val="nil"/>
              <w:left w:val="nil"/>
              <w:bottom w:val="nil"/>
              <w:right w:val="nil"/>
            </w:tcBorders>
            <w:shd w:val="clear" w:color="auto" w:fill="auto"/>
            <w:noWrap/>
            <w:vAlign w:val="bottom"/>
            <w:hideMark/>
          </w:tcPr>
          <w:p w14:paraId="7B1C3217" w14:textId="77777777" w:rsidR="00142C1A" w:rsidRPr="008669C3" w:rsidRDefault="00142C1A" w:rsidP="00142C1A">
            <w:pPr>
              <w:jc w:val="center"/>
              <w:rPr>
                <w:sz w:val="22"/>
                <w:szCs w:val="22"/>
              </w:rPr>
            </w:pPr>
            <w:r w:rsidRPr="008669C3">
              <w:rPr>
                <w:sz w:val="22"/>
                <w:szCs w:val="22"/>
              </w:rPr>
              <w:t>0.011</w:t>
            </w:r>
          </w:p>
        </w:tc>
        <w:tc>
          <w:tcPr>
            <w:tcW w:w="544" w:type="pct"/>
            <w:tcBorders>
              <w:top w:val="nil"/>
              <w:left w:val="nil"/>
              <w:bottom w:val="nil"/>
              <w:right w:val="nil"/>
            </w:tcBorders>
            <w:shd w:val="clear" w:color="auto" w:fill="auto"/>
            <w:noWrap/>
            <w:vAlign w:val="bottom"/>
            <w:hideMark/>
          </w:tcPr>
          <w:p w14:paraId="03BA9898" w14:textId="77777777" w:rsidR="00142C1A" w:rsidRPr="008669C3" w:rsidRDefault="00142C1A" w:rsidP="00142C1A">
            <w:pPr>
              <w:jc w:val="center"/>
              <w:rPr>
                <w:sz w:val="22"/>
                <w:szCs w:val="22"/>
              </w:rPr>
            </w:pPr>
            <w:r w:rsidRPr="008669C3">
              <w:rPr>
                <w:sz w:val="22"/>
                <w:szCs w:val="22"/>
              </w:rPr>
              <w:t>0.014</w:t>
            </w:r>
          </w:p>
        </w:tc>
        <w:tc>
          <w:tcPr>
            <w:tcW w:w="103" w:type="pct"/>
            <w:tcBorders>
              <w:top w:val="nil"/>
              <w:left w:val="nil"/>
              <w:bottom w:val="nil"/>
              <w:right w:val="nil"/>
            </w:tcBorders>
            <w:shd w:val="clear" w:color="auto" w:fill="auto"/>
            <w:noWrap/>
            <w:vAlign w:val="bottom"/>
            <w:hideMark/>
          </w:tcPr>
          <w:p w14:paraId="287CA98E" w14:textId="77777777" w:rsidR="00142C1A" w:rsidRPr="008669C3" w:rsidRDefault="00142C1A" w:rsidP="00142C1A">
            <w:pPr>
              <w:jc w:val="center"/>
              <w:rPr>
                <w:sz w:val="22"/>
                <w:szCs w:val="22"/>
              </w:rPr>
            </w:pPr>
          </w:p>
        </w:tc>
        <w:tc>
          <w:tcPr>
            <w:tcW w:w="559" w:type="pct"/>
            <w:tcBorders>
              <w:top w:val="nil"/>
              <w:left w:val="nil"/>
              <w:bottom w:val="nil"/>
              <w:right w:val="nil"/>
            </w:tcBorders>
            <w:shd w:val="clear" w:color="auto" w:fill="auto"/>
            <w:noWrap/>
            <w:vAlign w:val="bottom"/>
            <w:hideMark/>
          </w:tcPr>
          <w:p w14:paraId="5181781D" w14:textId="77777777" w:rsidR="00142C1A" w:rsidRPr="008669C3" w:rsidRDefault="00142C1A" w:rsidP="00142C1A">
            <w:pPr>
              <w:jc w:val="center"/>
              <w:rPr>
                <w:sz w:val="22"/>
                <w:szCs w:val="22"/>
              </w:rPr>
            </w:pPr>
            <w:r w:rsidRPr="008669C3">
              <w:rPr>
                <w:sz w:val="22"/>
                <w:szCs w:val="22"/>
              </w:rPr>
              <w:t>-0.024</w:t>
            </w:r>
          </w:p>
        </w:tc>
        <w:tc>
          <w:tcPr>
            <w:tcW w:w="560" w:type="pct"/>
            <w:tcBorders>
              <w:top w:val="nil"/>
              <w:left w:val="nil"/>
              <w:bottom w:val="nil"/>
              <w:right w:val="nil"/>
            </w:tcBorders>
            <w:shd w:val="clear" w:color="auto" w:fill="auto"/>
            <w:noWrap/>
            <w:vAlign w:val="bottom"/>
            <w:hideMark/>
          </w:tcPr>
          <w:p w14:paraId="6EE9CDF8" w14:textId="77777777" w:rsidR="00142C1A" w:rsidRPr="008669C3" w:rsidRDefault="00142C1A" w:rsidP="00142C1A">
            <w:pPr>
              <w:jc w:val="center"/>
              <w:rPr>
                <w:sz w:val="22"/>
                <w:szCs w:val="22"/>
              </w:rPr>
            </w:pPr>
            <w:r w:rsidRPr="008669C3">
              <w:rPr>
                <w:sz w:val="22"/>
                <w:szCs w:val="22"/>
              </w:rPr>
              <w:t>-0.010</w:t>
            </w:r>
          </w:p>
        </w:tc>
        <w:tc>
          <w:tcPr>
            <w:tcW w:w="103" w:type="pct"/>
            <w:tcBorders>
              <w:top w:val="nil"/>
              <w:left w:val="nil"/>
              <w:bottom w:val="nil"/>
              <w:right w:val="nil"/>
            </w:tcBorders>
            <w:shd w:val="clear" w:color="auto" w:fill="auto"/>
            <w:noWrap/>
            <w:vAlign w:val="bottom"/>
            <w:hideMark/>
          </w:tcPr>
          <w:p w14:paraId="1A8F9058" w14:textId="77777777" w:rsidR="00142C1A" w:rsidRPr="008669C3" w:rsidRDefault="00142C1A" w:rsidP="00142C1A">
            <w:pPr>
              <w:jc w:val="center"/>
              <w:rPr>
                <w:sz w:val="22"/>
                <w:szCs w:val="22"/>
              </w:rPr>
            </w:pPr>
          </w:p>
        </w:tc>
        <w:tc>
          <w:tcPr>
            <w:tcW w:w="416" w:type="pct"/>
            <w:tcBorders>
              <w:top w:val="nil"/>
              <w:left w:val="nil"/>
              <w:bottom w:val="nil"/>
              <w:right w:val="nil"/>
            </w:tcBorders>
            <w:shd w:val="clear" w:color="auto" w:fill="auto"/>
            <w:noWrap/>
            <w:vAlign w:val="bottom"/>
            <w:hideMark/>
          </w:tcPr>
          <w:p w14:paraId="10A12D27" w14:textId="77777777" w:rsidR="00142C1A" w:rsidRPr="008669C3" w:rsidRDefault="00142C1A" w:rsidP="00142C1A">
            <w:pPr>
              <w:jc w:val="center"/>
              <w:rPr>
                <w:sz w:val="22"/>
                <w:szCs w:val="22"/>
              </w:rPr>
            </w:pPr>
            <w:r w:rsidRPr="008669C3">
              <w:rPr>
                <w:sz w:val="22"/>
                <w:szCs w:val="22"/>
              </w:rPr>
              <w:t>0.002</w:t>
            </w:r>
          </w:p>
        </w:tc>
        <w:tc>
          <w:tcPr>
            <w:tcW w:w="500" w:type="pct"/>
            <w:tcBorders>
              <w:top w:val="nil"/>
              <w:left w:val="nil"/>
              <w:bottom w:val="nil"/>
              <w:right w:val="nil"/>
            </w:tcBorders>
            <w:shd w:val="clear" w:color="auto" w:fill="auto"/>
            <w:noWrap/>
            <w:vAlign w:val="bottom"/>
            <w:hideMark/>
          </w:tcPr>
          <w:p w14:paraId="124DF8F4" w14:textId="77777777" w:rsidR="00142C1A" w:rsidRPr="008669C3" w:rsidRDefault="00142C1A" w:rsidP="00142C1A">
            <w:pPr>
              <w:jc w:val="center"/>
              <w:rPr>
                <w:sz w:val="22"/>
                <w:szCs w:val="22"/>
              </w:rPr>
            </w:pPr>
            <w:r w:rsidRPr="008669C3">
              <w:rPr>
                <w:sz w:val="22"/>
                <w:szCs w:val="22"/>
              </w:rPr>
              <w:t>0.009</w:t>
            </w:r>
            <w:r w:rsidRPr="008669C3">
              <w:rPr>
                <w:sz w:val="20"/>
                <w:szCs w:val="22"/>
              </w:rPr>
              <w:t>*</w:t>
            </w:r>
          </w:p>
        </w:tc>
      </w:tr>
      <w:tr w:rsidR="00142C1A" w:rsidRPr="008669C3" w14:paraId="15B4830D" w14:textId="77777777" w:rsidTr="00142C1A">
        <w:trPr>
          <w:trHeight w:val="20"/>
        </w:trPr>
        <w:tc>
          <w:tcPr>
            <w:tcW w:w="1689" w:type="pct"/>
            <w:tcBorders>
              <w:top w:val="nil"/>
              <w:left w:val="nil"/>
              <w:bottom w:val="single" w:sz="4" w:space="0" w:color="auto"/>
              <w:right w:val="nil"/>
            </w:tcBorders>
            <w:shd w:val="clear" w:color="auto" w:fill="auto"/>
            <w:noWrap/>
            <w:vAlign w:val="bottom"/>
            <w:hideMark/>
          </w:tcPr>
          <w:p w14:paraId="436FFBCB" w14:textId="77777777" w:rsidR="00142C1A" w:rsidRPr="008669C3" w:rsidRDefault="00142C1A" w:rsidP="00142C1A">
            <w:pPr>
              <w:rPr>
                <w:color w:val="000000"/>
                <w:sz w:val="22"/>
                <w:szCs w:val="22"/>
              </w:rPr>
            </w:pPr>
            <w:r w:rsidRPr="008669C3">
              <w:rPr>
                <w:color w:val="000000"/>
                <w:sz w:val="22"/>
                <w:szCs w:val="22"/>
              </w:rPr>
              <w:t> </w:t>
            </w:r>
          </w:p>
        </w:tc>
        <w:tc>
          <w:tcPr>
            <w:tcW w:w="526" w:type="pct"/>
            <w:tcBorders>
              <w:top w:val="nil"/>
              <w:left w:val="nil"/>
              <w:bottom w:val="single" w:sz="4" w:space="0" w:color="auto"/>
              <w:right w:val="nil"/>
            </w:tcBorders>
            <w:shd w:val="clear" w:color="auto" w:fill="auto"/>
            <w:noWrap/>
            <w:vAlign w:val="bottom"/>
            <w:hideMark/>
          </w:tcPr>
          <w:p w14:paraId="3A1B81C6" w14:textId="77777777" w:rsidR="00142C1A" w:rsidRPr="008669C3" w:rsidRDefault="00142C1A" w:rsidP="00142C1A">
            <w:pPr>
              <w:jc w:val="center"/>
              <w:rPr>
                <w:sz w:val="22"/>
                <w:szCs w:val="22"/>
              </w:rPr>
            </w:pPr>
            <w:r w:rsidRPr="008669C3">
              <w:rPr>
                <w:sz w:val="22"/>
                <w:szCs w:val="22"/>
              </w:rPr>
              <w:t>(0.012)</w:t>
            </w:r>
          </w:p>
        </w:tc>
        <w:tc>
          <w:tcPr>
            <w:tcW w:w="544" w:type="pct"/>
            <w:tcBorders>
              <w:top w:val="nil"/>
              <w:left w:val="nil"/>
              <w:bottom w:val="single" w:sz="4" w:space="0" w:color="auto"/>
              <w:right w:val="nil"/>
            </w:tcBorders>
            <w:shd w:val="clear" w:color="auto" w:fill="auto"/>
            <w:noWrap/>
            <w:vAlign w:val="bottom"/>
            <w:hideMark/>
          </w:tcPr>
          <w:p w14:paraId="4C4E5967" w14:textId="77777777" w:rsidR="00142C1A" w:rsidRPr="008669C3" w:rsidRDefault="00142C1A" w:rsidP="00142C1A">
            <w:pPr>
              <w:jc w:val="center"/>
              <w:rPr>
                <w:sz w:val="22"/>
                <w:szCs w:val="22"/>
              </w:rPr>
            </w:pPr>
            <w:r w:rsidRPr="008669C3">
              <w:rPr>
                <w:sz w:val="22"/>
                <w:szCs w:val="22"/>
              </w:rPr>
              <w:t>(0.009)</w:t>
            </w:r>
          </w:p>
        </w:tc>
        <w:tc>
          <w:tcPr>
            <w:tcW w:w="103" w:type="pct"/>
            <w:tcBorders>
              <w:top w:val="nil"/>
              <w:left w:val="nil"/>
              <w:bottom w:val="single" w:sz="4" w:space="0" w:color="auto"/>
              <w:right w:val="nil"/>
            </w:tcBorders>
            <w:shd w:val="clear" w:color="auto" w:fill="auto"/>
            <w:noWrap/>
            <w:vAlign w:val="bottom"/>
            <w:hideMark/>
          </w:tcPr>
          <w:p w14:paraId="74C8A167" w14:textId="77777777" w:rsidR="00142C1A" w:rsidRPr="008669C3" w:rsidRDefault="00142C1A" w:rsidP="00142C1A">
            <w:pPr>
              <w:jc w:val="center"/>
              <w:rPr>
                <w:sz w:val="22"/>
                <w:szCs w:val="22"/>
              </w:rPr>
            </w:pPr>
            <w:r w:rsidRPr="008669C3">
              <w:rPr>
                <w:sz w:val="22"/>
                <w:szCs w:val="22"/>
              </w:rPr>
              <w:t> </w:t>
            </w:r>
          </w:p>
        </w:tc>
        <w:tc>
          <w:tcPr>
            <w:tcW w:w="559" w:type="pct"/>
            <w:tcBorders>
              <w:top w:val="nil"/>
              <w:left w:val="nil"/>
              <w:bottom w:val="single" w:sz="4" w:space="0" w:color="auto"/>
              <w:right w:val="nil"/>
            </w:tcBorders>
            <w:shd w:val="clear" w:color="auto" w:fill="auto"/>
            <w:noWrap/>
            <w:vAlign w:val="bottom"/>
            <w:hideMark/>
          </w:tcPr>
          <w:p w14:paraId="4FE4D637" w14:textId="77777777" w:rsidR="00142C1A" w:rsidRPr="008669C3" w:rsidRDefault="00142C1A" w:rsidP="00142C1A">
            <w:pPr>
              <w:jc w:val="center"/>
              <w:rPr>
                <w:sz w:val="22"/>
                <w:szCs w:val="22"/>
              </w:rPr>
            </w:pPr>
            <w:r w:rsidRPr="008669C3">
              <w:rPr>
                <w:sz w:val="22"/>
                <w:szCs w:val="22"/>
              </w:rPr>
              <w:t>(0.029)</w:t>
            </w:r>
          </w:p>
        </w:tc>
        <w:tc>
          <w:tcPr>
            <w:tcW w:w="560" w:type="pct"/>
            <w:tcBorders>
              <w:top w:val="nil"/>
              <w:left w:val="nil"/>
              <w:bottom w:val="single" w:sz="4" w:space="0" w:color="auto"/>
              <w:right w:val="nil"/>
            </w:tcBorders>
            <w:shd w:val="clear" w:color="auto" w:fill="auto"/>
            <w:noWrap/>
            <w:vAlign w:val="bottom"/>
            <w:hideMark/>
          </w:tcPr>
          <w:p w14:paraId="18FAE81B" w14:textId="77777777" w:rsidR="00142C1A" w:rsidRPr="008669C3" w:rsidRDefault="00142C1A" w:rsidP="00142C1A">
            <w:pPr>
              <w:jc w:val="center"/>
              <w:rPr>
                <w:sz w:val="22"/>
                <w:szCs w:val="22"/>
              </w:rPr>
            </w:pPr>
            <w:r w:rsidRPr="008669C3">
              <w:rPr>
                <w:sz w:val="22"/>
                <w:szCs w:val="22"/>
              </w:rPr>
              <w:t>(0.024)</w:t>
            </w:r>
          </w:p>
        </w:tc>
        <w:tc>
          <w:tcPr>
            <w:tcW w:w="103" w:type="pct"/>
            <w:tcBorders>
              <w:top w:val="nil"/>
              <w:left w:val="nil"/>
              <w:bottom w:val="single" w:sz="4" w:space="0" w:color="auto"/>
              <w:right w:val="nil"/>
            </w:tcBorders>
            <w:shd w:val="clear" w:color="auto" w:fill="auto"/>
            <w:noWrap/>
            <w:vAlign w:val="bottom"/>
            <w:hideMark/>
          </w:tcPr>
          <w:p w14:paraId="6CA70B67" w14:textId="77777777" w:rsidR="00142C1A" w:rsidRPr="008669C3" w:rsidRDefault="00142C1A" w:rsidP="00142C1A">
            <w:pPr>
              <w:jc w:val="center"/>
              <w:rPr>
                <w:sz w:val="22"/>
                <w:szCs w:val="22"/>
              </w:rPr>
            </w:pPr>
            <w:r w:rsidRPr="008669C3">
              <w:rPr>
                <w:sz w:val="22"/>
                <w:szCs w:val="22"/>
              </w:rPr>
              <w:t> </w:t>
            </w:r>
          </w:p>
        </w:tc>
        <w:tc>
          <w:tcPr>
            <w:tcW w:w="416" w:type="pct"/>
            <w:tcBorders>
              <w:top w:val="nil"/>
              <w:left w:val="nil"/>
              <w:bottom w:val="single" w:sz="4" w:space="0" w:color="auto"/>
              <w:right w:val="nil"/>
            </w:tcBorders>
            <w:shd w:val="clear" w:color="auto" w:fill="auto"/>
            <w:noWrap/>
            <w:vAlign w:val="bottom"/>
            <w:hideMark/>
          </w:tcPr>
          <w:p w14:paraId="5F6D6614" w14:textId="77777777" w:rsidR="00142C1A" w:rsidRPr="008669C3" w:rsidRDefault="00142C1A" w:rsidP="00142C1A">
            <w:pPr>
              <w:jc w:val="center"/>
              <w:rPr>
                <w:sz w:val="22"/>
                <w:szCs w:val="22"/>
              </w:rPr>
            </w:pPr>
            <w:r w:rsidRPr="008669C3">
              <w:rPr>
                <w:sz w:val="22"/>
                <w:szCs w:val="22"/>
              </w:rPr>
              <w:t>(0.006)</w:t>
            </w:r>
          </w:p>
        </w:tc>
        <w:tc>
          <w:tcPr>
            <w:tcW w:w="500" w:type="pct"/>
            <w:tcBorders>
              <w:top w:val="nil"/>
              <w:left w:val="nil"/>
              <w:bottom w:val="single" w:sz="4" w:space="0" w:color="auto"/>
              <w:right w:val="nil"/>
            </w:tcBorders>
            <w:shd w:val="clear" w:color="auto" w:fill="auto"/>
            <w:noWrap/>
            <w:vAlign w:val="bottom"/>
            <w:hideMark/>
          </w:tcPr>
          <w:p w14:paraId="02F1EA41" w14:textId="77777777" w:rsidR="00142C1A" w:rsidRPr="008669C3" w:rsidRDefault="00142C1A" w:rsidP="00142C1A">
            <w:pPr>
              <w:jc w:val="center"/>
              <w:rPr>
                <w:sz w:val="22"/>
                <w:szCs w:val="22"/>
              </w:rPr>
            </w:pPr>
            <w:r w:rsidRPr="008669C3">
              <w:rPr>
                <w:sz w:val="22"/>
                <w:szCs w:val="22"/>
              </w:rPr>
              <w:t>(0.005)</w:t>
            </w:r>
          </w:p>
        </w:tc>
      </w:tr>
      <w:tr w:rsidR="00142C1A" w:rsidRPr="008669C3" w14:paraId="3BAE74D9" w14:textId="77777777" w:rsidTr="00142C1A">
        <w:trPr>
          <w:trHeight w:val="20"/>
        </w:trPr>
        <w:tc>
          <w:tcPr>
            <w:tcW w:w="1689" w:type="pct"/>
            <w:tcBorders>
              <w:top w:val="nil"/>
              <w:left w:val="nil"/>
              <w:bottom w:val="nil"/>
              <w:right w:val="nil"/>
            </w:tcBorders>
            <w:shd w:val="clear" w:color="auto" w:fill="auto"/>
            <w:noWrap/>
            <w:vAlign w:val="bottom"/>
          </w:tcPr>
          <w:p w14:paraId="2DB8D94B" w14:textId="2B018CFC" w:rsidR="00142C1A" w:rsidRPr="008669C3" w:rsidRDefault="00142C1A" w:rsidP="00142C1A">
            <w:pPr>
              <w:rPr>
                <w:color w:val="000000"/>
                <w:sz w:val="22"/>
                <w:szCs w:val="22"/>
              </w:rPr>
            </w:pPr>
            <w:r w:rsidRPr="008669C3">
              <w:rPr>
                <w:color w:val="000000"/>
                <w:sz w:val="22"/>
                <w:szCs w:val="22"/>
              </w:rPr>
              <w:t>All controls</w:t>
            </w:r>
          </w:p>
        </w:tc>
        <w:tc>
          <w:tcPr>
            <w:tcW w:w="526" w:type="pct"/>
            <w:tcBorders>
              <w:top w:val="nil"/>
              <w:left w:val="nil"/>
              <w:bottom w:val="nil"/>
              <w:right w:val="nil"/>
            </w:tcBorders>
            <w:shd w:val="clear" w:color="auto" w:fill="auto"/>
            <w:noWrap/>
            <w:vAlign w:val="bottom"/>
          </w:tcPr>
          <w:p w14:paraId="2774D35C" w14:textId="10166EB2" w:rsidR="00142C1A" w:rsidRPr="008669C3" w:rsidRDefault="00142C1A" w:rsidP="00142C1A">
            <w:pPr>
              <w:jc w:val="center"/>
              <w:rPr>
                <w:color w:val="000000"/>
                <w:sz w:val="22"/>
                <w:szCs w:val="22"/>
              </w:rPr>
            </w:pPr>
            <w:r w:rsidRPr="008669C3">
              <w:rPr>
                <w:color w:val="000000"/>
                <w:sz w:val="22"/>
                <w:szCs w:val="22"/>
              </w:rPr>
              <w:t>Yes</w:t>
            </w:r>
          </w:p>
        </w:tc>
        <w:tc>
          <w:tcPr>
            <w:tcW w:w="544" w:type="pct"/>
            <w:tcBorders>
              <w:top w:val="nil"/>
              <w:left w:val="nil"/>
              <w:bottom w:val="nil"/>
              <w:right w:val="nil"/>
            </w:tcBorders>
            <w:shd w:val="clear" w:color="auto" w:fill="auto"/>
            <w:noWrap/>
            <w:vAlign w:val="bottom"/>
          </w:tcPr>
          <w:p w14:paraId="47DD4457" w14:textId="47A1626E" w:rsidR="00142C1A" w:rsidRPr="008669C3" w:rsidRDefault="00142C1A" w:rsidP="00142C1A">
            <w:pPr>
              <w:jc w:val="center"/>
              <w:rPr>
                <w:color w:val="000000"/>
                <w:sz w:val="22"/>
                <w:szCs w:val="22"/>
              </w:rPr>
            </w:pPr>
            <w:r w:rsidRPr="008669C3">
              <w:rPr>
                <w:color w:val="000000"/>
                <w:sz w:val="22"/>
                <w:szCs w:val="22"/>
              </w:rPr>
              <w:t>Yes</w:t>
            </w:r>
          </w:p>
        </w:tc>
        <w:tc>
          <w:tcPr>
            <w:tcW w:w="103" w:type="pct"/>
            <w:tcBorders>
              <w:top w:val="nil"/>
              <w:left w:val="nil"/>
              <w:bottom w:val="nil"/>
              <w:right w:val="nil"/>
            </w:tcBorders>
            <w:shd w:val="clear" w:color="auto" w:fill="auto"/>
            <w:noWrap/>
            <w:vAlign w:val="bottom"/>
          </w:tcPr>
          <w:p w14:paraId="0E93A83B" w14:textId="77777777" w:rsidR="00142C1A" w:rsidRPr="008669C3" w:rsidRDefault="00142C1A" w:rsidP="00142C1A">
            <w:pPr>
              <w:jc w:val="center"/>
              <w:rPr>
                <w:sz w:val="22"/>
                <w:szCs w:val="22"/>
              </w:rPr>
            </w:pPr>
          </w:p>
        </w:tc>
        <w:tc>
          <w:tcPr>
            <w:tcW w:w="559" w:type="pct"/>
            <w:tcBorders>
              <w:top w:val="nil"/>
              <w:left w:val="nil"/>
              <w:bottom w:val="nil"/>
              <w:right w:val="nil"/>
            </w:tcBorders>
            <w:shd w:val="clear" w:color="auto" w:fill="auto"/>
            <w:noWrap/>
            <w:vAlign w:val="bottom"/>
          </w:tcPr>
          <w:p w14:paraId="51A9A51E" w14:textId="3AF600FD" w:rsidR="00142C1A" w:rsidRPr="008669C3" w:rsidRDefault="00142C1A" w:rsidP="00142C1A">
            <w:pPr>
              <w:jc w:val="center"/>
              <w:rPr>
                <w:color w:val="000000"/>
                <w:sz w:val="22"/>
                <w:szCs w:val="22"/>
              </w:rPr>
            </w:pPr>
            <w:r w:rsidRPr="008669C3">
              <w:rPr>
                <w:color w:val="000000"/>
                <w:sz w:val="22"/>
                <w:szCs w:val="22"/>
              </w:rPr>
              <w:t>Yes</w:t>
            </w:r>
          </w:p>
        </w:tc>
        <w:tc>
          <w:tcPr>
            <w:tcW w:w="560" w:type="pct"/>
            <w:tcBorders>
              <w:top w:val="nil"/>
              <w:left w:val="nil"/>
              <w:bottom w:val="nil"/>
              <w:right w:val="nil"/>
            </w:tcBorders>
            <w:shd w:val="clear" w:color="auto" w:fill="auto"/>
            <w:noWrap/>
            <w:vAlign w:val="bottom"/>
          </w:tcPr>
          <w:p w14:paraId="743046E3" w14:textId="0A90CB3F" w:rsidR="00142C1A" w:rsidRPr="008669C3" w:rsidRDefault="00142C1A" w:rsidP="00142C1A">
            <w:pPr>
              <w:jc w:val="center"/>
              <w:rPr>
                <w:color w:val="000000"/>
                <w:sz w:val="22"/>
                <w:szCs w:val="22"/>
              </w:rPr>
            </w:pPr>
            <w:r w:rsidRPr="008669C3">
              <w:rPr>
                <w:color w:val="000000"/>
                <w:sz w:val="22"/>
                <w:szCs w:val="22"/>
              </w:rPr>
              <w:t>Yes</w:t>
            </w:r>
          </w:p>
        </w:tc>
        <w:tc>
          <w:tcPr>
            <w:tcW w:w="103" w:type="pct"/>
            <w:tcBorders>
              <w:top w:val="nil"/>
              <w:left w:val="nil"/>
              <w:bottom w:val="nil"/>
              <w:right w:val="nil"/>
            </w:tcBorders>
            <w:shd w:val="clear" w:color="auto" w:fill="auto"/>
            <w:noWrap/>
            <w:vAlign w:val="bottom"/>
          </w:tcPr>
          <w:p w14:paraId="7B1C6E3E" w14:textId="77777777" w:rsidR="00142C1A" w:rsidRPr="008669C3" w:rsidRDefault="00142C1A" w:rsidP="00142C1A">
            <w:pPr>
              <w:jc w:val="center"/>
              <w:rPr>
                <w:sz w:val="22"/>
                <w:szCs w:val="22"/>
              </w:rPr>
            </w:pPr>
          </w:p>
        </w:tc>
        <w:tc>
          <w:tcPr>
            <w:tcW w:w="416" w:type="pct"/>
            <w:tcBorders>
              <w:top w:val="nil"/>
              <w:left w:val="nil"/>
              <w:bottom w:val="nil"/>
              <w:right w:val="nil"/>
            </w:tcBorders>
            <w:shd w:val="clear" w:color="auto" w:fill="auto"/>
            <w:noWrap/>
            <w:vAlign w:val="bottom"/>
          </w:tcPr>
          <w:p w14:paraId="0CBE436D" w14:textId="77DABA49" w:rsidR="00142C1A" w:rsidRPr="008669C3" w:rsidRDefault="00142C1A" w:rsidP="00142C1A">
            <w:pPr>
              <w:jc w:val="center"/>
              <w:rPr>
                <w:color w:val="000000"/>
                <w:sz w:val="22"/>
                <w:szCs w:val="22"/>
              </w:rPr>
            </w:pPr>
            <w:r w:rsidRPr="008669C3">
              <w:rPr>
                <w:color w:val="000000"/>
                <w:sz w:val="22"/>
                <w:szCs w:val="22"/>
              </w:rPr>
              <w:t>Yes</w:t>
            </w:r>
          </w:p>
        </w:tc>
        <w:tc>
          <w:tcPr>
            <w:tcW w:w="500" w:type="pct"/>
            <w:tcBorders>
              <w:top w:val="nil"/>
              <w:left w:val="nil"/>
              <w:bottom w:val="nil"/>
              <w:right w:val="nil"/>
            </w:tcBorders>
            <w:shd w:val="clear" w:color="auto" w:fill="auto"/>
            <w:noWrap/>
            <w:vAlign w:val="bottom"/>
          </w:tcPr>
          <w:p w14:paraId="7A2D6CA8" w14:textId="1D2985B9" w:rsidR="00142C1A" w:rsidRPr="008669C3" w:rsidRDefault="00142C1A" w:rsidP="00142C1A">
            <w:pPr>
              <w:jc w:val="center"/>
              <w:rPr>
                <w:color w:val="000000"/>
                <w:sz w:val="22"/>
                <w:szCs w:val="22"/>
              </w:rPr>
            </w:pPr>
            <w:r w:rsidRPr="008669C3">
              <w:rPr>
                <w:color w:val="000000"/>
                <w:sz w:val="22"/>
                <w:szCs w:val="22"/>
              </w:rPr>
              <w:t>Yes</w:t>
            </w:r>
          </w:p>
        </w:tc>
      </w:tr>
      <w:tr w:rsidR="00142C1A" w:rsidRPr="008669C3" w14:paraId="7114396A" w14:textId="77777777" w:rsidTr="00142C1A">
        <w:trPr>
          <w:trHeight w:val="20"/>
        </w:trPr>
        <w:tc>
          <w:tcPr>
            <w:tcW w:w="1689" w:type="pct"/>
            <w:tcBorders>
              <w:top w:val="nil"/>
              <w:left w:val="nil"/>
              <w:bottom w:val="nil"/>
              <w:right w:val="nil"/>
            </w:tcBorders>
            <w:shd w:val="clear" w:color="auto" w:fill="auto"/>
            <w:noWrap/>
            <w:vAlign w:val="bottom"/>
            <w:hideMark/>
          </w:tcPr>
          <w:p w14:paraId="49144F7C" w14:textId="77777777" w:rsidR="00142C1A" w:rsidRPr="008669C3" w:rsidRDefault="00142C1A" w:rsidP="00142C1A">
            <w:pPr>
              <w:rPr>
                <w:color w:val="000000"/>
                <w:sz w:val="22"/>
                <w:szCs w:val="22"/>
              </w:rPr>
            </w:pPr>
            <w:r w:rsidRPr="008669C3">
              <w:rPr>
                <w:color w:val="000000"/>
                <w:sz w:val="22"/>
                <w:szCs w:val="22"/>
              </w:rPr>
              <w:t>Firm FE</w:t>
            </w:r>
          </w:p>
        </w:tc>
        <w:tc>
          <w:tcPr>
            <w:tcW w:w="526" w:type="pct"/>
            <w:tcBorders>
              <w:top w:val="nil"/>
              <w:left w:val="nil"/>
              <w:bottom w:val="nil"/>
              <w:right w:val="nil"/>
            </w:tcBorders>
            <w:shd w:val="clear" w:color="auto" w:fill="auto"/>
            <w:noWrap/>
            <w:vAlign w:val="bottom"/>
            <w:hideMark/>
          </w:tcPr>
          <w:p w14:paraId="2B3A16A6" w14:textId="2D199D57" w:rsidR="00142C1A" w:rsidRPr="008669C3" w:rsidRDefault="00142C1A" w:rsidP="00142C1A">
            <w:pPr>
              <w:jc w:val="center"/>
              <w:rPr>
                <w:color w:val="000000"/>
                <w:sz w:val="22"/>
                <w:szCs w:val="22"/>
              </w:rPr>
            </w:pPr>
            <w:r w:rsidRPr="008669C3">
              <w:rPr>
                <w:color w:val="000000"/>
                <w:sz w:val="22"/>
                <w:szCs w:val="22"/>
              </w:rPr>
              <w:t>Yes</w:t>
            </w:r>
          </w:p>
        </w:tc>
        <w:tc>
          <w:tcPr>
            <w:tcW w:w="544" w:type="pct"/>
            <w:tcBorders>
              <w:top w:val="nil"/>
              <w:left w:val="nil"/>
              <w:bottom w:val="nil"/>
              <w:right w:val="nil"/>
            </w:tcBorders>
            <w:shd w:val="clear" w:color="auto" w:fill="auto"/>
            <w:noWrap/>
            <w:vAlign w:val="bottom"/>
            <w:hideMark/>
          </w:tcPr>
          <w:p w14:paraId="6E83A688" w14:textId="38476AAC" w:rsidR="00142C1A" w:rsidRPr="008669C3" w:rsidRDefault="00142C1A" w:rsidP="00142C1A">
            <w:pPr>
              <w:jc w:val="center"/>
              <w:rPr>
                <w:color w:val="000000"/>
                <w:sz w:val="22"/>
                <w:szCs w:val="22"/>
              </w:rPr>
            </w:pPr>
            <w:r w:rsidRPr="008669C3">
              <w:rPr>
                <w:color w:val="000000"/>
                <w:sz w:val="22"/>
                <w:szCs w:val="22"/>
              </w:rPr>
              <w:t>No</w:t>
            </w:r>
          </w:p>
        </w:tc>
        <w:tc>
          <w:tcPr>
            <w:tcW w:w="103" w:type="pct"/>
            <w:tcBorders>
              <w:top w:val="nil"/>
              <w:left w:val="nil"/>
              <w:bottom w:val="nil"/>
              <w:right w:val="nil"/>
            </w:tcBorders>
            <w:shd w:val="clear" w:color="auto" w:fill="auto"/>
            <w:noWrap/>
            <w:vAlign w:val="bottom"/>
            <w:hideMark/>
          </w:tcPr>
          <w:p w14:paraId="4B98B381" w14:textId="77777777" w:rsidR="00142C1A" w:rsidRPr="008669C3" w:rsidRDefault="00142C1A" w:rsidP="00142C1A">
            <w:pPr>
              <w:jc w:val="center"/>
              <w:rPr>
                <w:sz w:val="22"/>
                <w:szCs w:val="22"/>
              </w:rPr>
            </w:pPr>
          </w:p>
        </w:tc>
        <w:tc>
          <w:tcPr>
            <w:tcW w:w="559" w:type="pct"/>
            <w:tcBorders>
              <w:top w:val="nil"/>
              <w:left w:val="nil"/>
              <w:bottom w:val="nil"/>
              <w:right w:val="nil"/>
            </w:tcBorders>
            <w:shd w:val="clear" w:color="auto" w:fill="auto"/>
            <w:noWrap/>
            <w:vAlign w:val="bottom"/>
            <w:hideMark/>
          </w:tcPr>
          <w:p w14:paraId="3C2B3EB2" w14:textId="5808933A" w:rsidR="00142C1A" w:rsidRPr="008669C3" w:rsidRDefault="00142C1A" w:rsidP="00142C1A">
            <w:pPr>
              <w:jc w:val="center"/>
              <w:rPr>
                <w:color w:val="000000"/>
                <w:sz w:val="22"/>
                <w:szCs w:val="22"/>
              </w:rPr>
            </w:pPr>
            <w:r w:rsidRPr="008669C3">
              <w:rPr>
                <w:color w:val="000000"/>
                <w:sz w:val="22"/>
                <w:szCs w:val="22"/>
              </w:rPr>
              <w:t>Yes</w:t>
            </w:r>
          </w:p>
        </w:tc>
        <w:tc>
          <w:tcPr>
            <w:tcW w:w="560" w:type="pct"/>
            <w:tcBorders>
              <w:top w:val="nil"/>
              <w:left w:val="nil"/>
              <w:bottom w:val="nil"/>
              <w:right w:val="nil"/>
            </w:tcBorders>
            <w:shd w:val="clear" w:color="auto" w:fill="auto"/>
            <w:noWrap/>
            <w:vAlign w:val="bottom"/>
            <w:hideMark/>
          </w:tcPr>
          <w:p w14:paraId="6210FC8B" w14:textId="31D6EB9A" w:rsidR="00142C1A" w:rsidRPr="008669C3" w:rsidRDefault="00142C1A" w:rsidP="00142C1A">
            <w:pPr>
              <w:jc w:val="center"/>
              <w:rPr>
                <w:color w:val="000000"/>
                <w:sz w:val="22"/>
                <w:szCs w:val="22"/>
              </w:rPr>
            </w:pPr>
            <w:r w:rsidRPr="008669C3">
              <w:rPr>
                <w:color w:val="000000"/>
                <w:sz w:val="22"/>
                <w:szCs w:val="22"/>
              </w:rPr>
              <w:t>No</w:t>
            </w:r>
          </w:p>
        </w:tc>
        <w:tc>
          <w:tcPr>
            <w:tcW w:w="103" w:type="pct"/>
            <w:tcBorders>
              <w:top w:val="nil"/>
              <w:left w:val="nil"/>
              <w:bottom w:val="nil"/>
              <w:right w:val="nil"/>
            </w:tcBorders>
            <w:shd w:val="clear" w:color="auto" w:fill="auto"/>
            <w:noWrap/>
            <w:vAlign w:val="bottom"/>
            <w:hideMark/>
          </w:tcPr>
          <w:p w14:paraId="40B53E15" w14:textId="77777777" w:rsidR="00142C1A" w:rsidRPr="008669C3" w:rsidRDefault="00142C1A" w:rsidP="00142C1A">
            <w:pPr>
              <w:jc w:val="center"/>
              <w:rPr>
                <w:sz w:val="22"/>
                <w:szCs w:val="22"/>
              </w:rPr>
            </w:pPr>
          </w:p>
        </w:tc>
        <w:tc>
          <w:tcPr>
            <w:tcW w:w="416" w:type="pct"/>
            <w:tcBorders>
              <w:top w:val="nil"/>
              <w:left w:val="nil"/>
              <w:bottom w:val="nil"/>
              <w:right w:val="nil"/>
            </w:tcBorders>
            <w:shd w:val="clear" w:color="auto" w:fill="auto"/>
            <w:noWrap/>
            <w:vAlign w:val="bottom"/>
            <w:hideMark/>
          </w:tcPr>
          <w:p w14:paraId="041B8074" w14:textId="32CB4337" w:rsidR="00142C1A" w:rsidRPr="008669C3" w:rsidRDefault="00142C1A" w:rsidP="00142C1A">
            <w:pPr>
              <w:jc w:val="center"/>
              <w:rPr>
                <w:color w:val="000000"/>
                <w:sz w:val="22"/>
                <w:szCs w:val="22"/>
              </w:rPr>
            </w:pPr>
            <w:r w:rsidRPr="008669C3">
              <w:rPr>
                <w:color w:val="000000"/>
                <w:sz w:val="22"/>
                <w:szCs w:val="22"/>
              </w:rPr>
              <w:t>Yes</w:t>
            </w:r>
          </w:p>
        </w:tc>
        <w:tc>
          <w:tcPr>
            <w:tcW w:w="500" w:type="pct"/>
            <w:tcBorders>
              <w:top w:val="nil"/>
              <w:left w:val="nil"/>
              <w:bottom w:val="nil"/>
              <w:right w:val="nil"/>
            </w:tcBorders>
            <w:shd w:val="clear" w:color="auto" w:fill="auto"/>
            <w:noWrap/>
            <w:vAlign w:val="bottom"/>
            <w:hideMark/>
          </w:tcPr>
          <w:p w14:paraId="2E1B86EF" w14:textId="6F2D867B" w:rsidR="00142C1A" w:rsidRPr="008669C3" w:rsidRDefault="00142C1A" w:rsidP="00142C1A">
            <w:pPr>
              <w:jc w:val="center"/>
              <w:rPr>
                <w:color w:val="000000"/>
                <w:sz w:val="22"/>
                <w:szCs w:val="22"/>
              </w:rPr>
            </w:pPr>
            <w:r w:rsidRPr="008669C3">
              <w:rPr>
                <w:color w:val="000000"/>
                <w:sz w:val="22"/>
                <w:szCs w:val="22"/>
              </w:rPr>
              <w:t>No</w:t>
            </w:r>
          </w:p>
        </w:tc>
      </w:tr>
      <w:tr w:rsidR="00142C1A" w:rsidRPr="008669C3" w14:paraId="5EE33A25" w14:textId="77777777" w:rsidTr="00142C1A">
        <w:trPr>
          <w:trHeight w:val="20"/>
        </w:trPr>
        <w:tc>
          <w:tcPr>
            <w:tcW w:w="1689" w:type="pct"/>
            <w:tcBorders>
              <w:top w:val="nil"/>
              <w:left w:val="nil"/>
              <w:bottom w:val="nil"/>
              <w:right w:val="nil"/>
            </w:tcBorders>
            <w:shd w:val="clear" w:color="auto" w:fill="auto"/>
            <w:noWrap/>
            <w:vAlign w:val="bottom"/>
            <w:hideMark/>
          </w:tcPr>
          <w:p w14:paraId="2FEB995C" w14:textId="77777777" w:rsidR="00142C1A" w:rsidRPr="008669C3" w:rsidRDefault="00142C1A" w:rsidP="00142C1A">
            <w:pPr>
              <w:rPr>
                <w:color w:val="000000"/>
                <w:sz w:val="22"/>
                <w:szCs w:val="22"/>
              </w:rPr>
            </w:pPr>
            <w:r w:rsidRPr="008669C3">
              <w:rPr>
                <w:color w:val="000000"/>
                <w:sz w:val="22"/>
                <w:szCs w:val="22"/>
              </w:rPr>
              <w:t>CEO-Firm FE</w:t>
            </w:r>
          </w:p>
        </w:tc>
        <w:tc>
          <w:tcPr>
            <w:tcW w:w="526" w:type="pct"/>
            <w:tcBorders>
              <w:top w:val="nil"/>
              <w:left w:val="nil"/>
              <w:bottom w:val="nil"/>
              <w:right w:val="nil"/>
            </w:tcBorders>
            <w:shd w:val="clear" w:color="auto" w:fill="auto"/>
            <w:noWrap/>
            <w:vAlign w:val="bottom"/>
            <w:hideMark/>
          </w:tcPr>
          <w:p w14:paraId="7C673004" w14:textId="71ED50F3" w:rsidR="00142C1A" w:rsidRPr="008669C3" w:rsidRDefault="00142C1A" w:rsidP="00142C1A">
            <w:pPr>
              <w:jc w:val="center"/>
              <w:rPr>
                <w:color w:val="000000"/>
                <w:sz w:val="22"/>
                <w:szCs w:val="22"/>
              </w:rPr>
            </w:pPr>
            <w:r w:rsidRPr="008669C3">
              <w:rPr>
                <w:color w:val="000000"/>
                <w:sz w:val="22"/>
                <w:szCs w:val="22"/>
              </w:rPr>
              <w:t>No</w:t>
            </w:r>
          </w:p>
        </w:tc>
        <w:tc>
          <w:tcPr>
            <w:tcW w:w="544" w:type="pct"/>
            <w:tcBorders>
              <w:top w:val="nil"/>
              <w:left w:val="nil"/>
              <w:bottom w:val="nil"/>
              <w:right w:val="nil"/>
            </w:tcBorders>
            <w:shd w:val="clear" w:color="auto" w:fill="auto"/>
            <w:noWrap/>
            <w:vAlign w:val="bottom"/>
            <w:hideMark/>
          </w:tcPr>
          <w:p w14:paraId="1DAA023D" w14:textId="5ECC8E2A" w:rsidR="00142C1A" w:rsidRPr="008669C3" w:rsidRDefault="00142C1A" w:rsidP="00142C1A">
            <w:pPr>
              <w:jc w:val="center"/>
              <w:rPr>
                <w:color w:val="000000"/>
                <w:sz w:val="22"/>
                <w:szCs w:val="22"/>
              </w:rPr>
            </w:pPr>
            <w:r w:rsidRPr="008669C3">
              <w:rPr>
                <w:color w:val="000000"/>
                <w:sz w:val="22"/>
                <w:szCs w:val="22"/>
              </w:rPr>
              <w:t>Yes</w:t>
            </w:r>
          </w:p>
        </w:tc>
        <w:tc>
          <w:tcPr>
            <w:tcW w:w="103" w:type="pct"/>
            <w:tcBorders>
              <w:top w:val="nil"/>
              <w:left w:val="nil"/>
              <w:bottom w:val="nil"/>
              <w:right w:val="nil"/>
            </w:tcBorders>
            <w:shd w:val="clear" w:color="auto" w:fill="auto"/>
            <w:noWrap/>
            <w:vAlign w:val="bottom"/>
            <w:hideMark/>
          </w:tcPr>
          <w:p w14:paraId="1E24B082" w14:textId="77777777" w:rsidR="00142C1A" w:rsidRPr="008669C3" w:rsidRDefault="00142C1A" w:rsidP="00142C1A">
            <w:pPr>
              <w:jc w:val="center"/>
              <w:rPr>
                <w:color w:val="000000"/>
                <w:sz w:val="22"/>
                <w:szCs w:val="22"/>
              </w:rPr>
            </w:pPr>
          </w:p>
        </w:tc>
        <w:tc>
          <w:tcPr>
            <w:tcW w:w="559" w:type="pct"/>
            <w:tcBorders>
              <w:top w:val="nil"/>
              <w:left w:val="nil"/>
              <w:bottom w:val="nil"/>
              <w:right w:val="nil"/>
            </w:tcBorders>
            <w:shd w:val="clear" w:color="auto" w:fill="auto"/>
            <w:noWrap/>
            <w:vAlign w:val="bottom"/>
            <w:hideMark/>
          </w:tcPr>
          <w:p w14:paraId="0094369C" w14:textId="26D4192F" w:rsidR="00142C1A" w:rsidRPr="008669C3" w:rsidRDefault="00142C1A" w:rsidP="00142C1A">
            <w:pPr>
              <w:jc w:val="center"/>
              <w:rPr>
                <w:sz w:val="22"/>
                <w:szCs w:val="22"/>
              </w:rPr>
            </w:pPr>
            <w:r w:rsidRPr="008669C3">
              <w:rPr>
                <w:color w:val="000000"/>
                <w:sz w:val="22"/>
                <w:szCs w:val="22"/>
              </w:rPr>
              <w:t>No</w:t>
            </w:r>
          </w:p>
        </w:tc>
        <w:tc>
          <w:tcPr>
            <w:tcW w:w="560" w:type="pct"/>
            <w:tcBorders>
              <w:top w:val="nil"/>
              <w:left w:val="nil"/>
              <w:bottom w:val="nil"/>
              <w:right w:val="nil"/>
            </w:tcBorders>
            <w:shd w:val="clear" w:color="auto" w:fill="auto"/>
            <w:noWrap/>
            <w:vAlign w:val="bottom"/>
            <w:hideMark/>
          </w:tcPr>
          <w:p w14:paraId="50FFA7CF" w14:textId="6BFB1F08" w:rsidR="00142C1A" w:rsidRPr="008669C3" w:rsidRDefault="00142C1A" w:rsidP="00142C1A">
            <w:pPr>
              <w:jc w:val="center"/>
              <w:rPr>
                <w:color w:val="000000"/>
                <w:sz w:val="22"/>
                <w:szCs w:val="22"/>
              </w:rPr>
            </w:pPr>
            <w:r w:rsidRPr="008669C3">
              <w:rPr>
                <w:color w:val="000000"/>
                <w:sz w:val="22"/>
                <w:szCs w:val="22"/>
              </w:rPr>
              <w:t>Yes</w:t>
            </w:r>
          </w:p>
        </w:tc>
        <w:tc>
          <w:tcPr>
            <w:tcW w:w="103" w:type="pct"/>
            <w:tcBorders>
              <w:top w:val="nil"/>
              <w:left w:val="nil"/>
              <w:bottom w:val="nil"/>
              <w:right w:val="nil"/>
            </w:tcBorders>
            <w:shd w:val="clear" w:color="auto" w:fill="auto"/>
            <w:noWrap/>
            <w:vAlign w:val="bottom"/>
            <w:hideMark/>
          </w:tcPr>
          <w:p w14:paraId="7AD57F52" w14:textId="77777777" w:rsidR="00142C1A" w:rsidRPr="008669C3" w:rsidRDefault="00142C1A" w:rsidP="00142C1A">
            <w:pPr>
              <w:jc w:val="center"/>
              <w:rPr>
                <w:color w:val="000000"/>
                <w:sz w:val="22"/>
                <w:szCs w:val="22"/>
              </w:rPr>
            </w:pPr>
          </w:p>
        </w:tc>
        <w:tc>
          <w:tcPr>
            <w:tcW w:w="416" w:type="pct"/>
            <w:tcBorders>
              <w:top w:val="nil"/>
              <w:left w:val="nil"/>
              <w:bottom w:val="nil"/>
              <w:right w:val="nil"/>
            </w:tcBorders>
            <w:shd w:val="clear" w:color="auto" w:fill="auto"/>
            <w:noWrap/>
            <w:vAlign w:val="bottom"/>
            <w:hideMark/>
          </w:tcPr>
          <w:p w14:paraId="6B827143" w14:textId="1D195062" w:rsidR="00142C1A" w:rsidRPr="008669C3" w:rsidRDefault="00142C1A" w:rsidP="00142C1A">
            <w:pPr>
              <w:jc w:val="center"/>
              <w:rPr>
                <w:sz w:val="22"/>
                <w:szCs w:val="22"/>
              </w:rPr>
            </w:pPr>
            <w:r w:rsidRPr="008669C3">
              <w:rPr>
                <w:color w:val="000000"/>
                <w:sz w:val="22"/>
                <w:szCs w:val="22"/>
              </w:rPr>
              <w:t>No</w:t>
            </w:r>
          </w:p>
        </w:tc>
        <w:tc>
          <w:tcPr>
            <w:tcW w:w="500" w:type="pct"/>
            <w:tcBorders>
              <w:top w:val="nil"/>
              <w:left w:val="nil"/>
              <w:bottom w:val="nil"/>
              <w:right w:val="nil"/>
            </w:tcBorders>
            <w:shd w:val="clear" w:color="auto" w:fill="auto"/>
            <w:noWrap/>
            <w:vAlign w:val="bottom"/>
            <w:hideMark/>
          </w:tcPr>
          <w:p w14:paraId="063FF694" w14:textId="022321E8" w:rsidR="00142C1A" w:rsidRPr="008669C3" w:rsidRDefault="00142C1A" w:rsidP="00142C1A">
            <w:pPr>
              <w:jc w:val="center"/>
              <w:rPr>
                <w:color w:val="000000"/>
                <w:sz w:val="22"/>
                <w:szCs w:val="22"/>
              </w:rPr>
            </w:pPr>
            <w:r w:rsidRPr="008669C3">
              <w:rPr>
                <w:color w:val="000000"/>
                <w:sz w:val="22"/>
                <w:szCs w:val="22"/>
              </w:rPr>
              <w:t>Yes</w:t>
            </w:r>
          </w:p>
        </w:tc>
      </w:tr>
      <w:tr w:rsidR="00142C1A" w:rsidRPr="008669C3" w14:paraId="720C70D9" w14:textId="77777777" w:rsidTr="00142C1A">
        <w:trPr>
          <w:trHeight w:val="20"/>
        </w:trPr>
        <w:tc>
          <w:tcPr>
            <w:tcW w:w="1689" w:type="pct"/>
            <w:tcBorders>
              <w:top w:val="nil"/>
              <w:left w:val="nil"/>
              <w:bottom w:val="nil"/>
              <w:right w:val="nil"/>
            </w:tcBorders>
            <w:shd w:val="clear" w:color="auto" w:fill="auto"/>
            <w:noWrap/>
            <w:vAlign w:val="bottom"/>
            <w:hideMark/>
          </w:tcPr>
          <w:p w14:paraId="4E3A87FD" w14:textId="77777777" w:rsidR="00142C1A" w:rsidRPr="008669C3" w:rsidRDefault="00142C1A" w:rsidP="00142C1A">
            <w:pPr>
              <w:rPr>
                <w:color w:val="000000"/>
                <w:sz w:val="22"/>
                <w:szCs w:val="22"/>
              </w:rPr>
            </w:pPr>
            <w:r w:rsidRPr="008669C3">
              <w:rPr>
                <w:color w:val="000000"/>
                <w:sz w:val="22"/>
                <w:szCs w:val="22"/>
              </w:rPr>
              <w:t>Industry-Year FE</w:t>
            </w:r>
          </w:p>
        </w:tc>
        <w:tc>
          <w:tcPr>
            <w:tcW w:w="526" w:type="pct"/>
            <w:tcBorders>
              <w:top w:val="nil"/>
              <w:left w:val="nil"/>
              <w:bottom w:val="nil"/>
              <w:right w:val="nil"/>
            </w:tcBorders>
            <w:shd w:val="clear" w:color="auto" w:fill="auto"/>
            <w:noWrap/>
            <w:vAlign w:val="bottom"/>
            <w:hideMark/>
          </w:tcPr>
          <w:p w14:paraId="367FD9FD" w14:textId="3C9F0CBB" w:rsidR="00142C1A" w:rsidRPr="008669C3" w:rsidRDefault="00142C1A" w:rsidP="00142C1A">
            <w:pPr>
              <w:jc w:val="center"/>
              <w:rPr>
                <w:color w:val="000000"/>
                <w:sz w:val="22"/>
                <w:szCs w:val="22"/>
              </w:rPr>
            </w:pPr>
            <w:r w:rsidRPr="008669C3">
              <w:rPr>
                <w:color w:val="000000"/>
                <w:sz w:val="22"/>
                <w:szCs w:val="22"/>
              </w:rPr>
              <w:t>Yes</w:t>
            </w:r>
          </w:p>
        </w:tc>
        <w:tc>
          <w:tcPr>
            <w:tcW w:w="544" w:type="pct"/>
            <w:tcBorders>
              <w:top w:val="nil"/>
              <w:left w:val="nil"/>
              <w:bottom w:val="nil"/>
              <w:right w:val="nil"/>
            </w:tcBorders>
            <w:shd w:val="clear" w:color="auto" w:fill="auto"/>
            <w:noWrap/>
            <w:vAlign w:val="bottom"/>
            <w:hideMark/>
          </w:tcPr>
          <w:p w14:paraId="61DA9A05" w14:textId="2EF7341E" w:rsidR="00142C1A" w:rsidRPr="008669C3" w:rsidRDefault="00142C1A" w:rsidP="00142C1A">
            <w:pPr>
              <w:jc w:val="center"/>
              <w:rPr>
                <w:color w:val="000000"/>
                <w:sz w:val="22"/>
                <w:szCs w:val="22"/>
              </w:rPr>
            </w:pPr>
            <w:r w:rsidRPr="008669C3">
              <w:rPr>
                <w:color w:val="000000"/>
                <w:sz w:val="22"/>
                <w:szCs w:val="22"/>
              </w:rPr>
              <w:t>Yes</w:t>
            </w:r>
          </w:p>
        </w:tc>
        <w:tc>
          <w:tcPr>
            <w:tcW w:w="103" w:type="pct"/>
            <w:tcBorders>
              <w:top w:val="nil"/>
              <w:left w:val="nil"/>
              <w:bottom w:val="nil"/>
              <w:right w:val="nil"/>
            </w:tcBorders>
            <w:shd w:val="clear" w:color="auto" w:fill="auto"/>
            <w:noWrap/>
            <w:vAlign w:val="bottom"/>
            <w:hideMark/>
          </w:tcPr>
          <w:p w14:paraId="1A53AD3A" w14:textId="77777777" w:rsidR="00142C1A" w:rsidRPr="008669C3" w:rsidRDefault="00142C1A" w:rsidP="00142C1A">
            <w:pPr>
              <w:jc w:val="center"/>
              <w:rPr>
                <w:color w:val="000000"/>
                <w:sz w:val="22"/>
                <w:szCs w:val="22"/>
              </w:rPr>
            </w:pPr>
          </w:p>
        </w:tc>
        <w:tc>
          <w:tcPr>
            <w:tcW w:w="559" w:type="pct"/>
            <w:tcBorders>
              <w:top w:val="nil"/>
              <w:left w:val="nil"/>
              <w:bottom w:val="nil"/>
              <w:right w:val="nil"/>
            </w:tcBorders>
            <w:shd w:val="clear" w:color="auto" w:fill="auto"/>
            <w:noWrap/>
            <w:vAlign w:val="bottom"/>
            <w:hideMark/>
          </w:tcPr>
          <w:p w14:paraId="172943C5" w14:textId="44CFA8AB" w:rsidR="00142C1A" w:rsidRPr="008669C3" w:rsidRDefault="00142C1A" w:rsidP="00142C1A">
            <w:pPr>
              <w:jc w:val="center"/>
              <w:rPr>
                <w:color w:val="000000"/>
                <w:sz w:val="22"/>
                <w:szCs w:val="22"/>
              </w:rPr>
            </w:pPr>
            <w:r w:rsidRPr="008669C3">
              <w:rPr>
                <w:color w:val="000000"/>
                <w:sz w:val="22"/>
                <w:szCs w:val="22"/>
              </w:rPr>
              <w:t>Yes</w:t>
            </w:r>
          </w:p>
        </w:tc>
        <w:tc>
          <w:tcPr>
            <w:tcW w:w="560" w:type="pct"/>
            <w:tcBorders>
              <w:top w:val="nil"/>
              <w:left w:val="nil"/>
              <w:bottom w:val="nil"/>
              <w:right w:val="nil"/>
            </w:tcBorders>
            <w:shd w:val="clear" w:color="auto" w:fill="auto"/>
            <w:noWrap/>
            <w:vAlign w:val="bottom"/>
            <w:hideMark/>
          </w:tcPr>
          <w:p w14:paraId="25198ACD" w14:textId="59CE626F" w:rsidR="00142C1A" w:rsidRPr="008669C3" w:rsidRDefault="00142C1A" w:rsidP="00142C1A">
            <w:pPr>
              <w:jc w:val="center"/>
              <w:rPr>
                <w:color w:val="000000"/>
                <w:sz w:val="22"/>
                <w:szCs w:val="22"/>
              </w:rPr>
            </w:pPr>
            <w:r w:rsidRPr="008669C3">
              <w:rPr>
                <w:color w:val="000000"/>
                <w:sz w:val="22"/>
                <w:szCs w:val="22"/>
              </w:rPr>
              <w:t>Yes</w:t>
            </w:r>
          </w:p>
        </w:tc>
        <w:tc>
          <w:tcPr>
            <w:tcW w:w="103" w:type="pct"/>
            <w:tcBorders>
              <w:top w:val="nil"/>
              <w:left w:val="nil"/>
              <w:bottom w:val="nil"/>
              <w:right w:val="nil"/>
            </w:tcBorders>
            <w:shd w:val="clear" w:color="auto" w:fill="auto"/>
            <w:noWrap/>
            <w:vAlign w:val="bottom"/>
            <w:hideMark/>
          </w:tcPr>
          <w:p w14:paraId="5FEE90B8" w14:textId="77777777" w:rsidR="00142C1A" w:rsidRPr="008669C3" w:rsidRDefault="00142C1A" w:rsidP="00142C1A">
            <w:pPr>
              <w:jc w:val="center"/>
              <w:rPr>
                <w:color w:val="000000"/>
                <w:sz w:val="22"/>
                <w:szCs w:val="22"/>
              </w:rPr>
            </w:pPr>
          </w:p>
        </w:tc>
        <w:tc>
          <w:tcPr>
            <w:tcW w:w="416" w:type="pct"/>
            <w:tcBorders>
              <w:top w:val="nil"/>
              <w:left w:val="nil"/>
              <w:bottom w:val="nil"/>
              <w:right w:val="nil"/>
            </w:tcBorders>
            <w:shd w:val="clear" w:color="auto" w:fill="auto"/>
            <w:noWrap/>
            <w:vAlign w:val="bottom"/>
            <w:hideMark/>
          </w:tcPr>
          <w:p w14:paraId="5E32D02A" w14:textId="20DB521F" w:rsidR="00142C1A" w:rsidRPr="008669C3" w:rsidRDefault="00142C1A" w:rsidP="00142C1A">
            <w:pPr>
              <w:jc w:val="center"/>
              <w:rPr>
                <w:color w:val="000000"/>
                <w:sz w:val="22"/>
                <w:szCs w:val="22"/>
              </w:rPr>
            </w:pPr>
            <w:r w:rsidRPr="008669C3">
              <w:rPr>
                <w:color w:val="000000"/>
                <w:sz w:val="22"/>
                <w:szCs w:val="22"/>
              </w:rPr>
              <w:t>Yes</w:t>
            </w:r>
          </w:p>
        </w:tc>
        <w:tc>
          <w:tcPr>
            <w:tcW w:w="500" w:type="pct"/>
            <w:tcBorders>
              <w:top w:val="nil"/>
              <w:left w:val="nil"/>
              <w:bottom w:val="nil"/>
              <w:right w:val="nil"/>
            </w:tcBorders>
            <w:shd w:val="clear" w:color="auto" w:fill="auto"/>
            <w:noWrap/>
            <w:vAlign w:val="bottom"/>
            <w:hideMark/>
          </w:tcPr>
          <w:p w14:paraId="5E68B59F" w14:textId="40B6C2AA" w:rsidR="00142C1A" w:rsidRPr="008669C3" w:rsidRDefault="00142C1A" w:rsidP="00142C1A">
            <w:pPr>
              <w:jc w:val="center"/>
              <w:rPr>
                <w:color w:val="000000"/>
                <w:sz w:val="22"/>
                <w:szCs w:val="22"/>
              </w:rPr>
            </w:pPr>
            <w:r w:rsidRPr="008669C3">
              <w:rPr>
                <w:color w:val="000000"/>
                <w:sz w:val="22"/>
                <w:szCs w:val="22"/>
              </w:rPr>
              <w:t>Yes</w:t>
            </w:r>
          </w:p>
        </w:tc>
      </w:tr>
      <w:tr w:rsidR="00142C1A" w:rsidRPr="008669C3" w14:paraId="163FDAFF" w14:textId="77777777" w:rsidTr="00142C1A">
        <w:trPr>
          <w:trHeight w:val="20"/>
        </w:trPr>
        <w:tc>
          <w:tcPr>
            <w:tcW w:w="1689" w:type="pct"/>
            <w:tcBorders>
              <w:top w:val="nil"/>
              <w:left w:val="nil"/>
              <w:bottom w:val="nil"/>
              <w:right w:val="nil"/>
            </w:tcBorders>
            <w:shd w:val="clear" w:color="auto" w:fill="auto"/>
            <w:noWrap/>
            <w:vAlign w:val="bottom"/>
            <w:hideMark/>
          </w:tcPr>
          <w:p w14:paraId="625217BC" w14:textId="77777777" w:rsidR="00142C1A" w:rsidRPr="008669C3" w:rsidRDefault="00142C1A" w:rsidP="00142C1A">
            <w:pPr>
              <w:rPr>
                <w:color w:val="000000"/>
                <w:sz w:val="22"/>
                <w:szCs w:val="22"/>
              </w:rPr>
            </w:pPr>
            <w:r w:rsidRPr="008669C3">
              <w:rPr>
                <w:color w:val="000000"/>
                <w:sz w:val="22"/>
                <w:szCs w:val="22"/>
              </w:rPr>
              <w:t>N</w:t>
            </w:r>
          </w:p>
        </w:tc>
        <w:tc>
          <w:tcPr>
            <w:tcW w:w="526" w:type="pct"/>
            <w:tcBorders>
              <w:top w:val="nil"/>
              <w:left w:val="nil"/>
              <w:bottom w:val="nil"/>
              <w:right w:val="nil"/>
            </w:tcBorders>
            <w:shd w:val="clear" w:color="auto" w:fill="auto"/>
            <w:noWrap/>
            <w:vAlign w:val="bottom"/>
            <w:hideMark/>
          </w:tcPr>
          <w:p w14:paraId="02657E83" w14:textId="16E25FC6" w:rsidR="00142C1A" w:rsidRPr="008669C3" w:rsidRDefault="00890C53" w:rsidP="00142C1A">
            <w:pPr>
              <w:jc w:val="center"/>
              <w:rPr>
                <w:sz w:val="22"/>
                <w:szCs w:val="22"/>
              </w:rPr>
            </w:pPr>
            <w:r>
              <w:rPr>
                <w:sz w:val="22"/>
                <w:szCs w:val="22"/>
              </w:rPr>
              <w:t>4</w:t>
            </w:r>
            <w:r w:rsidR="00142C1A" w:rsidRPr="008669C3">
              <w:rPr>
                <w:sz w:val="22"/>
                <w:szCs w:val="22"/>
              </w:rPr>
              <w:t>588</w:t>
            </w:r>
          </w:p>
        </w:tc>
        <w:tc>
          <w:tcPr>
            <w:tcW w:w="544" w:type="pct"/>
            <w:tcBorders>
              <w:top w:val="nil"/>
              <w:left w:val="nil"/>
              <w:bottom w:val="nil"/>
              <w:right w:val="nil"/>
            </w:tcBorders>
            <w:shd w:val="clear" w:color="auto" w:fill="auto"/>
            <w:noWrap/>
            <w:vAlign w:val="bottom"/>
            <w:hideMark/>
          </w:tcPr>
          <w:p w14:paraId="0AB31AB2" w14:textId="3C8600F0" w:rsidR="00142C1A" w:rsidRPr="008669C3" w:rsidRDefault="00890C53" w:rsidP="00142C1A">
            <w:pPr>
              <w:jc w:val="center"/>
              <w:rPr>
                <w:sz w:val="22"/>
                <w:szCs w:val="22"/>
              </w:rPr>
            </w:pPr>
            <w:r>
              <w:rPr>
                <w:sz w:val="22"/>
                <w:szCs w:val="22"/>
              </w:rPr>
              <w:t>4</w:t>
            </w:r>
            <w:r w:rsidR="00142C1A" w:rsidRPr="008669C3">
              <w:rPr>
                <w:sz w:val="22"/>
                <w:szCs w:val="22"/>
              </w:rPr>
              <w:t>588</w:t>
            </w:r>
          </w:p>
        </w:tc>
        <w:tc>
          <w:tcPr>
            <w:tcW w:w="103" w:type="pct"/>
            <w:tcBorders>
              <w:top w:val="nil"/>
              <w:left w:val="nil"/>
              <w:bottom w:val="nil"/>
              <w:right w:val="nil"/>
            </w:tcBorders>
            <w:shd w:val="clear" w:color="auto" w:fill="auto"/>
            <w:noWrap/>
            <w:vAlign w:val="bottom"/>
            <w:hideMark/>
          </w:tcPr>
          <w:p w14:paraId="1413CD80" w14:textId="77777777" w:rsidR="00142C1A" w:rsidRPr="008669C3" w:rsidRDefault="00142C1A" w:rsidP="00142C1A">
            <w:pPr>
              <w:jc w:val="center"/>
              <w:rPr>
                <w:sz w:val="22"/>
                <w:szCs w:val="22"/>
              </w:rPr>
            </w:pPr>
          </w:p>
        </w:tc>
        <w:tc>
          <w:tcPr>
            <w:tcW w:w="559" w:type="pct"/>
            <w:tcBorders>
              <w:top w:val="nil"/>
              <w:left w:val="nil"/>
              <w:bottom w:val="nil"/>
              <w:right w:val="nil"/>
            </w:tcBorders>
            <w:shd w:val="clear" w:color="auto" w:fill="auto"/>
            <w:noWrap/>
            <w:vAlign w:val="bottom"/>
            <w:hideMark/>
          </w:tcPr>
          <w:p w14:paraId="56BF5FC3" w14:textId="2B7C2872" w:rsidR="00142C1A" w:rsidRPr="008669C3" w:rsidRDefault="00890C53" w:rsidP="00142C1A">
            <w:pPr>
              <w:jc w:val="center"/>
              <w:rPr>
                <w:sz w:val="22"/>
                <w:szCs w:val="22"/>
              </w:rPr>
            </w:pPr>
            <w:r>
              <w:rPr>
                <w:sz w:val="22"/>
                <w:szCs w:val="22"/>
              </w:rPr>
              <w:t>4</w:t>
            </w:r>
            <w:r w:rsidR="00142C1A" w:rsidRPr="008669C3">
              <w:rPr>
                <w:sz w:val="22"/>
                <w:szCs w:val="22"/>
              </w:rPr>
              <w:t>588</w:t>
            </w:r>
          </w:p>
        </w:tc>
        <w:tc>
          <w:tcPr>
            <w:tcW w:w="560" w:type="pct"/>
            <w:tcBorders>
              <w:top w:val="nil"/>
              <w:left w:val="nil"/>
              <w:bottom w:val="nil"/>
              <w:right w:val="nil"/>
            </w:tcBorders>
            <w:shd w:val="clear" w:color="auto" w:fill="auto"/>
            <w:noWrap/>
            <w:vAlign w:val="bottom"/>
            <w:hideMark/>
          </w:tcPr>
          <w:p w14:paraId="06C9963F" w14:textId="083AFAEA" w:rsidR="00142C1A" w:rsidRPr="008669C3" w:rsidRDefault="00890C53" w:rsidP="00142C1A">
            <w:pPr>
              <w:jc w:val="center"/>
              <w:rPr>
                <w:sz w:val="22"/>
                <w:szCs w:val="22"/>
              </w:rPr>
            </w:pPr>
            <w:r>
              <w:rPr>
                <w:sz w:val="22"/>
                <w:szCs w:val="22"/>
              </w:rPr>
              <w:t>4</w:t>
            </w:r>
            <w:r w:rsidR="00142C1A" w:rsidRPr="008669C3">
              <w:rPr>
                <w:sz w:val="22"/>
                <w:szCs w:val="22"/>
              </w:rPr>
              <w:t>588</w:t>
            </w:r>
          </w:p>
        </w:tc>
        <w:tc>
          <w:tcPr>
            <w:tcW w:w="103" w:type="pct"/>
            <w:tcBorders>
              <w:top w:val="nil"/>
              <w:left w:val="nil"/>
              <w:bottom w:val="nil"/>
              <w:right w:val="nil"/>
            </w:tcBorders>
            <w:shd w:val="clear" w:color="auto" w:fill="auto"/>
            <w:noWrap/>
            <w:vAlign w:val="bottom"/>
            <w:hideMark/>
          </w:tcPr>
          <w:p w14:paraId="7E9594F2" w14:textId="77777777" w:rsidR="00142C1A" w:rsidRPr="008669C3" w:rsidRDefault="00142C1A" w:rsidP="00142C1A">
            <w:pPr>
              <w:jc w:val="center"/>
              <w:rPr>
                <w:sz w:val="22"/>
                <w:szCs w:val="22"/>
              </w:rPr>
            </w:pPr>
          </w:p>
        </w:tc>
        <w:tc>
          <w:tcPr>
            <w:tcW w:w="416" w:type="pct"/>
            <w:tcBorders>
              <w:top w:val="nil"/>
              <w:left w:val="nil"/>
              <w:bottom w:val="nil"/>
              <w:right w:val="nil"/>
            </w:tcBorders>
            <w:shd w:val="clear" w:color="auto" w:fill="auto"/>
            <w:noWrap/>
            <w:vAlign w:val="bottom"/>
            <w:hideMark/>
          </w:tcPr>
          <w:p w14:paraId="4B80129B" w14:textId="1B9F8BA2" w:rsidR="00142C1A" w:rsidRPr="008669C3" w:rsidRDefault="00890C53" w:rsidP="00142C1A">
            <w:pPr>
              <w:jc w:val="center"/>
              <w:rPr>
                <w:sz w:val="22"/>
                <w:szCs w:val="22"/>
              </w:rPr>
            </w:pPr>
            <w:r>
              <w:rPr>
                <w:sz w:val="22"/>
                <w:szCs w:val="22"/>
              </w:rPr>
              <w:t>9</w:t>
            </w:r>
            <w:r w:rsidR="00142C1A" w:rsidRPr="008669C3">
              <w:rPr>
                <w:sz w:val="22"/>
                <w:szCs w:val="22"/>
              </w:rPr>
              <w:t>176</w:t>
            </w:r>
          </w:p>
        </w:tc>
        <w:tc>
          <w:tcPr>
            <w:tcW w:w="500" w:type="pct"/>
            <w:tcBorders>
              <w:top w:val="nil"/>
              <w:left w:val="nil"/>
              <w:bottom w:val="nil"/>
              <w:right w:val="nil"/>
            </w:tcBorders>
            <w:shd w:val="clear" w:color="auto" w:fill="auto"/>
            <w:noWrap/>
            <w:vAlign w:val="bottom"/>
            <w:hideMark/>
          </w:tcPr>
          <w:p w14:paraId="0B56A68B" w14:textId="2461D35C" w:rsidR="00142C1A" w:rsidRPr="008669C3" w:rsidRDefault="00890C53" w:rsidP="00142C1A">
            <w:pPr>
              <w:jc w:val="center"/>
              <w:rPr>
                <w:sz w:val="22"/>
                <w:szCs w:val="22"/>
              </w:rPr>
            </w:pPr>
            <w:r>
              <w:rPr>
                <w:sz w:val="22"/>
                <w:szCs w:val="22"/>
              </w:rPr>
              <w:t>9</w:t>
            </w:r>
            <w:r w:rsidR="00142C1A" w:rsidRPr="008669C3">
              <w:rPr>
                <w:sz w:val="22"/>
                <w:szCs w:val="22"/>
              </w:rPr>
              <w:t>176</w:t>
            </w:r>
          </w:p>
        </w:tc>
      </w:tr>
      <w:tr w:rsidR="0024682D" w:rsidRPr="008669C3" w14:paraId="65A82CAC" w14:textId="77777777" w:rsidTr="00142C1A">
        <w:trPr>
          <w:trHeight w:val="20"/>
        </w:trPr>
        <w:tc>
          <w:tcPr>
            <w:tcW w:w="1689" w:type="pct"/>
            <w:tcBorders>
              <w:top w:val="nil"/>
              <w:left w:val="nil"/>
              <w:bottom w:val="single" w:sz="4" w:space="0" w:color="auto"/>
              <w:right w:val="nil"/>
            </w:tcBorders>
            <w:shd w:val="clear" w:color="auto" w:fill="auto"/>
            <w:noWrap/>
            <w:vAlign w:val="bottom"/>
            <w:hideMark/>
          </w:tcPr>
          <w:p w14:paraId="2AC11A77" w14:textId="50E6BA85" w:rsidR="0024682D" w:rsidRPr="008669C3" w:rsidRDefault="0024682D" w:rsidP="0024682D">
            <w:pPr>
              <w:rPr>
                <w:color w:val="000000"/>
                <w:sz w:val="22"/>
                <w:szCs w:val="22"/>
              </w:rPr>
            </w:pPr>
            <w:r w:rsidRPr="008669C3">
              <w:rPr>
                <w:sz w:val="22"/>
                <w:szCs w:val="22"/>
              </w:rPr>
              <w:t>Adjusted R</w:t>
            </w:r>
            <w:r w:rsidRPr="008669C3">
              <w:rPr>
                <w:sz w:val="22"/>
                <w:szCs w:val="22"/>
                <w:vertAlign w:val="superscript"/>
              </w:rPr>
              <w:t>2</w:t>
            </w:r>
          </w:p>
        </w:tc>
        <w:tc>
          <w:tcPr>
            <w:tcW w:w="526" w:type="pct"/>
            <w:tcBorders>
              <w:top w:val="nil"/>
              <w:left w:val="nil"/>
              <w:bottom w:val="single" w:sz="4" w:space="0" w:color="auto"/>
              <w:right w:val="nil"/>
            </w:tcBorders>
            <w:shd w:val="clear" w:color="auto" w:fill="auto"/>
            <w:noWrap/>
            <w:vAlign w:val="bottom"/>
            <w:hideMark/>
          </w:tcPr>
          <w:p w14:paraId="4D21190D" w14:textId="78CAEFDD" w:rsidR="0024682D" w:rsidRPr="008669C3" w:rsidRDefault="0024682D" w:rsidP="0024682D">
            <w:pPr>
              <w:jc w:val="center"/>
              <w:rPr>
                <w:sz w:val="22"/>
                <w:szCs w:val="22"/>
              </w:rPr>
            </w:pPr>
            <w:r w:rsidRPr="008669C3">
              <w:rPr>
                <w:color w:val="000000"/>
                <w:sz w:val="22"/>
                <w:szCs w:val="22"/>
              </w:rPr>
              <w:t>0.267</w:t>
            </w:r>
          </w:p>
        </w:tc>
        <w:tc>
          <w:tcPr>
            <w:tcW w:w="544" w:type="pct"/>
            <w:tcBorders>
              <w:top w:val="nil"/>
              <w:left w:val="nil"/>
              <w:bottom w:val="single" w:sz="4" w:space="0" w:color="auto"/>
              <w:right w:val="nil"/>
            </w:tcBorders>
            <w:shd w:val="clear" w:color="auto" w:fill="auto"/>
            <w:noWrap/>
            <w:vAlign w:val="bottom"/>
            <w:hideMark/>
          </w:tcPr>
          <w:p w14:paraId="09CAEF0D" w14:textId="4D2E84D1" w:rsidR="0024682D" w:rsidRPr="008669C3" w:rsidRDefault="0024682D" w:rsidP="0024682D">
            <w:pPr>
              <w:jc w:val="center"/>
              <w:rPr>
                <w:sz w:val="22"/>
                <w:szCs w:val="22"/>
              </w:rPr>
            </w:pPr>
            <w:r w:rsidRPr="008669C3">
              <w:rPr>
                <w:color w:val="000000"/>
                <w:sz w:val="22"/>
                <w:szCs w:val="22"/>
              </w:rPr>
              <w:t>0.182</w:t>
            </w:r>
          </w:p>
        </w:tc>
        <w:tc>
          <w:tcPr>
            <w:tcW w:w="103" w:type="pct"/>
            <w:tcBorders>
              <w:top w:val="nil"/>
              <w:left w:val="nil"/>
              <w:bottom w:val="single" w:sz="4" w:space="0" w:color="auto"/>
              <w:right w:val="nil"/>
            </w:tcBorders>
            <w:shd w:val="clear" w:color="auto" w:fill="auto"/>
            <w:noWrap/>
            <w:vAlign w:val="bottom"/>
            <w:hideMark/>
          </w:tcPr>
          <w:p w14:paraId="49418BB5" w14:textId="77777777" w:rsidR="0024682D" w:rsidRPr="008669C3" w:rsidRDefault="0024682D" w:rsidP="0024682D">
            <w:pPr>
              <w:jc w:val="center"/>
              <w:rPr>
                <w:sz w:val="22"/>
                <w:szCs w:val="22"/>
              </w:rPr>
            </w:pPr>
            <w:r w:rsidRPr="008669C3">
              <w:rPr>
                <w:sz w:val="22"/>
                <w:szCs w:val="22"/>
              </w:rPr>
              <w:t> </w:t>
            </w:r>
          </w:p>
        </w:tc>
        <w:tc>
          <w:tcPr>
            <w:tcW w:w="559" w:type="pct"/>
            <w:tcBorders>
              <w:top w:val="nil"/>
              <w:left w:val="nil"/>
              <w:bottom w:val="single" w:sz="4" w:space="0" w:color="auto"/>
              <w:right w:val="nil"/>
            </w:tcBorders>
            <w:shd w:val="clear" w:color="auto" w:fill="auto"/>
            <w:noWrap/>
            <w:vAlign w:val="bottom"/>
            <w:hideMark/>
          </w:tcPr>
          <w:p w14:paraId="72996B41" w14:textId="57661415" w:rsidR="0024682D" w:rsidRPr="008669C3" w:rsidRDefault="0024682D" w:rsidP="0024682D">
            <w:pPr>
              <w:jc w:val="center"/>
              <w:rPr>
                <w:sz w:val="22"/>
                <w:szCs w:val="22"/>
              </w:rPr>
            </w:pPr>
            <w:r w:rsidRPr="008669C3">
              <w:rPr>
                <w:color w:val="000000"/>
                <w:sz w:val="22"/>
                <w:szCs w:val="22"/>
              </w:rPr>
              <w:t>0.135</w:t>
            </w:r>
          </w:p>
        </w:tc>
        <w:tc>
          <w:tcPr>
            <w:tcW w:w="560" w:type="pct"/>
            <w:tcBorders>
              <w:top w:val="nil"/>
              <w:left w:val="nil"/>
              <w:bottom w:val="single" w:sz="4" w:space="0" w:color="auto"/>
              <w:right w:val="nil"/>
            </w:tcBorders>
            <w:shd w:val="clear" w:color="auto" w:fill="auto"/>
            <w:noWrap/>
            <w:vAlign w:val="bottom"/>
            <w:hideMark/>
          </w:tcPr>
          <w:p w14:paraId="02B487EA" w14:textId="3A4FE622" w:rsidR="0024682D" w:rsidRPr="008669C3" w:rsidRDefault="0024682D" w:rsidP="0024682D">
            <w:pPr>
              <w:jc w:val="center"/>
              <w:rPr>
                <w:sz w:val="22"/>
                <w:szCs w:val="22"/>
              </w:rPr>
            </w:pPr>
            <w:r w:rsidRPr="008669C3">
              <w:rPr>
                <w:color w:val="000000"/>
                <w:sz w:val="22"/>
                <w:szCs w:val="22"/>
              </w:rPr>
              <w:t>0.126</w:t>
            </w:r>
          </w:p>
        </w:tc>
        <w:tc>
          <w:tcPr>
            <w:tcW w:w="103" w:type="pct"/>
            <w:tcBorders>
              <w:top w:val="nil"/>
              <w:left w:val="nil"/>
              <w:bottom w:val="single" w:sz="4" w:space="0" w:color="auto"/>
              <w:right w:val="nil"/>
            </w:tcBorders>
            <w:shd w:val="clear" w:color="auto" w:fill="auto"/>
            <w:noWrap/>
            <w:vAlign w:val="bottom"/>
            <w:hideMark/>
          </w:tcPr>
          <w:p w14:paraId="62CED3AE" w14:textId="77777777" w:rsidR="0024682D" w:rsidRPr="008669C3" w:rsidRDefault="0024682D" w:rsidP="0024682D">
            <w:pPr>
              <w:jc w:val="center"/>
              <w:rPr>
                <w:sz w:val="22"/>
                <w:szCs w:val="22"/>
              </w:rPr>
            </w:pPr>
            <w:r w:rsidRPr="008669C3">
              <w:rPr>
                <w:sz w:val="22"/>
                <w:szCs w:val="22"/>
              </w:rPr>
              <w:t> </w:t>
            </w:r>
          </w:p>
        </w:tc>
        <w:tc>
          <w:tcPr>
            <w:tcW w:w="416" w:type="pct"/>
            <w:tcBorders>
              <w:top w:val="nil"/>
              <w:left w:val="nil"/>
              <w:bottom w:val="single" w:sz="4" w:space="0" w:color="auto"/>
              <w:right w:val="nil"/>
            </w:tcBorders>
            <w:shd w:val="clear" w:color="auto" w:fill="auto"/>
            <w:noWrap/>
            <w:vAlign w:val="bottom"/>
            <w:hideMark/>
          </w:tcPr>
          <w:p w14:paraId="339B927B" w14:textId="17187294" w:rsidR="0024682D" w:rsidRPr="008669C3" w:rsidRDefault="0024682D" w:rsidP="0024682D">
            <w:pPr>
              <w:jc w:val="center"/>
              <w:rPr>
                <w:sz w:val="22"/>
                <w:szCs w:val="22"/>
              </w:rPr>
            </w:pPr>
            <w:r w:rsidRPr="008669C3">
              <w:rPr>
                <w:color w:val="000000"/>
                <w:sz w:val="22"/>
                <w:szCs w:val="22"/>
              </w:rPr>
              <w:t>0.202</w:t>
            </w:r>
          </w:p>
        </w:tc>
        <w:tc>
          <w:tcPr>
            <w:tcW w:w="500" w:type="pct"/>
            <w:tcBorders>
              <w:top w:val="nil"/>
              <w:left w:val="nil"/>
              <w:bottom w:val="single" w:sz="4" w:space="0" w:color="auto"/>
              <w:right w:val="nil"/>
            </w:tcBorders>
            <w:shd w:val="clear" w:color="auto" w:fill="auto"/>
            <w:noWrap/>
            <w:vAlign w:val="bottom"/>
            <w:hideMark/>
          </w:tcPr>
          <w:p w14:paraId="724F421C" w14:textId="63DBF4A8" w:rsidR="0024682D" w:rsidRPr="008669C3" w:rsidRDefault="0024682D" w:rsidP="0024682D">
            <w:pPr>
              <w:jc w:val="center"/>
              <w:rPr>
                <w:sz w:val="22"/>
                <w:szCs w:val="22"/>
              </w:rPr>
            </w:pPr>
            <w:r w:rsidRPr="008669C3">
              <w:rPr>
                <w:color w:val="000000"/>
                <w:sz w:val="22"/>
                <w:szCs w:val="22"/>
              </w:rPr>
              <w:t>0.126</w:t>
            </w:r>
          </w:p>
        </w:tc>
      </w:tr>
    </w:tbl>
    <w:p w14:paraId="11D202A1" w14:textId="27C535A1" w:rsidR="008B2B53" w:rsidRPr="008669C3" w:rsidRDefault="008B2B53" w:rsidP="001900E3">
      <w:pPr>
        <w:jc w:val="both"/>
        <w:rPr>
          <w:color w:val="FF0000"/>
          <w:sz w:val="20"/>
          <w:szCs w:val="20"/>
        </w:rPr>
      </w:pPr>
    </w:p>
    <w:p w14:paraId="4940BB60" w14:textId="77777777" w:rsidR="00CC03A3" w:rsidRPr="008669C3" w:rsidRDefault="00CC03A3" w:rsidP="001900E3">
      <w:pPr>
        <w:jc w:val="both"/>
        <w:rPr>
          <w:color w:val="FF0000"/>
          <w:sz w:val="20"/>
          <w:szCs w:val="20"/>
        </w:rPr>
      </w:pPr>
    </w:p>
    <w:p w14:paraId="53611C6E" w14:textId="77777777" w:rsidR="00CC03A3" w:rsidRPr="008669C3" w:rsidRDefault="00CC03A3" w:rsidP="001900E3">
      <w:pPr>
        <w:jc w:val="both"/>
        <w:rPr>
          <w:color w:val="FF0000"/>
          <w:sz w:val="20"/>
          <w:szCs w:val="20"/>
        </w:rPr>
      </w:pPr>
    </w:p>
    <w:p w14:paraId="4F8C7789" w14:textId="77777777" w:rsidR="00CC03A3" w:rsidRPr="008669C3" w:rsidRDefault="00CC03A3" w:rsidP="001900E3">
      <w:pPr>
        <w:jc w:val="both"/>
        <w:rPr>
          <w:color w:val="FF0000"/>
          <w:sz w:val="20"/>
          <w:szCs w:val="20"/>
        </w:rPr>
      </w:pPr>
    </w:p>
    <w:p w14:paraId="17BB302A" w14:textId="09C1B08B" w:rsidR="001900E3" w:rsidRPr="008669C3" w:rsidRDefault="001900E3" w:rsidP="00661033">
      <w:pPr>
        <w:rPr>
          <w:color w:val="FF0000"/>
        </w:rPr>
        <w:sectPr w:rsidR="001900E3" w:rsidRPr="008669C3" w:rsidSect="00A94131">
          <w:pgSz w:w="15840" w:h="12240" w:orient="landscape"/>
          <w:pgMar w:top="1440" w:right="1440" w:bottom="1440" w:left="1440" w:header="709" w:footer="709" w:gutter="0"/>
          <w:cols w:space="708"/>
          <w:docGrid w:linePitch="360"/>
        </w:sectPr>
      </w:pPr>
    </w:p>
    <w:p w14:paraId="151E976A" w14:textId="77777777" w:rsidR="001D14E3" w:rsidRDefault="001D14E3" w:rsidP="001900E3">
      <w:pPr>
        <w:jc w:val="center"/>
        <w:rPr>
          <w:b/>
        </w:rPr>
      </w:pPr>
    </w:p>
    <w:p w14:paraId="5F3ECE05" w14:textId="77777777" w:rsidR="001D14E3" w:rsidRDefault="001D14E3" w:rsidP="001900E3">
      <w:pPr>
        <w:jc w:val="center"/>
        <w:rPr>
          <w:b/>
        </w:rPr>
      </w:pPr>
    </w:p>
    <w:p w14:paraId="49F07CEB" w14:textId="77777777" w:rsidR="001D14E3" w:rsidRDefault="001D14E3" w:rsidP="001900E3">
      <w:pPr>
        <w:jc w:val="center"/>
        <w:rPr>
          <w:b/>
        </w:rPr>
      </w:pPr>
    </w:p>
    <w:p w14:paraId="1EAFA66E" w14:textId="77777777" w:rsidR="001D14E3" w:rsidRDefault="001D14E3" w:rsidP="001900E3">
      <w:pPr>
        <w:jc w:val="center"/>
        <w:rPr>
          <w:b/>
        </w:rPr>
      </w:pPr>
    </w:p>
    <w:p w14:paraId="24497C40" w14:textId="77777777" w:rsidR="001D14E3" w:rsidRDefault="001D14E3" w:rsidP="001900E3">
      <w:pPr>
        <w:jc w:val="center"/>
        <w:rPr>
          <w:b/>
        </w:rPr>
      </w:pPr>
    </w:p>
    <w:p w14:paraId="4D6E616E" w14:textId="77777777" w:rsidR="001D14E3" w:rsidRDefault="001D14E3" w:rsidP="001900E3">
      <w:pPr>
        <w:jc w:val="center"/>
        <w:rPr>
          <w:b/>
        </w:rPr>
      </w:pPr>
    </w:p>
    <w:p w14:paraId="2354C775" w14:textId="77777777" w:rsidR="001D14E3" w:rsidRDefault="001D14E3" w:rsidP="001900E3">
      <w:pPr>
        <w:jc w:val="center"/>
        <w:rPr>
          <w:b/>
        </w:rPr>
      </w:pPr>
    </w:p>
    <w:p w14:paraId="02BEA0D5" w14:textId="77777777" w:rsidR="001D14E3" w:rsidRDefault="001D14E3" w:rsidP="001900E3">
      <w:pPr>
        <w:jc w:val="center"/>
        <w:rPr>
          <w:b/>
        </w:rPr>
      </w:pPr>
    </w:p>
    <w:p w14:paraId="2F440BD8" w14:textId="77777777" w:rsidR="001D14E3" w:rsidRDefault="001D14E3" w:rsidP="001900E3">
      <w:pPr>
        <w:jc w:val="center"/>
        <w:rPr>
          <w:b/>
        </w:rPr>
      </w:pPr>
    </w:p>
    <w:p w14:paraId="03337D6C" w14:textId="4F205829" w:rsidR="001900E3" w:rsidRPr="008669C3" w:rsidRDefault="001900E3" w:rsidP="001900E3">
      <w:pPr>
        <w:jc w:val="center"/>
        <w:rPr>
          <w:b/>
        </w:rPr>
      </w:pPr>
      <w:r w:rsidRPr="008669C3">
        <w:rPr>
          <w:b/>
        </w:rPr>
        <w:t xml:space="preserve">Table </w:t>
      </w:r>
      <w:r w:rsidR="00C66AF5">
        <w:rPr>
          <w:b/>
        </w:rPr>
        <w:t>7</w:t>
      </w:r>
    </w:p>
    <w:p w14:paraId="695F5A9E" w14:textId="4E1D8858" w:rsidR="001900E3" w:rsidRPr="008669C3" w:rsidRDefault="001900E3" w:rsidP="001900E3">
      <w:pPr>
        <w:jc w:val="center"/>
      </w:pPr>
      <w:r w:rsidRPr="008669C3">
        <w:t xml:space="preserve">CDS trading and the relationship between </w:t>
      </w:r>
      <w:r w:rsidR="00114DBF" w:rsidRPr="008669C3">
        <w:t>CEO</w:t>
      </w:r>
      <w:r w:rsidRPr="008669C3">
        <w:t xml:space="preserve"> vega and leverage</w:t>
      </w:r>
    </w:p>
    <w:p w14:paraId="0A245D0F" w14:textId="77777777" w:rsidR="001900E3" w:rsidRPr="008669C3" w:rsidRDefault="001900E3" w:rsidP="001900E3">
      <w:pPr>
        <w:jc w:val="both"/>
        <w:rPr>
          <w:sz w:val="20"/>
          <w:szCs w:val="20"/>
        </w:rPr>
      </w:pPr>
    </w:p>
    <w:p w14:paraId="3012C405" w14:textId="4AAD4216" w:rsidR="001900E3" w:rsidRPr="008669C3" w:rsidRDefault="001900E3" w:rsidP="001900E3">
      <w:pPr>
        <w:jc w:val="both"/>
        <w:rPr>
          <w:sz w:val="20"/>
          <w:szCs w:val="20"/>
        </w:rPr>
      </w:pPr>
      <w:r w:rsidRPr="008669C3">
        <w:rPr>
          <w:sz w:val="20"/>
          <w:szCs w:val="20"/>
        </w:rPr>
        <w:t xml:space="preserve">This table examines whether CDS trading affects the relationship between vega and leverage. The dependent variables are </w:t>
      </w:r>
      <w:r w:rsidRPr="008669C3">
        <w:rPr>
          <w:i/>
          <w:sz w:val="20"/>
          <w:szCs w:val="20"/>
        </w:rPr>
        <w:t>book leverage</w:t>
      </w:r>
      <w:r w:rsidRPr="008669C3">
        <w:rPr>
          <w:sz w:val="20"/>
          <w:szCs w:val="20"/>
        </w:rPr>
        <w:t xml:space="preserve"> and </w:t>
      </w:r>
      <w:r w:rsidRPr="008669C3">
        <w:rPr>
          <w:i/>
          <w:sz w:val="20"/>
          <w:szCs w:val="20"/>
        </w:rPr>
        <w:t>market leverage</w:t>
      </w:r>
      <w:r w:rsidRPr="008669C3">
        <w:rPr>
          <w:sz w:val="20"/>
          <w:szCs w:val="20"/>
        </w:rPr>
        <w:t xml:space="preserve">. The former is defined as the sum of current liability and long-term debt scaled by total assets. The latter is defined as the sum of current liability and long-term debt scaled by firm value, where firm value is the book value of total assets, plus the market value of equity, minus the book value of common equity. </w:t>
      </w:r>
      <w:r w:rsidRPr="008669C3">
        <w:rPr>
          <w:i/>
          <w:sz w:val="20"/>
          <w:szCs w:val="20"/>
        </w:rPr>
        <w:t>CDS trading</w:t>
      </w:r>
      <w:r w:rsidRPr="008669C3">
        <w:rPr>
          <w:sz w:val="20"/>
          <w:szCs w:val="20"/>
        </w:rPr>
        <w:t xml:space="preserve"> is an indicator variable </w:t>
      </w:r>
      <w:r w:rsidR="001129C8" w:rsidRPr="008669C3">
        <w:rPr>
          <w:sz w:val="20"/>
          <w:szCs w:val="20"/>
        </w:rPr>
        <w:t xml:space="preserve">that </w:t>
      </w:r>
      <w:r w:rsidRPr="008669C3">
        <w:rPr>
          <w:sz w:val="20"/>
          <w:szCs w:val="20"/>
        </w:rPr>
        <w:t>equal</w:t>
      </w:r>
      <w:r w:rsidR="001129C8" w:rsidRPr="008669C3">
        <w:rPr>
          <w:sz w:val="20"/>
          <w:szCs w:val="20"/>
        </w:rPr>
        <w:t>s</w:t>
      </w:r>
      <w:r w:rsidRPr="008669C3">
        <w:rPr>
          <w:sz w:val="20"/>
          <w:szCs w:val="20"/>
        </w:rPr>
        <w:t xml:space="preserve"> one </w:t>
      </w:r>
      <w:r w:rsidR="001129C8" w:rsidRPr="008669C3">
        <w:rPr>
          <w:sz w:val="20"/>
          <w:szCs w:val="20"/>
        </w:rPr>
        <w:t>for a CDS firm after the inception of the firm’s CDS trading and zero prior to it</w:t>
      </w:r>
      <w:r w:rsidRPr="008669C3">
        <w:rPr>
          <w:sz w:val="20"/>
          <w:szCs w:val="20"/>
        </w:rPr>
        <w:t xml:space="preserve">. </w:t>
      </w:r>
      <w:r w:rsidRPr="008669C3">
        <w:rPr>
          <w:i/>
          <w:iCs/>
          <w:sz w:val="20"/>
          <w:szCs w:val="20"/>
        </w:rPr>
        <w:t>Ln(1+Vega)</w:t>
      </w:r>
      <w:r w:rsidRPr="008669C3">
        <w:rPr>
          <w:iCs/>
          <w:sz w:val="20"/>
          <w:szCs w:val="20"/>
        </w:rPr>
        <w:t xml:space="preserve"> </w:t>
      </w:r>
      <w:r w:rsidRPr="008669C3">
        <w:rPr>
          <w:sz w:val="20"/>
          <w:szCs w:val="20"/>
        </w:rPr>
        <w:t xml:space="preserve">is the natural logarithm of one plus </w:t>
      </w:r>
      <w:r w:rsidRPr="008669C3">
        <w:rPr>
          <w:i/>
          <w:sz w:val="20"/>
          <w:szCs w:val="20"/>
        </w:rPr>
        <w:t>Vega</w:t>
      </w:r>
      <w:r w:rsidRPr="008669C3">
        <w:rPr>
          <w:sz w:val="20"/>
          <w:szCs w:val="20"/>
        </w:rPr>
        <w:t xml:space="preserve">, where </w:t>
      </w:r>
      <w:r w:rsidRPr="008669C3">
        <w:rPr>
          <w:i/>
          <w:sz w:val="20"/>
          <w:szCs w:val="20"/>
        </w:rPr>
        <w:t>Vega</w:t>
      </w:r>
      <w:r w:rsidRPr="008669C3">
        <w:rPr>
          <w:sz w:val="20"/>
          <w:szCs w:val="20"/>
        </w:rPr>
        <w:t xml:space="preserve"> is the change (in thousands of dollars) </w:t>
      </w:r>
      <w:r w:rsidR="008E495C" w:rsidRPr="008669C3">
        <w:rPr>
          <w:sz w:val="20"/>
          <w:szCs w:val="20"/>
        </w:rPr>
        <w:t xml:space="preserve">in </w:t>
      </w:r>
      <w:r w:rsidRPr="008669C3">
        <w:rPr>
          <w:sz w:val="20"/>
          <w:szCs w:val="20"/>
        </w:rPr>
        <w:t xml:space="preserve">the value of the CEO’s wealth due to a 0.01 increase in the annualized standard deviation of the firm’s stock return. </w:t>
      </w:r>
      <w:r w:rsidR="008E495C" w:rsidRPr="008669C3">
        <w:rPr>
          <w:sz w:val="20"/>
          <w:szCs w:val="20"/>
        </w:rPr>
        <w:t>The</w:t>
      </w:r>
      <w:r w:rsidRPr="008669C3">
        <w:rPr>
          <w:sz w:val="20"/>
          <w:szCs w:val="20"/>
        </w:rPr>
        <w:t xml:space="preserve"> other variables are defined in Appendix A. Industry-year effects are constructed based on the Fama-French 49-industry classification. Statistical significance is based on the heteroskedasticity robust firm-clustered standard errors reported in brackets. ***, **</w:t>
      </w:r>
      <w:r w:rsidR="008E495C" w:rsidRPr="008669C3">
        <w:rPr>
          <w:sz w:val="20"/>
          <w:szCs w:val="20"/>
        </w:rPr>
        <w:t>,</w:t>
      </w:r>
      <w:r w:rsidRPr="008669C3">
        <w:rPr>
          <w:sz w:val="20"/>
          <w:szCs w:val="20"/>
        </w:rPr>
        <w:t xml:space="preserve"> and * indicate significance at the 1%, 5%</w:t>
      </w:r>
      <w:r w:rsidR="008E495C" w:rsidRPr="008669C3">
        <w:rPr>
          <w:sz w:val="20"/>
          <w:szCs w:val="20"/>
        </w:rPr>
        <w:t>,</w:t>
      </w:r>
      <w:r w:rsidRPr="008669C3">
        <w:rPr>
          <w:sz w:val="20"/>
          <w:szCs w:val="20"/>
        </w:rPr>
        <w:t xml:space="preserve"> and 10% level, respectively.</w:t>
      </w:r>
    </w:p>
    <w:tbl>
      <w:tblPr>
        <w:tblW w:w="5000" w:type="pct"/>
        <w:tblLook w:val="04A0" w:firstRow="1" w:lastRow="0" w:firstColumn="1" w:lastColumn="0" w:noHBand="0" w:noVBand="1"/>
      </w:tblPr>
      <w:tblGrid>
        <w:gridCol w:w="2511"/>
        <w:gridCol w:w="1569"/>
        <w:gridCol w:w="1569"/>
        <w:gridCol w:w="281"/>
        <w:gridCol w:w="1656"/>
        <w:gridCol w:w="1656"/>
      </w:tblGrid>
      <w:tr w:rsidR="004B0C70" w:rsidRPr="008669C3" w14:paraId="13F03550" w14:textId="77777777" w:rsidTr="00A94131">
        <w:trPr>
          <w:trHeight w:val="315"/>
        </w:trPr>
        <w:tc>
          <w:tcPr>
            <w:tcW w:w="1358" w:type="pct"/>
            <w:tcBorders>
              <w:top w:val="single" w:sz="4" w:space="0" w:color="auto"/>
              <w:left w:val="nil"/>
              <w:bottom w:val="nil"/>
              <w:right w:val="nil"/>
            </w:tcBorders>
            <w:shd w:val="clear" w:color="auto" w:fill="auto"/>
            <w:noWrap/>
            <w:vAlign w:val="center"/>
            <w:hideMark/>
          </w:tcPr>
          <w:p w14:paraId="5AF6B6CD" w14:textId="77777777" w:rsidR="001900E3" w:rsidRPr="008669C3" w:rsidRDefault="001900E3" w:rsidP="00A94131">
            <w:pPr>
              <w:rPr>
                <w:sz w:val="20"/>
                <w:szCs w:val="20"/>
              </w:rPr>
            </w:pPr>
            <w:r w:rsidRPr="008669C3">
              <w:rPr>
                <w:sz w:val="20"/>
                <w:szCs w:val="20"/>
              </w:rPr>
              <w:t> </w:t>
            </w:r>
          </w:p>
        </w:tc>
        <w:tc>
          <w:tcPr>
            <w:tcW w:w="1698" w:type="pct"/>
            <w:gridSpan w:val="2"/>
            <w:tcBorders>
              <w:top w:val="single" w:sz="4" w:space="0" w:color="auto"/>
              <w:left w:val="nil"/>
              <w:bottom w:val="single" w:sz="4" w:space="0" w:color="auto"/>
              <w:right w:val="nil"/>
            </w:tcBorders>
            <w:shd w:val="clear" w:color="auto" w:fill="auto"/>
            <w:noWrap/>
            <w:vAlign w:val="center"/>
            <w:hideMark/>
          </w:tcPr>
          <w:p w14:paraId="45CFBF26" w14:textId="77777777" w:rsidR="001900E3" w:rsidRPr="008669C3" w:rsidRDefault="001900E3" w:rsidP="00A94131">
            <w:pPr>
              <w:jc w:val="center"/>
              <w:rPr>
                <w:i/>
                <w:iCs/>
                <w:sz w:val="20"/>
                <w:szCs w:val="20"/>
              </w:rPr>
            </w:pPr>
            <w:r w:rsidRPr="008669C3">
              <w:rPr>
                <w:sz w:val="20"/>
                <w:szCs w:val="20"/>
              </w:rPr>
              <w:t xml:space="preserve">Dependent variable: </w:t>
            </w:r>
            <w:r w:rsidRPr="008669C3">
              <w:rPr>
                <w:i/>
                <w:iCs/>
                <w:sz w:val="20"/>
                <w:szCs w:val="20"/>
              </w:rPr>
              <w:t>Book leverage</w:t>
            </w:r>
          </w:p>
        </w:tc>
        <w:tc>
          <w:tcPr>
            <w:tcW w:w="152" w:type="pct"/>
            <w:tcBorders>
              <w:top w:val="single" w:sz="4" w:space="0" w:color="auto"/>
              <w:left w:val="nil"/>
              <w:bottom w:val="nil"/>
              <w:right w:val="nil"/>
            </w:tcBorders>
            <w:shd w:val="clear" w:color="auto" w:fill="auto"/>
            <w:noWrap/>
            <w:vAlign w:val="center"/>
            <w:hideMark/>
          </w:tcPr>
          <w:p w14:paraId="4DE4E521" w14:textId="77777777" w:rsidR="001900E3" w:rsidRPr="008669C3" w:rsidRDefault="001900E3" w:rsidP="00A94131">
            <w:pPr>
              <w:jc w:val="center"/>
              <w:rPr>
                <w:sz w:val="20"/>
                <w:szCs w:val="20"/>
              </w:rPr>
            </w:pPr>
            <w:r w:rsidRPr="008669C3">
              <w:rPr>
                <w:sz w:val="20"/>
                <w:szCs w:val="20"/>
              </w:rPr>
              <w:t> </w:t>
            </w:r>
          </w:p>
        </w:tc>
        <w:tc>
          <w:tcPr>
            <w:tcW w:w="1792" w:type="pct"/>
            <w:gridSpan w:val="2"/>
            <w:tcBorders>
              <w:top w:val="single" w:sz="4" w:space="0" w:color="auto"/>
              <w:left w:val="nil"/>
              <w:bottom w:val="single" w:sz="4" w:space="0" w:color="auto"/>
              <w:right w:val="nil"/>
            </w:tcBorders>
            <w:shd w:val="clear" w:color="auto" w:fill="auto"/>
            <w:noWrap/>
            <w:vAlign w:val="center"/>
            <w:hideMark/>
          </w:tcPr>
          <w:p w14:paraId="6136F209" w14:textId="77777777" w:rsidR="001900E3" w:rsidRPr="008669C3" w:rsidRDefault="001900E3" w:rsidP="00A94131">
            <w:pPr>
              <w:rPr>
                <w:i/>
                <w:iCs/>
                <w:sz w:val="20"/>
                <w:szCs w:val="20"/>
              </w:rPr>
            </w:pPr>
            <w:r w:rsidRPr="008669C3">
              <w:rPr>
                <w:sz w:val="20"/>
                <w:szCs w:val="20"/>
              </w:rPr>
              <w:t xml:space="preserve">Dependent variable: </w:t>
            </w:r>
            <w:r w:rsidRPr="008669C3">
              <w:rPr>
                <w:i/>
                <w:iCs/>
                <w:sz w:val="20"/>
                <w:szCs w:val="20"/>
              </w:rPr>
              <w:t>Market leverage</w:t>
            </w:r>
          </w:p>
        </w:tc>
      </w:tr>
      <w:tr w:rsidR="004B0C70" w:rsidRPr="008669C3" w14:paraId="5784450B" w14:textId="77777777" w:rsidTr="00A94131">
        <w:trPr>
          <w:trHeight w:val="300"/>
        </w:trPr>
        <w:tc>
          <w:tcPr>
            <w:tcW w:w="1358" w:type="pct"/>
            <w:tcBorders>
              <w:top w:val="nil"/>
              <w:left w:val="nil"/>
              <w:bottom w:val="single" w:sz="4" w:space="0" w:color="auto"/>
              <w:right w:val="nil"/>
            </w:tcBorders>
            <w:shd w:val="clear" w:color="auto" w:fill="auto"/>
            <w:noWrap/>
            <w:vAlign w:val="center"/>
            <w:hideMark/>
          </w:tcPr>
          <w:p w14:paraId="013A0313" w14:textId="48851ED5" w:rsidR="001900E3" w:rsidRPr="008669C3" w:rsidRDefault="001900E3" w:rsidP="00A94131">
            <w:pPr>
              <w:rPr>
                <w:sz w:val="20"/>
                <w:szCs w:val="20"/>
              </w:rPr>
            </w:pPr>
          </w:p>
        </w:tc>
        <w:tc>
          <w:tcPr>
            <w:tcW w:w="849" w:type="pct"/>
            <w:tcBorders>
              <w:top w:val="nil"/>
              <w:left w:val="nil"/>
              <w:bottom w:val="single" w:sz="4" w:space="0" w:color="auto"/>
              <w:right w:val="nil"/>
            </w:tcBorders>
            <w:shd w:val="clear" w:color="auto" w:fill="auto"/>
            <w:noWrap/>
            <w:vAlign w:val="center"/>
            <w:hideMark/>
          </w:tcPr>
          <w:p w14:paraId="2994AE8B" w14:textId="7DFB83AD" w:rsidR="001900E3" w:rsidRPr="008669C3" w:rsidRDefault="008E495C" w:rsidP="00A94131">
            <w:pPr>
              <w:jc w:val="center"/>
              <w:rPr>
                <w:sz w:val="20"/>
                <w:szCs w:val="20"/>
              </w:rPr>
            </w:pPr>
            <w:r w:rsidRPr="008669C3">
              <w:rPr>
                <w:sz w:val="20"/>
                <w:szCs w:val="20"/>
              </w:rPr>
              <w:t>(</w:t>
            </w:r>
            <w:r w:rsidR="001900E3" w:rsidRPr="008669C3">
              <w:rPr>
                <w:sz w:val="20"/>
                <w:szCs w:val="20"/>
              </w:rPr>
              <w:t>1</w:t>
            </w:r>
            <w:r w:rsidRPr="008669C3">
              <w:rPr>
                <w:sz w:val="20"/>
                <w:szCs w:val="20"/>
              </w:rPr>
              <w:t>)</w:t>
            </w:r>
          </w:p>
        </w:tc>
        <w:tc>
          <w:tcPr>
            <w:tcW w:w="849" w:type="pct"/>
            <w:tcBorders>
              <w:top w:val="nil"/>
              <w:left w:val="nil"/>
              <w:bottom w:val="single" w:sz="4" w:space="0" w:color="auto"/>
              <w:right w:val="nil"/>
            </w:tcBorders>
            <w:shd w:val="clear" w:color="auto" w:fill="auto"/>
            <w:noWrap/>
            <w:vAlign w:val="center"/>
            <w:hideMark/>
          </w:tcPr>
          <w:p w14:paraId="47F8DEA4" w14:textId="0164401B" w:rsidR="001900E3" w:rsidRPr="008669C3" w:rsidRDefault="008E495C" w:rsidP="00A94131">
            <w:pPr>
              <w:jc w:val="center"/>
              <w:rPr>
                <w:sz w:val="20"/>
                <w:szCs w:val="20"/>
              </w:rPr>
            </w:pPr>
            <w:r w:rsidRPr="008669C3">
              <w:rPr>
                <w:sz w:val="20"/>
                <w:szCs w:val="20"/>
              </w:rPr>
              <w:t>(</w:t>
            </w:r>
            <w:r w:rsidR="001900E3" w:rsidRPr="008669C3">
              <w:rPr>
                <w:sz w:val="20"/>
                <w:szCs w:val="20"/>
              </w:rPr>
              <w:t>2</w:t>
            </w:r>
            <w:r w:rsidRPr="008669C3">
              <w:rPr>
                <w:sz w:val="20"/>
                <w:szCs w:val="20"/>
              </w:rPr>
              <w:t>)</w:t>
            </w:r>
          </w:p>
        </w:tc>
        <w:tc>
          <w:tcPr>
            <w:tcW w:w="152" w:type="pct"/>
            <w:tcBorders>
              <w:top w:val="nil"/>
              <w:left w:val="nil"/>
              <w:bottom w:val="single" w:sz="4" w:space="0" w:color="auto"/>
              <w:right w:val="nil"/>
            </w:tcBorders>
            <w:shd w:val="clear" w:color="auto" w:fill="auto"/>
            <w:noWrap/>
            <w:vAlign w:val="center"/>
            <w:hideMark/>
          </w:tcPr>
          <w:p w14:paraId="31821E3F" w14:textId="77777777" w:rsidR="001900E3" w:rsidRPr="008669C3" w:rsidRDefault="001900E3" w:rsidP="00A94131">
            <w:pPr>
              <w:jc w:val="center"/>
              <w:rPr>
                <w:sz w:val="20"/>
                <w:szCs w:val="20"/>
              </w:rPr>
            </w:pPr>
            <w:r w:rsidRPr="008669C3">
              <w:rPr>
                <w:sz w:val="20"/>
                <w:szCs w:val="20"/>
              </w:rPr>
              <w:t> </w:t>
            </w:r>
          </w:p>
        </w:tc>
        <w:tc>
          <w:tcPr>
            <w:tcW w:w="896" w:type="pct"/>
            <w:tcBorders>
              <w:top w:val="nil"/>
              <w:left w:val="nil"/>
              <w:bottom w:val="single" w:sz="4" w:space="0" w:color="auto"/>
              <w:right w:val="nil"/>
            </w:tcBorders>
            <w:shd w:val="clear" w:color="auto" w:fill="auto"/>
            <w:noWrap/>
            <w:vAlign w:val="center"/>
            <w:hideMark/>
          </w:tcPr>
          <w:p w14:paraId="67CF1ED1" w14:textId="7DFC0041" w:rsidR="001900E3" w:rsidRPr="008669C3" w:rsidRDefault="008E495C" w:rsidP="00A94131">
            <w:pPr>
              <w:jc w:val="center"/>
              <w:rPr>
                <w:sz w:val="20"/>
                <w:szCs w:val="20"/>
              </w:rPr>
            </w:pPr>
            <w:r w:rsidRPr="008669C3">
              <w:rPr>
                <w:sz w:val="20"/>
                <w:szCs w:val="20"/>
              </w:rPr>
              <w:t>(</w:t>
            </w:r>
            <w:r w:rsidR="001900E3" w:rsidRPr="008669C3">
              <w:rPr>
                <w:sz w:val="20"/>
                <w:szCs w:val="20"/>
              </w:rPr>
              <w:t>3</w:t>
            </w:r>
            <w:r w:rsidRPr="008669C3">
              <w:rPr>
                <w:sz w:val="20"/>
                <w:szCs w:val="20"/>
              </w:rPr>
              <w:t>)</w:t>
            </w:r>
          </w:p>
        </w:tc>
        <w:tc>
          <w:tcPr>
            <w:tcW w:w="896" w:type="pct"/>
            <w:tcBorders>
              <w:top w:val="nil"/>
              <w:left w:val="nil"/>
              <w:bottom w:val="single" w:sz="4" w:space="0" w:color="auto"/>
              <w:right w:val="nil"/>
            </w:tcBorders>
            <w:shd w:val="clear" w:color="auto" w:fill="auto"/>
            <w:noWrap/>
            <w:vAlign w:val="center"/>
            <w:hideMark/>
          </w:tcPr>
          <w:p w14:paraId="0FDE2028" w14:textId="47A2C383" w:rsidR="001900E3" w:rsidRPr="008669C3" w:rsidRDefault="008E495C" w:rsidP="00A94131">
            <w:pPr>
              <w:jc w:val="center"/>
              <w:rPr>
                <w:sz w:val="20"/>
                <w:szCs w:val="20"/>
              </w:rPr>
            </w:pPr>
            <w:r w:rsidRPr="008669C3">
              <w:rPr>
                <w:sz w:val="20"/>
                <w:szCs w:val="20"/>
              </w:rPr>
              <w:t>(</w:t>
            </w:r>
            <w:r w:rsidR="001900E3" w:rsidRPr="008669C3">
              <w:rPr>
                <w:sz w:val="20"/>
                <w:szCs w:val="20"/>
              </w:rPr>
              <w:t>4</w:t>
            </w:r>
            <w:r w:rsidRPr="008669C3">
              <w:rPr>
                <w:sz w:val="20"/>
                <w:szCs w:val="20"/>
              </w:rPr>
              <w:t>)</w:t>
            </w:r>
          </w:p>
        </w:tc>
      </w:tr>
      <w:tr w:rsidR="003554A2" w:rsidRPr="008669C3" w14:paraId="79CDFA13" w14:textId="77777777" w:rsidTr="00A94131">
        <w:trPr>
          <w:trHeight w:val="225"/>
        </w:trPr>
        <w:tc>
          <w:tcPr>
            <w:tcW w:w="1358" w:type="pct"/>
            <w:tcBorders>
              <w:top w:val="nil"/>
              <w:left w:val="nil"/>
              <w:bottom w:val="nil"/>
              <w:right w:val="nil"/>
            </w:tcBorders>
            <w:shd w:val="clear" w:color="auto" w:fill="auto"/>
            <w:noWrap/>
            <w:vAlign w:val="center"/>
            <w:hideMark/>
          </w:tcPr>
          <w:p w14:paraId="08599EC7" w14:textId="77777777" w:rsidR="003554A2" w:rsidRPr="008669C3" w:rsidRDefault="003554A2" w:rsidP="003554A2">
            <w:pPr>
              <w:rPr>
                <w:iCs/>
                <w:sz w:val="20"/>
                <w:szCs w:val="20"/>
              </w:rPr>
            </w:pPr>
            <w:r w:rsidRPr="008669C3">
              <w:rPr>
                <w:iCs/>
                <w:sz w:val="20"/>
                <w:szCs w:val="20"/>
              </w:rPr>
              <w:t>Ln(1+Vega)</w:t>
            </w:r>
          </w:p>
        </w:tc>
        <w:tc>
          <w:tcPr>
            <w:tcW w:w="849" w:type="pct"/>
            <w:tcBorders>
              <w:top w:val="nil"/>
              <w:left w:val="nil"/>
              <w:bottom w:val="nil"/>
              <w:right w:val="nil"/>
            </w:tcBorders>
            <w:shd w:val="clear" w:color="auto" w:fill="auto"/>
            <w:noWrap/>
            <w:vAlign w:val="bottom"/>
            <w:hideMark/>
          </w:tcPr>
          <w:p w14:paraId="712CDB5B" w14:textId="492CA333" w:rsidR="003554A2" w:rsidRPr="008669C3" w:rsidRDefault="003554A2" w:rsidP="002A4A91">
            <w:pPr>
              <w:jc w:val="center"/>
              <w:rPr>
                <w:sz w:val="20"/>
                <w:szCs w:val="20"/>
              </w:rPr>
            </w:pPr>
            <w:r w:rsidRPr="008669C3">
              <w:rPr>
                <w:sz w:val="20"/>
                <w:szCs w:val="20"/>
              </w:rPr>
              <w:t>0.00</w:t>
            </w:r>
            <w:r w:rsidR="002A4A91" w:rsidRPr="008669C3">
              <w:rPr>
                <w:sz w:val="20"/>
                <w:szCs w:val="20"/>
              </w:rPr>
              <w:t>1</w:t>
            </w:r>
          </w:p>
        </w:tc>
        <w:tc>
          <w:tcPr>
            <w:tcW w:w="849" w:type="pct"/>
            <w:tcBorders>
              <w:top w:val="nil"/>
              <w:left w:val="nil"/>
              <w:bottom w:val="nil"/>
              <w:right w:val="nil"/>
            </w:tcBorders>
            <w:shd w:val="clear" w:color="auto" w:fill="auto"/>
            <w:noWrap/>
            <w:vAlign w:val="bottom"/>
            <w:hideMark/>
          </w:tcPr>
          <w:p w14:paraId="60E8328F" w14:textId="7FB53F10" w:rsidR="003554A2" w:rsidRPr="008669C3" w:rsidRDefault="003554A2" w:rsidP="003554A2">
            <w:pPr>
              <w:jc w:val="center"/>
              <w:rPr>
                <w:sz w:val="20"/>
                <w:szCs w:val="20"/>
              </w:rPr>
            </w:pPr>
            <w:r w:rsidRPr="008669C3">
              <w:rPr>
                <w:sz w:val="20"/>
                <w:szCs w:val="20"/>
              </w:rPr>
              <w:t>0</w:t>
            </w:r>
            <w:r w:rsidR="002A4A91" w:rsidRPr="008669C3">
              <w:rPr>
                <w:sz w:val="20"/>
                <w:szCs w:val="20"/>
              </w:rPr>
              <w:t>.002</w:t>
            </w:r>
          </w:p>
        </w:tc>
        <w:tc>
          <w:tcPr>
            <w:tcW w:w="152" w:type="pct"/>
            <w:tcBorders>
              <w:top w:val="nil"/>
              <w:left w:val="nil"/>
              <w:bottom w:val="nil"/>
              <w:right w:val="nil"/>
            </w:tcBorders>
            <w:shd w:val="clear" w:color="auto" w:fill="auto"/>
            <w:noWrap/>
            <w:vAlign w:val="bottom"/>
            <w:hideMark/>
          </w:tcPr>
          <w:p w14:paraId="46E88592"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615901E9" w14:textId="4098B5A1" w:rsidR="003554A2" w:rsidRPr="008669C3" w:rsidRDefault="003554A2" w:rsidP="003554A2">
            <w:pPr>
              <w:jc w:val="center"/>
              <w:rPr>
                <w:sz w:val="20"/>
                <w:szCs w:val="20"/>
              </w:rPr>
            </w:pPr>
            <w:r w:rsidRPr="008669C3">
              <w:rPr>
                <w:sz w:val="20"/>
                <w:szCs w:val="20"/>
              </w:rPr>
              <w:t>0.001</w:t>
            </w:r>
          </w:p>
        </w:tc>
        <w:tc>
          <w:tcPr>
            <w:tcW w:w="896" w:type="pct"/>
            <w:tcBorders>
              <w:top w:val="nil"/>
              <w:left w:val="nil"/>
              <w:bottom w:val="nil"/>
              <w:right w:val="nil"/>
            </w:tcBorders>
            <w:shd w:val="clear" w:color="auto" w:fill="auto"/>
            <w:noWrap/>
            <w:vAlign w:val="bottom"/>
            <w:hideMark/>
          </w:tcPr>
          <w:p w14:paraId="2EAB399D" w14:textId="27AB2DFA" w:rsidR="003554A2" w:rsidRPr="008669C3" w:rsidRDefault="003554A2" w:rsidP="003554A2">
            <w:pPr>
              <w:jc w:val="center"/>
              <w:rPr>
                <w:sz w:val="20"/>
                <w:szCs w:val="20"/>
              </w:rPr>
            </w:pPr>
            <w:r w:rsidRPr="008669C3">
              <w:rPr>
                <w:sz w:val="20"/>
                <w:szCs w:val="20"/>
              </w:rPr>
              <w:t>0.002*</w:t>
            </w:r>
          </w:p>
        </w:tc>
      </w:tr>
      <w:tr w:rsidR="003554A2" w:rsidRPr="008669C3" w14:paraId="1E462B9F" w14:textId="77777777" w:rsidTr="00A94131">
        <w:trPr>
          <w:trHeight w:val="225"/>
        </w:trPr>
        <w:tc>
          <w:tcPr>
            <w:tcW w:w="1358" w:type="pct"/>
            <w:tcBorders>
              <w:top w:val="nil"/>
              <w:left w:val="nil"/>
              <w:bottom w:val="nil"/>
              <w:right w:val="nil"/>
            </w:tcBorders>
            <w:shd w:val="clear" w:color="auto" w:fill="auto"/>
            <w:noWrap/>
            <w:vAlign w:val="center"/>
            <w:hideMark/>
          </w:tcPr>
          <w:p w14:paraId="6DFF9406" w14:textId="77777777" w:rsidR="003554A2" w:rsidRPr="008669C3" w:rsidRDefault="003554A2" w:rsidP="003554A2">
            <w:pPr>
              <w:jc w:val="center"/>
              <w:rPr>
                <w:sz w:val="20"/>
                <w:szCs w:val="20"/>
              </w:rPr>
            </w:pPr>
          </w:p>
        </w:tc>
        <w:tc>
          <w:tcPr>
            <w:tcW w:w="849" w:type="pct"/>
            <w:tcBorders>
              <w:top w:val="nil"/>
              <w:left w:val="nil"/>
              <w:bottom w:val="nil"/>
              <w:right w:val="nil"/>
            </w:tcBorders>
            <w:shd w:val="clear" w:color="auto" w:fill="auto"/>
            <w:noWrap/>
            <w:vAlign w:val="bottom"/>
            <w:hideMark/>
          </w:tcPr>
          <w:p w14:paraId="00DEA464" w14:textId="543E64A0" w:rsidR="003554A2" w:rsidRPr="008669C3" w:rsidRDefault="003554A2" w:rsidP="003554A2">
            <w:pPr>
              <w:jc w:val="center"/>
              <w:rPr>
                <w:sz w:val="20"/>
                <w:szCs w:val="20"/>
              </w:rPr>
            </w:pPr>
            <w:r w:rsidRPr="008669C3">
              <w:rPr>
                <w:sz w:val="20"/>
                <w:szCs w:val="20"/>
              </w:rPr>
              <w:t>(0.001)</w:t>
            </w:r>
          </w:p>
        </w:tc>
        <w:tc>
          <w:tcPr>
            <w:tcW w:w="849" w:type="pct"/>
            <w:tcBorders>
              <w:top w:val="nil"/>
              <w:left w:val="nil"/>
              <w:bottom w:val="nil"/>
              <w:right w:val="nil"/>
            </w:tcBorders>
            <w:shd w:val="clear" w:color="auto" w:fill="auto"/>
            <w:noWrap/>
            <w:vAlign w:val="bottom"/>
            <w:hideMark/>
          </w:tcPr>
          <w:p w14:paraId="78554DB1" w14:textId="43BFD1D8" w:rsidR="003554A2" w:rsidRPr="008669C3" w:rsidRDefault="003554A2" w:rsidP="003554A2">
            <w:pPr>
              <w:jc w:val="center"/>
              <w:rPr>
                <w:sz w:val="20"/>
                <w:szCs w:val="20"/>
              </w:rPr>
            </w:pPr>
            <w:r w:rsidRPr="008669C3">
              <w:rPr>
                <w:sz w:val="20"/>
                <w:szCs w:val="20"/>
              </w:rPr>
              <w:t>(0.002)</w:t>
            </w:r>
          </w:p>
        </w:tc>
        <w:tc>
          <w:tcPr>
            <w:tcW w:w="152" w:type="pct"/>
            <w:tcBorders>
              <w:top w:val="nil"/>
              <w:left w:val="nil"/>
              <w:bottom w:val="nil"/>
              <w:right w:val="nil"/>
            </w:tcBorders>
            <w:shd w:val="clear" w:color="auto" w:fill="auto"/>
            <w:noWrap/>
            <w:vAlign w:val="bottom"/>
            <w:hideMark/>
          </w:tcPr>
          <w:p w14:paraId="7B92766F"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3CD684B9" w14:textId="70958429" w:rsidR="003554A2" w:rsidRPr="008669C3" w:rsidRDefault="003554A2" w:rsidP="003554A2">
            <w:pPr>
              <w:jc w:val="center"/>
              <w:rPr>
                <w:sz w:val="20"/>
                <w:szCs w:val="20"/>
              </w:rPr>
            </w:pPr>
            <w:r w:rsidRPr="008669C3">
              <w:rPr>
                <w:sz w:val="20"/>
                <w:szCs w:val="20"/>
              </w:rPr>
              <w:t>(0.001)</w:t>
            </w:r>
          </w:p>
        </w:tc>
        <w:tc>
          <w:tcPr>
            <w:tcW w:w="896" w:type="pct"/>
            <w:tcBorders>
              <w:top w:val="nil"/>
              <w:left w:val="nil"/>
              <w:bottom w:val="nil"/>
              <w:right w:val="nil"/>
            </w:tcBorders>
            <w:shd w:val="clear" w:color="auto" w:fill="auto"/>
            <w:noWrap/>
            <w:vAlign w:val="bottom"/>
            <w:hideMark/>
          </w:tcPr>
          <w:p w14:paraId="0CAE858D" w14:textId="08BE0F7A" w:rsidR="003554A2" w:rsidRPr="008669C3" w:rsidRDefault="003554A2" w:rsidP="003554A2">
            <w:pPr>
              <w:jc w:val="center"/>
              <w:rPr>
                <w:sz w:val="20"/>
                <w:szCs w:val="20"/>
              </w:rPr>
            </w:pPr>
            <w:r w:rsidRPr="008669C3">
              <w:rPr>
                <w:sz w:val="20"/>
                <w:szCs w:val="20"/>
              </w:rPr>
              <w:t>(0.001)</w:t>
            </w:r>
          </w:p>
        </w:tc>
      </w:tr>
      <w:tr w:rsidR="003554A2" w:rsidRPr="008669C3" w14:paraId="29ACBEE3" w14:textId="77777777" w:rsidTr="00A94131">
        <w:trPr>
          <w:trHeight w:val="225"/>
        </w:trPr>
        <w:tc>
          <w:tcPr>
            <w:tcW w:w="1358" w:type="pct"/>
            <w:tcBorders>
              <w:top w:val="nil"/>
              <w:left w:val="nil"/>
              <w:bottom w:val="nil"/>
              <w:right w:val="nil"/>
            </w:tcBorders>
            <w:shd w:val="clear" w:color="auto" w:fill="auto"/>
            <w:noWrap/>
            <w:vAlign w:val="center"/>
          </w:tcPr>
          <w:p w14:paraId="05042B7D" w14:textId="02FD2553" w:rsidR="003554A2" w:rsidRPr="008669C3" w:rsidRDefault="003554A2" w:rsidP="003554A2">
            <w:pPr>
              <w:rPr>
                <w:iCs/>
                <w:sz w:val="20"/>
                <w:szCs w:val="20"/>
              </w:rPr>
            </w:pPr>
            <w:r w:rsidRPr="008669C3">
              <w:rPr>
                <w:iCs/>
                <w:sz w:val="20"/>
                <w:szCs w:val="20"/>
              </w:rPr>
              <w:t>Ln(1+Vega)</w:t>
            </w:r>
            <w:r w:rsidR="00331F7A">
              <w:rPr>
                <w:iCs/>
                <w:sz w:val="20"/>
                <w:szCs w:val="20"/>
              </w:rPr>
              <w:t xml:space="preserve"> </w:t>
            </w:r>
            <w:r w:rsidR="00331F7A" w:rsidRPr="008669C3">
              <w:rPr>
                <w:iCs/>
                <w:sz w:val="20"/>
                <w:szCs w:val="20"/>
              </w:rPr>
              <w:t>×</w:t>
            </w:r>
            <w:r w:rsidR="00331F7A">
              <w:rPr>
                <w:iCs/>
                <w:sz w:val="20"/>
                <w:szCs w:val="20"/>
              </w:rPr>
              <w:t xml:space="preserve"> </w:t>
            </w:r>
            <w:r w:rsidR="00331F7A" w:rsidRPr="008669C3">
              <w:rPr>
                <w:iCs/>
                <w:sz w:val="20"/>
                <w:szCs w:val="20"/>
              </w:rPr>
              <w:t>CDS trading</w:t>
            </w:r>
          </w:p>
        </w:tc>
        <w:tc>
          <w:tcPr>
            <w:tcW w:w="849" w:type="pct"/>
            <w:tcBorders>
              <w:top w:val="nil"/>
              <w:left w:val="nil"/>
              <w:bottom w:val="nil"/>
              <w:right w:val="nil"/>
            </w:tcBorders>
            <w:shd w:val="clear" w:color="auto" w:fill="auto"/>
            <w:noWrap/>
            <w:vAlign w:val="bottom"/>
          </w:tcPr>
          <w:p w14:paraId="0C04FAC8" w14:textId="240B96C0" w:rsidR="003554A2" w:rsidRPr="008669C3" w:rsidRDefault="003554A2" w:rsidP="003554A2">
            <w:pPr>
              <w:jc w:val="center"/>
              <w:rPr>
                <w:sz w:val="20"/>
                <w:szCs w:val="20"/>
              </w:rPr>
            </w:pPr>
            <w:r w:rsidRPr="008669C3">
              <w:rPr>
                <w:sz w:val="20"/>
                <w:szCs w:val="20"/>
              </w:rPr>
              <w:t>-0.006**</w:t>
            </w:r>
          </w:p>
        </w:tc>
        <w:tc>
          <w:tcPr>
            <w:tcW w:w="849" w:type="pct"/>
            <w:tcBorders>
              <w:top w:val="nil"/>
              <w:left w:val="nil"/>
              <w:bottom w:val="nil"/>
              <w:right w:val="nil"/>
            </w:tcBorders>
            <w:shd w:val="clear" w:color="auto" w:fill="auto"/>
            <w:noWrap/>
            <w:vAlign w:val="bottom"/>
          </w:tcPr>
          <w:p w14:paraId="3615901E" w14:textId="7BE022A4" w:rsidR="003554A2" w:rsidRPr="008669C3" w:rsidRDefault="003554A2" w:rsidP="003554A2">
            <w:pPr>
              <w:jc w:val="center"/>
              <w:rPr>
                <w:sz w:val="20"/>
                <w:szCs w:val="20"/>
              </w:rPr>
            </w:pPr>
            <w:r w:rsidRPr="008669C3">
              <w:rPr>
                <w:sz w:val="20"/>
                <w:szCs w:val="20"/>
              </w:rPr>
              <w:t>-0.002</w:t>
            </w:r>
          </w:p>
        </w:tc>
        <w:tc>
          <w:tcPr>
            <w:tcW w:w="152" w:type="pct"/>
            <w:tcBorders>
              <w:top w:val="nil"/>
              <w:left w:val="nil"/>
              <w:bottom w:val="nil"/>
              <w:right w:val="nil"/>
            </w:tcBorders>
            <w:shd w:val="clear" w:color="auto" w:fill="auto"/>
            <w:noWrap/>
            <w:vAlign w:val="bottom"/>
          </w:tcPr>
          <w:p w14:paraId="744690FB" w14:textId="7A10CB0E" w:rsidR="003554A2" w:rsidRPr="008669C3" w:rsidRDefault="003554A2" w:rsidP="003554A2">
            <w:pPr>
              <w:jc w:val="center"/>
              <w:rPr>
                <w:sz w:val="20"/>
                <w:szCs w:val="20"/>
              </w:rPr>
            </w:pPr>
            <w:r w:rsidRPr="008669C3">
              <w:rPr>
                <w:sz w:val="20"/>
                <w:szCs w:val="20"/>
              </w:rPr>
              <w:t> </w:t>
            </w:r>
          </w:p>
        </w:tc>
        <w:tc>
          <w:tcPr>
            <w:tcW w:w="896" w:type="pct"/>
            <w:tcBorders>
              <w:top w:val="nil"/>
              <w:left w:val="nil"/>
              <w:bottom w:val="nil"/>
              <w:right w:val="nil"/>
            </w:tcBorders>
            <w:shd w:val="clear" w:color="auto" w:fill="auto"/>
            <w:noWrap/>
            <w:vAlign w:val="bottom"/>
          </w:tcPr>
          <w:p w14:paraId="5234F554" w14:textId="4334808B" w:rsidR="003554A2" w:rsidRPr="008669C3" w:rsidRDefault="003554A2" w:rsidP="003554A2">
            <w:pPr>
              <w:jc w:val="center"/>
              <w:rPr>
                <w:sz w:val="20"/>
                <w:szCs w:val="20"/>
              </w:rPr>
            </w:pPr>
            <w:r w:rsidRPr="008669C3">
              <w:rPr>
                <w:sz w:val="20"/>
                <w:szCs w:val="20"/>
              </w:rPr>
              <w:t>-0.004**</w:t>
            </w:r>
          </w:p>
        </w:tc>
        <w:tc>
          <w:tcPr>
            <w:tcW w:w="896" w:type="pct"/>
            <w:tcBorders>
              <w:top w:val="nil"/>
              <w:left w:val="nil"/>
              <w:bottom w:val="nil"/>
              <w:right w:val="nil"/>
            </w:tcBorders>
            <w:shd w:val="clear" w:color="auto" w:fill="auto"/>
            <w:noWrap/>
            <w:vAlign w:val="bottom"/>
          </w:tcPr>
          <w:p w14:paraId="54B47301" w14:textId="3158D978" w:rsidR="003554A2" w:rsidRPr="008669C3" w:rsidRDefault="003554A2" w:rsidP="003554A2">
            <w:pPr>
              <w:jc w:val="center"/>
              <w:rPr>
                <w:sz w:val="20"/>
                <w:szCs w:val="20"/>
              </w:rPr>
            </w:pPr>
            <w:r w:rsidRPr="008669C3">
              <w:rPr>
                <w:sz w:val="20"/>
                <w:szCs w:val="20"/>
              </w:rPr>
              <w:t>-0.003*</w:t>
            </w:r>
          </w:p>
        </w:tc>
      </w:tr>
      <w:tr w:rsidR="003554A2" w:rsidRPr="008669C3" w14:paraId="7C15E668" w14:textId="77777777" w:rsidTr="00A94131">
        <w:trPr>
          <w:trHeight w:val="225"/>
        </w:trPr>
        <w:tc>
          <w:tcPr>
            <w:tcW w:w="1358" w:type="pct"/>
            <w:tcBorders>
              <w:top w:val="nil"/>
              <w:left w:val="nil"/>
              <w:bottom w:val="nil"/>
              <w:right w:val="nil"/>
            </w:tcBorders>
            <w:shd w:val="clear" w:color="auto" w:fill="auto"/>
            <w:noWrap/>
            <w:vAlign w:val="center"/>
          </w:tcPr>
          <w:p w14:paraId="6323D5EA" w14:textId="77777777" w:rsidR="003554A2" w:rsidRPr="008669C3" w:rsidRDefault="003554A2" w:rsidP="003554A2">
            <w:pPr>
              <w:jc w:val="center"/>
              <w:rPr>
                <w:sz w:val="20"/>
                <w:szCs w:val="20"/>
              </w:rPr>
            </w:pPr>
          </w:p>
        </w:tc>
        <w:tc>
          <w:tcPr>
            <w:tcW w:w="849" w:type="pct"/>
            <w:tcBorders>
              <w:top w:val="nil"/>
              <w:left w:val="nil"/>
              <w:bottom w:val="nil"/>
              <w:right w:val="nil"/>
            </w:tcBorders>
            <w:shd w:val="clear" w:color="auto" w:fill="auto"/>
            <w:noWrap/>
            <w:vAlign w:val="bottom"/>
          </w:tcPr>
          <w:p w14:paraId="70D26ED6" w14:textId="696D68F7" w:rsidR="003554A2" w:rsidRPr="008669C3" w:rsidRDefault="003554A2" w:rsidP="003554A2">
            <w:pPr>
              <w:jc w:val="center"/>
              <w:rPr>
                <w:sz w:val="20"/>
                <w:szCs w:val="20"/>
              </w:rPr>
            </w:pPr>
            <w:r w:rsidRPr="008669C3">
              <w:rPr>
                <w:sz w:val="20"/>
                <w:szCs w:val="20"/>
              </w:rPr>
              <w:t>(0.003)</w:t>
            </w:r>
          </w:p>
        </w:tc>
        <w:tc>
          <w:tcPr>
            <w:tcW w:w="849" w:type="pct"/>
            <w:tcBorders>
              <w:top w:val="nil"/>
              <w:left w:val="nil"/>
              <w:bottom w:val="nil"/>
              <w:right w:val="nil"/>
            </w:tcBorders>
            <w:shd w:val="clear" w:color="auto" w:fill="auto"/>
            <w:noWrap/>
            <w:vAlign w:val="bottom"/>
          </w:tcPr>
          <w:p w14:paraId="53F2F91C" w14:textId="088E7A46" w:rsidR="003554A2" w:rsidRPr="008669C3" w:rsidRDefault="003554A2" w:rsidP="003554A2">
            <w:pPr>
              <w:jc w:val="center"/>
              <w:rPr>
                <w:sz w:val="20"/>
                <w:szCs w:val="20"/>
              </w:rPr>
            </w:pPr>
            <w:r w:rsidRPr="008669C3">
              <w:rPr>
                <w:sz w:val="20"/>
                <w:szCs w:val="20"/>
              </w:rPr>
              <w:t>(0.003)</w:t>
            </w:r>
          </w:p>
        </w:tc>
        <w:tc>
          <w:tcPr>
            <w:tcW w:w="152" w:type="pct"/>
            <w:tcBorders>
              <w:top w:val="nil"/>
              <w:left w:val="nil"/>
              <w:bottom w:val="nil"/>
              <w:right w:val="nil"/>
            </w:tcBorders>
            <w:shd w:val="clear" w:color="auto" w:fill="auto"/>
            <w:noWrap/>
            <w:vAlign w:val="bottom"/>
          </w:tcPr>
          <w:p w14:paraId="2B4B7A45" w14:textId="5CF58886" w:rsidR="003554A2" w:rsidRPr="008669C3" w:rsidRDefault="003554A2" w:rsidP="003554A2">
            <w:pPr>
              <w:jc w:val="center"/>
              <w:rPr>
                <w:sz w:val="20"/>
                <w:szCs w:val="20"/>
              </w:rPr>
            </w:pPr>
            <w:r w:rsidRPr="008669C3">
              <w:rPr>
                <w:sz w:val="20"/>
                <w:szCs w:val="20"/>
              </w:rPr>
              <w:t> </w:t>
            </w:r>
          </w:p>
        </w:tc>
        <w:tc>
          <w:tcPr>
            <w:tcW w:w="896" w:type="pct"/>
            <w:tcBorders>
              <w:top w:val="nil"/>
              <w:left w:val="nil"/>
              <w:bottom w:val="nil"/>
              <w:right w:val="nil"/>
            </w:tcBorders>
            <w:shd w:val="clear" w:color="auto" w:fill="auto"/>
            <w:noWrap/>
            <w:vAlign w:val="bottom"/>
          </w:tcPr>
          <w:p w14:paraId="099E6D68" w14:textId="15F6A2D5" w:rsidR="003554A2" w:rsidRPr="008669C3" w:rsidRDefault="003554A2" w:rsidP="003554A2">
            <w:pPr>
              <w:jc w:val="center"/>
              <w:rPr>
                <w:sz w:val="20"/>
                <w:szCs w:val="20"/>
              </w:rPr>
            </w:pPr>
            <w:r w:rsidRPr="008669C3">
              <w:rPr>
                <w:sz w:val="20"/>
                <w:szCs w:val="20"/>
              </w:rPr>
              <w:t>(0.002)</w:t>
            </w:r>
          </w:p>
        </w:tc>
        <w:tc>
          <w:tcPr>
            <w:tcW w:w="896" w:type="pct"/>
            <w:tcBorders>
              <w:top w:val="nil"/>
              <w:left w:val="nil"/>
              <w:bottom w:val="nil"/>
              <w:right w:val="nil"/>
            </w:tcBorders>
            <w:shd w:val="clear" w:color="auto" w:fill="auto"/>
            <w:noWrap/>
            <w:vAlign w:val="bottom"/>
          </w:tcPr>
          <w:p w14:paraId="1DD7D512" w14:textId="4E8E9EC7" w:rsidR="003554A2" w:rsidRPr="008669C3" w:rsidRDefault="003554A2" w:rsidP="003554A2">
            <w:pPr>
              <w:jc w:val="center"/>
              <w:rPr>
                <w:sz w:val="20"/>
                <w:szCs w:val="20"/>
              </w:rPr>
            </w:pPr>
            <w:r w:rsidRPr="008669C3">
              <w:rPr>
                <w:sz w:val="20"/>
                <w:szCs w:val="20"/>
              </w:rPr>
              <w:t>(0.002)</w:t>
            </w:r>
          </w:p>
        </w:tc>
      </w:tr>
      <w:tr w:rsidR="003554A2" w:rsidRPr="008669C3" w14:paraId="0FD2DDF1" w14:textId="77777777" w:rsidTr="00A94131">
        <w:trPr>
          <w:trHeight w:val="225"/>
        </w:trPr>
        <w:tc>
          <w:tcPr>
            <w:tcW w:w="1358" w:type="pct"/>
            <w:tcBorders>
              <w:top w:val="nil"/>
              <w:left w:val="nil"/>
              <w:bottom w:val="nil"/>
              <w:right w:val="nil"/>
            </w:tcBorders>
            <w:shd w:val="clear" w:color="auto" w:fill="auto"/>
            <w:noWrap/>
            <w:vAlign w:val="center"/>
            <w:hideMark/>
          </w:tcPr>
          <w:p w14:paraId="6F351FEF" w14:textId="77777777" w:rsidR="003554A2" w:rsidRPr="008669C3" w:rsidRDefault="003554A2" w:rsidP="003554A2">
            <w:pPr>
              <w:rPr>
                <w:iCs/>
                <w:sz w:val="20"/>
                <w:szCs w:val="20"/>
              </w:rPr>
            </w:pPr>
            <w:r w:rsidRPr="008669C3">
              <w:rPr>
                <w:iCs/>
                <w:sz w:val="20"/>
                <w:szCs w:val="20"/>
              </w:rPr>
              <w:t>CDS trading</w:t>
            </w:r>
          </w:p>
        </w:tc>
        <w:tc>
          <w:tcPr>
            <w:tcW w:w="849" w:type="pct"/>
            <w:tcBorders>
              <w:top w:val="nil"/>
              <w:left w:val="nil"/>
              <w:bottom w:val="nil"/>
              <w:right w:val="nil"/>
            </w:tcBorders>
            <w:shd w:val="clear" w:color="auto" w:fill="auto"/>
            <w:noWrap/>
            <w:vAlign w:val="bottom"/>
            <w:hideMark/>
          </w:tcPr>
          <w:p w14:paraId="64171346" w14:textId="52B7286A" w:rsidR="003554A2" w:rsidRPr="008669C3" w:rsidRDefault="003554A2" w:rsidP="003554A2">
            <w:pPr>
              <w:jc w:val="center"/>
              <w:rPr>
                <w:sz w:val="20"/>
                <w:szCs w:val="20"/>
              </w:rPr>
            </w:pPr>
            <w:r w:rsidRPr="008669C3">
              <w:rPr>
                <w:sz w:val="20"/>
                <w:szCs w:val="20"/>
              </w:rPr>
              <w:t>0.040**</w:t>
            </w:r>
          </w:p>
        </w:tc>
        <w:tc>
          <w:tcPr>
            <w:tcW w:w="849" w:type="pct"/>
            <w:tcBorders>
              <w:top w:val="nil"/>
              <w:left w:val="nil"/>
              <w:bottom w:val="nil"/>
              <w:right w:val="nil"/>
            </w:tcBorders>
            <w:shd w:val="clear" w:color="auto" w:fill="auto"/>
            <w:noWrap/>
            <w:vAlign w:val="bottom"/>
            <w:hideMark/>
          </w:tcPr>
          <w:p w14:paraId="644B6395" w14:textId="3AD17B9E" w:rsidR="003554A2" w:rsidRPr="008669C3" w:rsidRDefault="003554A2" w:rsidP="003554A2">
            <w:pPr>
              <w:jc w:val="center"/>
              <w:rPr>
                <w:sz w:val="20"/>
                <w:szCs w:val="20"/>
              </w:rPr>
            </w:pPr>
            <w:r w:rsidRPr="008669C3">
              <w:rPr>
                <w:sz w:val="20"/>
                <w:szCs w:val="20"/>
              </w:rPr>
              <w:t>0.023</w:t>
            </w:r>
          </w:p>
        </w:tc>
        <w:tc>
          <w:tcPr>
            <w:tcW w:w="152" w:type="pct"/>
            <w:tcBorders>
              <w:top w:val="nil"/>
              <w:left w:val="nil"/>
              <w:bottom w:val="nil"/>
              <w:right w:val="nil"/>
            </w:tcBorders>
            <w:shd w:val="clear" w:color="auto" w:fill="auto"/>
            <w:noWrap/>
            <w:vAlign w:val="bottom"/>
            <w:hideMark/>
          </w:tcPr>
          <w:p w14:paraId="3B382E56"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75565F99" w14:textId="7CC209F1" w:rsidR="003554A2" w:rsidRPr="008669C3" w:rsidRDefault="003554A2" w:rsidP="003554A2">
            <w:pPr>
              <w:jc w:val="center"/>
              <w:rPr>
                <w:sz w:val="20"/>
                <w:szCs w:val="20"/>
              </w:rPr>
            </w:pPr>
            <w:r w:rsidRPr="008669C3">
              <w:rPr>
                <w:sz w:val="20"/>
                <w:szCs w:val="20"/>
              </w:rPr>
              <w:t>0.023*</w:t>
            </w:r>
          </w:p>
        </w:tc>
        <w:tc>
          <w:tcPr>
            <w:tcW w:w="896" w:type="pct"/>
            <w:tcBorders>
              <w:top w:val="nil"/>
              <w:left w:val="nil"/>
              <w:bottom w:val="nil"/>
              <w:right w:val="nil"/>
            </w:tcBorders>
            <w:shd w:val="clear" w:color="auto" w:fill="auto"/>
            <w:noWrap/>
            <w:vAlign w:val="bottom"/>
            <w:hideMark/>
          </w:tcPr>
          <w:p w14:paraId="0D9E5FEE" w14:textId="345B6045" w:rsidR="003554A2" w:rsidRPr="008669C3" w:rsidRDefault="003554A2" w:rsidP="003554A2">
            <w:pPr>
              <w:jc w:val="center"/>
              <w:rPr>
                <w:sz w:val="20"/>
                <w:szCs w:val="20"/>
              </w:rPr>
            </w:pPr>
            <w:r w:rsidRPr="008669C3">
              <w:rPr>
                <w:sz w:val="20"/>
                <w:szCs w:val="20"/>
              </w:rPr>
              <w:t>0.010</w:t>
            </w:r>
          </w:p>
        </w:tc>
      </w:tr>
      <w:tr w:rsidR="003554A2" w:rsidRPr="008669C3" w14:paraId="67396BE9" w14:textId="77777777" w:rsidTr="00A94131">
        <w:trPr>
          <w:trHeight w:val="225"/>
        </w:trPr>
        <w:tc>
          <w:tcPr>
            <w:tcW w:w="1358" w:type="pct"/>
            <w:tcBorders>
              <w:top w:val="nil"/>
              <w:left w:val="nil"/>
              <w:bottom w:val="nil"/>
              <w:right w:val="nil"/>
            </w:tcBorders>
            <w:shd w:val="clear" w:color="auto" w:fill="auto"/>
            <w:noWrap/>
            <w:vAlign w:val="center"/>
            <w:hideMark/>
          </w:tcPr>
          <w:p w14:paraId="27992E09" w14:textId="77777777" w:rsidR="003554A2" w:rsidRPr="008669C3" w:rsidRDefault="003554A2" w:rsidP="003554A2">
            <w:pPr>
              <w:jc w:val="center"/>
              <w:rPr>
                <w:sz w:val="20"/>
                <w:szCs w:val="20"/>
              </w:rPr>
            </w:pPr>
          </w:p>
        </w:tc>
        <w:tc>
          <w:tcPr>
            <w:tcW w:w="849" w:type="pct"/>
            <w:tcBorders>
              <w:top w:val="nil"/>
              <w:left w:val="nil"/>
              <w:bottom w:val="nil"/>
              <w:right w:val="nil"/>
            </w:tcBorders>
            <w:shd w:val="clear" w:color="auto" w:fill="auto"/>
            <w:noWrap/>
            <w:vAlign w:val="bottom"/>
            <w:hideMark/>
          </w:tcPr>
          <w:p w14:paraId="3A87CDAF" w14:textId="13971A43" w:rsidR="003554A2" w:rsidRPr="008669C3" w:rsidRDefault="003554A2" w:rsidP="003554A2">
            <w:pPr>
              <w:jc w:val="center"/>
              <w:rPr>
                <w:sz w:val="20"/>
                <w:szCs w:val="20"/>
              </w:rPr>
            </w:pPr>
            <w:r w:rsidRPr="008669C3">
              <w:rPr>
                <w:sz w:val="20"/>
                <w:szCs w:val="20"/>
              </w:rPr>
              <w:t>(0.019)</w:t>
            </w:r>
          </w:p>
        </w:tc>
        <w:tc>
          <w:tcPr>
            <w:tcW w:w="849" w:type="pct"/>
            <w:tcBorders>
              <w:top w:val="nil"/>
              <w:left w:val="nil"/>
              <w:bottom w:val="nil"/>
              <w:right w:val="nil"/>
            </w:tcBorders>
            <w:shd w:val="clear" w:color="auto" w:fill="auto"/>
            <w:noWrap/>
            <w:vAlign w:val="bottom"/>
            <w:hideMark/>
          </w:tcPr>
          <w:p w14:paraId="06EA982E" w14:textId="277AA04D" w:rsidR="003554A2" w:rsidRPr="008669C3" w:rsidRDefault="003554A2" w:rsidP="003554A2">
            <w:pPr>
              <w:jc w:val="center"/>
              <w:rPr>
                <w:sz w:val="20"/>
                <w:szCs w:val="20"/>
              </w:rPr>
            </w:pPr>
            <w:r w:rsidRPr="008669C3">
              <w:rPr>
                <w:sz w:val="20"/>
                <w:szCs w:val="20"/>
              </w:rPr>
              <w:t>(0.017)</w:t>
            </w:r>
          </w:p>
        </w:tc>
        <w:tc>
          <w:tcPr>
            <w:tcW w:w="152" w:type="pct"/>
            <w:tcBorders>
              <w:top w:val="nil"/>
              <w:left w:val="nil"/>
              <w:bottom w:val="nil"/>
              <w:right w:val="nil"/>
            </w:tcBorders>
            <w:shd w:val="clear" w:color="auto" w:fill="auto"/>
            <w:noWrap/>
            <w:vAlign w:val="bottom"/>
            <w:hideMark/>
          </w:tcPr>
          <w:p w14:paraId="70DCDBDF"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63EBFEEF" w14:textId="73A3F379" w:rsidR="003554A2" w:rsidRPr="008669C3" w:rsidRDefault="003554A2" w:rsidP="003554A2">
            <w:pPr>
              <w:jc w:val="center"/>
              <w:rPr>
                <w:sz w:val="20"/>
                <w:szCs w:val="20"/>
              </w:rPr>
            </w:pPr>
            <w:r w:rsidRPr="008669C3">
              <w:rPr>
                <w:sz w:val="20"/>
                <w:szCs w:val="20"/>
              </w:rPr>
              <w:t>(0.014)</w:t>
            </w:r>
          </w:p>
        </w:tc>
        <w:tc>
          <w:tcPr>
            <w:tcW w:w="896" w:type="pct"/>
            <w:tcBorders>
              <w:top w:val="nil"/>
              <w:left w:val="nil"/>
              <w:bottom w:val="nil"/>
              <w:right w:val="nil"/>
            </w:tcBorders>
            <w:shd w:val="clear" w:color="auto" w:fill="auto"/>
            <w:noWrap/>
            <w:vAlign w:val="bottom"/>
            <w:hideMark/>
          </w:tcPr>
          <w:p w14:paraId="6F9FF9A7" w14:textId="34C91B83" w:rsidR="003554A2" w:rsidRPr="008669C3" w:rsidRDefault="003554A2" w:rsidP="003554A2">
            <w:pPr>
              <w:jc w:val="center"/>
              <w:rPr>
                <w:sz w:val="20"/>
                <w:szCs w:val="20"/>
              </w:rPr>
            </w:pPr>
            <w:r w:rsidRPr="008669C3">
              <w:rPr>
                <w:sz w:val="20"/>
                <w:szCs w:val="20"/>
              </w:rPr>
              <w:t>(0.013)</w:t>
            </w:r>
          </w:p>
        </w:tc>
      </w:tr>
      <w:tr w:rsidR="003554A2" w:rsidRPr="008669C3" w14:paraId="377FC763" w14:textId="77777777" w:rsidTr="00A94131">
        <w:trPr>
          <w:trHeight w:val="225"/>
        </w:trPr>
        <w:tc>
          <w:tcPr>
            <w:tcW w:w="1358" w:type="pct"/>
            <w:tcBorders>
              <w:top w:val="nil"/>
              <w:left w:val="nil"/>
              <w:bottom w:val="nil"/>
              <w:right w:val="nil"/>
            </w:tcBorders>
            <w:shd w:val="clear" w:color="auto" w:fill="auto"/>
            <w:noWrap/>
            <w:vAlign w:val="bottom"/>
            <w:hideMark/>
          </w:tcPr>
          <w:p w14:paraId="20EDA762" w14:textId="77777777" w:rsidR="003554A2" w:rsidRPr="008669C3" w:rsidRDefault="003554A2" w:rsidP="003554A2">
            <w:pPr>
              <w:rPr>
                <w:iCs/>
                <w:sz w:val="20"/>
                <w:szCs w:val="20"/>
              </w:rPr>
            </w:pPr>
            <w:r w:rsidRPr="008669C3">
              <w:rPr>
                <w:iCs/>
                <w:sz w:val="20"/>
                <w:szCs w:val="20"/>
              </w:rPr>
              <w:t>Ln(Sales)</w:t>
            </w:r>
          </w:p>
        </w:tc>
        <w:tc>
          <w:tcPr>
            <w:tcW w:w="849" w:type="pct"/>
            <w:tcBorders>
              <w:top w:val="nil"/>
              <w:left w:val="nil"/>
              <w:bottom w:val="nil"/>
              <w:right w:val="nil"/>
            </w:tcBorders>
            <w:shd w:val="clear" w:color="auto" w:fill="auto"/>
            <w:noWrap/>
            <w:vAlign w:val="bottom"/>
            <w:hideMark/>
          </w:tcPr>
          <w:p w14:paraId="583B16FE" w14:textId="0B1AC098" w:rsidR="003554A2" w:rsidRPr="008669C3" w:rsidRDefault="003554A2" w:rsidP="003554A2">
            <w:pPr>
              <w:jc w:val="center"/>
              <w:rPr>
                <w:sz w:val="20"/>
                <w:szCs w:val="20"/>
              </w:rPr>
            </w:pPr>
            <w:r w:rsidRPr="008669C3">
              <w:rPr>
                <w:sz w:val="20"/>
                <w:szCs w:val="20"/>
              </w:rPr>
              <w:t>0.024</w:t>
            </w:r>
          </w:p>
        </w:tc>
        <w:tc>
          <w:tcPr>
            <w:tcW w:w="849" w:type="pct"/>
            <w:tcBorders>
              <w:top w:val="nil"/>
              <w:left w:val="nil"/>
              <w:bottom w:val="nil"/>
              <w:right w:val="nil"/>
            </w:tcBorders>
            <w:shd w:val="clear" w:color="auto" w:fill="auto"/>
            <w:noWrap/>
            <w:vAlign w:val="bottom"/>
            <w:hideMark/>
          </w:tcPr>
          <w:p w14:paraId="6DEDF78C" w14:textId="72C7F1C1" w:rsidR="003554A2" w:rsidRPr="008669C3" w:rsidRDefault="003554A2" w:rsidP="003554A2">
            <w:pPr>
              <w:jc w:val="center"/>
              <w:rPr>
                <w:sz w:val="20"/>
                <w:szCs w:val="20"/>
              </w:rPr>
            </w:pPr>
            <w:r w:rsidRPr="008669C3">
              <w:rPr>
                <w:sz w:val="20"/>
                <w:szCs w:val="20"/>
              </w:rPr>
              <w:t>0.014</w:t>
            </w:r>
          </w:p>
        </w:tc>
        <w:tc>
          <w:tcPr>
            <w:tcW w:w="152" w:type="pct"/>
            <w:tcBorders>
              <w:top w:val="nil"/>
              <w:left w:val="nil"/>
              <w:bottom w:val="nil"/>
              <w:right w:val="nil"/>
            </w:tcBorders>
            <w:shd w:val="clear" w:color="auto" w:fill="auto"/>
            <w:noWrap/>
            <w:vAlign w:val="bottom"/>
            <w:hideMark/>
          </w:tcPr>
          <w:p w14:paraId="5D3E9790"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45496A1F" w14:textId="3E3EFEFF" w:rsidR="003554A2" w:rsidRPr="008669C3" w:rsidRDefault="003554A2" w:rsidP="003554A2">
            <w:pPr>
              <w:jc w:val="center"/>
              <w:rPr>
                <w:sz w:val="20"/>
                <w:szCs w:val="20"/>
              </w:rPr>
            </w:pPr>
            <w:r w:rsidRPr="008669C3">
              <w:rPr>
                <w:sz w:val="20"/>
                <w:szCs w:val="20"/>
              </w:rPr>
              <w:t>0.060***</w:t>
            </w:r>
          </w:p>
        </w:tc>
        <w:tc>
          <w:tcPr>
            <w:tcW w:w="896" w:type="pct"/>
            <w:tcBorders>
              <w:top w:val="nil"/>
              <w:left w:val="nil"/>
              <w:bottom w:val="nil"/>
              <w:right w:val="nil"/>
            </w:tcBorders>
            <w:shd w:val="clear" w:color="auto" w:fill="auto"/>
            <w:noWrap/>
            <w:vAlign w:val="bottom"/>
            <w:hideMark/>
          </w:tcPr>
          <w:p w14:paraId="2C78F5F0" w14:textId="7412D779" w:rsidR="003554A2" w:rsidRPr="008669C3" w:rsidRDefault="003554A2" w:rsidP="003554A2">
            <w:pPr>
              <w:jc w:val="center"/>
              <w:rPr>
                <w:sz w:val="20"/>
                <w:szCs w:val="20"/>
              </w:rPr>
            </w:pPr>
            <w:r w:rsidRPr="008669C3">
              <w:rPr>
                <w:sz w:val="20"/>
                <w:szCs w:val="20"/>
              </w:rPr>
              <w:t>0.060***</w:t>
            </w:r>
          </w:p>
        </w:tc>
      </w:tr>
      <w:tr w:rsidR="003554A2" w:rsidRPr="008669C3" w14:paraId="5FA34661" w14:textId="77777777" w:rsidTr="00A94131">
        <w:trPr>
          <w:trHeight w:val="225"/>
        </w:trPr>
        <w:tc>
          <w:tcPr>
            <w:tcW w:w="1358" w:type="pct"/>
            <w:tcBorders>
              <w:top w:val="nil"/>
              <w:left w:val="nil"/>
              <w:bottom w:val="nil"/>
              <w:right w:val="nil"/>
            </w:tcBorders>
            <w:shd w:val="clear" w:color="auto" w:fill="auto"/>
            <w:noWrap/>
            <w:vAlign w:val="bottom"/>
            <w:hideMark/>
          </w:tcPr>
          <w:p w14:paraId="3C10FA94" w14:textId="77777777" w:rsidR="003554A2" w:rsidRPr="008669C3" w:rsidRDefault="003554A2" w:rsidP="003554A2">
            <w:pPr>
              <w:jc w:val="center"/>
              <w:rPr>
                <w:sz w:val="20"/>
                <w:szCs w:val="20"/>
              </w:rPr>
            </w:pPr>
          </w:p>
        </w:tc>
        <w:tc>
          <w:tcPr>
            <w:tcW w:w="849" w:type="pct"/>
            <w:tcBorders>
              <w:top w:val="nil"/>
              <w:left w:val="nil"/>
              <w:bottom w:val="nil"/>
              <w:right w:val="nil"/>
            </w:tcBorders>
            <w:shd w:val="clear" w:color="auto" w:fill="auto"/>
            <w:noWrap/>
            <w:vAlign w:val="bottom"/>
            <w:hideMark/>
          </w:tcPr>
          <w:p w14:paraId="7269E2E5" w14:textId="066A7CDF" w:rsidR="003554A2" w:rsidRPr="008669C3" w:rsidRDefault="003554A2" w:rsidP="003554A2">
            <w:pPr>
              <w:jc w:val="center"/>
              <w:rPr>
                <w:sz w:val="20"/>
                <w:szCs w:val="20"/>
              </w:rPr>
            </w:pPr>
            <w:r w:rsidRPr="008669C3">
              <w:rPr>
                <w:sz w:val="20"/>
                <w:szCs w:val="20"/>
              </w:rPr>
              <w:t>(0.016)</w:t>
            </w:r>
          </w:p>
        </w:tc>
        <w:tc>
          <w:tcPr>
            <w:tcW w:w="849" w:type="pct"/>
            <w:tcBorders>
              <w:top w:val="nil"/>
              <w:left w:val="nil"/>
              <w:bottom w:val="nil"/>
              <w:right w:val="nil"/>
            </w:tcBorders>
            <w:shd w:val="clear" w:color="auto" w:fill="auto"/>
            <w:noWrap/>
            <w:vAlign w:val="bottom"/>
            <w:hideMark/>
          </w:tcPr>
          <w:p w14:paraId="633250F1" w14:textId="010E1178" w:rsidR="003554A2" w:rsidRPr="008669C3" w:rsidRDefault="003554A2" w:rsidP="003554A2">
            <w:pPr>
              <w:jc w:val="center"/>
              <w:rPr>
                <w:sz w:val="20"/>
                <w:szCs w:val="20"/>
              </w:rPr>
            </w:pPr>
            <w:r w:rsidRPr="008669C3">
              <w:rPr>
                <w:sz w:val="20"/>
                <w:szCs w:val="20"/>
              </w:rPr>
              <w:t>(0.017)</w:t>
            </w:r>
          </w:p>
        </w:tc>
        <w:tc>
          <w:tcPr>
            <w:tcW w:w="152" w:type="pct"/>
            <w:tcBorders>
              <w:top w:val="nil"/>
              <w:left w:val="nil"/>
              <w:bottom w:val="nil"/>
              <w:right w:val="nil"/>
            </w:tcBorders>
            <w:shd w:val="clear" w:color="auto" w:fill="auto"/>
            <w:noWrap/>
            <w:vAlign w:val="bottom"/>
            <w:hideMark/>
          </w:tcPr>
          <w:p w14:paraId="1C58212B"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7BFD2C82" w14:textId="6B037679" w:rsidR="003554A2" w:rsidRPr="008669C3" w:rsidRDefault="003554A2" w:rsidP="003554A2">
            <w:pPr>
              <w:jc w:val="center"/>
              <w:rPr>
                <w:sz w:val="20"/>
                <w:szCs w:val="20"/>
              </w:rPr>
            </w:pPr>
            <w:r w:rsidRPr="008669C3">
              <w:rPr>
                <w:sz w:val="20"/>
                <w:szCs w:val="20"/>
              </w:rPr>
              <w:t>(0.012)</w:t>
            </w:r>
          </w:p>
        </w:tc>
        <w:tc>
          <w:tcPr>
            <w:tcW w:w="896" w:type="pct"/>
            <w:tcBorders>
              <w:top w:val="nil"/>
              <w:left w:val="nil"/>
              <w:bottom w:val="nil"/>
              <w:right w:val="nil"/>
            </w:tcBorders>
            <w:shd w:val="clear" w:color="auto" w:fill="auto"/>
            <w:noWrap/>
            <w:vAlign w:val="bottom"/>
            <w:hideMark/>
          </w:tcPr>
          <w:p w14:paraId="3AA178C7" w14:textId="31C12C7D" w:rsidR="003554A2" w:rsidRPr="008669C3" w:rsidRDefault="003554A2" w:rsidP="003554A2">
            <w:pPr>
              <w:jc w:val="center"/>
              <w:rPr>
                <w:sz w:val="20"/>
                <w:szCs w:val="20"/>
              </w:rPr>
            </w:pPr>
            <w:r w:rsidRPr="008669C3">
              <w:rPr>
                <w:sz w:val="20"/>
                <w:szCs w:val="20"/>
              </w:rPr>
              <w:t>(0.013)</w:t>
            </w:r>
          </w:p>
        </w:tc>
      </w:tr>
      <w:tr w:rsidR="003554A2" w:rsidRPr="008669C3" w14:paraId="633185E3" w14:textId="77777777" w:rsidTr="00A94131">
        <w:trPr>
          <w:trHeight w:val="225"/>
        </w:trPr>
        <w:tc>
          <w:tcPr>
            <w:tcW w:w="1358" w:type="pct"/>
            <w:tcBorders>
              <w:top w:val="nil"/>
              <w:left w:val="nil"/>
              <w:bottom w:val="nil"/>
              <w:right w:val="nil"/>
            </w:tcBorders>
            <w:shd w:val="clear" w:color="auto" w:fill="auto"/>
            <w:noWrap/>
            <w:vAlign w:val="bottom"/>
            <w:hideMark/>
          </w:tcPr>
          <w:p w14:paraId="15CFDA26" w14:textId="77777777" w:rsidR="003554A2" w:rsidRPr="008669C3" w:rsidRDefault="003554A2" w:rsidP="003554A2">
            <w:pPr>
              <w:rPr>
                <w:iCs/>
                <w:sz w:val="20"/>
                <w:szCs w:val="20"/>
              </w:rPr>
            </w:pPr>
            <w:r w:rsidRPr="008669C3">
              <w:rPr>
                <w:iCs/>
                <w:sz w:val="20"/>
                <w:szCs w:val="20"/>
              </w:rPr>
              <w:t>ROA</w:t>
            </w:r>
          </w:p>
        </w:tc>
        <w:tc>
          <w:tcPr>
            <w:tcW w:w="849" w:type="pct"/>
            <w:tcBorders>
              <w:top w:val="nil"/>
              <w:left w:val="nil"/>
              <w:bottom w:val="nil"/>
              <w:right w:val="nil"/>
            </w:tcBorders>
            <w:shd w:val="clear" w:color="auto" w:fill="auto"/>
            <w:noWrap/>
            <w:vAlign w:val="bottom"/>
            <w:hideMark/>
          </w:tcPr>
          <w:p w14:paraId="61F08E4A" w14:textId="27A717FE" w:rsidR="003554A2" w:rsidRPr="008669C3" w:rsidRDefault="003554A2" w:rsidP="003554A2">
            <w:pPr>
              <w:jc w:val="center"/>
              <w:rPr>
                <w:sz w:val="20"/>
                <w:szCs w:val="20"/>
              </w:rPr>
            </w:pPr>
            <w:r w:rsidRPr="008669C3">
              <w:rPr>
                <w:sz w:val="20"/>
                <w:szCs w:val="20"/>
              </w:rPr>
              <w:t>-0.137***</w:t>
            </w:r>
          </w:p>
        </w:tc>
        <w:tc>
          <w:tcPr>
            <w:tcW w:w="849" w:type="pct"/>
            <w:tcBorders>
              <w:top w:val="nil"/>
              <w:left w:val="nil"/>
              <w:bottom w:val="nil"/>
              <w:right w:val="nil"/>
            </w:tcBorders>
            <w:shd w:val="clear" w:color="auto" w:fill="auto"/>
            <w:noWrap/>
            <w:vAlign w:val="bottom"/>
            <w:hideMark/>
          </w:tcPr>
          <w:p w14:paraId="648F8658" w14:textId="30C90E9B" w:rsidR="003554A2" w:rsidRPr="008669C3" w:rsidRDefault="003554A2" w:rsidP="003554A2">
            <w:pPr>
              <w:jc w:val="center"/>
              <w:rPr>
                <w:sz w:val="20"/>
                <w:szCs w:val="20"/>
              </w:rPr>
            </w:pPr>
            <w:r w:rsidRPr="008669C3">
              <w:rPr>
                <w:sz w:val="20"/>
                <w:szCs w:val="20"/>
              </w:rPr>
              <w:t>-0.116***</w:t>
            </w:r>
          </w:p>
        </w:tc>
        <w:tc>
          <w:tcPr>
            <w:tcW w:w="152" w:type="pct"/>
            <w:tcBorders>
              <w:top w:val="nil"/>
              <w:left w:val="nil"/>
              <w:bottom w:val="nil"/>
              <w:right w:val="nil"/>
            </w:tcBorders>
            <w:shd w:val="clear" w:color="auto" w:fill="auto"/>
            <w:noWrap/>
            <w:vAlign w:val="bottom"/>
            <w:hideMark/>
          </w:tcPr>
          <w:p w14:paraId="7121D986"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3AA2D7AD" w14:textId="01ED3EC1" w:rsidR="003554A2" w:rsidRPr="008669C3" w:rsidRDefault="003554A2" w:rsidP="003554A2">
            <w:pPr>
              <w:jc w:val="center"/>
              <w:rPr>
                <w:sz w:val="20"/>
                <w:szCs w:val="20"/>
              </w:rPr>
            </w:pPr>
            <w:r w:rsidRPr="008669C3">
              <w:rPr>
                <w:sz w:val="20"/>
                <w:szCs w:val="20"/>
              </w:rPr>
              <w:t>-0.181***</w:t>
            </w:r>
          </w:p>
        </w:tc>
        <w:tc>
          <w:tcPr>
            <w:tcW w:w="896" w:type="pct"/>
            <w:tcBorders>
              <w:top w:val="nil"/>
              <w:left w:val="nil"/>
              <w:bottom w:val="nil"/>
              <w:right w:val="nil"/>
            </w:tcBorders>
            <w:shd w:val="clear" w:color="auto" w:fill="auto"/>
            <w:noWrap/>
            <w:vAlign w:val="bottom"/>
            <w:hideMark/>
          </w:tcPr>
          <w:p w14:paraId="1438D434" w14:textId="153808E4" w:rsidR="003554A2" w:rsidRPr="008669C3" w:rsidRDefault="003554A2" w:rsidP="003554A2">
            <w:pPr>
              <w:jc w:val="center"/>
              <w:rPr>
                <w:sz w:val="20"/>
                <w:szCs w:val="20"/>
              </w:rPr>
            </w:pPr>
            <w:r w:rsidRPr="008669C3">
              <w:rPr>
                <w:sz w:val="20"/>
                <w:szCs w:val="20"/>
              </w:rPr>
              <w:t>-0.152***</w:t>
            </w:r>
          </w:p>
        </w:tc>
      </w:tr>
      <w:tr w:rsidR="003554A2" w:rsidRPr="008669C3" w14:paraId="491BA081" w14:textId="77777777" w:rsidTr="00A94131">
        <w:trPr>
          <w:trHeight w:val="225"/>
        </w:trPr>
        <w:tc>
          <w:tcPr>
            <w:tcW w:w="1358" w:type="pct"/>
            <w:tcBorders>
              <w:top w:val="nil"/>
              <w:left w:val="nil"/>
              <w:bottom w:val="nil"/>
              <w:right w:val="nil"/>
            </w:tcBorders>
            <w:shd w:val="clear" w:color="auto" w:fill="auto"/>
            <w:noWrap/>
            <w:vAlign w:val="bottom"/>
            <w:hideMark/>
          </w:tcPr>
          <w:p w14:paraId="7DEA3BBD" w14:textId="77777777" w:rsidR="003554A2" w:rsidRPr="008669C3" w:rsidRDefault="003554A2" w:rsidP="003554A2">
            <w:pPr>
              <w:jc w:val="center"/>
              <w:rPr>
                <w:sz w:val="20"/>
                <w:szCs w:val="20"/>
              </w:rPr>
            </w:pPr>
          </w:p>
        </w:tc>
        <w:tc>
          <w:tcPr>
            <w:tcW w:w="849" w:type="pct"/>
            <w:tcBorders>
              <w:top w:val="nil"/>
              <w:left w:val="nil"/>
              <w:bottom w:val="nil"/>
              <w:right w:val="nil"/>
            </w:tcBorders>
            <w:shd w:val="clear" w:color="auto" w:fill="auto"/>
            <w:noWrap/>
            <w:vAlign w:val="bottom"/>
            <w:hideMark/>
          </w:tcPr>
          <w:p w14:paraId="1E02BF8B" w14:textId="719C95A4" w:rsidR="003554A2" w:rsidRPr="008669C3" w:rsidRDefault="003554A2" w:rsidP="003554A2">
            <w:pPr>
              <w:jc w:val="center"/>
              <w:rPr>
                <w:sz w:val="20"/>
                <w:szCs w:val="20"/>
              </w:rPr>
            </w:pPr>
            <w:r w:rsidRPr="008669C3">
              <w:rPr>
                <w:sz w:val="20"/>
                <w:szCs w:val="20"/>
              </w:rPr>
              <w:t>(0.036)</w:t>
            </w:r>
          </w:p>
        </w:tc>
        <w:tc>
          <w:tcPr>
            <w:tcW w:w="849" w:type="pct"/>
            <w:tcBorders>
              <w:top w:val="nil"/>
              <w:left w:val="nil"/>
              <w:bottom w:val="nil"/>
              <w:right w:val="nil"/>
            </w:tcBorders>
            <w:shd w:val="clear" w:color="auto" w:fill="auto"/>
            <w:noWrap/>
            <w:vAlign w:val="bottom"/>
            <w:hideMark/>
          </w:tcPr>
          <w:p w14:paraId="6A7AF0F7" w14:textId="0071EE1A" w:rsidR="003554A2" w:rsidRPr="008669C3" w:rsidRDefault="003554A2" w:rsidP="003554A2">
            <w:pPr>
              <w:jc w:val="center"/>
              <w:rPr>
                <w:sz w:val="20"/>
                <w:szCs w:val="20"/>
              </w:rPr>
            </w:pPr>
            <w:r w:rsidRPr="008669C3">
              <w:rPr>
                <w:sz w:val="20"/>
                <w:szCs w:val="20"/>
              </w:rPr>
              <w:t>(0.036)</w:t>
            </w:r>
          </w:p>
        </w:tc>
        <w:tc>
          <w:tcPr>
            <w:tcW w:w="152" w:type="pct"/>
            <w:tcBorders>
              <w:top w:val="nil"/>
              <w:left w:val="nil"/>
              <w:bottom w:val="nil"/>
              <w:right w:val="nil"/>
            </w:tcBorders>
            <w:shd w:val="clear" w:color="auto" w:fill="auto"/>
            <w:noWrap/>
            <w:vAlign w:val="bottom"/>
            <w:hideMark/>
          </w:tcPr>
          <w:p w14:paraId="097B19C9"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5298F6A1" w14:textId="6E0E2F9F" w:rsidR="003554A2" w:rsidRPr="008669C3" w:rsidRDefault="003554A2" w:rsidP="003554A2">
            <w:pPr>
              <w:jc w:val="center"/>
              <w:rPr>
                <w:sz w:val="20"/>
                <w:szCs w:val="20"/>
              </w:rPr>
            </w:pPr>
            <w:r w:rsidRPr="008669C3">
              <w:rPr>
                <w:sz w:val="20"/>
                <w:szCs w:val="20"/>
              </w:rPr>
              <w:t>(0.027)</w:t>
            </w:r>
          </w:p>
        </w:tc>
        <w:tc>
          <w:tcPr>
            <w:tcW w:w="896" w:type="pct"/>
            <w:tcBorders>
              <w:top w:val="nil"/>
              <w:left w:val="nil"/>
              <w:bottom w:val="nil"/>
              <w:right w:val="nil"/>
            </w:tcBorders>
            <w:shd w:val="clear" w:color="auto" w:fill="auto"/>
            <w:noWrap/>
            <w:vAlign w:val="bottom"/>
            <w:hideMark/>
          </w:tcPr>
          <w:p w14:paraId="513A6AAF" w14:textId="606E6260" w:rsidR="003554A2" w:rsidRPr="008669C3" w:rsidRDefault="003554A2" w:rsidP="003554A2">
            <w:pPr>
              <w:jc w:val="center"/>
              <w:rPr>
                <w:sz w:val="20"/>
                <w:szCs w:val="20"/>
              </w:rPr>
            </w:pPr>
            <w:r w:rsidRPr="008669C3">
              <w:rPr>
                <w:sz w:val="20"/>
                <w:szCs w:val="20"/>
              </w:rPr>
              <w:t>(0.028)</w:t>
            </w:r>
          </w:p>
        </w:tc>
      </w:tr>
      <w:tr w:rsidR="003554A2" w:rsidRPr="008669C3" w14:paraId="705F1DB8" w14:textId="77777777" w:rsidTr="00A94131">
        <w:trPr>
          <w:trHeight w:val="225"/>
        </w:trPr>
        <w:tc>
          <w:tcPr>
            <w:tcW w:w="1358" w:type="pct"/>
            <w:tcBorders>
              <w:top w:val="nil"/>
              <w:left w:val="nil"/>
              <w:bottom w:val="nil"/>
              <w:right w:val="nil"/>
            </w:tcBorders>
            <w:shd w:val="clear" w:color="auto" w:fill="auto"/>
            <w:noWrap/>
            <w:vAlign w:val="bottom"/>
            <w:hideMark/>
          </w:tcPr>
          <w:p w14:paraId="43E9420A" w14:textId="77777777" w:rsidR="003554A2" w:rsidRPr="008669C3" w:rsidRDefault="003554A2" w:rsidP="003554A2">
            <w:pPr>
              <w:rPr>
                <w:iCs/>
                <w:sz w:val="20"/>
                <w:szCs w:val="20"/>
              </w:rPr>
            </w:pPr>
            <w:r w:rsidRPr="008669C3">
              <w:rPr>
                <w:iCs/>
                <w:sz w:val="20"/>
                <w:szCs w:val="20"/>
              </w:rPr>
              <w:t>Tobin's q</w:t>
            </w:r>
          </w:p>
        </w:tc>
        <w:tc>
          <w:tcPr>
            <w:tcW w:w="849" w:type="pct"/>
            <w:tcBorders>
              <w:top w:val="nil"/>
              <w:left w:val="nil"/>
              <w:bottom w:val="nil"/>
              <w:right w:val="nil"/>
            </w:tcBorders>
            <w:shd w:val="clear" w:color="auto" w:fill="auto"/>
            <w:noWrap/>
            <w:vAlign w:val="bottom"/>
            <w:hideMark/>
          </w:tcPr>
          <w:p w14:paraId="669756EB" w14:textId="54C5BBF3" w:rsidR="003554A2" w:rsidRPr="008669C3" w:rsidRDefault="003554A2" w:rsidP="003554A2">
            <w:pPr>
              <w:jc w:val="center"/>
              <w:rPr>
                <w:sz w:val="20"/>
                <w:szCs w:val="20"/>
              </w:rPr>
            </w:pPr>
            <w:r w:rsidRPr="008669C3">
              <w:rPr>
                <w:sz w:val="20"/>
                <w:szCs w:val="20"/>
              </w:rPr>
              <w:t>-0.001</w:t>
            </w:r>
          </w:p>
        </w:tc>
        <w:tc>
          <w:tcPr>
            <w:tcW w:w="849" w:type="pct"/>
            <w:tcBorders>
              <w:top w:val="nil"/>
              <w:left w:val="nil"/>
              <w:bottom w:val="nil"/>
              <w:right w:val="nil"/>
            </w:tcBorders>
            <w:shd w:val="clear" w:color="auto" w:fill="auto"/>
            <w:noWrap/>
            <w:vAlign w:val="bottom"/>
            <w:hideMark/>
          </w:tcPr>
          <w:p w14:paraId="56EE54AE" w14:textId="5CBF67A9" w:rsidR="003554A2" w:rsidRPr="008669C3" w:rsidRDefault="003554A2" w:rsidP="003554A2">
            <w:pPr>
              <w:jc w:val="center"/>
              <w:rPr>
                <w:sz w:val="20"/>
                <w:szCs w:val="20"/>
              </w:rPr>
            </w:pPr>
            <w:r w:rsidRPr="008669C3">
              <w:rPr>
                <w:sz w:val="20"/>
                <w:szCs w:val="20"/>
              </w:rPr>
              <w:t>-0.002</w:t>
            </w:r>
          </w:p>
        </w:tc>
        <w:tc>
          <w:tcPr>
            <w:tcW w:w="152" w:type="pct"/>
            <w:tcBorders>
              <w:top w:val="nil"/>
              <w:left w:val="nil"/>
              <w:bottom w:val="nil"/>
              <w:right w:val="nil"/>
            </w:tcBorders>
            <w:shd w:val="clear" w:color="auto" w:fill="auto"/>
            <w:noWrap/>
            <w:vAlign w:val="bottom"/>
            <w:hideMark/>
          </w:tcPr>
          <w:p w14:paraId="103372DA"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20C9CE4B" w14:textId="216A3421" w:rsidR="003554A2" w:rsidRPr="008669C3" w:rsidRDefault="003554A2" w:rsidP="003554A2">
            <w:pPr>
              <w:jc w:val="center"/>
              <w:rPr>
                <w:sz w:val="20"/>
                <w:szCs w:val="20"/>
              </w:rPr>
            </w:pPr>
            <w:r w:rsidRPr="008669C3">
              <w:rPr>
                <w:sz w:val="20"/>
                <w:szCs w:val="20"/>
              </w:rPr>
              <w:t>-0.014***</w:t>
            </w:r>
          </w:p>
        </w:tc>
        <w:tc>
          <w:tcPr>
            <w:tcW w:w="896" w:type="pct"/>
            <w:tcBorders>
              <w:top w:val="nil"/>
              <w:left w:val="nil"/>
              <w:bottom w:val="nil"/>
              <w:right w:val="nil"/>
            </w:tcBorders>
            <w:shd w:val="clear" w:color="auto" w:fill="auto"/>
            <w:noWrap/>
            <w:vAlign w:val="bottom"/>
            <w:hideMark/>
          </w:tcPr>
          <w:p w14:paraId="78FBD674" w14:textId="01C37546" w:rsidR="003554A2" w:rsidRPr="008669C3" w:rsidRDefault="003554A2" w:rsidP="003554A2">
            <w:pPr>
              <w:jc w:val="center"/>
              <w:rPr>
                <w:sz w:val="20"/>
                <w:szCs w:val="20"/>
              </w:rPr>
            </w:pPr>
            <w:r w:rsidRPr="008669C3">
              <w:rPr>
                <w:sz w:val="20"/>
                <w:szCs w:val="20"/>
              </w:rPr>
              <w:t>-0.013***</w:t>
            </w:r>
          </w:p>
        </w:tc>
      </w:tr>
      <w:tr w:rsidR="003554A2" w:rsidRPr="008669C3" w14:paraId="35FA9B39" w14:textId="77777777" w:rsidTr="00A94131">
        <w:trPr>
          <w:trHeight w:val="225"/>
        </w:trPr>
        <w:tc>
          <w:tcPr>
            <w:tcW w:w="1358" w:type="pct"/>
            <w:tcBorders>
              <w:top w:val="nil"/>
              <w:left w:val="nil"/>
              <w:bottom w:val="nil"/>
              <w:right w:val="nil"/>
            </w:tcBorders>
            <w:shd w:val="clear" w:color="auto" w:fill="auto"/>
            <w:noWrap/>
            <w:vAlign w:val="bottom"/>
            <w:hideMark/>
          </w:tcPr>
          <w:p w14:paraId="0C04062C" w14:textId="77777777" w:rsidR="003554A2" w:rsidRPr="008669C3" w:rsidRDefault="003554A2" w:rsidP="003554A2">
            <w:pPr>
              <w:jc w:val="center"/>
              <w:rPr>
                <w:sz w:val="20"/>
                <w:szCs w:val="20"/>
              </w:rPr>
            </w:pPr>
          </w:p>
        </w:tc>
        <w:tc>
          <w:tcPr>
            <w:tcW w:w="849" w:type="pct"/>
            <w:tcBorders>
              <w:top w:val="nil"/>
              <w:left w:val="nil"/>
              <w:bottom w:val="nil"/>
              <w:right w:val="nil"/>
            </w:tcBorders>
            <w:shd w:val="clear" w:color="auto" w:fill="auto"/>
            <w:noWrap/>
            <w:vAlign w:val="bottom"/>
            <w:hideMark/>
          </w:tcPr>
          <w:p w14:paraId="116D6FDF" w14:textId="5FAACD68" w:rsidR="003554A2" w:rsidRPr="008669C3" w:rsidRDefault="003554A2" w:rsidP="003554A2">
            <w:pPr>
              <w:jc w:val="center"/>
              <w:rPr>
                <w:sz w:val="20"/>
                <w:szCs w:val="20"/>
              </w:rPr>
            </w:pPr>
            <w:r w:rsidRPr="008669C3">
              <w:rPr>
                <w:sz w:val="20"/>
                <w:szCs w:val="20"/>
              </w:rPr>
              <w:t>(0.004)</w:t>
            </w:r>
          </w:p>
        </w:tc>
        <w:tc>
          <w:tcPr>
            <w:tcW w:w="849" w:type="pct"/>
            <w:tcBorders>
              <w:top w:val="nil"/>
              <w:left w:val="nil"/>
              <w:bottom w:val="nil"/>
              <w:right w:val="nil"/>
            </w:tcBorders>
            <w:shd w:val="clear" w:color="auto" w:fill="auto"/>
            <w:noWrap/>
            <w:vAlign w:val="bottom"/>
            <w:hideMark/>
          </w:tcPr>
          <w:p w14:paraId="2E698618" w14:textId="572A64A3" w:rsidR="003554A2" w:rsidRPr="008669C3" w:rsidRDefault="003554A2" w:rsidP="003554A2">
            <w:pPr>
              <w:jc w:val="center"/>
              <w:rPr>
                <w:sz w:val="20"/>
                <w:szCs w:val="20"/>
              </w:rPr>
            </w:pPr>
            <w:r w:rsidRPr="008669C3">
              <w:rPr>
                <w:sz w:val="20"/>
                <w:szCs w:val="20"/>
              </w:rPr>
              <w:t>(0.005)</w:t>
            </w:r>
          </w:p>
        </w:tc>
        <w:tc>
          <w:tcPr>
            <w:tcW w:w="152" w:type="pct"/>
            <w:tcBorders>
              <w:top w:val="nil"/>
              <w:left w:val="nil"/>
              <w:bottom w:val="nil"/>
              <w:right w:val="nil"/>
            </w:tcBorders>
            <w:shd w:val="clear" w:color="auto" w:fill="auto"/>
            <w:noWrap/>
            <w:vAlign w:val="bottom"/>
            <w:hideMark/>
          </w:tcPr>
          <w:p w14:paraId="214A1685"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324EB0F4" w14:textId="5C2E4C7E" w:rsidR="003554A2" w:rsidRPr="008669C3" w:rsidRDefault="003554A2" w:rsidP="003554A2">
            <w:pPr>
              <w:jc w:val="center"/>
              <w:rPr>
                <w:sz w:val="20"/>
                <w:szCs w:val="20"/>
              </w:rPr>
            </w:pPr>
            <w:r w:rsidRPr="008669C3">
              <w:rPr>
                <w:sz w:val="20"/>
                <w:szCs w:val="20"/>
              </w:rPr>
              <w:t>(0.003)</w:t>
            </w:r>
          </w:p>
        </w:tc>
        <w:tc>
          <w:tcPr>
            <w:tcW w:w="896" w:type="pct"/>
            <w:tcBorders>
              <w:top w:val="nil"/>
              <w:left w:val="nil"/>
              <w:bottom w:val="nil"/>
              <w:right w:val="nil"/>
            </w:tcBorders>
            <w:shd w:val="clear" w:color="auto" w:fill="auto"/>
            <w:noWrap/>
            <w:vAlign w:val="bottom"/>
            <w:hideMark/>
          </w:tcPr>
          <w:p w14:paraId="0FE742CE" w14:textId="7021D9D7" w:rsidR="003554A2" w:rsidRPr="008669C3" w:rsidRDefault="003554A2" w:rsidP="003554A2">
            <w:pPr>
              <w:jc w:val="center"/>
              <w:rPr>
                <w:sz w:val="20"/>
                <w:szCs w:val="20"/>
              </w:rPr>
            </w:pPr>
            <w:r w:rsidRPr="008669C3">
              <w:rPr>
                <w:sz w:val="20"/>
                <w:szCs w:val="20"/>
              </w:rPr>
              <w:t>(0.003)</w:t>
            </w:r>
          </w:p>
        </w:tc>
      </w:tr>
      <w:tr w:rsidR="003554A2" w:rsidRPr="008669C3" w14:paraId="69F9CBAA" w14:textId="77777777" w:rsidTr="00A94131">
        <w:trPr>
          <w:trHeight w:val="225"/>
        </w:trPr>
        <w:tc>
          <w:tcPr>
            <w:tcW w:w="1358" w:type="pct"/>
            <w:tcBorders>
              <w:top w:val="nil"/>
              <w:left w:val="nil"/>
              <w:bottom w:val="nil"/>
              <w:right w:val="nil"/>
            </w:tcBorders>
            <w:shd w:val="clear" w:color="auto" w:fill="auto"/>
            <w:noWrap/>
            <w:vAlign w:val="bottom"/>
            <w:hideMark/>
          </w:tcPr>
          <w:p w14:paraId="6A21B0FF" w14:textId="77777777" w:rsidR="003554A2" w:rsidRPr="008669C3" w:rsidRDefault="003554A2" w:rsidP="003554A2">
            <w:pPr>
              <w:rPr>
                <w:iCs/>
                <w:sz w:val="20"/>
                <w:szCs w:val="20"/>
              </w:rPr>
            </w:pPr>
            <w:r w:rsidRPr="008669C3">
              <w:rPr>
                <w:iCs/>
                <w:sz w:val="20"/>
                <w:szCs w:val="20"/>
              </w:rPr>
              <w:t>Stock return</w:t>
            </w:r>
          </w:p>
        </w:tc>
        <w:tc>
          <w:tcPr>
            <w:tcW w:w="849" w:type="pct"/>
            <w:tcBorders>
              <w:top w:val="nil"/>
              <w:left w:val="nil"/>
              <w:bottom w:val="nil"/>
              <w:right w:val="nil"/>
            </w:tcBorders>
            <w:shd w:val="clear" w:color="auto" w:fill="auto"/>
            <w:noWrap/>
            <w:vAlign w:val="bottom"/>
            <w:hideMark/>
          </w:tcPr>
          <w:p w14:paraId="299017EE" w14:textId="73606DCD" w:rsidR="003554A2" w:rsidRPr="008669C3" w:rsidRDefault="003554A2" w:rsidP="003554A2">
            <w:pPr>
              <w:jc w:val="center"/>
              <w:rPr>
                <w:sz w:val="20"/>
                <w:szCs w:val="20"/>
              </w:rPr>
            </w:pPr>
            <w:r w:rsidRPr="008669C3">
              <w:rPr>
                <w:sz w:val="20"/>
                <w:szCs w:val="20"/>
              </w:rPr>
              <w:t>-0.015***</w:t>
            </w:r>
          </w:p>
        </w:tc>
        <w:tc>
          <w:tcPr>
            <w:tcW w:w="849" w:type="pct"/>
            <w:tcBorders>
              <w:top w:val="nil"/>
              <w:left w:val="nil"/>
              <w:bottom w:val="nil"/>
              <w:right w:val="nil"/>
            </w:tcBorders>
            <w:shd w:val="clear" w:color="auto" w:fill="auto"/>
            <w:noWrap/>
            <w:vAlign w:val="bottom"/>
            <w:hideMark/>
          </w:tcPr>
          <w:p w14:paraId="17F2D184" w14:textId="0F4E0534" w:rsidR="003554A2" w:rsidRPr="008669C3" w:rsidRDefault="003554A2" w:rsidP="003554A2">
            <w:pPr>
              <w:jc w:val="center"/>
              <w:rPr>
                <w:sz w:val="20"/>
                <w:szCs w:val="20"/>
              </w:rPr>
            </w:pPr>
            <w:r w:rsidRPr="008669C3">
              <w:rPr>
                <w:sz w:val="20"/>
                <w:szCs w:val="20"/>
              </w:rPr>
              <w:t>-0.012***</w:t>
            </w:r>
          </w:p>
        </w:tc>
        <w:tc>
          <w:tcPr>
            <w:tcW w:w="152" w:type="pct"/>
            <w:tcBorders>
              <w:top w:val="nil"/>
              <w:left w:val="nil"/>
              <w:bottom w:val="nil"/>
              <w:right w:val="nil"/>
            </w:tcBorders>
            <w:shd w:val="clear" w:color="auto" w:fill="auto"/>
            <w:noWrap/>
            <w:vAlign w:val="bottom"/>
            <w:hideMark/>
          </w:tcPr>
          <w:p w14:paraId="595C7670"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4B389D73" w14:textId="57BA5DB9" w:rsidR="003554A2" w:rsidRPr="008669C3" w:rsidRDefault="003554A2" w:rsidP="003554A2">
            <w:pPr>
              <w:jc w:val="center"/>
              <w:rPr>
                <w:sz w:val="20"/>
                <w:szCs w:val="20"/>
              </w:rPr>
            </w:pPr>
            <w:r w:rsidRPr="008669C3">
              <w:rPr>
                <w:sz w:val="20"/>
                <w:szCs w:val="20"/>
              </w:rPr>
              <w:t>-0.017***</w:t>
            </w:r>
          </w:p>
        </w:tc>
        <w:tc>
          <w:tcPr>
            <w:tcW w:w="896" w:type="pct"/>
            <w:tcBorders>
              <w:top w:val="nil"/>
              <w:left w:val="nil"/>
              <w:bottom w:val="nil"/>
              <w:right w:val="nil"/>
            </w:tcBorders>
            <w:shd w:val="clear" w:color="auto" w:fill="auto"/>
            <w:noWrap/>
            <w:vAlign w:val="bottom"/>
            <w:hideMark/>
          </w:tcPr>
          <w:p w14:paraId="55FD1ACB" w14:textId="588EB60F" w:rsidR="003554A2" w:rsidRPr="008669C3" w:rsidRDefault="003554A2" w:rsidP="003554A2">
            <w:pPr>
              <w:jc w:val="center"/>
              <w:rPr>
                <w:sz w:val="20"/>
                <w:szCs w:val="20"/>
              </w:rPr>
            </w:pPr>
            <w:r w:rsidRPr="008669C3">
              <w:rPr>
                <w:sz w:val="20"/>
                <w:szCs w:val="20"/>
              </w:rPr>
              <w:t>-0.014***</w:t>
            </w:r>
          </w:p>
        </w:tc>
      </w:tr>
      <w:tr w:rsidR="003554A2" w:rsidRPr="008669C3" w14:paraId="007C8E1B" w14:textId="77777777" w:rsidTr="00A94131">
        <w:trPr>
          <w:trHeight w:val="225"/>
        </w:trPr>
        <w:tc>
          <w:tcPr>
            <w:tcW w:w="1358" w:type="pct"/>
            <w:tcBorders>
              <w:top w:val="nil"/>
              <w:left w:val="nil"/>
              <w:bottom w:val="nil"/>
              <w:right w:val="nil"/>
            </w:tcBorders>
            <w:shd w:val="clear" w:color="auto" w:fill="auto"/>
            <w:noWrap/>
            <w:vAlign w:val="bottom"/>
            <w:hideMark/>
          </w:tcPr>
          <w:p w14:paraId="2F072482" w14:textId="77777777" w:rsidR="003554A2" w:rsidRPr="008669C3" w:rsidRDefault="003554A2" w:rsidP="003554A2">
            <w:pPr>
              <w:jc w:val="center"/>
              <w:rPr>
                <w:sz w:val="20"/>
                <w:szCs w:val="20"/>
              </w:rPr>
            </w:pPr>
          </w:p>
        </w:tc>
        <w:tc>
          <w:tcPr>
            <w:tcW w:w="849" w:type="pct"/>
            <w:tcBorders>
              <w:top w:val="nil"/>
              <w:left w:val="nil"/>
              <w:bottom w:val="nil"/>
              <w:right w:val="nil"/>
            </w:tcBorders>
            <w:shd w:val="clear" w:color="auto" w:fill="auto"/>
            <w:noWrap/>
            <w:vAlign w:val="bottom"/>
            <w:hideMark/>
          </w:tcPr>
          <w:p w14:paraId="40104A58" w14:textId="5B9544FA" w:rsidR="003554A2" w:rsidRPr="008669C3" w:rsidRDefault="003554A2" w:rsidP="003554A2">
            <w:pPr>
              <w:jc w:val="center"/>
              <w:rPr>
                <w:sz w:val="20"/>
                <w:szCs w:val="20"/>
              </w:rPr>
            </w:pPr>
            <w:r w:rsidRPr="008669C3">
              <w:rPr>
                <w:sz w:val="20"/>
                <w:szCs w:val="20"/>
              </w:rPr>
              <w:t>(0.004)</w:t>
            </w:r>
          </w:p>
        </w:tc>
        <w:tc>
          <w:tcPr>
            <w:tcW w:w="849" w:type="pct"/>
            <w:tcBorders>
              <w:top w:val="nil"/>
              <w:left w:val="nil"/>
              <w:bottom w:val="nil"/>
              <w:right w:val="nil"/>
            </w:tcBorders>
            <w:shd w:val="clear" w:color="auto" w:fill="auto"/>
            <w:noWrap/>
            <w:vAlign w:val="bottom"/>
            <w:hideMark/>
          </w:tcPr>
          <w:p w14:paraId="4C00F7DF" w14:textId="4CB08DAF" w:rsidR="003554A2" w:rsidRPr="008669C3" w:rsidRDefault="003554A2" w:rsidP="003554A2">
            <w:pPr>
              <w:jc w:val="center"/>
              <w:rPr>
                <w:sz w:val="20"/>
                <w:szCs w:val="20"/>
              </w:rPr>
            </w:pPr>
            <w:r w:rsidRPr="008669C3">
              <w:rPr>
                <w:sz w:val="20"/>
                <w:szCs w:val="20"/>
              </w:rPr>
              <w:t>(0.003)</w:t>
            </w:r>
          </w:p>
        </w:tc>
        <w:tc>
          <w:tcPr>
            <w:tcW w:w="152" w:type="pct"/>
            <w:tcBorders>
              <w:top w:val="nil"/>
              <w:left w:val="nil"/>
              <w:bottom w:val="nil"/>
              <w:right w:val="nil"/>
            </w:tcBorders>
            <w:shd w:val="clear" w:color="auto" w:fill="auto"/>
            <w:noWrap/>
            <w:vAlign w:val="bottom"/>
            <w:hideMark/>
          </w:tcPr>
          <w:p w14:paraId="5C32010C"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055F1DCD" w14:textId="09EBECBF" w:rsidR="003554A2" w:rsidRPr="008669C3" w:rsidRDefault="003554A2" w:rsidP="003554A2">
            <w:pPr>
              <w:jc w:val="center"/>
              <w:rPr>
                <w:sz w:val="20"/>
                <w:szCs w:val="20"/>
              </w:rPr>
            </w:pPr>
            <w:r w:rsidRPr="008669C3">
              <w:rPr>
                <w:sz w:val="20"/>
                <w:szCs w:val="20"/>
              </w:rPr>
              <w:t>(0.003)</w:t>
            </w:r>
          </w:p>
        </w:tc>
        <w:tc>
          <w:tcPr>
            <w:tcW w:w="896" w:type="pct"/>
            <w:tcBorders>
              <w:top w:val="nil"/>
              <w:left w:val="nil"/>
              <w:bottom w:val="nil"/>
              <w:right w:val="nil"/>
            </w:tcBorders>
            <w:shd w:val="clear" w:color="auto" w:fill="auto"/>
            <w:noWrap/>
            <w:vAlign w:val="bottom"/>
            <w:hideMark/>
          </w:tcPr>
          <w:p w14:paraId="2D06FF4A" w14:textId="2A05613B" w:rsidR="003554A2" w:rsidRPr="008669C3" w:rsidRDefault="003554A2" w:rsidP="003554A2">
            <w:pPr>
              <w:jc w:val="center"/>
              <w:rPr>
                <w:sz w:val="20"/>
                <w:szCs w:val="20"/>
              </w:rPr>
            </w:pPr>
            <w:r w:rsidRPr="008669C3">
              <w:rPr>
                <w:sz w:val="20"/>
                <w:szCs w:val="20"/>
              </w:rPr>
              <w:t>(0.002)</w:t>
            </w:r>
          </w:p>
        </w:tc>
      </w:tr>
      <w:tr w:rsidR="003554A2" w:rsidRPr="008669C3" w14:paraId="4BC770CE" w14:textId="77777777" w:rsidTr="00A94131">
        <w:trPr>
          <w:trHeight w:val="225"/>
        </w:trPr>
        <w:tc>
          <w:tcPr>
            <w:tcW w:w="1358" w:type="pct"/>
            <w:tcBorders>
              <w:top w:val="nil"/>
              <w:left w:val="nil"/>
              <w:bottom w:val="nil"/>
              <w:right w:val="nil"/>
            </w:tcBorders>
            <w:shd w:val="clear" w:color="auto" w:fill="auto"/>
            <w:noWrap/>
            <w:vAlign w:val="bottom"/>
          </w:tcPr>
          <w:p w14:paraId="45645B94" w14:textId="77777777" w:rsidR="003554A2" w:rsidRPr="008669C3" w:rsidRDefault="003554A2" w:rsidP="003554A2">
            <w:pPr>
              <w:rPr>
                <w:iCs/>
                <w:sz w:val="20"/>
                <w:szCs w:val="20"/>
              </w:rPr>
            </w:pPr>
            <w:r w:rsidRPr="008669C3">
              <w:rPr>
                <w:iCs/>
                <w:sz w:val="20"/>
                <w:szCs w:val="20"/>
              </w:rPr>
              <w:t>Volatility</w:t>
            </w:r>
          </w:p>
        </w:tc>
        <w:tc>
          <w:tcPr>
            <w:tcW w:w="849" w:type="pct"/>
            <w:tcBorders>
              <w:top w:val="nil"/>
              <w:left w:val="nil"/>
              <w:bottom w:val="nil"/>
              <w:right w:val="nil"/>
            </w:tcBorders>
            <w:shd w:val="clear" w:color="auto" w:fill="auto"/>
            <w:noWrap/>
            <w:vAlign w:val="bottom"/>
          </w:tcPr>
          <w:p w14:paraId="361A1855" w14:textId="7D182780" w:rsidR="003554A2" w:rsidRPr="008669C3" w:rsidRDefault="003554A2" w:rsidP="003554A2">
            <w:pPr>
              <w:jc w:val="center"/>
              <w:rPr>
                <w:sz w:val="20"/>
                <w:szCs w:val="20"/>
              </w:rPr>
            </w:pPr>
            <w:r w:rsidRPr="008669C3">
              <w:rPr>
                <w:sz w:val="20"/>
                <w:szCs w:val="20"/>
              </w:rPr>
              <w:t>0.013</w:t>
            </w:r>
          </w:p>
        </w:tc>
        <w:tc>
          <w:tcPr>
            <w:tcW w:w="849" w:type="pct"/>
            <w:tcBorders>
              <w:top w:val="nil"/>
              <w:left w:val="nil"/>
              <w:bottom w:val="nil"/>
              <w:right w:val="nil"/>
            </w:tcBorders>
            <w:shd w:val="clear" w:color="auto" w:fill="auto"/>
            <w:noWrap/>
            <w:vAlign w:val="bottom"/>
          </w:tcPr>
          <w:p w14:paraId="22243279" w14:textId="5FEA3D1B" w:rsidR="003554A2" w:rsidRPr="008669C3" w:rsidRDefault="003554A2" w:rsidP="003554A2">
            <w:pPr>
              <w:jc w:val="center"/>
              <w:rPr>
                <w:sz w:val="20"/>
                <w:szCs w:val="20"/>
              </w:rPr>
            </w:pPr>
            <w:r w:rsidRPr="008669C3">
              <w:rPr>
                <w:sz w:val="20"/>
                <w:szCs w:val="20"/>
              </w:rPr>
              <w:t>0.014</w:t>
            </w:r>
          </w:p>
        </w:tc>
        <w:tc>
          <w:tcPr>
            <w:tcW w:w="152" w:type="pct"/>
            <w:tcBorders>
              <w:top w:val="nil"/>
              <w:left w:val="nil"/>
              <w:bottom w:val="nil"/>
              <w:right w:val="nil"/>
            </w:tcBorders>
            <w:shd w:val="clear" w:color="auto" w:fill="auto"/>
            <w:noWrap/>
            <w:vAlign w:val="bottom"/>
          </w:tcPr>
          <w:p w14:paraId="61B10B45"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tcPr>
          <w:p w14:paraId="600A4290" w14:textId="348FD896" w:rsidR="003554A2" w:rsidRPr="008669C3" w:rsidRDefault="003554A2" w:rsidP="003554A2">
            <w:pPr>
              <w:jc w:val="center"/>
              <w:rPr>
                <w:sz w:val="20"/>
                <w:szCs w:val="20"/>
              </w:rPr>
            </w:pPr>
            <w:r w:rsidRPr="008669C3">
              <w:rPr>
                <w:sz w:val="20"/>
                <w:szCs w:val="20"/>
              </w:rPr>
              <w:t>0.014</w:t>
            </w:r>
          </w:p>
        </w:tc>
        <w:tc>
          <w:tcPr>
            <w:tcW w:w="896" w:type="pct"/>
            <w:tcBorders>
              <w:top w:val="nil"/>
              <w:left w:val="nil"/>
              <w:bottom w:val="nil"/>
              <w:right w:val="nil"/>
            </w:tcBorders>
            <w:shd w:val="clear" w:color="auto" w:fill="auto"/>
            <w:noWrap/>
            <w:vAlign w:val="bottom"/>
          </w:tcPr>
          <w:p w14:paraId="04A868C1" w14:textId="55FD7CF8" w:rsidR="003554A2" w:rsidRPr="008669C3" w:rsidRDefault="003554A2" w:rsidP="003554A2">
            <w:pPr>
              <w:jc w:val="center"/>
              <w:rPr>
                <w:sz w:val="20"/>
                <w:szCs w:val="20"/>
              </w:rPr>
            </w:pPr>
            <w:r w:rsidRPr="008669C3">
              <w:rPr>
                <w:sz w:val="20"/>
                <w:szCs w:val="20"/>
              </w:rPr>
              <w:t>0.012</w:t>
            </w:r>
          </w:p>
        </w:tc>
      </w:tr>
      <w:tr w:rsidR="003554A2" w:rsidRPr="008669C3" w14:paraId="254B5B56" w14:textId="77777777" w:rsidTr="00A94131">
        <w:trPr>
          <w:trHeight w:val="225"/>
        </w:trPr>
        <w:tc>
          <w:tcPr>
            <w:tcW w:w="1358" w:type="pct"/>
            <w:tcBorders>
              <w:top w:val="nil"/>
              <w:left w:val="nil"/>
              <w:bottom w:val="nil"/>
              <w:right w:val="nil"/>
            </w:tcBorders>
            <w:shd w:val="clear" w:color="auto" w:fill="auto"/>
            <w:noWrap/>
            <w:vAlign w:val="center"/>
          </w:tcPr>
          <w:p w14:paraId="3D3F6D9F" w14:textId="77777777" w:rsidR="003554A2" w:rsidRPr="008669C3" w:rsidRDefault="003554A2" w:rsidP="003554A2">
            <w:pPr>
              <w:jc w:val="center"/>
              <w:rPr>
                <w:sz w:val="20"/>
                <w:szCs w:val="20"/>
              </w:rPr>
            </w:pPr>
          </w:p>
        </w:tc>
        <w:tc>
          <w:tcPr>
            <w:tcW w:w="849" w:type="pct"/>
            <w:tcBorders>
              <w:top w:val="nil"/>
              <w:left w:val="nil"/>
              <w:bottom w:val="nil"/>
              <w:right w:val="nil"/>
            </w:tcBorders>
            <w:shd w:val="clear" w:color="auto" w:fill="auto"/>
            <w:noWrap/>
            <w:vAlign w:val="bottom"/>
          </w:tcPr>
          <w:p w14:paraId="455D3DFC" w14:textId="1973868E" w:rsidR="003554A2" w:rsidRPr="008669C3" w:rsidRDefault="003554A2" w:rsidP="003554A2">
            <w:pPr>
              <w:jc w:val="center"/>
              <w:rPr>
                <w:sz w:val="20"/>
                <w:szCs w:val="20"/>
              </w:rPr>
            </w:pPr>
            <w:r w:rsidRPr="008669C3">
              <w:rPr>
                <w:sz w:val="20"/>
                <w:szCs w:val="20"/>
              </w:rPr>
              <w:t>(0.011)</w:t>
            </w:r>
          </w:p>
        </w:tc>
        <w:tc>
          <w:tcPr>
            <w:tcW w:w="849" w:type="pct"/>
            <w:tcBorders>
              <w:top w:val="nil"/>
              <w:left w:val="nil"/>
              <w:bottom w:val="nil"/>
              <w:right w:val="nil"/>
            </w:tcBorders>
            <w:shd w:val="clear" w:color="auto" w:fill="auto"/>
            <w:noWrap/>
            <w:vAlign w:val="bottom"/>
          </w:tcPr>
          <w:p w14:paraId="251FC27E" w14:textId="4145DCBE" w:rsidR="003554A2" w:rsidRPr="008669C3" w:rsidRDefault="003554A2" w:rsidP="003554A2">
            <w:pPr>
              <w:jc w:val="center"/>
              <w:rPr>
                <w:sz w:val="20"/>
                <w:szCs w:val="20"/>
              </w:rPr>
            </w:pPr>
            <w:r w:rsidRPr="008669C3">
              <w:rPr>
                <w:sz w:val="20"/>
                <w:szCs w:val="20"/>
              </w:rPr>
              <w:t>(0.010)</w:t>
            </w:r>
          </w:p>
        </w:tc>
        <w:tc>
          <w:tcPr>
            <w:tcW w:w="152" w:type="pct"/>
            <w:tcBorders>
              <w:top w:val="nil"/>
              <w:left w:val="nil"/>
              <w:bottom w:val="nil"/>
              <w:right w:val="nil"/>
            </w:tcBorders>
            <w:shd w:val="clear" w:color="auto" w:fill="auto"/>
            <w:noWrap/>
            <w:vAlign w:val="bottom"/>
          </w:tcPr>
          <w:p w14:paraId="4E751C5C"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tcPr>
          <w:p w14:paraId="7DCDE549" w14:textId="13CD6883" w:rsidR="003554A2" w:rsidRPr="008669C3" w:rsidRDefault="003554A2" w:rsidP="003554A2">
            <w:pPr>
              <w:jc w:val="center"/>
              <w:rPr>
                <w:sz w:val="20"/>
                <w:szCs w:val="20"/>
              </w:rPr>
            </w:pPr>
            <w:r w:rsidRPr="008669C3">
              <w:rPr>
                <w:sz w:val="20"/>
                <w:szCs w:val="20"/>
              </w:rPr>
              <w:t>(0.009)</w:t>
            </w:r>
          </w:p>
        </w:tc>
        <w:tc>
          <w:tcPr>
            <w:tcW w:w="896" w:type="pct"/>
            <w:tcBorders>
              <w:top w:val="nil"/>
              <w:left w:val="nil"/>
              <w:bottom w:val="nil"/>
              <w:right w:val="nil"/>
            </w:tcBorders>
            <w:shd w:val="clear" w:color="auto" w:fill="auto"/>
            <w:noWrap/>
            <w:vAlign w:val="bottom"/>
          </w:tcPr>
          <w:p w14:paraId="5EE228FD" w14:textId="0B6CB302" w:rsidR="003554A2" w:rsidRPr="008669C3" w:rsidRDefault="003554A2" w:rsidP="003554A2">
            <w:pPr>
              <w:jc w:val="center"/>
              <w:rPr>
                <w:sz w:val="20"/>
                <w:szCs w:val="20"/>
              </w:rPr>
            </w:pPr>
            <w:r w:rsidRPr="008669C3">
              <w:rPr>
                <w:sz w:val="20"/>
                <w:szCs w:val="20"/>
              </w:rPr>
              <w:t>(0.009)</w:t>
            </w:r>
          </w:p>
        </w:tc>
      </w:tr>
      <w:tr w:rsidR="003554A2" w:rsidRPr="008669C3" w14:paraId="069A5214" w14:textId="77777777" w:rsidTr="00A94131">
        <w:trPr>
          <w:trHeight w:val="225"/>
        </w:trPr>
        <w:tc>
          <w:tcPr>
            <w:tcW w:w="1358" w:type="pct"/>
            <w:tcBorders>
              <w:top w:val="nil"/>
              <w:left w:val="nil"/>
              <w:bottom w:val="nil"/>
              <w:right w:val="nil"/>
            </w:tcBorders>
            <w:shd w:val="clear" w:color="auto" w:fill="auto"/>
            <w:noWrap/>
            <w:vAlign w:val="bottom"/>
          </w:tcPr>
          <w:p w14:paraId="0DFF0320" w14:textId="7D52D9A2" w:rsidR="003554A2" w:rsidRPr="008669C3" w:rsidRDefault="003554A2" w:rsidP="003554A2">
            <w:pPr>
              <w:rPr>
                <w:iCs/>
                <w:sz w:val="20"/>
                <w:szCs w:val="20"/>
              </w:rPr>
            </w:pPr>
            <w:r w:rsidRPr="008669C3">
              <w:rPr>
                <w:iCs/>
                <w:sz w:val="20"/>
                <w:szCs w:val="20"/>
              </w:rPr>
              <w:t>Z-score</w:t>
            </w:r>
          </w:p>
        </w:tc>
        <w:tc>
          <w:tcPr>
            <w:tcW w:w="849" w:type="pct"/>
            <w:tcBorders>
              <w:top w:val="nil"/>
              <w:left w:val="nil"/>
              <w:bottom w:val="nil"/>
              <w:right w:val="nil"/>
            </w:tcBorders>
            <w:shd w:val="clear" w:color="auto" w:fill="auto"/>
            <w:noWrap/>
            <w:vAlign w:val="bottom"/>
          </w:tcPr>
          <w:p w14:paraId="0B27894B" w14:textId="31343783" w:rsidR="003554A2" w:rsidRPr="008669C3" w:rsidRDefault="003554A2" w:rsidP="003554A2">
            <w:pPr>
              <w:jc w:val="center"/>
              <w:rPr>
                <w:sz w:val="20"/>
                <w:szCs w:val="20"/>
              </w:rPr>
            </w:pPr>
            <w:r w:rsidRPr="008669C3">
              <w:rPr>
                <w:sz w:val="20"/>
                <w:szCs w:val="20"/>
              </w:rPr>
              <w:t>-0.031***</w:t>
            </w:r>
          </w:p>
        </w:tc>
        <w:tc>
          <w:tcPr>
            <w:tcW w:w="849" w:type="pct"/>
            <w:tcBorders>
              <w:top w:val="nil"/>
              <w:left w:val="nil"/>
              <w:bottom w:val="nil"/>
              <w:right w:val="nil"/>
            </w:tcBorders>
            <w:shd w:val="clear" w:color="auto" w:fill="auto"/>
            <w:noWrap/>
            <w:vAlign w:val="bottom"/>
          </w:tcPr>
          <w:p w14:paraId="06CAAB3C" w14:textId="3B4257DC" w:rsidR="003554A2" w:rsidRPr="008669C3" w:rsidRDefault="003554A2" w:rsidP="003554A2">
            <w:pPr>
              <w:jc w:val="center"/>
              <w:rPr>
                <w:sz w:val="20"/>
                <w:szCs w:val="20"/>
              </w:rPr>
            </w:pPr>
            <w:r w:rsidRPr="008669C3">
              <w:rPr>
                <w:sz w:val="20"/>
                <w:szCs w:val="20"/>
              </w:rPr>
              <w:t>-0.023***</w:t>
            </w:r>
          </w:p>
        </w:tc>
        <w:tc>
          <w:tcPr>
            <w:tcW w:w="152" w:type="pct"/>
            <w:tcBorders>
              <w:top w:val="nil"/>
              <w:left w:val="nil"/>
              <w:bottom w:val="nil"/>
              <w:right w:val="nil"/>
            </w:tcBorders>
            <w:shd w:val="clear" w:color="auto" w:fill="auto"/>
            <w:noWrap/>
            <w:vAlign w:val="bottom"/>
          </w:tcPr>
          <w:p w14:paraId="2817DDFC"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tcPr>
          <w:p w14:paraId="36ABE770" w14:textId="7B316065" w:rsidR="003554A2" w:rsidRPr="008669C3" w:rsidRDefault="003554A2" w:rsidP="003554A2">
            <w:pPr>
              <w:jc w:val="center"/>
              <w:rPr>
                <w:sz w:val="20"/>
                <w:szCs w:val="20"/>
              </w:rPr>
            </w:pPr>
            <w:r w:rsidRPr="008669C3">
              <w:rPr>
                <w:sz w:val="20"/>
                <w:szCs w:val="20"/>
              </w:rPr>
              <w:t>-0.013***</w:t>
            </w:r>
          </w:p>
        </w:tc>
        <w:tc>
          <w:tcPr>
            <w:tcW w:w="896" w:type="pct"/>
            <w:tcBorders>
              <w:top w:val="nil"/>
              <w:left w:val="nil"/>
              <w:bottom w:val="nil"/>
              <w:right w:val="nil"/>
            </w:tcBorders>
            <w:shd w:val="clear" w:color="auto" w:fill="auto"/>
            <w:noWrap/>
            <w:vAlign w:val="bottom"/>
          </w:tcPr>
          <w:p w14:paraId="7BDA73D3" w14:textId="304BFBDA" w:rsidR="003554A2" w:rsidRPr="008669C3" w:rsidRDefault="003554A2" w:rsidP="003554A2">
            <w:pPr>
              <w:jc w:val="center"/>
              <w:rPr>
                <w:sz w:val="20"/>
                <w:szCs w:val="20"/>
              </w:rPr>
            </w:pPr>
            <w:r w:rsidRPr="008669C3">
              <w:rPr>
                <w:sz w:val="20"/>
                <w:szCs w:val="20"/>
              </w:rPr>
              <w:t>-0.008**</w:t>
            </w:r>
          </w:p>
        </w:tc>
      </w:tr>
      <w:tr w:rsidR="003554A2" w:rsidRPr="008669C3" w14:paraId="1D73A0D5" w14:textId="77777777" w:rsidTr="00A94131">
        <w:trPr>
          <w:trHeight w:val="225"/>
        </w:trPr>
        <w:tc>
          <w:tcPr>
            <w:tcW w:w="1358" w:type="pct"/>
            <w:tcBorders>
              <w:top w:val="nil"/>
              <w:left w:val="nil"/>
              <w:bottom w:val="nil"/>
              <w:right w:val="nil"/>
            </w:tcBorders>
            <w:shd w:val="clear" w:color="auto" w:fill="auto"/>
            <w:noWrap/>
            <w:vAlign w:val="bottom"/>
          </w:tcPr>
          <w:p w14:paraId="694B7672" w14:textId="77777777" w:rsidR="003554A2" w:rsidRPr="008669C3" w:rsidRDefault="003554A2" w:rsidP="003554A2">
            <w:pPr>
              <w:rPr>
                <w:iCs/>
                <w:sz w:val="20"/>
                <w:szCs w:val="20"/>
              </w:rPr>
            </w:pPr>
          </w:p>
        </w:tc>
        <w:tc>
          <w:tcPr>
            <w:tcW w:w="849" w:type="pct"/>
            <w:tcBorders>
              <w:top w:val="nil"/>
              <w:left w:val="nil"/>
              <w:bottom w:val="nil"/>
              <w:right w:val="nil"/>
            </w:tcBorders>
            <w:shd w:val="clear" w:color="auto" w:fill="auto"/>
            <w:noWrap/>
            <w:vAlign w:val="bottom"/>
          </w:tcPr>
          <w:p w14:paraId="0F0BE190" w14:textId="6E09A918" w:rsidR="003554A2" w:rsidRPr="008669C3" w:rsidRDefault="003554A2" w:rsidP="003554A2">
            <w:pPr>
              <w:jc w:val="center"/>
              <w:rPr>
                <w:sz w:val="20"/>
                <w:szCs w:val="20"/>
              </w:rPr>
            </w:pPr>
            <w:r w:rsidRPr="008669C3">
              <w:rPr>
                <w:sz w:val="20"/>
                <w:szCs w:val="20"/>
              </w:rPr>
              <w:t>(0.006)</w:t>
            </w:r>
          </w:p>
        </w:tc>
        <w:tc>
          <w:tcPr>
            <w:tcW w:w="849" w:type="pct"/>
            <w:tcBorders>
              <w:top w:val="nil"/>
              <w:left w:val="nil"/>
              <w:bottom w:val="nil"/>
              <w:right w:val="nil"/>
            </w:tcBorders>
            <w:shd w:val="clear" w:color="auto" w:fill="auto"/>
            <w:noWrap/>
            <w:vAlign w:val="bottom"/>
          </w:tcPr>
          <w:p w14:paraId="55D9053D" w14:textId="03A8E1D4" w:rsidR="003554A2" w:rsidRPr="008669C3" w:rsidRDefault="003554A2" w:rsidP="003554A2">
            <w:pPr>
              <w:jc w:val="center"/>
              <w:rPr>
                <w:sz w:val="20"/>
                <w:szCs w:val="20"/>
              </w:rPr>
            </w:pPr>
            <w:r w:rsidRPr="008669C3">
              <w:rPr>
                <w:sz w:val="20"/>
                <w:szCs w:val="20"/>
              </w:rPr>
              <w:t>(0.006)</w:t>
            </w:r>
          </w:p>
        </w:tc>
        <w:tc>
          <w:tcPr>
            <w:tcW w:w="152" w:type="pct"/>
            <w:tcBorders>
              <w:top w:val="nil"/>
              <w:left w:val="nil"/>
              <w:bottom w:val="nil"/>
              <w:right w:val="nil"/>
            </w:tcBorders>
            <w:shd w:val="clear" w:color="auto" w:fill="auto"/>
            <w:noWrap/>
            <w:vAlign w:val="bottom"/>
          </w:tcPr>
          <w:p w14:paraId="01AACA48"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tcPr>
          <w:p w14:paraId="101EECD3" w14:textId="00EC28E8" w:rsidR="003554A2" w:rsidRPr="008669C3" w:rsidRDefault="003554A2" w:rsidP="003554A2">
            <w:pPr>
              <w:jc w:val="center"/>
              <w:rPr>
                <w:sz w:val="20"/>
                <w:szCs w:val="20"/>
              </w:rPr>
            </w:pPr>
            <w:r w:rsidRPr="008669C3">
              <w:rPr>
                <w:sz w:val="20"/>
                <w:szCs w:val="20"/>
              </w:rPr>
              <w:t>(0.004)</w:t>
            </w:r>
          </w:p>
        </w:tc>
        <w:tc>
          <w:tcPr>
            <w:tcW w:w="896" w:type="pct"/>
            <w:tcBorders>
              <w:top w:val="nil"/>
              <w:left w:val="nil"/>
              <w:bottom w:val="nil"/>
              <w:right w:val="nil"/>
            </w:tcBorders>
            <w:shd w:val="clear" w:color="auto" w:fill="auto"/>
            <w:noWrap/>
            <w:vAlign w:val="bottom"/>
          </w:tcPr>
          <w:p w14:paraId="0D7004C5" w14:textId="7EEA0A2B" w:rsidR="003554A2" w:rsidRPr="008669C3" w:rsidRDefault="003554A2" w:rsidP="003554A2">
            <w:pPr>
              <w:jc w:val="center"/>
              <w:rPr>
                <w:sz w:val="20"/>
                <w:szCs w:val="20"/>
              </w:rPr>
            </w:pPr>
            <w:r w:rsidRPr="008669C3">
              <w:rPr>
                <w:sz w:val="20"/>
                <w:szCs w:val="20"/>
              </w:rPr>
              <w:t>(0.003)</w:t>
            </w:r>
          </w:p>
        </w:tc>
      </w:tr>
      <w:tr w:rsidR="003554A2" w:rsidRPr="008669C3" w14:paraId="04E6A8C9" w14:textId="77777777" w:rsidTr="00A94131">
        <w:trPr>
          <w:trHeight w:val="225"/>
        </w:trPr>
        <w:tc>
          <w:tcPr>
            <w:tcW w:w="1358" w:type="pct"/>
            <w:tcBorders>
              <w:top w:val="nil"/>
              <w:left w:val="nil"/>
              <w:bottom w:val="nil"/>
              <w:right w:val="nil"/>
            </w:tcBorders>
            <w:shd w:val="clear" w:color="auto" w:fill="auto"/>
            <w:noWrap/>
            <w:vAlign w:val="bottom"/>
          </w:tcPr>
          <w:p w14:paraId="77EDC5BF" w14:textId="6E740B91" w:rsidR="003554A2" w:rsidRPr="008669C3" w:rsidRDefault="003554A2" w:rsidP="003554A2">
            <w:pPr>
              <w:rPr>
                <w:iCs/>
                <w:sz w:val="20"/>
                <w:szCs w:val="20"/>
              </w:rPr>
            </w:pPr>
            <w:r w:rsidRPr="008669C3">
              <w:rPr>
                <w:iCs/>
                <w:sz w:val="20"/>
                <w:szCs w:val="20"/>
              </w:rPr>
              <w:t>KZ index</w:t>
            </w:r>
          </w:p>
        </w:tc>
        <w:tc>
          <w:tcPr>
            <w:tcW w:w="849" w:type="pct"/>
            <w:tcBorders>
              <w:top w:val="nil"/>
              <w:left w:val="nil"/>
              <w:bottom w:val="nil"/>
              <w:right w:val="nil"/>
            </w:tcBorders>
            <w:shd w:val="clear" w:color="auto" w:fill="auto"/>
            <w:noWrap/>
            <w:vAlign w:val="bottom"/>
          </w:tcPr>
          <w:p w14:paraId="77C81D54" w14:textId="7395152C" w:rsidR="003554A2" w:rsidRPr="008669C3" w:rsidRDefault="003554A2" w:rsidP="003554A2">
            <w:pPr>
              <w:jc w:val="center"/>
              <w:rPr>
                <w:sz w:val="20"/>
                <w:szCs w:val="20"/>
              </w:rPr>
            </w:pPr>
            <w:r w:rsidRPr="008669C3">
              <w:rPr>
                <w:sz w:val="20"/>
                <w:szCs w:val="20"/>
              </w:rPr>
              <w:t>0.007***</w:t>
            </w:r>
          </w:p>
        </w:tc>
        <w:tc>
          <w:tcPr>
            <w:tcW w:w="849" w:type="pct"/>
            <w:tcBorders>
              <w:top w:val="nil"/>
              <w:left w:val="nil"/>
              <w:bottom w:val="nil"/>
              <w:right w:val="nil"/>
            </w:tcBorders>
            <w:shd w:val="clear" w:color="auto" w:fill="auto"/>
            <w:noWrap/>
            <w:vAlign w:val="bottom"/>
          </w:tcPr>
          <w:p w14:paraId="531A23EA" w14:textId="395A209C" w:rsidR="003554A2" w:rsidRPr="008669C3" w:rsidRDefault="003554A2" w:rsidP="003554A2">
            <w:pPr>
              <w:jc w:val="center"/>
              <w:rPr>
                <w:sz w:val="20"/>
                <w:szCs w:val="20"/>
              </w:rPr>
            </w:pPr>
            <w:r w:rsidRPr="008669C3">
              <w:rPr>
                <w:sz w:val="20"/>
                <w:szCs w:val="20"/>
              </w:rPr>
              <w:t>0.005***</w:t>
            </w:r>
          </w:p>
        </w:tc>
        <w:tc>
          <w:tcPr>
            <w:tcW w:w="152" w:type="pct"/>
            <w:tcBorders>
              <w:top w:val="nil"/>
              <w:left w:val="nil"/>
              <w:bottom w:val="nil"/>
              <w:right w:val="nil"/>
            </w:tcBorders>
            <w:shd w:val="clear" w:color="auto" w:fill="auto"/>
            <w:noWrap/>
            <w:vAlign w:val="bottom"/>
          </w:tcPr>
          <w:p w14:paraId="2CE0A05A"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tcPr>
          <w:p w14:paraId="40745617" w14:textId="51A1E29A" w:rsidR="003554A2" w:rsidRPr="008669C3" w:rsidRDefault="003554A2" w:rsidP="003554A2">
            <w:pPr>
              <w:jc w:val="center"/>
              <w:rPr>
                <w:sz w:val="20"/>
                <w:szCs w:val="20"/>
              </w:rPr>
            </w:pPr>
            <w:r w:rsidRPr="008669C3">
              <w:rPr>
                <w:sz w:val="20"/>
                <w:szCs w:val="20"/>
              </w:rPr>
              <w:t>0.004***</w:t>
            </w:r>
          </w:p>
        </w:tc>
        <w:tc>
          <w:tcPr>
            <w:tcW w:w="896" w:type="pct"/>
            <w:tcBorders>
              <w:top w:val="nil"/>
              <w:left w:val="nil"/>
              <w:bottom w:val="nil"/>
              <w:right w:val="nil"/>
            </w:tcBorders>
            <w:shd w:val="clear" w:color="auto" w:fill="auto"/>
            <w:noWrap/>
            <w:vAlign w:val="bottom"/>
          </w:tcPr>
          <w:p w14:paraId="4A178F70" w14:textId="4A7F174B" w:rsidR="003554A2" w:rsidRPr="008669C3" w:rsidRDefault="003554A2" w:rsidP="003554A2">
            <w:pPr>
              <w:jc w:val="center"/>
              <w:rPr>
                <w:sz w:val="20"/>
                <w:szCs w:val="20"/>
              </w:rPr>
            </w:pPr>
            <w:r w:rsidRPr="008669C3">
              <w:rPr>
                <w:sz w:val="20"/>
                <w:szCs w:val="20"/>
              </w:rPr>
              <w:t>0.003***</w:t>
            </w:r>
          </w:p>
        </w:tc>
      </w:tr>
      <w:tr w:rsidR="003554A2" w:rsidRPr="008669C3" w14:paraId="263BB3B8" w14:textId="77777777" w:rsidTr="00A94131">
        <w:trPr>
          <w:trHeight w:val="225"/>
        </w:trPr>
        <w:tc>
          <w:tcPr>
            <w:tcW w:w="1358" w:type="pct"/>
            <w:tcBorders>
              <w:top w:val="nil"/>
              <w:left w:val="nil"/>
              <w:bottom w:val="nil"/>
              <w:right w:val="nil"/>
            </w:tcBorders>
            <w:shd w:val="clear" w:color="auto" w:fill="auto"/>
            <w:noWrap/>
            <w:vAlign w:val="bottom"/>
          </w:tcPr>
          <w:p w14:paraId="1FE5EC7B" w14:textId="77777777" w:rsidR="003554A2" w:rsidRPr="008669C3" w:rsidRDefault="003554A2" w:rsidP="003554A2">
            <w:pPr>
              <w:rPr>
                <w:iCs/>
                <w:sz w:val="20"/>
                <w:szCs w:val="20"/>
              </w:rPr>
            </w:pPr>
          </w:p>
        </w:tc>
        <w:tc>
          <w:tcPr>
            <w:tcW w:w="849" w:type="pct"/>
            <w:tcBorders>
              <w:top w:val="nil"/>
              <w:left w:val="nil"/>
              <w:bottom w:val="nil"/>
              <w:right w:val="nil"/>
            </w:tcBorders>
            <w:shd w:val="clear" w:color="auto" w:fill="auto"/>
            <w:noWrap/>
            <w:vAlign w:val="bottom"/>
          </w:tcPr>
          <w:p w14:paraId="52ADECC5" w14:textId="08AD80ED" w:rsidR="003554A2" w:rsidRPr="008669C3" w:rsidRDefault="003554A2" w:rsidP="003554A2">
            <w:pPr>
              <w:jc w:val="center"/>
              <w:rPr>
                <w:sz w:val="20"/>
                <w:szCs w:val="20"/>
              </w:rPr>
            </w:pPr>
            <w:r w:rsidRPr="008669C3">
              <w:rPr>
                <w:sz w:val="20"/>
                <w:szCs w:val="20"/>
              </w:rPr>
              <w:t>(0.001)</w:t>
            </w:r>
          </w:p>
        </w:tc>
        <w:tc>
          <w:tcPr>
            <w:tcW w:w="849" w:type="pct"/>
            <w:tcBorders>
              <w:top w:val="nil"/>
              <w:left w:val="nil"/>
              <w:bottom w:val="nil"/>
              <w:right w:val="nil"/>
            </w:tcBorders>
            <w:shd w:val="clear" w:color="auto" w:fill="auto"/>
            <w:noWrap/>
            <w:vAlign w:val="bottom"/>
          </w:tcPr>
          <w:p w14:paraId="75612358" w14:textId="0337AE10" w:rsidR="003554A2" w:rsidRPr="008669C3" w:rsidRDefault="003554A2" w:rsidP="003554A2">
            <w:pPr>
              <w:jc w:val="center"/>
              <w:rPr>
                <w:sz w:val="20"/>
                <w:szCs w:val="20"/>
              </w:rPr>
            </w:pPr>
            <w:r w:rsidRPr="008669C3">
              <w:rPr>
                <w:sz w:val="20"/>
                <w:szCs w:val="20"/>
              </w:rPr>
              <w:t>(0.001)</w:t>
            </w:r>
          </w:p>
        </w:tc>
        <w:tc>
          <w:tcPr>
            <w:tcW w:w="152" w:type="pct"/>
            <w:tcBorders>
              <w:top w:val="nil"/>
              <w:left w:val="nil"/>
              <w:bottom w:val="nil"/>
              <w:right w:val="nil"/>
            </w:tcBorders>
            <w:shd w:val="clear" w:color="auto" w:fill="auto"/>
            <w:noWrap/>
            <w:vAlign w:val="bottom"/>
          </w:tcPr>
          <w:p w14:paraId="2A95E8BF"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tcPr>
          <w:p w14:paraId="540EB1F1" w14:textId="0A1D4481" w:rsidR="003554A2" w:rsidRPr="008669C3" w:rsidRDefault="003554A2" w:rsidP="003554A2">
            <w:pPr>
              <w:jc w:val="center"/>
              <w:rPr>
                <w:sz w:val="20"/>
                <w:szCs w:val="20"/>
              </w:rPr>
            </w:pPr>
            <w:r w:rsidRPr="008669C3">
              <w:rPr>
                <w:sz w:val="20"/>
                <w:szCs w:val="20"/>
              </w:rPr>
              <w:t>(0.001)</w:t>
            </w:r>
          </w:p>
        </w:tc>
        <w:tc>
          <w:tcPr>
            <w:tcW w:w="896" w:type="pct"/>
            <w:tcBorders>
              <w:top w:val="nil"/>
              <w:left w:val="nil"/>
              <w:bottom w:val="nil"/>
              <w:right w:val="nil"/>
            </w:tcBorders>
            <w:shd w:val="clear" w:color="auto" w:fill="auto"/>
            <w:noWrap/>
            <w:vAlign w:val="bottom"/>
          </w:tcPr>
          <w:p w14:paraId="52CD3A20" w14:textId="1FD9AE2F" w:rsidR="003554A2" w:rsidRPr="008669C3" w:rsidRDefault="003554A2" w:rsidP="003554A2">
            <w:pPr>
              <w:jc w:val="center"/>
              <w:rPr>
                <w:sz w:val="20"/>
                <w:szCs w:val="20"/>
              </w:rPr>
            </w:pPr>
            <w:r w:rsidRPr="008669C3">
              <w:rPr>
                <w:sz w:val="20"/>
                <w:szCs w:val="20"/>
              </w:rPr>
              <w:t>(0.001)</w:t>
            </w:r>
          </w:p>
        </w:tc>
      </w:tr>
      <w:tr w:rsidR="003554A2" w:rsidRPr="008669C3" w14:paraId="0BE42D04" w14:textId="77777777" w:rsidTr="00A94131">
        <w:trPr>
          <w:trHeight w:val="225"/>
        </w:trPr>
        <w:tc>
          <w:tcPr>
            <w:tcW w:w="1358" w:type="pct"/>
            <w:tcBorders>
              <w:top w:val="nil"/>
              <w:left w:val="nil"/>
              <w:bottom w:val="nil"/>
              <w:right w:val="nil"/>
            </w:tcBorders>
            <w:shd w:val="clear" w:color="auto" w:fill="auto"/>
            <w:noWrap/>
            <w:vAlign w:val="bottom"/>
          </w:tcPr>
          <w:p w14:paraId="5B6A685E" w14:textId="74ECB348" w:rsidR="003554A2" w:rsidRPr="008669C3" w:rsidRDefault="003554A2" w:rsidP="003554A2">
            <w:pPr>
              <w:rPr>
                <w:iCs/>
                <w:sz w:val="20"/>
                <w:szCs w:val="20"/>
              </w:rPr>
            </w:pPr>
            <w:r w:rsidRPr="008669C3">
              <w:rPr>
                <w:iCs/>
                <w:sz w:val="20"/>
                <w:szCs w:val="20"/>
              </w:rPr>
              <w:t>Bank debt</w:t>
            </w:r>
          </w:p>
        </w:tc>
        <w:tc>
          <w:tcPr>
            <w:tcW w:w="849" w:type="pct"/>
            <w:tcBorders>
              <w:top w:val="nil"/>
              <w:left w:val="nil"/>
              <w:bottom w:val="nil"/>
              <w:right w:val="nil"/>
            </w:tcBorders>
            <w:shd w:val="clear" w:color="auto" w:fill="auto"/>
            <w:noWrap/>
            <w:vAlign w:val="bottom"/>
          </w:tcPr>
          <w:p w14:paraId="1C32C5C7" w14:textId="7CFBF6B6" w:rsidR="003554A2" w:rsidRPr="008669C3" w:rsidRDefault="003554A2" w:rsidP="003554A2">
            <w:pPr>
              <w:jc w:val="center"/>
              <w:rPr>
                <w:sz w:val="20"/>
                <w:szCs w:val="20"/>
              </w:rPr>
            </w:pPr>
            <w:r w:rsidRPr="008669C3">
              <w:rPr>
                <w:sz w:val="20"/>
                <w:szCs w:val="20"/>
              </w:rPr>
              <w:t>0.009**</w:t>
            </w:r>
          </w:p>
        </w:tc>
        <w:tc>
          <w:tcPr>
            <w:tcW w:w="849" w:type="pct"/>
            <w:tcBorders>
              <w:top w:val="nil"/>
              <w:left w:val="nil"/>
              <w:bottom w:val="nil"/>
              <w:right w:val="nil"/>
            </w:tcBorders>
            <w:shd w:val="clear" w:color="auto" w:fill="auto"/>
            <w:noWrap/>
            <w:vAlign w:val="bottom"/>
          </w:tcPr>
          <w:p w14:paraId="62DA1EC9" w14:textId="6934972B" w:rsidR="003554A2" w:rsidRPr="008669C3" w:rsidRDefault="003554A2" w:rsidP="003554A2">
            <w:pPr>
              <w:jc w:val="center"/>
              <w:rPr>
                <w:sz w:val="20"/>
                <w:szCs w:val="20"/>
              </w:rPr>
            </w:pPr>
            <w:r w:rsidRPr="008669C3">
              <w:rPr>
                <w:sz w:val="20"/>
                <w:szCs w:val="20"/>
              </w:rPr>
              <w:t>0.007*</w:t>
            </w:r>
          </w:p>
        </w:tc>
        <w:tc>
          <w:tcPr>
            <w:tcW w:w="152" w:type="pct"/>
            <w:tcBorders>
              <w:top w:val="nil"/>
              <w:left w:val="nil"/>
              <w:bottom w:val="nil"/>
              <w:right w:val="nil"/>
            </w:tcBorders>
            <w:shd w:val="clear" w:color="auto" w:fill="auto"/>
            <w:noWrap/>
            <w:vAlign w:val="bottom"/>
          </w:tcPr>
          <w:p w14:paraId="64DBE766"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tcPr>
          <w:p w14:paraId="634920D9" w14:textId="21983632" w:rsidR="003554A2" w:rsidRPr="008669C3" w:rsidRDefault="003554A2" w:rsidP="003554A2">
            <w:pPr>
              <w:jc w:val="center"/>
              <w:rPr>
                <w:sz w:val="20"/>
                <w:szCs w:val="20"/>
              </w:rPr>
            </w:pPr>
            <w:r w:rsidRPr="008669C3">
              <w:rPr>
                <w:sz w:val="20"/>
                <w:szCs w:val="20"/>
              </w:rPr>
              <w:t>0.007**</w:t>
            </w:r>
          </w:p>
        </w:tc>
        <w:tc>
          <w:tcPr>
            <w:tcW w:w="896" w:type="pct"/>
            <w:tcBorders>
              <w:top w:val="nil"/>
              <w:left w:val="nil"/>
              <w:bottom w:val="nil"/>
              <w:right w:val="nil"/>
            </w:tcBorders>
            <w:shd w:val="clear" w:color="auto" w:fill="auto"/>
            <w:noWrap/>
            <w:vAlign w:val="bottom"/>
          </w:tcPr>
          <w:p w14:paraId="077E1B26" w14:textId="6763F361" w:rsidR="003554A2" w:rsidRPr="008669C3" w:rsidRDefault="003554A2" w:rsidP="003554A2">
            <w:pPr>
              <w:jc w:val="center"/>
              <w:rPr>
                <w:sz w:val="20"/>
                <w:szCs w:val="20"/>
              </w:rPr>
            </w:pPr>
            <w:r w:rsidRPr="008669C3">
              <w:rPr>
                <w:sz w:val="20"/>
                <w:szCs w:val="20"/>
              </w:rPr>
              <w:t>0.005*</w:t>
            </w:r>
          </w:p>
        </w:tc>
      </w:tr>
      <w:tr w:rsidR="003554A2" w:rsidRPr="008669C3" w14:paraId="7ADA29C5" w14:textId="77777777" w:rsidTr="00A94131">
        <w:trPr>
          <w:trHeight w:val="225"/>
        </w:trPr>
        <w:tc>
          <w:tcPr>
            <w:tcW w:w="1358" w:type="pct"/>
            <w:tcBorders>
              <w:top w:val="nil"/>
              <w:left w:val="nil"/>
              <w:bottom w:val="nil"/>
              <w:right w:val="nil"/>
            </w:tcBorders>
            <w:shd w:val="clear" w:color="auto" w:fill="auto"/>
            <w:noWrap/>
            <w:vAlign w:val="bottom"/>
          </w:tcPr>
          <w:p w14:paraId="4B9FAC5F" w14:textId="77777777" w:rsidR="003554A2" w:rsidRPr="008669C3" w:rsidRDefault="003554A2" w:rsidP="003554A2">
            <w:pPr>
              <w:rPr>
                <w:iCs/>
                <w:sz w:val="20"/>
                <w:szCs w:val="20"/>
              </w:rPr>
            </w:pPr>
          </w:p>
        </w:tc>
        <w:tc>
          <w:tcPr>
            <w:tcW w:w="849" w:type="pct"/>
            <w:tcBorders>
              <w:top w:val="nil"/>
              <w:left w:val="nil"/>
              <w:bottom w:val="nil"/>
              <w:right w:val="nil"/>
            </w:tcBorders>
            <w:shd w:val="clear" w:color="auto" w:fill="auto"/>
            <w:noWrap/>
            <w:vAlign w:val="bottom"/>
          </w:tcPr>
          <w:p w14:paraId="47A4A203" w14:textId="007CBA91" w:rsidR="003554A2" w:rsidRPr="008669C3" w:rsidRDefault="003554A2" w:rsidP="003554A2">
            <w:pPr>
              <w:jc w:val="center"/>
              <w:rPr>
                <w:sz w:val="20"/>
                <w:szCs w:val="20"/>
              </w:rPr>
            </w:pPr>
            <w:r w:rsidRPr="008669C3">
              <w:rPr>
                <w:sz w:val="20"/>
                <w:szCs w:val="20"/>
              </w:rPr>
              <w:t>(0.004)</w:t>
            </w:r>
          </w:p>
        </w:tc>
        <w:tc>
          <w:tcPr>
            <w:tcW w:w="849" w:type="pct"/>
            <w:tcBorders>
              <w:top w:val="nil"/>
              <w:left w:val="nil"/>
              <w:bottom w:val="nil"/>
              <w:right w:val="nil"/>
            </w:tcBorders>
            <w:shd w:val="clear" w:color="auto" w:fill="auto"/>
            <w:noWrap/>
            <w:vAlign w:val="bottom"/>
          </w:tcPr>
          <w:p w14:paraId="11E81D57" w14:textId="4C0DF67C" w:rsidR="003554A2" w:rsidRPr="008669C3" w:rsidRDefault="003554A2" w:rsidP="003554A2">
            <w:pPr>
              <w:jc w:val="center"/>
              <w:rPr>
                <w:sz w:val="20"/>
                <w:szCs w:val="20"/>
              </w:rPr>
            </w:pPr>
            <w:r w:rsidRPr="008669C3">
              <w:rPr>
                <w:sz w:val="20"/>
                <w:szCs w:val="20"/>
              </w:rPr>
              <w:t>(0.004)</w:t>
            </w:r>
          </w:p>
        </w:tc>
        <w:tc>
          <w:tcPr>
            <w:tcW w:w="152" w:type="pct"/>
            <w:tcBorders>
              <w:top w:val="nil"/>
              <w:left w:val="nil"/>
              <w:bottom w:val="nil"/>
              <w:right w:val="nil"/>
            </w:tcBorders>
            <w:shd w:val="clear" w:color="auto" w:fill="auto"/>
            <w:noWrap/>
            <w:vAlign w:val="bottom"/>
          </w:tcPr>
          <w:p w14:paraId="10BA5AB1"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tcPr>
          <w:p w14:paraId="5835E1BC" w14:textId="4EB5DA86" w:rsidR="003554A2" w:rsidRPr="008669C3" w:rsidRDefault="003554A2" w:rsidP="003554A2">
            <w:pPr>
              <w:jc w:val="center"/>
              <w:rPr>
                <w:sz w:val="20"/>
                <w:szCs w:val="20"/>
              </w:rPr>
            </w:pPr>
            <w:r w:rsidRPr="008669C3">
              <w:rPr>
                <w:sz w:val="20"/>
                <w:szCs w:val="20"/>
              </w:rPr>
              <w:t>(0.003)</w:t>
            </w:r>
          </w:p>
        </w:tc>
        <w:tc>
          <w:tcPr>
            <w:tcW w:w="896" w:type="pct"/>
            <w:tcBorders>
              <w:top w:val="nil"/>
              <w:left w:val="nil"/>
              <w:bottom w:val="nil"/>
              <w:right w:val="nil"/>
            </w:tcBorders>
            <w:shd w:val="clear" w:color="auto" w:fill="auto"/>
            <w:noWrap/>
            <w:vAlign w:val="bottom"/>
          </w:tcPr>
          <w:p w14:paraId="2621D44C" w14:textId="318D2611" w:rsidR="003554A2" w:rsidRPr="008669C3" w:rsidRDefault="003554A2" w:rsidP="003554A2">
            <w:pPr>
              <w:jc w:val="center"/>
              <w:rPr>
                <w:sz w:val="20"/>
                <w:szCs w:val="20"/>
              </w:rPr>
            </w:pPr>
            <w:r w:rsidRPr="008669C3">
              <w:rPr>
                <w:sz w:val="20"/>
                <w:szCs w:val="20"/>
              </w:rPr>
              <w:t>(0.003)</w:t>
            </w:r>
          </w:p>
        </w:tc>
      </w:tr>
      <w:tr w:rsidR="003554A2" w:rsidRPr="008669C3" w14:paraId="43F36059" w14:textId="77777777" w:rsidTr="00A94131">
        <w:trPr>
          <w:trHeight w:val="225"/>
        </w:trPr>
        <w:tc>
          <w:tcPr>
            <w:tcW w:w="1358" w:type="pct"/>
            <w:tcBorders>
              <w:top w:val="nil"/>
              <w:left w:val="nil"/>
              <w:bottom w:val="nil"/>
              <w:right w:val="nil"/>
            </w:tcBorders>
            <w:shd w:val="clear" w:color="auto" w:fill="auto"/>
            <w:noWrap/>
            <w:vAlign w:val="bottom"/>
            <w:hideMark/>
          </w:tcPr>
          <w:p w14:paraId="56FBBB85" w14:textId="77777777" w:rsidR="003554A2" w:rsidRPr="008669C3" w:rsidRDefault="003554A2" w:rsidP="003554A2">
            <w:pPr>
              <w:rPr>
                <w:iCs/>
                <w:sz w:val="20"/>
                <w:szCs w:val="20"/>
              </w:rPr>
            </w:pPr>
            <w:r w:rsidRPr="008669C3">
              <w:rPr>
                <w:iCs/>
                <w:sz w:val="20"/>
                <w:szCs w:val="20"/>
              </w:rPr>
              <w:t>Age</w:t>
            </w:r>
          </w:p>
        </w:tc>
        <w:tc>
          <w:tcPr>
            <w:tcW w:w="849" w:type="pct"/>
            <w:tcBorders>
              <w:top w:val="nil"/>
              <w:left w:val="nil"/>
              <w:bottom w:val="nil"/>
              <w:right w:val="nil"/>
            </w:tcBorders>
            <w:shd w:val="clear" w:color="auto" w:fill="auto"/>
            <w:noWrap/>
            <w:vAlign w:val="bottom"/>
            <w:hideMark/>
          </w:tcPr>
          <w:p w14:paraId="1255CFE3" w14:textId="09325F5D" w:rsidR="003554A2" w:rsidRPr="008669C3" w:rsidRDefault="003554A2" w:rsidP="00B0674E">
            <w:pPr>
              <w:jc w:val="center"/>
              <w:rPr>
                <w:sz w:val="20"/>
                <w:szCs w:val="20"/>
              </w:rPr>
            </w:pPr>
            <w:r w:rsidRPr="008669C3">
              <w:rPr>
                <w:sz w:val="20"/>
                <w:szCs w:val="20"/>
              </w:rPr>
              <w:t>0.00</w:t>
            </w:r>
            <w:r w:rsidR="00B0674E" w:rsidRPr="008669C3">
              <w:rPr>
                <w:sz w:val="20"/>
                <w:szCs w:val="20"/>
              </w:rPr>
              <w:t>1</w:t>
            </w:r>
          </w:p>
        </w:tc>
        <w:tc>
          <w:tcPr>
            <w:tcW w:w="849" w:type="pct"/>
            <w:tcBorders>
              <w:top w:val="nil"/>
              <w:left w:val="nil"/>
              <w:bottom w:val="nil"/>
              <w:right w:val="nil"/>
            </w:tcBorders>
            <w:shd w:val="clear" w:color="auto" w:fill="auto"/>
            <w:noWrap/>
            <w:vAlign w:val="bottom"/>
            <w:hideMark/>
          </w:tcPr>
          <w:p w14:paraId="0114E088" w14:textId="329CDEE4" w:rsidR="003554A2" w:rsidRPr="008669C3" w:rsidRDefault="003554A2" w:rsidP="00B0674E">
            <w:pPr>
              <w:jc w:val="center"/>
              <w:rPr>
                <w:sz w:val="20"/>
                <w:szCs w:val="20"/>
              </w:rPr>
            </w:pPr>
            <w:r w:rsidRPr="008669C3">
              <w:rPr>
                <w:sz w:val="20"/>
                <w:szCs w:val="20"/>
              </w:rPr>
              <w:t>0.00</w:t>
            </w:r>
            <w:r w:rsidR="00B0674E" w:rsidRPr="008669C3">
              <w:rPr>
                <w:sz w:val="20"/>
                <w:szCs w:val="20"/>
              </w:rPr>
              <w:t>1</w:t>
            </w:r>
          </w:p>
        </w:tc>
        <w:tc>
          <w:tcPr>
            <w:tcW w:w="152" w:type="pct"/>
            <w:tcBorders>
              <w:top w:val="nil"/>
              <w:left w:val="nil"/>
              <w:bottom w:val="nil"/>
              <w:right w:val="nil"/>
            </w:tcBorders>
            <w:shd w:val="clear" w:color="auto" w:fill="auto"/>
            <w:noWrap/>
            <w:vAlign w:val="bottom"/>
            <w:hideMark/>
          </w:tcPr>
          <w:p w14:paraId="18F66334"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3F48724C" w14:textId="23734459" w:rsidR="003554A2" w:rsidRPr="008669C3" w:rsidRDefault="003554A2" w:rsidP="00B0674E">
            <w:pPr>
              <w:jc w:val="center"/>
              <w:rPr>
                <w:sz w:val="20"/>
                <w:szCs w:val="20"/>
              </w:rPr>
            </w:pPr>
            <w:r w:rsidRPr="008669C3">
              <w:rPr>
                <w:sz w:val="20"/>
                <w:szCs w:val="20"/>
              </w:rPr>
              <w:t>0.00</w:t>
            </w:r>
            <w:r w:rsidR="00B0674E" w:rsidRPr="008669C3">
              <w:rPr>
                <w:sz w:val="20"/>
                <w:szCs w:val="20"/>
              </w:rPr>
              <w:t>1</w:t>
            </w:r>
          </w:p>
        </w:tc>
        <w:tc>
          <w:tcPr>
            <w:tcW w:w="896" w:type="pct"/>
            <w:tcBorders>
              <w:top w:val="nil"/>
              <w:left w:val="nil"/>
              <w:bottom w:val="nil"/>
              <w:right w:val="nil"/>
            </w:tcBorders>
            <w:shd w:val="clear" w:color="auto" w:fill="auto"/>
            <w:noWrap/>
            <w:vAlign w:val="bottom"/>
            <w:hideMark/>
          </w:tcPr>
          <w:p w14:paraId="5955999F" w14:textId="7CB23D40" w:rsidR="003554A2" w:rsidRPr="008669C3" w:rsidRDefault="003554A2" w:rsidP="00B0674E">
            <w:pPr>
              <w:jc w:val="center"/>
              <w:rPr>
                <w:sz w:val="20"/>
                <w:szCs w:val="20"/>
              </w:rPr>
            </w:pPr>
            <w:r w:rsidRPr="008669C3">
              <w:rPr>
                <w:sz w:val="20"/>
                <w:szCs w:val="20"/>
              </w:rPr>
              <w:t>0.00</w:t>
            </w:r>
            <w:r w:rsidR="00B0674E" w:rsidRPr="008669C3">
              <w:rPr>
                <w:sz w:val="20"/>
                <w:szCs w:val="20"/>
              </w:rPr>
              <w:t>0</w:t>
            </w:r>
          </w:p>
        </w:tc>
      </w:tr>
      <w:tr w:rsidR="003554A2" w:rsidRPr="008669C3" w14:paraId="4E540E9B" w14:textId="77777777" w:rsidTr="00A94131">
        <w:trPr>
          <w:trHeight w:val="225"/>
        </w:trPr>
        <w:tc>
          <w:tcPr>
            <w:tcW w:w="1358" w:type="pct"/>
            <w:tcBorders>
              <w:top w:val="nil"/>
              <w:left w:val="nil"/>
              <w:bottom w:val="nil"/>
              <w:right w:val="nil"/>
            </w:tcBorders>
            <w:shd w:val="clear" w:color="auto" w:fill="auto"/>
            <w:noWrap/>
            <w:vAlign w:val="bottom"/>
            <w:hideMark/>
          </w:tcPr>
          <w:p w14:paraId="6AC40C46" w14:textId="77777777" w:rsidR="003554A2" w:rsidRPr="008669C3" w:rsidRDefault="003554A2" w:rsidP="003554A2">
            <w:pPr>
              <w:jc w:val="center"/>
              <w:rPr>
                <w:sz w:val="20"/>
                <w:szCs w:val="20"/>
              </w:rPr>
            </w:pPr>
          </w:p>
        </w:tc>
        <w:tc>
          <w:tcPr>
            <w:tcW w:w="849" w:type="pct"/>
            <w:tcBorders>
              <w:top w:val="nil"/>
              <w:left w:val="nil"/>
              <w:bottom w:val="nil"/>
              <w:right w:val="nil"/>
            </w:tcBorders>
            <w:shd w:val="clear" w:color="auto" w:fill="auto"/>
            <w:noWrap/>
            <w:vAlign w:val="bottom"/>
            <w:hideMark/>
          </w:tcPr>
          <w:p w14:paraId="7E17C061" w14:textId="7F40969B" w:rsidR="003554A2" w:rsidRPr="008669C3" w:rsidRDefault="003554A2" w:rsidP="00B0674E">
            <w:pPr>
              <w:jc w:val="center"/>
              <w:rPr>
                <w:sz w:val="20"/>
                <w:szCs w:val="20"/>
              </w:rPr>
            </w:pPr>
            <w:r w:rsidRPr="008669C3">
              <w:rPr>
                <w:sz w:val="20"/>
                <w:szCs w:val="20"/>
              </w:rPr>
              <w:t>(0.00</w:t>
            </w:r>
            <w:r w:rsidR="00B0674E" w:rsidRPr="008669C3">
              <w:rPr>
                <w:sz w:val="20"/>
                <w:szCs w:val="20"/>
              </w:rPr>
              <w:t>1</w:t>
            </w:r>
            <w:r w:rsidRPr="008669C3">
              <w:rPr>
                <w:sz w:val="20"/>
                <w:szCs w:val="20"/>
              </w:rPr>
              <w:t>)</w:t>
            </w:r>
          </w:p>
        </w:tc>
        <w:tc>
          <w:tcPr>
            <w:tcW w:w="849" w:type="pct"/>
            <w:tcBorders>
              <w:top w:val="nil"/>
              <w:left w:val="nil"/>
              <w:bottom w:val="nil"/>
              <w:right w:val="nil"/>
            </w:tcBorders>
            <w:shd w:val="clear" w:color="auto" w:fill="auto"/>
            <w:noWrap/>
            <w:vAlign w:val="bottom"/>
            <w:hideMark/>
          </w:tcPr>
          <w:p w14:paraId="703C391B" w14:textId="373DCCB0" w:rsidR="003554A2" w:rsidRPr="008669C3" w:rsidRDefault="003554A2" w:rsidP="00B0674E">
            <w:pPr>
              <w:jc w:val="center"/>
              <w:rPr>
                <w:sz w:val="20"/>
                <w:szCs w:val="20"/>
              </w:rPr>
            </w:pPr>
            <w:r w:rsidRPr="008669C3">
              <w:rPr>
                <w:sz w:val="20"/>
                <w:szCs w:val="20"/>
              </w:rPr>
              <w:t>(0.00</w:t>
            </w:r>
            <w:r w:rsidR="00B0674E" w:rsidRPr="008669C3">
              <w:rPr>
                <w:sz w:val="20"/>
                <w:szCs w:val="20"/>
              </w:rPr>
              <w:t>1</w:t>
            </w:r>
            <w:r w:rsidRPr="008669C3">
              <w:rPr>
                <w:sz w:val="20"/>
                <w:szCs w:val="20"/>
              </w:rPr>
              <w:t>)</w:t>
            </w:r>
          </w:p>
        </w:tc>
        <w:tc>
          <w:tcPr>
            <w:tcW w:w="152" w:type="pct"/>
            <w:tcBorders>
              <w:top w:val="nil"/>
              <w:left w:val="nil"/>
              <w:bottom w:val="nil"/>
              <w:right w:val="nil"/>
            </w:tcBorders>
            <w:shd w:val="clear" w:color="auto" w:fill="auto"/>
            <w:noWrap/>
            <w:vAlign w:val="bottom"/>
            <w:hideMark/>
          </w:tcPr>
          <w:p w14:paraId="5167A1FD"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0FBE5761" w14:textId="1423E62B" w:rsidR="003554A2" w:rsidRPr="008669C3" w:rsidRDefault="003554A2" w:rsidP="00B0674E">
            <w:pPr>
              <w:jc w:val="center"/>
              <w:rPr>
                <w:sz w:val="20"/>
                <w:szCs w:val="20"/>
              </w:rPr>
            </w:pPr>
            <w:r w:rsidRPr="008669C3">
              <w:rPr>
                <w:sz w:val="20"/>
                <w:szCs w:val="20"/>
              </w:rPr>
              <w:t>(0.00</w:t>
            </w:r>
            <w:r w:rsidR="00B0674E" w:rsidRPr="008669C3">
              <w:rPr>
                <w:sz w:val="20"/>
                <w:szCs w:val="20"/>
              </w:rPr>
              <w:t>1</w:t>
            </w:r>
            <w:r w:rsidRPr="008669C3">
              <w:rPr>
                <w:sz w:val="20"/>
                <w:szCs w:val="20"/>
              </w:rPr>
              <w:t>)</w:t>
            </w:r>
          </w:p>
        </w:tc>
        <w:tc>
          <w:tcPr>
            <w:tcW w:w="896" w:type="pct"/>
            <w:tcBorders>
              <w:top w:val="nil"/>
              <w:left w:val="nil"/>
              <w:bottom w:val="nil"/>
              <w:right w:val="nil"/>
            </w:tcBorders>
            <w:shd w:val="clear" w:color="auto" w:fill="auto"/>
            <w:noWrap/>
            <w:vAlign w:val="bottom"/>
            <w:hideMark/>
          </w:tcPr>
          <w:p w14:paraId="142AF05E" w14:textId="4C568F4E" w:rsidR="003554A2" w:rsidRPr="008669C3" w:rsidRDefault="003554A2" w:rsidP="00B0674E">
            <w:pPr>
              <w:jc w:val="center"/>
              <w:rPr>
                <w:sz w:val="20"/>
                <w:szCs w:val="20"/>
              </w:rPr>
            </w:pPr>
            <w:r w:rsidRPr="008669C3">
              <w:rPr>
                <w:sz w:val="20"/>
                <w:szCs w:val="20"/>
              </w:rPr>
              <w:t>(0.00</w:t>
            </w:r>
            <w:r w:rsidR="00B0674E" w:rsidRPr="008669C3">
              <w:rPr>
                <w:sz w:val="20"/>
                <w:szCs w:val="20"/>
              </w:rPr>
              <w:t>0</w:t>
            </w:r>
            <w:r w:rsidRPr="008669C3">
              <w:rPr>
                <w:sz w:val="20"/>
                <w:szCs w:val="20"/>
              </w:rPr>
              <w:t>)</w:t>
            </w:r>
          </w:p>
        </w:tc>
      </w:tr>
      <w:tr w:rsidR="003554A2" w:rsidRPr="008669C3" w14:paraId="3A012A00" w14:textId="77777777" w:rsidTr="00A94131">
        <w:trPr>
          <w:trHeight w:val="225"/>
        </w:trPr>
        <w:tc>
          <w:tcPr>
            <w:tcW w:w="1358" w:type="pct"/>
            <w:tcBorders>
              <w:top w:val="nil"/>
              <w:left w:val="nil"/>
              <w:bottom w:val="nil"/>
              <w:right w:val="nil"/>
            </w:tcBorders>
            <w:shd w:val="clear" w:color="auto" w:fill="auto"/>
            <w:noWrap/>
            <w:vAlign w:val="bottom"/>
            <w:hideMark/>
          </w:tcPr>
          <w:p w14:paraId="09C11C97" w14:textId="77777777" w:rsidR="003554A2" w:rsidRPr="008669C3" w:rsidRDefault="003554A2" w:rsidP="003554A2">
            <w:pPr>
              <w:rPr>
                <w:iCs/>
                <w:sz w:val="20"/>
                <w:szCs w:val="20"/>
              </w:rPr>
            </w:pPr>
            <w:r w:rsidRPr="008669C3">
              <w:rPr>
                <w:iCs/>
                <w:sz w:val="20"/>
                <w:szCs w:val="20"/>
              </w:rPr>
              <w:t>Tenure</w:t>
            </w:r>
          </w:p>
        </w:tc>
        <w:tc>
          <w:tcPr>
            <w:tcW w:w="849" w:type="pct"/>
            <w:tcBorders>
              <w:top w:val="nil"/>
              <w:left w:val="nil"/>
              <w:bottom w:val="nil"/>
              <w:right w:val="nil"/>
            </w:tcBorders>
            <w:shd w:val="clear" w:color="auto" w:fill="auto"/>
            <w:noWrap/>
            <w:vAlign w:val="bottom"/>
            <w:hideMark/>
          </w:tcPr>
          <w:p w14:paraId="50727CE2" w14:textId="1DDDBCCE" w:rsidR="003554A2" w:rsidRPr="008669C3" w:rsidRDefault="003554A2" w:rsidP="003554A2">
            <w:pPr>
              <w:jc w:val="center"/>
              <w:rPr>
                <w:sz w:val="20"/>
                <w:szCs w:val="20"/>
              </w:rPr>
            </w:pPr>
            <w:r w:rsidRPr="008669C3">
              <w:rPr>
                <w:sz w:val="20"/>
                <w:szCs w:val="20"/>
              </w:rPr>
              <w:t>0.001***</w:t>
            </w:r>
          </w:p>
        </w:tc>
        <w:tc>
          <w:tcPr>
            <w:tcW w:w="849" w:type="pct"/>
            <w:tcBorders>
              <w:top w:val="nil"/>
              <w:left w:val="nil"/>
              <w:bottom w:val="nil"/>
              <w:right w:val="nil"/>
            </w:tcBorders>
            <w:shd w:val="clear" w:color="auto" w:fill="auto"/>
            <w:noWrap/>
            <w:vAlign w:val="bottom"/>
            <w:hideMark/>
          </w:tcPr>
          <w:p w14:paraId="532DD480" w14:textId="616E3BD4" w:rsidR="003554A2" w:rsidRPr="008669C3" w:rsidRDefault="003554A2" w:rsidP="003554A2">
            <w:pPr>
              <w:jc w:val="center"/>
              <w:rPr>
                <w:sz w:val="20"/>
                <w:szCs w:val="20"/>
              </w:rPr>
            </w:pPr>
            <w:r w:rsidRPr="008669C3">
              <w:rPr>
                <w:sz w:val="20"/>
                <w:szCs w:val="20"/>
              </w:rPr>
              <w:t>0.001**</w:t>
            </w:r>
          </w:p>
        </w:tc>
        <w:tc>
          <w:tcPr>
            <w:tcW w:w="152" w:type="pct"/>
            <w:tcBorders>
              <w:top w:val="nil"/>
              <w:left w:val="nil"/>
              <w:bottom w:val="nil"/>
              <w:right w:val="nil"/>
            </w:tcBorders>
            <w:shd w:val="clear" w:color="auto" w:fill="auto"/>
            <w:noWrap/>
            <w:vAlign w:val="bottom"/>
            <w:hideMark/>
          </w:tcPr>
          <w:p w14:paraId="203E09A5"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0704BBF0" w14:textId="0419EC62" w:rsidR="003554A2" w:rsidRPr="008669C3" w:rsidRDefault="003554A2" w:rsidP="003554A2">
            <w:pPr>
              <w:jc w:val="center"/>
              <w:rPr>
                <w:sz w:val="20"/>
                <w:szCs w:val="20"/>
              </w:rPr>
            </w:pPr>
            <w:r w:rsidRPr="008669C3">
              <w:rPr>
                <w:sz w:val="20"/>
                <w:szCs w:val="20"/>
              </w:rPr>
              <w:t>0.001***</w:t>
            </w:r>
          </w:p>
        </w:tc>
        <w:tc>
          <w:tcPr>
            <w:tcW w:w="896" w:type="pct"/>
            <w:tcBorders>
              <w:top w:val="nil"/>
              <w:left w:val="nil"/>
              <w:bottom w:val="nil"/>
              <w:right w:val="nil"/>
            </w:tcBorders>
            <w:shd w:val="clear" w:color="auto" w:fill="auto"/>
            <w:noWrap/>
            <w:vAlign w:val="bottom"/>
            <w:hideMark/>
          </w:tcPr>
          <w:p w14:paraId="5BAA941E" w14:textId="75AF83E6" w:rsidR="003554A2" w:rsidRPr="008669C3" w:rsidRDefault="003554A2" w:rsidP="003554A2">
            <w:pPr>
              <w:jc w:val="center"/>
              <w:rPr>
                <w:sz w:val="20"/>
                <w:szCs w:val="20"/>
              </w:rPr>
            </w:pPr>
            <w:r w:rsidRPr="008669C3">
              <w:rPr>
                <w:sz w:val="20"/>
                <w:szCs w:val="20"/>
              </w:rPr>
              <w:t>0.001**</w:t>
            </w:r>
          </w:p>
        </w:tc>
      </w:tr>
      <w:tr w:rsidR="003554A2" w:rsidRPr="008669C3" w14:paraId="7D3C6B72" w14:textId="77777777" w:rsidTr="00A94131">
        <w:trPr>
          <w:trHeight w:val="225"/>
        </w:trPr>
        <w:tc>
          <w:tcPr>
            <w:tcW w:w="1358" w:type="pct"/>
            <w:tcBorders>
              <w:top w:val="nil"/>
              <w:left w:val="nil"/>
              <w:bottom w:val="nil"/>
              <w:right w:val="nil"/>
            </w:tcBorders>
            <w:shd w:val="clear" w:color="auto" w:fill="auto"/>
            <w:noWrap/>
            <w:vAlign w:val="bottom"/>
            <w:hideMark/>
          </w:tcPr>
          <w:p w14:paraId="59B51971" w14:textId="77777777" w:rsidR="003554A2" w:rsidRPr="008669C3" w:rsidRDefault="003554A2" w:rsidP="003554A2">
            <w:pPr>
              <w:jc w:val="center"/>
              <w:rPr>
                <w:sz w:val="20"/>
                <w:szCs w:val="20"/>
              </w:rPr>
            </w:pPr>
          </w:p>
        </w:tc>
        <w:tc>
          <w:tcPr>
            <w:tcW w:w="849" w:type="pct"/>
            <w:tcBorders>
              <w:top w:val="nil"/>
              <w:left w:val="nil"/>
              <w:bottom w:val="nil"/>
              <w:right w:val="nil"/>
            </w:tcBorders>
            <w:shd w:val="clear" w:color="auto" w:fill="auto"/>
            <w:noWrap/>
            <w:vAlign w:val="bottom"/>
            <w:hideMark/>
          </w:tcPr>
          <w:p w14:paraId="139DDCEB" w14:textId="3CB40FF3" w:rsidR="003554A2" w:rsidRPr="008669C3" w:rsidRDefault="003554A2" w:rsidP="003554A2">
            <w:pPr>
              <w:jc w:val="center"/>
              <w:rPr>
                <w:sz w:val="20"/>
                <w:szCs w:val="20"/>
              </w:rPr>
            </w:pPr>
            <w:r w:rsidRPr="008669C3">
              <w:rPr>
                <w:sz w:val="20"/>
                <w:szCs w:val="20"/>
              </w:rPr>
              <w:t>(0.000)</w:t>
            </w:r>
          </w:p>
        </w:tc>
        <w:tc>
          <w:tcPr>
            <w:tcW w:w="849" w:type="pct"/>
            <w:tcBorders>
              <w:top w:val="nil"/>
              <w:left w:val="nil"/>
              <w:bottom w:val="nil"/>
              <w:right w:val="nil"/>
            </w:tcBorders>
            <w:shd w:val="clear" w:color="auto" w:fill="auto"/>
            <w:noWrap/>
            <w:vAlign w:val="bottom"/>
            <w:hideMark/>
          </w:tcPr>
          <w:p w14:paraId="2A30E72F" w14:textId="16C0DD38" w:rsidR="003554A2" w:rsidRPr="008669C3" w:rsidRDefault="003554A2" w:rsidP="003554A2">
            <w:pPr>
              <w:jc w:val="center"/>
              <w:rPr>
                <w:sz w:val="20"/>
                <w:szCs w:val="20"/>
              </w:rPr>
            </w:pPr>
            <w:r w:rsidRPr="008669C3">
              <w:rPr>
                <w:sz w:val="20"/>
                <w:szCs w:val="20"/>
              </w:rPr>
              <w:t>(0.000)</w:t>
            </w:r>
          </w:p>
        </w:tc>
        <w:tc>
          <w:tcPr>
            <w:tcW w:w="152" w:type="pct"/>
            <w:tcBorders>
              <w:top w:val="nil"/>
              <w:left w:val="nil"/>
              <w:bottom w:val="nil"/>
              <w:right w:val="nil"/>
            </w:tcBorders>
            <w:shd w:val="clear" w:color="auto" w:fill="auto"/>
            <w:noWrap/>
            <w:vAlign w:val="bottom"/>
            <w:hideMark/>
          </w:tcPr>
          <w:p w14:paraId="3121B850"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75A89E6A" w14:textId="373505B2" w:rsidR="003554A2" w:rsidRPr="008669C3" w:rsidRDefault="003554A2" w:rsidP="003554A2">
            <w:pPr>
              <w:jc w:val="center"/>
              <w:rPr>
                <w:sz w:val="20"/>
                <w:szCs w:val="20"/>
              </w:rPr>
            </w:pPr>
            <w:r w:rsidRPr="008669C3">
              <w:rPr>
                <w:sz w:val="20"/>
                <w:szCs w:val="20"/>
              </w:rPr>
              <w:t>(0.000)</w:t>
            </w:r>
          </w:p>
        </w:tc>
        <w:tc>
          <w:tcPr>
            <w:tcW w:w="896" w:type="pct"/>
            <w:tcBorders>
              <w:top w:val="nil"/>
              <w:left w:val="nil"/>
              <w:bottom w:val="nil"/>
              <w:right w:val="nil"/>
            </w:tcBorders>
            <w:shd w:val="clear" w:color="auto" w:fill="auto"/>
            <w:noWrap/>
            <w:vAlign w:val="bottom"/>
            <w:hideMark/>
          </w:tcPr>
          <w:p w14:paraId="60D2420A" w14:textId="0B816644" w:rsidR="003554A2" w:rsidRPr="008669C3" w:rsidRDefault="003554A2" w:rsidP="003554A2">
            <w:pPr>
              <w:jc w:val="center"/>
              <w:rPr>
                <w:sz w:val="20"/>
                <w:szCs w:val="20"/>
              </w:rPr>
            </w:pPr>
            <w:r w:rsidRPr="008669C3">
              <w:rPr>
                <w:sz w:val="20"/>
                <w:szCs w:val="20"/>
              </w:rPr>
              <w:t>(0.000)</w:t>
            </w:r>
          </w:p>
        </w:tc>
      </w:tr>
      <w:tr w:rsidR="003554A2" w:rsidRPr="008669C3" w14:paraId="42FC82D6" w14:textId="77777777" w:rsidTr="00A94131">
        <w:trPr>
          <w:trHeight w:val="225"/>
        </w:trPr>
        <w:tc>
          <w:tcPr>
            <w:tcW w:w="1358" w:type="pct"/>
            <w:tcBorders>
              <w:top w:val="nil"/>
              <w:left w:val="nil"/>
              <w:bottom w:val="nil"/>
              <w:right w:val="nil"/>
            </w:tcBorders>
            <w:shd w:val="clear" w:color="auto" w:fill="auto"/>
            <w:noWrap/>
            <w:vAlign w:val="bottom"/>
            <w:hideMark/>
          </w:tcPr>
          <w:p w14:paraId="11F2F13F" w14:textId="77777777" w:rsidR="003554A2" w:rsidRPr="008669C3" w:rsidRDefault="003554A2" w:rsidP="003554A2">
            <w:pPr>
              <w:rPr>
                <w:iCs/>
                <w:sz w:val="20"/>
                <w:szCs w:val="20"/>
              </w:rPr>
            </w:pPr>
            <w:r w:rsidRPr="008669C3">
              <w:rPr>
                <w:iCs/>
                <w:sz w:val="20"/>
                <w:szCs w:val="20"/>
              </w:rPr>
              <w:t>Female CEO</w:t>
            </w:r>
          </w:p>
        </w:tc>
        <w:tc>
          <w:tcPr>
            <w:tcW w:w="849" w:type="pct"/>
            <w:tcBorders>
              <w:top w:val="nil"/>
              <w:left w:val="nil"/>
              <w:bottom w:val="nil"/>
              <w:right w:val="nil"/>
            </w:tcBorders>
            <w:shd w:val="clear" w:color="auto" w:fill="auto"/>
            <w:noWrap/>
            <w:vAlign w:val="bottom"/>
            <w:hideMark/>
          </w:tcPr>
          <w:p w14:paraId="301DC90B" w14:textId="05FDBF8A" w:rsidR="003554A2" w:rsidRPr="008669C3" w:rsidRDefault="003554A2" w:rsidP="003554A2">
            <w:pPr>
              <w:jc w:val="center"/>
              <w:rPr>
                <w:sz w:val="20"/>
                <w:szCs w:val="20"/>
              </w:rPr>
            </w:pPr>
            <w:r w:rsidRPr="008669C3">
              <w:rPr>
                <w:sz w:val="20"/>
                <w:szCs w:val="20"/>
              </w:rPr>
              <w:t>0.010</w:t>
            </w:r>
          </w:p>
        </w:tc>
        <w:tc>
          <w:tcPr>
            <w:tcW w:w="849" w:type="pct"/>
            <w:tcBorders>
              <w:top w:val="nil"/>
              <w:left w:val="nil"/>
              <w:bottom w:val="nil"/>
              <w:right w:val="nil"/>
            </w:tcBorders>
            <w:shd w:val="clear" w:color="auto" w:fill="auto"/>
            <w:noWrap/>
            <w:vAlign w:val="bottom"/>
            <w:hideMark/>
          </w:tcPr>
          <w:p w14:paraId="01B66598" w14:textId="74337A00" w:rsidR="003554A2" w:rsidRPr="008669C3" w:rsidRDefault="003554A2" w:rsidP="003554A2">
            <w:pPr>
              <w:jc w:val="center"/>
              <w:rPr>
                <w:sz w:val="20"/>
                <w:szCs w:val="20"/>
              </w:rPr>
            </w:pPr>
            <w:r w:rsidRPr="008669C3">
              <w:rPr>
                <w:sz w:val="20"/>
                <w:szCs w:val="20"/>
              </w:rPr>
              <w:t>-0.009</w:t>
            </w:r>
          </w:p>
        </w:tc>
        <w:tc>
          <w:tcPr>
            <w:tcW w:w="152" w:type="pct"/>
            <w:tcBorders>
              <w:top w:val="nil"/>
              <w:left w:val="nil"/>
              <w:bottom w:val="nil"/>
              <w:right w:val="nil"/>
            </w:tcBorders>
            <w:shd w:val="clear" w:color="auto" w:fill="auto"/>
            <w:noWrap/>
            <w:vAlign w:val="bottom"/>
            <w:hideMark/>
          </w:tcPr>
          <w:p w14:paraId="4D642D58"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172C5A7F" w14:textId="1C6213A5" w:rsidR="003554A2" w:rsidRPr="008669C3" w:rsidRDefault="003554A2" w:rsidP="003554A2">
            <w:pPr>
              <w:jc w:val="center"/>
              <w:rPr>
                <w:sz w:val="20"/>
                <w:szCs w:val="20"/>
              </w:rPr>
            </w:pPr>
            <w:r w:rsidRPr="008669C3">
              <w:rPr>
                <w:sz w:val="20"/>
                <w:szCs w:val="20"/>
              </w:rPr>
              <w:t>0.010</w:t>
            </w:r>
          </w:p>
        </w:tc>
        <w:tc>
          <w:tcPr>
            <w:tcW w:w="896" w:type="pct"/>
            <w:tcBorders>
              <w:top w:val="nil"/>
              <w:left w:val="nil"/>
              <w:bottom w:val="nil"/>
              <w:right w:val="nil"/>
            </w:tcBorders>
            <w:shd w:val="clear" w:color="auto" w:fill="auto"/>
            <w:noWrap/>
            <w:vAlign w:val="bottom"/>
            <w:hideMark/>
          </w:tcPr>
          <w:p w14:paraId="1B98763B" w14:textId="671BB9D0" w:rsidR="003554A2" w:rsidRPr="008669C3" w:rsidRDefault="003554A2" w:rsidP="003554A2">
            <w:pPr>
              <w:jc w:val="center"/>
              <w:rPr>
                <w:sz w:val="20"/>
                <w:szCs w:val="20"/>
              </w:rPr>
            </w:pPr>
            <w:r w:rsidRPr="008669C3">
              <w:rPr>
                <w:sz w:val="20"/>
                <w:szCs w:val="20"/>
              </w:rPr>
              <w:t>0.005</w:t>
            </w:r>
          </w:p>
        </w:tc>
      </w:tr>
      <w:tr w:rsidR="003554A2" w:rsidRPr="008669C3" w14:paraId="7C553E47" w14:textId="77777777" w:rsidTr="00A94131">
        <w:trPr>
          <w:trHeight w:val="225"/>
        </w:trPr>
        <w:tc>
          <w:tcPr>
            <w:tcW w:w="1358" w:type="pct"/>
            <w:tcBorders>
              <w:top w:val="nil"/>
              <w:left w:val="nil"/>
              <w:bottom w:val="nil"/>
              <w:right w:val="nil"/>
            </w:tcBorders>
            <w:shd w:val="clear" w:color="auto" w:fill="auto"/>
            <w:noWrap/>
            <w:vAlign w:val="bottom"/>
            <w:hideMark/>
          </w:tcPr>
          <w:p w14:paraId="6C341791" w14:textId="77777777" w:rsidR="003554A2" w:rsidRPr="008669C3" w:rsidRDefault="003554A2" w:rsidP="003554A2">
            <w:pPr>
              <w:jc w:val="center"/>
              <w:rPr>
                <w:sz w:val="20"/>
                <w:szCs w:val="20"/>
              </w:rPr>
            </w:pPr>
          </w:p>
        </w:tc>
        <w:tc>
          <w:tcPr>
            <w:tcW w:w="849" w:type="pct"/>
            <w:tcBorders>
              <w:top w:val="nil"/>
              <w:left w:val="nil"/>
              <w:bottom w:val="nil"/>
              <w:right w:val="nil"/>
            </w:tcBorders>
            <w:shd w:val="clear" w:color="auto" w:fill="auto"/>
            <w:noWrap/>
            <w:vAlign w:val="bottom"/>
            <w:hideMark/>
          </w:tcPr>
          <w:p w14:paraId="25790EFD" w14:textId="78FA3304" w:rsidR="003554A2" w:rsidRPr="008669C3" w:rsidRDefault="003554A2" w:rsidP="003554A2">
            <w:pPr>
              <w:jc w:val="center"/>
              <w:rPr>
                <w:sz w:val="20"/>
                <w:szCs w:val="20"/>
              </w:rPr>
            </w:pPr>
            <w:r w:rsidRPr="008669C3">
              <w:rPr>
                <w:sz w:val="20"/>
                <w:szCs w:val="20"/>
              </w:rPr>
              <w:t>(0.018)</w:t>
            </w:r>
          </w:p>
        </w:tc>
        <w:tc>
          <w:tcPr>
            <w:tcW w:w="849" w:type="pct"/>
            <w:tcBorders>
              <w:top w:val="nil"/>
              <w:left w:val="nil"/>
              <w:bottom w:val="nil"/>
              <w:right w:val="nil"/>
            </w:tcBorders>
            <w:shd w:val="clear" w:color="auto" w:fill="auto"/>
            <w:noWrap/>
            <w:vAlign w:val="bottom"/>
            <w:hideMark/>
          </w:tcPr>
          <w:p w14:paraId="3040B662" w14:textId="312589F9" w:rsidR="003554A2" w:rsidRPr="008669C3" w:rsidRDefault="003554A2" w:rsidP="003554A2">
            <w:pPr>
              <w:jc w:val="center"/>
              <w:rPr>
                <w:sz w:val="20"/>
                <w:szCs w:val="20"/>
              </w:rPr>
            </w:pPr>
            <w:r w:rsidRPr="008669C3">
              <w:rPr>
                <w:sz w:val="20"/>
                <w:szCs w:val="20"/>
              </w:rPr>
              <w:t>(0.017)</w:t>
            </w:r>
          </w:p>
        </w:tc>
        <w:tc>
          <w:tcPr>
            <w:tcW w:w="152" w:type="pct"/>
            <w:tcBorders>
              <w:top w:val="nil"/>
              <w:left w:val="nil"/>
              <w:bottom w:val="nil"/>
              <w:right w:val="nil"/>
            </w:tcBorders>
            <w:shd w:val="clear" w:color="auto" w:fill="auto"/>
            <w:noWrap/>
            <w:vAlign w:val="bottom"/>
            <w:hideMark/>
          </w:tcPr>
          <w:p w14:paraId="3DA1A977"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7DEF083A" w14:textId="7272E50C" w:rsidR="003554A2" w:rsidRPr="008669C3" w:rsidRDefault="003554A2" w:rsidP="003554A2">
            <w:pPr>
              <w:jc w:val="center"/>
              <w:rPr>
                <w:sz w:val="20"/>
                <w:szCs w:val="20"/>
              </w:rPr>
            </w:pPr>
            <w:r w:rsidRPr="008669C3">
              <w:rPr>
                <w:sz w:val="20"/>
                <w:szCs w:val="20"/>
              </w:rPr>
              <w:t>(0.011)</w:t>
            </w:r>
          </w:p>
        </w:tc>
        <w:tc>
          <w:tcPr>
            <w:tcW w:w="896" w:type="pct"/>
            <w:tcBorders>
              <w:top w:val="nil"/>
              <w:left w:val="nil"/>
              <w:bottom w:val="nil"/>
              <w:right w:val="nil"/>
            </w:tcBorders>
            <w:shd w:val="clear" w:color="auto" w:fill="auto"/>
            <w:noWrap/>
            <w:vAlign w:val="bottom"/>
            <w:hideMark/>
          </w:tcPr>
          <w:p w14:paraId="561B9CA5" w14:textId="280F1D4E" w:rsidR="003554A2" w:rsidRPr="008669C3" w:rsidRDefault="003554A2" w:rsidP="003554A2">
            <w:pPr>
              <w:jc w:val="center"/>
              <w:rPr>
                <w:sz w:val="20"/>
                <w:szCs w:val="20"/>
              </w:rPr>
            </w:pPr>
            <w:r w:rsidRPr="008669C3">
              <w:rPr>
                <w:sz w:val="20"/>
                <w:szCs w:val="20"/>
              </w:rPr>
              <w:t>(0.008)</w:t>
            </w:r>
          </w:p>
        </w:tc>
      </w:tr>
      <w:tr w:rsidR="003554A2" w:rsidRPr="008669C3" w14:paraId="01D0FB8A" w14:textId="77777777" w:rsidTr="00A94131">
        <w:trPr>
          <w:trHeight w:val="225"/>
        </w:trPr>
        <w:tc>
          <w:tcPr>
            <w:tcW w:w="1358" w:type="pct"/>
            <w:tcBorders>
              <w:top w:val="nil"/>
              <w:left w:val="nil"/>
              <w:bottom w:val="nil"/>
              <w:right w:val="nil"/>
            </w:tcBorders>
            <w:shd w:val="clear" w:color="auto" w:fill="auto"/>
            <w:noWrap/>
            <w:vAlign w:val="bottom"/>
            <w:hideMark/>
          </w:tcPr>
          <w:p w14:paraId="6D432FEA" w14:textId="77777777" w:rsidR="003554A2" w:rsidRPr="008669C3" w:rsidRDefault="003554A2" w:rsidP="003554A2">
            <w:pPr>
              <w:rPr>
                <w:iCs/>
                <w:sz w:val="20"/>
                <w:szCs w:val="20"/>
              </w:rPr>
            </w:pPr>
            <w:r w:rsidRPr="008669C3">
              <w:rPr>
                <w:iCs/>
                <w:sz w:val="20"/>
                <w:szCs w:val="20"/>
              </w:rPr>
              <w:t>Ln(1+Delta)</w:t>
            </w:r>
          </w:p>
        </w:tc>
        <w:tc>
          <w:tcPr>
            <w:tcW w:w="849" w:type="pct"/>
            <w:tcBorders>
              <w:top w:val="nil"/>
              <w:left w:val="nil"/>
              <w:bottom w:val="nil"/>
              <w:right w:val="nil"/>
            </w:tcBorders>
            <w:shd w:val="clear" w:color="auto" w:fill="auto"/>
            <w:noWrap/>
            <w:vAlign w:val="bottom"/>
            <w:hideMark/>
          </w:tcPr>
          <w:p w14:paraId="4592033E" w14:textId="6BBCAC9C" w:rsidR="003554A2" w:rsidRPr="008669C3" w:rsidRDefault="003554A2" w:rsidP="003554A2">
            <w:pPr>
              <w:jc w:val="center"/>
              <w:rPr>
                <w:sz w:val="20"/>
                <w:szCs w:val="20"/>
              </w:rPr>
            </w:pPr>
            <w:r w:rsidRPr="008669C3">
              <w:rPr>
                <w:sz w:val="20"/>
                <w:szCs w:val="20"/>
              </w:rPr>
              <w:t>-0.003</w:t>
            </w:r>
          </w:p>
        </w:tc>
        <w:tc>
          <w:tcPr>
            <w:tcW w:w="849" w:type="pct"/>
            <w:tcBorders>
              <w:top w:val="nil"/>
              <w:left w:val="nil"/>
              <w:bottom w:val="nil"/>
              <w:right w:val="nil"/>
            </w:tcBorders>
            <w:shd w:val="clear" w:color="auto" w:fill="auto"/>
            <w:noWrap/>
            <w:vAlign w:val="bottom"/>
            <w:hideMark/>
          </w:tcPr>
          <w:p w14:paraId="0D933645" w14:textId="0EFEA62A" w:rsidR="003554A2" w:rsidRPr="008669C3" w:rsidRDefault="003554A2" w:rsidP="003554A2">
            <w:pPr>
              <w:jc w:val="center"/>
              <w:rPr>
                <w:sz w:val="20"/>
                <w:szCs w:val="20"/>
              </w:rPr>
            </w:pPr>
            <w:r w:rsidRPr="008669C3">
              <w:rPr>
                <w:sz w:val="20"/>
                <w:szCs w:val="20"/>
              </w:rPr>
              <w:t>-0.005**</w:t>
            </w:r>
          </w:p>
        </w:tc>
        <w:tc>
          <w:tcPr>
            <w:tcW w:w="152" w:type="pct"/>
            <w:tcBorders>
              <w:top w:val="nil"/>
              <w:left w:val="nil"/>
              <w:bottom w:val="nil"/>
              <w:right w:val="nil"/>
            </w:tcBorders>
            <w:shd w:val="clear" w:color="auto" w:fill="auto"/>
            <w:noWrap/>
            <w:vAlign w:val="bottom"/>
            <w:hideMark/>
          </w:tcPr>
          <w:p w14:paraId="6395B940"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01F0B155" w14:textId="634A3994" w:rsidR="003554A2" w:rsidRPr="008669C3" w:rsidRDefault="003554A2" w:rsidP="003554A2">
            <w:pPr>
              <w:jc w:val="center"/>
              <w:rPr>
                <w:sz w:val="20"/>
                <w:szCs w:val="20"/>
              </w:rPr>
            </w:pPr>
            <w:r w:rsidRPr="008669C3">
              <w:rPr>
                <w:sz w:val="20"/>
                <w:szCs w:val="20"/>
              </w:rPr>
              <w:t>-0.006***</w:t>
            </w:r>
          </w:p>
        </w:tc>
        <w:tc>
          <w:tcPr>
            <w:tcW w:w="896" w:type="pct"/>
            <w:tcBorders>
              <w:top w:val="nil"/>
              <w:left w:val="nil"/>
              <w:bottom w:val="nil"/>
              <w:right w:val="nil"/>
            </w:tcBorders>
            <w:shd w:val="clear" w:color="auto" w:fill="auto"/>
            <w:noWrap/>
            <w:vAlign w:val="bottom"/>
            <w:hideMark/>
          </w:tcPr>
          <w:p w14:paraId="09CFBEA2" w14:textId="76178BE1" w:rsidR="003554A2" w:rsidRPr="008669C3" w:rsidRDefault="003554A2" w:rsidP="003554A2">
            <w:pPr>
              <w:jc w:val="center"/>
              <w:rPr>
                <w:sz w:val="20"/>
                <w:szCs w:val="20"/>
              </w:rPr>
            </w:pPr>
            <w:r w:rsidRPr="008669C3">
              <w:rPr>
                <w:sz w:val="20"/>
                <w:szCs w:val="20"/>
              </w:rPr>
              <w:t>-0.007***</w:t>
            </w:r>
          </w:p>
        </w:tc>
      </w:tr>
      <w:tr w:rsidR="003554A2" w:rsidRPr="008669C3" w14:paraId="777A1DD1" w14:textId="77777777" w:rsidTr="00A94131">
        <w:trPr>
          <w:trHeight w:val="225"/>
        </w:trPr>
        <w:tc>
          <w:tcPr>
            <w:tcW w:w="1358" w:type="pct"/>
            <w:tcBorders>
              <w:top w:val="nil"/>
              <w:left w:val="nil"/>
              <w:bottom w:val="nil"/>
              <w:right w:val="nil"/>
            </w:tcBorders>
            <w:shd w:val="clear" w:color="auto" w:fill="auto"/>
            <w:noWrap/>
            <w:vAlign w:val="bottom"/>
            <w:hideMark/>
          </w:tcPr>
          <w:p w14:paraId="494E8775" w14:textId="77777777" w:rsidR="003554A2" w:rsidRPr="008669C3" w:rsidRDefault="003554A2" w:rsidP="003554A2">
            <w:pPr>
              <w:jc w:val="center"/>
              <w:rPr>
                <w:sz w:val="20"/>
                <w:szCs w:val="20"/>
              </w:rPr>
            </w:pPr>
          </w:p>
        </w:tc>
        <w:tc>
          <w:tcPr>
            <w:tcW w:w="849" w:type="pct"/>
            <w:tcBorders>
              <w:top w:val="nil"/>
              <w:left w:val="nil"/>
              <w:bottom w:val="nil"/>
              <w:right w:val="nil"/>
            </w:tcBorders>
            <w:shd w:val="clear" w:color="auto" w:fill="auto"/>
            <w:noWrap/>
            <w:vAlign w:val="bottom"/>
            <w:hideMark/>
          </w:tcPr>
          <w:p w14:paraId="64AF7623" w14:textId="35BCD7EC" w:rsidR="003554A2" w:rsidRPr="008669C3" w:rsidRDefault="003554A2" w:rsidP="003554A2">
            <w:pPr>
              <w:jc w:val="center"/>
              <w:rPr>
                <w:sz w:val="20"/>
                <w:szCs w:val="20"/>
              </w:rPr>
            </w:pPr>
            <w:r w:rsidRPr="008669C3">
              <w:rPr>
                <w:sz w:val="20"/>
                <w:szCs w:val="20"/>
              </w:rPr>
              <w:t>(0.002)</w:t>
            </w:r>
          </w:p>
        </w:tc>
        <w:tc>
          <w:tcPr>
            <w:tcW w:w="849" w:type="pct"/>
            <w:tcBorders>
              <w:top w:val="nil"/>
              <w:left w:val="nil"/>
              <w:bottom w:val="nil"/>
              <w:right w:val="nil"/>
            </w:tcBorders>
            <w:shd w:val="clear" w:color="auto" w:fill="auto"/>
            <w:noWrap/>
            <w:vAlign w:val="bottom"/>
            <w:hideMark/>
          </w:tcPr>
          <w:p w14:paraId="3A541679" w14:textId="270D65C4" w:rsidR="003554A2" w:rsidRPr="008669C3" w:rsidRDefault="003554A2" w:rsidP="003554A2">
            <w:pPr>
              <w:jc w:val="center"/>
              <w:rPr>
                <w:sz w:val="20"/>
                <w:szCs w:val="20"/>
              </w:rPr>
            </w:pPr>
            <w:r w:rsidRPr="008669C3">
              <w:rPr>
                <w:sz w:val="20"/>
                <w:szCs w:val="20"/>
              </w:rPr>
              <w:t>(0.002)</w:t>
            </w:r>
          </w:p>
        </w:tc>
        <w:tc>
          <w:tcPr>
            <w:tcW w:w="152" w:type="pct"/>
            <w:tcBorders>
              <w:top w:val="nil"/>
              <w:left w:val="nil"/>
              <w:bottom w:val="nil"/>
              <w:right w:val="nil"/>
            </w:tcBorders>
            <w:shd w:val="clear" w:color="auto" w:fill="auto"/>
            <w:noWrap/>
            <w:vAlign w:val="bottom"/>
            <w:hideMark/>
          </w:tcPr>
          <w:p w14:paraId="46EF002A"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59E62DCA" w14:textId="2460EBA5" w:rsidR="003554A2" w:rsidRPr="008669C3" w:rsidRDefault="003554A2" w:rsidP="003554A2">
            <w:pPr>
              <w:jc w:val="center"/>
              <w:rPr>
                <w:sz w:val="20"/>
                <w:szCs w:val="20"/>
              </w:rPr>
            </w:pPr>
            <w:r w:rsidRPr="008669C3">
              <w:rPr>
                <w:sz w:val="20"/>
                <w:szCs w:val="20"/>
              </w:rPr>
              <w:t>(0.002)</w:t>
            </w:r>
          </w:p>
        </w:tc>
        <w:tc>
          <w:tcPr>
            <w:tcW w:w="896" w:type="pct"/>
            <w:tcBorders>
              <w:top w:val="nil"/>
              <w:left w:val="nil"/>
              <w:bottom w:val="nil"/>
              <w:right w:val="nil"/>
            </w:tcBorders>
            <w:shd w:val="clear" w:color="auto" w:fill="auto"/>
            <w:noWrap/>
            <w:vAlign w:val="bottom"/>
            <w:hideMark/>
          </w:tcPr>
          <w:p w14:paraId="6E7772C0" w14:textId="7DC4D9A1" w:rsidR="003554A2" w:rsidRPr="008669C3" w:rsidRDefault="003554A2" w:rsidP="003554A2">
            <w:pPr>
              <w:jc w:val="center"/>
              <w:rPr>
                <w:sz w:val="20"/>
                <w:szCs w:val="20"/>
              </w:rPr>
            </w:pPr>
            <w:r w:rsidRPr="008669C3">
              <w:rPr>
                <w:sz w:val="20"/>
                <w:szCs w:val="20"/>
              </w:rPr>
              <w:t>(0.002)</w:t>
            </w:r>
          </w:p>
        </w:tc>
      </w:tr>
      <w:tr w:rsidR="003554A2" w:rsidRPr="008669C3" w14:paraId="386BF418" w14:textId="77777777" w:rsidTr="00A94131">
        <w:trPr>
          <w:trHeight w:val="225"/>
        </w:trPr>
        <w:tc>
          <w:tcPr>
            <w:tcW w:w="1358" w:type="pct"/>
            <w:tcBorders>
              <w:top w:val="nil"/>
              <w:left w:val="nil"/>
              <w:bottom w:val="nil"/>
              <w:right w:val="nil"/>
            </w:tcBorders>
            <w:shd w:val="clear" w:color="auto" w:fill="auto"/>
            <w:noWrap/>
            <w:vAlign w:val="bottom"/>
            <w:hideMark/>
          </w:tcPr>
          <w:p w14:paraId="22D6D4B0" w14:textId="77777777" w:rsidR="003554A2" w:rsidRPr="008669C3" w:rsidRDefault="003554A2" w:rsidP="003554A2">
            <w:pPr>
              <w:rPr>
                <w:iCs/>
                <w:sz w:val="20"/>
                <w:szCs w:val="20"/>
              </w:rPr>
            </w:pPr>
            <w:r w:rsidRPr="008669C3">
              <w:rPr>
                <w:iCs/>
                <w:sz w:val="20"/>
                <w:szCs w:val="20"/>
              </w:rPr>
              <w:t>Ln(Total pay)</w:t>
            </w:r>
          </w:p>
        </w:tc>
        <w:tc>
          <w:tcPr>
            <w:tcW w:w="849" w:type="pct"/>
            <w:tcBorders>
              <w:top w:val="nil"/>
              <w:left w:val="nil"/>
              <w:bottom w:val="nil"/>
              <w:right w:val="nil"/>
            </w:tcBorders>
            <w:shd w:val="clear" w:color="auto" w:fill="auto"/>
            <w:noWrap/>
            <w:vAlign w:val="bottom"/>
            <w:hideMark/>
          </w:tcPr>
          <w:p w14:paraId="26AA1DDC" w14:textId="71A96131" w:rsidR="003554A2" w:rsidRPr="008669C3" w:rsidRDefault="003554A2" w:rsidP="003554A2">
            <w:pPr>
              <w:jc w:val="center"/>
              <w:rPr>
                <w:sz w:val="20"/>
                <w:szCs w:val="20"/>
              </w:rPr>
            </w:pPr>
            <w:r w:rsidRPr="008669C3">
              <w:rPr>
                <w:sz w:val="20"/>
                <w:szCs w:val="20"/>
              </w:rPr>
              <w:t>-0.010**</w:t>
            </w:r>
          </w:p>
        </w:tc>
        <w:tc>
          <w:tcPr>
            <w:tcW w:w="849" w:type="pct"/>
            <w:tcBorders>
              <w:top w:val="nil"/>
              <w:left w:val="nil"/>
              <w:bottom w:val="nil"/>
              <w:right w:val="nil"/>
            </w:tcBorders>
            <w:shd w:val="clear" w:color="auto" w:fill="auto"/>
            <w:noWrap/>
            <w:vAlign w:val="bottom"/>
            <w:hideMark/>
          </w:tcPr>
          <w:p w14:paraId="6748440E" w14:textId="1CA2E126" w:rsidR="003554A2" w:rsidRPr="008669C3" w:rsidRDefault="003554A2" w:rsidP="003554A2">
            <w:pPr>
              <w:jc w:val="center"/>
              <w:rPr>
                <w:sz w:val="20"/>
                <w:szCs w:val="20"/>
              </w:rPr>
            </w:pPr>
            <w:r w:rsidRPr="008669C3">
              <w:rPr>
                <w:sz w:val="20"/>
                <w:szCs w:val="20"/>
              </w:rPr>
              <w:t>-0.002</w:t>
            </w:r>
          </w:p>
        </w:tc>
        <w:tc>
          <w:tcPr>
            <w:tcW w:w="152" w:type="pct"/>
            <w:tcBorders>
              <w:top w:val="nil"/>
              <w:left w:val="nil"/>
              <w:bottom w:val="nil"/>
              <w:right w:val="nil"/>
            </w:tcBorders>
            <w:shd w:val="clear" w:color="auto" w:fill="auto"/>
            <w:noWrap/>
            <w:vAlign w:val="bottom"/>
            <w:hideMark/>
          </w:tcPr>
          <w:p w14:paraId="5A67C3B2"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59CB721B" w14:textId="49E5F1BF" w:rsidR="003554A2" w:rsidRPr="008669C3" w:rsidRDefault="003554A2" w:rsidP="003554A2">
            <w:pPr>
              <w:jc w:val="center"/>
              <w:rPr>
                <w:sz w:val="20"/>
                <w:szCs w:val="20"/>
              </w:rPr>
            </w:pPr>
            <w:r w:rsidRPr="008669C3">
              <w:rPr>
                <w:sz w:val="20"/>
                <w:szCs w:val="20"/>
              </w:rPr>
              <w:t>-0.004</w:t>
            </w:r>
          </w:p>
        </w:tc>
        <w:tc>
          <w:tcPr>
            <w:tcW w:w="896" w:type="pct"/>
            <w:tcBorders>
              <w:top w:val="nil"/>
              <w:left w:val="nil"/>
              <w:bottom w:val="nil"/>
              <w:right w:val="nil"/>
            </w:tcBorders>
            <w:shd w:val="clear" w:color="auto" w:fill="auto"/>
            <w:noWrap/>
            <w:vAlign w:val="bottom"/>
            <w:hideMark/>
          </w:tcPr>
          <w:p w14:paraId="6CE56BF8" w14:textId="38AD8F94" w:rsidR="003554A2" w:rsidRPr="008669C3" w:rsidRDefault="003554A2" w:rsidP="003554A2">
            <w:pPr>
              <w:jc w:val="center"/>
              <w:rPr>
                <w:sz w:val="20"/>
                <w:szCs w:val="20"/>
              </w:rPr>
            </w:pPr>
            <w:r w:rsidRPr="008669C3">
              <w:rPr>
                <w:sz w:val="20"/>
                <w:szCs w:val="20"/>
              </w:rPr>
              <w:t>-0.001</w:t>
            </w:r>
          </w:p>
        </w:tc>
      </w:tr>
      <w:tr w:rsidR="003554A2" w:rsidRPr="008669C3" w14:paraId="29573B67" w14:textId="77777777" w:rsidTr="00A94131">
        <w:trPr>
          <w:trHeight w:val="225"/>
        </w:trPr>
        <w:tc>
          <w:tcPr>
            <w:tcW w:w="1358" w:type="pct"/>
            <w:tcBorders>
              <w:top w:val="nil"/>
              <w:left w:val="nil"/>
              <w:bottom w:val="nil"/>
              <w:right w:val="nil"/>
            </w:tcBorders>
            <w:shd w:val="clear" w:color="auto" w:fill="auto"/>
            <w:noWrap/>
            <w:vAlign w:val="bottom"/>
            <w:hideMark/>
          </w:tcPr>
          <w:p w14:paraId="207FFEE2" w14:textId="77777777" w:rsidR="003554A2" w:rsidRPr="008669C3" w:rsidRDefault="003554A2" w:rsidP="003554A2">
            <w:pPr>
              <w:jc w:val="center"/>
              <w:rPr>
                <w:sz w:val="20"/>
                <w:szCs w:val="20"/>
              </w:rPr>
            </w:pPr>
          </w:p>
        </w:tc>
        <w:tc>
          <w:tcPr>
            <w:tcW w:w="849" w:type="pct"/>
            <w:tcBorders>
              <w:top w:val="nil"/>
              <w:left w:val="nil"/>
              <w:bottom w:val="nil"/>
              <w:right w:val="nil"/>
            </w:tcBorders>
            <w:shd w:val="clear" w:color="auto" w:fill="auto"/>
            <w:noWrap/>
            <w:vAlign w:val="bottom"/>
            <w:hideMark/>
          </w:tcPr>
          <w:p w14:paraId="6961E67C" w14:textId="7DDF7C8E" w:rsidR="003554A2" w:rsidRPr="008669C3" w:rsidRDefault="003554A2" w:rsidP="003554A2">
            <w:pPr>
              <w:jc w:val="center"/>
              <w:rPr>
                <w:sz w:val="20"/>
                <w:szCs w:val="20"/>
              </w:rPr>
            </w:pPr>
            <w:r w:rsidRPr="008669C3">
              <w:rPr>
                <w:sz w:val="20"/>
                <w:szCs w:val="20"/>
              </w:rPr>
              <w:t>(0.004)</w:t>
            </w:r>
          </w:p>
        </w:tc>
        <w:tc>
          <w:tcPr>
            <w:tcW w:w="849" w:type="pct"/>
            <w:tcBorders>
              <w:top w:val="nil"/>
              <w:left w:val="nil"/>
              <w:bottom w:val="nil"/>
              <w:right w:val="nil"/>
            </w:tcBorders>
            <w:shd w:val="clear" w:color="auto" w:fill="auto"/>
            <w:noWrap/>
            <w:vAlign w:val="bottom"/>
            <w:hideMark/>
          </w:tcPr>
          <w:p w14:paraId="6BD420B3" w14:textId="63138ACD" w:rsidR="003554A2" w:rsidRPr="008669C3" w:rsidRDefault="003554A2" w:rsidP="003554A2">
            <w:pPr>
              <w:jc w:val="center"/>
              <w:rPr>
                <w:sz w:val="20"/>
                <w:szCs w:val="20"/>
              </w:rPr>
            </w:pPr>
            <w:r w:rsidRPr="008669C3">
              <w:rPr>
                <w:sz w:val="20"/>
                <w:szCs w:val="20"/>
              </w:rPr>
              <w:t>(0.004)</w:t>
            </w:r>
          </w:p>
        </w:tc>
        <w:tc>
          <w:tcPr>
            <w:tcW w:w="152" w:type="pct"/>
            <w:tcBorders>
              <w:top w:val="nil"/>
              <w:left w:val="nil"/>
              <w:bottom w:val="nil"/>
              <w:right w:val="nil"/>
            </w:tcBorders>
            <w:shd w:val="clear" w:color="auto" w:fill="auto"/>
            <w:noWrap/>
            <w:vAlign w:val="bottom"/>
            <w:hideMark/>
          </w:tcPr>
          <w:p w14:paraId="43F76452"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04D069D8" w14:textId="22D47B92" w:rsidR="003554A2" w:rsidRPr="008669C3" w:rsidRDefault="003554A2" w:rsidP="003554A2">
            <w:pPr>
              <w:jc w:val="center"/>
              <w:rPr>
                <w:sz w:val="20"/>
                <w:szCs w:val="20"/>
              </w:rPr>
            </w:pPr>
            <w:r w:rsidRPr="008669C3">
              <w:rPr>
                <w:sz w:val="20"/>
                <w:szCs w:val="20"/>
              </w:rPr>
              <w:t>(0.003)</w:t>
            </w:r>
          </w:p>
        </w:tc>
        <w:tc>
          <w:tcPr>
            <w:tcW w:w="896" w:type="pct"/>
            <w:tcBorders>
              <w:top w:val="nil"/>
              <w:left w:val="nil"/>
              <w:bottom w:val="nil"/>
              <w:right w:val="nil"/>
            </w:tcBorders>
            <w:shd w:val="clear" w:color="auto" w:fill="auto"/>
            <w:noWrap/>
            <w:vAlign w:val="bottom"/>
            <w:hideMark/>
          </w:tcPr>
          <w:p w14:paraId="4A7944F5" w14:textId="17A1D5BA" w:rsidR="003554A2" w:rsidRPr="008669C3" w:rsidRDefault="003554A2" w:rsidP="003554A2">
            <w:pPr>
              <w:jc w:val="center"/>
              <w:rPr>
                <w:sz w:val="20"/>
                <w:szCs w:val="20"/>
              </w:rPr>
            </w:pPr>
            <w:r w:rsidRPr="008669C3">
              <w:rPr>
                <w:sz w:val="20"/>
                <w:szCs w:val="20"/>
              </w:rPr>
              <w:t>(0.002)</w:t>
            </w:r>
          </w:p>
        </w:tc>
      </w:tr>
      <w:tr w:rsidR="003554A2" w:rsidRPr="008669C3" w14:paraId="3EA06A47" w14:textId="77777777" w:rsidTr="00A94131">
        <w:trPr>
          <w:trHeight w:val="225"/>
        </w:trPr>
        <w:tc>
          <w:tcPr>
            <w:tcW w:w="1358" w:type="pct"/>
            <w:tcBorders>
              <w:top w:val="nil"/>
              <w:left w:val="nil"/>
              <w:bottom w:val="nil"/>
              <w:right w:val="nil"/>
            </w:tcBorders>
            <w:shd w:val="clear" w:color="auto" w:fill="auto"/>
            <w:noWrap/>
            <w:vAlign w:val="bottom"/>
            <w:hideMark/>
          </w:tcPr>
          <w:p w14:paraId="128EB470" w14:textId="77777777" w:rsidR="003554A2" w:rsidRPr="008669C3" w:rsidRDefault="003554A2" w:rsidP="003554A2">
            <w:pPr>
              <w:rPr>
                <w:iCs/>
                <w:sz w:val="20"/>
                <w:szCs w:val="20"/>
              </w:rPr>
            </w:pPr>
            <w:r w:rsidRPr="008669C3">
              <w:rPr>
                <w:iCs/>
                <w:sz w:val="20"/>
                <w:szCs w:val="20"/>
              </w:rPr>
              <w:lastRenderedPageBreak/>
              <w:t>Equity mix</w:t>
            </w:r>
          </w:p>
        </w:tc>
        <w:tc>
          <w:tcPr>
            <w:tcW w:w="849" w:type="pct"/>
            <w:tcBorders>
              <w:top w:val="nil"/>
              <w:left w:val="nil"/>
              <w:bottom w:val="nil"/>
              <w:right w:val="nil"/>
            </w:tcBorders>
            <w:shd w:val="clear" w:color="auto" w:fill="auto"/>
            <w:noWrap/>
            <w:vAlign w:val="bottom"/>
            <w:hideMark/>
          </w:tcPr>
          <w:p w14:paraId="07ACF43F" w14:textId="75A3D75A" w:rsidR="003554A2" w:rsidRPr="008669C3" w:rsidRDefault="003554A2" w:rsidP="003554A2">
            <w:pPr>
              <w:jc w:val="center"/>
              <w:rPr>
                <w:sz w:val="20"/>
                <w:szCs w:val="20"/>
              </w:rPr>
            </w:pPr>
            <w:r w:rsidRPr="008669C3">
              <w:rPr>
                <w:sz w:val="20"/>
                <w:szCs w:val="20"/>
              </w:rPr>
              <w:t>0.016</w:t>
            </w:r>
          </w:p>
        </w:tc>
        <w:tc>
          <w:tcPr>
            <w:tcW w:w="849" w:type="pct"/>
            <w:tcBorders>
              <w:top w:val="nil"/>
              <w:left w:val="nil"/>
              <w:bottom w:val="nil"/>
              <w:right w:val="nil"/>
            </w:tcBorders>
            <w:shd w:val="clear" w:color="auto" w:fill="auto"/>
            <w:noWrap/>
            <w:vAlign w:val="bottom"/>
            <w:hideMark/>
          </w:tcPr>
          <w:p w14:paraId="1122DA46" w14:textId="1BEEC2D3" w:rsidR="003554A2" w:rsidRPr="008669C3" w:rsidRDefault="003554A2" w:rsidP="003554A2">
            <w:pPr>
              <w:jc w:val="center"/>
              <w:rPr>
                <w:sz w:val="20"/>
                <w:szCs w:val="20"/>
              </w:rPr>
            </w:pPr>
            <w:r w:rsidRPr="008669C3">
              <w:rPr>
                <w:sz w:val="20"/>
                <w:szCs w:val="20"/>
              </w:rPr>
              <w:t>-0.005</w:t>
            </w:r>
          </w:p>
        </w:tc>
        <w:tc>
          <w:tcPr>
            <w:tcW w:w="152" w:type="pct"/>
            <w:tcBorders>
              <w:top w:val="nil"/>
              <w:left w:val="nil"/>
              <w:bottom w:val="nil"/>
              <w:right w:val="nil"/>
            </w:tcBorders>
            <w:shd w:val="clear" w:color="auto" w:fill="auto"/>
            <w:noWrap/>
            <w:vAlign w:val="bottom"/>
            <w:hideMark/>
          </w:tcPr>
          <w:p w14:paraId="011C6A8D"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3A3062C3" w14:textId="03075D22" w:rsidR="003554A2" w:rsidRPr="008669C3" w:rsidRDefault="003554A2" w:rsidP="003554A2">
            <w:pPr>
              <w:jc w:val="center"/>
              <w:rPr>
                <w:sz w:val="20"/>
                <w:szCs w:val="20"/>
              </w:rPr>
            </w:pPr>
            <w:r w:rsidRPr="008669C3">
              <w:rPr>
                <w:sz w:val="20"/>
                <w:szCs w:val="20"/>
              </w:rPr>
              <w:t>0.004</w:t>
            </w:r>
          </w:p>
        </w:tc>
        <w:tc>
          <w:tcPr>
            <w:tcW w:w="896" w:type="pct"/>
            <w:tcBorders>
              <w:top w:val="nil"/>
              <w:left w:val="nil"/>
              <w:bottom w:val="nil"/>
              <w:right w:val="nil"/>
            </w:tcBorders>
            <w:shd w:val="clear" w:color="auto" w:fill="auto"/>
            <w:noWrap/>
            <w:vAlign w:val="bottom"/>
            <w:hideMark/>
          </w:tcPr>
          <w:p w14:paraId="6D49ADE0" w14:textId="49F9A663" w:rsidR="003554A2" w:rsidRPr="008669C3" w:rsidRDefault="003554A2" w:rsidP="003554A2">
            <w:pPr>
              <w:jc w:val="center"/>
              <w:rPr>
                <w:sz w:val="20"/>
                <w:szCs w:val="20"/>
              </w:rPr>
            </w:pPr>
            <w:r w:rsidRPr="008669C3">
              <w:rPr>
                <w:sz w:val="20"/>
                <w:szCs w:val="20"/>
              </w:rPr>
              <w:t>-0.005</w:t>
            </w:r>
          </w:p>
        </w:tc>
      </w:tr>
      <w:tr w:rsidR="003554A2" w:rsidRPr="008669C3" w14:paraId="4AD2A402" w14:textId="77777777" w:rsidTr="00A94131">
        <w:trPr>
          <w:trHeight w:val="225"/>
        </w:trPr>
        <w:tc>
          <w:tcPr>
            <w:tcW w:w="1358" w:type="pct"/>
            <w:tcBorders>
              <w:top w:val="nil"/>
              <w:left w:val="nil"/>
              <w:bottom w:val="nil"/>
              <w:right w:val="nil"/>
            </w:tcBorders>
            <w:shd w:val="clear" w:color="auto" w:fill="auto"/>
            <w:noWrap/>
            <w:vAlign w:val="bottom"/>
            <w:hideMark/>
          </w:tcPr>
          <w:p w14:paraId="2B1A0208" w14:textId="77777777" w:rsidR="003554A2" w:rsidRPr="008669C3" w:rsidRDefault="003554A2" w:rsidP="003554A2">
            <w:pPr>
              <w:jc w:val="center"/>
              <w:rPr>
                <w:sz w:val="20"/>
                <w:szCs w:val="20"/>
              </w:rPr>
            </w:pPr>
          </w:p>
        </w:tc>
        <w:tc>
          <w:tcPr>
            <w:tcW w:w="849" w:type="pct"/>
            <w:tcBorders>
              <w:top w:val="nil"/>
              <w:left w:val="nil"/>
              <w:bottom w:val="nil"/>
              <w:right w:val="nil"/>
            </w:tcBorders>
            <w:shd w:val="clear" w:color="auto" w:fill="auto"/>
            <w:noWrap/>
            <w:vAlign w:val="bottom"/>
            <w:hideMark/>
          </w:tcPr>
          <w:p w14:paraId="1FCCB763" w14:textId="4D2D6BDF" w:rsidR="003554A2" w:rsidRPr="008669C3" w:rsidRDefault="003554A2" w:rsidP="003554A2">
            <w:pPr>
              <w:jc w:val="center"/>
              <w:rPr>
                <w:sz w:val="20"/>
                <w:szCs w:val="20"/>
              </w:rPr>
            </w:pPr>
            <w:r w:rsidRPr="008669C3">
              <w:rPr>
                <w:sz w:val="20"/>
                <w:szCs w:val="20"/>
              </w:rPr>
              <w:t>(0.011)</w:t>
            </w:r>
          </w:p>
        </w:tc>
        <w:tc>
          <w:tcPr>
            <w:tcW w:w="849" w:type="pct"/>
            <w:tcBorders>
              <w:top w:val="nil"/>
              <w:left w:val="nil"/>
              <w:bottom w:val="nil"/>
              <w:right w:val="nil"/>
            </w:tcBorders>
            <w:shd w:val="clear" w:color="auto" w:fill="auto"/>
            <w:noWrap/>
            <w:vAlign w:val="bottom"/>
            <w:hideMark/>
          </w:tcPr>
          <w:p w14:paraId="0BA41993" w14:textId="5020A3D5" w:rsidR="003554A2" w:rsidRPr="008669C3" w:rsidRDefault="003554A2" w:rsidP="003554A2">
            <w:pPr>
              <w:jc w:val="center"/>
              <w:rPr>
                <w:sz w:val="20"/>
                <w:szCs w:val="20"/>
              </w:rPr>
            </w:pPr>
            <w:r w:rsidRPr="008669C3">
              <w:rPr>
                <w:sz w:val="20"/>
                <w:szCs w:val="20"/>
              </w:rPr>
              <w:t>(0.010)</w:t>
            </w:r>
          </w:p>
        </w:tc>
        <w:tc>
          <w:tcPr>
            <w:tcW w:w="152" w:type="pct"/>
            <w:tcBorders>
              <w:top w:val="nil"/>
              <w:left w:val="nil"/>
              <w:bottom w:val="nil"/>
              <w:right w:val="nil"/>
            </w:tcBorders>
            <w:shd w:val="clear" w:color="auto" w:fill="auto"/>
            <w:noWrap/>
            <w:vAlign w:val="bottom"/>
            <w:hideMark/>
          </w:tcPr>
          <w:p w14:paraId="3175D041"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0FC31BC4" w14:textId="3CA51800" w:rsidR="003554A2" w:rsidRPr="008669C3" w:rsidRDefault="003554A2" w:rsidP="003554A2">
            <w:pPr>
              <w:jc w:val="center"/>
              <w:rPr>
                <w:sz w:val="20"/>
                <w:szCs w:val="20"/>
              </w:rPr>
            </w:pPr>
            <w:r w:rsidRPr="008669C3">
              <w:rPr>
                <w:sz w:val="20"/>
                <w:szCs w:val="20"/>
              </w:rPr>
              <w:t>(0.007)</w:t>
            </w:r>
          </w:p>
        </w:tc>
        <w:tc>
          <w:tcPr>
            <w:tcW w:w="896" w:type="pct"/>
            <w:tcBorders>
              <w:top w:val="nil"/>
              <w:left w:val="nil"/>
              <w:bottom w:val="nil"/>
              <w:right w:val="nil"/>
            </w:tcBorders>
            <w:shd w:val="clear" w:color="auto" w:fill="auto"/>
            <w:noWrap/>
            <w:vAlign w:val="bottom"/>
            <w:hideMark/>
          </w:tcPr>
          <w:p w14:paraId="4B0CF2FD" w14:textId="40D5A639" w:rsidR="003554A2" w:rsidRPr="008669C3" w:rsidRDefault="003554A2" w:rsidP="003554A2">
            <w:pPr>
              <w:jc w:val="center"/>
              <w:rPr>
                <w:sz w:val="20"/>
                <w:szCs w:val="20"/>
              </w:rPr>
            </w:pPr>
            <w:r w:rsidRPr="008669C3">
              <w:rPr>
                <w:sz w:val="20"/>
                <w:szCs w:val="20"/>
              </w:rPr>
              <w:t>(0.007)</w:t>
            </w:r>
          </w:p>
        </w:tc>
      </w:tr>
      <w:tr w:rsidR="003554A2" w:rsidRPr="008669C3" w14:paraId="4151DABC" w14:textId="77777777" w:rsidTr="00A94131">
        <w:trPr>
          <w:trHeight w:val="225"/>
        </w:trPr>
        <w:tc>
          <w:tcPr>
            <w:tcW w:w="1358" w:type="pct"/>
            <w:tcBorders>
              <w:top w:val="nil"/>
              <w:left w:val="nil"/>
              <w:bottom w:val="nil"/>
              <w:right w:val="nil"/>
            </w:tcBorders>
            <w:shd w:val="clear" w:color="auto" w:fill="auto"/>
            <w:noWrap/>
            <w:vAlign w:val="bottom"/>
            <w:hideMark/>
          </w:tcPr>
          <w:p w14:paraId="0DEAC13D" w14:textId="77777777" w:rsidR="003554A2" w:rsidRPr="008669C3" w:rsidRDefault="003554A2" w:rsidP="003554A2">
            <w:pPr>
              <w:rPr>
                <w:iCs/>
                <w:sz w:val="20"/>
                <w:szCs w:val="20"/>
              </w:rPr>
            </w:pPr>
            <w:r w:rsidRPr="008669C3">
              <w:rPr>
                <w:iCs/>
                <w:sz w:val="20"/>
                <w:szCs w:val="20"/>
              </w:rPr>
              <w:t>Board independence</w:t>
            </w:r>
          </w:p>
        </w:tc>
        <w:tc>
          <w:tcPr>
            <w:tcW w:w="849" w:type="pct"/>
            <w:tcBorders>
              <w:top w:val="nil"/>
              <w:left w:val="nil"/>
              <w:bottom w:val="nil"/>
              <w:right w:val="nil"/>
            </w:tcBorders>
            <w:shd w:val="clear" w:color="auto" w:fill="auto"/>
            <w:noWrap/>
            <w:vAlign w:val="bottom"/>
            <w:hideMark/>
          </w:tcPr>
          <w:p w14:paraId="0203F2D7" w14:textId="521BB781" w:rsidR="003554A2" w:rsidRPr="008669C3" w:rsidRDefault="003554A2" w:rsidP="003554A2">
            <w:pPr>
              <w:jc w:val="center"/>
              <w:rPr>
                <w:sz w:val="20"/>
                <w:szCs w:val="20"/>
              </w:rPr>
            </w:pPr>
            <w:r w:rsidRPr="008669C3">
              <w:rPr>
                <w:sz w:val="20"/>
                <w:szCs w:val="20"/>
              </w:rPr>
              <w:t>-0.026</w:t>
            </w:r>
          </w:p>
        </w:tc>
        <w:tc>
          <w:tcPr>
            <w:tcW w:w="849" w:type="pct"/>
            <w:tcBorders>
              <w:top w:val="nil"/>
              <w:left w:val="nil"/>
              <w:bottom w:val="nil"/>
              <w:right w:val="nil"/>
            </w:tcBorders>
            <w:shd w:val="clear" w:color="auto" w:fill="auto"/>
            <w:noWrap/>
            <w:vAlign w:val="bottom"/>
            <w:hideMark/>
          </w:tcPr>
          <w:p w14:paraId="6C87E5FD" w14:textId="32F1D6EB" w:rsidR="003554A2" w:rsidRPr="008669C3" w:rsidRDefault="003554A2" w:rsidP="003554A2">
            <w:pPr>
              <w:jc w:val="center"/>
              <w:rPr>
                <w:sz w:val="20"/>
                <w:szCs w:val="20"/>
              </w:rPr>
            </w:pPr>
            <w:r w:rsidRPr="008669C3">
              <w:rPr>
                <w:sz w:val="20"/>
                <w:szCs w:val="20"/>
              </w:rPr>
              <w:t>-0.025</w:t>
            </w:r>
          </w:p>
        </w:tc>
        <w:tc>
          <w:tcPr>
            <w:tcW w:w="152" w:type="pct"/>
            <w:tcBorders>
              <w:top w:val="nil"/>
              <w:left w:val="nil"/>
              <w:bottom w:val="nil"/>
              <w:right w:val="nil"/>
            </w:tcBorders>
            <w:shd w:val="clear" w:color="auto" w:fill="auto"/>
            <w:noWrap/>
            <w:vAlign w:val="bottom"/>
            <w:hideMark/>
          </w:tcPr>
          <w:p w14:paraId="348F0A7B"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6E91ECEB" w14:textId="511B915E" w:rsidR="003554A2" w:rsidRPr="008669C3" w:rsidRDefault="003554A2" w:rsidP="003554A2">
            <w:pPr>
              <w:jc w:val="center"/>
              <w:rPr>
                <w:sz w:val="20"/>
                <w:szCs w:val="20"/>
              </w:rPr>
            </w:pPr>
            <w:r w:rsidRPr="008669C3">
              <w:rPr>
                <w:sz w:val="20"/>
                <w:szCs w:val="20"/>
              </w:rPr>
              <w:t>-0.020</w:t>
            </w:r>
          </w:p>
        </w:tc>
        <w:tc>
          <w:tcPr>
            <w:tcW w:w="896" w:type="pct"/>
            <w:tcBorders>
              <w:top w:val="nil"/>
              <w:left w:val="nil"/>
              <w:bottom w:val="nil"/>
              <w:right w:val="nil"/>
            </w:tcBorders>
            <w:shd w:val="clear" w:color="auto" w:fill="auto"/>
            <w:noWrap/>
            <w:vAlign w:val="bottom"/>
            <w:hideMark/>
          </w:tcPr>
          <w:p w14:paraId="6F3AE436" w14:textId="2E047D9C" w:rsidR="003554A2" w:rsidRPr="008669C3" w:rsidRDefault="003554A2" w:rsidP="003554A2">
            <w:pPr>
              <w:jc w:val="center"/>
              <w:rPr>
                <w:sz w:val="20"/>
                <w:szCs w:val="20"/>
              </w:rPr>
            </w:pPr>
            <w:r w:rsidRPr="008669C3">
              <w:rPr>
                <w:sz w:val="20"/>
                <w:szCs w:val="20"/>
              </w:rPr>
              <w:t>-0.015</w:t>
            </w:r>
          </w:p>
        </w:tc>
      </w:tr>
      <w:tr w:rsidR="003554A2" w:rsidRPr="008669C3" w14:paraId="3A1B1043" w14:textId="77777777" w:rsidTr="00A94131">
        <w:trPr>
          <w:trHeight w:val="225"/>
        </w:trPr>
        <w:tc>
          <w:tcPr>
            <w:tcW w:w="1358" w:type="pct"/>
            <w:tcBorders>
              <w:top w:val="nil"/>
              <w:left w:val="nil"/>
              <w:bottom w:val="nil"/>
              <w:right w:val="nil"/>
            </w:tcBorders>
            <w:shd w:val="clear" w:color="auto" w:fill="auto"/>
            <w:noWrap/>
            <w:vAlign w:val="bottom"/>
            <w:hideMark/>
          </w:tcPr>
          <w:p w14:paraId="7C414685" w14:textId="77777777" w:rsidR="003554A2" w:rsidRPr="008669C3" w:rsidRDefault="003554A2" w:rsidP="003554A2">
            <w:pPr>
              <w:jc w:val="center"/>
              <w:rPr>
                <w:sz w:val="20"/>
                <w:szCs w:val="20"/>
              </w:rPr>
            </w:pPr>
          </w:p>
        </w:tc>
        <w:tc>
          <w:tcPr>
            <w:tcW w:w="849" w:type="pct"/>
            <w:tcBorders>
              <w:top w:val="nil"/>
              <w:left w:val="nil"/>
              <w:bottom w:val="nil"/>
              <w:right w:val="nil"/>
            </w:tcBorders>
            <w:shd w:val="clear" w:color="auto" w:fill="auto"/>
            <w:noWrap/>
            <w:vAlign w:val="bottom"/>
            <w:hideMark/>
          </w:tcPr>
          <w:p w14:paraId="6F3B4F8E" w14:textId="0905D4AF" w:rsidR="003554A2" w:rsidRPr="008669C3" w:rsidRDefault="003554A2" w:rsidP="003554A2">
            <w:pPr>
              <w:jc w:val="center"/>
              <w:rPr>
                <w:sz w:val="20"/>
                <w:szCs w:val="20"/>
              </w:rPr>
            </w:pPr>
            <w:r w:rsidRPr="008669C3">
              <w:rPr>
                <w:sz w:val="20"/>
                <w:szCs w:val="20"/>
              </w:rPr>
              <w:t>(0.016)</w:t>
            </w:r>
          </w:p>
        </w:tc>
        <w:tc>
          <w:tcPr>
            <w:tcW w:w="849" w:type="pct"/>
            <w:tcBorders>
              <w:top w:val="nil"/>
              <w:left w:val="nil"/>
              <w:bottom w:val="nil"/>
              <w:right w:val="nil"/>
            </w:tcBorders>
            <w:shd w:val="clear" w:color="auto" w:fill="auto"/>
            <w:noWrap/>
            <w:vAlign w:val="bottom"/>
            <w:hideMark/>
          </w:tcPr>
          <w:p w14:paraId="5167E283" w14:textId="4FC5C264" w:rsidR="003554A2" w:rsidRPr="008669C3" w:rsidRDefault="003554A2" w:rsidP="003554A2">
            <w:pPr>
              <w:jc w:val="center"/>
              <w:rPr>
                <w:sz w:val="20"/>
                <w:szCs w:val="20"/>
              </w:rPr>
            </w:pPr>
            <w:r w:rsidRPr="008669C3">
              <w:rPr>
                <w:sz w:val="20"/>
                <w:szCs w:val="20"/>
              </w:rPr>
              <w:t>(0.017)</w:t>
            </w:r>
          </w:p>
        </w:tc>
        <w:tc>
          <w:tcPr>
            <w:tcW w:w="152" w:type="pct"/>
            <w:tcBorders>
              <w:top w:val="nil"/>
              <w:left w:val="nil"/>
              <w:bottom w:val="nil"/>
              <w:right w:val="nil"/>
            </w:tcBorders>
            <w:shd w:val="clear" w:color="auto" w:fill="auto"/>
            <w:noWrap/>
            <w:vAlign w:val="bottom"/>
            <w:hideMark/>
          </w:tcPr>
          <w:p w14:paraId="19699309"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023A72C6" w14:textId="797B705F" w:rsidR="003554A2" w:rsidRPr="008669C3" w:rsidRDefault="003554A2" w:rsidP="003554A2">
            <w:pPr>
              <w:jc w:val="center"/>
              <w:rPr>
                <w:sz w:val="20"/>
                <w:szCs w:val="20"/>
              </w:rPr>
            </w:pPr>
            <w:r w:rsidRPr="008669C3">
              <w:rPr>
                <w:sz w:val="20"/>
                <w:szCs w:val="20"/>
              </w:rPr>
              <w:t>(0.012)</w:t>
            </w:r>
          </w:p>
        </w:tc>
        <w:tc>
          <w:tcPr>
            <w:tcW w:w="896" w:type="pct"/>
            <w:tcBorders>
              <w:top w:val="nil"/>
              <w:left w:val="nil"/>
              <w:bottom w:val="nil"/>
              <w:right w:val="nil"/>
            </w:tcBorders>
            <w:shd w:val="clear" w:color="auto" w:fill="auto"/>
            <w:noWrap/>
            <w:vAlign w:val="bottom"/>
            <w:hideMark/>
          </w:tcPr>
          <w:p w14:paraId="1751D9BE" w14:textId="1278FB44" w:rsidR="003554A2" w:rsidRPr="008669C3" w:rsidRDefault="003554A2" w:rsidP="003554A2">
            <w:pPr>
              <w:jc w:val="center"/>
              <w:rPr>
                <w:sz w:val="20"/>
                <w:szCs w:val="20"/>
              </w:rPr>
            </w:pPr>
            <w:r w:rsidRPr="008669C3">
              <w:rPr>
                <w:sz w:val="20"/>
                <w:szCs w:val="20"/>
              </w:rPr>
              <w:t>(0.013)</w:t>
            </w:r>
          </w:p>
        </w:tc>
      </w:tr>
      <w:tr w:rsidR="003554A2" w:rsidRPr="008669C3" w14:paraId="10960DEC" w14:textId="77777777" w:rsidTr="00A94131">
        <w:trPr>
          <w:trHeight w:val="225"/>
        </w:trPr>
        <w:tc>
          <w:tcPr>
            <w:tcW w:w="1358" w:type="pct"/>
            <w:tcBorders>
              <w:top w:val="nil"/>
              <w:left w:val="nil"/>
              <w:bottom w:val="nil"/>
              <w:right w:val="nil"/>
            </w:tcBorders>
            <w:shd w:val="clear" w:color="auto" w:fill="auto"/>
            <w:noWrap/>
            <w:vAlign w:val="bottom"/>
            <w:hideMark/>
          </w:tcPr>
          <w:p w14:paraId="3B4BBAB3" w14:textId="77777777" w:rsidR="003554A2" w:rsidRPr="008669C3" w:rsidRDefault="003554A2" w:rsidP="003554A2">
            <w:pPr>
              <w:rPr>
                <w:iCs/>
                <w:sz w:val="20"/>
                <w:szCs w:val="20"/>
              </w:rPr>
            </w:pPr>
            <w:r w:rsidRPr="008669C3">
              <w:rPr>
                <w:iCs/>
                <w:sz w:val="20"/>
                <w:szCs w:val="20"/>
              </w:rPr>
              <w:t>Institutional ownership</w:t>
            </w:r>
          </w:p>
        </w:tc>
        <w:tc>
          <w:tcPr>
            <w:tcW w:w="849" w:type="pct"/>
            <w:tcBorders>
              <w:top w:val="nil"/>
              <w:left w:val="nil"/>
              <w:bottom w:val="nil"/>
              <w:right w:val="nil"/>
            </w:tcBorders>
            <w:shd w:val="clear" w:color="auto" w:fill="auto"/>
            <w:noWrap/>
            <w:vAlign w:val="bottom"/>
            <w:hideMark/>
          </w:tcPr>
          <w:p w14:paraId="63462F21" w14:textId="6FB3BB71" w:rsidR="003554A2" w:rsidRPr="008669C3" w:rsidRDefault="003554A2" w:rsidP="003554A2">
            <w:pPr>
              <w:jc w:val="center"/>
              <w:rPr>
                <w:sz w:val="20"/>
                <w:szCs w:val="20"/>
              </w:rPr>
            </w:pPr>
            <w:r w:rsidRPr="008669C3">
              <w:rPr>
                <w:sz w:val="20"/>
                <w:szCs w:val="20"/>
              </w:rPr>
              <w:t>0.009</w:t>
            </w:r>
          </w:p>
        </w:tc>
        <w:tc>
          <w:tcPr>
            <w:tcW w:w="849" w:type="pct"/>
            <w:tcBorders>
              <w:top w:val="nil"/>
              <w:left w:val="nil"/>
              <w:bottom w:val="nil"/>
              <w:right w:val="nil"/>
            </w:tcBorders>
            <w:shd w:val="clear" w:color="auto" w:fill="auto"/>
            <w:noWrap/>
            <w:vAlign w:val="bottom"/>
            <w:hideMark/>
          </w:tcPr>
          <w:p w14:paraId="168AF77B" w14:textId="4D083E8A" w:rsidR="003554A2" w:rsidRPr="008669C3" w:rsidRDefault="003554A2" w:rsidP="003554A2">
            <w:pPr>
              <w:jc w:val="center"/>
              <w:rPr>
                <w:sz w:val="20"/>
                <w:szCs w:val="20"/>
              </w:rPr>
            </w:pPr>
            <w:r w:rsidRPr="008669C3">
              <w:rPr>
                <w:sz w:val="20"/>
                <w:szCs w:val="20"/>
              </w:rPr>
              <w:t>0.004</w:t>
            </w:r>
          </w:p>
        </w:tc>
        <w:tc>
          <w:tcPr>
            <w:tcW w:w="152" w:type="pct"/>
            <w:tcBorders>
              <w:top w:val="nil"/>
              <w:left w:val="nil"/>
              <w:bottom w:val="nil"/>
              <w:right w:val="nil"/>
            </w:tcBorders>
            <w:shd w:val="clear" w:color="auto" w:fill="auto"/>
            <w:noWrap/>
            <w:vAlign w:val="bottom"/>
            <w:hideMark/>
          </w:tcPr>
          <w:p w14:paraId="6C44F223"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2C0A1B5B" w14:textId="45216A30" w:rsidR="003554A2" w:rsidRPr="008669C3" w:rsidRDefault="003554A2" w:rsidP="003554A2">
            <w:pPr>
              <w:jc w:val="center"/>
              <w:rPr>
                <w:sz w:val="20"/>
                <w:szCs w:val="20"/>
              </w:rPr>
            </w:pPr>
            <w:r w:rsidRPr="008669C3">
              <w:rPr>
                <w:sz w:val="20"/>
                <w:szCs w:val="20"/>
              </w:rPr>
              <w:t>0.001</w:t>
            </w:r>
          </w:p>
        </w:tc>
        <w:tc>
          <w:tcPr>
            <w:tcW w:w="896" w:type="pct"/>
            <w:tcBorders>
              <w:top w:val="nil"/>
              <w:left w:val="nil"/>
              <w:bottom w:val="nil"/>
              <w:right w:val="nil"/>
            </w:tcBorders>
            <w:shd w:val="clear" w:color="auto" w:fill="auto"/>
            <w:noWrap/>
            <w:vAlign w:val="bottom"/>
            <w:hideMark/>
          </w:tcPr>
          <w:p w14:paraId="1AC8489A" w14:textId="73041406" w:rsidR="003554A2" w:rsidRPr="008669C3" w:rsidRDefault="003554A2" w:rsidP="003554A2">
            <w:pPr>
              <w:jc w:val="center"/>
              <w:rPr>
                <w:sz w:val="20"/>
                <w:szCs w:val="20"/>
              </w:rPr>
            </w:pPr>
            <w:r w:rsidRPr="008669C3">
              <w:rPr>
                <w:sz w:val="20"/>
                <w:szCs w:val="20"/>
              </w:rPr>
              <w:t>0.001</w:t>
            </w:r>
          </w:p>
        </w:tc>
      </w:tr>
      <w:tr w:rsidR="003554A2" w:rsidRPr="008669C3" w14:paraId="2F97E4C0" w14:textId="77777777" w:rsidTr="00A94131">
        <w:trPr>
          <w:trHeight w:val="225"/>
        </w:trPr>
        <w:tc>
          <w:tcPr>
            <w:tcW w:w="1358" w:type="pct"/>
            <w:tcBorders>
              <w:top w:val="nil"/>
              <w:left w:val="nil"/>
              <w:bottom w:val="nil"/>
              <w:right w:val="nil"/>
            </w:tcBorders>
            <w:shd w:val="clear" w:color="auto" w:fill="auto"/>
            <w:noWrap/>
            <w:vAlign w:val="bottom"/>
            <w:hideMark/>
          </w:tcPr>
          <w:p w14:paraId="67A0BF45" w14:textId="77777777" w:rsidR="003554A2" w:rsidRPr="008669C3" w:rsidRDefault="003554A2" w:rsidP="003554A2">
            <w:pPr>
              <w:jc w:val="center"/>
              <w:rPr>
                <w:sz w:val="20"/>
                <w:szCs w:val="20"/>
              </w:rPr>
            </w:pPr>
          </w:p>
        </w:tc>
        <w:tc>
          <w:tcPr>
            <w:tcW w:w="849" w:type="pct"/>
            <w:tcBorders>
              <w:top w:val="nil"/>
              <w:left w:val="nil"/>
              <w:bottom w:val="nil"/>
              <w:right w:val="nil"/>
            </w:tcBorders>
            <w:shd w:val="clear" w:color="auto" w:fill="auto"/>
            <w:noWrap/>
            <w:vAlign w:val="bottom"/>
            <w:hideMark/>
          </w:tcPr>
          <w:p w14:paraId="1CD69E2C" w14:textId="3A01FD6B" w:rsidR="003554A2" w:rsidRPr="008669C3" w:rsidRDefault="003554A2" w:rsidP="003554A2">
            <w:pPr>
              <w:jc w:val="center"/>
              <w:rPr>
                <w:sz w:val="20"/>
                <w:szCs w:val="20"/>
              </w:rPr>
            </w:pPr>
            <w:r w:rsidRPr="008669C3">
              <w:rPr>
                <w:sz w:val="20"/>
                <w:szCs w:val="20"/>
              </w:rPr>
              <w:t>(0.017)</w:t>
            </w:r>
          </w:p>
        </w:tc>
        <w:tc>
          <w:tcPr>
            <w:tcW w:w="849" w:type="pct"/>
            <w:tcBorders>
              <w:top w:val="nil"/>
              <w:left w:val="nil"/>
              <w:bottom w:val="nil"/>
              <w:right w:val="nil"/>
            </w:tcBorders>
            <w:shd w:val="clear" w:color="auto" w:fill="auto"/>
            <w:noWrap/>
            <w:vAlign w:val="bottom"/>
            <w:hideMark/>
          </w:tcPr>
          <w:p w14:paraId="707ECB3C" w14:textId="043A5A6A" w:rsidR="003554A2" w:rsidRPr="008669C3" w:rsidRDefault="003554A2" w:rsidP="003554A2">
            <w:pPr>
              <w:jc w:val="center"/>
              <w:rPr>
                <w:sz w:val="20"/>
                <w:szCs w:val="20"/>
              </w:rPr>
            </w:pPr>
            <w:r w:rsidRPr="008669C3">
              <w:rPr>
                <w:sz w:val="20"/>
                <w:szCs w:val="20"/>
              </w:rPr>
              <w:t>(0.018)</w:t>
            </w:r>
          </w:p>
        </w:tc>
        <w:tc>
          <w:tcPr>
            <w:tcW w:w="152" w:type="pct"/>
            <w:tcBorders>
              <w:top w:val="nil"/>
              <w:left w:val="nil"/>
              <w:bottom w:val="nil"/>
              <w:right w:val="nil"/>
            </w:tcBorders>
            <w:shd w:val="clear" w:color="auto" w:fill="auto"/>
            <w:noWrap/>
            <w:vAlign w:val="bottom"/>
            <w:hideMark/>
          </w:tcPr>
          <w:p w14:paraId="4B47A10D"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15FA4B10" w14:textId="3EF56038" w:rsidR="003554A2" w:rsidRPr="008669C3" w:rsidRDefault="003554A2" w:rsidP="003554A2">
            <w:pPr>
              <w:jc w:val="center"/>
              <w:rPr>
                <w:sz w:val="20"/>
                <w:szCs w:val="20"/>
              </w:rPr>
            </w:pPr>
            <w:r w:rsidRPr="008669C3">
              <w:rPr>
                <w:sz w:val="20"/>
                <w:szCs w:val="20"/>
              </w:rPr>
              <w:t>(0.014)</w:t>
            </w:r>
          </w:p>
        </w:tc>
        <w:tc>
          <w:tcPr>
            <w:tcW w:w="896" w:type="pct"/>
            <w:tcBorders>
              <w:top w:val="nil"/>
              <w:left w:val="nil"/>
              <w:bottom w:val="nil"/>
              <w:right w:val="nil"/>
            </w:tcBorders>
            <w:shd w:val="clear" w:color="auto" w:fill="auto"/>
            <w:noWrap/>
            <w:vAlign w:val="bottom"/>
            <w:hideMark/>
          </w:tcPr>
          <w:p w14:paraId="3E1E6866" w14:textId="4F768385" w:rsidR="003554A2" w:rsidRPr="008669C3" w:rsidRDefault="003554A2" w:rsidP="003554A2">
            <w:pPr>
              <w:jc w:val="center"/>
              <w:rPr>
                <w:sz w:val="20"/>
                <w:szCs w:val="20"/>
              </w:rPr>
            </w:pPr>
            <w:r w:rsidRPr="008669C3">
              <w:rPr>
                <w:sz w:val="20"/>
                <w:szCs w:val="20"/>
              </w:rPr>
              <w:t>(0.014)</w:t>
            </w:r>
          </w:p>
        </w:tc>
      </w:tr>
      <w:tr w:rsidR="003554A2" w:rsidRPr="008669C3" w14:paraId="3DFE90DE" w14:textId="77777777" w:rsidTr="00A94131">
        <w:trPr>
          <w:trHeight w:val="225"/>
        </w:trPr>
        <w:tc>
          <w:tcPr>
            <w:tcW w:w="1358" w:type="pct"/>
            <w:tcBorders>
              <w:top w:val="nil"/>
              <w:left w:val="nil"/>
              <w:right w:val="nil"/>
            </w:tcBorders>
            <w:shd w:val="clear" w:color="auto" w:fill="auto"/>
            <w:noWrap/>
            <w:vAlign w:val="bottom"/>
            <w:hideMark/>
          </w:tcPr>
          <w:p w14:paraId="712F6F77" w14:textId="77777777" w:rsidR="003554A2" w:rsidRPr="008669C3" w:rsidRDefault="003554A2" w:rsidP="003554A2">
            <w:pPr>
              <w:rPr>
                <w:iCs/>
                <w:sz w:val="20"/>
                <w:szCs w:val="20"/>
              </w:rPr>
            </w:pPr>
            <w:r w:rsidRPr="008669C3">
              <w:rPr>
                <w:iCs/>
                <w:sz w:val="20"/>
                <w:szCs w:val="20"/>
              </w:rPr>
              <w:t>E index</w:t>
            </w:r>
          </w:p>
        </w:tc>
        <w:tc>
          <w:tcPr>
            <w:tcW w:w="849" w:type="pct"/>
            <w:tcBorders>
              <w:top w:val="nil"/>
              <w:left w:val="nil"/>
              <w:right w:val="nil"/>
            </w:tcBorders>
            <w:shd w:val="clear" w:color="auto" w:fill="auto"/>
            <w:noWrap/>
            <w:vAlign w:val="bottom"/>
            <w:hideMark/>
          </w:tcPr>
          <w:p w14:paraId="43D420A4" w14:textId="7712A94C" w:rsidR="003554A2" w:rsidRPr="008669C3" w:rsidRDefault="003554A2" w:rsidP="003554A2">
            <w:pPr>
              <w:jc w:val="center"/>
              <w:rPr>
                <w:sz w:val="20"/>
                <w:szCs w:val="20"/>
              </w:rPr>
            </w:pPr>
            <w:r w:rsidRPr="008669C3">
              <w:rPr>
                <w:sz w:val="20"/>
                <w:szCs w:val="20"/>
              </w:rPr>
              <w:t>-0.001</w:t>
            </w:r>
          </w:p>
        </w:tc>
        <w:tc>
          <w:tcPr>
            <w:tcW w:w="849" w:type="pct"/>
            <w:tcBorders>
              <w:top w:val="nil"/>
              <w:left w:val="nil"/>
              <w:right w:val="nil"/>
            </w:tcBorders>
            <w:shd w:val="clear" w:color="auto" w:fill="auto"/>
            <w:noWrap/>
            <w:vAlign w:val="bottom"/>
            <w:hideMark/>
          </w:tcPr>
          <w:p w14:paraId="3BF50985" w14:textId="6E33D926" w:rsidR="003554A2" w:rsidRPr="008669C3" w:rsidRDefault="003554A2" w:rsidP="003554A2">
            <w:pPr>
              <w:jc w:val="center"/>
              <w:rPr>
                <w:sz w:val="20"/>
                <w:szCs w:val="20"/>
              </w:rPr>
            </w:pPr>
            <w:r w:rsidRPr="008669C3">
              <w:rPr>
                <w:sz w:val="20"/>
                <w:szCs w:val="20"/>
              </w:rPr>
              <w:t>0.001</w:t>
            </w:r>
          </w:p>
        </w:tc>
        <w:tc>
          <w:tcPr>
            <w:tcW w:w="152" w:type="pct"/>
            <w:tcBorders>
              <w:top w:val="nil"/>
              <w:left w:val="nil"/>
              <w:right w:val="nil"/>
            </w:tcBorders>
            <w:shd w:val="clear" w:color="auto" w:fill="auto"/>
            <w:noWrap/>
            <w:vAlign w:val="bottom"/>
            <w:hideMark/>
          </w:tcPr>
          <w:p w14:paraId="427B1A45" w14:textId="77777777" w:rsidR="003554A2" w:rsidRPr="008669C3" w:rsidRDefault="003554A2" w:rsidP="003554A2">
            <w:pPr>
              <w:jc w:val="center"/>
              <w:rPr>
                <w:sz w:val="20"/>
                <w:szCs w:val="20"/>
              </w:rPr>
            </w:pPr>
          </w:p>
        </w:tc>
        <w:tc>
          <w:tcPr>
            <w:tcW w:w="896" w:type="pct"/>
            <w:tcBorders>
              <w:top w:val="nil"/>
              <w:left w:val="nil"/>
              <w:right w:val="nil"/>
            </w:tcBorders>
            <w:shd w:val="clear" w:color="auto" w:fill="auto"/>
            <w:noWrap/>
            <w:vAlign w:val="bottom"/>
            <w:hideMark/>
          </w:tcPr>
          <w:p w14:paraId="07AB9293" w14:textId="6C98849C" w:rsidR="003554A2" w:rsidRPr="008669C3" w:rsidRDefault="003554A2" w:rsidP="003554A2">
            <w:pPr>
              <w:jc w:val="center"/>
              <w:rPr>
                <w:sz w:val="20"/>
                <w:szCs w:val="20"/>
              </w:rPr>
            </w:pPr>
            <w:r w:rsidRPr="008669C3">
              <w:rPr>
                <w:sz w:val="20"/>
                <w:szCs w:val="20"/>
              </w:rPr>
              <w:t>-0.001</w:t>
            </w:r>
          </w:p>
        </w:tc>
        <w:tc>
          <w:tcPr>
            <w:tcW w:w="896" w:type="pct"/>
            <w:tcBorders>
              <w:top w:val="nil"/>
              <w:left w:val="nil"/>
              <w:right w:val="nil"/>
            </w:tcBorders>
            <w:shd w:val="clear" w:color="auto" w:fill="auto"/>
            <w:noWrap/>
            <w:vAlign w:val="bottom"/>
            <w:hideMark/>
          </w:tcPr>
          <w:p w14:paraId="5C22CC25" w14:textId="36ED064B" w:rsidR="003554A2" w:rsidRPr="008669C3" w:rsidRDefault="003554A2" w:rsidP="003554A2">
            <w:pPr>
              <w:jc w:val="center"/>
              <w:rPr>
                <w:sz w:val="20"/>
                <w:szCs w:val="20"/>
              </w:rPr>
            </w:pPr>
            <w:r w:rsidRPr="008669C3">
              <w:rPr>
                <w:sz w:val="20"/>
                <w:szCs w:val="20"/>
              </w:rPr>
              <w:t>0.001</w:t>
            </w:r>
          </w:p>
        </w:tc>
      </w:tr>
      <w:tr w:rsidR="003554A2" w:rsidRPr="008669C3" w14:paraId="10B8EA36" w14:textId="77777777" w:rsidTr="00A94131">
        <w:trPr>
          <w:trHeight w:val="225"/>
        </w:trPr>
        <w:tc>
          <w:tcPr>
            <w:tcW w:w="1358" w:type="pct"/>
            <w:tcBorders>
              <w:top w:val="nil"/>
              <w:left w:val="nil"/>
              <w:bottom w:val="single" w:sz="4" w:space="0" w:color="auto"/>
              <w:right w:val="nil"/>
            </w:tcBorders>
            <w:shd w:val="clear" w:color="auto" w:fill="auto"/>
            <w:noWrap/>
            <w:vAlign w:val="center"/>
            <w:hideMark/>
          </w:tcPr>
          <w:p w14:paraId="6A085DED" w14:textId="77777777" w:rsidR="003554A2" w:rsidRPr="008669C3" w:rsidRDefault="003554A2" w:rsidP="003554A2">
            <w:pPr>
              <w:jc w:val="center"/>
              <w:rPr>
                <w:sz w:val="20"/>
                <w:szCs w:val="20"/>
              </w:rPr>
            </w:pPr>
          </w:p>
        </w:tc>
        <w:tc>
          <w:tcPr>
            <w:tcW w:w="849" w:type="pct"/>
            <w:tcBorders>
              <w:top w:val="nil"/>
              <w:left w:val="nil"/>
              <w:bottom w:val="single" w:sz="4" w:space="0" w:color="auto"/>
              <w:right w:val="nil"/>
            </w:tcBorders>
            <w:shd w:val="clear" w:color="auto" w:fill="auto"/>
            <w:noWrap/>
            <w:vAlign w:val="bottom"/>
            <w:hideMark/>
          </w:tcPr>
          <w:p w14:paraId="5E083FA9" w14:textId="1B74E92E" w:rsidR="003554A2" w:rsidRPr="008669C3" w:rsidRDefault="003554A2" w:rsidP="003554A2">
            <w:pPr>
              <w:jc w:val="center"/>
              <w:rPr>
                <w:sz w:val="20"/>
                <w:szCs w:val="20"/>
              </w:rPr>
            </w:pPr>
            <w:r w:rsidRPr="008669C3">
              <w:rPr>
                <w:sz w:val="20"/>
                <w:szCs w:val="20"/>
              </w:rPr>
              <w:t>(0.002)</w:t>
            </w:r>
          </w:p>
        </w:tc>
        <w:tc>
          <w:tcPr>
            <w:tcW w:w="849" w:type="pct"/>
            <w:tcBorders>
              <w:top w:val="nil"/>
              <w:left w:val="nil"/>
              <w:bottom w:val="single" w:sz="4" w:space="0" w:color="auto"/>
              <w:right w:val="nil"/>
            </w:tcBorders>
            <w:shd w:val="clear" w:color="auto" w:fill="auto"/>
            <w:noWrap/>
            <w:vAlign w:val="bottom"/>
            <w:hideMark/>
          </w:tcPr>
          <w:p w14:paraId="7D7F2C2E" w14:textId="0FA08B77" w:rsidR="003554A2" w:rsidRPr="008669C3" w:rsidRDefault="003554A2" w:rsidP="003554A2">
            <w:pPr>
              <w:jc w:val="center"/>
              <w:rPr>
                <w:sz w:val="20"/>
                <w:szCs w:val="20"/>
              </w:rPr>
            </w:pPr>
            <w:r w:rsidRPr="008669C3">
              <w:rPr>
                <w:sz w:val="20"/>
                <w:szCs w:val="20"/>
              </w:rPr>
              <w:t>(0.002)</w:t>
            </w:r>
          </w:p>
        </w:tc>
        <w:tc>
          <w:tcPr>
            <w:tcW w:w="152" w:type="pct"/>
            <w:tcBorders>
              <w:top w:val="nil"/>
              <w:left w:val="nil"/>
              <w:bottom w:val="single" w:sz="4" w:space="0" w:color="auto"/>
              <w:right w:val="nil"/>
            </w:tcBorders>
            <w:shd w:val="clear" w:color="auto" w:fill="auto"/>
            <w:noWrap/>
            <w:vAlign w:val="bottom"/>
            <w:hideMark/>
          </w:tcPr>
          <w:p w14:paraId="12CECF3C" w14:textId="77777777" w:rsidR="003554A2" w:rsidRPr="008669C3" w:rsidRDefault="003554A2" w:rsidP="003554A2">
            <w:pPr>
              <w:jc w:val="center"/>
              <w:rPr>
                <w:sz w:val="20"/>
                <w:szCs w:val="20"/>
              </w:rPr>
            </w:pPr>
          </w:p>
        </w:tc>
        <w:tc>
          <w:tcPr>
            <w:tcW w:w="896" w:type="pct"/>
            <w:tcBorders>
              <w:top w:val="nil"/>
              <w:left w:val="nil"/>
              <w:bottom w:val="single" w:sz="4" w:space="0" w:color="auto"/>
              <w:right w:val="nil"/>
            </w:tcBorders>
            <w:shd w:val="clear" w:color="auto" w:fill="auto"/>
            <w:noWrap/>
            <w:vAlign w:val="bottom"/>
            <w:hideMark/>
          </w:tcPr>
          <w:p w14:paraId="22F0E147" w14:textId="00B65E6D" w:rsidR="003554A2" w:rsidRPr="008669C3" w:rsidRDefault="003554A2" w:rsidP="003554A2">
            <w:pPr>
              <w:jc w:val="center"/>
              <w:rPr>
                <w:sz w:val="20"/>
                <w:szCs w:val="20"/>
              </w:rPr>
            </w:pPr>
            <w:r w:rsidRPr="008669C3">
              <w:rPr>
                <w:sz w:val="20"/>
                <w:szCs w:val="20"/>
              </w:rPr>
              <w:t>(0.001)</w:t>
            </w:r>
          </w:p>
        </w:tc>
        <w:tc>
          <w:tcPr>
            <w:tcW w:w="896" w:type="pct"/>
            <w:tcBorders>
              <w:top w:val="nil"/>
              <w:left w:val="nil"/>
              <w:bottom w:val="single" w:sz="4" w:space="0" w:color="auto"/>
              <w:right w:val="nil"/>
            </w:tcBorders>
            <w:shd w:val="clear" w:color="auto" w:fill="auto"/>
            <w:noWrap/>
            <w:vAlign w:val="bottom"/>
            <w:hideMark/>
          </w:tcPr>
          <w:p w14:paraId="0DFF2847" w14:textId="18E9792E" w:rsidR="003554A2" w:rsidRPr="008669C3" w:rsidRDefault="003554A2" w:rsidP="003554A2">
            <w:pPr>
              <w:jc w:val="center"/>
              <w:rPr>
                <w:sz w:val="20"/>
                <w:szCs w:val="20"/>
              </w:rPr>
            </w:pPr>
            <w:r w:rsidRPr="008669C3">
              <w:rPr>
                <w:sz w:val="20"/>
                <w:szCs w:val="20"/>
              </w:rPr>
              <w:t>(0.001)</w:t>
            </w:r>
          </w:p>
        </w:tc>
      </w:tr>
      <w:tr w:rsidR="003554A2" w:rsidRPr="008669C3" w14:paraId="447167D7" w14:textId="77777777" w:rsidTr="003554A2">
        <w:trPr>
          <w:trHeight w:val="225"/>
        </w:trPr>
        <w:tc>
          <w:tcPr>
            <w:tcW w:w="1358" w:type="pct"/>
            <w:tcBorders>
              <w:top w:val="single" w:sz="4" w:space="0" w:color="auto"/>
              <w:left w:val="nil"/>
              <w:bottom w:val="nil"/>
              <w:right w:val="nil"/>
            </w:tcBorders>
            <w:shd w:val="clear" w:color="auto" w:fill="auto"/>
            <w:noWrap/>
            <w:vAlign w:val="center"/>
            <w:hideMark/>
          </w:tcPr>
          <w:p w14:paraId="20FDD8DC" w14:textId="77777777" w:rsidR="003554A2" w:rsidRPr="008669C3" w:rsidRDefault="003554A2" w:rsidP="003554A2">
            <w:pPr>
              <w:rPr>
                <w:sz w:val="20"/>
                <w:szCs w:val="20"/>
              </w:rPr>
            </w:pPr>
            <w:r w:rsidRPr="008669C3">
              <w:rPr>
                <w:sz w:val="20"/>
                <w:szCs w:val="20"/>
              </w:rPr>
              <w:t>Firm FE</w:t>
            </w:r>
          </w:p>
        </w:tc>
        <w:tc>
          <w:tcPr>
            <w:tcW w:w="849" w:type="pct"/>
            <w:tcBorders>
              <w:top w:val="single" w:sz="4" w:space="0" w:color="auto"/>
              <w:left w:val="nil"/>
              <w:bottom w:val="nil"/>
              <w:right w:val="nil"/>
            </w:tcBorders>
            <w:shd w:val="clear" w:color="auto" w:fill="auto"/>
            <w:noWrap/>
            <w:vAlign w:val="bottom"/>
            <w:hideMark/>
          </w:tcPr>
          <w:p w14:paraId="45752F16" w14:textId="0964E453" w:rsidR="003554A2" w:rsidRPr="008669C3" w:rsidRDefault="003554A2" w:rsidP="003554A2">
            <w:pPr>
              <w:jc w:val="center"/>
              <w:rPr>
                <w:sz w:val="20"/>
                <w:szCs w:val="20"/>
              </w:rPr>
            </w:pPr>
            <w:r w:rsidRPr="008669C3">
              <w:rPr>
                <w:sz w:val="20"/>
                <w:szCs w:val="20"/>
              </w:rPr>
              <w:t>Yes</w:t>
            </w:r>
          </w:p>
        </w:tc>
        <w:tc>
          <w:tcPr>
            <w:tcW w:w="849" w:type="pct"/>
            <w:tcBorders>
              <w:top w:val="single" w:sz="4" w:space="0" w:color="auto"/>
              <w:left w:val="nil"/>
              <w:bottom w:val="nil"/>
              <w:right w:val="nil"/>
            </w:tcBorders>
            <w:shd w:val="clear" w:color="auto" w:fill="auto"/>
            <w:noWrap/>
            <w:vAlign w:val="bottom"/>
            <w:hideMark/>
          </w:tcPr>
          <w:p w14:paraId="3B9C3D8D" w14:textId="13283F2C" w:rsidR="003554A2" w:rsidRPr="008669C3" w:rsidRDefault="003554A2" w:rsidP="003554A2">
            <w:pPr>
              <w:jc w:val="center"/>
              <w:rPr>
                <w:sz w:val="20"/>
                <w:szCs w:val="20"/>
              </w:rPr>
            </w:pPr>
            <w:r w:rsidRPr="008669C3">
              <w:rPr>
                <w:sz w:val="20"/>
                <w:szCs w:val="20"/>
              </w:rPr>
              <w:t>No</w:t>
            </w:r>
          </w:p>
        </w:tc>
        <w:tc>
          <w:tcPr>
            <w:tcW w:w="152" w:type="pct"/>
            <w:tcBorders>
              <w:top w:val="single" w:sz="4" w:space="0" w:color="auto"/>
              <w:left w:val="nil"/>
              <w:bottom w:val="nil"/>
              <w:right w:val="nil"/>
            </w:tcBorders>
            <w:shd w:val="clear" w:color="auto" w:fill="auto"/>
            <w:noWrap/>
            <w:vAlign w:val="bottom"/>
            <w:hideMark/>
          </w:tcPr>
          <w:p w14:paraId="73F22CE6" w14:textId="77777777" w:rsidR="003554A2" w:rsidRPr="008669C3" w:rsidRDefault="003554A2" w:rsidP="003554A2">
            <w:pPr>
              <w:jc w:val="center"/>
              <w:rPr>
                <w:sz w:val="20"/>
                <w:szCs w:val="20"/>
              </w:rPr>
            </w:pPr>
          </w:p>
        </w:tc>
        <w:tc>
          <w:tcPr>
            <w:tcW w:w="896" w:type="pct"/>
            <w:tcBorders>
              <w:top w:val="single" w:sz="4" w:space="0" w:color="auto"/>
              <w:left w:val="nil"/>
              <w:bottom w:val="nil"/>
              <w:right w:val="nil"/>
            </w:tcBorders>
            <w:shd w:val="clear" w:color="auto" w:fill="auto"/>
            <w:noWrap/>
            <w:vAlign w:val="bottom"/>
            <w:hideMark/>
          </w:tcPr>
          <w:p w14:paraId="2CB17C3A" w14:textId="3F44C2D7" w:rsidR="003554A2" w:rsidRPr="008669C3" w:rsidRDefault="003554A2" w:rsidP="003554A2">
            <w:pPr>
              <w:jc w:val="center"/>
              <w:rPr>
                <w:sz w:val="20"/>
                <w:szCs w:val="20"/>
              </w:rPr>
            </w:pPr>
            <w:r w:rsidRPr="008669C3">
              <w:rPr>
                <w:sz w:val="20"/>
                <w:szCs w:val="20"/>
              </w:rPr>
              <w:t>Yes</w:t>
            </w:r>
          </w:p>
        </w:tc>
        <w:tc>
          <w:tcPr>
            <w:tcW w:w="896" w:type="pct"/>
            <w:tcBorders>
              <w:top w:val="single" w:sz="4" w:space="0" w:color="auto"/>
              <w:left w:val="nil"/>
              <w:bottom w:val="nil"/>
              <w:right w:val="nil"/>
            </w:tcBorders>
            <w:shd w:val="clear" w:color="auto" w:fill="auto"/>
            <w:noWrap/>
            <w:vAlign w:val="bottom"/>
            <w:hideMark/>
          </w:tcPr>
          <w:p w14:paraId="2FF77C89" w14:textId="2839ADE9" w:rsidR="003554A2" w:rsidRPr="008669C3" w:rsidRDefault="003554A2" w:rsidP="003554A2">
            <w:pPr>
              <w:jc w:val="center"/>
              <w:rPr>
                <w:sz w:val="20"/>
                <w:szCs w:val="20"/>
              </w:rPr>
            </w:pPr>
            <w:r w:rsidRPr="008669C3">
              <w:rPr>
                <w:sz w:val="20"/>
                <w:szCs w:val="20"/>
              </w:rPr>
              <w:t>No</w:t>
            </w:r>
          </w:p>
        </w:tc>
      </w:tr>
      <w:tr w:rsidR="003554A2" w:rsidRPr="008669C3" w14:paraId="1FED0638" w14:textId="77777777" w:rsidTr="003554A2">
        <w:trPr>
          <w:trHeight w:val="225"/>
        </w:trPr>
        <w:tc>
          <w:tcPr>
            <w:tcW w:w="1358" w:type="pct"/>
            <w:tcBorders>
              <w:top w:val="nil"/>
              <w:left w:val="nil"/>
              <w:bottom w:val="nil"/>
              <w:right w:val="nil"/>
            </w:tcBorders>
            <w:shd w:val="clear" w:color="auto" w:fill="auto"/>
            <w:noWrap/>
            <w:vAlign w:val="center"/>
            <w:hideMark/>
          </w:tcPr>
          <w:p w14:paraId="4DA9754D" w14:textId="77777777" w:rsidR="003554A2" w:rsidRPr="008669C3" w:rsidRDefault="003554A2" w:rsidP="003554A2">
            <w:pPr>
              <w:rPr>
                <w:sz w:val="20"/>
                <w:szCs w:val="20"/>
              </w:rPr>
            </w:pPr>
            <w:r w:rsidRPr="008669C3">
              <w:rPr>
                <w:sz w:val="20"/>
                <w:szCs w:val="20"/>
              </w:rPr>
              <w:t>CEO-Firm FE</w:t>
            </w:r>
          </w:p>
        </w:tc>
        <w:tc>
          <w:tcPr>
            <w:tcW w:w="849" w:type="pct"/>
            <w:tcBorders>
              <w:top w:val="nil"/>
              <w:left w:val="nil"/>
              <w:bottom w:val="nil"/>
              <w:right w:val="nil"/>
            </w:tcBorders>
            <w:shd w:val="clear" w:color="auto" w:fill="auto"/>
            <w:noWrap/>
            <w:vAlign w:val="bottom"/>
            <w:hideMark/>
          </w:tcPr>
          <w:p w14:paraId="7905EEC6" w14:textId="0A0C39DA" w:rsidR="003554A2" w:rsidRPr="008669C3" w:rsidRDefault="003554A2" w:rsidP="003554A2">
            <w:pPr>
              <w:jc w:val="center"/>
              <w:rPr>
                <w:sz w:val="20"/>
                <w:szCs w:val="20"/>
              </w:rPr>
            </w:pPr>
            <w:r w:rsidRPr="008669C3">
              <w:rPr>
                <w:sz w:val="20"/>
                <w:szCs w:val="20"/>
              </w:rPr>
              <w:t>No</w:t>
            </w:r>
          </w:p>
        </w:tc>
        <w:tc>
          <w:tcPr>
            <w:tcW w:w="849" w:type="pct"/>
            <w:tcBorders>
              <w:top w:val="nil"/>
              <w:left w:val="nil"/>
              <w:bottom w:val="nil"/>
              <w:right w:val="nil"/>
            </w:tcBorders>
            <w:shd w:val="clear" w:color="auto" w:fill="auto"/>
            <w:noWrap/>
            <w:vAlign w:val="bottom"/>
            <w:hideMark/>
          </w:tcPr>
          <w:p w14:paraId="73A62008" w14:textId="1A0BB236" w:rsidR="003554A2" w:rsidRPr="008669C3" w:rsidRDefault="003554A2" w:rsidP="003554A2">
            <w:pPr>
              <w:jc w:val="center"/>
              <w:rPr>
                <w:sz w:val="20"/>
                <w:szCs w:val="20"/>
              </w:rPr>
            </w:pPr>
            <w:r w:rsidRPr="008669C3">
              <w:rPr>
                <w:sz w:val="20"/>
                <w:szCs w:val="20"/>
              </w:rPr>
              <w:t>Yes</w:t>
            </w:r>
          </w:p>
        </w:tc>
        <w:tc>
          <w:tcPr>
            <w:tcW w:w="152" w:type="pct"/>
            <w:tcBorders>
              <w:top w:val="nil"/>
              <w:left w:val="nil"/>
              <w:bottom w:val="nil"/>
              <w:right w:val="nil"/>
            </w:tcBorders>
            <w:shd w:val="clear" w:color="auto" w:fill="auto"/>
            <w:noWrap/>
            <w:vAlign w:val="bottom"/>
            <w:hideMark/>
          </w:tcPr>
          <w:p w14:paraId="4727C7B8"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5C25BE93" w14:textId="3D48210A" w:rsidR="003554A2" w:rsidRPr="008669C3" w:rsidRDefault="003554A2" w:rsidP="003554A2">
            <w:pPr>
              <w:jc w:val="center"/>
              <w:rPr>
                <w:sz w:val="20"/>
                <w:szCs w:val="20"/>
              </w:rPr>
            </w:pPr>
            <w:r w:rsidRPr="008669C3">
              <w:rPr>
                <w:sz w:val="20"/>
                <w:szCs w:val="20"/>
              </w:rPr>
              <w:t>No</w:t>
            </w:r>
          </w:p>
        </w:tc>
        <w:tc>
          <w:tcPr>
            <w:tcW w:w="896" w:type="pct"/>
            <w:tcBorders>
              <w:top w:val="nil"/>
              <w:left w:val="nil"/>
              <w:bottom w:val="nil"/>
              <w:right w:val="nil"/>
            </w:tcBorders>
            <w:shd w:val="clear" w:color="auto" w:fill="auto"/>
            <w:noWrap/>
            <w:vAlign w:val="bottom"/>
            <w:hideMark/>
          </w:tcPr>
          <w:p w14:paraId="2F0CFA59" w14:textId="08E4DAD1" w:rsidR="003554A2" w:rsidRPr="008669C3" w:rsidRDefault="003554A2" w:rsidP="003554A2">
            <w:pPr>
              <w:jc w:val="center"/>
              <w:rPr>
                <w:sz w:val="20"/>
                <w:szCs w:val="20"/>
              </w:rPr>
            </w:pPr>
            <w:r w:rsidRPr="008669C3">
              <w:rPr>
                <w:sz w:val="20"/>
                <w:szCs w:val="20"/>
              </w:rPr>
              <w:t>Yes</w:t>
            </w:r>
          </w:p>
        </w:tc>
      </w:tr>
      <w:tr w:rsidR="003554A2" w:rsidRPr="008669C3" w14:paraId="135B68DE" w14:textId="77777777" w:rsidTr="003554A2">
        <w:trPr>
          <w:trHeight w:val="225"/>
        </w:trPr>
        <w:tc>
          <w:tcPr>
            <w:tcW w:w="1358" w:type="pct"/>
            <w:tcBorders>
              <w:top w:val="nil"/>
              <w:left w:val="nil"/>
              <w:bottom w:val="nil"/>
              <w:right w:val="nil"/>
            </w:tcBorders>
            <w:shd w:val="clear" w:color="auto" w:fill="auto"/>
            <w:noWrap/>
            <w:vAlign w:val="center"/>
            <w:hideMark/>
          </w:tcPr>
          <w:p w14:paraId="63145CAC" w14:textId="77777777" w:rsidR="003554A2" w:rsidRPr="008669C3" w:rsidRDefault="003554A2" w:rsidP="003554A2">
            <w:pPr>
              <w:rPr>
                <w:sz w:val="20"/>
                <w:szCs w:val="20"/>
              </w:rPr>
            </w:pPr>
            <w:r w:rsidRPr="008669C3">
              <w:rPr>
                <w:sz w:val="20"/>
                <w:szCs w:val="20"/>
              </w:rPr>
              <w:t>Industry-Year FE</w:t>
            </w:r>
          </w:p>
        </w:tc>
        <w:tc>
          <w:tcPr>
            <w:tcW w:w="849" w:type="pct"/>
            <w:tcBorders>
              <w:top w:val="nil"/>
              <w:left w:val="nil"/>
              <w:bottom w:val="nil"/>
              <w:right w:val="nil"/>
            </w:tcBorders>
            <w:shd w:val="clear" w:color="auto" w:fill="auto"/>
            <w:noWrap/>
            <w:vAlign w:val="bottom"/>
            <w:hideMark/>
          </w:tcPr>
          <w:p w14:paraId="1F341385" w14:textId="25E2FCAF" w:rsidR="003554A2" w:rsidRPr="008669C3" w:rsidRDefault="003554A2" w:rsidP="003554A2">
            <w:pPr>
              <w:jc w:val="center"/>
              <w:rPr>
                <w:sz w:val="20"/>
                <w:szCs w:val="20"/>
              </w:rPr>
            </w:pPr>
            <w:r w:rsidRPr="008669C3">
              <w:rPr>
                <w:sz w:val="20"/>
                <w:szCs w:val="20"/>
              </w:rPr>
              <w:t>Yes</w:t>
            </w:r>
          </w:p>
        </w:tc>
        <w:tc>
          <w:tcPr>
            <w:tcW w:w="849" w:type="pct"/>
            <w:tcBorders>
              <w:top w:val="nil"/>
              <w:left w:val="nil"/>
              <w:bottom w:val="nil"/>
              <w:right w:val="nil"/>
            </w:tcBorders>
            <w:shd w:val="clear" w:color="auto" w:fill="auto"/>
            <w:noWrap/>
            <w:vAlign w:val="bottom"/>
            <w:hideMark/>
          </w:tcPr>
          <w:p w14:paraId="2BDD9169" w14:textId="6DDFAE4A" w:rsidR="003554A2" w:rsidRPr="008669C3" w:rsidRDefault="003554A2" w:rsidP="003554A2">
            <w:pPr>
              <w:jc w:val="center"/>
              <w:rPr>
                <w:sz w:val="20"/>
                <w:szCs w:val="20"/>
              </w:rPr>
            </w:pPr>
            <w:r w:rsidRPr="008669C3">
              <w:rPr>
                <w:sz w:val="20"/>
                <w:szCs w:val="20"/>
              </w:rPr>
              <w:t>Yes</w:t>
            </w:r>
          </w:p>
        </w:tc>
        <w:tc>
          <w:tcPr>
            <w:tcW w:w="152" w:type="pct"/>
            <w:tcBorders>
              <w:top w:val="nil"/>
              <w:left w:val="nil"/>
              <w:bottom w:val="nil"/>
              <w:right w:val="nil"/>
            </w:tcBorders>
            <w:shd w:val="clear" w:color="auto" w:fill="auto"/>
            <w:noWrap/>
            <w:vAlign w:val="bottom"/>
            <w:hideMark/>
          </w:tcPr>
          <w:p w14:paraId="6E20368B"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64D964AF" w14:textId="5B439DF4" w:rsidR="003554A2" w:rsidRPr="008669C3" w:rsidRDefault="003554A2" w:rsidP="003554A2">
            <w:pPr>
              <w:jc w:val="center"/>
              <w:rPr>
                <w:sz w:val="20"/>
                <w:szCs w:val="20"/>
              </w:rPr>
            </w:pPr>
            <w:r w:rsidRPr="008669C3">
              <w:rPr>
                <w:sz w:val="20"/>
                <w:szCs w:val="20"/>
              </w:rPr>
              <w:t>Yes</w:t>
            </w:r>
          </w:p>
        </w:tc>
        <w:tc>
          <w:tcPr>
            <w:tcW w:w="896" w:type="pct"/>
            <w:tcBorders>
              <w:top w:val="nil"/>
              <w:left w:val="nil"/>
              <w:bottom w:val="nil"/>
              <w:right w:val="nil"/>
            </w:tcBorders>
            <w:shd w:val="clear" w:color="auto" w:fill="auto"/>
            <w:noWrap/>
            <w:vAlign w:val="bottom"/>
            <w:hideMark/>
          </w:tcPr>
          <w:p w14:paraId="02F886E3" w14:textId="16FDF8AC" w:rsidR="003554A2" w:rsidRPr="008669C3" w:rsidRDefault="003554A2" w:rsidP="003554A2">
            <w:pPr>
              <w:jc w:val="center"/>
              <w:rPr>
                <w:sz w:val="20"/>
                <w:szCs w:val="20"/>
              </w:rPr>
            </w:pPr>
            <w:r w:rsidRPr="008669C3">
              <w:rPr>
                <w:sz w:val="20"/>
                <w:szCs w:val="20"/>
              </w:rPr>
              <w:t>Yes</w:t>
            </w:r>
          </w:p>
        </w:tc>
      </w:tr>
      <w:tr w:rsidR="003554A2" w:rsidRPr="008669C3" w14:paraId="66B0E758" w14:textId="77777777" w:rsidTr="003554A2">
        <w:trPr>
          <w:trHeight w:val="225"/>
        </w:trPr>
        <w:tc>
          <w:tcPr>
            <w:tcW w:w="1358" w:type="pct"/>
            <w:tcBorders>
              <w:top w:val="nil"/>
              <w:left w:val="nil"/>
              <w:bottom w:val="nil"/>
              <w:right w:val="nil"/>
            </w:tcBorders>
            <w:shd w:val="clear" w:color="auto" w:fill="auto"/>
            <w:noWrap/>
            <w:vAlign w:val="center"/>
            <w:hideMark/>
          </w:tcPr>
          <w:p w14:paraId="34D2BB2F" w14:textId="77777777" w:rsidR="003554A2" w:rsidRPr="008669C3" w:rsidRDefault="003554A2" w:rsidP="003554A2">
            <w:pPr>
              <w:rPr>
                <w:sz w:val="20"/>
                <w:szCs w:val="20"/>
              </w:rPr>
            </w:pPr>
            <w:r w:rsidRPr="008669C3">
              <w:rPr>
                <w:sz w:val="20"/>
                <w:szCs w:val="20"/>
              </w:rPr>
              <w:t>N</w:t>
            </w:r>
          </w:p>
        </w:tc>
        <w:tc>
          <w:tcPr>
            <w:tcW w:w="849" w:type="pct"/>
            <w:tcBorders>
              <w:top w:val="nil"/>
              <w:left w:val="nil"/>
              <w:bottom w:val="nil"/>
              <w:right w:val="nil"/>
            </w:tcBorders>
            <w:shd w:val="clear" w:color="auto" w:fill="auto"/>
            <w:noWrap/>
            <w:vAlign w:val="bottom"/>
            <w:hideMark/>
          </w:tcPr>
          <w:p w14:paraId="1363BCD7" w14:textId="3A0C733F" w:rsidR="003554A2" w:rsidRPr="008669C3" w:rsidRDefault="00890C53" w:rsidP="003554A2">
            <w:pPr>
              <w:jc w:val="center"/>
              <w:rPr>
                <w:sz w:val="20"/>
                <w:szCs w:val="20"/>
              </w:rPr>
            </w:pPr>
            <w:r>
              <w:rPr>
                <w:sz w:val="20"/>
                <w:szCs w:val="20"/>
              </w:rPr>
              <w:t>9</w:t>
            </w:r>
            <w:r w:rsidR="003554A2" w:rsidRPr="008669C3">
              <w:rPr>
                <w:sz w:val="20"/>
                <w:szCs w:val="20"/>
              </w:rPr>
              <w:t>175</w:t>
            </w:r>
          </w:p>
        </w:tc>
        <w:tc>
          <w:tcPr>
            <w:tcW w:w="849" w:type="pct"/>
            <w:tcBorders>
              <w:top w:val="nil"/>
              <w:left w:val="nil"/>
              <w:bottom w:val="nil"/>
              <w:right w:val="nil"/>
            </w:tcBorders>
            <w:shd w:val="clear" w:color="auto" w:fill="auto"/>
            <w:noWrap/>
            <w:vAlign w:val="bottom"/>
            <w:hideMark/>
          </w:tcPr>
          <w:p w14:paraId="74503182" w14:textId="533CCA85" w:rsidR="003554A2" w:rsidRPr="008669C3" w:rsidRDefault="00890C53" w:rsidP="003554A2">
            <w:pPr>
              <w:jc w:val="center"/>
              <w:rPr>
                <w:sz w:val="20"/>
                <w:szCs w:val="20"/>
              </w:rPr>
            </w:pPr>
            <w:r>
              <w:rPr>
                <w:sz w:val="20"/>
                <w:szCs w:val="20"/>
              </w:rPr>
              <w:t>9</w:t>
            </w:r>
            <w:r w:rsidR="003554A2" w:rsidRPr="008669C3">
              <w:rPr>
                <w:sz w:val="20"/>
                <w:szCs w:val="20"/>
              </w:rPr>
              <w:t>175</w:t>
            </w:r>
          </w:p>
        </w:tc>
        <w:tc>
          <w:tcPr>
            <w:tcW w:w="152" w:type="pct"/>
            <w:tcBorders>
              <w:top w:val="nil"/>
              <w:left w:val="nil"/>
              <w:bottom w:val="nil"/>
              <w:right w:val="nil"/>
            </w:tcBorders>
            <w:shd w:val="clear" w:color="auto" w:fill="auto"/>
            <w:noWrap/>
            <w:vAlign w:val="bottom"/>
            <w:hideMark/>
          </w:tcPr>
          <w:p w14:paraId="43884B47" w14:textId="77777777" w:rsidR="003554A2" w:rsidRPr="008669C3" w:rsidRDefault="003554A2" w:rsidP="003554A2">
            <w:pPr>
              <w:jc w:val="center"/>
              <w:rPr>
                <w:sz w:val="20"/>
                <w:szCs w:val="20"/>
              </w:rPr>
            </w:pPr>
          </w:p>
        </w:tc>
        <w:tc>
          <w:tcPr>
            <w:tcW w:w="896" w:type="pct"/>
            <w:tcBorders>
              <w:top w:val="nil"/>
              <w:left w:val="nil"/>
              <w:bottom w:val="nil"/>
              <w:right w:val="nil"/>
            </w:tcBorders>
            <w:shd w:val="clear" w:color="auto" w:fill="auto"/>
            <w:noWrap/>
            <w:vAlign w:val="bottom"/>
            <w:hideMark/>
          </w:tcPr>
          <w:p w14:paraId="5EBCB0CB" w14:textId="44969D11" w:rsidR="003554A2" w:rsidRPr="008669C3" w:rsidRDefault="00890C53" w:rsidP="003554A2">
            <w:pPr>
              <w:jc w:val="center"/>
              <w:rPr>
                <w:sz w:val="20"/>
                <w:szCs w:val="20"/>
              </w:rPr>
            </w:pPr>
            <w:r>
              <w:rPr>
                <w:sz w:val="20"/>
                <w:szCs w:val="20"/>
              </w:rPr>
              <w:t>9</w:t>
            </w:r>
            <w:r w:rsidR="003554A2" w:rsidRPr="008669C3">
              <w:rPr>
                <w:sz w:val="20"/>
                <w:szCs w:val="20"/>
              </w:rPr>
              <w:t>175</w:t>
            </w:r>
          </w:p>
        </w:tc>
        <w:tc>
          <w:tcPr>
            <w:tcW w:w="896" w:type="pct"/>
            <w:tcBorders>
              <w:top w:val="nil"/>
              <w:left w:val="nil"/>
              <w:bottom w:val="nil"/>
              <w:right w:val="nil"/>
            </w:tcBorders>
            <w:shd w:val="clear" w:color="auto" w:fill="auto"/>
            <w:noWrap/>
            <w:vAlign w:val="bottom"/>
            <w:hideMark/>
          </w:tcPr>
          <w:p w14:paraId="07D738F6" w14:textId="6804FD59" w:rsidR="003554A2" w:rsidRPr="008669C3" w:rsidRDefault="00890C53" w:rsidP="003554A2">
            <w:pPr>
              <w:jc w:val="center"/>
              <w:rPr>
                <w:sz w:val="20"/>
                <w:szCs w:val="20"/>
              </w:rPr>
            </w:pPr>
            <w:r>
              <w:rPr>
                <w:sz w:val="20"/>
                <w:szCs w:val="20"/>
              </w:rPr>
              <w:t>9</w:t>
            </w:r>
            <w:r w:rsidR="003554A2" w:rsidRPr="008669C3">
              <w:rPr>
                <w:sz w:val="20"/>
                <w:szCs w:val="20"/>
              </w:rPr>
              <w:t>175</w:t>
            </w:r>
          </w:p>
        </w:tc>
      </w:tr>
      <w:tr w:rsidR="003839E4" w:rsidRPr="008669C3" w14:paraId="05146CAB" w14:textId="77777777" w:rsidTr="003554A2">
        <w:trPr>
          <w:trHeight w:val="225"/>
        </w:trPr>
        <w:tc>
          <w:tcPr>
            <w:tcW w:w="1358" w:type="pct"/>
            <w:tcBorders>
              <w:top w:val="nil"/>
              <w:left w:val="nil"/>
              <w:bottom w:val="single" w:sz="4" w:space="0" w:color="auto"/>
              <w:right w:val="nil"/>
            </w:tcBorders>
            <w:shd w:val="clear" w:color="auto" w:fill="auto"/>
            <w:noWrap/>
            <w:vAlign w:val="center"/>
            <w:hideMark/>
          </w:tcPr>
          <w:p w14:paraId="2BA7FABB" w14:textId="77777777" w:rsidR="003839E4" w:rsidRPr="008669C3" w:rsidRDefault="003839E4" w:rsidP="003839E4">
            <w:pPr>
              <w:rPr>
                <w:sz w:val="20"/>
                <w:szCs w:val="20"/>
              </w:rPr>
            </w:pPr>
            <w:r w:rsidRPr="008669C3">
              <w:rPr>
                <w:sz w:val="20"/>
                <w:szCs w:val="20"/>
              </w:rPr>
              <w:t>Adjusted R</w:t>
            </w:r>
            <w:r w:rsidRPr="008669C3">
              <w:rPr>
                <w:sz w:val="20"/>
                <w:szCs w:val="20"/>
                <w:vertAlign w:val="superscript"/>
              </w:rPr>
              <w:t>2</w:t>
            </w:r>
          </w:p>
        </w:tc>
        <w:tc>
          <w:tcPr>
            <w:tcW w:w="849" w:type="pct"/>
            <w:tcBorders>
              <w:top w:val="nil"/>
              <w:left w:val="nil"/>
              <w:bottom w:val="single" w:sz="4" w:space="0" w:color="auto"/>
              <w:right w:val="nil"/>
            </w:tcBorders>
            <w:shd w:val="clear" w:color="auto" w:fill="auto"/>
            <w:noWrap/>
            <w:vAlign w:val="bottom"/>
            <w:hideMark/>
          </w:tcPr>
          <w:p w14:paraId="664A90A7" w14:textId="1DC64C8B" w:rsidR="003839E4" w:rsidRPr="008669C3" w:rsidRDefault="003839E4" w:rsidP="003839E4">
            <w:pPr>
              <w:jc w:val="center"/>
              <w:rPr>
                <w:sz w:val="20"/>
                <w:szCs w:val="20"/>
              </w:rPr>
            </w:pPr>
            <w:r w:rsidRPr="008669C3">
              <w:rPr>
                <w:sz w:val="20"/>
                <w:szCs w:val="20"/>
              </w:rPr>
              <w:t>0.165</w:t>
            </w:r>
          </w:p>
        </w:tc>
        <w:tc>
          <w:tcPr>
            <w:tcW w:w="849" w:type="pct"/>
            <w:tcBorders>
              <w:top w:val="nil"/>
              <w:left w:val="nil"/>
              <w:bottom w:val="single" w:sz="4" w:space="0" w:color="auto"/>
              <w:right w:val="nil"/>
            </w:tcBorders>
            <w:shd w:val="clear" w:color="auto" w:fill="auto"/>
            <w:noWrap/>
            <w:vAlign w:val="bottom"/>
            <w:hideMark/>
          </w:tcPr>
          <w:p w14:paraId="559C43C3" w14:textId="6AFE5BB7" w:rsidR="003839E4" w:rsidRPr="008669C3" w:rsidRDefault="003839E4" w:rsidP="003839E4">
            <w:pPr>
              <w:jc w:val="center"/>
              <w:rPr>
                <w:sz w:val="20"/>
                <w:szCs w:val="20"/>
              </w:rPr>
            </w:pPr>
            <w:r w:rsidRPr="008669C3">
              <w:rPr>
                <w:sz w:val="20"/>
                <w:szCs w:val="20"/>
              </w:rPr>
              <w:t>0.156</w:t>
            </w:r>
          </w:p>
        </w:tc>
        <w:tc>
          <w:tcPr>
            <w:tcW w:w="152" w:type="pct"/>
            <w:tcBorders>
              <w:top w:val="nil"/>
              <w:left w:val="nil"/>
              <w:bottom w:val="single" w:sz="4" w:space="0" w:color="auto"/>
              <w:right w:val="nil"/>
            </w:tcBorders>
            <w:shd w:val="clear" w:color="auto" w:fill="auto"/>
            <w:noWrap/>
            <w:vAlign w:val="bottom"/>
            <w:hideMark/>
          </w:tcPr>
          <w:p w14:paraId="66E07BA9" w14:textId="087BBFCA" w:rsidR="003839E4" w:rsidRPr="008669C3" w:rsidRDefault="003839E4" w:rsidP="003839E4">
            <w:pPr>
              <w:jc w:val="center"/>
              <w:rPr>
                <w:sz w:val="20"/>
                <w:szCs w:val="20"/>
              </w:rPr>
            </w:pPr>
            <w:r w:rsidRPr="008669C3">
              <w:rPr>
                <w:sz w:val="20"/>
                <w:szCs w:val="20"/>
              </w:rPr>
              <w:t> </w:t>
            </w:r>
          </w:p>
        </w:tc>
        <w:tc>
          <w:tcPr>
            <w:tcW w:w="896" w:type="pct"/>
            <w:tcBorders>
              <w:top w:val="nil"/>
              <w:left w:val="nil"/>
              <w:bottom w:val="single" w:sz="4" w:space="0" w:color="auto"/>
              <w:right w:val="nil"/>
            </w:tcBorders>
            <w:shd w:val="clear" w:color="auto" w:fill="auto"/>
            <w:noWrap/>
            <w:vAlign w:val="bottom"/>
            <w:hideMark/>
          </w:tcPr>
          <w:p w14:paraId="4CF4EAD8" w14:textId="6258467C" w:rsidR="003839E4" w:rsidRPr="008669C3" w:rsidRDefault="003839E4" w:rsidP="003839E4">
            <w:pPr>
              <w:jc w:val="center"/>
              <w:rPr>
                <w:sz w:val="20"/>
                <w:szCs w:val="20"/>
              </w:rPr>
            </w:pPr>
            <w:r w:rsidRPr="008669C3">
              <w:rPr>
                <w:sz w:val="20"/>
                <w:szCs w:val="20"/>
              </w:rPr>
              <w:t>0.263</w:t>
            </w:r>
          </w:p>
        </w:tc>
        <w:tc>
          <w:tcPr>
            <w:tcW w:w="896" w:type="pct"/>
            <w:tcBorders>
              <w:top w:val="nil"/>
              <w:left w:val="nil"/>
              <w:bottom w:val="single" w:sz="4" w:space="0" w:color="auto"/>
              <w:right w:val="nil"/>
            </w:tcBorders>
            <w:shd w:val="clear" w:color="auto" w:fill="auto"/>
            <w:noWrap/>
            <w:vAlign w:val="bottom"/>
            <w:hideMark/>
          </w:tcPr>
          <w:p w14:paraId="6AE2423F" w14:textId="425FC349" w:rsidR="003839E4" w:rsidRPr="008669C3" w:rsidRDefault="003839E4" w:rsidP="003839E4">
            <w:pPr>
              <w:jc w:val="center"/>
              <w:rPr>
                <w:sz w:val="20"/>
                <w:szCs w:val="20"/>
              </w:rPr>
            </w:pPr>
            <w:r w:rsidRPr="008669C3">
              <w:rPr>
                <w:sz w:val="20"/>
                <w:szCs w:val="20"/>
              </w:rPr>
              <w:t>0.250</w:t>
            </w:r>
          </w:p>
        </w:tc>
      </w:tr>
    </w:tbl>
    <w:p w14:paraId="7B99804F" w14:textId="77777777" w:rsidR="001900E3" w:rsidRPr="008669C3" w:rsidRDefault="001900E3" w:rsidP="001646FA">
      <w:pPr>
        <w:spacing w:line="480" w:lineRule="auto"/>
        <w:jc w:val="both"/>
        <w:rPr>
          <w:color w:val="FF0000"/>
        </w:rPr>
      </w:pPr>
    </w:p>
    <w:p w14:paraId="028897A4" w14:textId="77777777" w:rsidR="003554A2" w:rsidRPr="008669C3" w:rsidRDefault="003554A2" w:rsidP="001646FA">
      <w:pPr>
        <w:spacing w:line="480" w:lineRule="auto"/>
        <w:jc w:val="both"/>
        <w:rPr>
          <w:color w:val="FF0000"/>
        </w:rPr>
      </w:pPr>
    </w:p>
    <w:p w14:paraId="7E5BBF11" w14:textId="77777777" w:rsidR="003554A2" w:rsidRPr="008669C3" w:rsidRDefault="003554A2" w:rsidP="001646FA">
      <w:pPr>
        <w:spacing w:line="480" w:lineRule="auto"/>
        <w:jc w:val="both"/>
        <w:rPr>
          <w:color w:val="FF0000"/>
        </w:rPr>
      </w:pPr>
    </w:p>
    <w:p w14:paraId="4ADC4CA3" w14:textId="77777777" w:rsidR="001A55F7" w:rsidRPr="008669C3" w:rsidRDefault="001A55F7" w:rsidP="001646FA">
      <w:pPr>
        <w:spacing w:line="480" w:lineRule="auto"/>
        <w:jc w:val="both"/>
        <w:rPr>
          <w:color w:val="FF0000"/>
        </w:rPr>
      </w:pPr>
    </w:p>
    <w:p w14:paraId="0074DF76" w14:textId="77777777" w:rsidR="001A55F7" w:rsidRPr="008669C3" w:rsidRDefault="001A55F7" w:rsidP="001646FA">
      <w:pPr>
        <w:spacing w:line="480" w:lineRule="auto"/>
        <w:jc w:val="both"/>
        <w:rPr>
          <w:color w:val="FF0000"/>
        </w:rPr>
        <w:sectPr w:rsidR="001A55F7" w:rsidRPr="008669C3">
          <w:footerReference w:type="default" r:id="rId11"/>
          <w:pgSz w:w="11906" w:h="16838"/>
          <w:pgMar w:top="1440" w:right="1440" w:bottom="1440" w:left="1440" w:header="708" w:footer="708" w:gutter="0"/>
          <w:cols w:space="708"/>
          <w:docGrid w:linePitch="360"/>
        </w:sectPr>
      </w:pPr>
    </w:p>
    <w:p w14:paraId="1EAD67F8" w14:textId="77777777" w:rsidR="00D348F9" w:rsidRPr="008669C3" w:rsidRDefault="00DB2E43" w:rsidP="002704F4">
      <w:pPr>
        <w:jc w:val="center"/>
        <w:rPr>
          <w:b/>
        </w:rPr>
      </w:pPr>
      <w:r w:rsidRPr="008669C3">
        <w:rPr>
          <w:b/>
        </w:rPr>
        <w:lastRenderedPageBreak/>
        <w:t>Appendix A. Variable definition</w:t>
      </w:r>
    </w:p>
    <w:tbl>
      <w:tblPr>
        <w:tblW w:w="0" w:type="auto"/>
        <w:tblInd w:w="108" w:type="dxa"/>
        <w:tblLook w:val="04A0" w:firstRow="1" w:lastRow="0" w:firstColumn="1" w:lastColumn="0" w:noHBand="0" w:noVBand="1"/>
      </w:tblPr>
      <w:tblGrid>
        <w:gridCol w:w="3349"/>
        <w:gridCol w:w="8417"/>
        <w:gridCol w:w="2300"/>
      </w:tblGrid>
      <w:tr w:rsidR="004B0C70" w:rsidRPr="008669C3" w14:paraId="0DE1D39D" w14:textId="77777777" w:rsidTr="0010733F">
        <w:trPr>
          <w:trHeight w:val="300"/>
        </w:trPr>
        <w:tc>
          <w:tcPr>
            <w:tcW w:w="0" w:type="auto"/>
            <w:tcBorders>
              <w:top w:val="single" w:sz="4" w:space="0" w:color="auto"/>
              <w:left w:val="nil"/>
              <w:bottom w:val="single" w:sz="4" w:space="0" w:color="auto"/>
              <w:right w:val="nil"/>
            </w:tcBorders>
            <w:shd w:val="clear" w:color="auto" w:fill="auto"/>
            <w:noWrap/>
            <w:vAlign w:val="center"/>
            <w:hideMark/>
          </w:tcPr>
          <w:p w14:paraId="7D7A4E1D" w14:textId="77777777" w:rsidR="00D348F9" w:rsidRPr="008669C3" w:rsidRDefault="00D348F9" w:rsidP="00662074">
            <w:pPr>
              <w:rPr>
                <w:szCs w:val="20"/>
              </w:rPr>
            </w:pPr>
            <w:r w:rsidRPr="008669C3">
              <w:rPr>
                <w:szCs w:val="20"/>
              </w:rPr>
              <w:t>Variables</w:t>
            </w:r>
          </w:p>
        </w:tc>
        <w:tc>
          <w:tcPr>
            <w:tcW w:w="8417" w:type="dxa"/>
            <w:tcBorders>
              <w:top w:val="single" w:sz="4" w:space="0" w:color="auto"/>
              <w:left w:val="nil"/>
              <w:bottom w:val="single" w:sz="4" w:space="0" w:color="auto"/>
              <w:right w:val="nil"/>
            </w:tcBorders>
            <w:shd w:val="clear" w:color="auto" w:fill="auto"/>
            <w:noWrap/>
            <w:vAlign w:val="center"/>
            <w:hideMark/>
          </w:tcPr>
          <w:p w14:paraId="58139CA4" w14:textId="77777777" w:rsidR="00D348F9" w:rsidRPr="008669C3" w:rsidRDefault="00D348F9" w:rsidP="00662074">
            <w:pPr>
              <w:rPr>
                <w:szCs w:val="20"/>
              </w:rPr>
            </w:pPr>
            <w:r w:rsidRPr="008669C3">
              <w:rPr>
                <w:szCs w:val="20"/>
              </w:rPr>
              <w:t>Description</w:t>
            </w:r>
          </w:p>
        </w:tc>
        <w:tc>
          <w:tcPr>
            <w:tcW w:w="2300" w:type="dxa"/>
            <w:tcBorders>
              <w:top w:val="single" w:sz="4" w:space="0" w:color="auto"/>
              <w:left w:val="nil"/>
              <w:bottom w:val="single" w:sz="4" w:space="0" w:color="auto"/>
              <w:right w:val="nil"/>
            </w:tcBorders>
            <w:shd w:val="clear" w:color="auto" w:fill="auto"/>
            <w:vAlign w:val="center"/>
            <w:hideMark/>
          </w:tcPr>
          <w:p w14:paraId="036D299B" w14:textId="77777777" w:rsidR="00D348F9" w:rsidRPr="008669C3" w:rsidRDefault="00D348F9" w:rsidP="00662074">
            <w:pPr>
              <w:rPr>
                <w:szCs w:val="20"/>
              </w:rPr>
            </w:pPr>
            <w:r w:rsidRPr="008669C3">
              <w:rPr>
                <w:szCs w:val="20"/>
              </w:rPr>
              <w:t>Source</w:t>
            </w:r>
          </w:p>
        </w:tc>
      </w:tr>
      <w:tr w:rsidR="004B0C70" w:rsidRPr="008669C3" w14:paraId="62BEFE7C" w14:textId="77777777" w:rsidTr="00BC07E3">
        <w:trPr>
          <w:trHeight w:val="300"/>
        </w:trPr>
        <w:tc>
          <w:tcPr>
            <w:tcW w:w="0" w:type="auto"/>
            <w:gridSpan w:val="3"/>
            <w:tcBorders>
              <w:top w:val="nil"/>
              <w:left w:val="nil"/>
              <w:bottom w:val="nil"/>
              <w:right w:val="nil"/>
            </w:tcBorders>
            <w:shd w:val="clear" w:color="auto" w:fill="auto"/>
            <w:noWrap/>
            <w:vAlign w:val="bottom"/>
            <w:hideMark/>
          </w:tcPr>
          <w:p w14:paraId="2B7FD945" w14:textId="77777777" w:rsidR="00662074" w:rsidRPr="008669C3" w:rsidRDefault="00662074" w:rsidP="00662074">
            <w:pPr>
              <w:rPr>
                <w:szCs w:val="20"/>
              </w:rPr>
            </w:pPr>
            <w:r w:rsidRPr="008669C3">
              <w:rPr>
                <w:i/>
                <w:iCs/>
                <w:szCs w:val="20"/>
                <w:u w:val="single"/>
              </w:rPr>
              <w:t>Main variables</w:t>
            </w:r>
          </w:p>
        </w:tc>
      </w:tr>
      <w:tr w:rsidR="004B0C70" w:rsidRPr="008669C3" w14:paraId="7CAEED0B" w14:textId="77777777" w:rsidTr="0010733F">
        <w:trPr>
          <w:trHeight w:val="330"/>
        </w:trPr>
        <w:tc>
          <w:tcPr>
            <w:tcW w:w="0" w:type="auto"/>
            <w:tcBorders>
              <w:top w:val="nil"/>
              <w:left w:val="nil"/>
              <w:bottom w:val="nil"/>
              <w:right w:val="nil"/>
            </w:tcBorders>
            <w:shd w:val="clear" w:color="auto" w:fill="auto"/>
            <w:noWrap/>
            <w:hideMark/>
          </w:tcPr>
          <w:p w14:paraId="5435D3C1" w14:textId="77777777" w:rsidR="00D348F9" w:rsidRPr="008669C3" w:rsidRDefault="00D348F9" w:rsidP="00C62FC4">
            <w:pPr>
              <w:jc w:val="both"/>
              <w:rPr>
                <w:szCs w:val="20"/>
              </w:rPr>
            </w:pPr>
            <w:r w:rsidRPr="008669C3">
              <w:rPr>
                <w:szCs w:val="20"/>
              </w:rPr>
              <w:t>Ln (1+Vega)</w:t>
            </w:r>
          </w:p>
        </w:tc>
        <w:tc>
          <w:tcPr>
            <w:tcW w:w="8417" w:type="dxa"/>
            <w:tcBorders>
              <w:top w:val="nil"/>
              <w:left w:val="nil"/>
              <w:bottom w:val="nil"/>
              <w:right w:val="nil"/>
            </w:tcBorders>
            <w:shd w:val="clear" w:color="auto" w:fill="auto"/>
            <w:hideMark/>
          </w:tcPr>
          <w:p w14:paraId="300984DB" w14:textId="69B77914" w:rsidR="00D348F9" w:rsidRPr="008669C3" w:rsidRDefault="00662074" w:rsidP="00114DBF">
            <w:pPr>
              <w:jc w:val="both"/>
              <w:rPr>
                <w:szCs w:val="20"/>
              </w:rPr>
            </w:pPr>
            <w:r w:rsidRPr="008669C3">
              <w:rPr>
                <w:szCs w:val="20"/>
              </w:rPr>
              <w:t>N</w:t>
            </w:r>
            <w:r w:rsidR="00D348F9" w:rsidRPr="008669C3">
              <w:rPr>
                <w:szCs w:val="20"/>
              </w:rPr>
              <w:t xml:space="preserve">atural logarithm of </w:t>
            </w:r>
            <w:r w:rsidR="00DD03FF" w:rsidRPr="008669C3">
              <w:rPr>
                <w:szCs w:val="20"/>
              </w:rPr>
              <w:t xml:space="preserve">one plus </w:t>
            </w:r>
            <w:r w:rsidR="00114DBF" w:rsidRPr="008669C3">
              <w:rPr>
                <w:szCs w:val="20"/>
              </w:rPr>
              <w:t>CEO</w:t>
            </w:r>
            <w:r w:rsidR="00DD03FF" w:rsidRPr="008669C3">
              <w:rPr>
                <w:szCs w:val="20"/>
              </w:rPr>
              <w:t xml:space="preserve"> vega, where vega is </w:t>
            </w:r>
            <w:r w:rsidR="00C62FC4" w:rsidRPr="008669C3">
              <w:rPr>
                <w:szCs w:val="20"/>
              </w:rPr>
              <w:t xml:space="preserve">defined as </w:t>
            </w:r>
            <w:r w:rsidR="00D45791" w:rsidRPr="008669C3">
              <w:t xml:space="preserve">the change in the value of the CEO’s wealth due to a </w:t>
            </w:r>
            <w:r w:rsidR="005838E5" w:rsidRPr="008669C3">
              <w:t>0.</w:t>
            </w:r>
            <w:r w:rsidR="006456EB" w:rsidRPr="008669C3">
              <w:t>0</w:t>
            </w:r>
            <w:r w:rsidR="005838E5" w:rsidRPr="008669C3">
              <w:t>1</w:t>
            </w:r>
            <w:r w:rsidR="00D45791" w:rsidRPr="008669C3">
              <w:t xml:space="preserve"> increase in the annualized standard deviation of the firm’s stock return</w:t>
            </w:r>
            <w:r w:rsidR="001078EB" w:rsidRPr="008669C3">
              <w:t>.</w:t>
            </w:r>
          </w:p>
        </w:tc>
        <w:tc>
          <w:tcPr>
            <w:tcW w:w="2300" w:type="dxa"/>
            <w:tcBorders>
              <w:top w:val="nil"/>
              <w:left w:val="nil"/>
              <w:bottom w:val="nil"/>
              <w:right w:val="nil"/>
            </w:tcBorders>
            <w:shd w:val="clear" w:color="auto" w:fill="auto"/>
            <w:hideMark/>
          </w:tcPr>
          <w:p w14:paraId="783A950E" w14:textId="77777777" w:rsidR="00682BBB" w:rsidRPr="008669C3" w:rsidRDefault="00D348F9" w:rsidP="00C62FC4">
            <w:pPr>
              <w:jc w:val="both"/>
              <w:rPr>
                <w:szCs w:val="20"/>
              </w:rPr>
            </w:pPr>
            <w:r w:rsidRPr="008669C3">
              <w:rPr>
                <w:szCs w:val="20"/>
              </w:rPr>
              <w:t>Execucomp</w:t>
            </w:r>
            <w:r w:rsidR="00BC07E3" w:rsidRPr="008669C3">
              <w:rPr>
                <w:szCs w:val="20"/>
              </w:rPr>
              <w:t xml:space="preserve">; </w:t>
            </w:r>
          </w:p>
          <w:p w14:paraId="7A752F92" w14:textId="77777777" w:rsidR="00D348F9" w:rsidRPr="008669C3" w:rsidRDefault="00BC07E3" w:rsidP="00C62FC4">
            <w:pPr>
              <w:jc w:val="both"/>
              <w:rPr>
                <w:szCs w:val="20"/>
              </w:rPr>
            </w:pPr>
            <w:r w:rsidRPr="008669C3">
              <w:rPr>
                <w:szCs w:val="20"/>
              </w:rPr>
              <w:t>Coles et al. (2006)</w:t>
            </w:r>
          </w:p>
        </w:tc>
      </w:tr>
      <w:tr w:rsidR="004F0B0E" w:rsidRPr="008669C3" w14:paraId="14C1FED7" w14:textId="77777777" w:rsidTr="004F0B0E">
        <w:trPr>
          <w:trHeight w:val="83"/>
        </w:trPr>
        <w:tc>
          <w:tcPr>
            <w:tcW w:w="0" w:type="auto"/>
            <w:tcBorders>
              <w:top w:val="nil"/>
              <w:left w:val="nil"/>
              <w:bottom w:val="nil"/>
              <w:right w:val="nil"/>
            </w:tcBorders>
            <w:shd w:val="clear" w:color="auto" w:fill="auto"/>
            <w:noWrap/>
          </w:tcPr>
          <w:p w14:paraId="228A06DE" w14:textId="715A4403" w:rsidR="00D56275" w:rsidRPr="008669C3" w:rsidRDefault="00D56275" w:rsidP="00C62FC4">
            <w:pPr>
              <w:jc w:val="both"/>
              <w:rPr>
                <w:szCs w:val="20"/>
              </w:rPr>
            </w:pPr>
            <w:r w:rsidRPr="008669C3">
              <w:rPr>
                <w:szCs w:val="20"/>
              </w:rPr>
              <w:t>Ln (1+Option)</w:t>
            </w:r>
          </w:p>
        </w:tc>
        <w:tc>
          <w:tcPr>
            <w:tcW w:w="8417" w:type="dxa"/>
            <w:tcBorders>
              <w:top w:val="nil"/>
              <w:left w:val="nil"/>
              <w:bottom w:val="nil"/>
              <w:right w:val="nil"/>
            </w:tcBorders>
            <w:shd w:val="clear" w:color="auto" w:fill="auto"/>
          </w:tcPr>
          <w:p w14:paraId="24363B7B" w14:textId="443364B6" w:rsidR="00D56275" w:rsidRPr="008669C3" w:rsidRDefault="00D56275" w:rsidP="005838E5">
            <w:pPr>
              <w:jc w:val="both"/>
              <w:rPr>
                <w:szCs w:val="20"/>
              </w:rPr>
            </w:pPr>
            <w:r w:rsidRPr="008669C3">
              <w:rPr>
                <w:szCs w:val="20"/>
              </w:rPr>
              <w:t>Natural logarithm of one plus the CEO’s option compensation.</w:t>
            </w:r>
          </w:p>
        </w:tc>
        <w:tc>
          <w:tcPr>
            <w:tcW w:w="2300" w:type="dxa"/>
            <w:tcBorders>
              <w:top w:val="nil"/>
              <w:left w:val="nil"/>
              <w:bottom w:val="nil"/>
              <w:right w:val="nil"/>
            </w:tcBorders>
            <w:shd w:val="clear" w:color="auto" w:fill="auto"/>
          </w:tcPr>
          <w:p w14:paraId="4F94A670" w14:textId="16819777" w:rsidR="00D56275" w:rsidRPr="008669C3" w:rsidRDefault="00D56275" w:rsidP="00C62FC4">
            <w:pPr>
              <w:jc w:val="both"/>
              <w:rPr>
                <w:szCs w:val="20"/>
              </w:rPr>
            </w:pPr>
            <w:r w:rsidRPr="008669C3">
              <w:rPr>
                <w:szCs w:val="20"/>
              </w:rPr>
              <w:t>Execucomp</w:t>
            </w:r>
          </w:p>
        </w:tc>
      </w:tr>
      <w:tr w:rsidR="004B0C70" w:rsidRPr="008669C3" w14:paraId="3B709E23" w14:textId="77777777" w:rsidTr="0010733F">
        <w:trPr>
          <w:trHeight w:val="135"/>
        </w:trPr>
        <w:tc>
          <w:tcPr>
            <w:tcW w:w="0" w:type="auto"/>
            <w:tcBorders>
              <w:top w:val="nil"/>
              <w:left w:val="nil"/>
              <w:bottom w:val="nil"/>
              <w:right w:val="nil"/>
            </w:tcBorders>
            <w:shd w:val="clear" w:color="auto" w:fill="auto"/>
            <w:noWrap/>
            <w:hideMark/>
          </w:tcPr>
          <w:p w14:paraId="5DC8CCAF" w14:textId="77777777" w:rsidR="00D348F9" w:rsidRPr="008669C3" w:rsidRDefault="00D348F9" w:rsidP="00C62FC4">
            <w:pPr>
              <w:jc w:val="both"/>
              <w:rPr>
                <w:szCs w:val="20"/>
              </w:rPr>
            </w:pPr>
          </w:p>
        </w:tc>
        <w:tc>
          <w:tcPr>
            <w:tcW w:w="8417" w:type="dxa"/>
            <w:tcBorders>
              <w:top w:val="nil"/>
              <w:left w:val="nil"/>
              <w:bottom w:val="nil"/>
              <w:right w:val="nil"/>
            </w:tcBorders>
            <w:shd w:val="clear" w:color="auto" w:fill="auto"/>
            <w:hideMark/>
          </w:tcPr>
          <w:p w14:paraId="7B6141FE" w14:textId="77777777" w:rsidR="00D348F9" w:rsidRPr="008669C3" w:rsidRDefault="00D348F9" w:rsidP="00C62FC4">
            <w:pPr>
              <w:jc w:val="both"/>
              <w:rPr>
                <w:szCs w:val="20"/>
              </w:rPr>
            </w:pPr>
          </w:p>
        </w:tc>
        <w:tc>
          <w:tcPr>
            <w:tcW w:w="2300" w:type="dxa"/>
            <w:tcBorders>
              <w:top w:val="nil"/>
              <w:left w:val="nil"/>
              <w:bottom w:val="nil"/>
              <w:right w:val="nil"/>
            </w:tcBorders>
            <w:shd w:val="clear" w:color="auto" w:fill="auto"/>
            <w:hideMark/>
          </w:tcPr>
          <w:p w14:paraId="5D2DA71B" w14:textId="77777777" w:rsidR="00D348F9" w:rsidRPr="008669C3" w:rsidRDefault="00D348F9" w:rsidP="00C62FC4">
            <w:pPr>
              <w:jc w:val="both"/>
              <w:rPr>
                <w:szCs w:val="20"/>
              </w:rPr>
            </w:pPr>
          </w:p>
        </w:tc>
      </w:tr>
      <w:tr w:rsidR="004F0B0E" w:rsidRPr="008669C3" w14:paraId="12449EA5" w14:textId="77777777" w:rsidTr="004F0B0E">
        <w:trPr>
          <w:trHeight w:val="245"/>
        </w:trPr>
        <w:tc>
          <w:tcPr>
            <w:tcW w:w="0" w:type="auto"/>
            <w:tcBorders>
              <w:top w:val="nil"/>
              <w:left w:val="nil"/>
              <w:bottom w:val="nil"/>
              <w:right w:val="nil"/>
            </w:tcBorders>
            <w:shd w:val="clear" w:color="auto" w:fill="auto"/>
            <w:noWrap/>
            <w:hideMark/>
          </w:tcPr>
          <w:p w14:paraId="6A6F6AB2" w14:textId="77777777" w:rsidR="00D348F9" w:rsidRPr="008669C3" w:rsidRDefault="00D348F9" w:rsidP="00C62FC4">
            <w:pPr>
              <w:jc w:val="both"/>
              <w:rPr>
                <w:szCs w:val="20"/>
              </w:rPr>
            </w:pPr>
            <w:r w:rsidRPr="008669C3">
              <w:rPr>
                <w:szCs w:val="20"/>
              </w:rPr>
              <w:t>CDS trading</w:t>
            </w:r>
          </w:p>
        </w:tc>
        <w:tc>
          <w:tcPr>
            <w:tcW w:w="8417" w:type="dxa"/>
            <w:tcBorders>
              <w:top w:val="nil"/>
              <w:left w:val="nil"/>
              <w:bottom w:val="nil"/>
              <w:right w:val="nil"/>
            </w:tcBorders>
            <w:shd w:val="clear" w:color="auto" w:fill="auto"/>
            <w:hideMark/>
          </w:tcPr>
          <w:p w14:paraId="4F5D2187" w14:textId="05E2EC15" w:rsidR="00A36DD3" w:rsidRPr="008669C3" w:rsidRDefault="00A36DD3" w:rsidP="00C62FC4">
            <w:pPr>
              <w:jc w:val="both"/>
              <w:rPr>
                <w:szCs w:val="20"/>
              </w:rPr>
            </w:pPr>
            <w:r w:rsidRPr="008669C3">
              <w:t>Dummy variable that equals one for a CDS firm after the inception of the firm’s CDS trading and zero prior to it.</w:t>
            </w:r>
          </w:p>
        </w:tc>
        <w:tc>
          <w:tcPr>
            <w:tcW w:w="2300" w:type="dxa"/>
            <w:tcBorders>
              <w:top w:val="nil"/>
              <w:left w:val="nil"/>
              <w:bottom w:val="nil"/>
              <w:right w:val="nil"/>
            </w:tcBorders>
            <w:shd w:val="clear" w:color="auto" w:fill="auto"/>
            <w:hideMark/>
          </w:tcPr>
          <w:p w14:paraId="42DC2357" w14:textId="77777777" w:rsidR="00D348F9" w:rsidRPr="008669C3" w:rsidRDefault="00D348F9" w:rsidP="00C62FC4">
            <w:pPr>
              <w:jc w:val="both"/>
              <w:rPr>
                <w:szCs w:val="20"/>
              </w:rPr>
            </w:pPr>
            <w:r w:rsidRPr="008669C3">
              <w:rPr>
                <w:szCs w:val="20"/>
              </w:rPr>
              <w:t>Bloomberg</w:t>
            </w:r>
          </w:p>
        </w:tc>
      </w:tr>
      <w:tr w:rsidR="004B0C70" w:rsidRPr="008669C3" w14:paraId="4EEC404D" w14:textId="77777777" w:rsidTr="0010733F">
        <w:trPr>
          <w:trHeight w:val="135"/>
        </w:trPr>
        <w:tc>
          <w:tcPr>
            <w:tcW w:w="0" w:type="auto"/>
            <w:tcBorders>
              <w:top w:val="nil"/>
              <w:left w:val="nil"/>
              <w:bottom w:val="nil"/>
              <w:right w:val="nil"/>
            </w:tcBorders>
            <w:shd w:val="clear" w:color="auto" w:fill="auto"/>
            <w:noWrap/>
            <w:vAlign w:val="center"/>
            <w:hideMark/>
          </w:tcPr>
          <w:p w14:paraId="6D86D1D7" w14:textId="77777777" w:rsidR="00D348F9" w:rsidRPr="008669C3" w:rsidRDefault="00D348F9" w:rsidP="00C62FC4">
            <w:pPr>
              <w:jc w:val="both"/>
              <w:rPr>
                <w:szCs w:val="20"/>
              </w:rPr>
            </w:pPr>
          </w:p>
        </w:tc>
        <w:tc>
          <w:tcPr>
            <w:tcW w:w="8417" w:type="dxa"/>
            <w:tcBorders>
              <w:top w:val="nil"/>
              <w:left w:val="nil"/>
              <w:bottom w:val="nil"/>
              <w:right w:val="nil"/>
            </w:tcBorders>
            <w:shd w:val="clear" w:color="auto" w:fill="auto"/>
            <w:vAlign w:val="center"/>
            <w:hideMark/>
          </w:tcPr>
          <w:p w14:paraId="682D2442" w14:textId="77777777" w:rsidR="00D348F9" w:rsidRPr="008669C3" w:rsidRDefault="00D348F9" w:rsidP="00C62FC4">
            <w:pPr>
              <w:jc w:val="both"/>
              <w:rPr>
                <w:szCs w:val="20"/>
              </w:rPr>
            </w:pPr>
          </w:p>
        </w:tc>
        <w:tc>
          <w:tcPr>
            <w:tcW w:w="2300" w:type="dxa"/>
            <w:tcBorders>
              <w:top w:val="nil"/>
              <w:left w:val="nil"/>
              <w:bottom w:val="nil"/>
              <w:right w:val="nil"/>
            </w:tcBorders>
            <w:shd w:val="clear" w:color="auto" w:fill="auto"/>
            <w:vAlign w:val="center"/>
            <w:hideMark/>
          </w:tcPr>
          <w:p w14:paraId="26D4DB42" w14:textId="77777777" w:rsidR="00D348F9" w:rsidRPr="008669C3" w:rsidRDefault="00D348F9" w:rsidP="00C62FC4">
            <w:pPr>
              <w:jc w:val="both"/>
              <w:rPr>
                <w:szCs w:val="20"/>
              </w:rPr>
            </w:pPr>
          </w:p>
        </w:tc>
      </w:tr>
      <w:tr w:rsidR="004B0C70" w:rsidRPr="008669C3" w14:paraId="69DA9DB4" w14:textId="77777777" w:rsidTr="0010733F">
        <w:trPr>
          <w:trHeight w:val="300"/>
        </w:trPr>
        <w:tc>
          <w:tcPr>
            <w:tcW w:w="0" w:type="auto"/>
            <w:tcBorders>
              <w:top w:val="nil"/>
              <w:left w:val="nil"/>
              <w:bottom w:val="nil"/>
              <w:right w:val="nil"/>
            </w:tcBorders>
            <w:shd w:val="clear" w:color="auto" w:fill="auto"/>
            <w:noWrap/>
            <w:vAlign w:val="center"/>
            <w:hideMark/>
          </w:tcPr>
          <w:p w14:paraId="586BB532" w14:textId="77777777" w:rsidR="00D348F9" w:rsidRPr="008669C3" w:rsidRDefault="00D348F9" w:rsidP="00C62FC4">
            <w:pPr>
              <w:jc w:val="both"/>
              <w:rPr>
                <w:i/>
                <w:iCs/>
                <w:szCs w:val="20"/>
                <w:u w:val="single"/>
              </w:rPr>
            </w:pPr>
            <w:r w:rsidRPr="008669C3">
              <w:rPr>
                <w:i/>
                <w:iCs/>
                <w:szCs w:val="20"/>
                <w:u w:val="single"/>
              </w:rPr>
              <w:t>Firm characteristics</w:t>
            </w:r>
          </w:p>
        </w:tc>
        <w:tc>
          <w:tcPr>
            <w:tcW w:w="8417" w:type="dxa"/>
            <w:tcBorders>
              <w:top w:val="nil"/>
              <w:left w:val="nil"/>
              <w:bottom w:val="nil"/>
              <w:right w:val="nil"/>
            </w:tcBorders>
            <w:shd w:val="clear" w:color="auto" w:fill="auto"/>
            <w:vAlign w:val="center"/>
            <w:hideMark/>
          </w:tcPr>
          <w:p w14:paraId="3713163B" w14:textId="77777777" w:rsidR="00D348F9" w:rsidRPr="008669C3" w:rsidRDefault="00D348F9" w:rsidP="00C62FC4">
            <w:pPr>
              <w:jc w:val="both"/>
              <w:rPr>
                <w:i/>
                <w:iCs/>
                <w:szCs w:val="20"/>
                <w:u w:val="single"/>
              </w:rPr>
            </w:pPr>
          </w:p>
        </w:tc>
        <w:tc>
          <w:tcPr>
            <w:tcW w:w="2300" w:type="dxa"/>
            <w:tcBorders>
              <w:top w:val="nil"/>
              <w:left w:val="nil"/>
              <w:bottom w:val="nil"/>
              <w:right w:val="nil"/>
            </w:tcBorders>
            <w:shd w:val="clear" w:color="auto" w:fill="auto"/>
            <w:vAlign w:val="center"/>
            <w:hideMark/>
          </w:tcPr>
          <w:p w14:paraId="7248B1D1" w14:textId="77777777" w:rsidR="00D348F9" w:rsidRPr="008669C3" w:rsidRDefault="00D348F9" w:rsidP="00C62FC4">
            <w:pPr>
              <w:jc w:val="both"/>
              <w:rPr>
                <w:szCs w:val="20"/>
              </w:rPr>
            </w:pPr>
          </w:p>
        </w:tc>
      </w:tr>
      <w:tr w:rsidR="004B0C70" w:rsidRPr="008669C3" w14:paraId="10869AA0" w14:textId="77777777" w:rsidTr="0010733F">
        <w:trPr>
          <w:trHeight w:val="300"/>
        </w:trPr>
        <w:tc>
          <w:tcPr>
            <w:tcW w:w="0" w:type="auto"/>
            <w:tcBorders>
              <w:top w:val="nil"/>
              <w:left w:val="nil"/>
              <w:bottom w:val="nil"/>
              <w:right w:val="nil"/>
            </w:tcBorders>
            <w:shd w:val="clear" w:color="auto" w:fill="auto"/>
            <w:noWrap/>
            <w:hideMark/>
          </w:tcPr>
          <w:p w14:paraId="02E0E91F" w14:textId="77777777" w:rsidR="00D348F9" w:rsidRPr="008669C3" w:rsidRDefault="00DD03FF" w:rsidP="00C62FC4">
            <w:pPr>
              <w:jc w:val="both"/>
              <w:rPr>
                <w:szCs w:val="20"/>
              </w:rPr>
            </w:pPr>
            <w:r w:rsidRPr="008669C3">
              <w:rPr>
                <w:szCs w:val="20"/>
              </w:rPr>
              <w:t>Ln</w:t>
            </w:r>
            <w:r w:rsidR="00D348F9" w:rsidRPr="008669C3">
              <w:rPr>
                <w:szCs w:val="20"/>
              </w:rPr>
              <w:t>(Sale</w:t>
            </w:r>
            <w:r w:rsidRPr="008669C3">
              <w:rPr>
                <w:szCs w:val="20"/>
              </w:rPr>
              <w:t>s</w:t>
            </w:r>
            <w:r w:rsidR="00D348F9" w:rsidRPr="008669C3">
              <w:rPr>
                <w:szCs w:val="20"/>
              </w:rPr>
              <w:t>)</w:t>
            </w:r>
          </w:p>
        </w:tc>
        <w:tc>
          <w:tcPr>
            <w:tcW w:w="8417" w:type="dxa"/>
            <w:tcBorders>
              <w:top w:val="nil"/>
              <w:left w:val="nil"/>
              <w:bottom w:val="nil"/>
              <w:right w:val="nil"/>
            </w:tcBorders>
            <w:shd w:val="clear" w:color="auto" w:fill="auto"/>
            <w:hideMark/>
          </w:tcPr>
          <w:p w14:paraId="095BFEDD" w14:textId="77777777" w:rsidR="00D348F9" w:rsidRPr="008669C3" w:rsidRDefault="00DD03FF" w:rsidP="00FB3B9E">
            <w:pPr>
              <w:jc w:val="both"/>
              <w:rPr>
                <w:szCs w:val="20"/>
              </w:rPr>
            </w:pPr>
            <w:r w:rsidRPr="008669C3">
              <w:rPr>
                <w:szCs w:val="20"/>
              </w:rPr>
              <w:t>N</w:t>
            </w:r>
            <w:r w:rsidR="00D348F9" w:rsidRPr="008669C3">
              <w:rPr>
                <w:szCs w:val="20"/>
              </w:rPr>
              <w:t xml:space="preserve">atural logarithm of sales. </w:t>
            </w:r>
          </w:p>
        </w:tc>
        <w:tc>
          <w:tcPr>
            <w:tcW w:w="2300" w:type="dxa"/>
            <w:tcBorders>
              <w:top w:val="nil"/>
              <w:left w:val="nil"/>
              <w:bottom w:val="nil"/>
              <w:right w:val="nil"/>
            </w:tcBorders>
            <w:shd w:val="clear" w:color="auto" w:fill="auto"/>
            <w:hideMark/>
          </w:tcPr>
          <w:p w14:paraId="294D2B65" w14:textId="77777777" w:rsidR="00D348F9" w:rsidRPr="008669C3" w:rsidRDefault="00D348F9" w:rsidP="00C62FC4">
            <w:pPr>
              <w:jc w:val="both"/>
              <w:rPr>
                <w:szCs w:val="20"/>
              </w:rPr>
            </w:pPr>
            <w:r w:rsidRPr="008669C3">
              <w:rPr>
                <w:szCs w:val="20"/>
              </w:rPr>
              <w:t>Compustat</w:t>
            </w:r>
          </w:p>
        </w:tc>
      </w:tr>
      <w:tr w:rsidR="004B0C70" w:rsidRPr="008669C3" w14:paraId="5BD85767" w14:textId="77777777" w:rsidTr="0010733F">
        <w:trPr>
          <w:trHeight w:val="300"/>
        </w:trPr>
        <w:tc>
          <w:tcPr>
            <w:tcW w:w="0" w:type="auto"/>
            <w:tcBorders>
              <w:top w:val="nil"/>
              <w:left w:val="nil"/>
              <w:bottom w:val="nil"/>
              <w:right w:val="nil"/>
            </w:tcBorders>
            <w:shd w:val="clear" w:color="auto" w:fill="auto"/>
            <w:noWrap/>
            <w:hideMark/>
          </w:tcPr>
          <w:p w14:paraId="16E6A7A9" w14:textId="77777777" w:rsidR="00D348F9" w:rsidRPr="008669C3" w:rsidRDefault="00D348F9" w:rsidP="00C62FC4">
            <w:pPr>
              <w:jc w:val="both"/>
              <w:rPr>
                <w:szCs w:val="20"/>
              </w:rPr>
            </w:pPr>
            <w:r w:rsidRPr="008669C3">
              <w:rPr>
                <w:szCs w:val="20"/>
              </w:rPr>
              <w:t>ROA</w:t>
            </w:r>
          </w:p>
        </w:tc>
        <w:tc>
          <w:tcPr>
            <w:tcW w:w="8417" w:type="dxa"/>
            <w:tcBorders>
              <w:top w:val="nil"/>
              <w:left w:val="nil"/>
              <w:bottom w:val="nil"/>
              <w:right w:val="nil"/>
            </w:tcBorders>
            <w:shd w:val="clear" w:color="auto" w:fill="auto"/>
            <w:hideMark/>
          </w:tcPr>
          <w:p w14:paraId="29BAAAB7" w14:textId="77777777" w:rsidR="00D348F9" w:rsidRPr="008669C3" w:rsidRDefault="00DD03FF" w:rsidP="00C62FC4">
            <w:pPr>
              <w:jc w:val="both"/>
              <w:rPr>
                <w:szCs w:val="20"/>
              </w:rPr>
            </w:pPr>
            <w:r w:rsidRPr="008669C3">
              <w:rPr>
                <w:szCs w:val="20"/>
              </w:rPr>
              <w:t>Earnings before interest and taxes divided by total assets</w:t>
            </w:r>
          </w:p>
        </w:tc>
        <w:tc>
          <w:tcPr>
            <w:tcW w:w="2300" w:type="dxa"/>
            <w:tcBorders>
              <w:top w:val="nil"/>
              <w:left w:val="nil"/>
              <w:bottom w:val="nil"/>
              <w:right w:val="nil"/>
            </w:tcBorders>
            <w:shd w:val="clear" w:color="auto" w:fill="auto"/>
            <w:hideMark/>
          </w:tcPr>
          <w:p w14:paraId="79340608" w14:textId="77777777" w:rsidR="00D348F9" w:rsidRPr="008669C3" w:rsidRDefault="00D348F9" w:rsidP="00C62FC4">
            <w:pPr>
              <w:jc w:val="both"/>
              <w:rPr>
                <w:szCs w:val="20"/>
              </w:rPr>
            </w:pPr>
            <w:r w:rsidRPr="008669C3">
              <w:rPr>
                <w:szCs w:val="20"/>
              </w:rPr>
              <w:t>Compustat</w:t>
            </w:r>
          </w:p>
        </w:tc>
      </w:tr>
      <w:tr w:rsidR="004B0C70" w:rsidRPr="008669C3" w14:paraId="63D7105F" w14:textId="77777777" w:rsidTr="0010733F">
        <w:trPr>
          <w:trHeight w:val="300"/>
        </w:trPr>
        <w:tc>
          <w:tcPr>
            <w:tcW w:w="0" w:type="auto"/>
            <w:tcBorders>
              <w:top w:val="nil"/>
              <w:left w:val="nil"/>
              <w:bottom w:val="nil"/>
              <w:right w:val="nil"/>
            </w:tcBorders>
            <w:shd w:val="clear" w:color="auto" w:fill="auto"/>
            <w:noWrap/>
            <w:hideMark/>
          </w:tcPr>
          <w:p w14:paraId="159E01A2" w14:textId="77777777" w:rsidR="00D348F9" w:rsidRPr="008669C3" w:rsidRDefault="00D348F9" w:rsidP="00C62FC4">
            <w:pPr>
              <w:jc w:val="both"/>
              <w:rPr>
                <w:szCs w:val="20"/>
              </w:rPr>
            </w:pPr>
            <w:r w:rsidRPr="008669C3">
              <w:rPr>
                <w:szCs w:val="20"/>
              </w:rPr>
              <w:t>Tobin’s q</w:t>
            </w:r>
          </w:p>
        </w:tc>
        <w:tc>
          <w:tcPr>
            <w:tcW w:w="8417" w:type="dxa"/>
            <w:tcBorders>
              <w:top w:val="nil"/>
              <w:left w:val="nil"/>
              <w:bottom w:val="nil"/>
              <w:right w:val="nil"/>
            </w:tcBorders>
            <w:shd w:val="clear" w:color="auto" w:fill="auto"/>
            <w:hideMark/>
          </w:tcPr>
          <w:p w14:paraId="69B156F3" w14:textId="77777777" w:rsidR="00DD03FF" w:rsidRPr="008669C3" w:rsidRDefault="00DD03FF" w:rsidP="00C62FC4">
            <w:pPr>
              <w:jc w:val="both"/>
              <w:rPr>
                <w:szCs w:val="20"/>
              </w:rPr>
            </w:pPr>
            <w:r w:rsidRPr="008669C3">
              <w:rPr>
                <w:szCs w:val="20"/>
              </w:rPr>
              <w:t>Sum of total assets plus market value of equity minus book value of equity divided by total assets</w:t>
            </w:r>
          </w:p>
        </w:tc>
        <w:tc>
          <w:tcPr>
            <w:tcW w:w="2300" w:type="dxa"/>
            <w:tcBorders>
              <w:top w:val="nil"/>
              <w:left w:val="nil"/>
              <w:bottom w:val="nil"/>
              <w:right w:val="nil"/>
            </w:tcBorders>
            <w:shd w:val="clear" w:color="auto" w:fill="auto"/>
            <w:hideMark/>
          </w:tcPr>
          <w:p w14:paraId="5361A3D5" w14:textId="77777777" w:rsidR="00D348F9" w:rsidRPr="008669C3" w:rsidRDefault="00D348F9" w:rsidP="00C62FC4">
            <w:pPr>
              <w:jc w:val="both"/>
              <w:rPr>
                <w:szCs w:val="20"/>
              </w:rPr>
            </w:pPr>
            <w:bookmarkStart w:id="1" w:name="OLE_LINK14"/>
            <w:r w:rsidRPr="008669C3">
              <w:rPr>
                <w:szCs w:val="20"/>
              </w:rPr>
              <w:t>Compustat</w:t>
            </w:r>
            <w:bookmarkEnd w:id="1"/>
          </w:p>
        </w:tc>
      </w:tr>
      <w:tr w:rsidR="004B0C70" w:rsidRPr="008669C3" w14:paraId="7C550EAC" w14:textId="77777777" w:rsidTr="0010733F">
        <w:trPr>
          <w:trHeight w:val="300"/>
        </w:trPr>
        <w:tc>
          <w:tcPr>
            <w:tcW w:w="0" w:type="auto"/>
            <w:tcBorders>
              <w:top w:val="nil"/>
              <w:left w:val="nil"/>
              <w:bottom w:val="nil"/>
              <w:right w:val="nil"/>
            </w:tcBorders>
            <w:shd w:val="clear" w:color="auto" w:fill="auto"/>
            <w:noWrap/>
            <w:hideMark/>
          </w:tcPr>
          <w:p w14:paraId="4C9BFF3A" w14:textId="77777777" w:rsidR="00D348F9" w:rsidRPr="008669C3" w:rsidRDefault="00BC07E3" w:rsidP="00C62FC4">
            <w:pPr>
              <w:jc w:val="both"/>
              <w:rPr>
                <w:szCs w:val="20"/>
              </w:rPr>
            </w:pPr>
            <w:r w:rsidRPr="008669C3">
              <w:rPr>
                <w:szCs w:val="20"/>
              </w:rPr>
              <w:t>Stock return</w:t>
            </w:r>
          </w:p>
        </w:tc>
        <w:tc>
          <w:tcPr>
            <w:tcW w:w="8417" w:type="dxa"/>
            <w:tcBorders>
              <w:top w:val="nil"/>
              <w:left w:val="nil"/>
              <w:bottom w:val="nil"/>
              <w:right w:val="nil"/>
            </w:tcBorders>
            <w:shd w:val="clear" w:color="auto" w:fill="auto"/>
            <w:hideMark/>
          </w:tcPr>
          <w:p w14:paraId="179B316F" w14:textId="77777777" w:rsidR="00D348F9" w:rsidRPr="008669C3" w:rsidRDefault="00D348F9" w:rsidP="00C62FC4">
            <w:pPr>
              <w:jc w:val="both"/>
              <w:rPr>
                <w:szCs w:val="20"/>
              </w:rPr>
            </w:pPr>
            <w:r w:rsidRPr="008669C3">
              <w:rPr>
                <w:szCs w:val="20"/>
              </w:rPr>
              <w:t>Annual stock returns</w:t>
            </w:r>
            <w:r w:rsidR="00DD03FF" w:rsidRPr="008669C3">
              <w:rPr>
                <w:szCs w:val="20"/>
              </w:rPr>
              <w:t xml:space="preserve"> over the past year</w:t>
            </w:r>
            <w:r w:rsidRPr="008669C3">
              <w:rPr>
                <w:szCs w:val="20"/>
              </w:rPr>
              <w:t xml:space="preserve">.  </w:t>
            </w:r>
          </w:p>
        </w:tc>
        <w:tc>
          <w:tcPr>
            <w:tcW w:w="2300" w:type="dxa"/>
            <w:tcBorders>
              <w:top w:val="nil"/>
              <w:left w:val="nil"/>
              <w:bottom w:val="nil"/>
              <w:right w:val="nil"/>
            </w:tcBorders>
            <w:shd w:val="clear" w:color="auto" w:fill="auto"/>
            <w:hideMark/>
          </w:tcPr>
          <w:p w14:paraId="37C42F3D" w14:textId="77777777" w:rsidR="00D348F9" w:rsidRPr="008669C3" w:rsidRDefault="00D348F9" w:rsidP="00C62FC4">
            <w:pPr>
              <w:jc w:val="both"/>
              <w:rPr>
                <w:szCs w:val="20"/>
              </w:rPr>
            </w:pPr>
            <w:r w:rsidRPr="008669C3">
              <w:rPr>
                <w:szCs w:val="20"/>
              </w:rPr>
              <w:t>Compustat</w:t>
            </w:r>
          </w:p>
        </w:tc>
      </w:tr>
      <w:tr w:rsidR="004B0C70" w:rsidRPr="008669C3" w14:paraId="1C6A8527" w14:textId="77777777" w:rsidTr="0010733F">
        <w:trPr>
          <w:trHeight w:val="300"/>
        </w:trPr>
        <w:tc>
          <w:tcPr>
            <w:tcW w:w="0" w:type="auto"/>
            <w:tcBorders>
              <w:top w:val="nil"/>
              <w:left w:val="nil"/>
              <w:bottom w:val="nil"/>
              <w:right w:val="nil"/>
            </w:tcBorders>
            <w:shd w:val="clear" w:color="auto" w:fill="auto"/>
            <w:noWrap/>
            <w:hideMark/>
          </w:tcPr>
          <w:p w14:paraId="6620E2AE" w14:textId="77777777" w:rsidR="00D348F9" w:rsidRPr="008669C3" w:rsidRDefault="00682BBB" w:rsidP="00C62FC4">
            <w:pPr>
              <w:jc w:val="both"/>
              <w:rPr>
                <w:szCs w:val="20"/>
              </w:rPr>
            </w:pPr>
            <w:r w:rsidRPr="008669C3">
              <w:rPr>
                <w:szCs w:val="20"/>
              </w:rPr>
              <w:t>V</w:t>
            </w:r>
            <w:r w:rsidR="00BC07E3" w:rsidRPr="008669C3">
              <w:rPr>
                <w:szCs w:val="20"/>
              </w:rPr>
              <w:t xml:space="preserve">olatility </w:t>
            </w:r>
          </w:p>
        </w:tc>
        <w:tc>
          <w:tcPr>
            <w:tcW w:w="8417" w:type="dxa"/>
            <w:tcBorders>
              <w:top w:val="nil"/>
              <w:left w:val="nil"/>
              <w:bottom w:val="nil"/>
              <w:right w:val="nil"/>
            </w:tcBorders>
            <w:shd w:val="clear" w:color="auto" w:fill="auto"/>
            <w:hideMark/>
          </w:tcPr>
          <w:p w14:paraId="16A51357" w14:textId="77777777" w:rsidR="00D348F9" w:rsidRPr="008669C3" w:rsidRDefault="00DD03FF" w:rsidP="00C62FC4">
            <w:pPr>
              <w:jc w:val="both"/>
              <w:rPr>
                <w:szCs w:val="20"/>
              </w:rPr>
            </w:pPr>
            <w:r w:rsidRPr="008669C3">
              <w:rPr>
                <w:szCs w:val="20"/>
              </w:rPr>
              <w:t>Annualized standard deviation of monthly stock return over the past year.</w:t>
            </w:r>
          </w:p>
        </w:tc>
        <w:tc>
          <w:tcPr>
            <w:tcW w:w="2300" w:type="dxa"/>
            <w:tcBorders>
              <w:top w:val="nil"/>
              <w:left w:val="nil"/>
              <w:bottom w:val="nil"/>
              <w:right w:val="nil"/>
            </w:tcBorders>
            <w:shd w:val="clear" w:color="auto" w:fill="auto"/>
            <w:hideMark/>
          </w:tcPr>
          <w:p w14:paraId="55E3BA2F" w14:textId="77777777" w:rsidR="00D348F9" w:rsidRPr="008669C3" w:rsidRDefault="00D348F9" w:rsidP="00C62FC4">
            <w:pPr>
              <w:jc w:val="both"/>
              <w:rPr>
                <w:szCs w:val="20"/>
              </w:rPr>
            </w:pPr>
            <w:r w:rsidRPr="008669C3">
              <w:rPr>
                <w:szCs w:val="20"/>
              </w:rPr>
              <w:t>CRSP</w:t>
            </w:r>
          </w:p>
        </w:tc>
      </w:tr>
      <w:tr w:rsidR="00D56275" w:rsidRPr="008669C3" w14:paraId="7F00D385" w14:textId="77777777" w:rsidTr="0010733F">
        <w:trPr>
          <w:trHeight w:val="300"/>
        </w:trPr>
        <w:tc>
          <w:tcPr>
            <w:tcW w:w="0" w:type="auto"/>
            <w:tcBorders>
              <w:top w:val="nil"/>
              <w:left w:val="nil"/>
              <w:bottom w:val="nil"/>
              <w:right w:val="nil"/>
            </w:tcBorders>
            <w:shd w:val="clear" w:color="auto" w:fill="auto"/>
            <w:noWrap/>
          </w:tcPr>
          <w:p w14:paraId="785B36B3" w14:textId="2DA56BD7" w:rsidR="00D56275" w:rsidRPr="008669C3" w:rsidRDefault="00D56275" w:rsidP="00C62FC4">
            <w:pPr>
              <w:jc w:val="both"/>
              <w:rPr>
                <w:szCs w:val="20"/>
              </w:rPr>
            </w:pPr>
            <w:r w:rsidRPr="008669C3">
              <w:rPr>
                <w:szCs w:val="20"/>
              </w:rPr>
              <w:t>Z-score</w:t>
            </w:r>
          </w:p>
        </w:tc>
        <w:tc>
          <w:tcPr>
            <w:tcW w:w="8417" w:type="dxa"/>
            <w:tcBorders>
              <w:top w:val="nil"/>
              <w:left w:val="nil"/>
              <w:bottom w:val="nil"/>
              <w:right w:val="nil"/>
            </w:tcBorders>
            <w:shd w:val="clear" w:color="auto" w:fill="auto"/>
          </w:tcPr>
          <w:p w14:paraId="5E4E676A" w14:textId="267F8F06" w:rsidR="007115F5" w:rsidRPr="008669C3" w:rsidRDefault="00D56275" w:rsidP="00C934D9">
            <w:pPr>
              <w:jc w:val="both"/>
              <w:rPr>
                <w:szCs w:val="20"/>
              </w:rPr>
            </w:pPr>
            <w:r w:rsidRPr="008669C3">
              <w:rPr>
                <w:szCs w:val="20"/>
              </w:rPr>
              <w:t xml:space="preserve">A measure of firm distress risk based on the </w:t>
            </w:r>
            <w:r w:rsidR="00C934D9" w:rsidRPr="008669C3">
              <w:rPr>
                <w:szCs w:val="20"/>
              </w:rPr>
              <w:t>Z</w:t>
            </w:r>
            <w:r w:rsidRPr="008669C3">
              <w:rPr>
                <w:szCs w:val="20"/>
              </w:rPr>
              <w:t>-score model of Altman (1968).</w:t>
            </w:r>
            <w:r w:rsidR="007115F5">
              <w:rPr>
                <w:szCs w:val="20"/>
              </w:rPr>
              <w:t xml:space="preserve"> </w:t>
            </w:r>
            <w:r w:rsidR="007115F5" w:rsidRPr="007115F5">
              <w:rPr>
                <w:szCs w:val="20"/>
              </w:rPr>
              <w:t>The Z-score is computed as: 1.2 × (working capital/total assets) + 1.4 × (retained earnings/total assets) + 3.3 × (earnings before interest and taxes/total assets) + 0.6 × (market value of equity/book value of liabilities) + 0.999 × (net sales/total assets).</w:t>
            </w:r>
          </w:p>
        </w:tc>
        <w:tc>
          <w:tcPr>
            <w:tcW w:w="2300" w:type="dxa"/>
            <w:tcBorders>
              <w:top w:val="nil"/>
              <w:left w:val="nil"/>
              <w:bottom w:val="nil"/>
              <w:right w:val="nil"/>
            </w:tcBorders>
            <w:shd w:val="clear" w:color="auto" w:fill="auto"/>
          </w:tcPr>
          <w:p w14:paraId="00E2270D" w14:textId="1ADF6C44" w:rsidR="00D56275" w:rsidRPr="008669C3" w:rsidRDefault="00D56275" w:rsidP="00C62FC4">
            <w:pPr>
              <w:jc w:val="both"/>
              <w:rPr>
                <w:szCs w:val="20"/>
              </w:rPr>
            </w:pPr>
            <w:r w:rsidRPr="008669C3">
              <w:rPr>
                <w:szCs w:val="20"/>
              </w:rPr>
              <w:t>Compustat</w:t>
            </w:r>
          </w:p>
        </w:tc>
      </w:tr>
      <w:tr w:rsidR="00D56275" w:rsidRPr="008669C3" w14:paraId="64FFE07B" w14:textId="77777777" w:rsidTr="0010733F">
        <w:trPr>
          <w:trHeight w:val="300"/>
        </w:trPr>
        <w:tc>
          <w:tcPr>
            <w:tcW w:w="0" w:type="auto"/>
            <w:tcBorders>
              <w:top w:val="nil"/>
              <w:left w:val="nil"/>
              <w:bottom w:val="nil"/>
              <w:right w:val="nil"/>
            </w:tcBorders>
            <w:shd w:val="clear" w:color="auto" w:fill="auto"/>
            <w:noWrap/>
          </w:tcPr>
          <w:p w14:paraId="291605B7" w14:textId="7B459135" w:rsidR="00D56275" w:rsidRPr="008669C3" w:rsidRDefault="00D56275" w:rsidP="00C62FC4">
            <w:pPr>
              <w:jc w:val="both"/>
              <w:rPr>
                <w:szCs w:val="20"/>
              </w:rPr>
            </w:pPr>
            <w:r w:rsidRPr="008669C3">
              <w:rPr>
                <w:szCs w:val="20"/>
              </w:rPr>
              <w:t>KZ index</w:t>
            </w:r>
          </w:p>
        </w:tc>
        <w:tc>
          <w:tcPr>
            <w:tcW w:w="8417" w:type="dxa"/>
            <w:tcBorders>
              <w:top w:val="nil"/>
              <w:left w:val="nil"/>
              <w:bottom w:val="nil"/>
              <w:right w:val="nil"/>
            </w:tcBorders>
            <w:shd w:val="clear" w:color="auto" w:fill="auto"/>
          </w:tcPr>
          <w:p w14:paraId="4CE60975" w14:textId="55B5E1E7" w:rsidR="007115F5" w:rsidRPr="007115F5" w:rsidRDefault="00D56275" w:rsidP="007115F5">
            <w:pPr>
              <w:jc w:val="both"/>
              <w:rPr>
                <w:szCs w:val="20"/>
              </w:rPr>
            </w:pPr>
            <w:r w:rsidRPr="008669C3">
              <w:rPr>
                <w:szCs w:val="20"/>
              </w:rPr>
              <w:t xml:space="preserve">An index of financial constraints </w:t>
            </w:r>
            <w:r w:rsidR="006C0E03" w:rsidRPr="008669C3">
              <w:rPr>
                <w:szCs w:val="20"/>
              </w:rPr>
              <w:t>based on the work of</w:t>
            </w:r>
            <w:r w:rsidRPr="008669C3">
              <w:rPr>
                <w:szCs w:val="20"/>
              </w:rPr>
              <w:t xml:space="preserve"> Kaplan and Zingales (1997).</w:t>
            </w:r>
            <w:r w:rsidR="007115F5">
              <w:rPr>
                <w:szCs w:val="20"/>
              </w:rPr>
              <w:t xml:space="preserve"> </w:t>
            </w:r>
            <w:r w:rsidR="007115F5" w:rsidRPr="007115F5">
              <w:rPr>
                <w:szCs w:val="20"/>
              </w:rPr>
              <w:t xml:space="preserve">The KZ index is computed as -1.002 × </w:t>
            </w:r>
            <w:r w:rsidR="007115F5" w:rsidRPr="007115F5">
              <w:rPr>
                <w:i/>
                <w:szCs w:val="20"/>
              </w:rPr>
              <w:t>Cash flow/K</w:t>
            </w:r>
            <w:r w:rsidR="007115F5" w:rsidRPr="007115F5">
              <w:rPr>
                <w:szCs w:val="20"/>
              </w:rPr>
              <w:t xml:space="preserve"> + 0.283 × </w:t>
            </w:r>
            <w:r w:rsidR="007115F5" w:rsidRPr="007115F5">
              <w:rPr>
                <w:i/>
                <w:szCs w:val="20"/>
              </w:rPr>
              <w:t>Tobin's Q</w:t>
            </w:r>
            <w:r w:rsidR="007115F5" w:rsidRPr="007115F5">
              <w:rPr>
                <w:szCs w:val="20"/>
              </w:rPr>
              <w:t xml:space="preserve"> + 3.139 × </w:t>
            </w:r>
            <w:r w:rsidR="007115F5" w:rsidRPr="007115F5">
              <w:rPr>
                <w:i/>
                <w:szCs w:val="20"/>
              </w:rPr>
              <w:t>Leverage</w:t>
            </w:r>
            <w:r w:rsidR="007115F5" w:rsidRPr="007115F5">
              <w:rPr>
                <w:szCs w:val="20"/>
              </w:rPr>
              <w:t xml:space="preserve"> – 39.368 × </w:t>
            </w:r>
            <w:r w:rsidR="007115F5" w:rsidRPr="007115F5">
              <w:rPr>
                <w:i/>
                <w:szCs w:val="20"/>
              </w:rPr>
              <w:t>dividends/K</w:t>
            </w:r>
            <w:r w:rsidR="007115F5" w:rsidRPr="007115F5">
              <w:rPr>
                <w:szCs w:val="20"/>
              </w:rPr>
              <w:t xml:space="preserve"> – 1.315 × </w:t>
            </w:r>
            <w:r w:rsidR="007115F5" w:rsidRPr="007115F5">
              <w:rPr>
                <w:i/>
                <w:szCs w:val="20"/>
              </w:rPr>
              <w:t>cash holdings/K</w:t>
            </w:r>
            <w:r w:rsidR="007115F5" w:rsidRPr="007115F5">
              <w:rPr>
                <w:szCs w:val="20"/>
              </w:rPr>
              <w:t xml:space="preserve">, where </w:t>
            </w:r>
            <w:r w:rsidR="007115F5" w:rsidRPr="007115F5">
              <w:rPr>
                <w:i/>
                <w:szCs w:val="20"/>
              </w:rPr>
              <w:t>Cash flow</w:t>
            </w:r>
            <w:r w:rsidR="007115F5" w:rsidRPr="007115F5">
              <w:rPr>
                <w:szCs w:val="20"/>
              </w:rPr>
              <w:t xml:space="preserve"> is the sum of income before extraordinary items and depreciation. </w:t>
            </w:r>
            <w:r w:rsidR="007115F5" w:rsidRPr="007115F5">
              <w:rPr>
                <w:i/>
                <w:szCs w:val="20"/>
              </w:rPr>
              <w:t>K</w:t>
            </w:r>
            <w:r w:rsidR="007115F5" w:rsidRPr="007115F5">
              <w:rPr>
                <w:szCs w:val="20"/>
              </w:rPr>
              <w:t xml:space="preserve"> is the beginning of year capital defined as net property, plant &amp; equipment. </w:t>
            </w:r>
            <w:r w:rsidR="007115F5" w:rsidRPr="007115F5">
              <w:rPr>
                <w:i/>
                <w:szCs w:val="20"/>
              </w:rPr>
              <w:t>Tobin's Q</w:t>
            </w:r>
            <w:r w:rsidR="007115F5" w:rsidRPr="007115F5">
              <w:rPr>
                <w:szCs w:val="20"/>
              </w:rPr>
              <w:t xml:space="preserve"> is computed as the sum of total assets and the market value of equity less the sum of the book value of equity and deferred taxes, all divided by total assets. </w:t>
            </w:r>
            <w:r w:rsidR="007115F5" w:rsidRPr="007115F5">
              <w:rPr>
                <w:i/>
                <w:szCs w:val="20"/>
              </w:rPr>
              <w:t>Leverage</w:t>
            </w:r>
            <w:r w:rsidR="007115F5" w:rsidRPr="007115F5">
              <w:rPr>
                <w:szCs w:val="20"/>
              </w:rPr>
              <w:t> is the sum of long-term debt and debt in current liabilities, divided by the sum of long-term debt, debt in current liabilities and total stockholders' equity. </w:t>
            </w:r>
            <w:r w:rsidR="007115F5" w:rsidRPr="007115F5">
              <w:rPr>
                <w:i/>
                <w:szCs w:val="20"/>
              </w:rPr>
              <w:t>Dividends</w:t>
            </w:r>
            <w:r w:rsidR="007115F5" w:rsidRPr="007115F5">
              <w:rPr>
                <w:szCs w:val="20"/>
              </w:rPr>
              <w:t xml:space="preserve"> is the sum of common and preferred dividends. </w:t>
            </w:r>
            <w:r w:rsidR="007115F5" w:rsidRPr="007115F5">
              <w:rPr>
                <w:i/>
                <w:szCs w:val="20"/>
              </w:rPr>
              <w:t>Cash holdings</w:t>
            </w:r>
            <w:r w:rsidR="007115F5" w:rsidRPr="007115F5">
              <w:rPr>
                <w:szCs w:val="20"/>
              </w:rPr>
              <w:t> is the cash and short-term investments.</w:t>
            </w:r>
          </w:p>
        </w:tc>
        <w:tc>
          <w:tcPr>
            <w:tcW w:w="2300" w:type="dxa"/>
            <w:tcBorders>
              <w:top w:val="nil"/>
              <w:left w:val="nil"/>
              <w:bottom w:val="nil"/>
              <w:right w:val="nil"/>
            </w:tcBorders>
            <w:shd w:val="clear" w:color="auto" w:fill="auto"/>
          </w:tcPr>
          <w:p w14:paraId="3005AE63" w14:textId="08493B28" w:rsidR="00D56275" w:rsidRPr="008669C3" w:rsidRDefault="00D56275" w:rsidP="00C62FC4">
            <w:pPr>
              <w:jc w:val="both"/>
              <w:rPr>
                <w:szCs w:val="20"/>
              </w:rPr>
            </w:pPr>
            <w:r w:rsidRPr="008669C3">
              <w:rPr>
                <w:szCs w:val="20"/>
              </w:rPr>
              <w:t>Compustat</w:t>
            </w:r>
          </w:p>
        </w:tc>
      </w:tr>
      <w:tr w:rsidR="00D56275" w:rsidRPr="008669C3" w14:paraId="24D912C1" w14:textId="77777777" w:rsidTr="0010733F">
        <w:trPr>
          <w:trHeight w:val="300"/>
        </w:trPr>
        <w:tc>
          <w:tcPr>
            <w:tcW w:w="0" w:type="auto"/>
            <w:tcBorders>
              <w:top w:val="nil"/>
              <w:left w:val="nil"/>
              <w:bottom w:val="nil"/>
              <w:right w:val="nil"/>
            </w:tcBorders>
            <w:shd w:val="clear" w:color="auto" w:fill="auto"/>
            <w:noWrap/>
          </w:tcPr>
          <w:p w14:paraId="4753CAB1" w14:textId="24908229" w:rsidR="00D56275" w:rsidRPr="008669C3" w:rsidRDefault="00D56275" w:rsidP="00C62FC4">
            <w:pPr>
              <w:jc w:val="both"/>
              <w:rPr>
                <w:szCs w:val="20"/>
              </w:rPr>
            </w:pPr>
            <w:r w:rsidRPr="008669C3">
              <w:rPr>
                <w:szCs w:val="20"/>
              </w:rPr>
              <w:lastRenderedPageBreak/>
              <w:t>Bank debt</w:t>
            </w:r>
          </w:p>
        </w:tc>
        <w:tc>
          <w:tcPr>
            <w:tcW w:w="8417" w:type="dxa"/>
            <w:tcBorders>
              <w:top w:val="nil"/>
              <w:left w:val="nil"/>
              <w:bottom w:val="nil"/>
              <w:right w:val="nil"/>
            </w:tcBorders>
            <w:shd w:val="clear" w:color="auto" w:fill="auto"/>
          </w:tcPr>
          <w:p w14:paraId="7493B360" w14:textId="4A334E62" w:rsidR="00D56275" w:rsidRPr="008669C3" w:rsidRDefault="00D56275" w:rsidP="00D56275">
            <w:pPr>
              <w:autoSpaceDE w:val="0"/>
              <w:autoSpaceDN w:val="0"/>
              <w:adjustRightInd w:val="0"/>
              <w:rPr>
                <w:szCs w:val="20"/>
              </w:rPr>
            </w:pPr>
            <w:r w:rsidRPr="008669C3">
              <w:rPr>
                <w:szCs w:val="20"/>
              </w:rPr>
              <w:t xml:space="preserve">A dummy variable </w:t>
            </w:r>
            <w:r w:rsidR="008E495C" w:rsidRPr="008669C3">
              <w:rPr>
                <w:szCs w:val="20"/>
              </w:rPr>
              <w:t xml:space="preserve">that </w:t>
            </w:r>
            <w:r w:rsidRPr="008669C3">
              <w:rPr>
                <w:szCs w:val="20"/>
              </w:rPr>
              <w:t>equals one if the firm has bank debt, and zero otherwise.</w:t>
            </w:r>
          </w:p>
        </w:tc>
        <w:tc>
          <w:tcPr>
            <w:tcW w:w="2300" w:type="dxa"/>
            <w:tcBorders>
              <w:top w:val="nil"/>
              <w:left w:val="nil"/>
              <w:bottom w:val="nil"/>
              <w:right w:val="nil"/>
            </w:tcBorders>
            <w:shd w:val="clear" w:color="auto" w:fill="auto"/>
          </w:tcPr>
          <w:p w14:paraId="61556A3A" w14:textId="7C6F27D2" w:rsidR="00D56275" w:rsidRPr="008669C3" w:rsidRDefault="00D56275" w:rsidP="00C62FC4">
            <w:pPr>
              <w:jc w:val="both"/>
              <w:rPr>
                <w:szCs w:val="20"/>
              </w:rPr>
            </w:pPr>
            <w:r w:rsidRPr="008669C3">
              <w:rPr>
                <w:szCs w:val="20"/>
              </w:rPr>
              <w:t>Capital IQ</w:t>
            </w:r>
          </w:p>
        </w:tc>
      </w:tr>
      <w:tr w:rsidR="004B0C70" w:rsidRPr="008669C3" w14:paraId="56B761D8" w14:textId="77777777" w:rsidTr="0010733F">
        <w:trPr>
          <w:trHeight w:val="300"/>
        </w:trPr>
        <w:tc>
          <w:tcPr>
            <w:tcW w:w="0" w:type="auto"/>
            <w:tcBorders>
              <w:top w:val="nil"/>
              <w:left w:val="nil"/>
              <w:bottom w:val="nil"/>
              <w:right w:val="nil"/>
            </w:tcBorders>
            <w:shd w:val="clear" w:color="auto" w:fill="auto"/>
            <w:noWrap/>
            <w:hideMark/>
          </w:tcPr>
          <w:p w14:paraId="3D82E81C" w14:textId="77777777" w:rsidR="00D348F9" w:rsidRPr="008669C3" w:rsidRDefault="00D348F9" w:rsidP="00C62FC4">
            <w:pPr>
              <w:jc w:val="both"/>
              <w:rPr>
                <w:szCs w:val="20"/>
              </w:rPr>
            </w:pPr>
            <w:r w:rsidRPr="008669C3">
              <w:rPr>
                <w:szCs w:val="20"/>
              </w:rPr>
              <w:t xml:space="preserve">Book leverage </w:t>
            </w:r>
          </w:p>
        </w:tc>
        <w:tc>
          <w:tcPr>
            <w:tcW w:w="8417" w:type="dxa"/>
            <w:tcBorders>
              <w:top w:val="nil"/>
              <w:left w:val="nil"/>
              <w:bottom w:val="nil"/>
              <w:right w:val="nil"/>
            </w:tcBorders>
            <w:shd w:val="clear" w:color="auto" w:fill="auto"/>
            <w:hideMark/>
          </w:tcPr>
          <w:p w14:paraId="620F43D3" w14:textId="77777777" w:rsidR="00D348F9" w:rsidRPr="008669C3" w:rsidRDefault="00D348F9" w:rsidP="00C62FC4">
            <w:pPr>
              <w:jc w:val="both"/>
              <w:rPr>
                <w:szCs w:val="20"/>
              </w:rPr>
            </w:pPr>
            <w:r w:rsidRPr="008669C3">
              <w:rPr>
                <w:szCs w:val="20"/>
              </w:rPr>
              <w:t xml:space="preserve">Sum of debt in current liabilities plus long-term debts and divided by total assets. </w:t>
            </w:r>
          </w:p>
        </w:tc>
        <w:tc>
          <w:tcPr>
            <w:tcW w:w="2300" w:type="dxa"/>
            <w:tcBorders>
              <w:top w:val="nil"/>
              <w:left w:val="nil"/>
              <w:bottom w:val="nil"/>
              <w:right w:val="nil"/>
            </w:tcBorders>
            <w:shd w:val="clear" w:color="auto" w:fill="auto"/>
            <w:hideMark/>
          </w:tcPr>
          <w:p w14:paraId="7EA9E4B1" w14:textId="77777777" w:rsidR="00D348F9" w:rsidRPr="008669C3" w:rsidRDefault="00D348F9" w:rsidP="00C62FC4">
            <w:pPr>
              <w:jc w:val="both"/>
              <w:rPr>
                <w:szCs w:val="20"/>
              </w:rPr>
            </w:pPr>
            <w:r w:rsidRPr="008669C3">
              <w:rPr>
                <w:szCs w:val="20"/>
              </w:rPr>
              <w:t>Compustat</w:t>
            </w:r>
          </w:p>
        </w:tc>
      </w:tr>
      <w:tr w:rsidR="004B0C70" w:rsidRPr="008669C3" w14:paraId="66EDDB60" w14:textId="77777777" w:rsidTr="0010733F">
        <w:trPr>
          <w:trHeight w:val="765"/>
        </w:trPr>
        <w:tc>
          <w:tcPr>
            <w:tcW w:w="0" w:type="auto"/>
            <w:tcBorders>
              <w:top w:val="nil"/>
              <w:left w:val="nil"/>
              <w:bottom w:val="nil"/>
              <w:right w:val="nil"/>
            </w:tcBorders>
            <w:shd w:val="clear" w:color="auto" w:fill="auto"/>
            <w:noWrap/>
            <w:hideMark/>
          </w:tcPr>
          <w:p w14:paraId="54318BEF" w14:textId="77777777" w:rsidR="00D348F9" w:rsidRPr="008669C3" w:rsidRDefault="00D348F9" w:rsidP="00C62FC4">
            <w:pPr>
              <w:jc w:val="both"/>
              <w:rPr>
                <w:szCs w:val="20"/>
              </w:rPr>
            </w:pPr>
            <w:r w:rsidRPr="008669C3">
              <w:rPr>
                <w:szCs w:val="20"/>
              </w:rPr>
              <w:t>Market leverage</w:t>
            </w:r>
          </w:p>
        </w:tc>
        <w:tc>
          <w:tcPr>
            <w:tcW w:w="8417" w:type="dxa"/>
            <w:tcBorders>
              <w:top w:val="nil"/>
              <w:left w:val="nil"/>
              <w:bottom w:val="nil"/>
              <w:right w:val="nil"/>
            </w:tcBorders>
            <w:shd w:val="clear" w:color="auto" w:fill="auto"/>
            <w:hideMark/>
          </w:tcPr>
          <w:p w14:paraId="0BD24251" w14:textId="77777777" w:rsidR="00D348F9" w:rsidRPr="008669C3" w:rsidRDefault="00D348F9" w:rsidP="00C62FC4">
            <w:pPr>
              <w:jc w:val="both"/>
              <w:rPr>
                <w:szCs w:val="20"/>
              </w:rPr>
            </w:pPr>
            <w:r w:rsidRPr="008669C3">
              <w:rPr>
                <w:szCs w:val="20"/>
              </w:rPr>
              <w:t xml:space="preserve">Sum of debt in current liabilities plus long-term debts and dividend by firm value, where firm value is </w:t>
            </w:r>
            <w:r w:rsidR="00682BBB" w:rsidRPr="008669C3">
              <w:rPr>
                <w:szCs w:val="20"/>
              </w:rPr>
              <w:t>defined</w:t>
            </w:r>
            <w:r w:rsidRPr="008669C3">
              <w:rPr>
                <w:szCs w:val="20"/>
              </w:rPr>
              <w:t xml:space="preserve"> as book value of </w:t>
            </w:r>
            <w:r w:rsidR="00662074" w:rsidRPr="008669C3">
              <w:rPr>
                <w:szCs w:val="20"/>
              </w:rPr>
              <w:t xml:space="preserve">total </w:t>
            </w:r>
            <w:r w:rsidRPr="008669C3">
              <w:rPr>
                <w:szCs w:val="20"/>
              </w:rPr>
              <w:t>assets plus market value of equity</w:t>
            </w:r>
            <w:r w:rsidR="00662074" w:rsidRPr="008669C3">
              <w:rPr>
                <w:szCs w:val="20"/>
              </w:rPr>
              <w:t xml:space="preserve"> minus book value of common equity</w:t>
            </w:r>
            <w:r w:rsidRPr="008669C3">
              <w:rPr>
                <w:szCs w:val="20"/>
              </w:rPr>
              <w:t xml:space="preserve">. </w:t>
            </w:r>
          </w:p>
        </w:tc>
        <w:tc>
          <w:tcPr>
            <w:tcW w:w="2300" w:type="dxa"/>
            <w:tcBorders>
              <w:top w:val="nil"/>
              <w:left w:val="nil"/>
              <w:bottom w:val="nil"/>
              <w:right w:val="nil"/>
            </w:tcBorders>
            <w:shd w:val="clear" w:color="auto" w:fill="auto"/>
            <w:hideMark/>
          </w:tcPr>
          <w:p w14:paraId="1C46E5E2" w14:textId="77777777" w:rsidR="00D348F9" w:rsidRPr="008669C3" w:rsidRDefault="00D348F9" w:rsidP="00C62FC4">
            <w:pPr>
              <w:jc w:val="both"/>
              <w:rPr>
                <w:szCs w:val="20"/>
              </w:rPr>
            </w:pPr>
            <w:r w:rsidRPr="008669C3">
              <w:rPr>
                <w:szCs w:val="20"/>
              </w:rPr>
              <w:t>Compustat</w:t>
            </w:r>
          </w:p>
        </w:tc>
      </w:tr>
      <w:tr w:rsidR="004B0C70" w:rsidRPr="008669C3" w14:paraId="60302CA9" w14:textId="77777777" w:rsidTr="0010733F">
        <w:trPr>
          <w:trHeight w:val="135"/>
        </w:trPr>
        <w:tc>
          <w:tcPr>
            <w:tcW w:w="0" w:type="auto"/>
            <w:tcBorders>
              <w:top w:val="nil"/>
              <w:left w:val="nil"/>
              <w:bottom w:val="nil"/>
              <w:right w:val="nil"/>
            </w:tcBorders>
            <w:shd w:val="clear" w:color="auto" w:fill="auto"/>
            <w:noWrap/>
            <w:vAlign w:val="center"/>
            <w:hideMark/>
          </w:tcPr>
          <w:p w14:paraId="4E05EEA1" w14:textId="77777777" w:rsidR="00D348F9" w:rsidRPr="008669C3" w:rsidRDefault="00D348F9" w:rsidP="00C62FC4">
            <w:pPr>
              <w:jc w:val="both"/>
              <w:rPr>
                <w:szCs w:val="20"/>
              </w:rPr>
            </w:pPr>
          </w:p>
        </w:tc>
        <w:tc>
          <w:tcPr>
            <w:tcW w:w="8417" w:type="dxa"/>
            <w:tcBorders>
              <w:top w:val="nil"/>
              <w:left w:val="nil"/>
              <w:bottom w:val="nil"/>
              <w:right w:val="nil"/>
            </w:tcBorders>
            <w:shd w:val="clear" w:color="auto" w:fill="auto"/>
            <w:vAlign w:val="center"/>
            <w:hideMark/>
          </w:tcPr>
          <w:p w14:paraId="54A080E3" w14:textId="77777777" w:rsidR="00D348F9" w:rsidRPr="008669C3" w:rsidRDefault="00D348F9" w:rsidP="00C62FC4">
            <w:pPr>
              <w:jc w:val="both"/>
              <w:rPr>
                <w:szCs w:val="20"/>
              </w:rPr>
            </w:pPr>
          </w:p>
        </w:tc>
        <w:tc>
          <w:tcPr>
            <w:tcW w:w="2300" w:type="dxa"/>
            <w:tcBorders>
              <w:top w:val="nil"/>
              <w:left w:val="nil"/>
              <w:bottom w:val="nil"/>
              <w:right w:val="nil"/>
            </w:tcBorders>
            <w:shd w:val="clear" w:color="auto" w:fill="auto"/>
            <w:vAlign w:val="center"/>
            <w:hideMark/>
          </w:tcPr>
          <w:p w14:paraId="2C7D5B9C" w14:textId="77777777" w:rsidR="00D348F9" w:rsidRPr="008669C3" w:rsidRDefault="00D348F9" w:rsidP="00C62FC4">
            <w:pPr>
              <w:jc w:val="both"/>
              <w:rPr>
                <w:szCs w:val="20"/>
              </w:rPr>
            </w:pPr>
          </w:p>
        </w:tc>
      </w:tr>
      <w:tr w:rsidR="004B0C70" w:rsidRPr="008669C3" w14:paraId="57502295" w14:textId="77777777" w:rsidTr="0010733F">
        <w:trPr>
          <w:trHeight w:val="300"/>
        </w:trPr>
        <w:tc>
          <w:tcPr>
            <w:tcW w:w="0" w:type="auto"/>
            <w:tcBorders>
              <w:top w:val="nil"/>
              <w:left w:val="nil"/>
              <w:bottom w:val="nil"/>
              <w:right w:val="nil"/>
            </w:tcBorders>
            <w:shd w:val="clear" w:color="auto" w:fill="auto"/>
            <w:noWrap/>
            <w:vAlign w:val="center"/>
            <w:hideMark/>
          </w:tcPr>
          <w:p w14:paraId="332E4A0E" w14:textId="77777777" w:rsidR="00D348F9" w:rsidRPr="008669C3" w:rsidRDefault="00D348F9" w:rsidP="00C62FC4">
            <w:pPr>
              <w:jc w:val="both"/>
              <w:rPr>
                <w:i/>
                <w:iCs/>
                <w:szCs w:val="20"/>
                <w:u w:val="single"/>
              </w:rPr>
            </w:pPr>
            <w:r w:rsidRPr="008669C3">
              <w:rPr>
                <w:i/>
                <w:iCs/>
                <w:szCs w:val="20"/>
                <w:u w:val="single"/>
              </w:rPr>
              <w:t>CEO characteristics</w:t>
            </w:r>
          </w:p>
        </w:tc>
        <w:tc>
          <w:tcPr>
            <w:tcW w:w="8417" w:type="dxa"/>
            <w:tcBorders>
              <w:top w:val="nil"/>
              <w:left w:val="nil"/>
              <w:bottom w:val="nil"/>
              <w:right w:val="nil"/>
            </w:tcBorders>
            <w:shd w:val="clear" w:color="auto" w:fill="auto"/>
            <w:vAlign w:val="center"/>
            <w:hideMark/>
          </w:tcPr>
          <w:p w14:paraId="11DBBBD4" w14:textId="77777777" w:rsidR="00D348F9" w:rsidRPr="008669C3" w:rsidRDefault="00D348F9" w:rsidP="00C62FC4">
            <w:pPr>
              <w:jc w:val="both"/>
              <w:rPr>
                <w:i/>
                <w:iCs/>
                <w:szCs w:val="20"/>
                <w:u w:val="single"/>
              </w:rPr>
            </w:pPr>
          </w:p>
        </w:tc>
        <w:tc>
          <w:tcPr>
            <w:tcW w:w="2300" w:type="dxa"/>
            <w:tcBorders>
              <w:top w:val="nil"/>
              <w:left w:val="nil"/>
              <w:bottom w:val="nil"/>
              <w:right w:val="nil"/>
            </w:tcBorders>
            <w:shd w:val="clear" w:color="auto" w:fill="auto"/>
            <w:vAlign w:val="center"/>
            <w:hideMark/>
          </w:tcPr>
          <w:p w14:paraId="35C16518" w14:textId="77777777" w:rsidR="00D348F9" w:rsidRPr="008669C3" w:rsidRDefault="00D348F9" w:rsidP="00C62FC4">
            <w:pPr>
              <w:jc w:val="both"/>
              <w:rPr>
                <w:szCs w:val="20"/>
              </w:rPr>
            </w:pPr>
          </w:p>
        </w:tc>
      </w:tr>
      <w:tr w:rsidR="004B0C70" w:rsidRPr="008669C3" w14:paraId="7244EFA5" w14:textId="77777777" w:rsidTr="0010733F">
        <w:trPr>
          <w:trHeight w:val="300"/>
        </w:trPr>
        <w:tc>
          <w:tcPr>
            <w:tcW w:w="0" w:type="auto"/>
            <w:tcBorders>
              <w:top w:val="nil"/>
              <w:left w:val="nil"/>
              <w:bottom w:val="nil"/>
              <w:right w:val="nil"/>
            </w:tcBorders>
            <w:shd w:val="clear" w:color="auto" w:fill="auto"/>
            <w:noWrap/>
            <w:hideMark/>
          </w:tcPr>
          <w:p w14:paraId="384B984E" w14:textId="77777777" w:rsidR="00D348F9" w:rsidRPr="008669C3" w:rsidRDefault="00D348F9" w:rsidP="00C62FC4">
            <w:pPr>
              <w:jc w:val="both"/>
              <w:rPr>
                <w:szCs w:val="20"/>
              </w:rPr>
            </w:pPr>
            <w:r w:rsidRPr="008669C3">
              <w:rPr>
                <w:szCs w:val="20"/>
              </w:rPr>
              <w:t>Age</w:t>
            </w:r>
          </w:p>
        </w:tc>
        <w:tc>
          <w:tcPr>
            <w:tcW w:w="8417" w:type="dxa"/>
            <w:tcBorders>
              <w:top w:val="nil"/>
              <w:left w:val="nil"/>
              <w:bottom w:val="nil"/>
              <w:right w:val="nil"/>
            </w:tcBorders>
            <w:shd w:val="clear" w:color="auto" w:fill="auto"/>
            <w:hideMark/>
          </w:tcPr>
          <w:p w14:paraId="471EAA93" w14:textId="77777777" w:rsidR="00D348F9" w:rsidRPr="008669C3" w:rsidRDefault="00D348F9" w:rsidP="00C62FC4">
            <w:pPr>
              <w:jc w:val="both"/>
              <w:rPr>
                <w:szCs w:val="20"/>
              </w:rPr>
            </w:pPr>
            <w:r w:rsidRPr="008669C3">
              <w:rPr>
                <w:szCs w:val="20"/>
              </w:rPr>
              <w:t xml:space="preserve">Age of CEO in years. </w:t>
            </w:r>
          </w:p>
        </w:tc>
        <w:tc>
          <w:tcPr>
            <w:tcW w:w="2300" w:type="dxa"/>
            <w:tcBorders>
              <w:top w:val="nil"/>
              <w:left w:val="nil"/>
              <w:bottom w:val="nil"/>
              <w:right w:val="nil"/>
            </w:tcBorders>
            <w:shd w:val="clear" w:color="auto" w:fill="auto"/>
            <w:hideMark/>
          </w:tcPr>
          <w:p w14:paraId="7E8292C1" w14:textId="77777777" w:rsidR="00D348F9" w:rsidRPr="008669C3" w:rsidRDefault="00D348F9" w:rsidP="00C62FC4">
            <w:pPr>
              <w:jc w:val="both"/>
              <w:rPr>
                <w:szCs w:val="20"/>
              </w:rPr>
            </w:pPr>
            <w:r w:rsidRPr="008669C3">
              <w:rPr>
                <w:szCs w:val="20"/>
              </w:rPr>
              <w:t xml:space="preserve">Execucomp </w:t>
            </w:r>
          </w:p>
        </w:tc>
      </w:tr>
      <w:tr w:rsidR="004B0C70" w:rsidRPr="008669C3" w14:paraId="5B50286E" w14:textId="77777777" w:rsidTr="0010733F">
        <w:trPr>
          <w:trHeight w:val="300"/>
        </w:trPr>
        <w:tc>
          <w:tcPr>
            <w:tcW w:w="0" w:type="auto"/>
            <w:tcBorders>
              <w:top w:val="nil"/>
              <w:left w:val="nil"/>
              <w:bottom w:val="nil"/>
              <w:right w:val="nil"/>
            </w:tcBorders>
            <w:shd w:val="clear" w:color="auto" w:fill="auto"/>
            <w:noWrap/>
            <w:hideMark/>
          </w:tcPr>
          <w:p w14:paraId="59AA7EC2" w14:textId="77777777" w:rsidR="00D348F9" w:rsidRPr="008669C3" w:rsidRDefault="00D348F9" w:rsidP="00C62FC4">
            <w:pPr>
              <w:jc w:val="both"/>
              <w:rPr>
                <w:szCs w:val="20"/>
              </w:rPr>
            </w:pPr>
            <w:r w:rsidRPr="008669C3">
              <w:rPr>
                <w:szCs w:val="20"/>
              </w:rPr>
              <w:t>Tenure</w:t>
            </w:r>
          </w:p>
        </w:tc>
        <w:tc>
          <w:tcPr>
            <w:tcW w:w="8417" w:type="dxa"/>
            <w:tcBorders>
              <w:top w:val="nil"/>
              <w:left w:val="nil"/>
              <w:bottom w:val="nil"/>
              <w:right w:val="nil"/>
            </w:tcBorders>
            <w:shd w:val="clear" w:color="auto" w:fill="auto"/>
            <w:hideMark/>
          </w:tcPr>
          <w:p w14:paraId="7CCDAF04" w14:textId="77777777" w:rsidR="00D348F9" w:rsidRPr="008669C3" w:rsidRDefault="00D348F9" w:rsidP="00C62FC4">
            <w:pPr>
              <w:jc w:val="both"/>
              <w:rPr>
                <w:szCs w:val="20"/>
              </w:rPr>
            </w:pPr>
            <w:r w:rsidRPr="008669C3">
              <w:rPr>
                <w:szCs w:val="20"/>
              </w:rPr>
              <w:t xml:space="preserve">Number of years as CEO in the current </w:t>
            </w:r>
            <w:r w:rsidR="00682BBB" w:rsidRPr="008669C3">
              <w:rPr>
                <w:szCs w:val="20"/>
              </w:rPr>
              <w:t>position</w:t>
            </w:r>
            <w:r w:rsidRPr="008669C3">
              <w:rPr>
                <w:szCs w:val="20"/>
              </w:rPr>
              <w:t xml:space="preserve">. </w:t>
            </w:r>
          </w:p>
        </w:tc>
        <w:tc>
          <w:tcPr>
            <w:tcW w:w="2300" w:type="dxa"/>
            <w:tcBorders>
              <w:top w:val="nil"/>
              <w:left w:val="nil"/>
              <w:bottom w:val="nil"/>
              <w:right w:val="nil"/>
            </w:tcBorders>
            <w:shd w:val="clear" w:color="auto" w:fill="auto"/>
            <w:hideMark/>
          </w:tcPr>
          <w:p w14:paraId="79C024C9" w14:textId="77777777" w:rsidR="00D348F9" w:rsidRPr="008669C3" w:rsidRDefault="00D348F9" w:rsidP="00C62FC4">
            <w:pPr>
              <w:jc w:val="both"/>
              <w:rPr>
                <w:szCs w:val="20"/>
              </w:rPr>
            </w:pPr>
            <w:r w:rsidRPr="008669C3">
              <w:rPr>
                <w:szCs w:val="20"/>
              </w:rPr>
              <w:t>Execucomp</w:t>
            </w:r>
          </w:p>
        </w:tc>
      </w:tr>
      <w:tr w:rsidR="004B0C70" w:rsidRPr="008669C3" w14:paraId="15DD3A4E" w14:textId="77777777" w:rsidTr="0010733F">
        <w:trPr>
          <w:trHeight w:val="300"/>
        </w:trPr>
        <w:tc>
          <w:tcPr>
            <w:tcW w:w="0" w:type="auto"/>
            <w:tcBorders>
              <w:top w:val="nil"/>
              <w:left w:val="nil"/>
              <w:bottom w:val="nil"/>
              <w:right w:val="nil"/>
            </w:tcBorders>
            <w:shd w:val="clear" w:color="auto" w:fill="auto"/>
            <w:noWrap/>
            <w:hideMark/>
          </w:tcPr>
          <w:p w14:paraId="2D2BF614" w14:textId="77777777" w:rsidR="00D348F9" w:rsidRPr="008669C3" w:rsidRDefault="00662074" w:rsidP="00C62FC4">
            <w:pPr>
              <w:jc w:val="both"/>
              <w:rPr>
                <w:szCs w:val="20"/>
              </w:rPr>
            </w:pPr>
            <w:r w:rsidRPr="008669C3">
              <w:rPr>
                <w:szCs w:val="20"/>
              </w:rPr>
              <w:t>Female CEO</w:t>
            </w:r>
          </w:p>
        </w:tc>
        <w:tc>
          <w:tcPr>
            <w:tcW w:w="8417" w:type="dxa"/>
            <w:tcBorders>
              <w:top w:val="nil"/>
              <w:left w:val="nil"/>
              <w:bottom w:val="nil"/>
              <w:right w:val="nil"/>
            </w:tcBorders>
            <w:shd w:val="clear" w:color="auto" w:fill="auto"/>
            <w:hideMark/>
          </w:tcPr>
          <w:p w14:paraId="0A8C293F" w14:textId="4824DCCD" w:rsidR="00D348F9" w:rsidRPr="008669C3" w:rsidRDefault="008E495C" w:rsidP="00C62FC4">
            <w:pPr>
              <w:jc w:val="both"/>
              <w:rPr>
                <w:szCs w:val="20"/>
              </w:rPr>
            </w:pPr>
            <w:r w:rsidRPr="008669C3">
              <w:rPr>
                <w:szCs w:val="20"/>
              </w:rPr>
              <w:t>A d</w:t>
            </w:r>
            <w:r w:rsidR="00682BBB" w:rsidRPr="008669C3">
              <w:rPr>
                <w:szCs w:val="20"/>
              </w:rPr>
              <w:t xml:space="preserve">ummy variable that takes a value of one if CEO </w:t>
            </w:r>
            <w:r w:rsidR="00D348F9" w:rsidRPr="008669C3">
              <w:rPr>
                <w:szCs w:val="20"/>
              </w:rPr>
              <w:t>is female</w:t>
            </w:r>
            <w:r w:rsidR="00682BBB" w:rsidRPr="008669C3">
              <w:rPr>
                <w:szCs w:val="20"/>
              </w:rPr>
              <w:t>,</w:t>
            </w:r>
            <w:r w:rsidR="00D348F9" w:rsidRPr="008669C3">
              <w:rPr>
                <w:szCs w:val="20"/>
              </w:rPr>
              <w:t xml:space="preserve"> and zero otherwise.  </w:t>
            </w:r>
          </w:p>
        </w:tc>
        <w:tc>
          <w:tcPr>
            <w:tcW w:w="2300" w:type="dxa"/>
            <w:tcBorders>
              <w:top w:val="nil"/>
              <w:left w:val="nil"/>
              <w:bottom w:val="nil"/>
              <w:right w:val="nil"/>
            </w:tcBorders>
            <w:shd w:val="clear" w:color="auto" w:fill="auto"/>
            <w:hideMark/>
          </w:tcPr>
          <w:p w14:paraId="3E171068" w14:textId="77777777" w:rsidR="00D348F9" w:rsidRPr="008669C3" w:rsidRDefault="00D348F9" w:rsidP="00C62FC4">
            <w:pPr>
              <w:jc w:val="both"/>
              <w:rPr>
                <w:szCs w:val="20"/>
              </w:rPr>
            </w:pPr>
            <w:r w:rsidRPr="008669C3">
              <w:rPr>
                <w:szCs w:val="20"/>
              </w:rPr>
              <w:t>Execucomp</w:t>
            </w:r>
          </w:p>
        </w:tc>
      </w:tr>
      <w:tr w:rsidR="004B0C70" w:rsidRPr="008669C3" w14:paraId="1E9E10D9" w14:textId="77777777" w:rsidTr="0010733F">
        <w:trPr>
          <w:trHeight w:val="510"/>
        </w:trPr>
        <w:tc>
          <w:tcPr>
            <w:tcW w:w="0" w:type="auto"/>
            <w:tcBorders>
              <w:top w:val="nil"/>
              <w:left w:val="nil"/>
              <w:bottom w:val="nil"/>
              <w:right w:val="nil"/>
            </w:tcBorders>
            <w:shd w:val="clear" w:color="auto" w:fill="auto"/>
            <w:noWrap/>
            <w:hideMark/>
          </w:tcPr>
          <w:p w14:paraId="6312719D" w14:textId="77777777" w:rsidR="00D348F9" w:rsidRPr="008669C3" w:rsidRDefault="00D348F9" w:rsidP="00C62FC4">
            <w:pPr>
              <w:jc w:val="both"/>
              <w:rPr>
                <w:szCs w:val="20"/>
              </w:rPr>
            </w:pPr>
            <w:r w:rsidRPr="008669C3">
              <w:rPr>
                <w:szCs w:val="20"/>
              </w:rPr>
              <w:t>Ln (</w:t>
            </w:r>
            <w:r w:rsidR="00A86CE2" w:rsidRPr="008669C3">
              <w:rPr>
                <w:szCs w:val="20"/>
              </w:rPr>
              <w:t>1+</w:t>
            </w:r>
            <w:r w:rsidRPr="008669C3">
              <w:rPr>
                <w:szCs w:val="20"/>
              </w:rPr>
              <w:t>Delta)</w:t>
            </w:r>
          </w:p>
        </w:tc>
        <w:tc>
          <w:tcPr>
            <w:tcW w:w="8417" w:type="dxa"/>
            <w:tcBorders>
              <w:top w:val="nil"/>
              <w:left w:val="nil"/>
              <w:bottom w:val="nil"/>
              <w:right w:val="nil"/>
            </w:tcBorders>
            <w:shd w:val="clear" w:color="auto" w:fill="auto"/>
            <w:hideMark/>
          </w:tcPr>
          <w:p w14:paraId="559D857A" w14:textId="09E6CB65" w:rsidR="00D348F9" w:rsidRPr="008669C3" w:rsidRDefault="00682BBB" w:rsidP="00114DBF">
            <w:pPr>
              <w:jc w:val="both"/>
              <w:rPr>
                <w:szCs w:val="20"/>
              </w:rPr>
            </w:pPr>
            <w:r w:rsidRPr="008669C3">
              <w:rPr>
                <w:szCs w:val="20"/>
              </w:rPr>
              <w:t>N</w:t>
            </w:r>
            <w:r w:rsidR="00D348F9" w:rsidRPr="008669C3">
              <w:rPr>
                <w:szCs w:val="20"/>
              </w:rPr>
              <w:t xml:space="preserve">atural logarithm of </w:t>
            </w:r>
            <w:r w:rsidR="0010733F" w:rsidRPr="008669C3">
              <w:rPr>
                <w:szCs w:val="20"/>
              </w:rPr>
              <w:t xml:space="preserve">one plus </w:t>
            </w:r>
            <w:r w:rsidR="00114DBF" w:rsidRPr="008669C3">
              <w:rPr>
                <w:szCs w:val="20"/>
              </w:rPr>
              <w:t>CEO</w:t>
            </w:r>
            <w:r w:rsidR="00D348F9" w:rsidRPr="008669C3">
              <w:rPr>
                <w:szCs w:val="20"/>
              </w:rPr>
              <w:t xml:space="preserve"> delta, where delta is </w:t>
            </w:r>
            <w:r w:rsidRPr="008669C3">
              <w:rPr>
                <w:szCs w:val="20"/>
              </w:rPr>
              <w:t>defined as</w:t>
            </w:r>
            <w:r w:rsidR="00D348F9" w:rsidRPr="008669C3">
              <w:rPr>
                <w:szCs w:val="20"/>
              </w:rPr>
              <w:t xml:space="preserve"> </w:t>
            </w:r>
            <w:r w:rsidR="00C62FC4" w:rsidRPr="008669C3">
              <w:t>the change in the value of the CEO’s wealth due to a 1% increase in the firm’s stock price.</w:t>
            </w:r>
            <w:r w:rsidR="00D348F9" w:rsidRPr="008669C3">
              <w:rPr>
                <w:szCs w:val="20"/>
              </w:rPr>
              <w:t xml:space="preserve"> </w:t>
            </w:r>
          </w:p>
        </w:tc>
        <w:tc>
          <w:tcPr>
            <w:tcW w:w="2300" w:type="dxa"/>
            <w:tcBorders>
              <w:top w:val="nil"/>
              <w:left w:val="nil"/>
              <w:bottom w:val="nil"/>
              <w:right w:val="nil"/>
            </w:tcBorders>
            <w:shd w:val="clear" w:color="auto" w:fill="auto"/>
            <w:hideMark/>
          </w:tcPr>
          <w:p w14:paraId="17167350" w14:textId="77777777" w:rsidR="00D348F9" w:rsidRPr="008669C3" w:rsidRDefault="00D348F9" w:rsidP="00C62FC4">
            <w:pPr>
              <w:jc w:val="both"/>
              <w:rPr>
                <w:szCs w:val="20"/>
              </w:rPr>
            </w:pPr>
            <w:r w:rsidRPr="008669C3">
              <w:rPr>
                <w:szCs w:val="20"/>
              </w:rPr>
              <w:t>Execucomp</w:t>
            </w:r>
            <w:r w:rsidR="00682BBB" w:rsidRPr="008669C3">
              <w:rPr>
                <w:szCs w:val="20"/>
              </w:rPr>
              <w:t>;</w:t>
            </w:r>
          </w:p>
          <w:p w14:paraId="53527D4F" w14:textId="77777777" w:rsidR="00682BBB" w:rsidRPr="008669C3" w:rsidRDefault="00682BBB" w:rsidP="00C62FC4">
            <w:pPr>
              <w:jc w:val="both"/>
              <w:rPr>
                <w:szCs w:val="20"/>
              </w:rPr>
            </w:pPr>
            <w:r w:rsidRPr="008669C3">
              <w:rPr>
                <w:szCs w:val="20"/>
              </w:rPr>
              <w:t>Coles et al. (2006)</w:t>
            </w:r>
          </w:p>
        </w:tc>
      </w:tr>
      <w:tr w:rsidR="004B0C70" w:rsidRPr="008669C3" w14:paraId="210C1790" w14:textId="77777777" w:rsidTr="0010733F">
        <w:trPr>
          <w:trHeight w:val="510"/>
        </w:trPr>
        <w:tc>
          <w:tcPr>
            <w:tcW w:w="0" w:type="auto"/>
            <w:tcBorders>
              <w:top w:val="nil"/>
              <w:left w:val="nil"/>
              <w:bottom w:val="nil"/>
              <w:right w:val="nil"/>
            </w:tcBorders>
            <w:shd w:val="clear" w:color="auto" w:fill="auto"/>
            <w:noWrap/>
            <w:hideMark/>
          </w:tcPr>
          <w:p w14:paraId="30F923CF" w14:textId="77777777" w:rsidR="00D348F9" w:rsidRPr="008669C3" w:rsidRDefault="00D348F9" w:rsidP="00FB3B9E">
            <w:pPr>
              <w:jc w:val="both"/>
              <w:rPr>
                <w:szCs w:val="20"/>
              </w:rPr>
            </w:pPr>
            <w:r w:rsidRPr="008669C3">
              <w:rPr>
                <w:szCs w:val="20"/>
              </w:rPr>
              <w:t>Ln (</w:t>
            </w:r>
            <w:r w:rsidR="00FB3B9E" w:rsidRPr="008669C3">
              <w:rPr>
                <w:szCs w:val="20"/>
              </w:rPr>
              <w:t>Total pay</w:t>
            </w:r>
            <w:r w:rsidRPr="008669C3">
              <w:rPr>
                <w:szCs w:val="20"/>
              </w:rPr>
              <w:t>)</w:t>
            </w:r>
          </w:p>
        </w:tc>
        <w:tc>
          <w:tcPr>
            <w:tcW w:w="8417" w:type="dxa"/>
            <w:tcBorders>
              <w:top w:val="nil"/>
              <w:left w:val="nil"/>
              <w:bottom w:val="nil"/>
              <w:right w:val="nil"/>
            </w:tcBorders>
            <w:shd w:val="clear" w:color="auto" w:fill="auto"/>
            <w:hideMark/>
          </w:tcPr>
          <w:p w14:paraId="60DF80E8" w14:textId="77777777" w:rsidR="00D348F9" w:rsidRPr="008669C3" w:rsidRDefault="00087652" w:rsidP="00FB3B9E">
            <w:pPr>
              <w:jc w:val="both"/>
              <w:rPr>
                <w:szCs w:val="20"/>
              </w:rPr>
            </w:pPr>
            <w:r w:rsidRPr="008669C3">
              <w:rPr>
                <w:szCs w:val="20"/>
              </w:rPr>
              <w:t>N</w:t>
            </w:r>
            <w:r w:rsidR="00D348F9" w:rsidRPr="008669C3">
              <w:rPr>
                <w:szCs w:val="20"/>
              </w:rPr>
              <w:t xml:space="preserve">atural logarithm of CEO total </w:t>
            </w:r>
            <w:r w:rsidR="00FB3B9E" w:rsidRPr="008669C3">
              <w:rPr>
                <w:szCs w:val="20"/>
              </w:rPr>
              <w:t>pay</w:t>
            </w:r>
            <w:r w:rsidR="00D348F9" w:rsidRPr="008669C3">
              <w:rPr>
                <w:szCs w:val="20"/>
              </w:rPr>
              <w:t xml:space="preserve">, where total </w:t>
            </w:r>
            <w:r w:rsidR="00FB3B9E" w:rsidRPr="008669C3">
              <w:rPr>
                <w:szCs w:val="20"/>
              </w:rPr>
              <w:t>pay</w:t>
            </w:r>
            <w:r w:rsidR="00D348F9" w:rsidRPr="008669C3">
              <w:rPr>
                <w:szCs w:val="20"/>
              </w:rPr>
              <w:t xml:space="preserve"> </w:t>
            </w:r>
            <w:r w:rsidRPr="008669C3">
              <w:rPr>
                <w:szCs w:val="20"/>
              </w:rPr>
              <w:t>consists of salary, bonus, restricted stocks, options, long-term incentive plans, and other compensation.</w:t>
            </w:r>
          </w:p>
        </w:tc>
        <w:tc>
          <w:tcPr>
            <w:tcW w:w="2300" w:type="dxa"/>
            <w:tcBorders>
              <w:top w:val="nil"/>
              <w:left w:val="nil"/>
              <w:bottom w:val="nil"/>
              <w:right w:val="nil"/>
            </w:tcBorders>
            <w:shd w:val="clear" w:color="auto" w:fill="auto"/>
            <w:hideMark/>
          </w:tcPr>
          <w:p w14:paraId="796133C5" w14:textId="77777777" w:rsidR="00D348F9" w:rsidRPr="008669C3" w:rsidRDefault="00D348F9" w:rsidP="00C62FC4">
            <w:pPr>
              <w:jc w:val="both"/>
              <w:rPr>
                <w:szCs w:val="20"/>
              </w:rPr>
            </w:pPr>
            <w:bookmarkStart w:id="2" w:name="OLE_LINK20"/>
            <w:r w:rsidRPr="008669C3">
              <w:rPr>
                <w:szCs w:val="20"/>
              </w:rPr>
              <w:t>Execucomp</w:t>
            </w:r>
            <w:bookmarkEnd w:id="2"/>
          </w:p>
        </w:tc>
      </w:tr>
      <w:tr w:rsidR="004B0C70" w:rsidRPr="008669C3" w14:paraId="253373DF" w14:textId="77777777" w:rsidTr="0010733F">
        <w:trPr>
          <w:trHeight w:val="587"/>
        </w:trPr>
        <w:tc>
          <w:tcPr>
            <w:tcW w:w="0" w:type="auto"/>
            <w:tcBorders>
              <w:top w:val="nil"/>
              <w:left w:val="nil"/>
              <w:bottom w:val="nil"/>
              <w:right w:val="nil"/>
            </w:tcBorders>
            <w:shd w:val="clear" w:color="auto" w:fill="auto"/>
            <w:noWrap/>
            <w:hideMark/>
          </w:tcPr>
          <w:p w14:paraId="67F0A0B0" w14:textId="77777777" w:rsidR="00D348F9" w:rsidRPr="008669C3" w:rsidRDefault="00D348F9" w:rsidP="00C62FC4">
            <w:pPr>
              <w:jc w:val="both"/>
              <w:rPr>
                <w:szCs w:val="20"/>
              </w:rPr>
            </w:pPr>
            <w:r w:rsidRPr="008669C3">
              <w:rPr>
                <w:szCs w:val="20"/>
              </w:rPr>
              <w:t>Equity mix</w:t>
            </w:r>
          </w:p>
        </w:tc>
        <w:tc>
          <w:tcPr>
            <w:tcW w:w="8417" w:type="dxa"/>
            <w:tcBorders>
              <w:top w:val="nil"/>
              <w:left w:val="nil"/>
              <w:bottom w:val="nil"/>
              <w:right w:val="nil"/>
            </w:tcBorders>
            <w:shd w:val="clear" w:color="auto" w:fill="auto"/>
            <w:hideMark/>
          </w:tcPr>
          <w:p w14:paraId="155174AE" w14:textId="77777777" w:rsidR="00087652" w:rsidRPr="008669C3" w:rsidRDefault="00087652" w:rsidP="00C62FC4">
            <w:pPr>
              <w:jc w:val="both"/>
              <w:rPr>
                <w:szCs w:val="20"/>
              </w:rPr>
            </w:pPr>
            <w:r w:rsidRPr="008669C3">
              <w:rPr>
                <w:szCs w:val="20"/>
              </w:rPr>
              <w:t>CEO e</w:t>
            </w:r>
            <w:r w:rsidR="00D348F9" w:rsidRPr="008669C3">
              <w:rPr>
                <w:szCs w:val="20"/>
              </w:rPr>
              <w:t xml:space="preserve">quity </w:t>
            </w:r>
            <w:r w:rsidRPr="008669C3">
              <w:rPr>
                <w:szCs w:val="20"/>
              </w:rPr>
              <w:t>pay</w:t>
            </w:r>
            <w:r w:rsidR="00D348F9" w:rsidRPr="008669C3">
              <w:rPr>
                <w:szCs w:val="20"/>
              </w:rPr>
              <w:t xml:space="preserve"> </w:t>
            </w:r>
            <w:r w:rsidRPr="008669C3">
              <w:rPr>
                <w:szCs w:val="20"/>
              </w:rPr>
              <w:t>divided by</w:t>
            </w:r>
            <w:r w:rsidR="00D348F9" w:rsidRPr="008669C3">
              <w:rPr>
                <w:szCs w:val="20"/>
              </w:rPr>
              <w:t xml:space="preserve"> total </w:t>
            </w:r>
            <w:r w:rsidRPr="008669C3">
              <w:rPr>
                <w:szCs w:val="20"/>
              </w:rPr>
              <w:t xml:space="preserve">pay, where equity pay is the sum of restricted stocks and options. </w:t>
            </w:r>
          </w:p>
        </w:tc>
        <w:tc>
          <w:tcPr>
            <w:tcW w:w="2300" w:type="dxa"/>
            <w:tcBorders>
              <w:top w:val="nil"/>
              <w:left w:val="nil"/>
              <w:bottom w:val="nil"/>
              <w:right w:val="nil"/>
            </w:tcBorders>
            <w:shd w:val="clear" w:color="auto" w:fill="auto"/>
            <w:hideMark/>
          </w:tcPr>
          <w:p w14:paraId="70F5EA89" w14:textId="77777777" w:rsidR="00D348F9" w:rsidRPr="008669C3" w:rsidRDefault="00D348F9" w:rsidP="00C62FC4">
            <w:pPr>
              <w:jc w:val="both"/>
              <w:rPr>
                <w:szCs w:val="20"/>
              </w:rPr>
            </w:pPr>
            <w:r w:rsidRPr="008669C3">
              <w:rPr>
                <w:szCs w:val="20"/>
              </w:rPr>
              <w:t>Execucomp</w:t>
            </w:r>
          </w:p>
        </w:tc>
      </w:tr>
      <w:tr w:rsidR="004B0C70" w:rsidRPr="008669C3" w14:paraId="2C32F421" w14:textId="77777777" w:rsidTr="0010733F">
        <w:trPr>
          <w:trHeight w:val="135"/>
        </w:trPr>
        <w:tc>
          <w:tcPr>
            <w:tcW w:w="0" w:type="auto"/>
            <w:tcBorders>
              <w:top w:val="nil"/>
              <w:left w:val="nil"/>
              <w:bottom w:val="nil"/>
              <w:right w:val="nil"/>
            </w:tcBorders>
            <w:shd w:val="clear" w:color="auto" w:fill="auto"/>
            <w:noWrap/>
            <w:vAlign w:val="center"/>
            <w:hideMark/>
          </w:tcPr>
          <w:p w14:paraId="41F0ED48" w14:textId="77777777" w:rsidR="00D348F9" w:rsidRPr="008669C3" w:rsidRDefault="00D348F9" w:rsidP="00C62FC4">
            <w:pPr>
              <w:jc w:val="both"/>
              <w:rPr>
                <w:szCs w:val="20"/>
              </w:rPr>
            </w:pPr>
          </w:p>
        </w:tc>
        <w:tc>
          <w:tcPr>
            <w:tcW w:w="8417" w:type="dxa"/>
            <w:tcBorders>
              <w:top w:val="nil"/>
              <w:left w:val="nil"/>
              <w:bottom w:val="nil"/>
              <w:right w:val="nil"/>
            </w:tcBorders>
            <w:shd w:val="clear" w:color="auto" w:fill="auto"/>
            <w:vAlign w:val="center"/>
            <w:hideMark/>
          </w:tcPr>
          <w:p w14:paraId="52CBB0A2" w14:textId="77777777" w:rsidR="00D348F9" w:rsidRPr="008669C3" w:rsidRDefault="00D348F9" w:rsidP="00C62FC4">
            <w:pPr>
              <w:jc w:val="both"/>
              <w:rPr>
                <w:szCs w:val="20"/>
              </w:rPr>
            </w:pPr>
          </w:p>
        </w:tc>
        <w:tc>
          <w:tcPr>
            <w:tcW w:w="2300" w:type="dxa"/>
            <w:tcBorders>
              <w:top w:val="nil"/>
              <w:left w:val="nil"/>
              <w:bottom w:val="nil"/>
              <w:right w:val="nil"/>
            </w:tcBorders>
            <w:shd w:val="clear" w:color="auto" w:fill="auto"/>
            <w:vAlign w:val="center"/>
            <w:hideMark/>
          </w:tcPr>
          <w:p w14:paraId="6B4409A5" w14:textId="77777777" w:rsidR="00D348F9" w:rsidRPr="008669C3" w:rsidRDefault="00D348F9" w:rsidP="00C62FC4">
            <w:pPr>
              <w:jc w:val="both"/>
              <w:rPr>
                <w:szCs w:val="20"/>
              </w:rPr>
            </w:pPr>
          </w:p>
        </w:tc>
      </w:tr>
      <w:tr w:rsidR="004B0C70" w:rsidRPr="008669C3" w14:paraId="5B62D3BC" w14:textId="77777777" w:rsidTr="0010733F">
        <w:trPr>
          <w:trHeight w:val="300"/>
        </w:trPr>
        <w:tc>
          <w:tcPr>
            <w:tcW w:w="0" w:type="auto"/>
            <w:tcBorders>
              <w:top w:val="nil"/>
              <w:left w:val="nil"/>
              <w:bottom w:val="nil"/>
              <w:right w:val="nil"/>
            </w:tcBorders>
            <w:shd w:val="clear" w:color="auto" w:fill="auto"/>
            <w:noWrap/>
            <w:vAlign w:val="center"/>
            <w:hideMark/>
          </w:tcPr>
          <w:p w14:paraId="39CC7320" w14:textId="77777777" w:rsidR="00D348F9" w:rsidRPr="008669C3" w:rsidRDefault="00D348F9" w:rsidP="00C62FC4">
            <w:pPr>
              <w:jc w:val="both"/>
              <w:rPr>
                <w:i/>
                <w:iCs/>
                <w:szCs w:val="20"/>
                <w:u w:val="single"/>
              </w:rPr>
            </w:pPr>
            <w:r w:rsidRPr="008669C3">
              <w:rPr>
                <w:i/>
                <w:iCs/>
                <w:szCs w:val="20"/>
                <w:u w:val="single"/>
              </w:rPr>
              <w:t xml:space="preserve">Corporate governance </w:t>
            </w:r>
            <w:r w:rsidR="00BC07E3" w:rsidRPr="008669C3">
              <w:rPr>
                <w:i/>
                <w:iCs/>
                <w:szCs w:val="20"/>
                <w:u w:val="single"/>
              </w:rPr>
              <w:t>variables</w:t>
            </w:r>
          </w:p>
        </w:tc>
        <w:tc>
          <w:tcPr>
            <w:tcW w:w="8417" w:type="dxa"/>
            <w:tcBorders>
              <w:top w:val="nil"/>
              <w:left w:val="nil"/>
              <w:bottom w:val="nil"/>
              <w:right w:val="nil"/>
            </w:tcBorders>
            <w:shd w:val="clear" w:color="auto" w:fill="auto"/>
            <w:vAlign w:val="center"/>
            <w:hideMark/>
          </w:tcPr>
          <w:p w14:paraId="736963FF" w14:textId="77777777" w:rsidR="00D348F9" w:rsidRPr="008669C3" w:rsidRDefault="00D348F9" w:rsidP="00C62FC4">
            <w:pPr>
              <w:jc w:val="both"/>
              <w:rPr>
                <w:i/>
                <w:iCs/>
                <w:szCs w:val="20"/>
                <w:u w:val="single"/>
              </w:rPr>
            </w:pPr>
          </w:p>
        </w:tc>
        <w:tc>
          <w:tcPr>
            <w:tcW w:w="2300" w:type="dxa"/>
            <w:tcBorders>
              <w:top w:val="nil"/>
              <w:left w:val="nil"/>
              <w:bottom w:val="nil"/>
              <w:right w:val="nil"/>
            </w:tcBorders>
            <w:shd w:val="clear" w:color="auto" w:fill="auto"/>
            <w:vAlign w:val="center"/>
            <w:hideMark/>
          </w:tcPr>
          <w:p w14:paraId="2D2E1185" w14:textId="77777777" w:rsidR="00D348F9" w:rsidRPr="008669C3" w:rsidRDefault="00D348F9" w:rsidP="00C62FC4">
            <w:pPr>
              <w:jc w:val="both"/>
              <w:rPr>
                <w:szCs w:val="20"/>
              </w:rPr>
            </w:pPr>
          </w:p>
        </w:tc>
      </w:tr>
      <w:tr w:rsidR="004B0C70" w:rsidRPr="008669C3" w14:paraId="798D35A6" w14:textId="77777777" w:rsidTr="0010733F">
        <w:trPr>
          <w:trHeight w:val="300"/>
        </w:trPr>
        <w:tc>
          <w:tcPr>
            <w:tcW w:w="0" w:type="auto"/>
            <w:tcBorders>
              <w:top w:val="nil"/>
              <w:left w:val="nil"/>
              <w:bottom w:val="nil"/>
              <w:right w:val="nil"/>
            </w:tcBorders>
            <w:shd w:val="clear" w:color="auto" w:fill="auto"/>
            <w:noWrap/>
            <w:hideMark/>
          </w:tcPr>
          <w:p w14:paraId="7961CAE1" w14:textId="77777777" w:rsidR="00D348F9" w:rsidRPr="008669C3" w:rsidRDefault="00BC07E3" w:rsidP="00C62FC4">
            <w:pPr>
              <w:jc w:val="both"/>
              <w:rPr>
                <w:szCs w:val="20"/>
              </w:rPr>
            </w:pPr>
            <w:r w:rsidRPr="008669C3">
              <w:rPr>
                <w:szCs w:val="20"/>
              </w:rPr>
              <w:t>Board independence</w:t>
            </w:r>
          </w:p>
        </w:tc>
        <w:tc>
          <w:tcPr>
            <w:tcW w:w="8417" w:type="dxa"/>
            <w:tcBorders>
              <w:top w:val="nil"/>
              <w:left w:val="nil"/>
              <w:bottom w:val="nil"/>
              <w:right w:val="nil"/>
            </w:tcBorders>
            <w:shd w:val="clear" w:color="auto" w:fill="auto"/>
            <w:hideMark/>
          </w:tcPr>
          <w:p w14:paraId="37B1160C" w14:textId="77777777" w:rsidR="00D348F9" w:rsidRPr="008669C3" w:rsidRDefault="00682BBB" w:rsidP="00C62FC4">
            <w:pPr>
              <w:jc w:val="both"/>
              <w:rPr>
                <w:szCs w:val="20"/>
              </w:rPr>
            </w:pPr>
            <w:r w:rsidRPr="008669C3">
              <w:t>Number of independent directors divided by board size.</w:t>
            </w:r>
          </w:p>
        </w:tc>
        <w:tc>
          <w:tcPr>
            <w:tcW w:w="2300" w:type="dxa"/>
            <w:tcBorders>
              <w:top w:val="nil"/>
              <w:left w:val="nil"/>
              <w:bottom w:val="nil"/>
              <w:right w:val="nil"/>
            </w:tcBorders>
            <w:shd w:val="clear" w:color="auto" w:fill="auto"/>
            <w:hideMark/>
          </w:tcPr>
          <w:p w14:paraId="1FA78B06" w14:textId="77777777" w:rsidR="00D348F9" w:rsidRPr="008669C3" w:rsidRDefault="00D348F9" w:rsidP="00C62FC4">
            <w:pPr>
              <w:jc w:val="both"/>
              <w:rPr>
                <w:szCs w:val="20"/>
              </w:rPr>
            </w:pPr>
            <w:r w:rsidRPr="008669C3">
              <w:t>RiskMetrics</w:t>
            </w:r>
          </w:p>
        </w:tc>
      </w:tr>
      <w:tr w:rsidR="004B0C70" w:rsidRPr="008669C3" w14:paraId="632A9D88" w14:textId="77777777" w:rsidTr="0010733F">
        <w:trPr>
          <w:trHeight w:val="510"/>
        </w:trPr>
        <w:tc>
          <w:tcPr>
            <w:tcW w:w="0" w:type="auto"/>
            <w:tcBorders>
              <w:top w:val="nil"/>
              <w:left w:val="nil"/>
              <w:bottom w:val="nil"/>
              <w:right w:val="nil"/>
            </w:tcBorders>
            <w:shd w:val="clear" w:color="auto" w:fill="auto"/>
            <w:noWrap/>
            <w:hideMark/>
          </w:tcPr>
          <w:p w14:paraId="395024A8" w14:textId="77777777" w:rsidR="00D348F9" w:rsidRPr="008669C3" w:rsidRDefault="00D348F9" w:rsidP="00C62FC4">
            <w:pPr>
              <w:jc w:val="both"/>
              <w:rPr>
                <w:szCs w:val="20"/>
              </w:rPr>
            </w:pPr>
            <w:r w:rsidRPr="008669C3">
              <w:rPr>
                <w:szCs w:val="20"/>
              </w:rPr>
              <w:t>Institutional ownership</w:t>
            </w:r>
          </w:p>
        </w:tc>
        <w:tc>
          <w:tcPr>
            <w:tcW w:w="8417" w:type="dxa"/>
            <w:tcBorders>
              <w:top w:val="nil"/>
              <w:left w:val="nil"/>
              <w:bottom w:val="nil"/>
              <w:right w:val="nil"/>
            </w:tcBorders>
            <w:shd w:val="clear" w:color="auto" w:fill="auto"/>
            <w:hideMark/>
          </w:tcPr>
          <w:p w14:paraId="529B048A" w14:textId="77777777" w:rsidR="00D348F9" w:rsidRPr="008669C3" w:rsidRDefault="00087652" w:rsidP="00C62FC4">
            <w:pPr>
              <w:jc w:val="both"/>
              <w:rPr>
                <w:szCs w:val="20"/>
              </w:rPr>
            </w:pPr>
            <w:r w:rsidRPr="008669C3">
              <w:rPr>
                <w:szCs w:val="20"/>
              </w:rPr>
              <w:t>Number</w:t>
            </w:r>
            <w:r w:rsidR="00D348F9" w:rsidRPr="008669C3">
              <w:rPr>
                <w:szCs w:val="20"/>
              </w:rPr>
              <w:t xml:space="preserve"> of shares </w:t>
            </w:r>
            <w:r w:rsidRPr="008669C3">
              <w:rPr>
                <w:szCs w:val="20"/>
              </w:rPr>
              <w:t>owned by</w:t>
            </w:r>
            <w:r w:rsidR="00D348F9" w:rsidRPr="008669C3">
              <w:rPr>
                <w:szCs w:val="20"/>
              </w:rPr>
              <w:t xml:space="preserve"> institutional investors divided by total number of shares outstanding.</w:t>
            </w:r>
          </w:p>
        </w:tc>
        <w:tc>
          <w:tcPr>
            <w:tcW w:w="2300" w:type="dxa"/>
            <w:tcBorders>
              <w:top w:val="nil"/>
              <w:left w:val="nil"/>
              <w:bottom w:val="nil"/>
              <w:right w:val="nil"/>
            </w:tcBorders>
            <w:shd w:val="clear" w:color="auto" w:fill="auto"/>
            <w:hideMark/>
          </w:tcPr>
          <w:p w14:paraId="200A153A" w14:textId="77777777" w:rsidR="0010733F" w:rsidRPr="008669C3" w:rsidRDefault="00BC07E3" w:rsidP="00C62FC4">
            <w:pPr>
              <w:jc w:val="both"/>
              <w:rPr>
                <w:szCs w:val="20"/>
              </w:rPr>
            </w:pPr>
            <w:r w:rsidRPr="008669C3">
              <w:rPr>
                <w:szCs w:val="20"/>
              </w:rPr>
              <w:t>Thomson Reuters</w:t>
            </w:r>
          </w:p>
          <w:p w14:paraId="3DDD058C" w14:textId="77777777" w:rsidR="00D348F9" w:rsidRPr="008669C3" w:rsidRDefault="00BC07E3" w:rsidP="00C62FC4">
            <w:pPr>
              <w:jc w:val="both"/>
              <w:rPr>
                <w:szCs w:val="20"/>
              </w:rPr>
            </w:pPr>
            <w:r w:rsidRPr="008669C3">
              <w:rPr>
                <w:szCs w:val="20"/>
              </w:rPr>
              <w:t>13</w:t>
            </w:r>
            <w:r w:rsidR="00D348F9" w:rsidRPr="008669C3">
              <w:rPr>
                <w:szCs w:val="20"/>
              </w:rPr>
              <w:t xml:space="preserve">F Holdings </w:t>
            </w:r>
          </w:p>
        </w:tc>
      </w:tr>
      <w:tr w:rsidR="00BC07E3" w:rsidRPr="008669C3" w14:paraId="4434E79D" w14:textId="77777777" w:rsidTr="0010733F">
        <w:trPr>
          <w:trHeight w:val="765"/>
        </w:trPr>
        <w:tc>
          <w:tcPr>
            <w:tcW w:w="0" w:type="auto"/>
            <w:tcBorders>
              <w:top w:val="nil"/>
              <w:left w:val="nil"/>
              <w:bottom w:val="single" w:sz="4" w:space="0" w:color="auto"/>
              <w:right w:val="nil"/>
            </w:tcBorders>
            <w:shd w:val="clear" w:color="auto" w:fill="auto"/>
            <w:noWrap/>
            <w:hideMark/>
          </w:tcPr>
          <w:p w14:paraId="74EA43CB" w14:textId="77777777" w:rsidR="00D348F9" w:rsidRPr="008669C3" w:rsidRDefault="00D348F9" w:rsidP="00C62FC4">
            <w:pPr>
              <w:jc w:val="both"/>
              <w:rPr>
                <w:szCs w:val="20"/>
              </w:rPr>
            </w:pPr>
            <w:r w:rsidRPr="008669C3">
              <w:rPr>
                <w:szCs w:val="20"/>
              </w:rPr>
              <w:t xml:space="preserve">E </w:t>
            </w:r>
            <w:r w:rsidR="00BC07E3" w:rsidRPr="008669C3">
              <w:rPr>
                <w:szCs w:val="20"/>
              </w:rPr>
              <w:t>i</w:t>
            </w:r>
            <w:r w:rsidRPr="008669C3">
              <w:rPr>
                <w:szCs w:val="20"/>
              </w:rPr>
              <w:t xml:space="preserve">ndex </w:t>
            </w:r>
          </w:p>
        </w:tc>
        <w:tc>
          <w:tcPr>
            <w:tcW w:w="8417" w:type="dxa"/>
            <w:tcBorders>
              <w:top w:val="nil"/>
              <w:left w:val="nil"/>
              <w:bottom w:val="single" w:sz="4" w:space="0" w:color="auto"/>
              <w:right w:val="nil"/>
            </w:tcBorders>
            <w:shd w:val="clear" w:color="auto" w:fill="auto"/>
            <w:hideMark/>
          </w:tcPr>
          <w:p w14:paraId="5A37B755" w14:textId="77777777" w:rsidR="00D348F9" w:rsidRPr="008669C3" w:rsidRDefault="00682BBB" w:rsidP="00C62FC4">
            <w:pPr>
              <w:jc w:val="both"/>
              <w:rPr>
                <w:szCs w:val="20"/>
              </w:rPr>
            </w:pPr>
            <w:r w:rsidRPr="008669C3">
              <w:rPr>
                <w:szCs w:val="20"/>
              </w:rPr>
              <w:t>Entrenchment index based on six antitakeover provisions: staggered boards, limits to shareholder bylaw amendments, poison pills, golden parachutes, and supermajority requirements for mergers and charter amendments. The index measures the number of antitakeover provisions in place.</w:t>
            </w:r>
          </w:p>
        </w:tc>
        <w:tc>
          <w:tcPr>
            <w:tcW w:w="2300" w:type="dxa"/>
            <w:tcBorders>
              <w:top w:val="nil"/>
              <w:left w:val="nil"/>
              <w:bottom w:val="single" w:sz="4" w:space="0" w:color="auto"/>
              <w:right w:val="nil"/>
            </w:tcBorders>
            <w:shd w:val="clear" w:color="auto" w:fill="auto"/>
            <w:hideMark/>
          </w:tcPr>
          <w:p w14:paraId="268129FF" w14:textId="77777777" w:rsidR="00D348F9" w:rsidRPr="008669C3" w:rsidRDefault="00D348F9" w:rsidP="00C62FC4">
            <w:pPr>
              <w:jc w:val="both"/>
              <w:rPr>
                <w:szCs w:val="20"/>
              </w:rPr>
            </w:pPr>
            <w:r w:rsidRPr="008669C3">
              <w:rPr>
                <w:szCs w:val="20"/>
              </w:rPr>
              <w:t>RiskMetrics; Bebchuk et al. (2009)</w:t>
            </w:r>
          </w:p>
        </w:tc>
      </w:tr>
    </w:tbl>
    <w:p w14:paraId="3CA652EB" w14:textId="77777777" w:rsidR="009359F6" w:rsidRPr="008669C3" w:rsidRDefault="009359F6" w:rsidP="000276F6">
      <w:pPr>
        <w:autoSpaceDE w:val="0"/>
        <w:autoSpaceDN w:val="0"/>
        <w:adjustRightInd w:val="0"/>
        <w:rPr>
          <w:color w:val="FF0000"/>
        </w:rPr>
      </w:pPr>
    </w:p>
    <w:p w14:paraId="015FB72B" w14:textId="77777777" w:rsidR="006C707F" w:rsidRPr="008669C3" w:rsidRDefault="006C707F" w:rsidP="000276F6">
      <w:pPr>
        <w:autoSpaceDE w:val="0"/>
        <w:autoSpaceDN w:val="0"/>
        <w:adjustRightInd w:val="0"/>
        <w:rPr>
          <w:color w:val="FF0000"/>
        </w:rPr>
      </w:pPr>
    </w:p>
    <w:p w14:paraId="27282694" w14:textId="77777777" w:rsidR="00C4258C" w:rsidRPr="008669C3" w:rsidRDefault="00C4258C" w:rsidP="000276F6">
      <w:pPr>
        <w:autoSpaceDE w:val="0"/>
        <w:autoSpaceDN w:val="0"/>
        <w:adjustRightInd w:val="0"/>
        <w:rPr>
          <w:color w:val="FF0000"/>
        </w:rPr>
      </w:pPr>
    </w:p>
    <w:p w14:paraId="4A5CC2F2" w14:textId="77777777" w:rsidR="00C4258C" w:rsidRPr="008669C3" w:rsidRDefault="00C4258C" w:rsidP="000276F6">
      <w:pPr>
        <w:autoSpaceDE w:val="0"/>
        <w:autoSpaceDN w:val="0"/>
        <w:adjustRightInd w:val="0"/>
        <w:rPr>
          <w:color w:val="FF0000"/>
        </w:rPr>
      </w:pPr>
    </w:p>
    <w:p w14:paraId="5A94302E" w14:textId="77777777" w:rsidR="00C4258C" w:rsidRPr="008669C3" w:rsidRDefault="00C4258C" w:rsidP="000276F6">
      <w:pPr>
        <w:autoSpaceDE w:val="0"/>
        <w:autoSpaceDN w:val="0"/>
        <w:adjustRightInd w:val="0"/>
        <w:rPr>
          <w:color w:val="FF0000"/>
        </w:rPr>
        <w:sectPr w:rsidR="00C4258C" w:rsidRPr="008669C3" w:rsidSect="000276F6">
          <w:pgSz w:w="16838" w:h="11906" w:orient="landscape"/>
          <w:pgMar w:top="1440" w:right="1440" w:bottom="1440" w:left="1440" w:header="709" w:footer="709" w:gutter="0"/>
          <w:cols w:space="708"/>
          <w:docGrid w:linePitch="360"/>
        </w:sectPr>
      </w:pPr>
    </w:p>
    <w:p w14:paraId="3B3DFD00" w14:textId="77777777" w:rsidR="00C4258C" w:rsidRPr="008669C3" w:rsidRDefault="00C4258C" w:rsidP="00C4258C">
      <w:pPr>
        <w:spacing w:after="20"/>
        <w:jc w:val="center"/>
        <w:rPr>
          <w:b/>
        </w:rPr>
      </w:pPr>
    </w:p>
    <w:p w14:paraId="541FCD54" w14:textId="77777777" w:rsidR="00C4258C" w:rsidRPr="008669C3" w:rsidRDefault="00C4258C" w:rsidP="00C4258C">
      <w:pPr>
        <w:spacing w:after="20"/>
        <w:jc w:val="center"/>
        <w:rPr>
          <w:b/>
        </w:rPr>
      </w:pPr>
    </w:p>
    <w:p w14:paraId="6314F1AB" w14:textId="77777777" w:rsidR="00C4258C" w:rsidRPr="008669C3" w:rsidRDefault="00C4258C" w:rsidP="00C4258C">
      <w:pPr>
        <w:spacing w:after="20"/>
        <w:jc w:val="center"/>
        <w:rPr>
          <w:b/>
        </w:rPr>
      </w:pPr>
    </w:p>
    <w:p w14:paraId="4D131899" w14:textId="77777777" w:rsidR="009C153F" w:rsidRPr="008669C3" w:rsidRDefault="009C153F" w:rsidP="00C4258C">
      <w:pPr>
        <w:spacing w:after="20"/>
        <w:jc w:val="center"/>
        <w:rPr>
          <w:b/>
        </w:rPr>
      </w:pPr>
    </w:p>
    <w:p w14:paraId="70A3954C" w14:textId="77777777" w:rsidR="009C153F" w:rsidRPr="008669C3" w:rsidRDefault="009C153F" w:rsidP="00C4258C">
      <w:pPr>
        <w:spacing w:after="20"/>
        <w:jc w:val="center"/>
        <w:rPr>
          <w:b/>
        </w:rPr>
      </w:pPr>
    </w:p>
    <w:p w14:paraId="51091BA8" w14:textId="77777777" w:rsidR="00463E89" w:rsidRPr="008669C3" w:rsidRDefault="00463E89" w:rsidP="00C4258C">
      <w:pPr>
        <w:spacing w:after="20"/>
        <w:jc w:val="center"/>
        <w:rPr>
          <w:b/>
        </w:rPr>
      </w:pPr>
    </w:p>
    <w:p w14:paraId="35882B60" w14:textId="77777777" w:rsidR="00C4258C" w:rsidRPr="008669C3" w:rsidRDefault="00C4258C" w:rsidP="00C4258C">
      <w:pPr>
        <w:spacing w:after="20"/>
        <w:jc w:val="center"/>
        <w:rPr>
          <w:b/>
        </w:rPr>
      </w:pPr>
    </w:p>
    <w:p w14:paraId="708AE6DA" w14:textId="77777777" w:rsidR="001E135A" w:rsidRPr="008669C3" w:rsidRDefault="001E135A" w:rsidP="00C4258C">
      <w:pPr>
        <w:jc w:val="center"/>
        <w:rPr>
          <w:b/>
        </w:rPr>
      </w:pPr>
      <w:r w:rsidRPr="008669C3">
        <w:rPr>
          <w:b/>
        </w:rPr>
        <w:t>Appendix B</w:t>
      </w:r>
    </w:p>
    <w:p w14:paraId="7D0B72BF" w14:textId="7A4EE439" w:rsidR="00C4258C" w:rsidRPr="008669C3" w:rsidRDefault="00C4258C" w:rsidP="00C4258C">
      <w:pPr>
        <w:jc w:val="center"/>
      </w:pPr>
      <w:r w:rsidRPr="008669C3">
        <w:t xml:space="preserve">Diagnostic test results for the propensity score matching </w:t>
      </w:r>
      <w:r w:rsidR="001E135A" w:rsidRPr="008669C3">
        <w:t>approach</w:t>
      </w:r>
    </w:p>
    <w:p w14:paraId="1C28DACF" w14:textId="77777777" w:rsidR="00BD3AF5" w:rsidRPr="008669C3" w:rsidRDefault="00BD3AF5" w:rsidP="00C4258C">
      <w:pPr>
        <w:jc w:val="center"/>
      </w:pPr>
    </w:p>
    <w:p w14:paraId="28EA0879" w14:textId="6E99EFE4" w:rsidR="003579C4" w:rsidRPr="008669C3" w:rsidRDefault="001E135A" w:rsidP="008D7F80">
      <w:pPr>
        <w:jc w:val="both"/>
        <w:rPr>
          <w:color w:val="FF0000"/>
          <w:sz w:val="20"/>
          <w:szCs w:val="20"/>
        </w:rPr>
      </w:pPr>
      <w:r w:rsidRPr="008669C3">
        <w:rPr>
          <w:sz w:val="20"/>
          <w:szCs w:val="20"/>
        </w:rPr>
        <w:t xml:space="preserve">The table reports the diagnostic test results for the propensity score matching </w:t>
      </w:r>
      <w:r w:rsidR="009C153F" w:rsidRPr="008669C3">
        <w:rPr>
          <w:sz w:val="20"/>
          <w:szCs w:val="20"/>
        </w:rPr>
        <w:t>approach</w:t>
      </w:r>
      <w:r w:rsidRPr="008669C3">
        <w:rPr>
          <w:sz w:val="20"/>
          <w:szCs w:val="20"/>
        </w:rPr>
        <w:t xml:space="preserve"> </w:t>
      </w:r>
      <w:r w:rsidR="009C153F" w:rsidRPr="008669C3">
        <w:rPr>
          <w:sz w:val="20"/>
          <w:szCs w:val="20"/>
        </w:rPr>
        <w:t>employed</w:t>
      </w:r>
      <w:r w:rsidRPr="008669C3">
        <w:rPr>
          <w:sz w:val="20"/>
          <w:szCs w:val="20"/>
        </w:rPr>
        <w:t xml:space="preserve"> in Table 3.</w:t>
      </w:r>
      <w:r w:rsidR="009C153F" w:rsidRPr="008669C3">
        <w:rPr>
          <w:sz w:val="20"/>
          <w:szCs w:val="20"/>
        </w:rPr>
        <w:t xml:space="preserve"> Specifically, we report the univariate comparisons of firm characteristics between CDS firms and their matched control firms</w:t>
      </w:r>
      <w:r w:rsidR="00463E89" w:rsidRPr="008669C3">
        <w:rPr>
          <w:sz w:val="20"/>
          <w:szCs w:val="20"/>
        </w:rPr>
        <w:t>,</w:t>
      </w:r>
      <w:r w:rsidR="009C153F" w:rsidRPr="008669C3">
        <w:rPr>
          <w:sz w:val="20"/>
          <w:szCs w:val="20"/>
        </w:rPr>
        <w:t xml:space="preserve"> </w:t>
      </w:r>
      <w:r w:rsidR="00463E89" w:rsidRPr="008669C3">
        <w:rPr>
          <w:sz w:val="20"/>
          <w:szCs w:val="20"/>
        </w:rPr>
        <w:t>as well as</w:t>
      </w:r>
      <w:r w:rsidR="009C153F" w:rsidRPr="008669C3">
        <w:rPr>
          <w:sz w:val="20"/>
          <w:szCs w:val="20"/>
        </w:rPr>
        <w:t xml:space="preserve"> the corresponding </w:t>
      </w:r>
      <w:r w:rsidR="009C153F" w:rsidRPr="008669C3">
        <w:rPr>
          <w:rFonts w:ascii="Cambria Math" w:hAnsi="Cambria Math" w:cs="Cambria Math"/>
          <w:sz w:val="20"/>
          <w:szCs w:val="20"/>
        </w:rPr>
        <w:t>𝑡</w:t>
      </w:r>
      <w:r w:rsidR="009C153F" w:rsidRPr="008669C3">
        <w:rPr>
          <w:sz w:val="20"/>
          <w:szCs w:val="20"/>
        </w:rPr>
        <w:t>-statistics.</w:t>
      </w:r>
      <w:r w:rsidR="009C153F" w:rsidRPr="008669C3">
        <w:rPr>
          <w:color w:val="FF0000"/>
          <w:sz w:val="20"/>
          <w:szCs w:val="20"/>
        </w:rPr>
        <w:t xml:space="preserve"> </w:t>
      </w:r>
      <w:r w:rsidR="008D7F80" w:rsidRPr="008669C3">
        <w:rPr>
          <w:i/>
          <w:sz w:val="20"/>
          <w:szCs w:val="20"/>
        </w:rPr>
        <w:t xml:space="preserve">Ln(Sales) </w:t>
      </w:r>
      <w:r w:rsidR="008D7F80" w:rsidRPr="008669C3">
        <w:rPr>
          <w:sz w:val="20"/>
          <w:szCs w:val="20"/>
        </w:rPr>
        <w:t xml:space="preserve">is the natural logarithm of sales. </w:t>
      </w:r>
      <w:r w:rsidR="008D7F80" w:rsidRPr="008669C3">
        <w:rPr>
          <w:i/>
          <w:sz w:val="20"/>
          <w:szCs w:val="20"/>
        </w:rPr>
        <w:t>ROA</w:t>
      </w:r>
      <w:r w:rsidR="008D7F80" w:rsidRPr="008669C3">
        <w:rPr>
          <w:sz w:val="20"/>
          <w:szCs w:val="20"/>
        </w:rPr>
        <w:t xml:space="preserve"> is the earnings before interest and taxes divided by total assets. </w:t>
      </w:r>
      <w:r w:rsidR="008D7F80" w:rsidRPr="008669C3">
        <w:rPr>
          <w:i/>
          <w:sz w:val="20"/>
          <w:szCs w:val="20"/>
        </w:rPr>
        <w:t>Tobin’s q</w:t>
      </w:r>
      <w:r w:rsidR="008D7F80" w:rsidRPr="008669C3">
        <w:rPr>
          <w:sz w:val="20"/>
          <w:szCs w:val="20"/>
        </w:rPr>
        <w:t xml:space="preserve"> is the sum of total assets plus market value of equity minus book value of equity divided by total assets. </w:t>
      </w:r>
      <w:r w:rsidR="008D7F80" w:rsidRPr="008669C3">
        <w:rPr>
          <w:i/>
          <w:sz w:val="20"/>
          <w:szCs w:val="20"/>
        </w:rPr>
        <w:t>Stock return</w:t>
      </w:r>
      <w:r w:rsidR="008D7F80" w:rsidRPr="008669C3">
        <w:rPr>
          <w:sz w:val="20"/>
          <w:szCs w:val="20"/>
        </w:rPr>
        <w:t xml:space="preserve"> is the annual returns over the past year. </w:t>
      </w:r>
      <w:r w:rsidR="008D7F80" w:rsidRPr="008669C3">
        <w:rPr>
          <w:i/>
          <w:sz w:val="20"/>
          <w:szCs w:val="20"/>
        </w:rPr>
        <w:t xml:space="preserve">Volatility </w:t>
      </w:r>
      <w:r w:rsidR="008D7F80" w:rsidRPr="008669C3">
        <w:rPr>
          <w:sz w:val="20"/>
          <w:szCs w:val="20"/>
        </w:rPr>
        <w:t>is the annualized standard deviation of monthly stock return over the past year. A</w:t>
      </w:r>
      <w:r w:rsidR="008D7F80" w:rsidRPr="008669C3">
        <w:rPr>
          <w:i/>
          <w:sz w:val="20"/>
          <w:szCs w:val="20"/>
        </w:rPr>
        <w:t>ge</w:t>
      </w:r>
      <w:r w:rsidR="008D7F80" w:rsidRPr="008669C3">
        <w:rPr>
          <w:sz w:val="20"/>
          <w:szCs w:val="20"/>
        </w:rPr>
        <w:t xml:space="preserve"> is the age of CEO in years. </w:t>
      </w:r>
      <w:r w:rsidR="008D7F80" w:rsidRPr="008669C3">
        <w:rPr>
          <w:i/>
          <w:sz w:val="20"/>
          <w:szCs w:val="20"/>
        </w:rPr>
        <w:t>Tenure</w:t>
      </w:r>
      <w:r w:rsidR="008D7F80" w:rsidRPr="008669C3">
        <w:rPr>
          <w:sz w:val="20"/>
          <w:szCs w:val="20"/>
        </w:rPr>
        <w:t xml:space="preserve"> is the number of years as CEO in the current position. </w:t>
      </w:r>
      <w:r w:rsidR="008D7F80" w:rsidRPr="008669C3">
        <w:rPr>
          <w:i/>
          <w:sz w:val="20"/>
          <w:szCs w:val="20"/>
        </w:rPr>
        <w:t>Female CEO</w:t>
      </w:r>
      <w:r w:rsidR="008D7F80" w:rsidRPr="008669C3">
        <w:rPr>
          <w:sz w:val="20"/>
          <w:szCs w:val="20"/>
        </w:rPr>
        <w:t xml:space="preserve"> is a dummy variable equal to one if CEO is female, and zero otherwise. </w:t>
      </w:r>
      <w:r w:rsidR="008D7F80" w:rsidRPr="008669C3">
        <w:rPr>
          <w:i/>
          <w:sz w:val="20"/>
          <w:szCs w:val="20"/>
        </w:rPr>
        <w:t>Ln(1+Delta)</w:t>
      </w:r>
      <w:r w:rsidR="008D7F80" w:rsidRPr="008669C3">
        <w:rPr>
          <w:sz w:val="20"/>
          <w:szCs w:val="20"/>
        </w:rPr>
        <w:t xml:space="preserve"> is the natural logarithm of one plus </w:t>
      </w:r>
      <w:r w:rsidR="008D7F80" w:rsidRPr="008669C3">
        <w:rPr>
          <w:i/>
          <w:sz w:val="20"/>
          <w:szCs w:val="20"/>
        </w:rPr>
        <w:t>Delta</w:t>
      </w:r>
      <w:r w:rsidR="008D7F80" w:rsidRPr="008669C3">
        <w:rPr>
          <w:sz w:val="20"/>
          <w:szCs w:val="20"/>
        </w:rPr>
        <w:t xml:space="preserve">, where </w:t>
      </w:r>
      <w:r w:rsidR="008D7F80" w:rsidRPr="008669C3">
        <w:rPr>
          <w:i/>
          <w:sz w:val="20"/>
          <w:szCs w:val="20"/>
        </w:rPr>
        <w:t>Delta</w:t>
      </w:r>
      <w:r w:rsidR="008D7F80" w:rsidRPr="008669C3">
        <w:rPr>
          <w:sz w:val="20"/>
          <w:szCs w:val="20"/>
        </w:rPr>
        <w:t xml:space="preserve"> is the change </w:t>
      </w:r>
      <w:r w:rsidR="00296482" w:rsidRPr="008669C3">
        <w:rPr>
          <w:sz w:val="20"/>
          <w:szCs w:val="20"/>
        </w:rPr>
        <w:t xml:space="preserve">(in thousands of dollars) </w:t>
      </w:r>
      <w:r w:rsidR="008D7F80" w:rsidRPr="008669C3">
        <w:rPr>
          <w:sz w:val="20"/>
          <w:szCs w:val="20"/>
        </w:rPr>
        <w:t xml:space="preserve">in the value of the CEO’s wealth due to a 1% increase in the firm’s stock price. </w:t>
      </w:r>
      <w:r w:rsidR="008D7F80" w:rsidRPr="008669C3">
        <w:rPr>
          <w:i/>
          <w:sz w:val="20"/>
          <w:szCs w:val="20"/>
        </w:rPr>
        <w:t>Ln(Total pay)</w:t>
      </w:r>
      <w:r w:rsidR="008D7F80" w:rsidRPr="008669C3">
        <w:rPr>
          <w:sz w:val="20"/>
          <w:szCs w:val="20"/>
        </w:rPr>
        <w:t xml:space="preserve"> is the natural logarithm of CEO total compensation. </w:t>
      </w:r>
      <w:r w:rsidR="008D7F80" w:rsidRPr="008669C3">
        <w:rPr>
          <w:i/>
          <w:sz w:val="20"/>
          <w:szCs w:val="20"/>
        </w:rPr>
        <w:t>Equity mix</w:t>
      </w:r>
      <w:r w:rsidR="008D7F80" w:rsidRPr="008669C3">
        <w:rPr>
          <w:sz w:val="20"/>
          <w:szCs w:val="20"/>
        </w:rPr>
        <w:t xml:space="preserve"> is CEO equity pay divided by total pay. </w:t>
      </w:r>
      <w:r w:rsidR="008D7F80" w:rsidRPr="008669C3">
        <w:rPr>
          <w:i/>
          <w:sz w:val="20"/>
          <w:szCs w:val="20"/>
        </w:rPr>
        <w:t>Board independence</w:t>
      </w:r>
      <w:r w:rsidR="008D7F80" w:rsidRPr="008669C3">
        <w:rPr>
          <w:sz w:val="20"/>
          <w:szCs w:val="20"/>
        </w:rPr>
        <w:t xml:space="preserve"> is the fraction of independent directors on the board. </w:t>
      </w:r>
      <w:r w:rsidR="008D7F80" w:rsidRPr="008669C3">
        <w:rPr>
          <w:i/>
          <w:sz w:val="20"/>
          <w:szCs w:val="20"/>
        </w:rPr>
        <w:t>Institutional ownership</w:t>
      </w:r>
      <w:r w:rsidR="008D7F80" w:rsidRPr="008669C3">
        <w:rPr>
          <w:sz w:val="20"/>
          <w:szCs w:val="20"/>
        </w:rPr>
        <w:t xml:space="preserve"> is the number of shares owned by institutional investors divided by total number of shares outstanding. </w:t>
      </w:r>
      <w:r w:rsidR="008D7F80" w:rsidRPr="008669C3">
        <w:rPr>
          <w:i/>
          <w:sz w:val="20"/>
          <w:szCs w:val="20"/>
        </w:rPr>
        <w:t xml:space="preserve">E index </w:t>
      </w:r>
      <w:r w:rsidR="008D7F80" w:rsidRPr="008669C3">
        <w:rPr>
          <w:sz w:val="20"/>
          <w:szCs w:val="20"/>
        </w:rPr>
        <w:t>is the Bebchuk et al. (2009) entrenchment index.</w:t>
      </w:r>
      <w:r w:rsidR="009C153F" w:rsidRPr="008669C3">
        <w:rPr>
          <w:sz w:val="20"/>
          <w:szCs w:val="20"/>
        </w:rPr>
        <w:t xml:space="preserve"> ***, **</w:t>
      </w:r>
      <w:r w:rsidR="008E495C" w:rsidRPr="008669C3">
        <w:rPr>
          <w:sz w:val="20"/>
          <w:szCs w:val="20"/>
        </w:rPr>
        <w:t>,</w:t>
      </w:r>
      <w:r w:rsidR="009C153F" w:rsidRPr="008669C3">
        <w:rPr>
          <w:sz w:val="20"/>
          <w:szCs w:val="20"/>
        </w:rPr>
        <w:t xml:space="preserve"> and * indicate significance at the 1%, 5%</w:t>
      </w:r>
      <w:r w:rsidR="008E495C" w:rsidRPr="008669C3">
        <w:rPr>
          <w:sz w:val="20"/>
          <w:szCs w:val="20"/>
        </w:rPr>
        <w:t>,</w:t>
      </w:r>
      <w:r w:rsidR="009C153F" w:rsidRPr="008669C3">
        <w:rPr>
          <w:sz w:val="20"/>
          <w:szCs w:val="20"/>
        </w:rPr>
        <w:t xml:space="preserve"> and 10% level, respectively.</w:t>
      </w:r>
    </w:p>
    <w:tbl>
      <w:tblPr>
        <w:tblW w:w="5000" w:type="pct"/>
        <w:tblLook w:val="04A0" w:firstRow="1" w:lastRow="0" w:firstColumn="1" w:lastColumn="0" w:noHBand="0" w:noVBand="1"/>
      </w:tblPr>
      <w:tblGrid>
        <w:gridCol w:w="3343"/>
        <w:gridCol w:w="1270"/>
        <w:gridCol w:w="285"/>
        <w:gridCol w:w="1527"/>
        <w:gridCol w:w="279"/>
        <w:gridCol w:w="1301"/>
        <w:gridCol w:w="1237"/>
      </w:tblGrid>
      <w:tr w:rsidR="003579C4" w:rsidRPr="008669C3" w14:paraId="509152CE" w14:textId="77777777" w:rsidTr="003579C4">
        <w:trPr>
          <w:trHeight w:val="20"/>
        </w:trPr>
        <w:tc>
          <w:tcPr>
            <w:tcW w:w="1809" w:type="pct"/>
            <w:tcBorders>
              <w:top w:val="single" w:sz="4" w:space="0" w:color="auto"/>
              <w:left w:val="nil"/>
              <w:bottom w:val="single" w:sz="4" w:space="0" w:color="auto"/>
              <w:right w:val="nil"/>
            </w:tcBorders>
            <w:shd w:val="clear" w:color="auto" w:fill="auto"/>
            <w:noWrap/>
            <w:vAlign w:val="bottom"/>
            <w:hideMark/>
          </w:tcPr>
          <w:p w14:paraId="0193CE80" w14:textId="77777777" w:rsidR="003579C4" w:rsidRPr="008669C3" w:rsidRDefault="003579C4" w:rsidP="003579C4">
            <w:pPr>
              <w:rPr>
                <w:i/>
                <w:iCs/>
                <w:color w:val="000000"/>
                <w:sz w:val="22"/>
                <w:szCs w:val="22"/>
              </w:rPr>
            </w:pPr>
            <w:r w:rsidRPr="008669C3">
              <w:rPr>
                <w:i/>
                <w:iCs/>
                <w:color w:val="000000"/>
                <w:sz w:val="22"/>
                <w:szCs w:val="22"/>
              </w:rPr>
              <w:t> </w:t>
            </w:r>
          </w:p>
        </w:tc>
        <w:tc>
          <w:tcPr>
            <w:tcW w:w="687" w:type="pct"/>
            <w:tcBorders>
              <w:top w:val="single" w:sz="4" w:space="0" w:color="auto"/>
              <w:left w:val="nil"/>
              <w:bottom w:val="single" w:sz="4" w:space="0" w:color="auto"/>
              <w:right w:val="nil"/>
            </w:tcBorders>
            <w:shd w:val="clear" w:color="auto" w:fill="auto"/>
            <w:noWrap/>
            <w:vAlign w:val="center"/>
            <w:hideMark/>
          </w:tcPr>
          <w:p w14:paraId="1E65AC4A" w14:textId="05643F83" w:rsidR="003579C4" w:rsidRPr="008669C3" w:rsidRDefault="003579C4" w:rsidP="003579C4">
            <w:pPr>
              <w:jc w:val="center"/>
              <w:rPr>
                <w:color w:val="000000"/>
                <w:sz w:val="22"/>
                <w:szCs w:val="22"/>
              </w:rPr>
            </w:pPr>
            <w:r w:rsidRPr="008669C3">
              <w:rPr>
                <w:sz w:val="22"/>
                <w:szCs w:val="22"/>
              </w:rPr>
              <w:t xml:space="preserve">CDS Firms </w:t>
            </w:r>
          </w:p>
        </w:tc>
        <w:tc>
          <w:tcPr>
            <w:tcW w:w="154" w:type="pct"/>
            <w:tcBorders>
              <w:top w:val="single" w:sz="4" w:space="0" w:color="auto"/>
              <w:left w:val="nil"/>
              <w:bottom w:val="single" w:sz="4" w:space="0" w:color="auto"/>
              <w:right w:val="nil"/>
            </w:tcBorders>
            <w:shd w:val="clear" w:color="auto" w:fill="auto"/>
            <w:noWrap/>
            <w:vAlign w:val="center"/>
            <w:hideMark/>
          </w:tcPr>
          <w:p w14:paraId="3D8F57AB" w14:textId="01EF727D" w:rsidR="003579C4" w:rsidRPr="008669C3" w:rsidRDefault="003579C4" w:rsidP="003579C4">
            <w:pPr>
              <w:jc w:val="center"/>
              <w:rPr>
                <w:color w:val="000000"/>
                <w:sz w:val="22"/>
                <w:szCs w:val="22"/>
              </w:rPr>
            </w:pPr>
            <w:r w:rsidRPr="008669C3">
              <w:rPr>
                <w:sz w:val="22"/>
                <w:szCs w:val="22"/>
              </w:rPr>
              <w:t> </w:t>
            </w:r>
          </w:p>
        </w:tc>
        <w:tc>
          <w:tcPr>
            <w:tcW w:w="826" w:type="pct"/>
            <w:tcBorders>
              <w:top w:val="single" w:sz="4" w:space="0" w:color="auto"/>
              <w:left w:val="nil"/>
              <w:bottom w:val="single" w:sz="4" w:space="0" w:color="auto"/>
              <w:right w:val="nil"/>
            </w:tcBorders>
            <w:shd w:val="clear" w:color="auto" w:fill="auto"/>
            <w:noWrap/>
            <w:vAlign w:val="center"/>
            <w:hideMark/>
          </w:tcPr>
          <w:p w14:paraId="3F2316B9" w14:textId="7B37C134" w:rsidR="003579C4" w:rsidRPr="008669C3" w:rsidRDefault="003579C4" w:rsidP="003579C4">
            <w:pPr>
              <w:jc w:val="center"/>
              <w:rPr>
                <w:color w:val="000000"/>
                <w:sz w:val="22"/>
                <w:szCs w:val="22"/>
              </w:rPr>
            </w:pPr>
            <w:r w:rsidRPr="008669C3">
              <w:rPr>
                <w:sz w:val="22"/>
                <w:szCs w:val="22"/>
              </w:rPr>
              <w:t>Control Firms</w:t>
            </w:r>
          </w:p>
        </w:tc>
        <w:tc>
          <w:tcPr>
            <w:tcW w:w="151" w:type="pct"/>
            <w:tcBorders>
              <w:top w:val="single" w:sz="4" w:space="0" w:color="auto"/>
              <w:left w:val="nil"/>
              <w:bottom w:val="single" w:sz="4" w:space="0" w:color="auto"/>
              <w:right w:val="nil"/>
            </w:tcBorders>
            <w:shd w:val="clear" w:color="auto" w:fill="auto"/>
            <w:noWrap/>
            <w:vAlign w:val="center"/>
            <w:hideMark/>
          </w:tcPr>
          <w:p w14:paraId="402B800A" w14:textId="6E209C9B" w:rsidR="003579C4" w:rsidRPr="008669C3" w:rsidRDefault="003579C4" w:rsidP="003579C4">
            <w:pPr>
              <w:jc w:val="center"/>
              <w:rPr>
                <w:color w:val="000000"/>
                <w:sz w:val="22"/>
                <w:szCs w:val="22"/>
              </w:rPr>
            </w:pPr>
            <w:r w:rsidRPr="008669C3">
              <w:rPr>
                <w:sz w:val="22"/>
                <w:szCs w:val="22"/>
              </w:rPr>
              <w:t> </w:t>
            </w:r>
          </w:p>
        </w:tc>
        <w:tc>
          <w:tcPr>
            <w:tcW w:w="704" w:type="pct"/>
            <w:tcBorders>
              <w:top w:val="single" w:sz="4" w:space="0" w:color="auto"/>
              <w:left w:val="nil"/>
              <w:bottom w:val="single" w:sz="4" w:space="0" w:color="auto"/>
              <w:right w:val="nil"/>
            </w:tcBorders>
            <w:shd w:val="clear" w:color="auto" w:fill="auto"/>
            <w:noWrap/>
            <w:vAlign w:val="center"/>
            <w:hideMark/>
          </w:tcPr>
          <w:p w14:paraId="5FDBC863" w14:textId="43A6C433" w:rsidR="003579C4" w:rsidRPr="008669C3" w:rsidRDefault="003579C4" w:rsidP="003579C4">
            <w:pPr>
              <w:jc w:val="center"/>
              <w:rPr>
                <w:color w:val="000000"/>
                <w:sz w:val="22"/>
                <w:szCs w:val="22"/>
              </w:rPr>
            </w:pPr>
            <w:r w:rsidRPr="008669C3">
              <w:rPr>
                <w:sz w:val="22"/>
                <w:szCs w:val="22"/>
              </w:rPr>
              <w:t>Differences</w:t>
            </w:r>
          </w:p>
        </w:tc>
        <w:tc>
          <w:tcPr>
            <w:tcW w:w="669" w:type="pct"/>
            <w:tcBorders>
              <w:top w:val="single" w:sz="4" w:space="0" w:color="auto"/>
              <w:left w:val="nil"/>
              <w:bottom w:val="single" w:sz="4" w:space="0" w:color="auto"/>
              <w:right w:val="nil"/>
            </w:tcBorders>
            <w:shd w:val="clear" w:color="auto" w:fill="auto"/>
            <w:noWrap/>
            <w:vAlign w:val="center"/>
            <w:hideMark/>
          </w:tcPr>
          <w:p w14:paraId="0DA3661E" w14:textId="675BF000" w:rsidR="003579C4" w:rsidRPr="008669C3" w:rsidRDefault="009C153F" w:rsidP="003579C4">
            <w:pPr>
              <w:jc w:val="center"/>
              <w:rPr>
                <w:color w:val="000000"/>
                <w:sz w:val="22"/>
                <w:szCs w:val="22"/>
              </w:rPr>
            </w:pPr>
            <w:r w:rsidRPr="008669C3">
              <w:rPr>
                <w:i/>
                <w:sz w:val="22"/>
                <w:szCs w:val="22"/>
              </w:rPr>
              <w:t>t</w:t>
            </w:r>
            <w:r w:rsidR="003579C4" w:rsidRPr="008669C3">
              <w:rPr>
                <w:sz w:val="22"/>
                <w:szCs w:val="22"/>
              </w:rPr>
              <w:t>-statistics</w:t>
            </w:r>
          </w:p>
        </w:tc>
      </w:tr>
      <w:tr w:rsidR="003579C4" w:rsidRPr="008669C3" w14:paraId="5DB0D432" w14:textId="77777777" w:rsidTr="003579C4">
        <w:trPr>
          <w:trHeight w:val="20"/>
        </w:trPr>
        <w:tc>
          <w:tcPr>
            <w:tcW w:w="1809" w:type="pct"/>
            <w:tcBorders>
              <w:top w:val="nil"/>
              <w:left w:val="nil"/>
              <w:bottom w:val="nil"/>
              <w:right w:val="nil"/>
            </w:tcBorders>
            <w:shd w:val="clear" w:color="auto" w:fill="auto"/>
            <w:noWrap/>
            <w:vAlign w:val="bottom"/>
            <w:hideMark/>
          </w:tcPr>
          <w:p w14:paraId="22FB50DD" w14:textId="1971156A" w:rsidR="003579C4" w:rsidRPr="008669C3" w:rsidRDefault="003579C4" w:rsidP="003579C4">
            <w:pPr>
              <w:rPr>
                <w:iCs/>
                <w:color w:val="000000"/>
                <w:sz w:val="22"/>
                <w:szCs w:val="22"/>
              </w:rPr>
            </w:pPr>
            <w:r w:rsidRPr="008669C3">
              <w:rPr>
                <w:iCs/>
                <w:color w:val="000000"/>
                <w:sz w:val="22"/>
                <w:szCs w:val="22"/>
              </w:rPr>
              <w:t>Ln(Sale</w:t>
            </w:r>
            <w:r w:rsidR="008D7F80" w:rsidRPr="008669C3">
              <w:rPr>
                <w:iCs/>
                <w:color w:val="000000"/>
                <w:sz w:val="22"/>
                <w:szCs w:val="22"/>
              </w:rPr>
              <w:t>s</w:t>
            </w:r>
            <w:r w:rsidRPr="008669C3">
              <w:rPr>
                <w:iCs/>
                <w:color w:val="000000"/>
                <w:sz w:val="22"/>
                <w:szCs w:val="22"/>
              </w:rPr>
              <w:t>)</w:t>
            </w:r>
          </w:p>
        </w:tc>
        <w:tc>
          <w:tcPr>
            <w:tcW w:w="687" w:type="pct"/>
            <w:tcBorders>
              <w:top w:val="nil"/>
              <w:left w:val="nil"/>
              <w:bottom w:val="nil"/>
              <w:right w:val="nil"/>
            </w:tcBorders>
            <w:shd w:val="clear" w:color="auto" w:fill="auto"/>
            <w:noWrap/>
            <w:vAlign w:val="bottom"/>
            <w:hideMark/>
          </w:tcPr>
          <w:p w14:paraId="1E59E97B" w14:textId="77777777" w:rsidR="003579C4" w:rsidRPr="008669C3" w:rsidRDefault="003579C4" w:rsidP="003579C4">
            <w:pPr>
              <w:jc w:val="center"/>
              <w:rPr>
                <w:color w:val="000000"/>
                <w:sz w:val="22"/>
                <w:szCs w:val="22"/>
              </w:rPr>
            </w:pPr>
            <w:r w:rsidRPr="008669C3">
              <w:rPr>
                <w:color w:val="000000"/>
                <w:sz w:val="22"/>
                <w:szCs w:val="22"/>
              </w:rPr>
              <w:t>6.948</w:t>
            </w:r>
          </w:p>
        </w:tc>
        <w:tc>
          <w:tcPr>
            <w:tcW w:w="154" w:type="pct"/>
            <w:tcBorders>
              <w:top w:val="nil"/>
              <w:left w:val="nil"/>
              <w:bottom w:val="nil"/>
              <w:right w:val="nil"/>
            </w:tcBorders>
            <w:shd w:val="clear" w:color="auto" w:fill="auto"/>
            <w:noWrap/>
            <w:vAlign w:val="bottom"/>
            <w:hideMark/>
          </w:tcPr>
          <w:p w14:paraId="7A5EDA30" w14:textId="77777777" w:rsidR="003579C4" w:rsidRPr="008669C3" w:rsidRDefault="003579C4" w:rsidP="003579C4">
            <w:pPr>
              <w:jc w:val="center"/>
              <w:rPr>
                <w:color w:val="000000"/>
                <w:sz w:val="22"/>
                <w:szCs w:val="22"/>
              </w:rPr>
            </w:pPr>
          </w:p>
        </w:tc>
        <w:tc>
          <w:tcPr>
            <w:tcW w:w="826" w:type="pct"/>
            <w:tcBorders>
              <w:top w:val="nil"/>
              <w:left w:val="nil"/>
              <w:bottom w:val="nil"/>
              <w:right w:val="nil"/>
            </w:tcBorders>
            <w:shd w:val="clear" w:color="auto" w:fill="auto"/>
            <w:noWrap/>
            <w:vAlign w:val="bottom"/>
            <w:hideMark/>
          </w:tcPr>
          <w:p w14:paraId="23E560B8" w14:textId="77777777" w:rsidR="003579C4" w:rsidRPr="008669C3" w:rsidRDefault="003579C4" w:rsidP="003579C4">
            <w:pPr>
              <w:jc w:val="center"/>
              <w:rPr>
                <w:color w:val="000000"/>
                <w:sz w:val="22"/>
                <w:szCs w:val="22"/>
              </w:rPr>
            </w:pPr>
            <w:r w:rsidRPr="008669C3">
              <w:rPr>
                <w:color w:val="000000"/>
                <w:sz w:val="22"/>
                <w:szCs w:val="22"/>
              </w:rPr>
              <w:t>6.908</w:t>
            </w:r>
          </w:p>
        </w:tc>
        <w:tc>
          <w:tcPr>
            <w:tcW w:w="151" w:type="pct"/>
            <w:tcBorders>
              <w:top w:val="nil"/>
              <w:left w:val="nil"/>
              <w:bottom w:val="nil"/>
              <w:right w:val="nil"/>
            </w:tcBorders>
            <w:shd w:val="clear" w:color="auto" w:fill="auto"/>
            <w:noWrap/>
            <w:vAlign w:val="bottom"/>
            <w:hideMark/>
          </w:tcPr>
          <w:p w14:paraId="31BC414B" w14:textId="77777777" w:rsidR="003579C4" w:rsidRPr="008669C3" w:rsidRDefault="003579C4" w:rsidP="003579C4">
            <w:pPr>
              <w:jc w:val="center"/>
              <w:rPr>
                <w:color w:val="000000"/>
                <w:sz w:val="22"/>
                <w:szCs w:val="22"/>
              </w:rPr>
            </w:pPr>
          </w:p>
        </w:tc>
        <w:tc>
          <w:tcPr>
            <w:tcW w:w="704" w:type="pct"/>
            <w:tcBorders>
              <w:top w:val="nil"/>
              <w:left w:val="nil"/>
              <w:bottom w:val="nil"/>
              <w:right w:val="nil"/>
            </w:tcBorders>
            <w:shd w:val="clear" w:color="auto" w:fill="auto"/>
            <w:noWrap/>
            <w:vAlign w:val="bottom"/>
            <w:hideMark/>
          </w:tcPr>
          <w:p w14:paraId="1E21BAE8" w14:textId="77777777" w:rsidR="003579C4" w:rsidRPr="008669C3" w:rsidRDefault="003579C4" w:rsidP="003579C4">
            <w:pPr>
              <w:jc w:val="center"/>
              <w:rPr>
                <w:color w:val="000000"/>
                <w:sz w:val="22"/>
                <w:szCs w:val="22"/>
              </w:rPr>
            </w:pPr>
            <w:r w:rsidRPr="008669C3">
              <w:rPr>
                <w:color w:val="000000"/>
                <w:sz w:val="22"/>
                <w:szCs w:val="22"/>
              </w:rPr>
              <w:t>0.039</w:t>
            </w:r>
          </w:p>
        </w:tc>
        <w:tc>
          <w:tcPr>
            <w:tcW w:w="669" w:type="pct"/>
            <w:tcBorders>
              <w:top w:val="nil"/>
              <w:left w:val="nil"/>
              <w:bottom w:val="nil"/>
              <w:right w:val="nil"/>
            </w:tcBorders>
            <w:shd w:val="clear" w:color="auto" w:fill="auto"/>
            <w:noWrap/>
            <w:vAlign w:val="bottom"/>
            <w:hideMark/>
          </w:tcPr>
          <w:p w14:paraId="0F0C15E6" w14:textId="77777777" w:rsidR="003579C4" w:rsidRPr="008669C3" w:rsidRDefault="003579C4" w:rsidP="003579C4">
            <w:pPr>
              <w:jc w:val="center"/>
              <w:rPr>
                <w:color w:val="000000"/>
                <w:sz w:val="22"/>
                <w:szCs w:val="22"/>
              </w:rPr>
            </w:pPr>
            <w:r w:rsidRPr="008669C3">
              <w:rPr>
                <w:color w:val="000000"/>
                <w:sz w:val="22"/>
                <w:szCs w:val="22"/>
              </w:rPr>
              <w:t>0.427</w:t>
            </w:r>
          </w:p>
        </w:tc>
      </w:tr>
      <w:tr w:rsidR="003579C4" w:rsidRPr="008669C3" w14:paraId="4CBD6D29" w14:textId="77777777" w:rsidTr="003579C4">
        <w:trPr>
          <w:trHeight w:val="20"/>
        </w:trPr>
        <w:tc>
          <w:tcPr>
            <w:tcW w:w="1809" w:type="pct"/>
            <w:tcBorders>
              <w:top w:val="nil"/>
              <w:left w:val="nil"/>
              <w:bottom w:val="nil"/>
              <w:right w:val="nil"/>
            </w:tcBorders>
            <w:shd w:val="clear" w:color="auto" w:fill="auto"/>
            <w:noWrap/>
            <w:vAlign w:val="bottom"/>
            <w:hideMark/>
          </w:tcPr>
          <w:p w14:paraId="63C9727B" w14:textId="77777777" w:rsidR="003579C4" w:rsidRPr="008669C3" w:rsidRDefault="003579C4" w:rsidP="003579C4">
            <w:pPr>
              <w:rPr>
                <w:iCs/>
                <w:color w:val="000000"/>
                <w:sz w:val="22"/>
                <w:szCs w:val="22"/>
              </w:rPr>
            </w:pPr>
            <w:r w:rsidRPr="008669C3">
              <w:rPr>
                <w:iCs/>
                <w:color w:val="000000"/>
                <w:sz w:val="22"/>
                <w:szCs w:val="22"/>
              </w:rPr>
              <w:t>ROA</w:t>
            </w:r>
          </w:p>
        </w:tc>
        <w:tc>
          <w:tcPr>
            <w:tcW w:w="687" w:type="pct"/>
            <w:tcBorders>
              <w:top w:val="nil"/>
              <w:left w:val="nil"/>
              <w:bottom w:val="nil"/>
              <w:right w:val="nil"/>
            </w:tcBorders>
            <w:shd w:val="clear" w:color="auto" w:fill="auto"/>
            <w:noWrap/>
            <w:vAlign w:val="bottom"/>
            <w:hideMark/>
          </w:tcPr>
          <w:p w14:paraId="4239BD3D" w14:textId="77777777" w:rsidR="003579C4" w:rsidRPr="008669C3" w:rsidRDefault="003579C4" w:rsidP="003579C4">
            <w:pPr>
              <w:jc w:val="center"/>
              <w:rPr>
                <w:color w:val="000000"/>
                <w:sz w:val="22"/>
                <w:szCs w:val="22"/>
              </w:rPr>
            </w:pPr>
            <w:r w:rsidRPr="008669C3">
              <w:rPr>
                <w:color w:val="000000"/>
                <w:sz w:val="22"/>
                <w:szCs w:val="22"/>
              </w:rPr>
              <w:t>0.145</w:t>
            </w:r>
          </w:p>
        </w:tc>
        <w:tc>
          <w:tcPr>
            <w:tcW w:w="154" w:type="pct"/>
            <w:tcBorders>
              <w:top w:val="nil"/>
              <w:left w:val="nil"/>
              <w:bottom w:val="nil"/>
              <w:right w:val="nil"/>
            </w:tcBorders>
            <w:shd w:val="clear" w:color="auto" w:fill="auto"/>
            <w:noWrap/>
            <w:vAlign w:val="bottom"/>
            <w:hideMark/>
          </w:tcPr>
          <w:p w14:paraId="3C1D9DDC" w14:textId="77777777" w:rsidR="003579C4" w:rsidRPr="008669C3" w:rsidRDefault="003579C4" w:rsidP="003579C4">
            <w:pPr>
              <w:jc w:val="center"/>
              <w:rPr>
                <w:color w:val="000000"/>
                <w:sz w:val="22"/>
                <w:szCs w:val="22"/>
              </w:rPr>
            </w:pPr>
          </w:p>
        </w:tc>
        <w:tc>
          <w:tcPr>
            <w:tcW w:w="826" w:type="pct"/>
            <w:tcBorders>
              <w:top w:val="nil"/>
              <w:left w:val="nil"/>
              <w:bottom w:val="nil"/>
              <w:right w:val="nil"/>
            </w:tcBorders>
            <w:shd w:val="clear" w:color="auto" w:fill="auto"/>
            <w:noWrap/>
            <w:vAlign w:val="bottom"/>
            <w:hideMark/>
          </w:tcPr>
          <w:p w14:paraId="573DCC73" w14:textId="77777777" w:rsidR="003579C4" w:rsidRPr="008669C3" w:rsidRDefault="003579C4" w:rsidP="003579C4">
            <w:pPr>
              <w:jc w:val="center"/>
              <w:rPr>
                <w:color w:val="000000"/>
                <w:sz w:val="22"/>
                <w:szCs w:val="22"/>
              </w:rPr>
            </w:pPr>
            <w:r w:rsidRPr="008669C3">
              <w:rPr>
                <w:color w:val="000000"/>
                <w:sz w:val="22"/>
                <w:szCs w:val="22"/>
              </w:rPr>
              <w:t>0.145</w:t>
            </w:r>
          </w:p>
        </w:tc>
        <w:tc>
          <w:tcPr>
            <w:tcW w:w="151" w:type="pct"/>
            <w:tcBorders>
              <w:top w:val="nil"/>
              <w:left w:val="nil"/>
              <w:bottom w:val="nil"/>
              <w:right w:val="nil"/>
            </w:tcBorders>
            <w:shd w:val="clear" w:color="auto" w:fill="auto"/>
            <w:noWrap/>
            <w:vAlign w:val="bottom"/>
            <w:hideMark/>
          </w:tcPr>
          <w:p w14:paraId="78D93536" w14:textId="77777777" w:rsidR="003579C4" w:rsidRPr="008669C3" w:rsidRDefault="003579C4" w:rsidP="003579C4">
            <w:pPr>
              <w:jc w:val="center"/>
              <w:rPr>
                <w:color w:val="000000"/>
                <w:sz w:val="22"/>
                <w:szCs w:val="22"/>
              </w:rPr>
            </w:pPr>
          </w:p>
        </w:tc>
        <w:tc>
          <w:tcPr>
            <w:tcW w:w="704" w:type="pct"/>
            <w:tcBorders>
              <w:top w:val="nil"/>
              <w:left w:val="nil"/>
              <w:bottom w:val="nil"/>
              <w:right w:val="nil"/>
            </w:tcBorders>
            <w:shd w:val="clear" w:color="auto" w:fill="auto"/>
            <w:noWrap/>
            <w:vAlign w:val="bottom"/>
            <w:hideMark/>
          </w:tcPr>
          <w:p w14:paraId="3FDB45DD" w14:textId="77777777" w:rsidR="003579C4" w:rsidRPr="008669C3" w:rsidRDefault="003579C4" w:rsidP="003579C4">
            <w:pPr>
              <w:jc w:val="center"/>
              <w:rPr>
                <w:color w:val="000000"/>
                <w:sz w:val="22"/>
                <w:szCs w:val="22"/>
              </w:rPr>
            </w:pPr>
            <w:r w:rsidRPr="008669C3">
              <w:rPr>
                <w:color w:val="000000"/>
                <w:sz w:val="22"/>
                <w:szCs w:val="22"/>
              </w:rPr>
              <w:t>0.000</w:t>
            </w:r>
          </w:p>
        </w:tc>
        <w:tc>
          <w:tcPr>
            <w:tcW w:w="669" w:type="pct"/>
            <w:tcBorders>
              <w:top w:val="nil"/>
              <w:left w:val="nil"/>
              <w:bottom w:val="nil"/>
              <w:right w:val="nil"/>
            </w:tcBorders>
            <w:shd w:val="clear" w:color="auto" w:fill="auto"/>
            <w:noWrap/>
            <w:vAlign w:val="bottom"/>
            <w:hideMark/>
          </w:tcPr>
          <w:p w14:paraId="5A1402D4" w14:textId="77777777" w:rsidR="003579C4" w:rsidRPr="008669C3" w:rsidRDefault="003579C4" w:rsidP="003579C4">
            <w:pPr>
              <w:jc w:val="center"/>
              <w:rPr>
                <w:color w:val="000000"/>
                <w:sz w:val="22"/>
                <w:szCs w:val="22"/>
              </w:rPr>
            </w:pPr>
            <w:r w:rsidRPr="008669C3">
              <w:rPr>
                <w:color w:val="000000"/>
                <w:sz w:val="22"/>
                <w:szCs w:val="22"/>
              </w:rPr>
              <w:t>0.009</w:t>
            </w:r>
          </w:p>
        </w:tc>
      </w:tr>
      <w:tr w:rsidR="003579C4" w:rsidRPr="008669C3" w14:paraId="2792B171" w14:textId="77777777" w:rsidTr="003579C4">
        <w:trPr>
          <w:trHeight w:val="20"/>
        </w:trPr>
        <w:tc>
          <w:tcPr>
            <w:tcW w:w="1809" w:type="pct"/>
            <w:tcBorders>
              <w:top w:val="nil"/>
              <w:left w:val="nil"/>
              <w:bottom w:val="nil"/>
              <w:right w:val="nil"/>
            </w:tcBorders>
            <w:shd w:val="clear" w:color="auto" w:fill="auto"/>
            <w:noWrap/>
            <w:vAlign w:val="bottom"/>
            <w:hideMark/>
          </w:tcPr>
          <w:p w14:paraId="1A119830" w14:textId="77777777" w:rsidR="003579C4" w:rsidRPr="008669C3" w:rsidRDefault="003579C4" w:rsidP="003579C4">
            <w:pPr>
              <w:rPr>
                <w:iCs/>
                <w:color w:val="000000"/>
                <w:sz w:val="22"/>
                <w:szCs w:val="22"/>
              </w:rPr>
            </w:pPr>
            <w:r w:rsidRPr="008669C3">
              <w:rPr>
                <w:iCs/>
                <w:color w:val="000000"/>
                <w:sz w:val="22"/>
                <w:szCs w:val="22"/>
              </w:rPr>
              <w:t>Tobin's q</w:t>
            </w:r>
          </w:p>
        </w:tc>
        <w:tc>
          <w:tcPr>
            <w:tcW w:w="687" w:type="pct"/>
            <w:tcBorders>
              <w:top w:val="nil"/>
              <w:left w:val="nil"/>
              <w:bottom w:val="nil"/>
              <w:right w:val="nil"/>
            </w:tcBorders>
            <w:shd w:val="clear" w:color="auto" w:fill="auto"/>
            <w:noWrap/>
            <w:vAlign w:val="bottom"/>
            <w:hideMark/>
          </w:tcPr>
          <w:p w14:paraId="30081832" w14:textId="77777777" w:rsidR="003579C4" w:rsidRPr="008669C3" w:rsidRDefault="003579C4" w:rsidP="003579C4">
            <w:pPr>
              <w:jc w:val="center"/>
              <w:rPr>
                <w:color w:val="000000"/>
                <w:sz w:val="22"/>
                <w:szCs w:val="22"/>
              </w:rPr>
            </w:pPr>
            <w:r w:rsidRPr="008669C3">
              <w:rPr>
                <w:color w:val="000000"/>
                <w:sz w:val="22"/>
                <w:szCs w:val="22"/>
              </w:rPr>
              <w:t>1.795</w:t>
            </w:r>
          </w:p>
        </w:tc>
        <w:tc>
          <w:tcPr>
            <w:tcW w:w="154" w:type="pct"/>
            <w:tcBorders>
              <w:top w:val="nil"/>
              <w:left w:val="nil"/>
              <w:bottom w:val="nil"/>
              <w:right w:val="nil"/>
            </w:tcBorders>
            <w:shd w:val="clear" w:color="auto" w:fill="auto"/>
            <w:noWrap/>
            <w:vAlign w:val="bottom"/>
            <w:hideMark/>
          </w:tcPr>
          <w:p w14:paraId="4194F6D4" w14:textId="77777777" w:rsidR="003579C4" w:rsidRPr="008669C3" w:rsidRDefault="003579C4" w:rsidP="003579C4">
            <w:pPr>
              <w:jc w:val="center"/>
              <w:rPr>
                <w:color w:val="000000"/>
                <w:sz w:val="22"/>
                <w:szCs w:val="22"/>
              </w:rPr>
            </w:pPr>
          </w:p>
        </w:tc>
        <w:tc>
          <w:tcPr>
            <w:tcW w:w="826" w:type="pct"/>
            <w:tcBorders>
              <w:top w:val="nil"/>
              <w:left w:val="nil"/>
              <w:bottom w:val="nil"/>
              <w:right w:val="nil"/>
            </w:tcBorders>
            <w:shd w:val="clear" w:color="auto" w:fill="auto"/>
            <w:noWrap/>
            <w:vAlign w:val="bottom"/>
            <w:hideMark/>
          </w:tcPr>
          <w:p w14:paraId="0ACDF37E" w14:textId="77777777" w:rsidR="003579C4" w:rsidRPr="008669C3" w:rsidRDefault="003579C4" w:rsidP="003579C4">
            <w:pPr>
              <w:jc w:val="center"/>
              <w:rPr>
                <w:color w:val="000000"/>
                <w:sz w:val="22"/>
                <w:szCs w:val="22"/>
              </w:rPr>
            </w:pPr>
            <w:r w:rsidRPr="008669C3">
              <w:rPr>
                <w:color w:val="000000"/>
                <w:sz w:val="22"/>
                <w:szCs w:val="22"/>
              </w:rPr>
              <w:t>1.678</w:t>
            </w:r>
          </w:p>
        </w:tc>
        <w:tc>
          <w:tcPr>
            <w:tcW w:w="151" w:type="pct"/>
            <w:tcBorders>
              <w:top w:val="nil"/>
              <w:left w:val="nil"/>
              <w:bottom w:val="nil"/>
              <w:right w:val="nil"/>
            </w:tcBorders>
            <w:shd w:val="clear" w:color="auto" w:fill="auto"/>
            <w:noWrap/>
            <w:vAlign w:val="bottom"/>
            <w:hideMark/>
          </w:tcPr>
          <w:p w14:paraId="1A02DF66" w14:textId="77777777" w:rsidR="003579C4" w:rsidRPr="008669C3" w:rsidRDefault="003579C4" w:rsidP="003579C4">
            <w:pPr>
              <w:jc w:val="center"/>
              <w:rPr>
                <w:color w:val="000000"/>
                <w:sz w:val="22"/>
                <w:szCs w:val="22"/>
              </w:rPr>
            </w:pPr>
          </w:p>
        </w:tc>
        <w:tc>
          <w:tcPr>
            <w:tcW w:w="704" w:type="pct"/>
            <w:tcBorders>
              <w:top w:val="nil"/>
              <w:left w:val="nil"/>
              <w:bottom w:val="nil"/>
              <w:right w:val="nil"/>
            </w:tcBorders>
            <w:shd w:val="clear" w:color="auto" w:fill="auto"/>
            <w:noWrap/>
            <w:vAlign w:val="bottom"/>
            <w:hideMark/>
          </w:tcPr>
          <w:p w14:paraId="7B410F7D" w14:textId="77777777" w:rsidR="003579C4" w:rsidRPr="008669C3" w:rsidRDefault="003579C4" w:rsidP="003579C4">
            <w:pPr>
              <w:jc w:val="center"/>
              <w:rPr>
                <w:color w:val="000000"/>
                <w:sz w:val="22"/>
                <w:szCs w:val="22"/>
              </w:rPr>
            </w:pPr>
            <w:r w:rsidRPr="008669C3">
              <w:rPr>
                <w:color w:val="000000"/>
                <w:sz w:val="22"/>
                <w:szCs w:val="22"/>
              </w:rPr>
              <w:t>0.117</w:t>
            </w:r>
          </w:p>
        </w:tc>
        <w:tc>
          <w:tcPr>
            <w:tcW w:w="669" w:type="pct"/>
            <w:tcBorders>
              <w:top w:val="nil"/>
              <w:left w:val="nil"/>
              <w:bottom w:val="nil"/>
              <w:right w:val="nil"/>
            </w:tcBorders>
            <w:shd w:val="clear" w:color="auto" w:fill="auto"/>
            <w:noWrap/>
            <w:vAlign w:val="bottom"/>
            <w:hideMark/>
          </w:tcPr>
          <w:p w14:paraId="09FC1A89" w14:textId="77777777" w:rsidR="003579C4" w:rsidRPr="008669C3" w:rsidRDefault="003579C4" w:rsidP="003579C4">
            <w:pPr>
              <w:jc w:val="center"/>
              <w:rPr>
                <w:color w:val="000000"/>
                <w:sz w:val="22"/>
                <w:szCs w:val="22"/>
              </w:rPr>
            </w:pPr>
            <w:r w:rsidRPr="008669C3">
              <w:rPr>
                <w:color w:val="000000"/>
                <w:sz w:val="22"/>
                <w:szCs w:val="22"/>
              </w:rPr>
              <w:t>0.882</w:t>
            </w:r>
          </w:p>
        </w:tc>
      </w:tr>
      <w:tr w:rsidR="003579C4" w:rsidRPr="008669C3" w14:paraId="43B025B9" w14:textId="77777777" w:rsidTr="003579C4">
        <w:trPr>
          <w:trHeight w:val="20"/>
        </w:trPr>
        <w:tc>
          <w:tcPr>
            <w:tcW w:w="1809" w:type="pct"/>
            <w:tcBorders>
              <w:top w:val="nil"/>
              <w:left w:val="nil"/>
              <w:bottom w:val="nil"/>
              <w:right w:val="nil"/>
            </w:tcBorders>
            <w:shd w:val="clear" w:color="auto" w:fill="auto"/>
            <w:noWrap/>
            <w:vAlign w:val="bottom"/>
            <w:hideMark/>
          </w:tcPr>
          <w:p w14:paraId="41AE1451" w14:textId="57614C29" w:rsidR="003579C4" w:rsidRPr="008669C3" w:rsidRDefault="008D7F80" w:rsidP="003579C4">
            <w:pPr>
              <w:rPr>
                <w:iCs/>
                <w:color w:val="000000"/>
                <w:sz w:val="22"/>
                <w:szCs w:val="22"/>
              </w:rPr>
            </w:pPr>
            <w:r w:rsidRPr="008669C3">
              <w:rPr>
                <w:iCs/>
                <w:color w:val="000000"/>
                <w:sz w:val="22"/>
                <w:szCs w:val="22"/>
              </w:rPr>
              <w:t>Stock return</w:t>
            </w:r>
          </w:p>
        </w:tc>
        <w:tc>
          <w:tcPr>
            <w:tcW w:w="687" w:type="pct"/>
            <w:tcBorders>
              <w:top w:val="nil"/>
              <w:left w:val="nil"/>
              <w:bottom w:val="nil"/>
              <w:right w:val="nil"/>
            </w:tcBorders>
            <w:shd w:val="clear" w:color="auto" w:fill="auto"/>
            <w:noWrap/>
            <w:vAlign w:val="bottom"/>
            <w:hideMark/>
          </w:tcPr>
          <w:p w14:paraId="4E4E4037" w14:textId="77777777" w:rsidR="003579C4" w:rsidRPr="008669C3" w:rsidRDefault="003579C4" w:rsidP="003579C4">
            <w:pPr>
              <w:jc w:val="center"/>
              <w:rPr>
                <w:color w:val="000000"/>
                <w:sz w:val="22"/>
                <w:szCs w:val="22"/>
              </w:rPr>
            </w:pPr>
            <w:r w:rsidRPr="008669C3">
              <w:rPr>
                <w:color w:val="000000"/>
                <w:sz w:val="22"/>
                <w:szCs w:val="22"/>
              </w:rPr>
              <w:t>0.006</w:t>
            </w:r>
          </w:p>
        </w:tc>
        <w:tc>
          <w:tcPr>
            <w:tcW w:w="154" w:type="pct"/>
            <w:tcBorders>
              <w:top w:val="nil"/>
              <w:left w:val="nil"/>
              <w:bottom w:val="nil"/>
              <w:right w:val="nil"/>
            </w:tcBorders>
            <w:shd w:val="clear" w:color="auto" w:fill="auto"/>
            <w:noWrap/>
            <w:vAlign w:val="bottom"/>
            <w:hideMark/>
          </w:tcPr>
          <w:p w14:paraId="2B026130" w14:textId="77777777" w:rsidR="003579C4" w:rsidRPr="008669C3" w:rsidRDefault="003579C4" w:rsidP="003579C4">
            <w:pPr>
              <w:jc w:val="center"/>
              <w:rPr>
                <w:color w:val="000000"/>
                <w:sz w:val="22"/>
                <w:szCs w:val="22"/>
              </w:rPr>
            </w:pPr>
          </w:p>
        </w:tc>
        <w:tc>
          <w:tcPr>
            <w:tcW w:w="826" w:type="pct"/>
            <w:tcBorders>
              <w:top w:val="nil"/>
              <w:left w:val="nil"/>
              <w:bottom w:val="nil"/>
              <w:right w:val="nil"/>
            </w:tcBorders>
            <w:shd w:val="clear" w:color="auto" w:fill="auto"/>
            <w:noWrap/>
            <w:vAlign w:val="bottom"/>
            <w:hideMark/>
          </w:tcPr>
          <w:p w14:paraId="155734CC" w14:textId="77777777" w:rsidR="003579C4" w:rsidRPr="008669C3" w:rsidRDefault="003579C4" w:rsidP="003579C4">
            <w:pPr>
              <w:jc w:val="center"/>
              <w:rPr>
                <w:color w:val="000000"/>
                <w:sz w:val="22"/>
                <w:szCs w:val="22"/>
              </w:rPr>
            </w:pPr>
            <w:r w:rsidRPr="008669C3">
              <w:rPr>
                <w:color w:val="000000"/>
                <w:sz w:val="22"/>
                <w:szCs w:val="22"/>
              </w:rPr>
              <w:t>-0.004</w:t>
            </w:r>
          </w:p>
        </w:tc>
        <w:tc>
          <w:tcPr>
            <w:tcW w:w="151" w:type="pct"/>
            <w:tcBorders>
              <w:top w:val="nil"/>
              <w:left w:val="nil"/>
              <w:bottom w:val="nil"/>
              <w:right w:val="nil"/>
            </w:tcBorders>
            <w:shd w:val="clear" w:color="auto" w:fill="auto"/>
            <w:noWrap/>
            <w:vAlign w:val="bottom"/>
            <w:hideMark/>
          </w:tcPr>
          <w:p w14:paraId="4D913F17" w14:textId="77777777" w:rsidR="003579C4" w:rsidRPr="008669C3" w:rsidRDefault="003579C4" w:rsidP="003579C4">
            <w:pPr>
              <w:jc w:val="center"/>
              <w:rPr>
                <w:color w:val="000000"/>
                <w:sz w:val="22"/>
                <w:szCs w:val="22"/>
              </w:rPr>
            </w:pPr>
          </w:p>
        </w:tc>
        <w:tc>
          <w:tcPr>
            <w:tcW w:w="704" w:type="pct"/>
            <w:tcBorders>
              <w:top w:val="nil"/>
              <w:left w:val="nil"/>
              <w:bottom w:val="nil"/>
              <w:right w:val="nil"/>
            </w:tcBorders>
            <w:shd w:val="clear" w:color="auto" w:fill="auto"/>
            <w:noWrap/>
            <w:vAlign w:val="bottom"/>
            <w:hideMark/>
          </w:tcPr>
          <w:p w14:paraId="582E2C0C" w14:textId="77777777" w:rsidR="003579C4" w:rsidRPr="008669C3" w:rsidRDefault="003579C4" w:rsidP="003579C4">
            <w:pPr>
              <w:jc w:val="center"/>
              <w:rPr>
                <w:color w:val="000000"/>
                <w:sz w:val="22"/>
                <w:szCs w:val="22"/>
              </w:rPr>
            </w:pPr>
            <w:r w:rsidRPr="008669C3">
              <w:rPr>
                <w:color w:val="000000"/>
                <w:sz w:val="22"/>
                <w:szCs w:val="22"/>
              </w:rPr>
              <w:t>0.011</w:t>
            </w:r>
          </w:p>
        </w:tc>
        <w:tc>
          <w:tcPr>
            <w:tcW w:w="669" w:type="pct"/>
            <w:tcBorders>
              <w:top w:val="nil"/>
              <w:left w:val="nil"/>
              <w:bottom w:val="nil"/>
              <w:right w:val="nil"/>
            </w:tcBorders>
            <w:shd w:val="clear" w:color="auto" w:fill="auto"/>
            <w:noWrap/>
            <w:vAlign w:val="bottom"/>
            <w:hideMark/>
          </w:tcPr>
          <w:p w14:paraId="7E5CA844" w14:textId="77777777" w:rsidR="003579C4" w:rsidRPr="008669C3" w:rsidRDefault="003579C4" w:rsidP="003579C4">
            <w:pPr>
              <w:jc w:val="center"/>
              <w:rPr>
                <w:color w:val="000000"/>
                <w:sz w:val="22"/>
                <w:szCs w:val="22"/>
              </w:rPr>
            </w:pPr>
            <w:r w:rsidRPr="008669C3">
              <w:rPr>
                <w:color w:val="000000"/>
                <w:sz w:val="22"/>
                <w:szCs w:val="22"/>
              </w:rPr>
              <w:t>0.171</w:t>
            </w:r>
          </w:p>
        </w:tc>
      </w:tr>
      <w:tr w:rsidR="003579C4" w:rsidRPr="008669C3" w14:paraId="6CFA98E6" w14:textId="77777777" w:rsidTr="003579C4">
        <w:trPr>
          <w:trHeight w:val="20"/>
        </w:trPr>
        <w:tc>
          <w:tcPr>
            <w:tcW w:w="1809" w:type="pct"/>
            <w:tcBorders>
              <w:top w:val="nil"/>
              <w:left w:val="nil"/>
              <w:bottom w:val="nil"/>
              <w:right w:val="nil"/>
            </w:tcBorders>
            <w:shd w:val="clear" w:color="auto" w:fill="auto"/>
            <w:noWrap/>
            <w:vAlign w:val="bottom"/>
            <w:hideMark/>
          </w:tcPr>
          <w:p w14:paraId="57A40F22" w14:textId="515DA7DE" w:rsidR="003579C4" w:rsidRPr="008669C3" w:rsidRDefault="008D7F80" w:rsidP="003579C4">
            <w:pPr>
              <w:rPr>
                <w:iCs/>
                <w:color w:val="000000"/>
                <w:sz w:val="22"/>
                <w:szCs w:val="22"/>
              </w:rPr>
            </w:pPr>
            <w:r w:rsidRPr="008669C3">
              <w:rPr>
                <w:iCs/>
                <w:color w:val="000000"/>
                <w:sz w:val="22"/>
                <w:szCs w:val="22"/>
              </w:rPr>
              <w:t>Volatility</w:t>
            </w:r>
          </w:p>
        </w:tc>
        <w:tc>
          <w:tcPr>
            <w:tcW w:w="687" w:type="pct"/>
            <w:tcBorders>
              <w:top w:val="nil"/>
              <w:left w:val="nil"/>
              <w:bottom w:val="nil"/>
              <w:right w:val="nil"/>
            </w:tcBorders>
            <w:shd w:val="clear" w:color="auto" w:fill="auto"/>
            <w:noWrap/>
            <w:vAlign w:val="bottom"/>
            <w:hideMark/>
          </w:tcPr>
          <w:p w14:paraId="4BE57EE4" w14:textId="77777777" w:rsidR="003579C4" w:rsidRPr="008669C3" w:rsidRDefault="003579C4" w:rsidP="003579C4">
            <w:pPr>
              <w:jc w:val="center"/>
              <w:rPr>
                <w:color w:val="000000"/>
                <w:sz w:val="22"/>
                <w:szCs w:val="22"/>
              </w:rPr>
            </w:pPr>
            <w:r w:rsidRPr="008669C3">
              <w:rPr>
                <w:color w:val="000000"/>
                <w:sz w:val="22"/>
                <w:szCs w:val="22"/>
              </w:rPr>
              <w:t>0.341</w:t>
            </w:r>
          </w:p>
        </w:tc>
        <w:tc>
          <w:tcPr>
            <w:tcW w:w="154" w:type="pct"/>
            <w:tcBorders>
              <w:top w:val="nil"/>
              <w:left w:val="nil"/>
              <w:bottom w:val="nil"/>
              <w:right w:val="nil"/>
            </w:tcBorders>
            <w:shd w:val="clear" w:color="auto" w:fill="auto"/>
            <w:noWrap/>
            <w:vAlign w:val="bottom"/>
            <w:hideMark/>
          </w:tcPr>
          <w:p w14:paraId="3E41CE1D" w14:textId="77777777" w:rsidR="003579C4" w:rsidRPr="008669C3" w:rsidRDefault="003579C4" w:rsidP="003579C4">
            <w:pPr>
              <w:jc w:val="center"/>
              <w:rPr>
                <w:color w:val="000000"/>
                <w:sz w:val="22"/>
                <w:szCs w:val="22"/>
              </w:rPr>
            </w:pPr>
          </w:p>
        </w:tc>
        <w:tc>
          <w:tcPr>
            <w:tcW w:w="826" w:type="pct"/>
            <w:tcBorders>
              <w:top w:val="nil"/>
              <w:left w:val="nil"/>
              <w:bottom w:val="nil"/>
              <w:right w:val="nil"/>
            </w:tcBorders>
            <w:shd w:val="clear" w:color="auto" w:fill="auto"/>
            <w:noWrap/>
            <w:vAlign w:val="bottom"/>
            <w:hideMark/>
          </w:tcPr>
          <w:p w14:paraId="7D8D0DD7" w14:textId="7EF8744B" w:rsidR="003579C4" w:rsidRPr="008669C3" w:rsidRDefault="003579C4" w:rsidP="003579C4">
            <w:pPr>
              <w:jc w:val="center"/>
              <w:rPr>
                <w:color w:val="000000"/>
                <w:sz w:val="22"/>
                <w:szCs w:val="22"/>
              </w:rPr>
            </w:pPr>
            <w:r w:rsidRPr="008669C3">
              <w:rPr>
                <w:color w:val="000000"/>
                <w:sz w:val="22"/>
                <w:szCs w:val="22"/>
              </w:rPr>
              <w:t>0.379</w:t>
            </w:r>
          </w:p>
        </w:tc>
        <w:tc>
          <w:tcPr>
            <w:tcW w:w="151" w:type="pct"/>
            <w:tcBorders>
              <w:top w:val="nil"/>
              <w:left w:val="nil"/>
              <w:bottom w:val="nil"/>
              <w:right w:val="nil"/>
            </w:tcBorders>
            <w:shd w:val="clear" w:color="auto" w:fill="auto"/>
            <w:noWrap/>
            <w:vAlign w:val="bottom"/>
            <w:hideMark/>
          </w:tcPr>
          <w:p w14:paraId="2758F31C" w14:textId="77777777" w:rsidR="003579C4" w:rsidRPr="008669C3" w:rsidRDefault="003579C4" w:rsidP="003579C4">
            <w:pPr>
              <w:jc w:val="center"/>
              <w:rPr>
                <w:color w:val="000000"/>
                <w:sz w:val="22"/>
                <w:szCs w:val="22"/>
              </w:rPr>
            </w:pPr>
          </w:p>
        </w:tc>
        <w:tc>
          <w:tcPr>
            <w:tcW w:w="704" w:type="pct"/>
            <w:tcBorders>
              <w:top w:val="nil"/>
              <w:left w:val="nil"/>
              <w:bottom w:val="nil"/>
              <w:right w:val="nil"/>
            </w:tcBorders>
            <w:shd w:val="clear" w:color="auto" w:fill="auto"/>
            <w:noWrap/>
            <w:vAlign w:val="bottom"/>
            <w:hideMark/>
          </w:tcPr>
          <w:p w14:paraId="1A733258" w14:textId="35B455E8" w:rsidR="003579C4" w:rsidRPr="008669C3" w:rsidRDefault="003579C4" w:rsidP="003579C4">
            <w:pPr>
              <w:jc w:val="center"/>
              <w:rPr>
                <w:color w:val="000000"/>
                <w:sz w:val="22"/>
                <w:szCs w:val="22"/>
              </w:rPr>
            </w:pPr>
            <w:r w:rsidRPr="008669C3">
              <w:rPr>
                <w:color w:val="000000"/>
                <w:sz w:val="22"/>
                <w:szCs w:val="22"/>
              </w:rPr>
              <w:t>-0.038</w:t>
            </w:r>
          </w:p>
        </w:tc>
        <w:tc>
          <w:tcPr>
            <w:tcW w:w="669" w:type="pct"/>
            <w:tcBorders>
              <w:top w:val="nil"/>
              <w:left w:val="nil"/>
              <w:bottom w:val="nil"/>
              <w:right w:val="nil"/>
            </w:tcBorders>
            <w:shd w:val="clear" w:color="auto" w:fill="auto"/>
            <w:noWrap/>
            <w:vAlign w:val="bottom"/>
            <w:hideMark/>
          </w:tcPr>
          <w:p w14:paraId="505F2426" w14:textId="42FED2E5" w:rsidR="003579C4" w:rsidRPr="008669C3" w:rsidRDefault="003579C4" w:rsidP="003579C4">
            <w:pPr>
              <w:jc w:val="center"/>
              <w:rPr>
                <w:color w:val="000000"/>
                <w:sz w:val="22"/>
                <w:szCs w:val="22"/>
              </w:rPr>
            </w:pPr>
            <w:r w:rsidRPr="008669C3">
              <w:rPr>
                <w:color w:val="000000"/>
                <w:sz w:val="22"/>
                <w:szCs w:val="22"/>
              </w:rPr>
              <w:t>-1.273</w:t>
            </w:r>
          </w:p>
        </w:tc>
      </w:tr>
      <w:tr w:rsidR="003579C4" w:rsidRPr="008669C3" w14:paraId="699E9867" w14:textId="77777777" w:rsidTr="003579C4">
        <w:trPr>
          <w:trHeight w:val="20"/>
        </w:trPr>
        <w:tc>
          <w:tcPr>
            <w:tcW w:w="1809" w:type="pct"/>
            <w:tcBorders>
              <w:top w:val="nil"/>
              <w:left w:val="nil"/>
              <w:bottom w:val="nil"/>
              <w:right w:val="nil"/>
            </w:tcBorders>
            <w:shd w:val="clear" w:color="auto" w:fill="auto"/>
            <w:noWrap/>
            <w:vAlign w:val="bottom"/>
            <w:hideMark/>
          </w:tcPr>
          <w:p w14:paraId="64C89A40" w14:textId="77777777" w:rsidR="003579C4" w:rsidRPr="008669C3" w:rsidRDefault="003579C4" w:rsidP="003579C4">
            <w:pPr>
              <w:rPr>
                <w:iCs/>
                <w:color w:val="000000"/>
                <w:sz w:val="22"/>
                <w:szCs w:val="22"/>
              </w:rPr>
            </w:pPr>
            <w:r w:rsidRPr="008669C3">
              <w:rPr>
                <w:iCs/>
                <w:color w:val="000000"/>
                <w:sz w:val="22"/>
                <w:szCs w:val="22"/>
              </w:rPr>
              <w:t>Z-score</w:t>
            </w:r>
          </w:p>
        </w:tc>
        <w:tc>
          <w:tcPr>
            <w:tcW w:w="687" w:type="pct"/>
            <w:tcBorders>
              <w:top w:val="nil"/>
              <w:left w:val="nil"/>
              <w:bottom w:val="nil"/>
              <w:right w:val="nil"/>
            </w:tcBorders>
            <w:shd w:val="clear" w:color="auto" w:fill="auto"/>
            <w:noWrap/>
            <w:vAlign w:val="bottom"/>
            <w:hideMark/>
          </w:tcPr>
          <w:p w14:paraId="7ED27C43" w14:textId="77777777" w:rsidR="003579C4" w:rsidRPr="008669C3" w:rsidRDefault="003579C4" w:rsidP="003579C4">
            <w:pPr>
              <w:jc w:val="center"/>
              <w:rPr>
                <w:color w:val="000000"/>
                <w:sz w:val="22"/>
                <w:szCs w:val="22"/>
              </w:rPr>
            </w:pPr>
            <w:r w:rsidRPr="008669C3">
              <w:rPr>
                <w:color w:val="000000"/>
                <w:sz w:val="22"/>
                <w:szCs w:val="22"/>
              </w:rPr>
              <w:t>0.007</w:t>
            </w:r>
          </w:p>
        </w:tc>
        <w:tc>
          <w:tcPr>
            <w:tcW w:w="154" w:type="pct"/>
            <w:tcBorders>
              <w:top w:val="nil"/>
              <w:left w:val="nil"/>
              <w:bottom w:val="nil"/>
              <w:right w:val="nil"/>
            </w:tcBorders>
            <w:shd w:val="clear" w:color="auto" w:fill="auto"/>
            <w:noWrap/>
            <w:vAlign w:val="bottom"/>
            <w:hideMark/>
          </w:tcPr>
          <w:p w14:paraId="6BF60F92" w14:textId="77777777" w:rsidR="003579C4" w:rsidRPr="008669C3" w:rsidRDefault="003579C4" w:rsidP="003579C4">
            <w:pPr>
              <w:jc w:val="center"/>
              <w:rPr>
                <w:color w:val="000000"/>
                <w:sz w:val="22"/>
                <w:szCs w:val="22"/>
              </w:rPr>
            </w:pPr>
          </w:p>
        </w:tc>
        <w:tc>
          <w:tcPr>
            <w:tcW w:w="826" w:type="pct"/>
            <w:tcBorders>
              <w:top w:val="nil"/>
              <w:left w:val="nil"/>
              <w:bottom w:val="nil"/>
              <w:right w:val="nil"/>
            </w:tcBorders>
            <w:shd w:val="clear" w:color="auto" w:fill="auto"/>
            <w:noWrap/>
            <w:vAlign w:val="bottom"/>
            <w:hideMark/>
          </w:tcPr>
          <w:p w14:paraId="59C05058" w14:textId="77777777" w:rsidR="003579C4" w:rsidRPr="008669C3" w:rsidRDefault="003579C4" w:rsidP="003579C4">
            <w:pPr>
              <w:jc w:val="center"/>
              <w:rPr>
                <w:color w:val="000000"/>
                <w:sz w:val="22"/>
                <w:szCs w:val="22"/>
              </w:rPr>
            </w:pPr>
            <w:r w:rsidRPr="008669C3">
              <w:rPr>
                <w:color w:val="000000"/>
                <w:sz w:val="22"/>
                <w:szCs w:val="22"/>
              </w:rPr>
              <w:t>0.035</w:t>
            </w:r>
          </w:p>
        </w:tc>
        <w:tc>
          <w:tcPr>
            <w:tcW w:w="151" w:type="pct"/>
            <w:tcBorders>
              <w:top w:val="nil"/>
              <w:left w:val="nil"/>
              <w:bottom w:val="nil"/>
              <w:right w:val="nil"/>
            </w:tcBorders>
            <w:shd w:val="clear" w:color="auto" w:fill="auto"/>
            <w:noWrap/>
            <w:vAlign w:val="bottom"/>
            <w:hideMark/>
          </w:tcPr>
          <w:p w14:paraId="41D726FF" w14:textId="77777777" w:rsidR="003579C4" w:rsidRPr="008669C3" w:rsidRDefault="003579C4" w:rsidP="003579C4">
            <w:pPr>
              <w:jc w:val="center"/>
              <w:rPr>
                <w:color w:val="000000"/>
                <w:sz w:val="22"/>
                <w:szCs w:val="22"/>
              </w:rPr>
            </w:pPr>
          </w:p>
        </w:tc>
        <w:tc>
          <w:tcPr>
            <w:tcW w:w="704" w:type="pct"/>
            <w:tcBorders>
              <w:top w:val="nil"/>
              <w:left w:val="nil"/>
              <w:bottom w:val="nil"/>
              <w:right w:val="nil"/>
            </w:tcBorders>
            <w:shd w:val="clear" w:color="auto" w:fill="auto"/>
            <w:noWrap/>
            <w:vAlign w:val="bottom"/>
            <w:hideMark/>
          </w:tcPr>
          <w:p w14:paraId="75FFD51B" w14:textId="77777777" w:rsidR="003579C4" w:rsidRPr="008669C3" w:rsidRDefault="003579C4" w:rsidP="003579C4">
            <w:pPr>
              <w:jc w:val="center"/>
              <w:rPr>
                <w:color w:val="000000"/>
                <w:sz w:val="22"/>
                <w:szCs w:val="22"/>
              </w:rPr>
            </w:pPr>
            <w:r w:rsidRPr="008669C3">
              <w:rPr>
                <w:color w:val="000000"/>
                <w:sz w:val="22"/>
                <w:szCs w:val="22"/>
              </w:rPr>
              <w:t>-0.028</w:t>
            </w:r>
          </w:p>
        </w:tc>
        <w:tc>
          <w:tcPr>
            <w:tcW w:w="669" w:type="pct"/>
            <w:tcBorders>
              <w:top w:val="nil"/>
              <w:left w:val="nil"/>
              <w:bottom w:val="nil"/>
              <w:right w:val="nil"/>
            </w:tcBorders>
            <w:shd w:val="clear" w:color="auto" w:fill="auto"/>
            <w:noWrap/>
            <w:vAlign w:val="bottom"/>
            <w:hideMark/>
          </w:tcPr>
          <w:p w14:paraId="729F7028" w14:textId="77777777" w:rsidR="003579C4" w:rsidRPr="008669C3" w:rsidRDefault="003579C4" w:rsidP="003579C4">
            <w:pPr>
              <w:jc w:val="center"/>
              <w:rPr>
                <w:color w:val="000000"/>
                <w:sz w:val="22"/>
                <w:szCs w:val="22"/>
              </w:rPr>
            </w:pPr>
            <w:r w:rsidRPr="008669C3">
              <w:rPr>
                <w:color w:val="000000"/>
                <w:sz w:val="22"/>
                <w:szCs w:val="22"/>
              </w:rPr>
              <w:t>-1.445</w:t>
            </w:r>
          </w:p>
        </w:tc>
      </w:tr>
      <w:tr w:rsidR="003579C4" w:rsidRPr="008669C3" w14:paraId="308D75D5" w14:textId="77777777" w:rsidTr="003579C4">
        <w:trPr>
          <w:trHeight w:val="20"/>
        </w:trPr>
        <w:tc>
          <w:tcPr>
            <w:tcW w:w="1809" w:type="pct"/>
            <w:tcBorders>
              <w:top w:val="nil"/>
              <w:left w:val="nil"/>
              <w:bottom w:val="nil"/>
              <w:right w:val="nil"/>
            </w:tcBorders>
            <w:shd w:val="clear" w:color="auto" w:fill="auto"/>
            <w:noWrap/>
            <w:vAlign w:val="bottom"/>
            <w:hideMark/>
          </w:tcPr>
          <w:p w14:paraId="04499A96" w14:textId="77777777" w:rsidR="003579C4" w:rsidRPr="008669C3" w:rsidRDefault="003579C4" w:rsidP="003579C4">
            <w:pPr>
              <w:rPr>
                <w:iCs/>
                <w:color w:val="000000"/>
                <w:sz w:val="22"/>
                <w:szCs w:val="22"/>
              </w:rPr>
            </w:pPr>
            <w:r w:rsidRPr="008669C3">
              <w:rPr>
                <w:iCs/>
                <w:color w:val="000000"/>
                <w:sz w:val="22"/>
                <w:szCs w:val="22"/>
              </w:rPr>
              <w:t>KZ index</w:t>
            </w:r>
          </w:p>
        </w:tc>
        <w:tc>
          <w:tcPr>
            <w:tcW w:w="687" w:type="pct"/>
            <w:tcBorders>
              <w:top w:val="nil"/>
              <w:left w:val="nil"/>
              <w:bottom w:val="nil"/>
              <w:right w:val="nil"/>
            </w:tcBorders>
            <w:shd w:val="clear" w:color="auto" w:fill="auto"/>
            <w:noWrap/>
            <w:vAlign w:val="bottom"/>
            <w:hideMark/>
          </w:tcPr>
          <w:p w14:paraId="16BC26F0" w14:textId="77777777" w:rsidR="003579C4" w:rsidRPr="008669C3" w:rsidRDefault="003579C4" w:rsidP="003579C4">
            <w:pPr>
              <w:jc w:val="center"/>
              <w:rPr>
                <w:color w:val="000000"/>
                <w:sz w:val="22"/>
                <w:szCs w:val="22"/>
              </w:rPr>
            </w:pPr>
            <w:r w:rsidRPr="008669C3">
              <w:rPr>
                <w:color w:val="000000"/>
                <w:sz w:val="22"/>
                <w:szCs w:val="22"/>
              </w:rPr>
              <w:t>2.642</w:t>
            </w:r>
          </w:p>
        </w:tc>
        <w:tc>
          <w:tcPr>
            <w:tcW w:w="154" w:type="pct"/>
            <w:tcBorders>
              <w:top w:val="nil"/>
              <w:left w:val="nil"/>
              <w:bottom w:val="nil"/>
              <w:right w:val="nil"/>
            </w:tcBorders>
            <w:shd w:val="clear" w:color="auto" w:fill="auto"/>
            <w:noWrap/>
            <w:vAlign w:val="bottom"/>
            <w:hideMark/>
          </w:tcPr>
          <w:p w14:paraId="4B2E92BD" w14:textId="77777777" w:rsidR="003579C4" w:rsidRPr="008669C3" w:rsidRDefault="003579C4" w:rsidP="003579C4">
            <w:pPr>
              <w:jc w:val="center"/>
              <w:rPr>
                <w:color w:val="000000"/>
                <w:sz w:val="22"/>
                <w:szCs w:val="22"/>
              </w:rPr>
            </w:pPr>
          </w:p>
        </w:tc>
        <w:tc>
          <w:tcPr>
            <w:tcW w:w="826" w:type="pct"/>
            <w:tcBorders>
              <w:top w:val="nil"/>
              <w:left w:val="nil"/>
              <w:bottom w:val="nil"/>
              <w:right w:val="nil"/>
            </w:tcBorders>
            <w:shd w:val="clear" w:color="auto" w:fill="auto"/>
            <w:noWrap/>
            <w:vAlign w:val="bottom"/>
            <w:hideMark/>
          </w:tcPr>
          <w:p w14:paraId="54C0366C" w14:textId="77777777" w:rsidR="003579C4" w:rsidRPr="008669C3" w:rsidRDefault="003579C4" w:rsidP="003579C4">
            <w:pPr>
              <w:jc w:val="center"/>
              <w:rPr>
                <w:color w:val="000000"/>
                <w:sz w:val="22"/>
                <w:szCs w:val="22"/>
              </w:rPr>
            </w:pPr>
            <w:r w:rsidRPr="008669C3">
              <w:rPr>
                <w:color w:val="000000"/>
                <w:sz w:val="22"/>
                <w:szCs w:val="22"/>
              </w:rPr>
              <w:t>2.380</w:t>
            </w:r>
          </w:p>
        </w:tc>
        <w:tc>
          <w:tcPr>
            <w:tcW w:w="151" w:type="pct"/>
            <w:tcBorders>
              <w:top w:val="nil"/>
              <w:left w:val="nil"/>
              <w:bottom w:val="nil"/>
              <w:right w:val="nil"/>
            </w:tcBorders>
            <w:shd w:val="clear" w:color="auto" w:fill="auto"/>
            <w:noWrap/>
            <w:vAlign w:val="bottom"/>
            <w:hideMark/>
          </w:tcPr>
          <w:p w14:paraId="6CF4BE4C" w14:textId="77777777" w:rsidR="003579C4" w:rsidRPr="008669C3" w:rsidRDefault="003579C4" w:rsidP="003579C4">
            <w:pPr>
              <w:jc w:val="center"/>
              <w:rPr>
                <w:color w:val="000000"/>
                <w:sz w:val="22"/>
                <w:szCs w:val="22"/>
              </w:rPr>
            </w:pPr>
          </w:p>
        </w:tc>
        <w:tc>
          <w:tcPr>
            <w:tcW w:w="704" w:type="pct"/>
            <w:tcBorders>
              <w:top w:val="nil"/>
              <w:left w:val="nil"/>
              <w:bottom w:val="nil"/>
              <w:right w:val="nil"/>
            </w:tcBorders>
            <w:shd w:val="clear" w:color="auto" w:fill="auto"/>
            <w:noWrap/>
            <w:vAlign w:val="bottom"/>
            <w:hideMark/>
          </w:tcPr>
          <w:p w14:paraId="04356D7D" w14:textId="77777777" w:rsidR="003579C4" w:rsidRPr="008669C3" w:rsidRDefault="003579C4" w:rsidP="003579C4">
            <w:pPr>
              <w:jc w:val="center"/>
              <w:rPr>
                <w:color w:val="000000"/>
                <w:sz w:val="22"/>
                <w:szCs w:val="22"/>
              </w:rPr>
            </w:pPr>
            <w:r w:rsidRPr="008669C3">
              <w:rPr>
                <w:color w:val="000000"/>
                <w:sz w:val="22"/>
                <w:szCs w:val="22"/>
              </w:rPr>
              <w:t>0.262</w:t>
            </w:r>
          </w:p>
        </w:tc>
        <w:tc>
          <w:tcPr>
            <w:tcW w:w="669" w:type="pct"/>
            <w:tcBorders>
              <w:top w:val="nil"/>
              <w:left w:val="nil"/>
              <w:bottom w:val="nil"/>
              <w:right w:val="nil"/>
            </w:tcBorders>
            <w:shd w:val="clear" w:color="auto" w:fill="auto"/>
            <w:noWrap/>
            <w:vAlign w:val="bottom"/>
            <w:hideMark/>
          </w:tcPr>
          <w:p w14:paraId="10B5FBE7" w14:textId="77777777" w:rsidR="003579C4" w:rsidRPr="008669C3" w:rsidRDefault="003579C4" w:rsidP="003579C4">
            <w:pPr>
              <w:jc w:val="center"/>
              <w:rPr>
                <w:color w:val="000000"/>
                <w:sz w:val="22"/>
                <w:szCs w:val="22"/>
              </w:rPr>
            </w:pPr>
            <w:r w:rsidRPr="008669C3">
              <w:rPr>
                <w:color w:val="000000"/>
                <w:sz w:val="22"/>
                <w:szCs w:val="22"/>
              </w:rPr>
              <w:t>0.477</w:t>
            </w:r>
          </w:p>
        </w:tc>
      </w:tr>
      <w:tr w:rsidR="003579C4" w:rsidRPr="008669C3" w14:paraId="54F101D1" w14:textId="77777777" w:rsidTr="003579C4">
        <w:trPr>
          <w:trHeight w:val="20"/>
        </w:trPr>
        <w:tc>
          <w:tcPr>
            <w:tcW w:w="1809" w:type="pct"/>
            <w:tcBorders>
              <w:top w:val="nil"/>
              <w:left w:val="nil"/>
              <w:bottom w:val="nil"/>
              <w:right w:val="nil"/>
            </w:tcBorders>
            <w:shd w:val="clear" w:color="auto" w:fill="auto"/>
            <w:noWrap/>
            <w:vAlign w:val="bottom"/>
            <w:hideMark/>
          </w:tcPr>
          <w:p w14:paraId="3DEE2699" w14:textId="77777777" w:rsidR="003579C4" w:rsidRPr="008669C3" w:rsidRDefault="003579C4" w:rsidP="003579C4">
            <w:pPr>
              <w:rPr>
                <w:iCs/>
                <w:color w:val="000000"/>
                <w:sz w:val="22"/>
                <w:szCs w:val="22"/>
              </w:rPr>
            </w:pPr>
            <w:r w:rsidRPr="008669C3">
              <w:rPr>
                <w:iCs/>
                <w:color w:val="000000"/>
                <w:sz w:val="22"/>
                <w:szCs w:val="22"/>
              </w:rPr>
              <w:t>Bank debt</w:t>
            </w:r>
          </w:p>
        </w:tc>
        <w:tc>
          <w:tcPr>
            <w:tcW w:w="687" w:type="pct"/>
            <w:tcBorders>
              <w:top w:val="nil"/>
              <w:left w:val="nil"/>
              <w:bottom w:val="nil"/>
              <w:right w:val="nil"/>
            </w:tcBorders>
            <w:shd w:val="clear" w:color="auto" w:fill="auto"/>
            <w:noWrap/>
            <w:vAlign w:val="bottom"/>
            <w:hideMark/>
          </w:tcPr>
          <w:p w14:paraId="744B9A97" w14:textId="77777777" w:rsidR="003579C4" w:rsidRPr="008669C3" w:rsidRDefault="003579C4" w:rsidP="003579C4">
            <w:pPr>
              <w:jc w:val="center"/>
              <w:rPr>
                <w:color w:val="000000"/>
                <w:sz w:val="22"/>
                <w:szCs w:val="22"/>
              </w:rPr>
            </w:pPr>
            <w:r w:rsidRPr="008669C3">
              <w:rPr>
                <w:color w:val="000000"/>
                <w:sz w:val="22"/>
                <w:szCs w:val="22"/>
              </w:rPr>
              <w:t>0.595</w:t>
            </w:r>
          </w:p>
        </w:tc>
        <w:tc>
          <w:tcPr>
            <w:tcW w:w="154" w:type="pct"/>
            <w:tcBorders>
              <w:top w:val="nil"/>
              <w:left w:val="nil"/>
              <w:bottom w:val="nil"/>
              <w:right w:val="nil"/>
            </w:tcBorders>
            <w:shd w:val="clear" w:color="auto" w:fill="auto"/>
            <w:noWrap/>
            <w:vAlign w:val="bottom"/>
            <w:hideMark/>
          </w:tcPr>
          <w:p w14:paraId="137678FC" w14:textId="77777777" w:rsidR="003579C4" w:rsidRPr="008669C3" w:rsidRDefault="003579C4" w:rsidP="003579C4">
            <w:pPr>
              <w:jc w:val="center"/>
              <w:rPr>
                <w:color w:val="000000"/>
                <w:sz w:val="22"/>
                <w:szCs w:val="22"/>
              </w:rPr>
            </w:pPr>
          </w:p>
        </w:tc>
        <w:tc>
          <w:tcPr>
            <w:tcW w:w="826" w:type="pct"/>
            <w:tcBorders>
              <w:top w:val="nil"/>
              <w:left w:val="nil"/>
              <w:bottom w:val="nil"/>
              <w:right w:val="nil"/>
            </w:tcBorders>
            <w:shd w:val="clear" w:color="auto" w:fill="auto"/>
            <w:noWrap/>
            <w:vAlign w:val="bottom"/>
            <w:hideMark/>
          </w:tcPr>
          <w:p w14:paraId="430C2534" w14:textId="77777777" w:rsidR="003579C4" w:rsidRPr="008669C3" w:rsidRDefault="003579C4" w:rsidP="003579C4">
            <w:pPr>
              <w:jc w:val="center"/>
              <w:rPr>
                <w:color w:val="000000"/>
                <w:sz w:val="22"/>
                <w:szCs w:val="22"/>
              </w:rPr>
            </w:pPr>
            <w:r w:rsidRPr="008669C3">
              <w:rPr>
                <w:color w:val="000000"/>
                <w:sz w:val="22"/>
                <w:szCs w:val="22"/>
              </w:rPr>
              <w:t>0.662</w:t>
            </w:r>
          </w:p>
        </w:tc>
        <w:tc>
          <w:tcPr>
            <w:tcW w:w="151" w:type="pct"/>
            <w:tcBorders>
              <w:top w:val="nil"/>
              <w:left w:val="nil"/>
              <w:bottom w:val="nil"/>
              <w:right w:val="nil"/>
            </w:tcBorders>
            <w:shd w:val="clear" w:color="auto" w:fill="auto"/>
            <w:noWrap/>
            <w:vAlign w:val="bottom"/>
            <w:hideMark/>
          </w:tcPr>
          <w:p w14:paraId="43FC0492" w14:textId="77777777" w:rsidR="003579C4" w:rsidRPr="008669C3" w:rsidRDefault="003579C4" w:rsidP="003579C4">
            <w:pPr>
              <w:jc w:val="center"/>
              <w:rPr>
                <w:color w:val="000000"/>
                <w:sz w:val="22"/>
                <w:szCs w:val="22"/>
              </w:rPr>
            </w:pPr>
          </w:p>
        </w:tc>
        <w:tc>
          <w:tcPr>
            <w:tcW w:w="704" w:type="pct"/>
            <w:tcBorders>
              <w:top w:val="nil"/>
              <w:left w:val="nil"/>
              <w:bottom w:val="nil"/>
              <w:right w:val="nil"/>
            </w:tcBorders>
            <w:shd w:val="clear" w:color="auto" w:fill="auto"/>
            <w:noWrap/>
            <w:vAlign w:val="bottom"/>
            <w:hideMark/>
          </w:tcPr>
          <w:p w14:paraId="36483639" w14:textId="77777777" w:rsidR="003579C4" w:rsidRPr="008669C3" w:rsidRDefault="003579C4" w:rsidP="003579C4">
            <w:pPr>
              <w:jc w:val="center"/>
              <w:rPr>
                <w:color w:val="000000"/>
                <w:sz w:val="22"/>
                <w:szCs w:val="22"/>
              </w:rPr>
            </w:pPr>
            <w:r w:rsidRPr="008669C3">
              <w:rPr>
                <w:color w:val="000000"/>
                <w:sz w:val="22"/>
                <w:szCs w:val="22"/>
              </w:rPr>
              <w:t>-0.068</w:t>
            </w:r>
          </w:p>
        </w:tc>
        <w:tc>
          <w:tcPr>
            <w:tcW w:w="669" w:type="pct"/>
            <w:tcBorders>
              <w:top w:val="nil"/>
              <w:left w:val="nil"/>
              <w:bottom w:val="nil"/>
              <w:right w:val="nil"/>
            </w:tcBorders>
            <w:shd w:val="clear" w:color="auto" w:fill="auto"/>
            <w:noWrap/>
            <w:vAlign w:val="bottom"/>
            <w:hideMark/>
          </w:tcPr>
          <w:p w14:paraId="0B54F2BD" w14:textId="77777777" w:rsidR="003579C4" w:rsidRPr="008669C3" w:rsidRDefault="003579C4" w:rsidP="003579C4">
            <w:pPr>
              <w:jc w:val="center"/>
              <w:rPr>
                <w:color w:val="000000"/>
                <w:sz w:val="22"/>
                <w:szCs w:val="22"/>
              </w:rPr>
            </w:pPr>
            <w:r w:rsidRPr="008669C3">
              <w:rPr>
                <w:color w:val="000000"/>
                <w:sz w:val="22"/>
                <w:szCs w:val="22"/>
              </w:rPr>
              <w:t>-0.847</w:t>
            </w:r>
          </w:p>
        </w:tc>
      </w:tr>
      <w:tr w:rsidR="003579C4" w:rsidRPr="008669C3" w14:paraId="52FE2AB9" w14:textId="77777777" w:rsidTr="003579C4">
        <w:trPr>
          <w:trHeight w:val="20"/>
        </w:trPr>
        <w:tc>
          <w:tcPr>
            <w:tcW w:w="1809" w:type="pct"/>
            <w:tcBorders>
              <w:top w:val="nil"/>
              <w:left w:val="nil"/>
              <w:bottom w:val="nil"/>
              <w:right w:val="nil"/>
            </w:tcBorders>
            <w:shd w:val="clear" w:color="auto" w:fill="auto"/>
            <w:noWrap/>
            <w:vAlign w:val="bottom"/>
            <w:hideMark/>
          </w:tcPr>
          <w:p w14:paraId="3CDFA1DE" w14:textId="7A96C509" w:rsidR="003579C4" w:rsidRPr="008669C3" w:rsidRDefault="008D7F80" w:rsidP="003579C4">
            <w:pPr>
              <w:rPr>
                <w:iCs/>
                <w:color w:val="000000"/>
                <w:sz w:val="22"/>
                <w:szCs w:val="22"/>
              </w:rPr>
            </w:pPr>
            <w:r w:rsidRPr="008669C3">
              <w:rPr>
                <w:iCs/>
                <w:color w:val="000000"/>
                <w:sz w:val="22"/>
                <w:szCs w:val="22"/>
              </w:rPr>
              <w:t>Age</w:t>
            </w:r>
          </w:p>
        </w:tc>
        <w:tc>
          <w:tcPr>
            <w:tcW w:w="687" w:type="pct"/>
            <w:tcBorders>
              <w:top w:val="nil"/>
              <w:left w:val="nil"/>
              <w:bottom w:val="nil"/>
              <w:right w:val="nil"/>
            </w:tcBorders>
            <w:shd w:val="clear" w:color="auto" w:fill="auto"/>
            <w:noWrap/>
            <w:vAlign w:val="bottom"/>
            <w:hideMark/>
          </w:tcPr>
          <w:p w14:paraId="6A518D8C" w14:textId="77777777" w:rsidR="003579C4" w:rsidRPr="008669C3" w:rsidRDefault="003579C4" w:rsidP="003579C4">
            <w:pPr>
              <w:jc w:val="center"/>
              <w:rPr>
                <w:color w:val="000000"/>
                <w:sz w:val="22"/>
                <w:szCs w:val="22"/>
              </w:rPr>
            </w:pPr>
            <w:r w:rsidRPr="008669C3">
              <w:rPr>
                <w:color w:val="000000"/>
                <w:sz w:val="22"/>
                <w:szCs w:val="22"/>
              </w:rPr>
              <w:t>55.689</w:t>
            </w:r>
          </w:p>
        </w:tc>
        <w:tc>
          <w:tcPr>
            <w:tcW w:w="154" w:type="pct"/>
            <w:tcBorders>
              <w:top w:val="nil"/>
              <w:left w:val="nil"/>
              <w:bottom w:val="nil"/>
              <w:right w:val="nil"/>
            </w:tcBorders>
            <w:shd w:val="clear" w:color="auto" w:fill="auto"/>
            <w:noWrap/>
            <w:vAlign w:val="bottom"/>
            <w:hideMark/>
          </w:tcPr>
          <w:p w14:paraId="55B03423" w14:textId="77777777" w:rsidR="003579C4" w:rsidRPr="008669C3" w:rsidRDefault="003579C4" w:rsidP="003579C4">
            <w:pPr>
              <w:jc w:val="center"/>
              <w:rPr>
                <w:color w:val="000000"/>
                <w:sz w:val="22"/>
                <w:szCs w:val="22"/>
              </w:rPr>
            </w:pPr>
          </w:p>
        </w:tc>
        <w:tc>
          <w:tcPr>
            <w:tcW w:w="826" w:type="pct"/>
            <w:tcBorders>
              <w:top w:val="nil"/>
              <w:left w:val="nil"/>
              <w:bottom w:val="nil"/>
              <w:right w:val="nil"/>
            </w:tcBorders>
            <w:shd w:val="clear" w:color="auto" w:fill="auto"/>
            <w:noWrap/>
            <w:vAlign w:val="bottom"/>
            <w:hideMark/>
          </w:tcPr>
          <w:p w14:paraId="63CCFB5A" w14:textId="77777777" w:rsidR="003579C4" w:rsidRPr="008669C3" w:rsidRDefault="003579C4" w:rsidP="003579C4">
            <w:pPr>
              <w:jc w:val="center"/>
              <w:rPr>
                <w:color w:val="000000"/>
                <w:sz w:val="22"/>
                <w:szCs w:val="22"/>
              </w:rPr>
            </w:pPr>
            <w:r w:rsidRPr="008669C3">
              <w:rPr>
                <w:color w:val="000000"/>
                <w:sz w:val="22"/>
                <w:szCs w:val="22"/>
              </w:rPr>
              <w:t>56.932</w:t>
            </w:r>
          </w:p>
        </w:tc>
        <w:tc>
          <w:tcPr>
            <w:tcW w:w="151" w:type="pct"/>
            <w:tcBorders>
              <w:top w:val="nil"/>
              <w:left w:val="nil"/>
              <w:bottom w:val="nil"/>
              <w:right w:val="nil"/>
            </w:tcBorders>
            <w:shd w:val="clear" w:color="auto" w:fill="auto"/>
            <w:noWrap/>
            <w:vAlign w:val="bottom"/>
            <w:hideMark/>
          </w:tcPr>
          <w:p w14:paraId="49D3A754" w14:textId="77777777" w:rsidR="003579C4" w:rsidRPr="008669C3" w:rsidRDefault="003579C4" w:rsidP="003579C4">
            <w:pPr>
              <w:jc w:val="center"/>
              <w:rPr>
                <w:color w:val="000000"/>
                <w:sz w:val="22"/>
                <w:szCs w:val="22"/>
              </w:rPr>
            </w:pPr>
          </w:p>
        </w:tc>
        <w:tc>
          <w:tcPr>
            <w:tcW w:w="704" w:type="pct"/>
            <w:tcBorders>
              <w:top w:val="nil"/>
              <w:left w:val="nil"/>
              <w:bottom w:val="nil"/>
              <w:right w:val="nil"/>
            </w:tcBorders>
            <w:shd w:val="clear" w:color="auto" w:fill="auto"/>
            <w:noWrap/>
            <w:vAlign w:val="bottom"/>
            <w:hideMark/>
          </w:tcPr>
          <w:p w14:paraId="57C7101D" w14:textId="77777777" w:rsidR="003579C4" w:rsidRPr="008669C3" w:rsidRDefault="003579C4" w:rsidP="003579C4">
            <w:pPr>
              <w:jc w:val="center"/>
              <w:rPr>
                <w:color w:val="000000"/>
                <w:sz w:val="22"/>
                <w:szCs w:val="22"/>
              </w:rPr>
            </w:pPr>
            <w:r w:rsidRPr="008669C3">
              <w:rPr>
                <w:color w:val="000000"/>
                <w:sz w:val="22"/>
                <w:szCs w:val="22"/>
              </w:rPr>
              <w:t>-1.243</w:t>
            </w:r>
          </w:p>
        </w:tc>
        <w:tc>
          <w:tcPr>
            <w:tcW w:w="669" w:type="pct"/>
            <w:tcBorders>
              <w:top w:val="nil"/>
              <w:left w:val="nil"/>
              <w:bottom w:val="nil"/>
              <w:right w:val="nil"/>
            </w:tcBorders>
            <w:shd w:val="clear" w:color="auto" w:fill="auto"/>
            <w:noWrap/>
            <w:vAlign w:val="bottom"/>
            <w:hideMark/>
          </w:tcPr>
          <w:p w14:paraId="0AC21722" w14:textId="77777777" w:rsidR="003579C4" w:rsidRPr="008669C3" w:rsidRDefault="003579C4" w:rsidP="003579C4">
            <w:pPr>
              <w:jc w:val="center"/>
              <w:rPr>
                <w:color w:val="000000"/>
                <w:sz w:val="22"/>
                <w:szCs w:val="22"/>
              </w:rPr>
            </w:pPr>
            <w:r w:rsidRPr="008669C3">
              <w:rPr>
                <w:color w:val="000000"/>
                <w:sz w:val="22"/>
                <w:szCs w:val="22"/>
              </w:rPr>
              <w:t>-1.145</w:t>
            </w:r>
          </w:p>
        </w:tc>
      </w:tr>
      <w:tr w:rsidR="003579C4" w:rsidRPr="008669C3" w14:paraId="779D0025" w14:textId="77777777" w:rsidTr="003579C4">
        <w:trPr>
          <w:trHeight w:val="20"/>
        </w:trPr>
        <w:tc>
          <w:tcPr>
            <w:tcW w:w="1809" w:type="pct"/>
            <w:tcBorders>
              <w:top w:val="nil"/>
              <w:left w:val="nil"/>
              <w:bottom w:val="nil"/>
              <w:right w:val="nil"/>
            </w:tcBorders>
            <w:shd w:val="clear" w:color="auto" w:fill="auto"/>
            <w:noWrap/>
            <w:vAlign w:val="bottom"/>
            <w:hideMark/>
          </w:tcPr>
          <w:p w14:paraId="7BB9DDF6" w14:textId="6BAA3AD6" w:rsidR="003579C4" w:rsidRPr="008669C3" w:rsidRDefault="008D7F80" w:rsidP="003579C4">
            <w:pPr>
              <w:rPr>
                <w:iCs/>
                <w:color w:val="000000"/>
                <w:sz w:val="22"/>
                <w:szCs w:val="22"/>
              </w:rPr>
            </w:pPr>
            <w:r w:rsidRPr="008669C3">
              <w:rPr>
                <w:iCs/>
                <w:color w:val="000000"/>
                <w:sz w:val="22"/>
                <w:szCs w:val="22"/>
              </w:rPr>
              <w:t>Tenure</w:t>
            </w:r>
          </w:p>
        </w:tc>
        <w:tc>
          <w:tcPr>
            <w:tcW w:w="687" w:type="pct"/>
            <w:tcBorders>
              <w:top w:val="nil"/>
              <w:left w:val="nil"/>
              <w:bottom w:val="nil"/>
              <w:right w:val="nil"/>
            </w:tcBorders>
            <w:shd w:val="clear" w:color="auto" w:fill="auto"/>
            <w:noWrap/>
            <w:vAlign w:val="bottom"/>
            <w:hideMark/>
          </w:tcPr>
          <w:p w14:paraId="24850FA5" w14:textId="3035F7C3" w:rsidR="003579C4" w:rsidRPr="008669C3" w:rsidRDefault="003579C4" w:rsidP="003579C4">
            <w:pPr>
              <w:jc w:val="center"/>
              <w:rPr>
                <w:color w:val="000000"/>
                <w:sz w:val="22"/>
                <w:szCs w:val="22"/>
              </w:rPr>
            </w:pPr>
            <w:r w:rsidRPr="008669C3">
              <w:rPr>
                <w:color w:val="000000"/>
                <w:sz w:val="22"/>
                <w:szCs w:val="22"/>
              </w:rPr>
              <w:t>5.795</w:t>
            </w:r>
          </w:p>
        </w:tc>
        <w:tc>
          <w:tcPr>
            <w:tcW w:w="154" w:type="pct"/>
            <w:tcBorders>
              <w:top w:val="nil"/>
              <w:left w:val="nil"/>
              <w:bottom w:val="nil"/>
              <w:right w:val="nil"/>
            </w:tcBorders>
            <w:shd w:val="clear" w:color="auto" w:fill="auto"/>
            <w:noWrap/>
            <w:vAlign w:val="bottom"/>
            <w:hideMark/>
          </w:tcPr>
          <w:p w14:paraId="1FB5E85D" w14:textId="77777777" w:rsidR="003579C4" w:rsidRPr="008669C3" w:rsidRDefault="003579C4" w:rsidP="003579C4">
            <w:pPr>
              <w:jc w:val="center"/>
              <w:rPr>
                <w:color w:val="000000"/>
                <w:sz w:val="22"/>
                <w:szCs w:val="22"/>
              </w:rPr>
            </w:pPr>
          </w:p>
        </w:tc>
        <w:tc>
          <w:tcPr>
            <w:tcW w:w="826" w:type="pct"/>
            <w:tcBorders>
              <w:top w:val="nil"/>
              <w:left w:val="nil"/>
              <w:bottom w:val="nil"/>
              <w:right w:val="nil"/>
            </w:tcBorders>
            <w:shd w:val="clear" w:color="auto" w:fill="auto"/>
            <w:noWrap/>
            <w:vAlign w:val="bottom"/>
            <w:hideMark/>
          </w:tcPr>
          <w:p w14:paraId="209FECD6" w14:textId="3173CDCB" w:rsidR="003579C4" w:rsidRPr="008669C3" w:rsidRDefault="003579C4" w:rsidP="003579C4">
            <w:pPr>
              <w:jc w:val="center"/>
              <w:rPr>
                <w:color w:val="000000"/>
                <w:sz w:val="22"/>
                <w:szCs w:val="22"/>
              </w:rPr>
            </w:pPr>
            <w:r w:rsidRPr="008669C3">
              <w:rPr>
                <w:color w:val="000000"/>
                <w:sz w:val="22"/>
                <w:szCs w:val="22"/>
              </w:rPr>
              <w:t>4.597</w:t>
            </w:r>
          </w:p>
        </w:tc>
        <w:tc>
          <w:tcPr>
            <w:tcW w:w="151" w:type="pct"/>
            <w:tcBorders>
              <w:top w:val="nil"/>
              <w:left w:val="nil"/>
              <w:bottom w:val="nil"/>
              <w:right w:val="nil"/>
            </w:tcBorders>
            <w:shd w:val="clear" w:color="auto" w:fill="auto"/>
            <w:noWrap/>
            <w:vAlign w:val="bottom"/>
            <w:hideMark/>
          </w:tcPr>
          <w:p w14:paraId="324D984C" w14:textId="77777777" w:rsidR="003579C4" w:rsidRPr="008669C3" w:rsidRDefault="003579C4" w:rsidP="003579C4">
            <w:pPr>
              <w:jc w:val="center"/>
              <w:rPr>
                <w:color w:val="000000"/>
                <w:sz w:val="22"/>
                <w:szCs w:val="22"/>
              </w:rPr>
            </w:pPr>
          </w:p>
        </w:tc>
        <w:tc>
          <w:tcPr>
            <w:tcW w:w="704" w:type="pct"/>
            <w:tcBorders>
              <w:top w:val="nil"/>
              <w:left w:val="nil"/>
              <w:bottom w:val="nil"/>
              <w:right w:val="nil"/>
            </w:tcBorders>
            <w:shd w:val="clear" w:color="auto" w:fill="auto"/>
            <w:noWrap/>
            <w:vAlign w:val="bottom"/>
            <w:hideMark/>
          </w:tcPr>
          <w:p w14:paraId="65D86B2E" w14:textId="4C0F3FE4" w:rsidR="003579C4" w:rsidRPr="008669C3" w:rsidRDefault="003579C4" w:rsidP="003579C4">
            <w:pPr>
              <w:jc w:val="center"/>
              <w:rPr>
                <w:color w:val="000000"/>
                <w:sz w:val="22"/>
                <w:szCs w:val="22"/>
              </w:rPr>
            </w:pPr>
            <w:r w:rsidRPr="008669C3">
              <w:rPr>
                <w:color w:val="000000"/>
                <w:sz w:val="22"/>
                <w:szCs w:val="22"/>
              </w:rPr>
              <w:t>1.1</w:t>
            </w:r>
            <w:r w:rsidR="004D5B17" w:rsidRPr="008669C3">
              <w:rPr>
                <w:color w:val="000000"/>
                <w:sz w:val="22"/>
                <w:szCs w:val="22"/>
              </w:rPr>
              <w:t>97</w:t>
            </w:r>
          </w:p>
        </w:tc>
        <w:tc>
          <w:tcPr>
            <w:tcW w:w="669" w:type="pct"/>
            <w:tcBorders>
              <w:top w:val="nil"/>
              <w:left w:val="nil"/>
              <w:bottom w:val="nil"/>
              <w:right w:val="nil"/>
            </w:tcBorders>
            <w:shd w:val="clear" w:color="auto" w:fill="auto"/>
            <w:noWrap/>
            <w:vAlign w:val="bottom"/>
            <w:hideMark/>
          </w:tcPr>
          <w:p w14:paraId="3A94C02B" w14:textId="7DCA8E35" w:rsidR="003579C4" w:rsidRPr="008669C3" w:rsidRDefault="003579C4" w:rsidP="004D5B17">
            <w:pPr>
              <w:jc w:val="center"/>
              <w:rPr>
                <w:color w:val="000000"/>
                <w:sz w:val="22"/>
                <w:szCs w:val="22"/>
              </w:rPr>
            </w:pPr>
            <w:r w:rsidRPr="008669C3">
              <w:rPr>
                <w:color w:val="000000"/>
                <w:sz w:val="22"/>
                <w:szCs w:val="22"/>
              </w:rPr>
              <w:t>1.</w:t>
            </w:r>
            <w:r w:rsidR="004D5B17" w:rsidRPr="008669C3">
              <w:rPr>
                <w:color w:val="000000"/>
                <w:sz w:val="22"/>
                <w:szCs w:val="22"/>
              </w:rPr>
              <w:t>2</w:t>
            </w:r>
            <w:r w:rsidRPr="008669C3">
              <w:rPr>
                <w:color w:val="000000"/>
                <w:sz w:val="22"/>
                <w:szCs w:val="22"/>
              </w:rPr>
              <w:t>21</w:t>
            </w:r>
          </w:p>
        </w:tc>
      </w:tr>
      <w:tr w:rsidR="003579C4" w:rsidRPr="008669C3" w14:paraId="0465AD58" w14:textId="77777777" w:rsidTr="003579C4">
        <w:trPr>
          <w:trHeight w:val="20"/>
        </w:trPr>
        <w:tc>
          <w:tcPr>
            <w:tcW w:w="1809" w:type="pct"/>
            <w:tcBorders>
              <w:top w:val="nil"/>
              <w:left w:val="nil"/>
              <w:bottom w:val="nil"/>
              <w:right w:val="nil"/>
            </w:tcBorders>
            <w:shd w:val="clear" w:color="auto" w:fill="auto"/>
            <w:noWrap/>
            <w:vAlign w:val="bottom"/>
            <w:hideMark/>
          </w:tcPr>
          <w:p w14:paraId="5D1B7311" w14:textId="389B614F" w:rsidR="003579C4" w:rsidRPr="008669C3" w:rsidRDefault="008D7F80" w:rsidP="003579C4">
            <w:pPr>
              <w:rPr>
                <w:iCs/>
                <w:color w:val="000000"/>
                <w:sz w:val="22"/>
                <w:szCs w:val="22"/>
              </w:rPr>
            </w:pPr>
            <w:r w:rsidRPr="008669C3">
              <w:rPr>
                <w:iCs/>
                <w:sz w:val="22"/>
                <w:szCs w:val="22"/>
              </w:rPr>
              <w:t>Female CEO</w:t>
            </w:r>
          </w:p>
        </w:tc>
        <w:tc>
          <w:tcPr>
            <w:tcW w:w="687" w:type="pct"/>
            <w:tcBorders>
              <w:top w:val="nil"/>
              <w:left w:val="nil"/>
              <w:bottom w:val="nil"/>
              <w:right w:val="nil"/>
            </w:tcBorders>
            <w:shd w:val="clear" w:color="auto" w:fill="auto"/>
            <w:noWrap/>
            <w:vAlign w:val="bottom"/>
            <w:hideMark/>
          </w:tcPr>
          <w:p w14:paraId="011A351C" w14:textId="77777777" w:rsidR="003579C4" w:rsidRPr="008669C3" w:rsidRDefault="003579C4" w:rsidP="003579C4">
            <w:pPr>
              <w:jc w:val="center"/>
              <w:rPr>
                <w:color w:val="000000"/>
                <w:sz w:val="22"/>
                <w:szCs w:val="22"/>
              </w:rPr>
            </w:pPr>
            <w:r w:rsidRPr="008669C3">
              <w:rPr>
                <w:color w:val="000000"/>
                <w:sz w:val="22"/>
                <w:szCs w:val="22"/>
              </w:rPr>
              <w:t>0.027</w:t>
            </w:r>
          </w:p>
        </w:tc>
        <w:tc>
          <w:tcPr>
            <w:tcW w:w="154" w:type="pct"/>
            <w:tcBorders>
              <w:top w:val="nil"/>
              <w:left w:val="nil"/>
              <w:bottom w:val="nil"/>
              <w:right w:val="nil"/>
            </w:tcBorders>
            <w:shd w:val="clear" w:color="auto" w:fill="auto"/>
            <w:noWrap/>
            <w:vAlign w:val="bottom"/>
            <w:hideMark/>
          </w:tcPr>
          <w:p w14:paraId="65743628" w14:textId="77777777" w:rsidR="003579C4" w:rsidRPr="008669C3" w:rsidRDefault="003579C4" w:rsidP="003579C4">
            <w:pPr>
              <w:jc w:val="center"/>
              <w:rPr>
                <w:color w:val="000000"/>
                <w:sz w:val="22"/>
                <w:szCs w:val="22"/>
              </w:rPr>
            </w:pPr>
          </w:p>
        </w:tc>
        <w:tc>
          <w:tcPr>
            <w:tcW w:w="826" w:type="pct"/>
            <w:tcBorders>
              <w:top w:val="nil"/>
              <w:left w:val="nil"/>
              <w:bottom w:val="nil"/>
              <w:right w:val="nil"/>
            </w:tcBorders>
            <w:shd w:val="clear" w:color="auto" w:fill="auto"/>
            <w:noWrap/>
            <w:vAlign w:val="bottom"/>
            <w:hideMark/>
          </w:tcPr>
          <w:p w14:paraId="364E8535" w14:textId="77777777" w:rsidR="003579C4" w:rsidRPr="008669C3" w:rsidRDefault="003579C4" w:rsidP="003579C4">
            <w:pPr>
              <w:jc w:val="center"/>
              <w:rPr>
                <w:color w:val="000000"/>
                <w:sz w:val="22"/>
                <w:szCs w:val="22"/>
              </w:rPr>
            </w:pPr>
            <w:r w:rsidRPr="008669C3">
              <w:rPr>
                <w:color w:val="000000"/>
                <w:sz w:val="22"/>
                <w:szCs w:val="22"/>
              </w:rPr>
              <w:t>0.000</w:t>
            </w:r>
          </w:p>
        </w:tc>
        <w:tc>
          <w:tcPr>
            <w:tcW w:w="151" w:type="pct"/>
            <w:tcBorders>
              <w:top w:val="nil"/>
              <w:left w:val="nil"/>
              <w:bottom w:val="nil"/>
              <w:right w:val="nil"/>
            </w:tcBorders>
            <w:shd w:val="clear" w:color="auto" w:fill="auto"/>
            <w:noWrap/>
            <w:vAlign w:val="bottom"/>
            <w:hideMark/>
          </w:tcPr>
          <w:p w14:paraId="7D591E0A" w14:textId="77777777" w:rsidR="003579C4" w:rsidRPr="008669C3" w:rsidRDefault="003579C4" w:rsidP="003579C4">
            <w:pPr>
              <w:jc w:val="center"/>
              <w:rPr>
                <w:color w:val="000000"/>
                <w:sz w:val="22"/>
                <w:szCs w:val="22"/>
              </w:rPr>
            </w:pPr>
          </w:p>
        </w:tc>
        <w:tc>
          <w:tcPr>
            <w:tcW w:w="704" w:type="pct"/>
            <w:tcBorders>
              <w:top w:val="nil"/>
              <w:left w:val="nil"/>
              <w:bottom w:val="nil"/>
              <w:right w:val="nil"/>
            </w:tcBorders>
            <w:shd w:val="clear" w:color="auto" w:fill="auto"/>
            <w:noWrap/>
            <w:vAlign w:val="bottom"/>
            <w:hideMark/>
          </w:tcPr>
          <w:p w14:paraId="5EE25307" w14:textId="77777777" w:rsidR="003579C4" w:rsidRPr="008669C3" w:rsidRDefault="003579C4" w:rsidP="003579C4">
            <w:pPr>
              <w:jc w:val="center"/>
              <w:rPr>
                <w:color w:val="000000"/>
                <w:sz w:val="22"/>
                <w:szCs w:val="22"/>
              </w:rPr>
            </w:pPr>
            <w:r w:rsidRPr="008669C3">
              <w:rPr>
                <w:color w:val="000000"/>
                <w:sz w:val="22"/>
                <w:szCs w:val="22"/>
              </w:rPr>
              <w:t>0.027</w:t>
            </w:r>
          </w:p>
        </w:tc>
        <w:tc>
          <w:tcPr>
            <w:tcW w:w="669" w:type="pct"/>
            <w:tcBorders>
              <w:top w:val="nil"/>
              <w:left w:val="nil"/>
              <w:bottom w:val="nil"/>
              <w:right w:val="nil"/>
            </w:tcBorders>
            <w:shd w:val="clear" w:color="auto" w:fill="auto"/>
            <w:noWrap/>
            <w:vAlign w:val="bottom"/>
            <w:hideMark/>
          </w:tcPr>
          <w:p w14:paraId="2B9814E0" w14:textId="77777777" w:rsidR="003579C4" w:rsidRPr="008669C3" w:rsidRDefault="003579C4" w:rsidP="003579C4">
            <w:pPr>
              <w:jc w:val="center"/>
              <w:rPr>
                <w:color w:val="000000"/>
                <w:sz w:val="22"/>
                <w:szCs w:val="22"/>
              </w:rPr>
            </w:pPr>
            <w:r w:rsidRPr="008669C3">
              <w:rPr>
                <w:color w:val="000000"/>
                <w:sz w:val="22"/>
                <w:szCs w:val="22"/>
              </w:rPr>
              <w:t>1.424</w:t>
            </w:r>
          </w:p>
        </w:tc>
      </w:tr>
      <w:tr w:rsidR="003579C4" w:rsidRPr="008669C3" w14:paraId="2FE0ED12" w14:textId="77777777" w:rsidTr="003579C4">
        <w:trPr>
          <w:trHeight w:val="20"/>
        </w:trPr>
        <w:tc>
          <w:tcPr>
            <w:tcW w:w="1809" w:type="pct"/>
            <w:tcBorders>
              <w:top w:val="nil"/>
              <w:left w:val="nil"/>
              <w:bottom w:val="nil"/>
              <w:right w:val="nil"/>
            </w:tcBorders>
            <w:shd w:val="clear" w:color="auto" w:fill="auto"/>
            <w:noWrap/>
            <w:vAlign w:val="bottom"/>
            <w:hideMark/>
          </w:tcPr>
          <w:p w14:paraId="4BB7C5E3" w14:textId="30F8B28A" w:rsidR="003579C4" w:rsidRPr="008669C3" w:rsidRDefault="008D7F80" w:rsidP="003579C4">
            <w:pPr>
              <w:rPr>
                <w:iCs/>
                <w:color w:val="000000"/>
                <w:sz w:val="22"/>
                <w:szCs w:val="22"/>
              </w:rPr>
            </w:pPr>
            <w:r w:rsidRPr="008669C3">
              <w:rPr>
                <w:iCs/>
                <w:sz w:val="22"/>
                <w:szCs w:val="22"/>
              </w:rPr>
              <w:t>Ln(1+Delta)</w:t>
            </w:r>
          </w:p>
        </w:tc>
        <w:tc>
          <w:tcPr>
            <w:tcW w:w="687" w:type="pct"/>
            <w:tcBorders>
              <w:top w:val="nil"/>
              <w:left w:val="nil"/>
              <w:bottom w:val="nil"/>
              <w:right w:val="nil"/>
            </w:tcBorders>
            <w:shd w:val="clear" w:color="auto" w:fill="auto"/>
            <w:noWrap/>
            <w:vAlign w:val="bottom"/>
            <w:hideMark/>
          </w:tcPr>
          <w:p w14:paraId="642F62CA" w14:textId="77777777" w:rsidR="003579C4" w:rsidRPr="008669C3" w:rsidRDefault="003579C4" w:rsidP="003579C4">
            <w:pPr>
              <w:jc w:val="center"/>
              <w:rPr>
                <w:color w:val="000000"/>
                <w:sz w:val="22"/>
                <w:szCs w:val="22"/>
              </w:rPr>
            </w:pPr>
            <w:r w:rsidRPr="008669C3">
              <w:rPr>
                <w:color w:val="000000"/>
                <w:sz w:val="22"/>
                <w:szCs w:val="22"/>
              </w:rPr>
              <w:t>6.258</w:t>
            </w:r>
          </w:p>
        </w:tc>
        <w:tc>
          <w:tcPr>
            <w:tcW w:w="154" w:type="pct"/>
            <w:tcBorders>
              <w:top w:val="nil"/>
              <w:left w:val="nil"/>
              <w:bottom w:val="nil"/>
              <w:right w:val="nil"/>
            </w:tcBorders>
            <w:shd w:val="clear" w:color="auto" w:fill="auto"/>
            <w:noWrap/>
            <w:vAlign w:val="bottom"/>
            <w:hideMark/>
          </w:tcPr>
          <w:p w14:paraId="08EDCA9C" w14:textId="77777777" w:rsidR="003579C4" w:rsidRPr="008669C3" w:rsidRDefault="003579C4" w:rsidP="003579C4">
            <w:pPr>
              <w:jc w:val="center"/>
              <w:rPr>
                <w:color w:val="000000"/>
                <w:sz w:val="22"/>
                <w:szCs w:val="22"/>
              </w:rPr>
            </w:pPr>
          </w:p>
        </w:tc>
        <w:tc>
          <w:tcPr>
            <w:tcW w:w="826" w:type="pct"/>
            <w:tcBorders>
              <w:top w:val="nil"/>
              <w:left w:val="nil"/>
              <w:bottom w:val="nil"/>
              <w:right w:val="nil"/>
            </w:tcBorders>
            <w:shd w:val="clear" w:color="auto" w:fill="auto"/>
            <w:noWrap/>
            <w:vAlign w:val="bottom"/>
            <w:hideMark/>
          </w:tcPr>
          <w:p w14:paraId="25827361" w14:textId="77777777" w:rsidR="003579C4" w:rsidRPr="008669C3" w:rsidRDefault="003579C4" w:rsidP="003579C4">
            <w:pPr>
              <w:jc w:val="center"/>
              <w:rPr>
                <w:color w:val="000000"/>
                <w:sz w:val="22"/>
                <w:szCs w:val="22"/>
              </w:rPr>
            </w:pPr>
            <w:r w:rsidRPr="008669C3">
              <w:rPr>
                <w:color w:val="000000"/>
                <w:sz w:val="22"/>
                <w:szCs w:val="22"/>
              </w:rPr>
              <w:t>6.125</w:t>
            </w:r>
          </w:p>
        </w:tc>
        <w:tc>
          <w:tcPr>
            <w:tcW w:w="151" w:type="pct"/>
            <w:tcBorders>
              <w:top w:val="nil"/>
              <w:left w:val="nil"/>
              <w:bottom w:val="nil"/>
              <w:right w:val="nil"/>
            </w:tcBorders>
            <w:shd w:val="clear" w:color="auto" w:fill="auto"/>
            <w:noWrap/>
            <w:vAlign w:val="bottom"/>
            <w:hideMark/>
          </w:tcPr>
          <w:p w14:paraId="18910644" w14:textId="77777777" w:rsidR="003579C4" w:rsidRPr="008669C3" w:rsidRDefault="003579C4" w:rsidP="003579C4">
            <w:pPr>
              <w:jc w:val="center"/>
              <w:rPr>
                <w:color w:val="000000"/>
                <w:sz w:val="22"/>
                <w:szCs w:val="22"/>
              </w:rPr>
            </w:pPr>
          </w:p>
        </w:tc>
        <w:tc>
          <w:tcPr>
            <w:tcW w:w="704" w:type="pct"/>
            <w:tcBorders>
              <w:top w:val="nil"/>
              <w:left w:val="nil"/>
              <w:bottom w:val="nil"/>
              <w:right w:val="nil"/>
            </w:tcBorders>
            <w:shd w:val="clear" w:color="auto" w:fill="auto"/>
            <w:noWrap/>
            <w:vAlign w:val="bottom"/>
            <w:hideMark/>
          </w:tcPr>
          <w:p w14:paraId="0EAA10C2" w14:textId="77777777" w:rsidR="003579C4" w:rsidRPr="008669C3" w:rsidRDefault="003579C4" w:rsidP="003579C4">
            <w:pPr>
              <w:jc w:val="center"/>
              <w:rPr>
                <w:color w:val="000000"/>
                <w:sz w:val="22"/>
                <w:szCs w:val="22"/>
              </w:rPr>
            </w:pPr>
            <w:r w:rsidRPr="008669C3">
              <w:rPr>
                <w:color w:val="000000"/>
                <w:sz w:val="22"/>
                <w:szCs w:val="22"/>
              </w:rPr>
              <w:t>0.133</w:t>
            </w:r>
          </w:p>
        </w:tc>
        <w:tc>
          <w:tcPr>
            <w:tcW w:w="669" w:type="pct"/>
            <w:tcBorders>
              <w:top w:val="nil"/>
              <w:left w:val="nil"/>
              <w:bottom w:val="nil"/>
              <w:right w:val="nil"/>
            </w:tcBorders>
            <w:shd w:val="clear" w:color="auto" w:fill="auto"/>
            <w:noWrap/>
            <w:vAlign w:val="bottom"/>
            <w:hideMark/>
          </w:tcPr>
          <w:p w14:paraId="2D51A2D7" w14:textId="77777777" w:rsidR="003579C4" w:rsidRPr="008669C3" w:rsidRDefault="003579C4" w:rsidP="003579C4">
            <w:pPr>
              <w:jc w:val="center"/>
              <w:rPr>
                <w:color w:val="000000"/>
                <w:sz w:val="22"/>
                <w:szCs w:val="22"/>
              </w:rPr>
            </w:pPr>
            <w:r w:rsidRPr="008669C3">
              <w:rPr>
                <w:color w:val="000000"/>
                <w:sz w:val="22"/>
                <w:szCs w:val="22"/>
              </w:rPr>
              <w:t>0.756</w:t>
            </w:r>
          </w:p>
        </w:tc>
      </w:tr>
      <w:tr w:rsidR="003579C4" w:rsidRPr="008669C3" w14:paraId="1AC52EBD" w14:textId="77777777" w:rsidTr="003579C4">
        <w:trPr>
          <w:trHeight w:val="20"/>
        </w:trPr>
        <w:tc>
          <w:tcPr>
            <w:tcW w:w="1809" w:type="pct"/>
            <w:tcBorders>
              <w:top w:val="nil"/>
              <w:left w:val="nil"/>
              <w:bottom w:val="nil"/>
              <w:right w:val="nil"/>
            </w:tcBorders>
            <w:shd w:val="clear" w:color="auto" w:fill="auto"/>
            <w:noWrap/>
            <w:vAlign w:val="bottom"/>
            <w:hideMark/>
          </w:tcPr>
          <w:p w14:paraId="62F392A5" w14:textId="2DFC0E7F" w:rsidR="003579C4" w:rsidRPr="008669C3" w:rsidRDefault="008D7F80" w:rsidP="003579C4">
            <w:pPr>
              <w:rPr>
                <w:iCs/>
                <w:color w:val="000000"/>
                <w:sz w:val="22"/>
                <w:szCs w:val="22"/>
              </w:rPr>
            </w:pPr>
            <w:r w:rsidRPr="008669C3">
              <w:rPr>
                <w:iCs/>
                <w:sz w:val="22"/>
                <w:szCs w:val="22"/>
              </w:rPr>
              <w:t>Ln(Total pay)</w:t>
            </w:r>
          </w:p>
        </w:tc>
        <w:tc>
          <w:tcPr>
            <w:tcW w:w="687" w:type="pct"/>
            <w:tcBorders>
              <w:top w:val="nil"/>
              <w:left w:val="nil"/>
              <w:bottom w:val="nil"/>
              <w:right w:val="nil"/>
            </w:tcBorders>
            <w:shd w:val="clear" w:color="auto" w:fill="auto"/>
            <w:noWrap/>
            <w:vAlign w:val="bottom"/>
            <w:hideMark/>
          </w:tcPr>
          <w:p w14:paraId="354DAC3E" w14:textId="77777777" w:rsidR="003579C4" w:rsidRPr="008669C3" w:rsidRDefault="003579C4" w:rsidP="003579C4">
            <w:pPr>
              <w:jc w:val="center"/>
              <w:rPr>
                <w:color w:val="000000"/>
                <w:sz w:val="22"/>
                <w:szCs w:val="22"/>
              </w:rPr>
            </w:pPr>
            <w:r w:rsidRPr="008669C3">
              <w:rPr>
                <w:color w:val="000000"/>
                <w:sz w:val="22"/>
                <w:szCs w:val="22"/>
              </w:rPr>
              <w:t>8.687</w:t>
            </w:r>
          </w:p>
        </w:tc>
        <w:tc>
          <w:tcPr>
            <w:tcW w:w="154" w:type="pct"/>
            <w:tcBorders>
              <w:top w:val="nil"/>
              <w:left w:val="nil"/>
              <w:bottom w:val="nil"/>
              <w:right w:val="nil"/>
            </w:tcBorders>
            <w:shd w:val="clear" w:color="auto" w:fill="auto"/>
            <w:noWrap/>
            <w:vAlign w:val="bottom"/>
            <w:hideMark/>
          </w:tcPr>
          <w:p w14:paraId="7FD59A5D" w14:textId="77777777" w:rsidR="003579C4" w:rsidRPr="008669C3" w:rsidRDefault="003579C4" w:rsidP="003579C4">
            <w:pPr>
              <w:jc w:val="center"/>
              <w:rPr>
                <w:color w:val="000000"/>
                <w:sz w:val="22"/>
                <w:szCs w:val="22"/>
              </w:rPr>
            </w:pPr>
          </w:p>
        </w:tc>
        <w:tc>
          <w:tcPr>
            <w:tcW w:w="826" w:type="pct"/>
            <w:tcBorders>
              <w:top w:val="nil"/>
              <w:left w:val="nil"/>
              <w:bottom w:val="nil"/>
              <w:right w:val="nil"/>
            </w:tcBorders>
            <w:shd w:val="clear" w:color="auto" w:fill="auto"/>
            <w:noWrap/>
            <w:vAlign w:val="bottom"/>
            <w:hideMark/>
          </w:tcPr>
          <w:p w14:paraId="408FEBCE" w14:textId="77777777" w:rsidR="003579C4" w:rsidRPr="008669C3" w:rsidRDefault="003579C4" w:rsidP="003579C4">
            <w:pPr>
              <w:jc w:val="center"/>
              <w:rPr>
                <w:color w:val="000000"/>
                <w:sz w:val="22"/>
                <w:szCs w:val="22"/>
              </w:rPr>
            </w:pPr>
            <w:r w:rsidRPr="008669C3">
              <w:rPr>
                <w:color w:val="000000"/>
                <w:sz w:val="22"/>
                <w:szCs w:val="22"/>
              </w:rPr>
              <w:t>8.782</w:t>
            </w:r>
          </w:p>
        </w:tc>
        <w:tc>
          <w:tcPr>
            <w:tcW w:w="151" w:type="pct"/>
            <w:tcBorders>
              <w:top w:val="nil"/>
              <w:left w:val="nil"/>
              <w:bottom w:val="nil"/>
              <w:right w:val="nil"/>
            </w:tcBorders>
            <w:shd w:val="clear" w:color="auto" w:fill="auto"/>
            <w:noWrap/>
            <w:vAlign w:val="bottom"/>
            <w:hideMark/>
          </w:tcPr>
          <w:p w14:paraId="6C5607CA" w14:textId="77777777" w:rsidR="003579C4" w:rsidRPr="008669C3" w:rsidRDefault="003579C4" w:rsidP="003579C4">
            <w:pPr>
              <w:jc w:val="center"/>
              <w:rPr>
                <w:color w:val="000000"/>
                <w:sz w:val="22"/>
                <w:szCs w:val="22"/>
              </w:rPr>
            </w:pPr>
          </w:p>
        </w:tc>
        <w:tc>
          <w:tcPr>
            <w:tcW w:w="704" w:type="pct"/>
            <w:tcBorders>
              <w:top w:val="nil"/>
              <w:left w:val="nil"/>
              <w:bottom w:val="nil"/>
              <w:right w:val="nil"/>
            </w:tcBorders>
            <w:shd w:val="clear" w:color="auto" w:fill="auto"/>
            <w:noWrap/>
            <w:vAlign w:val="bottom"/>
            <w:hideMark/>
          </w:tcPr>
          <w:p w14:paraId="3B75B4F0" w14:textId="77777777" w:rsidR="003579C4" w:rsidRPr="008669C3" w:rsidRDefault="003579C4" w:rsidP="003579C4">
            <w:pPr>
              <w:jc w:val="center"/>
              <w:rPr>
                <w:color w:val="000000"/>
                <w:sz w:val="22"/>
                <w:szCs w:val="22"/>
              </w:rPr>
            </w:pPr>
            <w:r w:rsidRPr="008669C3">
              <w:rPr>
                <w:color w:val="000000"/>
                <w:sz w:val="22"/>
                <w:szCs w:val="22"/>
              </w:rPr>
              <w:t>-0.095</w:t>
            </w:r>
          </w:p>
        </w:tc>
        <w:tc>
          <w:tcPr>
            <w:tcW w:w="669" w:type="pct"/>
            <w:tcBorders>
              <w:top w:val="nil"/>
              <w:left w:val="nil"/>
              <w:bottom w:val="nil"/>
              <w:right w:val="nil"/>
            </w:tcBorders>
            <w:shd w:val="clear" w:color="auto" w:fill="auto"/>
            <w:noWrap/>
            <w:vAlign w:val="bottom"/>
            <w:hideMark/>
          </w:tcPr>
          <w:p w14:paraId="2DAB2C09" w14:textId="77777777" w:rsidR="003579C4" w:rsidRPr="008669C3" w:rsidRDefault="003579C4" w:rsidP="003579C4">
            <w:pPr>
              <w:jc w:val="center"/>
              <w:rPr>
                <w:color w:val="000000"/>
                <w:sz w:val="22"/>
                <w:szCs w:val="22"/>
              </w:rPr>
            </w:pPr>
            <w:r w:rsidRPr="008669C3">
              <w:rPr>
                <w:color w:val="000000"/>
                <w:sz w:val="22"/>
                <w:szCs w:val="22"/>
              </w:rPr>
              <w:t>-0.620</w:t>
            </w:r>
          </w:p>
        </w:tc>
      </w:tr>
      <w:tr w:rsidR="003579C4" w:rsidRPr="008669C3" w14:paraId="78A5AF9D" w14:textId="77777777" w:rsidTr="003579C4">
        <w:trPr>
          <w:trHeight w:val="20"/>
        </w:trPr>
        <w:tc>
          <w:tcPr>
            <w:tcW w:w="1809" w:type="pct"/>
            <w:tcBorders>
              <w:top w:val="nil"/>
              <w:left w:val="nil"/>
              <w:bottom w:val="nil"/>
              <w:right w:val="nil"/>
            </w:tcBorders>
            <w:shd w:val="clear" w:color="auto" w:fill="auto"/>
            <w:noWrap/>
            <w:vAlign w:val="bottom"/>
            <w:hideMark/>
          </w:tcPr>
          <w:p w14:paraId="199EB77E" w14:textId="77777777" w:rsidR="003579C4" w:rsidRPr="008669C3" w:rsidRDefault="003579C4" w:rsidP="003579C4">
            <w:pPr>
              <w:rPr>
                <w:iCs/>
                <w:color w:val="000000"/>
                <w:sz w:val="22"/>
                <w:szCs w:val="22"/>
              </w:rPr>
            </w:pPr>
            <w:r w:rsidRPr="008669C3">
              <w:rPr>
                <w:iCs/>
                <w:color w:val="000000"/>
                <w:sz w:val="22"/>
                <w:szCs w:val="22"/>
              </w:rPr>
              <w:t>Equity mix</w:t>
            </w:r>
          </w:p>
        </w:tc>
        <w:tc>
          <w:tcPr>
            <w:tcW w:w="687" w:type="pct"/>
            <w:tcBorders>
              <w:top w:val="nil"/>
              <w:left w:val="nil"/>
              <w:bottom w:val="nil"/>
              <w:right w:val="nil"/>
            </w:tcBorders>
            <w:shd w:val="clear" w:color="auto" w:fill="auto"/>
            <w:noWrap/>
            <w:vAlign w:val="bottom"/>
            <w:hideMark/>
          </w:tcPr>
          <w:p w14:paraId="78F22467" w14:textId="77777777" w:rsidR="003579C4" w:rsidRPr="008669C3" w:rsidRDefault="003579C4" w:rsidP="003579C4">
            <w:pPr>
              <w:jc w:val="center"/>
              <w:rPr>
                <w:color w:val="000000"/>
                <w:sz w:val="22"/>
                <w:szCs w:val="22"/>
              </w:rPr>
            </w:pPr>
            <w:r w:rsidRPr="008669C3">
              <w:rPr>
                <w:color w:val="000000"/>
                <w:sz w:val="22"/>
                <w:szCs w:val="22"/>
              </w:rPr>
              <w:t>0.640</w:t>
            </w:r>
          </w:p>
        </w:tc>
        <w:tc>
          <w:tcPr>
            <w:tcW w:w="154" w:type="pct"/>
            <w:tcBorders>
              <w:top w:val="nil"/>
              <w:left w:val="nil"/>
              <w:bottom w:val="nil"/>
              <w:right w:val="nil"/>
            </w:tcBorders>
            <w:shd w:val="clear" w:color="auto" w:fill="auto"/>
            <w:noWrap/>
            <w:vAlign w:val="bottom"/>
            <w:hideMark/>
          </w:tcPr>
          <w:p w14:paraId="7C6B7621" w14:textId="77777777" w:rsidR="003579C4" w:rsidRPr="008669C3" w:rsidRDefault="003579C4" w:rsidP="003579C4">
            <w:pPr>
              <w:jc w:val="center"/>
              <w:rPr>
                <w:color w:val="000000"/>
                <w:sz w:val="22"/>
                <w:szCs w:val="22"/>
              </w:rPr>
            </w:pPr>
          </w:p>
        </w:tc>
        <w:tc>
          <w:tcPr>
            <w:tcW w:w="826" w:type="pct"/>
            <w:tcBorders>
              <w:top w:val="nil"/>
              <w:left w:val="nil"/>
              <w:bottom w:val="nil"/>
              <w:right w:val="nil"/>
            </w:tcBorders>
            <w:shd w:val="clear" w:color="auto" w:fill="auto"/>
            <w:noWrap/>
            <w:vAlign w:val="bottom"/>
            <w:hideMark/>
          </w:tcPr>
          <w:p w14:paraId="419FD3CA" w14:textId="77777777" w:rsidR="003579C4" w:rsidRPr="008669C3" w:rsidRDefault="003579C4" w:rsidP="003579C4">
            <w:pPr>
              <w:jc w:val="center"/>
              <w:rPr>
                <w:color w:val="000000"/>
                <w:sz w:val="22"/>
                <w:szCs w:val="22"/>
              </w:rPr>
            </w:pPr>
            <w:r w:rsidRPr="008669C3">
              <w:rPr>
                <w:color w:val="000000"/>
                <w:sz w:val="22"/>
                <w:szCs w:val="22"/>
              </w:rPr>
              <w:t>0.662</w:t>
            </w:r>
          </w:p>
        </w:tc>
        <w:tc>
          <w:tcPr>
            <w:tcW w:w="151" w:type="pct"/>
            <w:tcBorders>
              <w:top w:val="nil"/>
              <w:left w:val="nil"/>
              <w:bottom w:val="nil"/>
              <w:right w:val="nil"/>
            </w:tcBorders>
            <w:shd w:val="clear" w:color="auto" w:fill="auto"/>
            <w:noWrap/>
            <w:vAlign w:val="bottom"/>
            <w:hideMark/>
          </w:tcPr>
          <w:p w14:paraId="2B8CB357" w14:textId="77777777" w:rsidR="003579C4" w:rsidRPr="008669C3" w:rsidRDefault="003579C4" w:rsidP="003579C4">
            <w:pPr>
              <w:jc w:val="center"/>
              <w:rPr>
                <w:color w:val="000000"/>
                <w:sz w:val="22"/>
                <w:szCs w:val="22"/>
              </w:rPr>
            </w:pPr>
          </w:p>
        </w:tc>
        <w:tc>
          <w:tcPr>
            <w:tcW w:w="704" w:type="pct"/>
            <w:tcBorders>
              <w:top w:val="nil"/>
              <w:left w:val="nil"/>
              <w:bottom w:val="nil"/>
              <w:right w:val="nil"/>
            </w:tcBorders>
            <w:shd w:val="clear" w:color="auto" w:fill="auto"/>
            <w:noWrap/>
            <w:vAlign w:val="bottom"/>
            <w:hideMark/>
          </w:tcPr>
          <w:p w14:paraId="4FC8EAF8" w14:textId="77777777" w:rsidR="003579C4" w:rsidRPr="008669C3" w:rsidRDefault="003579C4" w:rsidP="003579C4">
            <w:pPr>
              <w:jc w:val="center"/>
              <w:rPr>
                <w:color w:val="000000"/>
                <w:sz w:val="22"/>
                <w:szCs w:val="22"/>
              </w:rPr>
            </w:pPr>
            <w:r w:rsidRPr="008669C3">
              <w:rPr>
                <w:color w:val="000000"/>
                <w:sz w:val="22"/>
                <w:szCs w:val="22"/>
              </w:rPr>
              <w:t>-0.022</w:t>
            </w:r>
          </w:p>
        </w:tc>
        <w:tc>
          <w:tcPr>
            <w:tcW w:w="669" w:type="pct"/>
            <w:tcBorders>
              <w:top w:val="nil"/>
              <w:left w:val="nil"/>
              <w:bottom w:val="nil"/>
              <w:right w:val="nil"/>
            </w:tcBorders>
            <w:shd w:val="clear" w:color="auto" w:fill="auto"/>
            <w:noWrap/>
            <w:vAlign w:val="bottom"/>
            <w:hideMark/>
          </w:tcPr>
          <w:p w14:paraId="69EB082E" w14:textId="77777777" w:rsidR="003579C4" w:rsidRPr="008669C3" w:rsidRDefault="003579C4" w:rsidP="003579C4">
            <w:pPr>
              <w:jc w:val="center"/>
              <w:rPr>
                <w:color w:val="000000"/>
                <w:sz w:val="22"/>
                <w:szCs w:val="22"/>
              </w:rPr>
            </w:pPr>
            <w:r w:rsidRPr="008669C3">
              <w:rPr>
                <w:color w:val="000000"/>
                <w:sz w:val="22"/>
                <w:szCs w:val="22"/>
              </w:rPr>
              <w:t>-0.553</w:t>
            </w:r>
          </w:p>
        </w:tc>
      </w:tr>
      <w:tr w:rsidR="003579C4" w:rsidRPr="008669C3" w14:paraId="1906677A" w14:textId="77777777" w:rsidTr="003579C4">
        <w:trPr>
          <w:trHeight w:val="20"/>
        </w:trPr>
        <w:tc>
          <w:tcPr>
            <w:tcW w:w="1809" w:type="pct"/>
            <w:tcBorders>
              <w:top w:val="nil"/>
              <w:left w:val="nil"/>
              <w:bottom w:val="nil"/>
              <w:right w:val="nil"/>
            </w:tcBorders>
            <w:shd w:val="clear" w:color="auto" w:fill="auto"/>
            <w:noWrap/>
            <w:vAlign w:val="bottom"/>
            <w:hideMark/>
          </w:tcPr>
          <w:p w14:paraId="074F1140" w14:textId="6FE2DB5F" w:rsidR="003579C4" w:rsidRPr="008669C3" w:rsidRDefault="008D7F80" w:rsidP="003579C4">
            <w:pPr>
              <w:rPr>
                <w:iCs/>
                <w:color w:val="000000"/>
                <w:sz w:val="22"/>
                <w:szCs w:val="22"/>
              </w:rPr>
            </w:pPr>
            <w:r w:rsidRPr="008669C3">
              <w:rPr>
                <w:iCs/>
                <w:sz w:val="22"/>
                <w:szCs w:val="22"/>
              </w:rPr>
              <w:t>Board independence</w:t>
            </w:r>
          </w:p>
        </w:tc>
        <w:tc>
          <w:tcPr>
            <w:tcW w:w="687" w:type="pct"/>
            <w:tcBorders>
              <w:top w:val="nil"/>
              <w:left w:val="nil"/>
              <w:bottom w:val="nil"/>
              <w:right w:val="nil"/>
            </w:tcBorders>
            <w:shd w:val="clear" w:color="auto" w:fill="auto"/>
            <w:noWrap/>
            <w:vAlign w:val="bottom"/>
            <w:hideMark/>
          </w:tcPr>
          <w:p w14:paraId="7F55776C" w14:textId="77777777" w:rsidR="003579C4" w:rsidRPr="008669C3" w:rsidRDefault="003579C4" w:rsidP="003579C4">
            <w:pPr>
              <w:jc w:val="center"/>
              <w:rPr>
                <w:color w:val="000000"/>
                <w:sz w:val="22"/>
                <w:szCs w:val="22"/>
              </w:rPr>
            </w:pPr>
            <w:r w:rsidRPr="008669C3">
              <w:rPr>
                <w:color w:val="000000"/>
                <w:sz w:val="22"/>
                <w:szCs w:val="22"/>
              </w:rPr>
              <w:t>0.718</w:t>
            </w:r>
          </w:p>
        </w:tc>
        <w:tc>
          <w:tcPr>
            <w:tcW w:w="154" w:type="pct"/>
            <w:tcBorders>
              <w:top w:val="nil"/>
              <w:left w:val="nil"/>
              <w:bottom w:val="nil"/>
              <w:right w:val="nil"/>
            </w:tcBorders>
            <w:shd w:val="clear" w:color="auto" w:fill="auto"/>
            <w:noWrap/>
            <w:vAlign w:val="bottom"/>
            <w:hideMark/>
          </w:tcPr>
          <w:p w14:paraId="0CD36CC3" w14:textId="77777777" w:rsidR="003579C4" w:rsidRPr="008669C3" w:rsidRDefault="003579C4" w:rsidP="003579C4">
            <w:pPr>
              <w:jc w:val="center"/>
              <w:rPr>
                <w:color w:val="000000"/>
                <w:sz w:val="22"/>
                <w:szCs w:val="22"/>
              </w:rPr>
            </w:pPr>
          </w:p>
        </w:tc>
        <w:tc>
          <w:tcPr>
            <w:tcW w:w="826" w:type="pct"/>
            <w:tcBorders>
              <w:top w:val="nil"/>
              <w:left w:val="nil"/>
              <w:bottom w:val="nil"/>
              <w:right w:val="nil"/>
            </w:tcBorders>
            <w:shd w:val="clear" w:color="auto" w:fill="auto"/>
            <w:noWrap/>
            <w:vAlign w:val="bottom"/>
            <w:hideMark/>
          </w:tcPr>
          <w:p w14:paraId="26003881" w14:textId="77777777" w:rsidR="003579C4" w:rsidRPr="008669C3" w:rsidRDefault="003579C4" w:rsidP="003579C4">
            <w:pPr>
              <w:jc w:val="center"/>
              <w:rPr>
                <w:color w:val="000000"/>
                <w:sz w:val="22"/>
                <w:szCs w:val="22"/>
              </w:rPr>
            </w:pPr>
            <w:r w:rsidRPr="008669C3">
              <w:rPr>
                <w:color w:val="000000"/>
                <w:sz w:val="22"/>
                <w:szCs w:val="22"/>
              </w:rPr>
              <w:t>0.722</w:t>
            </w:r>
          </w:p>
        </w:tc>
        <w:tc>
          <w:tcPr>
            <w:tcW w:w="151" w:type="pct"/>
            <w:tcBorders>
              <w:top w:val="nil"/>
              <w:left w:val="nil"/>
              <w:bottom w:val="nil"/>
              <w:right w:val="nil"/>
            </w:tcBorders>
            <w:shd w:val="clear" w:color="auto" w:fill="auto"/>
            <w:noWrap/>
            <w:vAlign w:val="bottom"/>
            <w:hideMark/>
          </w:tcPr>
          <w:p w14:paraId="71846129" w14:textId="77777777" w:rsidR="003579C4" w:rsidRPr="008669C3" w:rsidRDefault="003579C4" w:rsidP="003579C4">
            <w:pPr>
              <w:jc w:val="center"/>
              <w:rPr>
                <w:color w:val="000000"/>
                <w:sz w:val="22"/>
                <w:szCs w:val="22"/>
              </w:rPr>
            </w:pPr>
          </w:p>
        </w:tc>
        <w:tc>
          <w:tcPr>
            <w:tcW w:w="704" w:type="pct"/>
            <w:tcBorders>
              <w:top w:val="nil"/>
              <w:left w:val="nil"/>
              <w:bottom w:val="nil"/>
              <w:right w:val="nil"/>
            </w:tcBorders>
            <w:shd w:val="clear" w:color="auto" w:fill="auto"/>
            <w:noWrap/>
            <w:vAlign w:val="bottom"/>
            <w:hideMark/>
          </w:tcPr>
          <w:p w14:paraId="7E9059DA" w14:textId="77777777" w:rsidR="003579C4" w:rsidRPr="008669C3" w:rsidRDefault="003579C4" w:rsidP="003579C4">
            <w:pPr>
              <w:jc w:val="center"/>
              <w:rPr>
                <w:color w:val="000000"/>
                <w:sz w:val="22"/>
                <w:szCs w:val="22"/>
              </w:rPr>
            </w:pPr>
            <w:r w:rsidRPr="008669C3">
              <w:rPr>
                <w:color w:val="000000"/>
                <w:sz w:val="22"/>
                <w:szCs w:val="22"/>
              </w:rPr>
              <w:t>-0.004</w:t>
            </w:r>
          </w:p>
        </w:tc>
        <w:tc>
          <w:tcPr>
            <w:tcW w:w="669" w:type="pct"/>
            <w:tcBorders>
              <w:top w:val="nil"/>
              <w:left w:val="nil"/>
              <w:bottom w:val="nil"/>
              <w:right w:val="nil"/>
            </w:tcBorders>
            <w:shd w:val="clear" w:color="auto" w:fill="auto"/>
            <w:noWrap/>
            <w:vAlign w:val="bottom"/>
            <w:hideMark/>
          </w:tcPr>
          <w:p w14:paraId="02D3F90F" w14:textId="77777777" w:rsidR="003579C4" w:rsidRPr="008669C3" w:rsidRDefault="003579C4" w:rsidP="003579C4">
            <w:pPr>
              <w:jc w:val="center"/>
              <w:rPr>
                <w:color w:val="000000"/>
                <w:sz w:val="22"/>
                <w:szCs w:val="22"/>
              </w:rPr>
            </w:pPr>
            <w:r w:rsidRPr="008669C3">
              <w:rPr>
                <w:color w:val="000000"/>
                <w:sz w:val="22"/>
                <w:szCs w:val="22"/>
              </w:rPr>
              <w:t>-0.154</w:t>
            </w:r>
          </w:p>
        </w:tc>
      </w:tr>
      <w:tr w:rsidR="003579C4" w:rsidRPr="008669C3" w14:paraId="6EDC251B" w14:textId="77777777" w:rsidTr="003579C4">
        <w:trPr>
          <w:trHeight w:val="20"/>
        </w:trPr>
        <w:tc>
          <w:tcPr>
            <w:tcW w:w="1809" w:type="pct"/>
            <w:tcBorders>
              <w:top w:val="nil"/>
              <w:left w:val="nil"/>
              <w:right w:val="nil"/>
            </w:tcBorders>
            <w:shd w:val="clear" w:color="auto" w:fill="auto"/>
            <w:noWrap/>
            <w:vAlign w:val="bottom"/>
            <w:hideMark/>
          </w:tcPr>
          <w:p w14:paraId="25BC818D" w14:textId="77777777" w:rsidR="003579C4" w:rsidRPr="008669C3" w:rsidRDefault="003579C4" w:rsidP="003579C4">
            <w:pPr>
              <w:rPr>
                <w:iCs/>
                <w:color w:val="000000"/>
                <w:sz w:val="22"/>
                <w:szCs w:val="22"/>
              </w:rPr>
            </w:pPr>
            <w:r w:rsidRPr="008669C3">
              <w:rPr>
                <w:iCs/>
                <w:color w:val="000000"/>
                <w:sz w:val="22"/>
                <w:szCs w:val="22"/>
              </w:rPr>
              <w:t>Institutional ownership</w:t>
            </w:r>
          </w:p>
        </w:tc>
        <w:tc>
          <w:tcPr>
            <w:tcW w:w="687" w:type="pct"/>
            <w:tcBorders>
              <w:top w:val="nil"/>
              <w:left w:val="nil"/>
              <w:right w:val="nil"/>
            </w:tcBorders>
            <w:shd w:val="clear" w:color="auto" w:fill="auto"/>
            <w:noWrap/>
            <w:vAlign w:val="bottom"/>
            <w:hideMark/>
          </w:tcPr>
          <w:p w14:paraId="4BC2BA9D" w14:textId="01D76C98" w:rsidR="003579C4" w:rsidRPr="008669C3" w:rsidRDefault="003579C4" w:rsidP="004D5B17">
            <w:pPr>
              <w:jc w:val="center"/>
              <w:rPr>
                <w:color w:val="000000"/>
                <w:sz w:val="22"/>
                <w:szCs w:val="22"/>
              </w:rPr>
            </w:pPr>
            <w:r w:rsidRPr="008669C3">
              <w:rPr>
                <w:color w:val="000000"/>
                <w:sz w:val="22"/>
                <w:szCs w:val="22"/>
              </w:rPr>
              <w:t>0.7</w:t>
            </w:r>
            <w:r w:rsidR="004D5B17" w:rsidRPr="008669C3">
              <w:rPr>
                <w:color w:val="000000"/>
                <w:sz w:val="22"/>
                <w:szCs w:val="22"/>
              </w:rPr>
              <w:t>2</w:t>
            </w:r>
            <w:r w:rsidRPr="008669C3">
              <w:rPr>
                <w:color w:val="000000"/>
                <w:sz w:val="22"/>
                <w:szCs w:val="22"/>
              </w:rPr>
              <w:t>4</w:t>
            </w:r>
          </w:p>
        </w:tc>
        <w:tc>
          <w:tcPr>
            <w:tcW w:w="154" w:type="pct"/>
            <w:tcBorders>
              <w:top w:val="nil"/>
              <w:left w:val="nil"/>
              <w:right w:val="nil"/>
            </w:tcBorders>
            <w:shd w:val="clear" w:color="auto" w:fill="auto"/>
            <w:noWrap/>
            <w:vAlign w:val="bottom"/>
            <w:hideMark/>
          </w:tcPr>
          <w:p w14:paraId="087E0250" w14:textId="77777777" w:rsidR="003579C4" w:rsidRPr="008669C3" w:rsidRDefault="003579C4" w:rsidP="003579C4">
            <w:pPr>
              <w:jc w:val="center"/>
              <w:rPr>
                <w:color w:val="000000"/>
                <w:sz w:val="22"/>
                <w:szCs w:val="22"/>
              </w:rPr>
            </w:pPr>
          </w:p>
        </w:tc>
        <w:tc>
          <w:tcPr>
            <w:tcW w:w="826" w:type="pct"/>
            <w:tcBorders>
              <w:top w:val="nil"/>
              <w:left w:val="nil"/>
              <w:right w:val="nil"/>
            </w:tcBorders>
            <w:shd w:val="clear" w:color="auto" w:fill="auto"/>
            <w:noWrap/>
            <w:vAlign w:val="bottom"/>
            <w:hideMark/>
          </w:tcPr>
          <w:p w14:paraId="652B7267" w14:textId="5A83EB53" w:rsidR="003579C4" w:rsidRPr="008669C3" w:rsidRDefault="003579C4" w:rsidP="004D5B17">
            <w:pPr>
              <w:jc w:val="center"/>
              <w:rPr>
                <w:color w:val="000000"/>
                <w:sz w:val="22"/>
                <w:szCs w:val="22"/>
              </w:rPr>
            </w:pPr>
            <w:r w:rsidRPr="008669C3">
              <w:rPr>
                <w:color w:val="000000"/>
                <w:sz w:val="22"/>
                <w:szCs w:val="22"/>
              </w:rPr>
              <w:t>0.6</w:t>
            </w:r>
            <w:r w:rsidR="004D5B17" w:rsidRPr="008669C3">
              <w:rPr>
                <w:color w:val="000000"/>
                <w:sz w:val="22"/>
                <w:szCs w:val="22"/>
              </w:rPr>
              <w:t>9</w:t>
            </w:r>
            <w:r w:rsidRPr="008669C3">
              <w:rPr>
                <w:color w:val="000000"/>
                <w:sz w:val="22"/>
                <w:szCs w:val="22"/>
              </w:rPr>
              <w:t>6</w:t>
            </w:r>
          </w:p>
        </w:tc>
        <w:tc>
          <w:tcPr>
            <w:tcW w:w="151" w:type="pct"/>
            <w:tcBorders>
              <w:top w:val="nil"/>
              <w:left w:val="nil"/>
              <w:right w:val="nil"/>
            </w:tcBorders>
            <w:shd w:val="clear" w:color="auto" w:fill="auto"/>
            <w:noWrap/>
            <w:vAlign w:val="bottom"/>
            <w:hideMark/>
          </w:tcPr>
          <w:p w14:paraId="4ED0D43A" w14:textId="77777777" w:rsidR="003579C4" w:rsidRPr="008669C3" w:rsidRDefault="003579C4" w:rsidP="003579C4">
            <w:pPr>
              <w:jc w:val="center"/>
              <w:rPr>
                <w:color w:val="000000"/>
                <w:sz w:val="22"/>
                <w:szCs w:val="22"/>
              </w:rPr>
            </w:pPr>
          </w:p>
        </w:tc>
        <w:tc>
          <w:tcPr>
            <w:tcW w:w="704" w:type="pct"/>
            <w:tcBorders>
              <w:top w:val="nil"/>
              <w:left w:val="nil"/>
              <w:right w:val="nil"/>
            </w:tcBorders>
            <w:shd w:val="clear" w:color="auto" w:fill="auto"/>
            <w:noWrap/>
            <w:vAlign w:val="bottom"/>
            <w:hideMark/>
          </w:tcPr>
          <w:p w14:paraId="3C6A83BF" w14:textId="7CDCDCEA" w:rsidR="003579C4" w:rsidRPr="008669C3" w:rsidRDefault="003579C4" w:rsidP="004D5B17">
            <w:pPr>
              <w:jc w:val="center"/>
              <w:rPr>
                <w:color w:val="000000"/>
                <w:sz w:val="22"/>
                <w:szCs w:val="22"/>
              </w:rPr>
            </w:pPr>
            <w:r w:rsidRPr="008669C3">
              <w:rPr>
                <w:color w:val="000000"/>
                <w:sz w:val="22"/>
                <w:szCs w:val="22"/>
              </w:rPr>
              <w:t>0.0</w:t>
            </w:r>
            <w:r w:rsidR="004D5B17" w:rsidRPr="008669C3">
              <w:rPr>
                <w:color w:val="000000"/>
                <w:sz w:val="22"/>
                <w:szCs w:val="22"/>
              </w:rPr>
              <w:t>2</w:t>
            </w:r>
            <w:r w:rsidRPr="008669C3">
              <w:rPr>
                <w:color w:val="000000"/>
                <w:sz w:val="22"/>
                <w:szCs w:val="22"/>
              </w:rPr>
              <w:t>8</w:t>
            </w:r>
          </w:p>
        </w:tc>
        <w:tc>
          <w:tcPr>
            <w:tcW w:w="669" w:type="pct"/>
            <w:tcBorders>
              <w:top w:val="nil"/>
              <w:left w:val="nil"/>
              <w:right w:val="nil"/>
            </w:tcBorders>
            <w:shd w:val="clear" w:color="auto" w:fill="auto"/>
            <w:noWrap/>
            <w:vAlign w:val="bottom"/>
            <w:hideMark/>
          </w:tcPr>
          <w:p w14:paraId="5D4D0596" w14:textId="49BF1697" w:rsidR="003579C4" w:rsidRPr="008669C3" w:rsidRDefault="004D5B17" w:rsidP="004D5B17">
            <w:pPr>
              <w:jc w:val="center"/>
              <w:rPr>
                <w:color w:val="000000"/>
                <w:sz w:val="22"/>
                <w:szCs w:val="22"/>
              </w:rPr>
            </w:pPr>
            <w:r w:rsidRPr="008669C3">
              <w:rPr>
                <w:color w:val="000000"/>
                <w:sz w:val="22"/>
                <w:szCs w:val="22"/>
              </w:rPr>
              <w:t>1</w:t>
            </w:r>
            <w:r w:rsidR="003579C4" w:rsidRPr="008669C3">
              <w:rPr>
                <w:color w:val="000000"/>
                <w:sz w:val="22"/>
                <w:szCs w:val="22"/>
              </w:rPr>
              <w:t>.</w:t>
            </w:r>
            <w:r w:rsidRPr="008669C3">
              <w:rPr>
                <w:color w:val="000000"/>
                <w:sz w:val="22"/>
                <w:szCs w:val="22"/>
              </w:rPr>
              <w:t>0</w:t>
            </w:r>
            <w:r w:rsidR="003579C4" w:rsidRPr="008669C3">
              <w:rPr>
                <w:color w:val="000000"/>
                <w:sz w:val="22"/>
                <w:szCs w:val="22"/>
              </w:rPr>
              <w:t>93</w:t>
            </w:r>
          </w:p>
        </w:tc>
      </w:tr>
      <w:tr w:rsidR="003579C4" w:rsidRPr="008669C3" w14:paraId="5D8905A4" w14:textId="77777777" w:rsidTr="003579C4">
        <w:trPr>
          <w:trHeight w:val="20"/>
        </w:trPr>
        <w:tc>
          <w:tcPr>
            <w:tcW w:w="1809" w:type="pct"/>
            <w:tcBorders>
              <w:top w:val="nil"/>
              <w:left w:val="nil"/>
              <w:bottom w:val="single" w:sz="4" w:space="0" w:color="auto"/>
              <w:right w:val="nil"/>
            </w:tcBorders>
            <w:shd w:val="clear" w:color="auto" w:fill="auto"/>
            <w:noWrap/>
            <w:vAlign w:val="bottom"/>
            <w:hideMark/>
          </w:tcPr>
          <w:p w14:paraId="0E885FF1" w14:textId="77777777" w:rsidR="003579C4" w:rsidRPr="008669C3" w:rsidRDefault="003579C4" w:rsidP="003579C4">
            <w:pPr>
              <w:rPr>
                <w:iCs/>
                <w:color w:val="000000"/>
                <w:sz w:val="22"/>
                <w:szCs w:val="22"/>
              </w:rPr>
            </w:pPr>
            <w:r w:rsidRPr="008669C3">
              <w:rPr>
                <w:iCs/>
                <w:color w:val="000000"/>
                <w:sz w:val="22"/>
                <w:szCs w:val="22"/>
              </w:rPr>
              <w:t>E index</w:t>
            </w:r>
          </w:p>
        </w:tc>
        <w:tc>
          <w:tcPr>
            <w:tcW w:w="687" w:type="pct"/>
            <w:tcBorders>
              <w:top w:val="nil"/>
              <w:left w:val="nil"/>
              <w:bottom w:val="single" w:sz="4" w:space="0" w:color="auto"/>
              <w:right w:val="nil"/>
            </w:tcBorders>
            <w:shd w:val="clear" w:color="auto" w:fill="auto"/>
            <w:noWrap/>
            <w:vAlign w:val="bottom"/>
            <w:hideMark/>
          </w:tcPr>
          <w:p w14:paraId="20D56004" w14:textId="77777777" w:rsidR="003579C4" w:rsidRPr="008669C3" w:rsidRDefault="003579C4" w:rsidP="003579C4">
            <w:pPr>
              <w:jc w:val="center"/>
              <w:rPr>
                <w:color w:val="000000"/>
                <w:sz w:val="22"/>
                <w:szCs w:val="22"/>
              </w:rPr>
            </w:pPr>
            <w:r w:rsidRPr="008669C3">
              <w:rPr>
                <w:color w:val="000000"/>
                <w:sz w:val="22"/>
                <w:szCs w:val="22"/>
              </w:rPr>
              <w:t>2.568</w:t>
            </w:r>
          </w:p>
        </w:tc>
        <w:tc>
          <w:tcPr>
            <w:tcW w:w="154" w:type="pct"/>
            <w:tcBorders>
              <w:top w:val="nil"/>
              <w:left w:val="nil"/>
              <w:bottom w:val="single" w:sz="4" w:space="0" w:color="auto"/>
              <w:right w:val="nil"/>
            </w:tcBorders>
            <w:shd w:val="clear" w:color="auto" w:fill="auto"/>
            <w:noWrap/>
            <w:vAlign w:val="bottom"/>
            <w:hideMark/>
          </w:tcPr>
          <w:p w14:paraId="34D14D86" w14:textId="77777777" w:rsidR="003579C4" w:rsidRPr="008669C3" w:rsidRDefault="003579C4" w:rsidP="003579C4">
            <w:pPr>
              <w:jc w:val="center"/>
              <w:rPr>
                <w:color w:val="000000"/>
                <w:sz w:val="22"/>
                <w:szCs w:val="22"/>
              </w:rPr>
            </w:pPr>
          </w:p>
        </w:tc>
        <w:tc>
          <w:tcPr>
            <w:tcW w:w="826" w:type="pct"/>
            <w:tcBorders>
              <w:top w:val="nil"/>
              <w:left w:val="nil"/>
              <w:bottom w:val="single" w:sz="4" w:space="0" w:color="auto"/>
              <w:right w:val="nil"/>
            </w:tcBorders>
            <w:shd w:val="clear" w:color="auto" w:fill="auto"/>
            <w:noWrap/>
            <w:vAlign w:val="bottom"/>
            <w:hideMark/>
          </w:tcPr>
          <w:p w14:paraId="5C97DFE0" w14:textId="77777777" w:rsidR="003579C4" w:rsidRPr="008669C3" w:rsidRDefault="003579C4" w:rsidP="003579C4">
            <w:pPr>
              <w:jc w:val="center"/>
              <w:rPr>
                <w:color w:val="000000"/>
                <w:sz w:val="22"/>
                <w:szCs w:val="22"/>
              </w:rPr>
            </w:pPr>
            <w:r w:rsidRPr="008669C3">
              <w:rPr>
                <w:color w:val="000000"/>
                <w:sz w:val="22"/>
                <w:szCs w:val="22"/>
              </w:rPr>
              <w:t>2.446</w:t>
            </w:r>
          </w:p>
        </w:tc>
        <w:tc>
          <w:tcPr>
            <w:tcW w:w="151" w:type="pct"/>
            <w:tcBorders>
              <w:top w:val="nil"/>
              <w:left w:val="nil"/>
              <w:bottom w:val="single" w:sz="4" w:space="0" w:color="auto"/>
              <w:right w:val="nil"/>
            </w:tcBorders>
            <w:shd w:val="clear" w:color="auto" w:fill="auto"/>
            <w:noWrap/>
            <w:vAlign w:val="bottom"/>
            <w:hideMark/>
          </w:tcPr>
          <w:p w14:paraId="4974782E" w14:textId="77777777" w:rsidR="003579C4" w:rsidRPr="008669C3" w:rsidRDefault="003579C4" w:rsidP="003579C4">
            <w:pPr>
              <w:jc w:val="center"/>
              <w:rPr>
                <w:color w:val="000000"/>
                <w:sz w:val="22"/>
                <w:szCs w:val="22"/>
              </w:rPr>
            </w:pPr>
          </w:p>
        </w:tc>
        <w:tc>
          <w:tcPr>
            <w:tcW w:w="704" w:type="pct"/>
            <w:tcBorders>
              <w:top w:val="nil"/>
              <w:left w:val="nil"/>
              <w:bottom w:val="single" w:sz="4" w:space="0" w:color="auto"/>
              <w:right w:val="nil"/>
            </w:tcBorders>
            <w:shd w:val="clear" w:color="auto" w:fill="auto"/>
            <w:noWrap/>
            <w:vAlign w:val="bottom"/>
            <w:hideMark/>
          </w:tcPr>
          <w:p w14:paraId="14335474" w14:textId="77777777" w:rsidR="003579C4" w:rsidRPr="008669C3" w:rsidRDefault="003579C4" w:rsidP="003579C4">
            <w:pPr>
              <w:jc w:val="center"/>
              <w:rPr>
                <w:color w:val="000000"/>
                <w:sz w:val="22"/>
                <w:szCs w:val="22"/>
              </w:rPr>
            </w:pPr>
            <w:r w:rsidRPr="008669C3">
              <w:rPr>
                <w:color w:val="000000"/>
                <w:sz w:val="22"/>
                <w:szCs w:val="22"/>
              </w:rPr>
              <w:t>0.122</w:t>
            </w:r>
          </w:p>
        </w:tc>
        <w:tc>
          <w:tcPr>
            <w:tcW w:w="669" w:type="pct"/>
            <w:tcBorders>
              <w:top w:val="nil"/>
              <w:left w:val="nil"/>
              <w:bottom w:val="single" w:sz="4" w:space="0" w:color="auto"/>
              <w:right w:val="nil"/>
            </w:tcBorders>
            <w:shd w:val="clear" w:color="auto" w:fill="auto"/>
            <w:noWrap/>
            <w:vAlign w:val="bottom"/>
            <w:hideMark/>
          </w:tcPr>
          <w:p w14:paraId="103BB485" w14:textId="77777777" w:rsidR="003579C4" w:rsidRPr="008669C3" w:rsidRDefault="003579C4" w:rsidP="003579C4">
            <w:pPr>
              <w:jc w:val="center"/>
              <w:rPr>
                <w:color w:val="000000"/>
                <w:sz w:val="22"/>
                <w:szCs w:val="22"/>
              </w:rPr>
            </w:pPr>
            <w:r w:rsidRPr="008669C3">
              <w:rPr>
                <w:color w:val="000000"/>
                <w:sz w:val="22"/>
                <w:szCs w:val="22"/>
              </w:rPr>
              <w:t>0.608</w:t>
            </w:r>
          </w:p>
        </w:tc>
      </w:tr>
    </w:tbl>
    <w:p w14:paraId="3553DCAE" w14:textId="77777777" w:rsidR="003579C4" w:rsidRPr="008669C3" w:rsidRDefault="003579C4" w:rsidP="00C4258C">
      <w:pPr>
        <w:jc w:val="center"/>
        <w:rPr>
          <w:color w:val="FF0000"/>
        </w:rPr>
      </w:pPr>
    </w:p>
    <w:p w14:paraId="39619D87" w14:textId="77777777" w:rsidR="008D7F80" w:rsidRPr="008669C3" w:rsidRDefault="008D7F80" w:rsidP="00C4258C">
      <w:pPr>
        <w:jc w:val="center"/>
        <w:rPr>
          <w:color w:val="FF0000"/>
        </w:rPr>
      </w:pPr>
    </w:p>
    <w:p w14:paraId="70E5169C" w14:textId="77777777" w:rsidR="008D7F80" w:rsidRPr="008669C3" w:rsidRDefault="008D7F80" w:rsidP="00C4258C">
      <w:pPr>
        <w:jc w:val="center"/>
        <w:rPr>
          <w:color w:val="FF0000"/>
        </w:rPr>
      </w:pPr>
    </w:p>
    <w:p w14:paraId="1FA16552" w14:textId="77777777" w:rsidR="008D7F80" w:rsidRPr="008669C3" w:rsidRDefault="008D7F80" w:rsidP="00C4258C">
      <w:pPr>
        <w:jc w:val="center"/>
        <w:rPr>
          <w:color w:val="FF0000"/>
        </w:rPr>
      </w:pPr>
    </w:p>
    <w:p w14:paraId="35430949" w14:textId="77777777" w:rsidR="00C4258C" w:rsidRPr="008669C3" w:rsidRDefault="00C4258C" w:rsidP="000276F6">
      <w:pPr>
        <w:autoSpaceDE w:val="0"/>
        <w:autoSpaceDN w:val="0"/>
        <w:adjustRightInd w:val="0"/>
        <w:rPr>
          <w:color w:val="FF0000"/>
        </w:rPr>
        <w:sectPr w:rsidR="00C4258C" w:rsidRPr="008669C3" w:rsidSect="00C4258C">
          <w:pgSz w:w="11906" w:h="16838"/>
          <w:pgMar w:top="1440" w:right="1440" w:bottom="1440" w:left="1440" w:header="709" w:footer="709" w:gutter="0"/>
          <w:cols w:space="708"/>
          <w:docGrid w:linePitch="360"/>
        </w:sectPr>
      </w:pPr>
    </w:p>
    <w:p w14:paraId="2B792747" w14:textId="77777777" w:rsidR="0028360B" w:rsidRPr="008669C3" w:rsidRDefault="0028360B" w:rsidP="00026FB5">
      <w:pPr>
        <w:autoSpaceDE w:val="0"/>
        <w:autoSpaceDN w:val="0"/>
        <w:adjustRightInd w:val="0"/>
        <w:jc w:val="center"/>
        <w:rPr>
          <w:b/>
        </w:rPr>
      </w:pPr>
    </w:p>
    <w:p w14:paraId="464768A8" w14:textId="77777777" w:rsidR="008E495C" w:rsidRPr="008669C3" w:rsidRDefault="008E495C" w:rsidP="00026FB5">
      <w:pPr>
        <w:autoSpaceDE w:val="0"/>
        <w:autoSpaceDN w:val="0"/>
        <w:adjustRightInd w:val="0"/>
        <w:jc w:val="center"/>
        <w:rPr>
          <w:b/>
        </w:rPr>
      </w:pPr>
    </w:p>
    <w:p w14:paraId="3C86D264" w14:textId="77777777" w:rsidR="008E495C" w:rsidRPr="008669C3" w:rsidRDefault="008E495C" w:rsidP="00026FB5">
      <w:pPr>
        <w:autoSpaceDE w:val="0"/>
        <w:autoSpaceDN w:val="0"/>
        <w:adjustRightInd w:val="0"/>
        <w:jc w:val="center"/>
        <w:rPr>
          <w:b/>
        </w:rPr>
      </w:pPr>
    </w:p>
    <w:p w14:paraId="1B422C9C" w14:textId="77777777" w:rsidR="008E495C" w:rsidRPr="008669C3" w:rsidRDefault="008E495C" w:rsidP="00026FB5">
      <w:pPr>
        <w:autoSpaceDE w:val="0"/>
        <w:autoSpaceDN w:val="0"/>
        <w:adjustRightInd w:val="0"/>
        <w:jc w:val="center"/>
        <w:rPr>
          <w:b/>
        </w:rPr>
      </w:pPr>
    </w:p>
    <w:p w14:paraId="61E4A0EA" w14:textId="77777777" w:rsidR="0028360B" w:rsidRPr="008669C3" w:rsidRDefault="0028360B" w:rsidP="00026FB5">
      <w:pPr>
        <w:autoSpaceDE w:val="0"/>
        <w:autoSpaceDN w:val="0"/>
        <w:adjustRightInd w:val="0"/>
        <w:jc w:val="center"/>
        <w:rPr>
          <w:b/>
        </w:rPr>
      </w:pPr>
    </w:p>
    <w:p w14:paraId="1AFE0DD9" w14:textId="77777777" w:rsidR="0028360B" w:rsidRPr="008669C3" w:rsidRDefault="0028360B" w:rsidP="00026FB5">
      <w:pPr>
        <w:autoSpaceDE w:val="0"/>
        <w:autoSpaceDN w:val="0"/>
        <w:adjustRightInd w:val="0"/>
        <w:jc w:val="center"/>
        <w:rPr>
          <w:b/>
        </w:rPr>
      </w:pPr>
    </w:p>
    <w:p w14:paraId="1F65F355" w14:textId="77777777" w:rsidR="0028360B" w:rsidRPr="008669C3" w:rsidRDefault="0028360B" w:rsidP="00026FB5">
      <w:pPr>
        <w:autoSpaceDE w:val="0"/>
        <w:autoSpaceDN w:val="0"/>
        <w:adjustRightInd w:val="0"/>
        <w:jc w:val="center"/>
        <w:rPr>
          <w:b/>
        </w:rPr>
      </w:pPr>
    </w:p>
    <w:p w14:paraId="2534D1E2" w14:textId="77777777" w:rsidR="0028360B" w:rsidRPr="008669C3" w:rsidRDefault="0028360B" w:rsidP="00026FB5">
      <w:pPr>
        <w:autoSpaceDE w:val="0"/>
        <w:autoSpaceDN w:val="0"/>
        <w:adjustRightInd w:val="0"/>
        <w:jc w:val="center"/>
        <w:rPr>
          <w:b/>
        </w:rPr>
      </w:pPr>
    </w:p>
    <w:p w14:paraId="766481F2" w14:textId="77777777" w:rsidR="0028360B" w:rsidRPr="008669C3" w:rsidRDefault="0028360B" w:rsidP="00026FB5">
      <w:pPr>
        <w:autoSpaceDE w:val="0"/>
        <w:autoSpaceDN w:val="0"/>
        <w:adjustRightInd w:val="0"/>
        <w:jc w:val="center"/>
        <w:rPr>
          <w:b/>
        </w:rPr>
      </w:pPr>
    </w:p>
    <w:p w14:paraId="08DA1F9F" w14:textId="77777777" w:rsidR="0028360B" w:rsidRPr="008669C3" w:rsidRDefault="0028360B" w:rsidP="00026FB5">
      <w:pPr>
        <w:autoSpaceDE w:val="0"/>
        <w:autoSpaceDN w:val="0"/>
        <w:adjustRightInd w:val="0"/>
        <w:jc w:val="center"/>
        <w:rPr>
          <w:b/>
        </w:rPr>
      </w:pPr>
    </w:p>
    <w:p w14:paraId="32FBD03C" w14:textId="77777777" w:rsidR="0028360B" w:rsidRPr="008669C3" w:rsidRDefault="0028360B" w:rsidP="00026FB5">
      <w:pPr>
        <w:autoSpaceDE w:val="0"/>
        <w:autoSpaceDN w:val="0"/>
        <w:adjustRightInd w:val="0"/>
        <w:jc w:val="center"/>
        <w:rPr>
          <w:b/>
        </w:rPr>
      </w:pPr>
    </w:p>
    <w:p w14:paraId="01704D7D" w14:textId="77777777" w:rsidR="0028360B" w:rsidRPr="008669C3" w:rsidRDefault="0028360B" w:rsidP="00026FB5">
      <w:pPr>
        <w:autoSpaceDE w:val="0"/>
        <w:autoSpaceDN w:val="0"/>
        <w:adjustRightInd w:val="0"/>
        <w:jc w:val="center"/>
        <w:rPr>
          <w:b/>
        </w:rPr>
      </w:pPr>
    </w:p>
    <w:p w14:paraId="4C597705" w14:textId="77777777" w:rsidR="0028360B" w:rsidRPr="008669C3" w:rsidRDefault="0028360B" w:rsidP="00026FB5">
      <w:pPr>
        <w:autoSpaceDE w:val="0"/>
        <w:autoSpaceDN w:val="0"/>
        <w:adjustRightInd w:val="0"/>
        <w:jc w:val="center"/>
        <w:rPr>
          <w:b/>
        </w:rPr>
      </w:pPr>
    </w:p>
    <w:p w14:paraId="1F37E704" w14:textId="77777777" w:rsidR="0028360B" w:rsidRPr="008669C3" w:rsidRDefault="0028360B" w:rsidP="00026FB5">
      <w:pPr>
        <w:autoSpaceDE w:val="0"/>
        <w:autoSpaceDN w:val="0"/>
        <w:adjustRightInd w:val="0"/>
        <w:jc w:val="center"/>
        <w:rPr>
          <w:b/>
        </w:rPr>
      </w:pPr>
    </w:p>
    <w:p w14:paraId="3EA64E7C" w14:textId="77777777" w:rsidR="0028360B" w:rsidRPr="008669C3" w:rsidRDefault="0028360B" w:rsidP="00026FB5">
      <w:pPr>
        <w:autoSpaceDE w:val="0"/>
        <w:autoSpaceDN w:val="0"/>
        <w:adjustRightInd w:val="0"/>
        <w:jc w:val="center"/>
        <w:rPr>
          <w:b/>
        </w:rPr>
      </w:pPr>
    </w:p>
    <w:p w14:paraId="0D1DB036" w14:textId="77777777" w:rsidR="0028360B" w:rsidRPr="008669C3" w:rsidRDefault="0028360B" w:rsidP="00026FB5">
      <w:pPr>
        <w:autoSpaceDE w:val="0"/>
        <w:autoSpaceDN w:val="0"/>
        <w:adjustRightInd w:val="0"/>
        <w:jc w:val="center"/>
        <w:rPr>
          <w:b/>
        </w:rPr>
      </w:pPr>
    </w:p>
    <w:p w14:paraId="46FDADD5" w14:textId="77777777" w:rsidR="0028360B" w:rsidRPr="008669C3" w:rsidRDefault="0028360B" w:rsidP="00026FB5">
      <w:pPr>
        <w:autoSpaceDE w:val="0"/>
        <w:autoSpaceDN w:val="0"/>
        <w:adjustRightInd w:val="0"/>
        <w:jc w:val="center"/>
        <w:rPr>
          <w:b/>
        </w:rPr>
      </w:pPr>
    </w:p>
    <w:p w14:paraId="0D029049" w14:textId="77777777" w:rsidR="0028360B" w:rsidRPr="008669C3" w:rsidRDefault="0028360B" w:rsidP="00026FB5">
      <w:pPr>
        <w:autoSpaceDE w:val="0"/>
        <w:autoSpaceDN w:val="0"/>
        <w:adjustRightInd w:val="0"/>
        <w:jc w:val="center"/>
        <w:rPr>
          <w:b/>
        </w:rPr>
      </w:pPr>
    </w:p>
    <w:p w14:paraId="3665F412" w14:textId="77777777" w:rsidR="0028360B" w:rsidRPr="008669C3" w:rsidRDefault="0028360B" w:rsidP="00026FB5">
      <w:pPr>
        <w:autoSpaceDE w:val="0"/>
        <w:autoSpaceDN w:val="0"/>
        <w:adjustRightInd w:val="0"/>
        <w:jc w:val="center"/>
        <w:rPr>
          <w:b/>
        </w:rPr>
      </w:pPr>
    </w:p>
    <w:p w14:paraId="00512F2F" w14:textId="77777777" w:rsidR="0028360B" w:rsidRPr="008669C3" w:rsidRDefault="0028360B" w:rsidP="00026FB5">
      <w:pPr>
        <w:autoSpaceDE w:val="0"/>
        <w:autoSpaceDN w:val="0"/>
        <w:adjustRightInd w:val="0"/>
        <w:jc w:val="center"/>
        <w:rPr>
          <w:b/>
        </w:rPr>
      </w:pPr>
    </w:p>
    <w:p w14:paraId="44816D7E" w14:textId="6D72A49E" w:rsidR="00026FB5" w:rsidRPr="008669C3" w:rsidRDefault="00026FB5" w:rsidP="00026FB5">
      <w:pPr>
        <w:autoSpaceDE w:val="0"/>
        <w:autoSpaceDN w:val="0"/>
        <w:adjustRightInd w:val="0"/>
        <w:jc w:val="center"/>
        <w:rPr>
          <w:b/>
          <w:bCs/>
        </w:rPr>
      </w:pPr>
      <w:r w:rsidRPr="008669C3">
        <w:rPr>
          <w:b/>
        </w:rPr>
        <w:t>S</w:t>
      </w:r>
      <w:r w:rsidRPr="008669C3">
        <w:rPr>
          <w:b/>
          <w:bCs/>
        </w:rPr>
        <w:t>upporting Documentation</w:t>
      </w:r>
    </w:p>
    <w:p w14:paraId="34525E34" w14:textId="77777777" w:rsidR="00026FB5" w:rsidRPr="008669C3" w:rsidRDefault="00026FB5" w:rsidP="00026FB5">
      <w:pPr>
        <w:autoSpaceDE w:val="0"/>
        <w:autoSpaceDN w:val="0"/>
        <w:adjustRightInd w:val="0"/>
        <w:jc w:val="center"/>
        <w:rPr>
          <w:b/>
          <w:bCs/>
        </w:rPr>
      </w:pPr>
      <w:r w:rsidRPr="008669C3">
        <w:rPr>
          <w:b/>
          <w:bCs/>
        </w:rPr>
        <w:t>NOT FOR PUBLICATION</w:t>
      </w:r>
    </w:p>
    <w:p w14:paraId="56F4CC27" w14:textId="77777777" w:rsidR="00026FB5" w:rsidRPr="008669C3" w:rsidRDefault="00026FB5" w:rsidP="00026FB5">
      <w:pPr>
        <w:jc w:val="center"/>
        <w:rPr>
          <w:b/>
          <w:bCs/>
        </w:rPr>
      </w:pPr>
      <w:r w:rsidRPr="008669C3">
        <w:rPr>
          <w:b/>
          <w:bCs/>
        </w:rPr>
        <w:t>Results Available From the Author on Request</w:t>
      </w:r>
    </w:p>
    <w:p w14:paraId="4890CF38" w14:textId="77777777" w:rsidR="00026FB5" w:rsidRPr="008669C3" w:rsidRDefault="00026FB5" w:rsidP="00026FB5">
      <w:pPr>
        <w:jc w:val="center"/>
        <w:rPr>
          <w:b/>
          <w:bCs/>
        </w:rPr>
        <w:sectPr w:rsidR="00026FB5" w:rsidRPr="008669C3" w:rsidSect="00026FB5">
          <w:pgSz w:w="11906" w:h="16838"/>
          <w:pgMar w:top="1440" w:right="1440" w:bottom="1440" w:left="1440" w:header="709" w:footer="709" w:gutter="0"/>
          <w:cols w:space="708"/>
          <w:docGrid w:linePitch="360"/>
        </w:sectPr>
      </w:pPr>
    </w:p>
    <w:p w14:paraId="2C02F1A5" w14:textId="77777777" w:rsidR="006F48F9" w:rsidRPr="008669C3" w:rsidRDefault="006F48F9" w:rsidP="000276F6">
      <w:pPr>
        <w:autoSpaceDE w:val="0"/>
        <w:autoSpaceDN w:val="0"/>
        <w:adjustRightInd w:val="0"/>
        <w:rPr>
          <w:color w:val="FF0000"/>
        </w:rPr>
      </w:pPr>
    </w:p>
    <w:p w14:paraId="58E108A0" w14:textId="77777777" w:rsidR="001C1BBC" w:rsidRPr="008669C3" w:rsidRDefault="001C1BBC" w:rsidP="000276F6">
      <w:pPr>
        <w:autoSpaceDE w:val="0"/>
        <w:autoSpaceDN w:val="0"/>
        <w:adjustRightInd w:val="0"/>
        <w:rPr>
          <w:color w:val="FF0000"/>
        </w:rPr>
      </w:pPr>
    </w:p>
    <w:p w14:paraId="541C91A6" w14:textId="77777777" w:rsidR="001C1BBC" w:rsidRPr="008669C3" w:rsidRDefault="001C1BBC" w:rsidP="000276F6">
      <w:pPr>
        <w:autoSpaceDE w:val="0"/>
        <w:autoSpaceDN w:val="0"/>
        <w:adjustRightInd w:val="0"/>
        <w:rPr>
          <w:color w:val="FF0000"/>
        </w:rPr>
      </w:pPr>
    </w:p>
    <w:p w14:paraId="427100D7" w14:textId="77777777" w:rsidR="001C1BBC" w:rsidRPr="008669C3" w:rsidRDefault="001C1BBC" w:rsidP="000276F6">
      <w:pPr>
        <w:autoSpaceDE w:val="0"/>
        <w:autoSpaceDN w:val="0"/>
        <w:adjustRightInd w:val="0"/>
        <w:rPr>
          <w:color w:val="FF0000"/>
        </w:rPr>
      </w:pPr>
    </w:p>
    <w:p w14:paraId="643C4CD3" w14:textId="77777777" w:rsidR="001C1BBC" w:rsidRPr="008669C3" w:rsidRDefault="001C1BBC" w:rsidP="000276F6">
      <w:pPr>
        <w:autoSpaceDE w:val="0"/>
        <w:autoSpaceDN w:val="0"/>
        <w:adjustRightInd w:val="0"/>
        <w:rPr>
          <w:color w:val="FF0000"/>
        </w:rPr>
      </w:pPr>
    </w:p>
    <w:p w14:paraId="0165421C" w14:textId="77777777" w:rsidR="001C1BBC" w:rsidRPr="008669C3" w:rsidRDefault="001C1BBC" w:rsidP="001C1BBC">
      <w:pPr>
        <w:jc w:val="center"/>
        <w:rPr>
          <w:b/>
        </w:rPr>
      </w:pPr>
      <w:r w:rsidRPr="008669C3">
        <w:rPr>
          <w:b/>
        </w:rPr>
        <w:t>Table A.1</w:t>
      </w:r>
    </w:p>
    <w:p w14:paraId="439A3274" w14:textId="455ECE65" w:rsidR="001C1BBC" w:rsidRPr="008669C3" w:rsidRDefault="001C1BBC" w:rsidP="001C1BBC">
      <w:pPr>
        <w:jc w:val="center"/>
      </w:pPr>
      <w:r w:rsidRPr="008669C3">
        <w:t>Section 3.3. Robustness checks</w:t>
      </w:r>
    </w:p>
    <w:p w14:paraId="0D8E5AF8" w14:textId="77777777" w:rsidR="001C1BBC" w:rsidRPr="008669C3" w:rsidRDefault="001C1BBC" w:rsidP="001C1BBC">
      <w:pPr>
        <w:jc w:val="center"/>
      </w:pPr>
    </w:p>
    <w:p w14:paraId="294492DE" w14:textId="54B60DD3" w:rsidR="001C1BBC" w:rsidRPr="008669C3" w:rsidRDefault="001C1BBC" w:rsidP="001C1BBC">
      <w:pPr>
        <w:autoSpaceDE w:val="0"/>
        <w:autoSpaceDN w:val="0"/>
        <w:adjustRightInd w:val="0"/>
        <w:jc w:val="both"/>
        <w:rPr>
          <w:sz w:val="20"/>
        </w:rPr>
      </w:pPr>
      <w:r w:rsidRPr="008669C3">
        <w:rPr>
          <w:sz w:val="20"/>
        </w:rPr>
        <w:t xml:space="preserve">This table presents the results of the robustness checks discussed in Section 3.3 of the paper. </w:t>
      </w:r>
      <w:r w:rsidRPr="008669C3">
        <w:rPr>
          <w:sz w:val="20"/>
          <w:szCs w:val="20"/>
        </w:rPr>
        <w:t xml:space="preserve">The dependent variable is the natural logarithm of one plus </w:t>
      </w:r>
      <w:r w:rsidRPr="008669C3">
        <w:rPr>
          <w:i/>
          <w:sz w:val="20"/>
          <w:szCs w:val="20"/>
        </w:rPr>
        <w:t>Vega</w:t>
      </w:r>
      <w:r w:rsidRPr="008669C3">
        <w:rPr>
          <w:sz w:val="20"/>
          <w:szCs w:val="20"/>
        </w:rPr>
        <w:t xml:space="preserve">, where </w:t>
      </w:r>
      <w:r w:rsidRPr="008669C3">
        <w:rPr>
          <w:i/>
          <w:sz w:val="20"/>
          <w:szCs w:val="20"/>
        </w:rPr>
        <w:t>Vega</w:t>
      </w:r>
      <w:r w:rsidRPr="008669C3">
        <w:rPr>
          <w:sz w:val="20"/>
          <w:szCs w:val="20"/>
        </w:rPr>
        <w:t xml:space="preserve"> is the change (in thousands of dollars) </w:t>
      </w:r>
      <w:r w:rsidR="008E495C" w:rsidRPr="008669C3">
        <w:rPr>
          <w:sz w:val="20"/>
          <w:szCs w:val="20"/>
        </w:rPr>
        <w:t xml:space="preserve">in </w:t>
      </w:r>
      <w:r w:rsidRPr="008669C3">
        <w:rPr>
          <w:sz w:val="20"/>
          <w:szCs w:val="20"/>
        </w:rPr>
        <w:t>the value of the CEO’s wealth due to a 0.01 increase in the annualized standard deviation of the firm’s stock return.</w:t>
      </w:r>
      <w:r w:rsidRPr="008669C3">
        <w:rPr>
          <w:sz w:val="20"/>
        </w:rPr>
        <w:t xml:space="preserve"> For brevity, only the coefficient estimates on </w:t>
      </w:r>
      <w:r w:rsidRPr="008669C3">
        <w:rPr>
          <w:i/>
          <w:sz w:val="20"/>
          <w:szCs w:val="20"/>
        </w:rPr>
        <w:t>CDS trading</w:t>
      </w:r>
      <w:r w:rsidRPr="008669C3">
        <w:rPr>
          <w:sz w:val="20"/>
          <w:szCs w:val="20"/>
        </w:rPr>
        <w:t xml:space="preserve"> are reported.</w:t>
      </w:r>
      <w:r w:rsidRPr="008669C3">
        <w:rPr>
          <w:sz w:val="20"/>
        </w:rPr>
        <w:t xml:space="preserve"> </w:t>
      </w:r>
      <w:r w:rsidRPr="008669C3">
        <w:rPr>
          <w:i/>
          <w:sz w:val="20"/>
          <w:szCs w:val="20"/>
        </w:rPr>
        <w:t>CDS trading</w:t>
      </w:r>
      <w:r w:rsidRPr="008669C3">
        <w:rPr>
          <w:sz w:val="20"/>
          <w:szCs w:val="20"/>
        </w:rPr>
        <w:t xml:space="preserve"> is an indicator variable that equals one for a CDS firm after the inception of the firm’s CDS trading and zero prior to it. </w:t>
      </w:r>
      <w:r w:rsidRPr="008669C3">
        <w:rPr>
          <w:sz w:val="20"/>
        </w:rPr>
        <w:t xml:space="preserve">All regressions include the same set of controls as in Table 4. Industry-year effects based on the </w:t>
      </w:r>
      <w:r w:rsidRPr="008669C3">
        <w:rPr>
          <w:sz w:val="20"/>
          <w:szCs w:val="20"/>
        </w:rPr>
        <w:t>Fama-French 49-industry classification</w:t>
      </w:r>
      <w:r w:rsidRPr="008669C3">
        <w:rPr>
          <w:sz w:val="20"/>
        </w:rPr>
        <w:t xml:space="preserve"> are included unless otherwise stated. Standard errors are clustered at the firm level unless otherwise stated. ***, **, and * indicate significance at the 1%, 5%, and 10% levels, respectively.</w:t>
      </w:r>
    </w:p>
    <w:tbl>
      <w:tblPr>
        <w:tblW w:w="5000" w:type="pct"/>
        <w:tblLook w:val="04A0" w:firstRow="1" w:lastRow="0" w:firstColumn="1" w:lastColumn="0" w:noHBand="0" w:noVBand="1"/>
      </w:tblPr>
      <w:tblGrid>
        <w:gridCol w:w="768"/>
        <w:gridCol w:w="8314"/>
        <w:gridCol w:w="1840"/>
        <w:gridCol w:w="522"/>
        <w:gridCol w:w="2730"/>
      </w:tblGrid>
      <w:tr w:rsidR="001C1BBC" w:rsidRPr="008669C3" w14:paraId="75F64720" w14:textId="77777777" w:rsidTr="00C55246">
        <w:trPr>
          <w:trHeight w:val="300"/>
        </w:trPr>
        <w:tc>
          <w:tcPr>
            <w:tcW w:w="271" w:type="pct"/>
            <w:tcBorders>
              <w:top w:val="single" w:sz="4" w:space="0" w:color="auto"/>
              <w:left w:val="nil"/>
              <w:right w:val="nil"/>
            </w:tcBorders>
            <w:shd w:val="clear" w:color="auto" w:fill="auto"/>
            <w:noWrap/>
            <w:vAlign w:val="bottom"/>
          </w:tcPr>
          <w:p w14:paraId="46C32005" w14:textId="77777777" w:rsidR="001C1BBC" w:rsidRPr="008669C3" w:rsidRDefault="001C1BBC" w:rsidP="00C55246">
            <w:pPr>
              <w:jc w:val="center"/>
              <w:rPr>
                <w:color w:val="FF0000"/>
                <w:sz w:val="22"/>
                <w:szCs w:val="22"/>
              </w:rPr>
            </w:pPr>
          </w:p>
        </w:tc>
        <w:tc>
          <w:tcPr>
            <w:tcW w:w="2933" w:type="pct"/>
            <w:tcBorders>
              <w:top w:val="single" w:sz="4" w:space="0" w:color="auto"/>
              <w:left w:val="nil"/>
              <w:right w:val="nil"/>
            </w:tcBorders>
            <w:shd w:val="clear" w:color="auto" w:fill="auto"/>
            <w:noWrap/>
            <w:vAlign w:val="bottom"/>
          </w:tcPr>
          <w:p w14:paraId="46B043B2" w14:textId="77777777" w:rsidR="001C1BBC" w:rsidRPr="008669C3" w:rsidRDefault="001C1BBC" w:rsidP="00C55246">
            <w:pPr>
              <w:rPr>
                <w:color w:val="FF0000"/>
                <w:sz w:val="22"/>
                <w:szCs w:val="22"/>
              </w:rPr>
            </w:pPr>
          </w:p>
        </w:tc>
        <w:tc>
          <w:tcPr>
            <w:tcW w:w="1796" w:type="pct"/>
            <w:gridSpan w:val="3"/>
            <w:tcBorders>
              <w:top w:val="single" w:sz="4" w:space="0" w:color="auto"/>
              <w:left w:val="nil"/>
              <w:bottom w:val="single" w:sz="4" w:space="0" w:color="auto"/>
              <w:right w:val="nil"/>
            </w:tcBorders>
            <w:shd w:val="clear" w:color="auto" w:fill="auto"/>
            <w:noWrap/>
            <w:vAlign w:val="bottom"/>
          </w:tcPr>
          <w:p w14:paraId="7321E25F" w14:textId="77777777" w:rsidR="001C1BBC" w:rsidRPr="008669C3" w:rsidRDefault="001C1BBC" w:rsidP="00C55246">
            <w:pPr>
              <w:jc w:val="center"/>
              <w:rPr>
                <w:sz w:val="22"/>
                <w:szCs w:val="22"/>
              </w:rPr>
            </w:pPr>
            <w:r w:rsidRPr="008669C3">
              <w:rPr>
                <w:sz w:val="22"/>
                <w:szCs w:val="22"/>
              </w:rPr>
              <w:t xml:space="preserve">Dependent variable: </w:t>
            </w:r>
            <w:r w:rsidRPr="008669C3">
              <w:rPr>
                <w:i/>
                <w:iCs/>
                <w:sz w:val="22"/>
                <w:szCs w:val="22"/>
              </w:rPr>
              <w:t>Ln(1+Vega)</w:t>
            </w:r>
          </w:p>
        </w:tc>
      </w:tr>
      <w:tr w:rsidR="001C1BBC" w:rsidRPr="008669C3" w14:paraId="6320FE32" w14:textId="77777777" w:rsidTr="00C55246">
        <w:trPr>
          <w:trHeight w:val="300"/>
        </w:trPr>
        <w:tc>
          <w:tcPr>
            <w:tcW w:w="271" w:type="pct"/>
            <w:tcBorders>
              <w:left w:val="nil"/>
              <w:bottom w:val="single" w:sz="4" w:space="0" w:color="auto"/>
              <w:right w:val="nil"/>
            </w:tcBorders>
            <w:shd w:val="clear" w:color="auto" w:fill="auto"/>
            <w:noWrap/>
            <w:vAlign w:val="bottom"/>
            <w:hideMark/>
          </w:tcPr>
          <w:p w14:paraId="04139722" w14:textId="77777777" w:rsidR="001C1BBC" w:rsidRPr="008669C3" w:rsidRDefault="001C1BBC" w:rsidP="00C55246">
            <w:pPr>
              <w:jc w:val="center"/>
              <w:rPr>
                <w:color w:val="FF0000"/>
                <w:sz w:val="22"/>
                <w:szCs w:val="22"/>
              </w:rPr>
            </w:pPr>
            <w:r w:rsidRPr="008669C3">
              <w:rPr>
                <w:color w:val="FF0000"/>
                <w:sz w:val="22"/>
                <w:szCs w:val="22"/>
              </w:rPr>
              <w:t> </w:t>
            </w:r>
          </w:p>
        </w:tc>
        <w:tc>
          <w:tcPr>
            <w:tcW w:w="2933" w:type="pct"/>
            <w:tcBorders>
              <w:left w:val="nil"/>
              <w:bottom w:val="single" w:sz="4" w:space="0" w:color="auto"/>
              <w:right w:val="nil"/>
            </w:tcBorders>
            <w:shd w:val="clear" w:color="auto" w:fill="auto"/>
            <w:noWrap/>
            <w:vAlign w:val="bottom"/>
            <w:hideMark/>
          </w:tcPr>
          <w:p w14:paraId="7E99943E" w14:textId="77777777" w:rsidR="001C1BBC" w:rsidRPr="008669C3" w:rsidRDefault="001C1BBC" w:rsidP="00C55246">
            <w:pPr>
              <w:rPr>
                <w:color w:val="FF0000"/>
                <w:sz w:val="22"/>
                <w:szCs w:val="22"/>
              </w:rPr>
            </w:pPr>
          </w:p>
        </w:tc>
        <w:tc>
          <w:tcPr>
            <w:tcW w:w="649" w:type="pct"/>
            <w:tcBorders>
              <w:top w:val="nil"/>
              <w:left w:val="nil"/>
              <w:bottom w:val="single" w:sz="4" w:space="0" w:color="auto"/>
              <w:right w:val="nil"/>
            </w:tcBorders>
            <w:shd w:val="clear" w:color="auto" w:fill="auto"/>
            <w:noWrap/>
            <w:vAlign w:val="bottom"/>
            <w:hideMark/>
          </w:tcPr>
          <w:p w14:paraId="64D904C2" w14:textId="77777777" w:rsidR="001C1BBC" w:rsidRPr="008669C3" w:rsidRDefault="001C1BBC" w:rsidP="00C55246">
            <w:pPr>
              <w:jc w:val="center"/>
              <w:rPr>
                <w:sz w:val="22"/>
                <w:szCs w:val="22"/>
              </w:rPr>
            </w:pPr>
            <w:r w:rsidRPr="008669C3">
              <w:rPr>
                <w:sz w:val="22"/>
                <w:szCs w:val="22"/>
              </w:rPr>
              <w:t>Firm FE</w:t>
            </w:r>
          </w:p>
        </w:tc>
        <w:tc>
          <w:tcPr>
            <w:tcW w:w="184" w:type="pct"/>
            <w:tcBorders>
              <w:top w:val="nil"/>
              <w:left w:val="nil"/>
              <w:bottom w:val="single" w:sz="4" w:space="0" w:color="auto"/>
              <w:right w:val="nil"/>
            </w:tcBorders>
            <w:shd w:val="clear" w:color="auto" w:fill="auto"/>
            <w:noWrap/>
            <w:vAlign w:val="bottom"/>
            <w:hideMark/>
          </w:tcPr>
          <w:p w14:paraId="74987897" w14:textId="77777777" w:rsidR="001C1BBC" w:rsidRPr="008669C3" w:rsidRDefault="001C1BBC" w:rsidP="00C55246">
            <w:pPr>
              <w:jc w:val="center"/>
              <w:rPr>
                <w:sz w:val="22"/>
                <w:szCs w:val="22"/>
              </w:rPr>
            </w:pPr>
            <w:r w:rsidRPr="008669C3">
              <w:rPr>
                <w:sz w:val="22"/>
                <w:szCs w:val="22"/>
              </w:rPr>
              <w:t> </w:t>
            </w:r>
          </w:p>
        </w:tc>
        <w:tc>
          <w:tcPr>
            <w:tcW w:w="963" w:type="pct"/>
            <w:tcBorders>
              <w:top w:val="nil"/>
              <w:left w:val="nil"/>
              <w:bottom w:val="single" w:sz="4" w:space="0" w:color="auto"/>
              <w:right w:val="nil"/>
            </w:tcBorders>
            <w:shd w:val="clear" w:color="auto" w:fill="auto"/>
            <w:noWrap/>
            <w:vAlign w:val="bottom"/>
            <w:hideMark/>
          </w:tcPr>
          <w:p w14:paraId="18572B33" w14:textId="77777777" w:rsidR="001C1BBC" w:rsidRPr="008669C3" w:rsidRDefault="001C1BBC" w:rsidP="00C55246">
            <w:pPr>
              <w:jc w:val="center"/>
              <w:rPr>
                <w:sz w:val="22"/>
                <w:szCs w:val="22"/>
              </w:rPr>
            </w:pPr>
            <w:r w:rsidRPr="008669C3">
              <w:rPr>
                <w:sz w:val="22"/>
                <w:szCs w:val="22"/>
              </w:rPr>
              <w:t>CEO-firm FE</w:t>
            </w:r>
          </w:p>
        </w:tc>
      </w:tr>
      <w:tr w:rsidR="001C1BBC" w:rsidRPr="008669C3" w14:paraId="627ACDB5" w14:textId="77777777" w:rsidTr="00C55246">
        <w:trPr>
          <w:trHeight w:val="300"/>
        </w:trPr>
        <w:tc>
          <w:tcPr>
            <w:tcW w:w="271" w:type="pct"/>
            <w:tcBorders>
              <w:top w:val="single" w:sz="4" w:space="0" w:color="auto"/>
              <w:left w:val="nil"/>
              <w:bottom w:val="nil"/>
              <w:right w:val="nil"/>
            </w:tcBorders>
            <w:shd w:val="clear" w:color="auto" w:fill="auto"/>
            <w:noWrap/>
            <w:vAlign w:val="bottom"/>
            <w:hideMark/>
          </w:tcPr>
          <w:p w14:paraId="03C4A6A0" w14:textId="77777777" w:rsidR="001C1BBC" w:rsidRPr="008669C3" w:rsidRDefault="001C1BBC" w:rsidP="00C55246">
            <w:pPr>
              <w:jc w:val="center"/>
              <w:rPr>
                <w:sz w:val="22"/>
                <w:szCs w:val="22"/>
              </w:rPr>
            </w:pPr>
            <w:r w:rsidRPr="008669C3">
              <w:rPr>
                <w:sz w:val="22"/>
                <w:szCs w:val="22"/>
              </w:rPr>
              <w:t>(1)</w:t>
            </w:r>
          </w:p>
          <w:p w14:paraId="2A38EF2A" w14:textId="77777777" w:rsidR="001C1BBC" w:rsidRPr="008669C3" w:rsidRDefault="001C1BBC" w:rsidP="00C55246">
            <w:pPr>
              <w:jc w:val="center"/>
              <w:rPr>
                <w:sz w:val="22"/>
                <w:szCs w:val="22"/>
              </w:rPr>
            </w:pPr>
          </w:p>
        </w:tc>
        <w:tc>
          <w:tcPr>
            <w:tcW w:w="2933" w:type="pct"/>
            <w:tcBorders>
              <w:top w:val="single" w:sz="4" w:space="0" w:color="auto"/>
              <w:left w:val="nil"/>
              <w:bottom w:val="nil"/>
              <w:right w:val="nil"/>
            </w:tcBorders>
            <w:shd w:val="clear" w:color="auto" w:fill="auto"/>
            <w:noWrap/>
            <w:vAlign w:val="bottom"/>
            <w:hideMark/>
          </w:tcPr>
          <w:p w14:paraId="653BEA15" w14:textId="77777777" w:rsidR="001C1BBC" w:rsidRPr="008669C3" w:rsidRDefault="001C1BBC" w:rsidP="00C55246">
            <w:pPr>
              <w:rPr>
                <w:sz w:val="22"/>
                <w:szCs w:val="22"/>
              </w:rPr>
            </w:pPr>
            <w:r w:rsidRPr="008669C3">
              <w:rPr>
                <w:sz w:val="22"/>
                <w:szCs w:val="22"/>
              </w:rPr>
              <w:t>Exclude 2007 and 2008 crisis period from sample</w:t>
            </w:r>
          </w:p>
          <w:p w14:paraId="469020F0" w14:textId="77777777" w:rsidR="001C1BBC" w:rsidRPr="008669C3" w:rsidRDefault="001C1BBC" w:rsidP="00C55246">
            <w:pPr>
              <w:rPr>
                <w:sz w:val="22"/>
                <w:szCs w:val="22"/>
              </w:rPr>
            </w:pPr>
          </w:p>
        </w:tc>
        <w:tc>
          <w:tcPr>
            <w:tcW w:w="649" w:type="pct"/>
            <w:tcBorders>
              <w:top w:val="nil"/>
              <w:left w:val="nil"/>
              <w:bottom w:val="nil"/>
              <w:right w:val="nil"/>
            </w:tcBorders>
            <w:shd w:val="clear" w:color="auto" w:fill="auto"/>
            <w:noWrap/>
            <w:vAlign w:val="bottom"/>
            <w:hideMark/>
          </w:tcPr>
          <w:p w14:paraId="224C73F3" w14:textId="77777777" w:rsidR="001C1BBC" w:rsidRPr="008669C3" w:rsidRDefault="001C1BBC" w:rsidP="00C55246">
            <w:pPr>
              <w:jc w:val="center"/>
              <w:rPr>
                <w:sz w:val="22"/>
                <w:szCs w:val="22"/>
              </w:rPr>
            </w:pPr>
            <w:r w:rsidRPr="008669C3">
              <w:rPr>
                <w:sz w:val="22"/>
                <w:szCs w:val="22"/>
              </w:rPr>
              <w:t>0.312</w:t>
            </w:r>
            <w:r w:rsidRPr="008669C3">
              <w:rPr>
                <w:sz w:val="20"/>
                <w:szCs w:val="22"/>
              </w:rPr>
              <w:t>**</w:t>
            </w:r>
          </w:p>
          <w:p w14:paraId="6A09062B" w14:textId="77777777" w:rsidR="001C1BBC" w:rsidRPr="008669C3" w:rsidRDefault="001C1BBC" w:rsidP="00C55246">
            <w:pPr>
              <w:jc w:val="center"/>
              <w:rPr>
                <w:sz w:val="22"/>
                <w:szCs w:val="22"/>
              </w:rPr>
            </w:pPr>
            <w:r w:rsidRPr="008669C3">
              <w:rPr>
                <w:sz w:val="22"/>
                <w:szCs w:val="22"/>
              </w:rPr>
              <w:t>(0.151)</w:t>
            </w:r>
          </w:p>
        </w:tc>
        <w:tc>
          <w:tcPr>
            <w:tcW w:w="184" w:type="pct"/>
            <w:tcBorders>
              <w:top w:val="nil"/>
              <w:left w:val="nil"/>
              <w:bottom w:val="nil"/>
              <w:right w:val="nil"/>
            </w:tcBorders>
            <w:shd w:val="clear" w:color="auto" w:fill="auto"/>
            <w:noWrap/>
            <w:vAlign w:val="bottom"/>
            <w:hideMark/>
          </w:tcPr>
          <w:p w14:paraId="773E981A" w14:textId="77777777" w:rsidR="001C1BBC" w:rsidRPr="008669C3" w:rsidRDefault="001C1BBC" w:rsidP="00C55246">
            <w:pPr>
              <w:jc w:val="center"/>
              <w:rPr>
                <w:sz w:val="22"/>
                <w:szCs w:val="22"/>
              </w:rPr>
            </w:pPr>
          </w:p>
        </w:tc>
        <w:tc>
          <w:tcPr>
            <w:tcW w:w="963" w:type="pct"/>
            <w:tcBorders>
              <w:top w:val="nil"/>
              <w:left w:val="nil"/>
              <w:bottom w:val="nil"/>
              <w:right w:val="nil"/>
            </w:tcBorders>
            <w:shd w:val="clear" w:color="auto" w:fill="auto"/>
            <w:noWrap/>
            <w:vAlign w:val="bottom"/>
            <w:hideMark/>
          </w:tcPr>
          <w:p w14:paraId="375E20A5" w14:textId="77777777" w:rsidR="001C1BBC" w:rsidRPr="008669C3" w:rsidRDefault="001C1BBC" w:rsidP="00C55246">
            <w:pPr>
              <w:jc w:val="center"/>
              <w:rPr>
                <w:sz w:val="22"/>
                <w:szCs w:val="22"/>
              </w:rPr>
            </w:pPr>
            <w:r w:rsidRPr="008669C3">
              <w:rPr>
                <w:sz w:val="22"/>
                <w:szCs w:val="22"/>
              </w:rPr>
              <w:t>0.225</w:t>
            </w:r>
            <w:r w:rsidRPr="008669C3">
              <w:rPr>
                <w:sz w:val="20"/>
                <w:szCs w:val="22"/>
              </w:rPr>
              <w:t>*</w:t>
            </w:r>
          </w:p>
          <w:p w14:paraId="311735E1" w14:textId="77777777" w:rsidR="001C1BBC" w:rsidRPr="008669C3" w:rsidRDefault="001C1BBC" w:rsidP="00C55246">
            <w:pPr>
              <w:jc w:val="center"/>
              <w:rPr>
                <w:sz w:val="22"/>
                <w:szCs w:val="22"/>
              </w:rPr>
            </w:pPr>
            <w:r w:rsidRPr="008669C3">
              <w:rPr>
                <w:sz w:val="22"/>
                <w:szCs w:val="22"/>
              </w:rPr>
              <w:t>(0.128)</w:t>
            </w:r>
          </w:p>
        </w:tc>
      </w:tr>
      <w:tr w:rsidR="001C1BBC" w:rsidRPr="008669C3" w14:paraId="36BC8C37" w14:textId="77777777" w:rsidTr="00C55246">
        <w:trPr>
          <w:trHeight w:val="300"/>
        </w:trPr>
        <w:tc>
          <w:tcPr>
            <w:tcW w:w="271" w:type="pct"/>
            <w:tcBorders>
              <w:top w:val="nil"/>
              <w:left w:val="nil"/>
              <w:bottom w:val="nil"/>
              <w:right w:val="nil"/>
            </w:tcBorders>
            <w:shd w:val="clear" w:color="auto" w:fill="auto"/>
            <w:noWrap/>
            <w:vAlign w:val="bottom"/>
            <w:hideMark/>
          </w:tcPr>
          <w:p w14:paraId="1C3271D9" w14:textId="77777777" w:rsidR="001C1BBC" w:rsidRPr="008669C3" w:rsidRDefault="001C1BBC" w:rsidP="00C55246">
            <w:pPr>
              <w:jc w:val="center"/>
              <w:rPr>
                <w:sz w:val="22"/>
                <w:szCs w:val="22"/>
              </w:rPr>
            </w:pPr>
            <w:r w:rsidRPr="008669C3">
              <w:rPr>
                <w:sz w:val="22"/>
                <w:szCs w:val="22"/>
              </w:rPr>
              <w:t>(2)</w:t>
            </w:r>
          </w:p>
          <w:p w14:paraId="5646442F" w14:textId="77777777" w:rsidR="001C1BBC" w:rsidRPr="008669C3" w:rsidRDefault="001C1BBC" w:rsidP="00C55246">
            <w:pPr>
              <w:jc w:val="center"/>
              <w:rPr>
                <w:sz w:val="22"/>
                <w:szCs w:val="22"/>
              </w:rPr>
            </w:pPr>
          </w:p>
        </w:tc>
        <w:tc>
          <w:tcPr>
            <w:tcW w:w="2933" w:type="pct"/>
            <w:tcBorders>
              <w:top w:val="nil"/>
              <w:left w:val="nil"/>
              <w:bottom w:val="nil"/>
              <w:right w:val="nil"/>
            </w:tcBorders>
            <w:shd w:val="clear" w:color="auto" w:fill="auto"/>
            <w:noWrap/>
            <w:vAlign w:val="bottom"/>
            <w:hideMark/>
          </w:tcPr>
          <w:p w14:paraId="60B29B4F" w14:textId="77777777" w:rsidR="001C1BBC" w:rsidRPr="008669C3" w:rsidRDefault="001C1BBC" w:rsidP="00C55246">
            <w:pPr>
              <w:rPr>
                <w:sz w:val="22"/>
                <w:szCs w:val="22"/>
              </w:rPr>
            </w:pPr>
            <w:r w:rsidRPr="008669C3">
              <w:rPr>
                <w:sz w:val="22"/>
                <w:szCs w:val="22"/>
              </w:rPr>
              <w:t xml:space="preserve">Exclude firms never been referenced by CDS trading from sample </w:t>
            </w:r>
          </w:p>
          <w:p w14:paraId="3EFD168B" w14:textId="77777777" w:rsidR="001C1BBC" w:rsidRPr="008669C3" w:rsidRDefault="001C1BBC" w:rsidP="00C55246">
            <w:pPr>
              <w:rPr>
                <w:sz w:val="22"/>
                <w:szCs w:val="22"/>
              </w:rPr>
            </w:pPr>
          </w:p>
        </w:tc>
        <w:tc>
          <w:tcPr>
            <w:tcW w:w="649" w:type="pct"/>
            <w:tcBorders>
              <w:top w:val="nil"/>
              <w:left w:val="nil"/>
              <w:bottom w:val="nil"/>
              <w:right w:val="nil"/>
            </w:tcBorders>
            <w:shd w:val="clear" w:color="auto" w:fill="auto"/>
            <w:noWrap/>
            <w:vAlign w:val="bottom"/>
            <w:hideMark/>
          </w:tcPr>
          <w:p w14:paraId="0E569B1B" w14:textId="77777777" w:rsidR="001C1BBC" w:rsidRPr="008669C3" w:rsidRDefault="001C1BBC" w:rsidP="00C55246">
            <w:pPr>
              <w:jc w:val="center"/>
              <w:rPr>
                <w:sz w:val="22"/>
                <w:szCs w:val="22"/>
              </w:rPr>
            </w:pPr>
            <w:r w:rsidRPr="008669C3">
              <w:rPr>
                <w:sz w:val="22"/>
                <w:szCs w:val="22"/>
              </w:rPr>
              <w:t>0.378</w:t>
            </w:r>
            <w:r w:rsidRPr="008669C3">
              <w:rPr>
                <w:sz w:val="20"/>
                <w:szCs w:val="22"/>
              </w:rPr>
              <w:t>*</w:t>
            </w:r>
          </w:p>
          <w:p w14:paraId="2B890EA9" w14:textId="77777777" w:rsidR="001C1BBC" w:rsidRPr="008669C3" w:rsidRDefault="001C1BBC" w:rsidP="00C55246">
            <w:pPr>
              <w:jc w:val="center"/>
              <w:rPr>
                <w:sz w:val="22"/>
                <w:szCs w:val="22"/>
              </w:rPr>
            </w:pPr>
            <w:r w:rsidRPr="008669C3">
              <w:rPr>
                <w:sz w:val="22"/>
                <w:szCs w:val="22"/>
              </w:rPr>
              <w:t>(0.219)</w:t>
            </w:r>
          </w:p>
        </w:tc>
        <w:tc>
          <w:tcPr>
            <w:tcW w:w="184" w:type="pct"/>
            <w:tcBorders>
              <w:top w:val="nil"/>
              <w:left w:val="nil"/>
              <w:bottom w:val="nil"/>
              <w:right w:val="nil"/>
            </w:tcBorders>
            <w:shd w:val="clear" w:color="auto" w:fill="auto"/>
            <w:noWrap/>
            <w:vAlign w:val="bottom"/>
            <w:hideMark/>
          </w:tcPr>
          <w:p w14:paraId="4404378B" w14:textId="77777777" w:rsidR="001C1BBC" w:rsidRPr="008669C3" w:rsidRDefault="001C1BBC" w:rsidP="00C55246">
            <w:pPr>
              <w:jc w:val="center"/>
              <w:rPr>
                <w:sz w:val="22"/>
                <w:szCs w:val="22"/>
              </w:rPr>
            </w:pPr>
          </w:p>
        </w:tc>
        <w:tc>
          <w:tcPr>
            <w:tcW w:w="963" w:type="pct"/>
            <w:tcBorders>
              <w:top w:val="nil"/>
              <w:left w:val="nil"/>
              <w:bottom w:val="nil"/>
              <w:right w:val="nil"/>
            </w:tcBorders>
            <w:shd w:val="clear" w:color="auto" w:fill="auto"/>
            <w:noWrap/>
            <w:vAlign w:val="bottom"/>
            <w:hideMark/>
          </w:tcPr>
          <w:p w14:paraId="70D3BAA4" w14:textId="77777777" w:rsidR="001C1BBC" w:rsidRPr="008669C3" w:rsidRDefault="001C1BBC" w:rsidP="00C55246">
            <w:pPr>
              <w:jc w:val="center"/>
              <w:rPr>
                <w:sz w:val="22"/>
                <w:szCs w:val="22"/>
              </w:rPr>
            </w:pPr>
            <w:r w:rsidRPr="008669C3">
              <w:rPr>
                <w:sz w:val="22"/>
                <w:szCs w:val="22"/>
              </w:rPr>
              <w:t>0.262</w:t>
            </w:r>
            <w:r w:rsidRPr="008669C3">
              <w:rPr>
                <w:sz w:val="20"/>
                <w:szCs w:val="22"/>
              </w:rPr>
              <w:t>*</w:t>
            </w:r>
          </w:p>
          <w:p w14:paraId="05AC1C0B" w14:textId="77777777" w:rsidR="001C1BBC" w:rsidRPr="008669C3" w:rsidRDefault="001C1BBC" w:rsidP="00C55246">
            <w:pPr>
              <w:jc w:val="center"/>
              <w:rPr>
                <w:sz w:val="22"/>
                <w:szCs w:val="22"/>
              </w:rPr>
            </w:pPr>
            <w:r w:rsidRPr="008669C3">
              <w:rPr>
                <w:sz w:val="22"/>
                <w:szCs w:val="22"/>
              </w:rPr>
              <w:t>(0.146)</w:t>
            </w:r>
          </w:p>
        </w:tc>
      </w:tr>
      <w:tr w:rsidR="001C1BBC" w:rsidRPr="008669C3" w14:paraId="149CDBF2" w14:textId="77777777" w:rsidTr="00C55246">
        <w:trPr>
          <w:trHeight w:val="300"/>
        </w:trPr>
        <w:tc>
          <w:tcPr>
            <w:tcW w:w="271" w:type="pct"/>
            <w:tcBorders>
              <w:top w:val="nil"/>
              <w:left w:val="nil"/>
              <w:bottom w:val="nil"/>
              <w:right w:val="nil"/>
            </w:tcBorders>
            <w:shd w:val="clear" w:color="auto" w:fill="auto"/>
            <w:noWrap/>
            <w:vAlign w:val="bottom"/>
            <w:hideMark/>
          </w:tcPr>
          <w:p w14:paraId="7A5BF8FC" w14:textId="77777777" w:rsidR="001C1BBC" w:rsidRPr="008669C3" w:rsidRDefault="001C1BBC" w:rsidP="00C55246">
            <w:pPr>
              <w:jc w:val="center"/>
              <w:rPr>
                <w:sz w:val="22"/>
                <w:szCs w:val="22"/>
              </w:rPr>
            </w:pPr>
            <w:r w:rsidRPr="008669C3">
              <w:rPr>
                <w:sz w:val="22"/>
                <w:szCs w:val="22"/>
              </w:rPr>
              <w:t>(3)</w:t>
            </w:r>
          </w:p>
          <w:p w14:paraId="356BE80A" w14:textId="77777777" w:rsidR="001C1BBC" w:rsidRPr="008669C3" w:rsidRDefault="001C1BBC" w:rsidP="00C55246">
            <w:pPr>
              <w:jc w:val="center"/>
              <w:rPr>
                <w:sz w:val="22"/>
                <w:szCs w:val="22"/>
              </w:rPr>
            </w:pPr>
          </w:p>
        </w:tc>
        <w:tc>
          <w:tcPr>
            <w:tcW w:w="2933" w:type="pct"/>
            <w:tcBorders>
              <w:top w:val="nil"/>
              <w:left w:val="nil"/>
              <w:bottom w:val="nil"/>
              <w:right w:val="nil"/>
            </w:tcBorders>
            <w:shd w:val="clear" w:color="auto" w:fill="auto"/>
            <w:noWrap/>
            <w:vAlign w:val="bottom"/>
            <w:hideMark/>
          </w:tcPr>
          <w:p w14:paraId="07B1914B" w14:textId="77777777" w:rsidR="001C1BBC" w:rsidRPr="008669C3" w:rsidRDefault="001C1BBC" w:rsidP="00C55246">
            <w:pPr>
              <w:rPr>
                <w:sz w:val="22"/>
                <w:szCs w:val="22"/>
              </w:rPr>
            </w:pPr>
            <w:r w:rsidRPr="008669C3">
              <w:rPr>
                <w:sz w:val="22"/>
                <w:szCs w:val="22"/>
              </w:rPr>
              <w:t>Industry-year FE based on the 2-digit SIC industry classification</w:t>
            </w:r>
          </w:p>
          <w:p w14:paraId="421F8C90" w14:textId="77777777" w:rsidR="001C1BBC" w:rsidRPr="008669C3" w:rsidRDefault="001C1BBC" w:rsidP="00C55246">
            <w:pPr>
              <w:rPr>
                <w:sz w:val="22"/>
                <w:szCs w:val="22"/>
              </w:rPr>
            </w:pPr>
          </w:p>
        </w:tc>
        <w:tc>
          <w:tcPr>
            <w:tcW w:w="649" w:type="pct"/>
            <w:tcBorders>
              <w:top w:val="nil"/>
              <w:left w:val="nil"/>
              <w:bottom w:val="nil"/>
              <w:right w:val="nil"/>
            </w:tcBorders>
            <w:shd w:val="clear" w:color="auto" w:fill="auto"/>
            <w:noWrap/>
            <w:vAlign w:val="bottom"/>
            <w:hideMark/>
          </w:tcPr>
          <w:p w14:paraId="4F60517E" w14:textId="77777777" w:rsidR="001C1BBC" w:rsidRPr="008669C3" w:rsidRDefault="001C1BBC" w:rsidP="00C55246">
            <w:pPr>
              <w:jc w:val="center"/>
              <w:rPr>
                <w:sz w:val="22"/>
                <w:szCs w:val="22"/>
              </w:rPr>
            </w:pPr>
            <w:r w:rsidRPr="008669C3">
              <w:rPr>
                <w:sz w:val="22"/>
                <w:szCs w:val="22"/>
              </w:rPr>
              <w:t>0.371</w:t>
            </w:r>
            <w:r w:rsidRPr="008669C3">
              <w:rPr>
                <w:sz w:val="20"/>
                <w:szCs w:val="22"/>
              </w:rPr>
              <w:t>**</w:t>
            </w:r>
          </w:p>
          <w:p w14:paraId="3D233F2B" w14:textId="77777777" w:rsidR="001C1BBC" w:rsidRPr="008669C3" w:rsidRDefault="001C1BBC" w:rsidP="00C55246">
            <w:pPr>
              <w:jc w:val="center"/>
              <w:rPr>
                <w:sz w:val="22"/>
                <w:szCs w:val="22"/>
              </w:rPr>
            </w:pPr>
            <w:r w:rsidRPr="008669C3">
              <w:rPr>
                <w:sz w:val="22"/>
                <w:szCs w:val="22"/>
              </w:rPr>
              <w:t>(0.151)</w:t>
            </w:r>
          </w:p>
        </w:tc>
        <w:tc>
          <w:tcPr>
            <w:tcW w:w="184" w:type="pct"/>
            <w:tcBorders>
              <w:top w:val="nil"/>
              <w:left w:val="nil"/>
              <w:bottom w:val="nil"/>
              <w:right w:val="nil"/>
            </w:tcBorders>
            <w:shd w:val="clear" w:color="auto" w:fill="auto"/>
            <w:noWrap/>
            <w:vAlign w:val="bottom"/>
            <w:hideMark/>
          </w:tcPr>
          <w:p w14:paraId="0C3B19C9" w14:textId="77777777" w:rsidR="001C1BBC" w:rsidRPr="008669C3" w:rsidRDefault="001C1BBC" w:rsidP="00C55246">
            <w:pPr>
              <w:jc w:val="center"/>
              <w:rPr>
                <w:sz w:val="22"/>
                <w:szCs w:val="22"/>
              </w:rPr>
            </w:pPr>
          </w:p>
        </w:tc>
        <w:tc>
          <w:tcPr>
            <w:tcW w:w="963" w:type="pct"/>
            <w:tcBorders>
              <w:top w:val="nil"/>
              <w:left w:val="nil"/>
              <w:bottom w:val="nil"/>
              <w:right w:val="nil"/>
            </w:tcBorders>
            <w:shd w:val="clear" w:color="auto" w:fill="auto"/>
            <w:noWrap/>
            <w:vAlign w:val="bottom"/>
            <w:hideMark/>
          </w:tcPr>
          <w:p w14:paraId="5258DA3B" w14:textId="77777777" w:rsidR="001C1BBC" w:rsidRPr="008669C3" w:rsidRDefault="001C1BBC" w:rsidP="00C55246">
            <w:pPr>
              <w:jc w:val="center"/>
              <w:rPr>
                <w:sz w:val="20"/>
                <w:szCs w:val="22"/>
              </w:rPr>
            </w:pPr>
            <w:r w:rsidRPr="008669C3">
              <w:rPr>
                <w:sz w:val="22"/>
                <w:szCs w:val="22"/>
              </w:rPr>
              <w:t>0.264</w:t>
            </w:r>
            <w:r w:rsidRPr="008669C3">
              <w:rPr>
                <w:sz w:val="20"/>
                <w:szCs w:val="22"/>
              </w:rPr>
              <w:t>**</w:t>
            </w:r>
          </w:p>
          <w:p w14:paraId="35B8FBB3" w14:textId="77777777" w:rsidR="001C1BBC" w:rsidRPr="008669C3" w:rsidRDefault="001C1BBC" w:rsidP="00C55246">
            <w:pPr>
              <w:jc w:val="center"/>
              <w:rPr>
                <w:sz w:val="22"/>
                <w:szCs w:val="22"/>
              </w:rPr>
            </w:pPr>
            <w:r w:rsidRPr="008669C3">
              <w:rPr>
                <w:sz w:val="22"/>
                <w:szCs w:val="22"/>
              </w:rPr>
              <w:t>(0.109)</w:t>
            </w:r>
          </w:p>
        </w:tc>
      </w:tr>
      <w:tr w:rsidR="001C1BBC" w:rsidRPr="008669C3" w14:paraId="1AB08BE6" w14:textId="77777777" w:rsidTr="00C55246">
        <w:trPr>
          <w:trHeight w:val="300"/>
        </w:trPr>
        <w:tc>
          <w:tcPr>
            <w:tcW w:w="271" w:type="pct"/>
            <w:tcBorders>
              <w:top w:val="nil"/>
              <w:left w:val="nil"/>
              <w:bottom w:val="nil"/>
              <w:right w:val="nil"/>
            </w:tcBorders>
            <w:shd w:val="clear" w:color="auto" w:fill="auto"/>
            <w:noWrap/>
            <w:vAlign w:val="bottom"/>
            <w:hideMark/>
          </w:tcPr>
          <w:p w14:paraId="60AE8530" w14:textId="77777777" w:rsidR="001C1BBC" w:rsidRPr="008669C3" w:rsidRDefault="001C1BBC" w:rsidP="00C55246">
            <w:pPr>
              <w:jc w:val="center"/>
              <w:rPr>
                <w:sz w:val="22"/>
                <w:szCs w:val="22"/>
              </w:rPr>
            </w:pPr>
            <w:r w:rsidRPr="008669C3">
              <w:rPr>
                <w:sz w:val="22"/>
                <w:szCs w:val="22"/>
              </w:rPr>
              <w:t>(4)</w:t>
            </w:r>
          </w:p>
          <w:p w14:paraId="22387E12" w14:textId="77777777" w:rsidR="001C1BBC" w:rsidRPr="008669C3" w:rsidRDefault="001C1BBC" w:rsidP="00C55246">
            <w:pPr>
              <w:jc w:val="center"/>
              <w:rPr>
                <w:sz w:val="22"/>
                <w:szCs w:val="22"/>
              </w:rPr>
            </w:pPr>
          </w:p>
        </w:tc>
        <w:tc>
          <w:tcPr>
            <w:tcW w:w="2933" w:type="pct"/>
            <w:tcBorders>
              <w:top w:val="nil"/>
              <w:left w:val="nil"/>
              <w:bottom w:val="nil"/>
              <w:right w:val="nil"/>
            </w:tcBorders>
            <w:shd w:val="clear" w:color="auto" w:fill="auto"/>
            <w:noWrap/>
            <w:vAlign w:val="bottom"/>
            <w:hideMark/>
          </w:tcPr>
          <w:p w14:paraId="6C494723" w14:textId="77777777" w:rsidR="001C1BBC" w:rsidRPr="008669C3" w:rsidRDefault="001C1BBC" w:rsidP="00C55246">
            <w:pPr>
              <w:rPr>
                <w:sz w:val="22"/>
                <w:szCs w:val="22"/>
              </w:rPr>
            </w:pPr>
            <w:r w:rsidRPr="008669C3">
              <w:rPr>
                <w:sz w:val="22"/>
                <w:szCs w:val="22"/>
              </w:rPr>
              <w:t>Industry-year FE based on the 3-digit NAICS industry classification</w:t>
            </w:r>
          </w:p>
          <w:p w14:paraId="523AF84F" w14:textId="77777777" w:rsidR="001C1BBC" w:rsidRPr="008669C3" w:rsidRDefault="001C1BBC" w:rsidP="00C55246">
            <w:pPr>
              <w:rPr>
                <w:sz w:val="22"/>
                <w:szCs w:val="22"/>
              </w:rPr>
            </w:pPr>
          </w:p>
        </w:tc>
        <w:tc>
          <w:tcPr>
            <w:tcW w:w="649" w:type="pct"/>
            <w:tcBorders>
              <w:top w:val="nil"/>
              <w:left w:val="nil"/>
              <w:bottom w:val="nil"/>
              <w:right w:val="nil"/>
            </w:tcBorders>
            <w:shd w:val="clear" w:color="auto" w:fill="auto"/>
            <w:noWrap/>
            <w:vAlign w:val="bottom"/>
            <w:hideMark/>
          </w:tcPr>
          <w:p w14:paraId="3B54CC6F" w14:textId="77777777" w:rsidR="001C1BBC" w:rsidRPr="008669C3" w:rsidRDefault="001C1BBC" w:rsidP="00C55246">
            <w:pPr>
              <w:jc w:val="center"/>
              <w:rPr>
                <w:sz w:val="22"/>
                <w:szCs w:val="22"/>
              </w:rPr>
            </w:pPr>
            <w:r w:rsidRPr="008669C3">
              <w:rPr>
                <w:sz w:val="22"/>
                <w:szCs w:val="22"/>
              </w:rPr>
              <w:t>0.331</w:t>
            </w:r>
            <w:r w:rsidRPr="008669C3">
              <w:rPr>
                <w:sz w:val="20"/>
                <w:szCs w:val="22"/>
              </w:rPr>
              <w:t>**</w:t>
            </w:r>
          </w:p>
          <w:p w14:paraId="3F33A115" w14:textId="77777777" w:rsidR="001C1BBC" w:rsidRPr="008669C3" w:rsidRDefault="001C1BBC" w:rsidP="00C55246">
            <w:pPr>
              <w:jc w:val="center"/>
              <w:rPr>
                <w:sz w:val="22"/>
                <w:szCs w:val="22"/>
              </w:rPr>
            </w:pPr>
            <w:r w:rsidRPr="008669C3">
              <w:rPr>
                <w:sz w:val="22"/>
                <w:szCs w:val="22"/>
              </w:rPr>
              <w:t>(0.160)</w:t>
            </w:r>
          </w:p>
        </w:tc>
        <w:tc>
          <w:tcPr>
            <w:tcW w:w="184" w:type="pct"/>
            <w:tcBorders>
              <w:top w:val="nil"/>
              <w:left w:val="nil"/>
              <w:bottom w:val="nil"/>
              <w:right w:val="nil"/>
            </w:tcBorders>
            <w:shd w:val="clear" w:color="auto" w:fill="auto"/>
            <w:noWrap/>
            <w:vAlign w:val="bottom"/>
            <w:hideMark/>
          </w:tcPr>
          <w:p w14:paraId="3AB7658A" w14:textId="77777777" w:rsidR="001C1BBC" w:rsidRPr="008669C3" w:rsidRDefault="001C1BBC" w:rsidP="00C55246">
            <w:pPr>
              <w:jc w:val="center"/>
              <w:rPr>
                <w:sz w:val="22"/>
                <w:szCs w:val="22"/>
              </w:rPr>
            </w:pPr>
          </w:p>
        </w:tc>
        <w:tc>
          <w:tcPr>
            <w:tcW w:w="963" w:type="pct"/>
            <w:tcBorders>
              <w:top w:val="nil"/>
              <w:left w:val="nil"/>
              <w:bottom w:val="nil"/>
              <w:right w:val="nil"/>
            </w:tcBorders>
            <w:shd w:val="clear" w:color="auto" w:fill="auto"/>
            <w:noWrap/>
            <w:vAlign w:val="bottom"/>
            <w:hideMark/>
          </w:tcPr>
          <w:p w14:paraId="28BF40D7" w14:textId="77777777" w:rsidR="001C1BBC" w:rsidRPr="008669C3" w:rsidRDefault="001C1BBC" w:rsidP="00C55246">
            <w:pPr>
              <w:jc w:val="center"/>
              <w:rPr>
                <w:sz w:val="22"/>
                <w:szCs w:val="22"/>
              </w:rPr>
            </w:pPr>
            <w:r w:rsidRPr="008669C3">
              <w:rPr>
                <w:sz w:val="22"/>
                <w:szCs w:val="22"/>
              </w:rPr>
              <w:t>0.207</w:t>
            </w:r>
            <w:r w:rsidRPr="008669C3">
              <w:rPr>
                <w:sz w:val="20"/>
                <w:szCs w:val="22"/>
              </w:rPr>
              <w:t>*</w:t>
            </w:r>
          </w:p>
          <w:p w14:paraId="4C274C8D" w14:textId="77777777" w:rsidR="001C1BBC" w:rsidRPr="008669C3" w:rsidRDefault="001C1BBC" w:rsidP="00C55246">
            <w:pPr>
              <w:jc w:val="center"/>
              <w:rPr>
                <w:sz w:val="22"/>
                <w:szCs w:val="22"/>
              </w:rPr>
            </w:pPr>
            <w:r w:rsidRPr="008669C3">
              <w:rPr>
                <w:sz w:val="22"/>
                <w:szCs w:val="22"/>
              </w:rPr>
              <w:t>(0.112)</w:t>
            </w:r>
          </w:p>
        </w:tc>
      </w:tr>
      <w:tr w:rsidR="001C1BBC" w:rsidRPr="008669C3" w14:paraId="58F511E7" w14:textId="77777777" w:rsidTr="00C55246">
        <w:trPr>
          <w:trHeight w:val="300"/>
        </w:trPr>
        <w:tc>
          <w:tcPr>
            <w:tcW w:w="271" w:type="pct"/>
            <w:tcBorders>
              <w:top w:val="nil"/>
              <w:left w:val="nil"/>
              <w:bottom w:val="nil"/>
              <w:right w:val="nil"/>
            </w:tcBorders>
            <w:shd w:val="clear" w:color="auto" w:fill="auto"/>
            <w:noWrap/>
            <w:vAlign w:val="bottom"/>
            <w:hideMark/>
          </w:tcPr>
          <w:p w14:paraId="01F3C5C2" w14:textId="77777777" w:rsidR="001C1BBC" w:rsidRPr="008669C3" w:rsidRDefault="001C1BBC" w:rsidP="00C55246">
            <w:pPr>
              <w:jc w:val="center"/>
              <w:rPr>
                <w:sz w:val="22"/>
                <w:szCs w:val="22"/>
              </w:rPr>
            </w:pPr>
            <w:r w:rsidRPr="008669C3">
              <w:rPr>
                <w:sz w:val="22"/>
                <w:szCs w:val="22"/>
              </w:rPr>
              <w:t>(5)</w:t>
            </w:r>
          </w:p>
          <w:p w14:paraId="7FF656B9" w14:textId="77777777" w:rsidR="001C1BBC" w:rsidRPr="008669C3" w:rsidRDefault="001C1BBC" w:rsidP="00C55246">
            <w:pPr>
              <w:jc w:val="center"/>
              <w:rPr>
                <w:sz w:val="22"/>
                <w:szCs w:val="22"/>
              </w:rPr>
            </w:pPr>
          </w:p>
        </w:tc>
        <w:tc>
          <w:tcPr>
            <w:tcW w:w="2933" w:type="pct"/>
            <w:tcBorders>
              <w:top w:val="nil"/>
              <w:left w:val="nil"/>
              <w:bottom w:val="nil"/>
              <w:right w:val="nil"/>
            </w:tcBorders>
            <w:shd w:val="clear" w:color="auto" w:fill="auto"/>
            <w:noWrap/>
            <w:vAlign w:val="bottom"/>
            <w:hideMark/>
          </w:tcPr>
          <w:p w14:paraId="286A00B4" w14:textId="77777777" w:rsidR="001C1BBC" w:rsidRPr="008669C3" w:rsidRDefault="001C1BBC" w:rsidP="00C55246">
            <w:pPr>
              <w:rPr>
                <w:sz w:val="22"/>
                <w:szCs w:val="22"/>
              </w:rPr>
            </w:pPr>
            <w:r w:rsidRPr="008669C3">
              <w:rPr>
                <w:sz w:val="22"/>
                <w:szCs w:val="22"/>
              </w:rPr>
              <w:t>Replace industry-year with year FE</w:t>
            </w:r>
          </w:p>
          <w:p w14:paraId="05A9CFC9" w14:textId="77777777" w:rsidR="001C1BBC" w:rsidRPr="008669C3" w:rsidRDefault="001C1BBC" w:rsidP="00C55246">
            <w:pPr>
              <w:rPr>
                <w:sz w:val="22"/>
                <w:szCs w:val="22"/>
              </w:rPr>
            </w:pPr>
          </w:p>
        </w:tc>
        <w:tc>
          <w:tcPr>
            <w:tcW w:w="649" w:type="pct"/>
            <w:tcBorders>
              <w:top w:val="nil"/>
              <w:left w:val="nil"/>
              <w:bottom w:val="nil"/>
              <w:right w:val="nil"/>
            </w:tcBorders>
            <w:shd w:val="clear" w:color="auto" w:fill="auto"/>
            <w:noWrap/>
            <w:vAlign w:val="bottom"/>
            <w:hideMark/>
          </w:tcPr>
          <w:p w14:paraId="5E95160E" w14:textId="77777777" w:rsidR="001C1BBC" w:rsidRPr="008669C3" w:rsidRDefault="001C1BBC" w:rsidP="00C55246">
            <w:pPr>
              <w:jc w:val="center"/>
              <w:rPr>
                <w:sz w:val="20"/>
                <w:szCs w:val="22"/>
              </w:rPr>
            </w:pPr>
            <w:r w:rsidRPr="008669C3">
              <w:rPr>
                <w:sz w:val="22"/>
                <w:szCs w:val="22"/>
              </w:rPr>
              <w:t>0.234</w:t>
            </w:r>
            <w:r w:rsidRPr="008669C3">
              <w:rPr>
                <w:sz w:val="20"/>
                <w:szCs w:val="22"/>
              </w:rPr>
              <w:t>*</w:t>
            </w:r>
          </w:p>
          <w:p w14:paraId="187BEE3B" w14:textId="77777777" w:rsidR="001C1BBC" w:rsidRPr="008669C3" w:rsidRDefault="001C1BBC" w:rsidP="00C55246">
            <w:pPr>
              <w:jc w:val="center"/>
              <w:rPr>
                <w:sz w:val="22"/>
                <w:szCs w:val="22"/>
              </w:rPr>
            </w:pPr>
            <w:r w:rsidRPr="008669C3">
              <w:rPr>
                <w:sz w:val="22"/>
                <w:szCs w:val="22"/>
              </w:rPr>
              <w:t>(0.113)</w:t>
            </w:r>
          </w:p>
        </w:tc>
        <w:tc>
          <w:tcPr>
            <w:tcW w:w="184" w:type="pct"/>
            <w:tcBorders>
              <w:top w:val="nil"/>
              <w:left w:val="nil"/>
              <w:bottom w:val="nil"/>
              <w:right w:val="nil"/>
            </w:tcBorders>
            <w:shd w:val="clear" w:color="auto" w:fill="auto"/>
            <w:noWrap/>
            <w:vAlign w:val="bottom"/>
            <w:hideMark/>
          </w:tcPr>
          <w:p w14:paraId="656F0A6C" w14:textId="77777777" w:rsidR="001C1BBC" w:rsidRPr="008669C3" w:rsidRDefault="001C1BBC" w:rsidP="00C55246">
            <w:pPr>
              <w:jc w:val="center"/>
              <w:rPr>
                <w:sz w:val="22"/>
                <w:szCs w:val="22"/>
              </w:rPr>
            </w:pPr>
          </w:p>
        </w:tc>
        <w:tc>
          <w:tcPr>
            <w:tcW w:w="963" w:type="pct"/>
            <w:tcBorders>
              <w:top w:val="nil"/>
              <w:left w:val="nil"/>
              <w:bottom w:val="nil"/>
              <w:right w:val="nil"/>
            </w:tcBorders>
            <w:shd w:val="clear" w:color="auto" w:fill="auto"/>
            <w:noWrap/>
            <w:vAlign w:val="bottom"/>
            <w:hideMark/>
          </w:tcPr>
          <w:p w14:paraId="6FEFCBE4" w14:textId="77777777" w:rsidR="001C1BBC" w:rsidRPr="008669C3" w:rsidRDefault="001C1BBC" w:rsidP="00C55246">
            <w:pPr>
              <w:jc w:val="center"/>
              <w:rPr>
                <w:sz w:val="22"/>
                <w:szCs w:val="22"/>
              </w:rPr>
            </w:pPr>
            <w:r w:rsidRPr="008669C3">
              <w:rPr>
                <w:sz w:val="22"/>
                <w:szCs w:val="22"/>
              </w:rPr>
              <w:t>0.263</w:t>
            </w:r>
            <w:r w:rsidRPr="008669C3">
              <w:rPr>
                <w:sz w:val="20"/>
                <w:szCs w:val="22"/>
              </w:rPr>
              <w:t>**</w:t>
            </w:r>
          </w:p>
          <w:p w14:paraId="5D6DD0EE" w14:textId="77777777" w:rsidR="001C1BBC" w:rsidRPr="008669C3" w:rsidRDefault="001C1BBC" w:rsidP="00C55246">
            <w:pPr>
              <w:jc w:val="center"/>
              <w:rPr>
                <w:sz w:val="22"/>
                <w:szCs w:val="22"/>
              </w:rPr>
            </w:pPr>
            <w:r w:rsidRPr="008669C3">
              <w:rPr>
                <w:sz w:val="22"/>
                <w:szCs w:val="22"/>
              </w:rPr>
              <w:t>(0.099)</w:t>
            </w:r>
          </w:p>
        </w:tc>
      </w:tr>
      <w:tr w:rsidR="001C1BBC" w:rsidRPr="008669C3" w14:paraId="03807800" w14:textId="77777777" w:rsidTr="00C55246">
        <w:trPr>
          <w:trHeight w:val="261"/>
        </w:trPr>
        <w:tc>
          <w:tcPr>
            <w:tcW w:w="271" w:type="pct"/>
            <w:tcBorders>
              <w:top w:val="nil"/>
              <w:left w:val="nil"/>
              <w:bottom w:val="nil"/>
              <w:right w:val="nil"/>
            </w:tcBorders>
            <w:shd w:val="clear" w:color="auto" w:fill="auto"/>
            <w:noWrap/>
            <w:vAlign w:val="bottom"/>
            <w:hideMark/>
          </w:tcPr>
          <w:p w14:paraId="4CBCA3C8" w14:textId="77777777" w:rsidR="001C1BBC" w:rsidRPr="008669C3" w:rsidRDefault="001C1BBC" w:rsidP="00C55246">
            <w:pPr>
              <w:jc w:val="center"/>
              <w:rPr>
                <w:sz w:val="22"/>
                <w:szCs w:val="22"/>
              </w:rPr>
            </w:pPr>
            <w:r w:rsidRPr="008669C3">
              <w:rPr>
                <w:sz w:val="22"/>
                <w:szCs w:val="22"/>
              </w:rPr>
              <w:t>(6)</w:t>
            </w:r>
          </w:p>
          <w:p w14:paraId="7BE419D4" w14:textId="77777777" w:rsidR="001C1BBC" w:rsidRPr="008669C3" w:rsidRDefault="001C1BBC" w:rsidP="00C55246">
            <w:pPr>
              <w:jc w:val="center"/>
              <w:rPr>
                <w:sz w:val="22"/>
                <w:szCs w:val="22"/>
              </w:rPr>
            </w:pPr>
          </w:p>
        </w:tc>
        <w:tc>
          <w:tcPr>
            <w:tcW w:w="2933" w:type="pct"/>
            <w:tcBorders>
              <w:top w:val="nil"/>
              <w:left w:val="nil"/>
              <w:bottom w:val="nil"/>
              <w:right w:val="nil"/>
            </w:tcBorders>
            <w:shd w:val="clear" w:color="auto" w:fill="auto"/>
            <w:noWrap/>
            <w:vAlign w:val="bottom"/>
            <w:hideMark/>
          </w:tcPr>
          <w:p w14:paraId="78BFC29D" w14:textId="77777777" w:rsidR="001C1BBC" w:rsidRPr="008669C3" w:rsidRDefault="001C1BBC" w:rsidP="00C55246">
            <w:pPr>
              <w:rPr>
                <w:sz w:val="22"/>
                <w:szCs w:val="22"/>
              </w:rPr>
            </w:pPr>
            <w:r w:rsidRPr="008669C3">
              <w:rPr>
                <w:sz w:val="22"/>
                <w:szCs w:val="22"/>
              </w:rPr>
              <w:t>Cluster by industry</w:t>
            </w:r>
          </w:p>
          <w:p w14:paraId="6F99F0C0" w14:textId="77777777" w:rsidR="001C1BBC" w:rsidRPr="008669C3" w:rsidRDefault="001C1BBC" w:rsidP="00C55246">
            <w:pPr>
              <w:rPr>
                <w:sz w:val="22"/>
                <w:szCs w:val="22"/>
              </w:rPr>
            </w:pPr>
          </w:p>
        </w:tc>
        <w:tc>
          <w:tcPr>
            <w:tcW w:w="649" w:type="pct"/>
            <w:tcBorders>
              <w:top w:val="nil"/>
              <w:left w:val="nil"/>
              <w:bottom w:val="nil"/>
              <w:right w:val="nil"/>
            </w:tcBorders>
            <w:shd w:val="clear" w:color="auto" w:fill="auto"/>
            <w:noWrap/>
            <w:vAlign w:val="bottom"/>
            <w:hideMark/>
          </w:tcPr>
          <w:p w14:paraId="7FB5EF5B" w14:textId="77777777" w:rsidR="001C1BBC" w:rsidRPr="008669C3" w:rsidRDefault="001C1BBC" w:rsidP="00C55246">
            <w:pPr>
              <w:jc w:val="center"/>
              <w:rPr>
                <w:sz w:val="22"/>
                <w:szCs w:val="22"/>
              </w:rPr>
            </w:pPr>
            <w:r w:rsidRPr="008669C3">
              <w:rPr>
                <w:sz w:val="22"/>
                <w:szCs w:val="22"/>
              </w:rPr>
              <w:t>0.328</w:t>
            </w:r>
            <w:r w:rsidRPr="008669C3">
              <w:rPr>
                <w:sz w:val="20"/>
                <w:szCs w:val="22"/>
              </w:rPr>
              <w:t>**</w:t>
            </w:r>
          </w:p>
          <w:p w14:paraId="01AC6EC6" w14:textId="77777777" w:rsidR="001C1BBC" w:rsidRPr="008669C3" w:rsidRDefault="001C1BBC" w:rsidP="00C55246">
            <w:pPr>
              <w:jc w:val="center"/>
              <w:rPr>
                <w:sz w:val="22"/>
                <w:szCs w:val="22"/>
              </w:rPr>
            </w:pPr>
            <w:r w:rsidRPr="008669C3">
              <w:rPr>
                <w:sz w:val="22"/>
                <w:szCs w:val="22"/>
              </w:rPr>
              <w:t>(0.152)</w:t>
            </w:r>
          </w:p>
        </w:tc>
        <w:tc>
          <w:tcPr>
            <w:tcW w:w="184" w:type="pct"/>
            <w:tcBorders>
              <w:top w:val="nil"/>
              <w:left w:val="nil"/>
              <w:bottom w:val="nil"/>
              <w:right w:val="nil"/>
            </w:tcBorders>
            <w:shd w:val="clear" w:color="auto" w:fill="auto"/>
            <w:noWrap/>
            <w:vAlign w:val="bottom"/>
            <w:hideMark/>
          </w:tcPr>
          <w:p w14:paraId="4F224705" w14:textId="77777777" w:rsidR="001C1BBC" w:rsidRPr="008669C3" w:rsidRDefault="001C1BBC" w:rsidP="00C55246">
            <w:pPr>
              <w:jc w:val="center"/>
              <w:rPr>
                <w:sz w:val="22"/>
                <w:szCs w:val="22"/>
              </w:rPr>
            </w:pPr>
          </w:p>
        </w:tc>
        <w:tc>
          <w:tcPr>
            <w:tcW w:w="963" w:type="pct"/>
            <w:tcBorders>
              <w:top w:val="nil"/>
              <w:left w:val="nil"/>
              <w:bottom w:val="nil"/>
              <w:right w:val="nil"/>
            </w:tcBorders>
            <w:shd w:val="clear" w:color="auto" w:fill="auto"/>
            <w:noWrap/>
            <w:vAlign w:val="bottom"/>
            <w:hideMark/>
          </w:tcPr>
          <w:p w14:paraId="710B6149" w14:textId="77777777" w:rsidR="001C1BBC" w:rsidRPr="008669C3" w:rsidRDefault="001C1BBC" w:rsidP="00C55246">
            <w:pPr>
              <w:jc w:val="center"/>
              <w:rPr>
                <w:sz w:val="22"/>
                <w:szCs w:val="22"/>
              </w:rPr>
            </w:pPr>
            <w:r w:rsidRPr="008669C3">
              <w:rPr>
                <w:sz w:val="22"/>
                <w:szCs w:val="22"/>
              </w:rPr>
              <w:t>0.291</w:t>
            </w:r>
            <w:r w:rsidRPr="008669C3">
              <w:rPr>
                <w:sz w:val="20"/>
                <w:szCs w:val="22"/>
              </w:rPr>
              <w:t>***</w:t>
            </w:r>
          </w:p>
          <w:p w14:paraId="5CA00F86" w14:textId="77777777" w:rsidR="001C1BBC" w:rsidRPr="008669C3" w:rsidRDefault="001C1BBC" w:rsidP="00C55246">
            <w:pPr>
              <w:jc w:val="center"/>
              <w:rPr>
                <w:sz w:val="22"/>
                <w:szCs w:val="22"/>
              </w:rPr>
            </w:pPr>
            <w:r w:rsidRPr="008669C3">
              <w:rPr>
                <w:sz w:val="22"/>
                <w:szCs w:val="22"/>
              </w:rPr>
              <w:t>(0.088)</w:t>
            </w:r>
          </w:p>
        </w:tc>
      </w:tr>
      <w:tr w:rsidR="001C1BBC" w:rsidRPr="008669C3" w14:paraId="5925444E" w14:textId="77777777" w:rsidTr="00C55246">
        <w:trPr>
          <w:trHeight w:val="300"/>
        </w:trPr>
        <w:tc>
          <w:tcPr>
            <w:tcW w:w="271" w:type="pct"/>
            <w:tcBorders>
              <w:top w:val="nil"/>
              <w:left w:val="nil"/>
              <w:bottom w:val="single" w:sz="4" w:space="0" w:color="auto"/>
              <w:right w:val="nil"/>
            </w:tcBorders>
            <w:shd w:val="clear" w:color="auto" w:fill="auto"/>
            <w:noWrap/>
            <w:vAlign w:val="bottom"/>
            <w:hideMark/>
          </w:tcPr>
          <w:p w14:paraId="72885630" w14:textId="77777777" w:rsidR="001C1BBC" w:rsidRPr="008669C3" w:rsidRDefault="001C1BBC" w:rsidP="00C55246">
            <w:pPr>
              <w:jc w:val="center"/>
              <w:rPr>
                <w:sz w:val="22"/>
                <w:szCs w:val="22"/>
              </w:rPr>
            </w:pPr>
            <w:r w:rsidRPr="008669C3">
              <w:rPr>
                <w:sz w:val="22"/>
                <w:szCs w:val="22"/>
              </w:rPr>
              <w:t>(7)</w:t>
            </w:r>
          </w:p>
          <w:p w14:paraId="735F667F" w14:textId="77777777" w:rsidR="001C1BBC" w:rsidRPr="008669C3" w:rsidRDefault="001C1BBC" w:rsidP="00C55246">
            <w:pPr>
              <w:jc w:val="center"/>
              <w:rPr>
                <w:sz w:val="22"/>
                <w:szCs w:val="22"/>
              </w:rPr>
            </w:pPr>
          </w:p>
        </w:tc>
        <w:tc>
          <w:tcPr>
            <w:tcW w:w="2933" w:type="pct"/>
            <w:tcBorders>
              <w:top w:val="nil"/>
              <w:left w:val="nil"/>
              <w:bottom w:val="single" w:sz="4" w:space="0" w:color="auto"/>
              <w:right w:val="nil"/>
            </w:tcBorders>
            <w:shd w:val="clear" w:color="auto" w:fill="auto"/>
            <w:noWrap/>
            <w:vAlign w:val="bottom"/>
            <w:hideMark/>
          </w:tcPr>
          <w:p w14:paraId="2DEC081B" w14:textId="77777777" w:rsidR="001C1BBC" w:rsidRPr="008669C3" w:rsidRDefault="001C1BBC" w:rsidP="00C55246">
            <w:pPr>
              <w:rPr>
                <w:sz w:val="22"/>
                <w:szCs w:val="22"/>
              </w:rPr>
            </w:pPr>
            <w:r w:rsidRPr="008669C3">
              <w:rPr>
                <w:sz w:val="22"/>
                <w:szCs w:val="22"/>
              </w:rPr>
              <w:t>Cluster by industry and year</w:t>
            </w:r>
          </w:p>
          <w:p w14:paraId="52FFB1EC" w14:textId="77777777" w:rsidR="001C1BBC" w:rsidRPr="008669C3" w:rsidRDefault="001C1BBC" w:rsidP="00C55246">
            <w:pPr>
              <w:rPr>
                <w:sz w:val="22"/>
                <w:szCs w:val="22"/>
              </w:rPr>
            </w:pPr>
          </w:p>
        </w:tc>
        <w:tc>
          <w:tcPr>
            <w:tcW w:w="649" w:type="pct"/>
            <w:tcBorders>
              <w:top w:val="nil"/>
              <w:left w:val="nil"/>
              <w:bottom w:val="single" w:sz="4" w:space="0" w:color="auto"/>
              <w:right w:val="nil"/>
            </w:tcBorders>
            <w:shd w:val="clear" w:color="auto" w:fill="auto"/>
            <w:noWrap/>
            <w:vAlign w:val="bottom"/>
            <w:hideMark/>
          </w:tcPr>
          <w:p w14:paraId="36599AD4" w14:textId="77777777" w:rsidR="001C1BBC" w:rsidRPr="008669C3" w:rsidRDefault="001C1BBC" w:rsidP="00C55246">
            <w:pPr>
              <w:jc w:val="center"/>
              <w:rPr>
                <w:sz w:val="22"/>
                <w:szCs w:val="22"/>
              </w:rPr>
            </w:pPr>
            <w:r w:rsidRPr="008669C3">
              <w:rPr>
                <w:sz w:val="22"/>
                <w:szCs w:val="22"/>
              </w:rPr>
              <w:t>0.328</w:t>
            </w:r>
            <w:r w:rsidRPr="008669C3">
              <w:rPr>
                <w:sz w:val="20"/>
                <w:szCs w:val="22"/>
              </w:rPr>
              <w:t>**</w:t>
            </w:r>
          </w:p>
          <w:p w14:paraId="269586AB" w14:textId="77777777" w:rsidR="001C1BBC" w:rsidRPr="008669C3" w:rsidRDefault="001C1BBC" w:rsidP="00C55246">
            <w:pPr>
              <w:jc w:val="center"/>
              <w:rPr>
                <w:sz w:val="22"/>
                <w:szCs w:val="22"/>
              </w:rPr>
            </w:pPr>
            <w:r w:rsidRPr="008669C3">
              <w:rPr>
                <w:sz w:val="22"/>
                <w:szCs w:val="22"/>
              </w:rPr>
              <w:t>(0.139)</w:t>
            </w:r>
          </w:p>
        </w:tc>
        <w:tc>
          <w:tcPr>
            <w:tcW w:w="184" w:type="pct"/>
            <w:tcBorders>
              <w:top w:val="nil"/>
              <w:left w:val="nil"/>
              <w:bottom w:val="single" w:sz="4" w:space="0" w:color="auto"/>
              <w:right w:val="nil"/>
            </w:tcBorders>
            <w:shd w:val="clear" w:color="auto" w:fill="auto"/>
            <w:noWrap/>
            <w:vAlign w:val="bottom"/>
            <w:hideMark/>
          </w:tcPr>
          <w:p w14:paraId="515C04D1" w14:textId="77777777" w:rsidR="001C1BBC" w:rsidRPr="008669C3" w:rsidRDefault="001C1BBC" w:rsidP="00C55246">
            <w:pPr>
              <w:rPr>
                <w:sz w:val="22"/>
                <w:szCs w:val="22"/>
              </w:rPr>
            </w:pPr>
            <w:r w:rsidRPr="008669C3">
              <w:rPr>
                <w:sz w:val="22"/>
                <w:szCs w:val="22"/>
              </w:rPr>
              <w:t> </w:t>
            </w:r>
          </w:p>
        </w:tc>
        <w:tc>
          <w:tcPr>
            <w:tcW w:w="963" w:type="pct"/>
            <w:tcBorders>
              <w:top w:val="nil"/>
              <w:left w:val="nil"/>
              <w:bottom w:val="single" w:sz="4" w:space="0" w:color="auto"/>
              <w:right w:val="nil"/>
            </w:tcBorders>
            <w:shd w:val="clear" w:color="auto" w:fill="auto"/>
            <w:noWrap/>
            <w:vAlign w:val="bottom"/>
            <w:hideMark/>
          </w:tcPr>
          <w:p w14:paraId="5231B6B1" w14:textId="77777777" w:rsidR="001C1BBC" w:rsidRPr="008669C3" w:rsidRDefault="001C1BBC" w:rsidP="00C55246">
            <w:pPr>
              <w:jc w:val="center"/>
              <w:rPr>
                <w:sz w:val="22"/>
                <w:szCs w:val="22"/>
              </w:rPr>
            </w:pPr>
            <w:r w:rsidRPr="008669C3">
              <w:rPr>
                <w:sz w:val="22"/>
                <w:szCs w:val="22"/>
              </w:rPr>
              <w:t>0.291</w:t>
            </w:r>
            <w:r w:rsidRPr="008669C3">
              <w:rPr>
                <w:sz w:val="20"/>
                <w:szCs w:val="22"/>
              </w:rPr>
              <w:t>**</w:t>
            </w:r>
          </w:p>
          <w:p w14:paraId="583A8C4D" w14:textId="77777777" w:rsidR="001C1BBC" w:rsidRPr="008669C3" w:rsidRDefault="001C1BBC" w:rsidP="00C55246">
            <w:pPr>
              <w:jc w:val="center"/>
              <w:rPr>
                <w:sz w:val="22"/>
                <w:szCs w:val="22"/>
              </w:rPr>
            </w:pPr>
            <w:r w:rsidRPr="008669C3">
              <w:rPr>
                <w:sz w:val="22"/>
                <w:szCs w:val="22"/>
              </w:rPr>
              <w:t>(0.098)</w:t>
            </w:r>
          </w:p>
        </w:tc>
      </w:tr>
    </w:tbl>
    <w:p w14:paraId="05BA587B" w14:textId="77777777" w:rsidR="001C1BBC" w:rsidRPr="008669C3" w:rsidRDefault="001C1BBC" w:rsidP="001C1BBC">
      <w:pPr>
        <w:autoSpaceDE w:val="0"/>
        <w:autoSpaceDN w:val="0"/>
        <w:adjustRightInd w:val="0"/>
        <w:rPr>
          <w:color w:val="FF0000"/>
        </w:rPr>
      </w:pPr>
    </w:p>
    <w:p w14:paraId="32BBA851" w14:textId="77777777" w:rsidR="006F48F9" w:rsidRPr="008669C3" w:rsidRDefault="006F48F9" w:rsidP="000276F6">
      <w:pPr>
        <w:autoSpaceDE w:val="0"/>
        <w:autoSpaceDN w:val="0"/>
        <w:adjustRightInd w:val="0"/>
        <w:rPr>
          <w:color w:val="FF0000"/>
        </w:rPr>
      </w:pPr>
    </w:p>
    <w:p w14:paraId="6434FF92" w14:textId="77777777" w:rsidR="006F48F9" w:rsidRPr="008669C3" w:rsidRDefault="006F48F9" w:rsidP="000276F6">
      <w:pPr>
        <w:autoSpaceDE w:val="0"/>
        <w:autoSpaceDN w:val="0"/>
        <w:adjustRightInd w:val="0"/>
        <w:rPr>
          <w:color w:val="FF0000"/>
        </w:rPr>
      </w:pPr>
    </w:p>
    <w:p w14:paraId="68FD1DAB" w14:textId="77777777" w:rsidR="00C32B23" w:rsidRPr="008669C3" w:rsidRDefault="00C32B23" w:rsidP="000276F6">
      <w:pPr>
        <w:autoSpaceDE w:val="0"/>
        <w:autoSpaceDN w:val="0"/>
        <w:adjustRightInd w:val="0"/>
        <w:rPr>
          <w:color w:val="FF0000"/>
        </w:rPr>
      </w:pPr>
    </w:p>
    <w:p w14:paraId="603D5D34" w14:textId="77777777" w:rsidR="006F48F9" w:rsidRPr="008669C3" w:rsidRDefault="006F48F9" w:rsidP="000276F6">
      <w:pPr>
        <w:autoSpaceDE w:val="0"/>
        <w:autoSpaceDN w:val="0"/>
        <w:adjustRightInd w:val="0"/>
        <w:rPr>
          <w:color w:val="FF0000"/>
        </w:rPr>
      </w:pPr>
    </w:p>
    <w:p w14:paraId="26204F23" w14:textId="77777777" w:rsidR="001C1BBC" w:rsidRPr="008669C3" w:rsidRDefault="001C1BBC" w:rsidP="006F48F9">
      <w:pPr>
        <w:jc w:val="center"/>
      </w:pPr>
    </w:p>
    <w:p w14:paraId="4088AE2F" w14:textId="77777777" w:rsidR="001C1BBC" w:rsidRPr="008669C3" w:rsidRDefault="001C1BBC" w:rsidP="006F48F9">
      <w:pPr>
        <w:jc w:val="center"/>
      </w:pPr>
    </w:p>
    <w:p w14:paraId="568F0AF4" w14:textId="77777777" w:rsidR="001C1BBC" w:rsidRPr="008669C3" w:rsidRDefault="001C1BBC" w:rsidP="006F48F9">
      <w:pPr>
        <w:jc w:val="center"/>
      </w:pPr>
    </w:p>
    <w:p w14:paraId="48A4103A" w14:textId="77777777" w:rsidR="001C1BBC" w:rsidRPr="008669C3" w:rsidRDefault="001C1BBC" w:rsidP="006F48F9">
      <w:pPr>
        <w:jc w:val="center"/>
      </w:pPr>
    </w:p>
    <w:p w14:paraId="14BCEBE2" w14:textId="17F0B7FC" w:rsidR="006F48F9" w:rsidRPr="008669C3" w:rsidRDefault="006F48F9" w:rsidP="006F48F9">
      <w:pPr>
        <w:jc w:val="center"/>
        <w:rPr>
          <w:b/>
        </w:rPr>
      </w:pPr>
      <w:r w:rsidRPr="008669C3">
        <w:rPr>
          <w:b/>
        </w:rPr>
        <w:t xml:space="preserve">Table </w:t>
      </w:r>
      <w:r w:rsidR="00C32B23" w:rsidRPr="008669C3">
        <w:rPr>
          <w:b/>
        </w:rPr>
        <w:t>A.</w:t>
      </w:r>
      <w:r w:rsidR="001C1BBC" w:rsidRPr="008669C3">
        <w:rPr>
          <w:b/>
        </w:rPr>
        <w:t>2</w:t>
      </w:r>
    </w:p>
    <w:p w14:paraId="2EB1FB38" w14:textId="0E4B869A" w:rsidR="006F48F9" w:rsidRPr="008669C3" w:rsidRDefault="006F48F9" w:rsidP="006F48F9">
      <w:pPr>
        <w:jc w:val="center"/>
      </w:pPr>
      <w:r w:rsidRPr="008669C3">
        <w:t>Firm transparency and the relation between CDS introduction and vega</w:t>
      </w:r>
    </w:p>
    <w:p w14:paraId="7CFF5D12" w14:textId="77777777" w:rsidR="006F48F9" w:rsidRPr="008669C3" w:rsidRDefault="006F48F9" w:rsidP="006F48F9">
      <w:pPr>
        <w:jc w:val="both"/>
        <w:rPr>
          <w:color w:val="FF0000"/>
        </w:rPr>
      </w:pPr>
    </w:p>
    <w:p w14:paraId="6BA2718C" w14:textId="444DA514" w:rsidR="006F48F9" w:rsidRPr="008669C3" w:rsidRDefault="006F48F9" w:rsidP="006F48F9">
      <w:pPr>
        <w:jc w:val="both"/>
        <w:rPr>
          <w:sz w:val="20"/>
          <w:szCs w:val="20"/>
        </w:rPr>
      </w:pPr>
      <w:r w:rsidRPr="008669C3">
        <w:rPr>
          <w:sz w:val="20"/>
          <w:szCs w:val="20"/>
        </w:rPr>
        <w:t xml:space="preserve">This table </w:t>
      </w:r>
      <w:r w:rsidR="002D6736" w:rsidRPr="008669C3">
        <w:rPr>
          <w:sz w:val="20"/>
          <w:szCs w:val="20"/>
        </w:rPr>
        <w:t xml:space="preserve">examines whether firm transparency affects the relation between </w:t>
      </w:r>
      <w:r w:rsidRPr="008669C3">
        <w:rPr>
          <w:sz w:val="20"/>
          <w:szCs w:val="20"/>
        </w:rPr>
        <w:t xml:space="preserve">CDS introduction </w:t>
      </w:r>
      <w:r w:rsidR="002D6736" w:rsidRPr="008669C3">
        <w:rPr>
          <w:sz w:val="20"/>
          <w:szCs w:val="20"/>
        </w:rPr>
        <w:t>and</w:t>
      </w:r>
      <w:r w:rsidRPr="008669C3">
        <w:rPr>
          <w:sz w:val="20"/>
          <w:szCs w:val="20"/>
        </w:rPr>
        <w:t xml:space="preserve"> CEO vega. The dependent variable is the natural logarithm of one plus </w:t>
      </w:r>
      <w:r w:rsidRPr="008669C3">
        <w:rPr>
          <w:i/>
          <w:sz w:val="20"/>
          <w:szCs w:val="20"/>
        </w:rPr>
        <w:t>Vega</w:t>
      </w:r>
      <w:r w:rsidRPr="008669C3">
        <w:rPr>
          <w:sz w:val="20"/>
          <w:szCs w:val="20"/>
        </w:rPr>
        <w:t xml:space="preserve">, where </w:t>
      </w:r>
      <w:r w:rsidRPr="008669C3">
        <w:rPr>
          <w:i/>
          <w:sz w:val="20"/>
          <w:szCs w:val="20"/>
        </w:rPr>
        <w:t>Vega</w:t>
      </w:r>
      <w:r w:rsidRPr="008669C3">
        <w:rPr>
          <w:sz w:val="20"/>
          <w:szCs w:val="20"/>
        </w:rPr>
        <w:t xml:space="preserve"> is the change (in thousands of dollars) </w:t>
      </w:r>
      <w:r w:rsidR="000D37C2" w:rsidRPr="008669C3">
        <w:rPr>
          <w:sz w:val="20"/>
          <w:szCs w:val="20"/>
        </w:rPr>
        <w:t xml:space="preserve">in </w:t>
      </w:r>
      <w:r w:rsidRPr="008669C3">
        <w:rPr>
          <w:sz w:val="20"/>
          <w:szCs w:val="20"/>
        </w:rPr>
        <w:t xml:space="preserve">the value of the CEO’s wealth due to a 0.01 increase in the annualized standard deviation of the firm’s stock return. Our main variable of interest </w:t>
      </w:r>
      <w:r w:rsidRPr="008669C3">
        <w:rPr>
          <w:i/>
          <w:sz w:val="20"/>
          <w:szCs w:val="20"/>
        </w:rPr>
        <w:t>CDS trading</w:t>
      </w:r>
      <w:r w:rsidRPr="008669C3">
        <w:rPr>
          <w:sz w:val="20"/>
          <w:szCs w:val="20"/>
        </w:rPr>
        <w:t xml:space="preserve"> is an indicator variable that equals one for a CDS firm after the inception of the firm’s CDS trading and zero prior to it. We include the same set of control variables as in Table 4. The coefficient estimates for </w:t>
      </w:r>
      <w:r w:rsidR="008E495C" w:rsidRPr="008669C3">
        <w:rPr>
          <w:sz w:val="20"/>
          <w:szCs w:val="20"/>
        </w:rPr>
        <w:t xml:space="preserve">the </w:t>
      </w:r>
      <w:r w:rsidRPr="008669C3">
        <w:rPr>
          <w:sz w:val="20"/>
          <w:szCs w:val="20"/>
        </w:rPr>
        <w:t xml:space="preserve">control variables are suppressed for brevity. In each panel, we partition the sample based on whether the split variable is above or below the sample median. In addition to the split-sample analysis results, we also report the results from estimating specifications that include interaction terms </w:t>
      </w:r>
      <w:r w:rsidR="008E495C" w:rsidRPr="008669C3">
        <w:rPr>
          <w:sz w:val="20"/>
          <w:szCs w:val="20"/>
        </w:rPr>
        <w:t>based on</w:t>
      </w:r>
      <w:r w:rsidRPr="008669C3">
        <w:rPr>
          <w:sz w:val="20"/>
          <w:szCs w:val="20"/>
        </w:rPr>
        <w:t xml:space="preserve"> the whole sample.</w:t>
      </w:r>
      <w:r w:rsidR="00B03ABA" w:rsidRPr="008669C3">
        <w:rPr>
          <w:sz w:val="20"/>
          <w:szCs w:val="20"/>
        </w:rPr>
        <w:t xml:space="preserve"> </w:t>
      </w:r>
      <w:r w:rsidR="00B03ABA" w:rsidRPr="008669C3">
        <w:rPr>
          <w:i/>
          <w:sz w:val="20"/>
          <w:szCs w:val="20"/>
        </w:rPr>
        <w:t>Ln(Sales)</w:t>
      </w:r>
      <w:r w:rsidR="00B03ABA" w:rsidRPr="008669C3">
        <w:rPr>
          <w:sz w:val="20"/>
          <w:szCs w:val="20"/>
        </w:rPr>
        <w:t xml:space="preserve"> is the natural logarithm of sales. </w:t>
      </w:r>
      <w:r w:rsidR="00B03ABA" w:rsidRPr="008669C3">
        <w:rPr>
          <w:i/>
          <w:sz w:val="20"/>
          <w:szCs w:val="20"/>
        </w:rPr>
        <w:t>Analyst coverage</w:t>
      </w:r>
      <w:r w:rsidR="00B03ABA" w:rsidRPr="008669C3">
        <w:rPr>
          <w:sz w:val="20"/>
          <w:szCs w:val="20"/>
        </w:rPr>
        <w:t xml:space="preserve"> is the number of stock analysts. </w:t>
      </w:r>
      <w:r w:rsidR="00C32B23" w:rsidRPr="008669C3">
        <w:rPr>
          <w:i/>
          <w:sz w:val="20"/>
          <w:szCs w:val="20"/>
        </w:rPr>
        <w:t xml:space="preserve">Number of </w:t>
      </w:r>
      <w:r w:rsidR="00B03ABA" w:rsidRPr="008669C3">
        <w:rPr>
          <w:i/>
          <w:sz w:val="20"/>
          <w:szCs w:val="20"/>
        </w:rPr>
        <w:t>segments</w:t>
      </w:r>
      <w:r w:rsidR="00B03ABA" w:rsidRPr="008669C3">
        <w:rPr>
          <w:sz w:val="20"/>
          <w:szCs w:val="20"/>
        </w:rPr>
        <w:t xml:space="preserve"> is </w:t>
      </w:r>
      <w:r w:rsidR="00C32B23" w:rsidRPr="008669C3">
        <w:rPr>
          <w:sz w:val="20"/>
          <w:szCs w:val="20"/>
        </w:rPr>
        <w:t xml:space="preserve">the number of a firm’s business segments. We collect analyst coverage data from </w:t>
      </w:r>
      <w:r w:rsidR="008E495C" w:rsidRPr="008669C3">
        <w:rPr>
          <w:sz w:val="20"/>
          <w:szCs w:val="20"/>
        </w:rPr>
        <w:t>the I/B/E/S database</w:t>
      </w:r>
      <w:r w:rsidR="00C32B23" w:rsidRPr="008669C3">
        <w:rPr>
          <w:sz w:val="20"/>
          <w:szCs w:val="20"/>
        </w:rPr>
        <w:t xml:space="preserve"> and business segment data from Compustat. </w:t>
      </w:r>
      <w:r w:rsidRPr="008669C3">
        <w:rPr>
          <w:sz w:val="20"/>
          <w:szCs w:val="20"/>
        </w:rPr>
        <w:t>Industry-year effects are constructed based on the Fama-French 49-industry classification. Statistical significance is based on the heteroskedasticity robust firm-clustered standard errors reported in brackets. ***, **</w:t>
      </w:r>
      <w:r w:rsidR="005327DB" w:rsidRPr="008669C3">
        <w:rPr>
          <w:sz w:val="20"/>
          <w:szCs w:val="20"/>
        </w:rPr>
        <w:t>,</w:t>
      </w:r>
      <w:r w:rsidRPr="008669C3">
        <w:rPr>
          <w:sz w:val="20"/>
          <w:szCs w:val="20"/>
        </w:rPr>
        <w:t xml:space="preserve"> and * indicate significance at the 1%, 5%</w:t>
      </w:r>
      <w:r w:rsidR="000D37C2" w:rsidRPr="008669C3">
        <w:rPr>
          <w:sz w:val="20"/>
          <w:szCs w:val="20"/>
        </w:rPr>
        <w:t>,</w:t>
      </w:r>
      <w:r w:rsidRPr="008669C3">
        <w:rPr>
          <w:sz w:val="20"/>
          <w:szCs w:val="20"/>
        </w:rPr>
        <w:t xml:space="preserve"> and 10% level, respectively.</w:t>
      </w:r>
    </w:p>
    <w:tbl>
      <w:tblPr>
        <w:tblW w:w="5000" w:type="pct"/>
        <w:tblLook w:val="04A0" w:firstRow="1" w:lastRow="0" w:firstColumn="1" w:lastColumn="0" w:noHBand="0" w:noVBand="1"/>
      </w:tblPr>
      <w:tblGrid>
        <w:gridCol w:w="4624"/>
        <w:gridCol w:w="1488"/>
        <w:gridCol w:w="1534"/>
        <w:gridCol w:w="400"/>
        <w:gridCol w:w="1488"/>
        <w:gridCol w:w="1488"/>
        <w:gridCol w:w="400"/>
        <w:gridCol w:w="1264"/>
        <w:gridCol w:w="1488"/>
      </w:tblGrid>
      <w:tr w:rsidR="006F48F9" w:rsidRPr="008669C3" w14:paraId="745EC47E" w14:textId="77777777" w:rsidTr="005D0BF5">
        <w:trPr>
          <w:trHeight w:val="397"/>
        </w:trPr>
        <w:tc>
          <w:tcPr>
            <w:tcW w:w="1631" w:type="pct"/>
            <w:tcBorders>
              <w:top w:val="single" w:sz="4" w:space="0" w:color="auto"/>
              <w:left w:val="nil"/>
              <w:bottom w:val="single" w:sz="4" w:space="0" w:color="auto"/>
              <w:right w:val="nil"/>
            </w:tcBorders>
            <w:shd w:val="clear" w:color="auto" w:fill="auto"/>
            <w:noWrap/>
            <w:vAlign w:val="bottom"/>
          </w:tcPr>
          <w:p w14:paraId="51EB0B5C" w14:textId="77777777" w:rsidR="006F48F9" w:rsidRPr="008669C3" w:rsidRDefault="006F48F9" w:rsidP="005D0BF5">
            <w:pPr>
              <w:rPr>
                <w:i/>
                <w:color w:val="000000"/>
                <w:sz w:val="22"/>
              </w:rPr>
            </w:pPr>
          </w:p>
        </w:tc>
        <w:tc>
          <w:tcPr>
            <w:tcW w:w="3369" w:type="pct"/>
            <w:gridSpan w:val="8"/>
            <w:tcBorders>
              <w:top w:val="single" w:sz="4" w:space="0" w:color="auto"/>
              <w:left w:val="nil"/>
              <w:bottom w:val="single" w:sz="4" w:space="0" w:color="auto"/>
              <w:right w:val="nil"/>
            </w:tcBorders>
            <w:shd w:val="clear" w:color="auto" w:fill="auto"/>
            <w:noWrap/>
            <w:vAlign w:val="center"/>
          </w:tcPr>
          <w:p w14:paraId="411F99DF" w14:textId="77777777" w:rsidR="006F48F9" w:rsidRPr="008669C3" w:rsidRDefault="006F48F9" w:rsidP="005D0BF5">
            <w:pPr>
              <w:jc w:val="center"/>
              <w:rPr>
                <w:sz w:val="22"/>
                <w:szCs w:val="20"/>
              </w:rPr>
            </w:pPr>
            <w:r w:rsidRPr="008669C3">
              <w:rPr>
                <w:sz w:val="22"/>
                <w:szCs w:val="20"/>
              </w:rPr>
              <w:t xml:space="preserve">Dependent variable: </w:t>
            </w:r>
            <w:r w:rsidRPr="008669C3">
              <w:rPr>
                <w:i/>
                <w:iCs/>
                <w:sz w:val="22"/>
                <w:szCs w:val="20"/>
              </w:rPr>
              <w:t>Ln(1+Vega)</w:t>
            </w:r>
          </w:p>
        </w:tc>
      </w:tr>
      <w:tr w:rsidR="006F48F9" w:rsidRPr="008669C3" w14:paraId="15A7E698" w14:textId="77777777" w:rsidTr="005D0BF5">
        <w:trPr>
          <w:trHeight w:val="20"/>
        </w:trPr>
        <w:tc>
          <w:tcPr>
            <w:tcW w:w="1631" w:type="pct"/>
            <w:tcBorders>
              <w:top w:val="single" w:sz="4" w:space="0" w:color="auto"/>
              <w:left w:val="nil"/>
              <w:bottom w:val="nil"/>
              <w:right w:val="nil"/>
            </w:tcBorders>
            <w:shd w:val="clear" w:color="auto" w:fill="auto"/>
            <w:noWrap/>
            <w:vAlign w:val="bottom"/>
            <w:hideMark/>
          </w:tcPr>
          <w:p w14:paraId="72A516B9" w14:textId="77777777" w:rsidR="006F48F9" w:rsidRPr="008669C3" w:rsidRDefault="006F48F9" w:rsidP="005D0BF5">
            <w:pPr>
              <w:rPr>
                <w:i/>
                <w:color w:val="000000"/>
                <w:sz w:val="22"/>
              </w:rPr>
            </w:pPr>
            <w:r w:rsidRPr="008669C3">
              <w:rPr>
                <w:i/>
                <w:color w:val="000000"/>
                <w:sz w:val="22"/>
              </w:rPr>
              <w:t>Panel A: Based on firm size</w:t>
            </w:r>
          </w:p>
        </w:tc>
        <w:tc>
          <w:tcPr>
            <w:tcW w:w="525" w:type="pct"/>
            <w:tcBorders>
              <w:top w:val="single" w:sz="4" w:space="0" w:color="auto"/>
              <w:left w:val="nil"/>
              <w:bottom w:val="nil"/>
              <w:right w:val="nil"/>
            </w:tcBorders>
            <w:shd w:val="clear" w:color="auto" w:fill="auto"/>
            <w:noWrap/>
            <w:vAlign w:val="bottom"/>
            <w:hideMark/>
          </w:tcPr>
          <w:p w14:paraId="4265A846" w14:textId="77777777" w:rsidR="006F48F9" w:rsidRPr="008669C3" w:rsidRDefault="006F48F9" w:rsidP="005D0BF5">
            <w:pPr>
              <w:rPr>
                <w:color w:val="000000"/>
                <w:sz w:val="22"/>
              </w:rPr>
            </w:pPr>
          </w:p>
        </w:tc>
        <w:tc>
          <w:tcPr>
            <w:tcW w:w="541" w:type="pct"/>
            <w:tcBorders>
              <w:top w:val="single" w:sz="4" w:space="0" w:color="auto"/>
              <w:left w:val="nil"/>
              <w:bottom w:val="nil"/>
              <w:right w:val="nil"/>
            </w:tcBorders>
            <w:shd w:val="clear" w:color="auto" w:fill="auto"/>
            <w:noWrap/>
            <w:vAlign w:val="bottom"/>
            <w:hideMark/>
          </w:tcPr>
          <w:p w14:paraId="50F56304" w14:textId="77777777" w:rsidR="006F48F9" w:rsidRPr="008669C3" w:rsidRDefault="006F48F9" w:rsidP="005D0BF5">
            <w:pPr>
              <w:jc w:val="center"/>
              <w:rPr>
                <w:sz w:val="22"/>
                <w:szCs w:val="20"/>
              </w:rPr>
            </w:pPr>
          </w:p>
        </w:tc>
        <w:tc>
          <w:tcPr>
            <w:tcW w:w="141" w:type="pct"/>
            <w:tcBorders>
              <w:top w:val="single" w:sz="4" w:space="0" w:color="auto"/>
              <w:left w:val="nil"/>
              <w:bottom w:val="nil"/>
              <w:right w:val="nil"/>
            </w:tcBorders>
            <w:shd w:val="clear" w:color="auto" w:fill="auto"/>
            <w:noWrap/>
            <w:vAlign w:val="bottom"/>
            <w:hideMark/>
          </w:tcPr>
          <w:p w14:paraId="70E46545" w14:textId="77777777" w:rsidR="006F48F9" w:rsidRPr="008669C3" w:rsidRDefault="006F48F9" w:rsidP="005D0BF5">
            <w:pPr>
              <w:jc w:val="center"/>
              <w:rPr>
                <w:sz w:val="22"/>
                <w:szCs w:val="20"/>
              </w:rPr>
            </w:pPr>
          </w:p>
        </w:tc>
        <w:tc>
          <w:tcPr>
            <w:tcW w:w="525" w:type="pct"/>
            <w:tcBorders>
              <w:top w:val="single" w:sz="4" w:space="0" w:color="auto"/>
              <w:left w:val="nil"/>
              <w:bottom w:val="nil"/>
              <w:right w:val="nil"/>
            </w:tcBorders>
            <w:shd w:val="clear" w:color="auto" w:fill="auto"/>
            <w:noWrap/>
            <w:vAlign w:val="bottom"/>
            <w:hideMark/>
          </w:tcPr>
          <w:p w14:paraId="050DF996" w14:textId="77777777" w:rsidR="006F48F9" w:rsidRPr="008669C3" w:rsidRDefault="006F48F9" w:rsidP="005D0BF5">
            <w:pPr>
              <w:jc w:val="center"/>
              <w:rPr>
                <w:sz w:val="22"/>
                <w:szCs w:val="20"/>
              </w:rPr>
            </w:pPr>
          </w:p>
        </w:tc>
        <w:tc>
          <w:tcPr>
            <w:tcW w:w="525" w:type="pct"/>
            <w:tcBorders>
              <w:top w:val="single" w:sz="4" w:space="0" w:color="auto"/>
              <w:left w:val="nil"/>
              <w:bottom w:val="nil"/>
              <w:right w:val="nil"/>
            </w:tcBorders>
            <w:shd w:val="clear" w:color="auto" w:fill="auto"/>
            <w:noWrap/>
            <w:vAlign w:val="bottom"/>
            <w:hideMark/>
          </w:tcPr>
          <w:p w14:paraId="042CAA2A" w14:textId="77777777" w:rsidR="006F48F9" w:rsidRPr="008669C3" w:rsidRDefault="006F48F9" w:rsidP="005D0BF5">
            <w:pPr>
              <w:jc w:val="center"/>
              <w:rPr>
                <w:sz w:val="22"/>
                <w:szCs w:val="20"/>
              </w:rPr>
            </w:pPr>
          </w:p>
        </w:tc>
        <w:tc>
          <w:tcPr>
            <w:tcW w:w="141" w:type="pct"/>
            <w:tcBorders>
              <w:top w:val="single" w:sz="4" w:space="0" w:color="auto"/>
              <w:left w:val="nil"/>
              <w:bottom w:val="nil"/>
              <w:right w:val="nil"/>
            </w:tcBorders>
            <w:shd w:val="clear" w:color="auto" w:fill="auto"/>
            <w:noWrap/>
            <w:vAlign w:val="bottom"/>
            <w:hideMark/>
          </w:tcPr>
          <w:p w14:paraId="4088C95A" w14:textId="77777777" w:rsidR="006F48F9" w:rsidRPr="008669C3" w:rsidRDefault="006F48F9" w:rsidP="005D0BF5">
            <w:pPr>
              <w:jc w:val="center"/>
              <w:rPr>
                <w:sz w:val="22"/>
                <w:szCs w:val="20"/>
              </w:rPr>
            </w:pPr>
          </w:p>
        </w:tc>
        <w:tc>
          <w:tcPr>
            <w:tcW w:w="446" w:type="pct"/>
            <w:tcBorders>
              <w:top w:val="single" w:sz="4" w:space="0" w:color="auto"/>
              <w:left w:val="nil"/>
              <w:bottom w:val="nil"/>
              <w:right w:val="nil"/>
            </w:tcBorders>
            <w:shd w:val="clear" w:color="auto" w:fill="auto"/>
            <w:noWrap/>
            <w:vAlign w:val="bottom"/>
            <w:hideMark/>
          </w:tcPr>
          <w:p w14:paraId="5AA14F18" w14:textId="77777777" w:rsidR="006F48F9" w:rsidRPr="008669C3" w:rsidRDefault="006F48F9" w:rsidP="005D0BF5">
            <w:pPr>
              <w:jc w:val="center"/>
              <w:rPr>
                <w:sz w:val="22"/>
                <w:szCs w:val="20"/>
              </w:rPr>
            </w:pPr>
          </w:p>
        </w:tc>
        <w:tc>
          <w:tcPr>
            <w:tcW w:w="525" w:type="pct"/>
            <w:tcBorders>
              <w:top w:val="single" w:sz="4" w:space="0" w:color="auto"/>
              <w:left w:val="nil"/>
              <w:bottom w:val="nil"/>
              <w:right w:val="nil"/>
            </w:tcBorders>
            <w:shd w:val="clear" w:color="auto" w:fill="auto"/>
            <w:noWrap/>
            <w:vAlign w:val="bottom"/>
            <w:hideMark/>
          </w:tcPr>
          <w:p w14:paraId="79643DE8" w14:textId="77777777" w:rsidR="006F48F9" w:rsidRPr="008669C3" w:rsidRDefault="006F48F9" w:rsidP="005D0BF5">
            <w:pPr>
              <w:jc w:val="center"/>
              <w:rPr>
                <w:sz w:val="22"/>
                <w:szCs w:val="20"/>
              </w:rPr>
            </w:pPr>
          </w:p>
        </w:tc>
      </w:tr>
      <w:tr w:rsidR="006F48F9" w:rsidRPr="008669C3" w14:paraId="0E7287CF" w14:textId="77777777" w:rsidTr="005D0BF5">
        <w:trPr>
          <w:trHeight w:val="20"/>
        </w:trPr>
        <w:tc>
          <w:tcPr>
            <w:tcW w:w="1631" w:type="pct"/>
            <w:tcBorders>
              <w:top w:val="nil"/>
              <w:left w:val="nil"/>
              <w:bottom w:val="nil"/>
              <w:right w:val="nil"/>
            </w:tcBorders>
            <w:shd w:val="clear" w:color="auto" w:fill="auto"/>
            <w:noWrap/>
            <w:vAlign w:val="bottom"/>
            <w:hideMark/>
          </w:tcPr>
          <w:p w14:paraId="65460BB1" w14:textId="77777777" w:rsidR="006F48F9" w:rsidRPr="008669C3" w:rsidRDefault="006F48F9" w:rsidP="005D0BF5">
            <w:pPr>
              <w:jc w:val="center"/>
              <w:rPr>
                <w:color w:val="000000"/>
                <w:sz w:val="22"/>
              </w:rPr>
            </w:pPr>
          </w:p>
        </w:tc>
        <w:tc>
          <w:tcPr>
            <w:tcW w:w="1066" w:type="pct"/>
            <w:gridSpan w:val="2"/>
            <w:tcBorders>
              <w:top w:val="nil"/>
              <w:left w:val="nil"/>
              <w:bottom w:val="single" w:sz="4" w:space="0" w:color="auto"/>
              <w:right w:val="nil"/>
            </w:tcBorders>
            <w:shd w:val="clear" w:color="auto" w:fill="auto"/>
            <w:noWrap/>
            <w:vAlign w:val="bottom"/>
            <w:hideMark/>
          </w:tcPr>
          <w:p w14:paraId="4B3B612A" w14:textId="77777777" w:rsidR="006F48F9" w:rsidRPr="008669C3" w:rsidRDefault="006F48F9" w:rsidP="005D0BF5">
            <w:pPr>
              <w:jc w:val="center"/>
              <w:rPr>
                <w:color w:val="000000"/>
                <w:sz w:val="22"/>
              </w:rPr>
            </w:pPr>
            <w:r w:rsidRPr="008669C3">
              <w:rPr>
                <w:color w:val="000000"/>
                <w:sz w:val="22"/>
              </w:rPr>
              <w:t xml:space="preserve">Large firm </w:t>
            </w:r>
          </w:p>
        </w:tc>
        <w:tc>
          <w:tcPr>
            <w:tcW w:w="141" w:type="pct"/>
            <w:tcBorders>
              <w:top w:val="nil"/>
              <w:left w:val="nil"/>
              <w:bottom w:val="nil"/>
              <w:right w:val="nil"/>
            </w:tcBorders>
            <w:shd w:val="clear" w:color="auto" w:fill="auto"/>
            <w:noWrap/>
            <w:vAlign w:val="bottom"/>
            <w:hideMark/>
          </w:tcPr>
          <w:p w14:paraId="400B5642" w14:textId="77777777" w:rsidR="006F48F9" w:rsidRPr="008669C3" w:rsidRDefault="006F48F9" w:rsidP="005D0BF5">
            <w:pPr>
              <w:jc w:val="center"/>
              <w:rPr>
                <w:color w:val="000000"/>
                <w:sz w:val="22"/>
              </w:rPr>
            </w:pPr>
          </w:p>
        </w:tc>
        <w:tc>
          <w:tcPr>
            <w:tcW w:w="1050" w:type="pct"/>
            <w:gridSpan w:val="2"/>
            <w:tcBorders>
              <w:top w:val="nil"/>
              <w:left w:val="nil"/>
              <w:bottom w:val="single" w:sz="4" w:space="0" w:color="auto"/>
              <w:right w:val="nil"/>
            </w:tcBorders>
            <w:shd w:val="clear" w:color="auto" w:fill="auto"/>
            <w:noWrap/>
            <w:vAlign w:val="bottom"/>
            <w:hideMark/>
          </w:tcPr>
          <w:p w14:paraId="0DF8FF31" w14:textId="77777777" w:rsidR="006F48F9" w:rsidRPr="008669C3" w:rsidRDefault="006F48F9" w:rsidP="005D0BF5">
            <w:pPr>
              <w:jc w:val="center"/>
              <w:rPr>
                <w:color w:val="000000"/>
                <w:sz w:val="22"/>
              </w:rPr>
            </w:pPr>
            <w:r w:rsidRPr="008669C3">
              <w:rPr>
                <w:color w:val="000000"/>
                <w:sz w:val="22"/>
              </w:rPr>
              <w:t>Small firm</w:t>
            </w:r>
          </w:p>
        </w:tc>
        <w:tc>
          <w:tcPr>
            <w:tcW w:w="141" w:type="pct"/>
            <w:tcBorders>
              <w:top w:val="nil"/>
              <w:left w:val="nil"/>
              <w:bottom w:val="nil"/>
              <w:right w:val="nil"/>
            </w:tcBorders>
            <w:shd w:val="clear" w:color="auto" w:fill="auto"/>
            <w:noWrap/>
            <w:vAlign w:val="bottom"/>
            <w:hideMark/>
          </w:tcPr>
          <w:p w14:paraId="2462ACC8" w14:textId="77777777" w:rsidR="006F48F9" w:rsidRPr="008669C3" w:rsidRDefault="006F48F9" w:rsidP="005D0BF5">
            <w:pPr>
              <w:jc w:val="center"/>
              <w:rPr>
                <w:color w:val="000000"/>
                <w:sz w:val="22"/>
              </w:rPr>
            </w:pPr>
          </w:p>
        </w:tc>
        <w:tc>
          <w:tcPr>
            <w:tcW w:w="971" w:type="pct"/>
            <w:gridSpan w:val="2"/>
            <w:tcBorders>
              <w:top w:val="nil"/>
              <w:left w:val="nil"/>
              <w:bottom w:val="single" w:sz="4" w:space="0" w:color="auto"/>
              <w:right w:val="nil"/>
            </w:tcBorders>
            <w:shd w:val="clear" w:color="auto" w:fill="auto"/>
            <w:noWrap/>
            <w:vAlign w:val="bottom"/>
            <w:hideMark/>
          </w:tcPr>
          <w:p w14:paraId="788B2E0C" w14:textId="77777777" w:rsidR="006F48F9" w:rsidRPr="008669C3" w:rsidRDefault="006F48F9" w:rsidP="005D0BF5">
            <w:pPr>
              <w:jc w:val="center"/>
              <w:rPr>
                <w:color w:val="000000"/>
                <w:sz w:val="22"/>
              </w:rPr>
            </w:pPr>
            <w:r w:rsidRPr="008669C3">
              <w:rPr>
                <w:sz w:val="22"/>
              </w:rPr>
              <w:t>Whole sample</w:t>
            </w:r>
          </w:p>
        </w:tc>
      </w:tr>
      <w:tr w:rsidR="006F48F9" w:rsidRPr="008669C3" w14:paraId="56DCD260" w14:textId="77777777" w:rsidTr="005D0BF5">
        <w:trPr>
          <w:trHeight w:val="20"/>
        </w:trPr>
        <w:tc>
          <w:tcPr>
            <w:tcW w:w="1631" w:type="pct"/>
            <w:tcBorders>
              <w:top w:val="nil"/>
              <w:left w:val="nil"/>
              <w:bottom w:val="single" w:sz="4" w:space="0" w:color="auto"/>
              <w:right w:val="nil"/>
            </w:tcBorders>
            <w:shd w:val="clear" w:color="auto" w:fill="auto"/>
            <w:noWrap/>
            <w:vAlign w:val="bottom"/>
            <w:hideMark/>
          </w:tcPr>
          <w:p w14:paraId="5AD0D701" w14:textId="77777777" w:rsidR="006F48F9" w:rsidRPr="008669C3" w:rsidRDefault="006F48F9" w:rsidP="005D0BF5">
            <w:pPr>
              <w:rPr>
                <w:color w:val="000000"/>
                <w:sz w:val="22"/>
              </w:rPr>
            </w:pPr>
            <w:r w:rsidRPr="008669C3">
              <w:rPr>
                <w:color w:val="000000"/>
                <w:sz w:val="22"/>
              </w:rPr>
              <w:t> </w:t>
            </w:r>
          </w:p>
        </w:tc>
        <w:tc>
          <w:tcPr>
            <w:tcW w:w="525" w:type="pct"/>
            <w:tcBorders>
              <w:top w:val="nil"/>
              <w:left w:val="nil"/>
              <w:bottom w:val="single" w:sz="4" w:space="0" w:color="auto"/>
              <w:right w:val="nil"/>
            </w:tcBorders>
            <w:shd w:val="clear" w:color="auto" w:fill="auto"/>
            <w:noWrap/>
            <w:vAlign w:val="bottom"/>
            <w:hideMark/>
          </w:tcPr>
          <w:p w14:paraId="18D53428" w14:textId="77777777" w:rsidR="006F48F9" w:rsidRPr="008669C3" w:rsidRDefault="006F48F9" w:rsidP="005D0BF5">
            <w:pPr>
              <w:jc w:val="center"/>
              <w:rPr>
                <w:color w:val="000000"/>
                <w:sz w:val="22"/>
              </w:rPr>
            </w:pPr>
            <w:r w:rsidRPr="008669C3">
              <w:rPr>
                <w:color w:val="000000"/>
                <w:sz w:val="22"/>
              </w:rPr>
              <w:t>(1)</w:t>
            </w:r>
          </w:p>
        </w:tc>
        <w:tc>
          <w:tcPr>
            <w:tcW w:w="541" w:type="pct"/>
            <w:tcBorders>
              <w:top w:val="nil"/>
              <w:left w:val="nil"/>
              <w:bottom w:val="single" w:sz="4" w:space="0" w:color="auto"/>
              <w:right w:val="nil"/>
            </w:tcBorders>
            <w:shd w:val="clear" w:color="auto" w:fill="auto"/>
            <w:noWrap/>
            <w:vAlign w:val="bottom"/>
            <w:hideMark/>
          </w:tcPr>
          <w:p w14:paraId="463EA07F" w14:textId="77777777" w:rsidR="006F48F9" w:rsidRPr="008669C3" w:rsidRDefault="006F48F9" w:rsidP="005D0BF5">
            <w:pPr>
              <w:jc w:val="center"/>
              <w:rPr>
                <w:color w:val="000000"/>
                <w:sz w:val="22"/>
              </w:rPr>
            </w:pPr>
            <w:r w:rsidRPr="008669C3">
              <w:rPr>
                <w:color w:val="000000"/>
                <w:sz w:val="22"/>
              </w:rPr>
              <w:t>(2)</w:t>
            </w:r>
          </w:p>
        </w:tc>
        <w:tc>
          <w:tcPr>
            <w:tcW w:w="141" w:type="pct"/>
            <w:tcBorders>
              <w:top w:val="nil"/>
              <w:left w:val="nil"/>
              <w:bottom w:val="single" w:sz="4" w:space="0" w:color="auto"/>
              <w:right w:val="nil"/>
            </w:tcBorders>
            <w:shd w:val="clear" w:color="auto" w:fill="auto"/>
            <w:noWrap/>
            <w:vAlign w:val="bottom"/>
            <w:hideMark/>
          </w:tcPr>
          <w:p w14:paraId="6BA00A4A" w14:textId="77777777" w:rsidR="006F48F9" w:rsidRPr="008669C3" w:rsidRDefault="006F48F9" w:rsidP="005D0BF5">
            <w:pPr>
              <w:jc w:val="center"/>
              <w:rPr>
                <w:color w:val="000000"/>
                <w:sz w:val="22"/>
              </w:rPr>
            </w:pPr>
            <w:r w:rsidRPr="008669C3">
              <w:rPr>
                <w:color w:val="000000"/>
                <w:sz w:val="22"/>
              </w:rPr>
              <w:t> </w:t>
            </w:r>
          </w:p>
        </w:tc>
        <w:tc>
          <w:tcPr>
            <w:tcW w:w="525" w:type="pct"/>
            <w:tcBorders>
              <w:top w:val="nil"/>
              <w:left w:val="nil"/>
              <w:bottom w:val="single" w:sz="4" w:space="0" w:color="auto"/>
              <w:right w:val="nil"/>
            </w:tcBorders>
            <w:shd w:val="clear" w:color="auto" w:fill="auto"/>
            <w:noWrap/>
            <w:vAlign w:val="bottom"/>
            <w:hideMark/>
          </w:tcPr>
          <w:p w14:paraId="75B7B722" w14:textId="77777777" w:rsidR="006F48F9" w:rsidRPr="008669C3" w:rsidRDefault="006F48F9" w:rsidP="005D0BF5">
            <w:pPr>
              <w:jc w:val="center"/>
              <w:rPr>
                <w:color w:val="000000"/>
                <w:sz w:val="22"/>
              </w:rPr>
            </w:pPr>
            <w:r w:rsidRPr="008669C3">
              <w:rPr>
                <w:color w:val="000000"/>
                <w:sz w:val="22"/>
              </w:rPr>
              <w:t>(3)</w:t>
            </w:r>
          </w:p>
        </w:tc>
        <w:tc>
          <w:tcPr>
            <w:tcW w:w="525" w:type="pct"/>
            <w:tcBorders>
              <w:top w:val="nil"/>
              <w:left w:val="nil"/>
              <w:bottom w:val="single" w:sz="4" w:space="0" w:color="auto"/>
              <w:right w:val="nil"/>
            </w:tcBorders>
            <w:shd w:val="clear" w:color="auto" w:fill="auto"/>
            <w:noWrap/>
            <w:vAlign w:val="bottom"/>
            <w:hideMark/>
          </w:tcPr>
          <w:p w14:paraId="23F9961A" w14:textId="77777777" w:rsidR="006F48F9" w:rsidRPr="008669C3" w:rsidRDefault="006F48F9" w:rsidP="005D0BF5">
            <w:pPr>
              <w:jc w:val="center"/>
              <w:rPr>
                <w:color w:val="000000"/>
                <w:sz w:val="22"/>
              </w:rPr>
            </w:pPr>
            <w:r w:rsidRPr="008669C3">
              <w:rPr>
                <w:color w:val="000000"/>
                <w:sz w:val="22"/>
              </w:rPr>
              <w:t>(4)</w:t>
            </w:r>
          </w:p>
        </w:tc>
        <w:tc>
          <w:tcPr>
            <w:tcW w:w="141" w:type="pct"/>
            <w:tcBorders>
              <w:top w:val="nil"/>
              <w:left w:val="nil"/>
              <w:bottom w:val="single" w:sz="4" w:space="0" w:color="auto"/>
              <w:right w:val="nil"/>
            </w:tcBorders>
            <w:shd w:val="clear" w:color="auto" w:fill="auto"/>
            <w:noWrap/>
            <w:vAlign w:val="bottom"/>
            <w:hideMark/>
          </w:tcPr>
          <w:p w14:paraId="39003BF0" w14:textId="77777777" w:rsidR="006F48F9" w:rsidRPr="008669C3" w:rsidRDefault="006F48F9" w:rsidP="005D0BF5">
            <w:pPr>
              <w:jc w:val="center"/>
              <w:rPr>
                <w:color w:val="000000"/>
                <w:sz w:val="22"/>
              </w:rPr>
            </w:pPr>
            <w:r w:rsidRPr="008669C3">
              <w:rPr>
                <w:color w:val="000000"/>
                <w:sz w:val="22"/>
              </w:rPr>
              <w:t> </w:t>
            </w:r>
          </w:p>
        </w:tc>
        <w:tc>
          <w:tcPr>
            <w:tcW w:w="446" w:type="pct"/>
            <w:tcBorders>
              <w:top w:val="nil"/>
              <w:left w:val="nil"/>
              <w:bottom w:val="single" w:sz="4" w:space="0" w:color="auto"/>
              <w:right w:val="nil"/>
            </w:tcBorders>
            <w:shd w:val="clear" w:color="auto" w:fill="auto"/>
            <w:noWrap/>
            <w:vAlign w:val="bottom"/>
            <w:hideMark/>
          </w:tcPr>
          <w:p w14:paraId="59082D85" w14:textId="77777777" w:rsidR="006F48F9" w:rsidRPr="008669C3" w:rsidRDefault="006F48F9" w:rsidP="005D0BF5">
            <w:pPr>
              <w:jc w:val="center"/>
              <w:rPr>
                <w:color w:val="000000"/>
                <w:sz w:val="22"/>
              </w:rPr>
            </w:pPr>
            <w:r w:rsidRPr="008669C3">
              <w:rPr>
                <w:color w:val="000000"/>
                <w:sz w:val="22"/>
              </w:rPr>
              <w:t>(5)</w:t>
            </w:r>
          </w:p>
        </w:tc>
        <w:tc>
          <w:tcPr>
            <w:tcW w:w="525" w:type="pct"/>
            <w:tcBorders>
              <w:top w:val="nil"/>
              <w:left w:val="nil"/>
              <w:bottom w:val="single" w:sz="4" w:space="0" w:color="auto"/>
              <w:right w:val="nil"/>
            </w:tcBorders>
            <w:shd w:val="clear" w:color="auto" w:fill="auto"/>
            <w:noWrap/>
            <w:vAlign w:val="bottom"/>
            <w:hideMark/>
          </w:tcPr>
          <w:p w14:paraId="29C71E29" w14:textId="77777777" w:rsidR="006F48F9" w:rsidRPr="008669C3" w:rsidRDefault="006F48F9" w:rsidP="005D0BF5">
            <w:pPr>
              <w:jc w:val="center"/>
              <w:rPr>
                <w:color w:val="000000"/>
                <w:sz w:val="22"/>
              </w:rPr>
            </w:pPr>
            <w:r w:rsidRPr="008669C3">
              <w:rPr>
                <w:color w:val="000000"/>
                <w:sz w:val="22"/>
              </w:rPr>
              <w:t>(6)</w:t>
            </w:r>
          </w:p>
        </w:tc>
      </w:tr>
      <w:tr w:rsidR="006F48F9" w:rsidRPr="008669C3" w14:paraId="481DCB55" w14:textId="77777777" w:rsidTr="005D0BF5">
        <w:trPr>
          <w:trHeight w:val="20"/>
        </w:trPr>
        <w:tc>
          <w:tcPr>
            <w:tcW w:w="1631" w:type="pct"/>
            <w:tcBorders>
              <w:top w:val="nil"/>
              <w:left w:val="nil"/>
              <w:bottom w:val="nil"/>
              <w:right w:val="nil"/>
            </w:tcBorders>
            <w:shd w:val="clear" w:color="auto" w:fill="auto"/>
            <w:noWrap/>
            <w:vAlign w:val="bottom"/>
            <w:hideMark/>
          </w:tcPr>
          <w:p w14:paraId="707F91A7" w14:textId="77777777" w:rsidR="006F48F9" w:rsidRPr="008669C3" w:rsidRDefault="006F48F9" w:rsidP="005D0BF5">
            <w:pPr>
              <w:rPr>
                <w:color w:val="000000"/>
                <w:sz w:val="22"/>
              </w:rPr>
            </w:pPr>
            <w:r w:rsidRPr="008669C3">
              <w:rPr>
                <w:color w:val="000000"/>
                <w:sz w:val="22"/>
              </w:rPr>
              <w:t>CDS trading</w:t>
            </w:r>
          </w:p>
        </w:tc>
        <w:tc>
          <w:tcPr>
            <w:tcW w:w="525" w:type="pct"/>
            <w:tcBorders>
              <w:top w:val="nil"/>
              <w:left w:val="nil"/>
              <w:bottom w:val="nil"/>
              <w:right w:val="nil"/>
            </w:tcBorders>
            <w:shd w:val="clear" w:color="auto" w:fill="auto"/>
            <w:noWrap/>
            <w:vAlign w:val="bottom"/>
            <w:hideMark/>
          </w:tcPr>
          <w:p w14:paraId="69039945" w14:textId="77777777" w:rsidR="006F48F9" w:rsidRPr="008669C3" w:rsidRDefault="006F48F9" w:rsidP="005D0BF5">
            <w:pPr>
              <w:jc w:val="center"/>
              <w:rPr>
                <w:color w:val="000000"/>
                <w:sz w:val="22"/>
              </w:rPr>
            </w:pPr>
            <w:r w:rsidRPr="008669C3">
              <w:rPr>
                <w:color w:val="000000"/>
                <w:sz w:val="22"/>
              </w:rPr>
              <w:t>0.461</w:t>
            </w:r>
            <w:r w:rsidRPr="008669C3">
              <w:rPr>
                <w:color w:val="000000"/>
                <w:sz w:val="20"/>
              </w:rPr>
              <w:t>***</w:t>
            </w:r>
          </w:p>
        </w:tc>
        <w:tc>
          <w:tcPr>
            <w:tcW w:w="541" w:type="pct"/>
            <w:tcBorders>
              <w:top w:val="nil"/>
              <w:left w:val="nil"/>
              <w:bottom w:val="nil"/>
              <w:right w:val="nil"/>
            </w:tcBorders>
            <w:shd w:val="clear" w:color="auto" w:fill="auto"/>
            <w:noWrap/>
            <w:vAlign w:val="bottom"/>
            <w:hideMark/>
          </w:tcPr>
          <w:p w14:paraId="4A1BD198" w14:textId="77777777" w:rsidR="006F48F9" w:rsidRPr="008669C3" w:rsidRDefault="006F48F9" w:rsidP="005D0BF5">
            <w:pPr>
              <w:jc w:val="center"/>
              <w:rPr>
                <w:color w:val="000000"/>
                <w:sz w:val="22"/>
              </w:rPr>
            </w:pPr>
            <w:r w:rsidRPr="008669C3">
              <w:rPr>
                <w:color w:val="000000"/>
                <w:sz w:val="22"/>
              </w:rPr>
              <w:t>0.234</w:t>
            </w:r>
            <w:r w:rsidRPr="008669C3">
              <w:rPr>
                <w:color w:val="000000"/>
                <w:sz w:val="20"/>
              </w:rPr>
              <w:t>*</w:t>
            </w:r>
          </w:p>
        </w:tc>
        <w:tc>
          <w:tcPr>
            <w:tcW w:w="141" w:type="pct"/>
            <w:tcBorders>
              <w:top w:val="nil"/>
              <w:left w:val="nil"/>
              <w:bottom w:val="nil"/>
              <w:right w:val="nil"/>
            </w:tcBorders>
            <w:shd w:val="clear" w:color="auto" w:fill="auto"/>
            <w:noWrap/>
            <w:vAlign w:val="bottom"/>
            <w:hideMark/>
          </w:tcPr>
          <w:p w14:paraId="284492C8"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69BFBEF9" w14:textId="77777777" w:rsidR="006F48F9" w:rsidRPr="008669C3" w:rsidRDefault="006F48F9" w:rsidP="005D0BF5">
            <w:pPr>
              <w:jc w:val="center"/>
              <w:rPr>
                <w:color w:val="000000"/>
                <w:sz w:val="22"/>
              </w:rPr>
            </w:pPr>
            <w:r w:rsidRPr="008669C3">
              <w:rPr>
                <w:color w:val="000000"/>
                <w:sz w:val="22"/>
              </w:rPr>
              <w:t>0.622</w:t>
            </w:r>
            <w:r w:rsidRPr="008669C3">
              <w:rPr>
                <w:color w:val="000000"/>
                <w:sz w:val="20"/>
              </w:rPr>
              <w:t>***</w:t>
            </w:r>
          </w:p>
        </w:tc>
        <w:tc>
          <w:tcPr>
            <w:tcW w:w="525" w:type="pct"/>
            <w:tcBorders>
              <w:top w:val="nil"/>
              <w:left w:val="nil"/>
              <w:bottom w:val="nil"/>
              <w:right w:val="nil"/>
            </w:tcBorders>
            <w:shd w:val="clear" w:color="auto" w:fill="auto"/>
            <w:noWrap/>
            <w:vAlign w:val="bottom"/>
            <w:hideMark/>
          </w:tcPr>
          <w:p w14:paraId="7C0E38C2" w14:textId="77777777" w:rsidR="006F48F9" w:rsidRPr="008669C3" w:rsidRDefault="006F48F9" w:rsidP="005D0BF5">
            <w:pPr>
              <w:jc w:val="center"/>
              <w:rPr>
                <w:color w:val="000000"/>
                <w:sz w:val="22"/>
              </w:rPr>
            </w:pPr>
            <w:r w:rsidRPr="008669C3">
              <w:rPr>
                <w:color w:val="000000"/>
                <w:sz w:val="22"/>
              </w:rPr>
              <w:t>0.898</w:t>
            </w:r>
            <w:r w:rsidRPr="008669C3">
              <w:rPr>
                <w:color w:val="000000"/>
                <w:sz w:val="20"/>
              </w:rPr>
              <w:t>***</w:t>
            </w:r>
          </w:p>
        </w:tc>
        <w:tc>
          <w:tcPr>
            <w:tcW w:w="141" w:type="pct"/>
            <w:tcBorders>
              <w:top w:val="nil"/>
              <w:left w:val="nil"/>
              <w:bottom w:val="nil"/>
              <w:right w:val="nil"/>
            </w:tcBorders>
            <w:shd w:val="clear" w:color="auto" w:fill="auto"/>
            <w:noWrap/>
            <w:vAlign w:val="bottom"/>
            <w:hideMark/>
          </w:tcPr>
          <w:p w14:paraId="48A476AB" w14:textId="77777777" w:rsidR="006F48F9" w:rsidRPr="008669C3" w:rsidRDefault="006F48F9" w:rsidP="005D0BF5">
            <w:pPr>
              <w:jc w:val="center"/>
              <w:rPr>
                <w:color w:val="000000"/>
                <w:sz w:val="22"/>
              </w:rPr>
            </w:pPr>
          </w:p>
        </w:tc>
        <w:tc>
          <w:tcPr>
            <w:tcW w:w="446" w:type="pct"/>
            <w:tcBorders>
              <w:top w:val="nil"/>
              <w:left w:val="nil"/>
              <w:bottom w:val="nil"/>
              <w:right w:val="nil"/>
            </w:tcBorders>
            <w:shd w:val="clear" w:color="auto" w:fill="auto"/>
            <w:noWrap/>
            <w:vAlign w:val="bottom"/>
            <w:hideMark/>
          </w:tcPr>
          <w:p w14:paraId="68695243" w14:textId="77777777" w:rsidR="006F48F9" w:rsidRPr="008669C3" w:rsidRDefault="006F48F9" w:rsidP="005D0BF5">
            <w:pPr>
              <w:jc w:val="center"/>
              <w:rPr>
                <w:color w:val="000000"/>
                <w:sz w:val="22"/>
              </w:rPr>
            </w:pPr>
            <w:r w:rsidRPr="008669C3">
              <w:rPr>
                <w:color w:val="000000"/>
                <w:sz w:val="22"/>
              </w:rPr>
              <w:t>1.386</w:t>
            </w:r>
          </w:p>
        </w:tc>
        <w:tc>
          <w:tcPr>
            <w:tcW w:w="525" w:type="pct"/>
            <w:tcBorders>
              <w:top w:val="nil"/>
              <w:left w:val="nil"/>
              <w:bottom w:val="nil"/>
              <w:right w:val="nil"/>
            </w:tcBorders>
            <w:shd w:val="clear" w:color="auto" w:fill="auto"/>
            <w:noWrap/>
            <w:vAlign w:val="bottom"/>
            <w:hideMark/>
          </w:tcPr>
          <w:p w14:paraId="2B85D3DF" w14:textId="77777777" w:rsidR="006F48F9" w:rsidRPr="008669C3" w:rsidRDefault="006F48F9" w:rsidP="005D0BF5">
            <w:pPr>
              <w:jc w:val="center"/>
              <w:rPr>
                <w:color w:val="000000"/>
                <w:sz w:val="22"/>
              </w:rPr>
            </w:pPr>
            <w:r w:rsidRPr="008669C3">
              <w:rPr>
                <w:color w:val="000000"/>
                <w:sz w:val="22"/>
              </w:rPr>
              <w:t>1.911</w:t>
            </w:r>
            <w:r w:rsidRPr="008669C3">
              <w:rPr>
                <w:color w:val="000000"/>
                <w:sz w:val="20"/>
              </w:rPr>
              <w:t>*</w:t>
            </w:r>
          </w:p>
        </w:tc>
      </w:tr>
      <w:tr w:rsidR="006F48F9" w:rsidRPr="008669C3" w14:paraId="422C1096" w14:textId="77777777" w:rsidTr="005D0BF5">
        <w:trPr>
          <w:trHeight w:val="20"/>
        </w:trPr>
        <w:tc>
          <w:tcPr>
            <w:tcW w:w="1631" w:type="pct"/>
            <w:tcBorders>
              <w:top w:val="nil"/>
              <w:left w:val="nil"/>
              <w:bottom w:val="nil"/>
              <w:right w:val="nil"/>
            </w:tcBorders>
            <w:shd w:val="clear" w:color="auto" w:fill="auto"/>
            <w:noWrap/>
            <w:vAlign w:val="bottom"/>
            <w:hideMark/>
          </w:tcPr>
          <w:p w14:paraId="3A0E53FF"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52B9287D" w14:textId="77777777" w:rsidR="006F48F9" w:rsidRPr="008669C3" w:rsidRDefault="006F48F9" w:rsidP="005D0BF5">
            <w:pPr>
              <w:jc w:val="center"/>
              <w:rPr>
                <w:color w:val="000000"/>
                <w:sz w:val="22"/>
              </w:rPr>
            </w:pPr>
            <w:r w:rsidRPr="008669C3">
              <w:rPr>
                <w:color w:val="000000"/>
                <w:sz w:val="22"/>
              </w:rPr>
              <w:t>(0.169)</w:t>
            </w:r>
          </w:p>
        </w:tc>
        <w:tc>
          <w:tcPr>
            <w:tcW w:w="541" w:type="pct"/>
            <w:tcBorders>
              <w:top w:val="nil"/>
              <w:left w:val="nil"/>
              <w:bottom w:val="nil"/>
              <w:right w:val="nil"/>
            </w:tcBorders>
            <w:shd w:val="clear" w:color="auto" w:fill="auto"/>
            <w:noWrap/>
            <w:vAlign w:val="bottom"/>
            <w:hideMark/>
          </w:tcPr>
          <w:p w14:paraId="24532EDC" w14:textId="77777777" w:rsidR="006F48F9" w:rsidRPr="008669C3" w:rsidRDefault="006F48F9" w:rsidP="005D0BF5">
            <w:pPr>
              <w:jc w:val="center"/>
              <w:rPr>
                <w:color w:val="000000"/>
                <w:sz w:val="22"/>
              </w:rPr>
            </w:pPr>
            <w:r w:rsidRPr="008669C3">
              <w:rPr>
                <w:color w:val="000000"/>
                <w:sz w:val="22"/>
              </w:rPr>
              <w:t>(0.135)</w:t>
            </w:r>
          </w:p>
        </w:tc>
        <w:tc>
          <w:tcPr>
            <w:tcW w:w="141" w:type="pct"/>
            <w:tcBorders>
              <w:top w:val="nil"/>
              <w:left w:val="nil"/>
              <w:bottom w:val="nil"/>
              <w:right w:val="nil"/>
            </w:tcBorders>
            <w:shd w:val="clear" w:color="auto" w:fill="auto"/>
            <w:noWrap/>
            <w:vAlign w:val="bottom"/>
            <w:hideMark/>
          </w:tcPr>
          <w:p w14:paraId="26397388"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0511F86F" w14:textId="77777777" w:rsidR="006F48F9" w:rsidRPr="008669C3" w:rsidRDefault="006F48F9" w:rsidP="005D0BF5">
            <w:pPr>
              <w:jc w:val="center"/>
              <w:rPr>
                <w:color w:val="000000"/>
                <w:sz w:val="22"/>
              </w:rPr>
            </w:pPr>
            <w:r w:rsidRPr="008669C3">
              <w:rPr>
                <w:color w:val="000000"/>
                <w:sz w:val="22"/>
              </w:rPr>
              <w:t>(0.215)</w:t>
            </w:r>
          </w:p>
        </w:tc>
        <w:tc>
          <w:tcPr>
            <w:tcW w:w="525" w:type="pct"/>
            <w:tcBorders>
              <w:top w:val="nil"/>
              <w:left w:val="nil"/>
              <w:bottom w:val="nil"/>
              <w:right w:val="nil"/>
            </w:tcBorders>
            <w:shd w:val="clear" w:color="auto" w:fill="auto"/>
            <w:noWrap/>
            <w:vAlign w:val="bottom"/>
            <w:hideMark/>
          </w:tcPr>
          <w:p w14:paraId="1D746D81" w14:textId="77777777" w:rsidR="006F48F9" w:rsidRPr="008669C3" w:rsidRDefault="006F48F9" w:rsidP="005D0BF5">
            <w:pPr>
              <w:jc w:val="center"/>
              <w:rPr>
                <w:color w:val="000000"/>
                <w:sz w:val="22"/>
              </w:rPr>
            </w:pPr>
            <w:r w:rsidRPr="008669C3">
              <w:rPr>
                <w:color w:val="000000"/>
                <w:sz w:val="22"/>
              </w:rPr>
              <w:t>(0.268)</w:t>
            </w:r>
          </w:p>
        </w:tc>
        <w:tc>
          <w:tcPr>
            <w:tcW w:w="141" w:type="pct"/>
            <w:tcBorders>
              <w:top w:val="nil"/>
              <w:left w:val="nil"/>
              <w:bottom w:val="nil"/>
              <w:right w:val="nil"/>
            </w:tcBorders>
            <w:shd w:val="clear" w:color="auto" w:fill="auto"/>
            <w:noWrap/>
            <w:vAlign w:val="bottom"/>
            <w:hideMark/>
          </w:tcPr>
          <w:p w14:paraId="1699A3AA" w14:textId="77777777" w:rsidR="006F48F9" w:rsidRPr="008669C3" w:rsidRDefault="006F48F9" w:rsidP="005D0BF5">
            <w:pPr>
              <w:jc w:val="center"/>
              <w:rPr>
                <w:color w:val="000000"/>
                <w:sz w:val="22"/>
              </w:rPr>
            </w:pPr>
          </w:p>
        </w:tc>
        <w:tc>
          <w:tcPr>
            <w:tcW w:w="446" w:type="pct"/>
            <w:tcBorders>
              <w:top w:val="nil"/>
              <w:left w:val="nil"/>
              <w:bottom w:val="nil"/>
              <w:right w:val="nil"/>
            </w:tcBorders>
            <w:shd w:val="clear" w:color="auto" w:fill="auto"/>
            <w:noWrap/>
            <w:vAlign w:val="bottom"/>
            <w:hideMark/>
          </w:tcPr>
          <w:p w14:paraId="1F287445" w14:textId="77777777" w:rsidR="006F48F9" w:rsidRPr="008669C3" w:rsidRDefault="006F48F9" w:rsidP="005D0BF5">
            <w:pPr>
              <w:jc w:val="center"/>
              <w:rPr>
                <w:color w:val="000000"/>
                <w:sz w:val="22"/>
              </w:rPr>
            </w:pPr>
            <w:r w:rsidRPr="008669C3">
              <w:rPr>
                <w:color w:val="000000"/>
                <w:sz w:val="22"/>
              </w:rPr>
              <w:t>(1.098)</w:t>
            </w:r>
          </w:p>
        </w:tc>
        <w:tc>
          <w:tcPr>
            <w:tcW w:w="525" w:type="pct"/>
            <w:tcBorders>
              <w:top w:val="nil"/>
              <w:left w:val="nil"/>
              <w:bottom w:val="nil"/>
              <w:right w:val="nil"/>
            </w:tcBorders>
            <w:shd w:val="clear" w:color="auto" w:fill="auto"/>
            <w:noWrap/>
            <w:vAlign w:val="bottom"/>
            <w:hideMark/>
          </w:tcPr>
          <w:p w14:paraId="6E0147CA" w14:textId="77777777" w:rsidR="006F48F9" w:rsidRPr="008669C3" w:rsidRDefault="006F48F9" w:rsidP="005D0BF5">
            <w:pPr>
              <w:jc w:val="center"/>
              <w:rPr>
                <w:color w:val="000000"/>
                <w:sz w:val="22"/>
              </w:rPr>
            </w:pPr>
            <w:r w:rsidRPr="008669C3">
              <w:rPr>
                <w:color w:val="000000"/>
                <w:sz w:val="22"/>
              </w:rPr>
              <w:t>(1.066)</w:t>
            </w:r>
          </w:p>
        </w:tc>
      </w:tr>
      <w:tr w:rsidR="006F48F9" w:rsidRPr="008669C3" w14:paraId="0B6046EA" w14:textId="77777777" w:rsidTr="005D0BF5">
        <w:trPr>
          <w:trHeight w:val="20"/>
        </w:trPr>
        <w:tc>
          <w:tcPr>
            <w:tcW w:w="1631" w:type="pct"/>
            <w:tcBorders>
              <w:top w:val="nil"/>
              <w:left w:val="nil"/>
              <w:bottom w:val="nil"/>
              <w:right w:val="nil"/>
            </w:tcBorders>
            <w:shd w:val="clear" w:color="auto" w:fill="auto"/>
            <w:noWrap/>
            <w:vAlign w:val="bottom"/>
            <w:hideMark/>
          </w:tcPr>
          <w:p w14:paraId="2F851C3E" w14:textId="7019DC1C" w:rsidR="006F48F9" w:rsidRPr="008669C3" w:rsidRDefault="006F48F9" w:rsidP="005D0BF5">
            <w:pPr>
              <w:rPr>
                <w:color w:val="000000"/>
                <w:sz w:val="22"/>
              </w:rPr>
            </w:pPr>
            <w:r w:rsidRPr="008669C3">
              <w:rPr>
                <w:color w:val="000000"/>
                <w:sz w:val="22"/>
              </w:rPr>
              <w:t>CDS trading × Ln(Sale</w:t>
            </w:r>
            <w:r w:rsidR="00B03ABA" w:rsidRPr="008669C3">
              <w:rPr>
                <w:color w:val="000000"/>
                <w:sz w:val="22"/>
              </w:rPr>
              <w:t>s</w:t>
            </w:r>
            <w:r w:rsidRPr="008669C3">
              <w:rPr>
                <w:color w:val="000000"/>
                <w:sz w:val="22"/>
              </w:rPr>
              <w:t>)</w:t>
            </w:r>
          </w:p>
        </w:tc>
        <w:tc>
          <w:tcPr>
            <w:tcW w:w="525" w:type="pct"/>
            <w:tcBorders>
              <w:top w:val="nil"/>
              <w:left w:val="nil"/>
              <w:bottom w:val="nil"/>
              <w:right w:val="nil"/>
            </w:tcBorders>
            <w:shd w:val="clear" w:color="auto" w:fill="auto"/>
            <w:noWrap/>
            <w:vAlign w:val="bottom"/>
            <w:hideMark/>
          </w:tcPr>
          <w:p w14:paraId="20993085" w14:textId="77777777" w:rsidR="006F48F9" w:rsidRPr="008669C3" w:rsidRDefault="006F48F9" w:rsidP="005D0BF5">
            <w:pPr>
              <w:jc w:val="center"/>
              <w:rPr>
                <w:color w:val="000000"/>
                <w:sz w:val="22"/>
              </w:rPr>
            </w:pPr>
            <w:r w:rsidRPr="008669C3">
              <w:rPr>
                <w:iCs/>
                <w:sz w:val="22"/>
              </w:rPr>
              <w:t>—</w:t>
            </w:r>
          </w:p>
        </w:tc>
        <w:tc>
          <w:tcPr>
            <w:tcW w:w="541" w:type="pct"/>
            <w:tcBorders>
              <w:top w:val="nil"/>
              <w:left w:val="nil"/>
              <w:bottom w:val="nil"/>
              <w:right w:val="nil"/>
            </w:tcBorders>
            <w:shd w:val="clear" w:color="auto" w:fill="auto"/>
            <w:noWrap/>
            <w:vAlign w:val="bottom"/>
            <w:hideMark/>
          </w:tcPr>
          <w:p w14:paraId="2FE7286C" w14:textId="77777777" w:rsidR="006F48F9" w:rsidRPr="008669C3" w:rsidRDefault="006F48F9" w:rsidP="005D0BF5">
            <w:pPr>
              <w:jc w:val="center"/>
              <w:rPr>
                <w:sz w:val="22"/>
                <w:szCs w:val="20"/>
              </w:rPr>
            </w:pPr>
            <w:r w:rsidRPr="008669C3">
              <w:rPr>
                <w:iCs/>
                <w:sz w:val="22"/>
              </w:rPr>
              <w:t>—</w:t>
            </w:r>
          </w:p>
        </w:tc>
        <w:tc>
          <w:tcPr>
            <w:tcW w:w="141" w:type="pct"/>
            <w:tcBorders>
              <w:top w:val="nil"/>
              <w:left w:val="nil"/>
              <w:bottom w:val="nil"/>
              <w:right w:val="nil"/>
            </w:tcBorders>
            <w:shd w:val="clear" w:color="auto" w:fill="auto"/>
            <w:noWrap/>
            <w:vAlign w:val="bottom"/>
            <w:hideMark/>
          </w:tcPr>
          <w:p w14:paraId="5206835C"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5EEA4F3D" w14:textId="77777777" w:rsidR="006F48F9" w:rsidRPr="008669C3" w:rsidRDefault="006F48F9" w:rsidP="005D0BF5">
            <w:pPr>
              <w:jc w:val="center"/>
              <w:rPr>
                <w:sz w:val="22"/>
                <w:szCs w:val="20"/>
              </w:rPr>
            </w:pPr>
            <w:r w:rsidRPr="008669C3">
              <w:rPr>
                <w:iCs/>
                <w:sz w:val="22"/>
              </w:rPr>
              <w:t>—</w:t>
            </w:r>
          </w:p>
        </w:tc>
        <w:tc>
          <w:tcPr>
            <w:tcW w:w="525" w:type="pct"/>
            <w:tcBorders>
              <w:top w:val="nil"/>
              <w:left w:val="nil"/>
              <w:bottom w:val="nil"/>
              <w:right w:val="nil"/>
            </w:tcBorders>
            <w:shd w:val="clear" w:color="auto" w:fill="auto"/>
            <w:noWrap/>
            <w:vAlign w:val="bottom"/>
            <w:hideMark/>
          </w:tcPr>
          <w:p w14:paraId="5DEEC9CD" w14:textId="77777777" w:rsidR="006F48F9" w:rsidRPr="008669C3" w:rsidRDefault="006F48F9" w:rsidP="005D0BF5">
            <w:pPr>
              <w:jc w:val="center"/>
              <w:rPr>
                <w:sz w:val="22"/>
                <w:szCs w:val="20"/>
              </w:rPr>
            </w:pPr>
            <w:r w:rsidRPr="008669C3">
              <w:rPr>
                <w:iCs/>
                <w:sz w:val="22"/>
              </w:rPr>
              <w:t>—</w:t>
            </w:r>
          </w:p>
        </w:tc>
        <w:tc>
          <w:tcPr>
            <w:tcW w:w="141" w:type="pct"/>
            <w:tcBorders>
              <w:top w:val="nil"/>
              <w:left w:val="nil"/>
              <w:bottom w:val="nil"/>
              <w:right w:val="nil"/>
            </w:tcBorders>
            <w:shd w:val="clear" w:color="auto" w:fill="auto"/>
            <w:noWrap/>
            <w:vAlign w:val="bottom"/>
            <w:hideMark/>
          </w:tcPr>
          <w:p w14:paraId="2CC093DE" w14:textId="77777777" w:rsidR="006F48F9" w:rsidRPr="008669C3" w:rsidRDefault="006F48F9" w:rsidP="005D0BF5">
            <w:pPr>
              <w:jc w:val="center"/>
              <w:rPr>
                <w:sz w:val="22"/>
                <w:szCs w:val="20"/>
              </w:rPr>
            </w:pPr>
          </w:p>
        </w:tc>
        <w:tc>
          <w:tcPr>
            <w:tcW w:w="446" w:type="pct"/>
            <w:tcBorders>
              <w:top w:val="nil"/>
              <w:left w:val="nil"/>
              <w:bottom w:val="nil"/>
              <w:right w:val="nil"/>
            </w:tcBorders>
            <w:shd w:val="clear" w:color="auto" w:fill="auto"/>
            <w:noWrap/>
            <w:vAlign w:val="bottom"/>
            <w:hideMark/>
          </w:tcPr>
          <w:p w14:paraId="72F56FAE" w14:textId="77777777" w:rsidR="006F48F9" w:rsidRPr="008669C3" w:rsidRDefault="006F48F9" w:rsidP="005D0BF5">
            <w:pPr>
              <w:jc w:val="center"/>
              <w:rPr>
                <w:color w:val="000000"/>
                <w:sz w:val="22"/>
              </w:rPr>
            </w:pPr>
            <w:r w:rsidRPr="008669C3">
              <w:rPr>
                <w:color w:val="000000"/>
                <w:sz w:val="22"/>
              </w:rPr>
              <w:t>0.214</w:t>
            </w:r>
          </w:p>
        </w:tc>
        <w:tc>
          <w:tcPr>
            <w:tcW w:w="525" w:type="pct"/>
            <w:tcBorders>
              <w:top w:val="nil"/>
              <w:left w:val="nil"/>
              <w:bottom w:val="nil"/>
              <w:right w:val="nil"/>
            </w:tcBorders>
            <w:shd w:val="clear" w:color="auto" w:fill="auto"/>
            <w:noWrap/>
            <w:vAlign w:val="bottom"/>
            <w:hideMark/>
          </w:tcPr>
          <w:p w14:paraId="4CCA63B7" w14:textId="77777777" w:rsidR="006F48F9" w:rsidRPr="008669C3" w:rsidRDefault="006F48F9" w:rsidP="005D0BF5">
            <w:pPr>
              <w:jc w:val="center"/>
              <w:rPr>
                <w:color w:val="000000"/>
                <w:sz w:val="22"/>
              </w:rPr>
            </w:pPr>
            <w:r w:rsidRPr="008669C3">
              <w:rPr>
                <w:color w:val="000000"/>
                <w:sz w:val="22"/>
              </w:rPr>
              <w:t>-0.218</w:t>
            </w:r>
          </w:p>
        </w:tc>
      </w:tr>
      <w:tr w:rsidR="006F48F9" w:rsidRPr="008669C3" w14:paraId="0EEF76FF" w14:textId="77777777" w:rsidTr="005D0BF5">
        <w:trPr>
          <w:trHeight w:val="20"/>
        </w:trPr>
        <w:tc>
          <w:tcPr>
            <w:tcW w:w="1631" w:type="pct"/>
            <w:tcBorders>
              <w:top w:val="nil"/>
              <w:left w:val="nil"/>
              <w:bottom w:val="nil"/>
              <w:right w:val="nil"/>
            </w:tcBorders>
            <w:shd w:val="clear" w:color="auto" w:fill="auto"/>
            <w:noWrap/>
            <w:vAlign w:val="bottom"/>
            <w:hideMark/>
          </w:tcPr>
          <w:p w14:paraId="078D33E9"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4F0D2E43" w14:textId="77777777" w:rsidR="006F48F9" w:rsidRPr="008669C3" w:rsidRDefault="006F48F9" w:rsidP="005D0BF5">
            <w:pPr>
              <w:rPr>
                <w:sz w:val="22"/>
                <w:szCs w:val="20"/>
              </w:rPr>
            </w:pPr>
          </w:p>
        </w:tc>
        <w:tc>
          <w:tcPr>
            <w:tcW w:w="541" w:type="pct"/>
            <w:tcBorders>
              <w:top w:val="nil"/>
              <w:left w:val="nil"/>
              <w:bottom w:val="nil"/>
              <w:right w:val="nil"/>
            </w:tcBorders>
            <w:shd w:val="clear" w:color="auto" w:fill="auto"/>
            <w:noWrap/>
            <w:vAlign w:val="bottom"/>
            <w:hideMark/>
          </w:tcPr>
          <w:p w14:paraId="47B49828" w14:textId="77777777" w:rsidR="006F48F9" w:rsidRPr="008669C3" w:rsidRDefault="006F48F9" w:rsidP="005D0BF5">
            <w:pPr>
              <w:jc w:val="center"/>
              <w:rPr>
                <w:sz w:val="22"/>
                <w:szCs w:val="20"/>
              </w:rPr>
            </w:pPr>
          </w:p>
        </w:tc>
        <w:tc>
          <w:tcPr>
            <w:tcW w:w="141" w:type="pct"/>
            <w:tcBorders>
              <w:top w:val="nil"/>
              <w:left w:val="nil"/>
              <w:bottom w:val="nil"/>
              <w:right w:val="nil"/>
            </w:tcBorders>
            <w:shd w:val="clear" w:color="auto" w:fill="auto"/>
            <w:noWrap/>
            <w:vAlign w:val="bottom"/>
            <w:hideMark/>
          </w:tcPr>
          <w:p w14:paraId="763E0BDF"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455A65F1"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3805B92D" w14:textId="77777777" w:rsidR="006F48F9" w:rsidRPr="008669C3" w:rsidRDefault="006F48F9" w:rsidP="005D0BF5">
            <w:pPr>
              <w:jc w:val="center"/>
              <w:rPr>
                <w:sz w:val="22"/>
                <w:szCs w:val="20"/>
              </w:rPr>
            </w:pPr>
          </w:p>
        </w:tc>
        <w:tc>
          <w:tcPr>
            <w:tcW w:w="141" w:type="pct"/>
            <w:tcBorders>
              <w:top w:val="nil"/>
              <w:left w:val="nil"/>
              <w:bottom w:val="nil"/>
              <w:right w:val="nil"/>
            </w:tcBorders>
            <w:shd w:val="clear" w:color="auto" w:fill="auto"/>
            <w:noWrap/>
            <w:vAlign w:val="bottom"/>
            <w:hideMark/>
          </w:tcPr>
          <w:p w14:paraId="4E9DB908" w14:textId="77777777" w:rsidR="006F48F9" w:rsidRPr="008669C3" w:rsidRDefault="006F48F9" w:rsidP="005D0BF5">
            <w:pPr>
              <w:jc w:val="center"/>
              <w:rPr>
                <w:sz w:val="22"/>
                <w:szCs w:val="20"/>
              </w:rPr>
            </w:pPr>
          </w:p>
        </w:tc>
        <w:tc>
          <w:tcPr>
            <w:tcW w:w="446" w:type="pct"/>
            <w:tcBorders>
              <w:top w:val="nil"/>
              <w:left w:val="nil"/>
              <w:bottom w:val="nil"/>
              <w:right w:val="nil"/>
            </w:tcBorders>
            <w:shd w:val="clear" w:color="auto" w:fill="auto"/>
            <w:noWrap/>
            <w:vAlign w:val="bottom"/>
            <w:hideMark/>
          </w:tcPr>
          <w:p w14:paraId="13D03EE7" w14:textId="77777777" w:rsidR="006F48F9" w:rsidRPr="008669C3" w:rsidRDefault="006F48F9" w:rsidP="005D0BF5">
            <w:pPr>
              <w:jc w:val="center"/>
              <w:rPr>
                <w:color w:val="000000"/>
                <w:sz w:val="22"/>
              </w:rPr>
            </w:pPr>
            <w:r w:rsidRPr="008669C3">
              <w:rPr>
                <w:color w:val="000000"/>
                <w:sz w:val="22"/>
              </w:rPr>
              <w:t>(0.197)</w:t>
            </w:r>
          </w:p>
        </w:tc>
        <w:tc>
          <w:tcPr>
            <w:tcW w:w="525" w:type="pct"/>
            <w:tcBorders>
              <w:top w:val="nil"/>
              <w:left w:val="nil"/>
              <w:bottom w:val="nil"/>
              <w:right w:val="nil"/>
            </w:tcBorders>
            <w:shd w:val="clear" w:color="auto" w:fill="auto"/>
            <w:noWrap/>
            <w:vAlign w:val="bottom"/>
            <w:hideMark/>
          </w:tcPr>
          <w:p w14:paraId="3709D2F9" w14:textId="77777777" w:rsidR="006F48F9" w:rsidRPr="008669C3" w:rsidRDefault="006F48F9" w:rsidP="005D0BF5">
            <w:pPr>
              <w:jc w:val="center"/>
              <w:rPr>
                <w:color w:val="000000"/>
                <w:sz w:val="22"/>
              </w:rPr>
            </w:pPr>
            <w:r w:rsidRPr="008669C3">
              <w:rPr>
                <w:color w:val="000000"/>
                <w:sz w:val="22"/>
              </w:rPr>
              <w:t>(0.196)</w:t>
            </w:r>
          </w:p>
        </w:tc>
      </w:tr>
      <w:tr w:rsidR="006F48F9" w:rsidRPr="008669C3" w14:paraId="2C96A662" w14:textId="77777777" w:rsidTr="005D0BF5">
        <w:trPr>
          <w:trHeight w:val="20"/>
        </w:trPr>
        <w:tc>
          <w:tcPr>
            <w:tcW w:w="1631" w:type="pct"/>
            <w:tcBorders>
              <w:top w:val="nil"/>
              <w:left w:val="nil"/>
              <w:bottom w:val="nil"/>
              <w:right w:val="nil"/>
            </w:tcBorders>
            <w:shd w:val="clear" w:color="auto" w:fill="auto"/>
            <w:noWrap/>
            <w:vAlign w:val="bottom"/>
            <w:hideMark/>
          </w:tcPr>
          <w:p w14:paraId="13B4D4A1" w14:textId="2B1E15D5" w:rsidR="006F48F9" w:rsidRPr="008669C3" w:rsidRDefault="006F48F9" w:rsidP="005D0BF5">
            <w:pPr>
              <w:rPr>
                <w:color w:val="000000"/>
                <w:sz w:val="22"/>
              </w:rPr>
            </w:pPr>
            <w:r w:rsidRPr="008669C3">
              <w:rPr>
                <w:color w:val="000000"/>
                <w:sz w:val="22"/>
              </w:rPr>
              <w:t>Ln(Sale</w:t>
            </w:r>
            <w:r w:rsidR="00B03ABA" w:rsidRPr="008669C3">
              <w:rPr>
                <w:color w:val="000000"/>
                <w:sz w:val="22"/>
              </w:rPr>
              <w:t>s</w:t>
            </w:r>
            <w:r w:rsidRPr="008669C3">
              <w:rPr>
                <w:color w:val="000000"/>
                <w:sz w:val="22"/>
              </w:rPr>
              <w:t>)</w:t>
            </w:r>
          </w:p>
        </w:tc>
        <w:tc>
          <w:tcPr>
            <w:tcW w:w="525" w:type="pct"/>
            <w:tcBorders>
              <w:top w:val="nil"/>
              <w:left w:val="nil"/>
              <w:bottom w:val="nil"/>
              <w:right w:val="nil"/>
            </w:tcBorders>
            <w:shd w:val="clear" w:color="auto" w:fill="auto"/>
            <w:noWrap/>
            <w:vAlign w:val="bottom"/>
            <w:hideMark/>
          </w:tcPr>
          <w:p w14:paraId="1B4DDC9D" w14:textId="77777777" w:rsidR="006F48F9" w:rsidRPr="008669C3" w:rsidRDefault="006F48F9" w:rsidP="005D0BF5">
            <w:pPr>
              <w:jc w:val="center"/>
              <w:rPr>
                <w:color w:val="000000"/>
                <w:sz w:val="22"/>
              </w:rPr>
            </w:pPr>
            <w:r w:rsidRPr="008669C3">
              <w:rPr>
                <w:color w:val="000000"/>
                <w:sz w:val="22"/>
              </w:rPr>
              <w:t>0.238</w:t>
            </w:r>
          </w:p>
        </w:tc>
        <w:tc>
          <w:tcPr>
            <w:tcW w:w="541" w:type="pct"/>
            <w:tcBorders>
              <w:top w:val="nil"/>
              <w:left w:val="nil"/>
              <w:bottom w:val="nil"/>
              <w:right w:val="nil"/>
            </w:tcBorders>
            <w:shd w:val="clear" w:color="auto" w:fill="auto"/>
            <w:noWrap/>
            <w:vAlign w:val="bottom"/>
            <w:hideMark/>
          </w:tcPr>
          <w:p w14:paraId="15152863" w14:textId="77777777" w:rsidR="006F48F9" w:rsidRPr="008669C3" w:rsidRDefault="006F48F9" w:rsidP="005D0BF5">
            <w:pPr>
              <w:jc w:val="center"/>
              <w:rPr>
                <w:color w:val="000000"/>
                <w:sz w:val="22"/>
              </w:rPr>
            </w:pPr>
            <w:r w:rsidRPr="008669C3">
              <w:rPr>
                <w:color w:val="000000"/>
                <w:sz w:val="22"/>
              </w:rPr>
              <w:t>-0.214</w:t>
            </w:r>
          </w:p>
        </w:tc>
        <w:tc>
          <w:tcPr>
            <w:tcW w:w="141" w:type="pct"/>
            <w:tcBorders>
              <w:top w:val="nil"/>
              <w:left w:val="nil"/>
              <w:bottom w:val="nil"/>
              <w:right w:val="nil"/>
            </w:tcBorders>
            <w:shd w:val="clear" w:color="auto" w:fill="auto"/>
            <w:noWrap/>
            <w:vAlign w:val="bottom"/>
            <w:hideMark/>
          </w:tcPr>
          <w:p w14:paraId="67BB1E07"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107BD800" w14:textId="77777777" w:rsidR="006F48F9" w:rsidRPr="008669C3" w:rsidRDefault="006F48F9" w:rsidP="005D0BF5">
            <w:pPr>
              <w:jc w:val="center"/>
              <w:rPr>
                <w:color w:val="000000"/>
                <w:sz w:val="22"/>
              </w:rPr>
            </w:pPr>
            <w:r w:rsidRPr="008669C3">
              <w:rPr>
                <w:color w:val="000000"/>
                <w:sz w:val="22"/>
              </w:rPr>
              <w:t>0.595</w:t>
            </w:r>
            <w:r w:rsidRPr="008669C3">
              <w:rPr>
                <w:color w:val="000000"/>
                <w:sz w:val="20"/>
              </w:rPr>
              <w:t>**</w:t>
            </w:r>
          </w:p>
        </w:tc>
        <w:tc>
          <w:tcPr>
            <w:tcW w:w="525" w:type="pct"/>
            <w:tcBorders>
              <w:top w:val="nil"/>
              <w:left w:val="nil"/>
              <w:bottom w:val="nil"/>
              <w:right w:val="nil"/>
            </w:tcBorders>
            <w:shd w:val="clear" w:color="auto" w:fill="auto"/>
            <w:noWrap/>
            <w:vAlign w:val="bottom"/>
            <w:hideMark/>
          </w:tcPr>
          <w:p w14:paraId="7A1A293A" w14:textId="77777777" w:rsidR="006F48F9" w:rsidRPr="008669C3" w:rsidRDefault="006F48F9" w:rsidP="005D0BF5">
            <w:pPr>
              <w:jc w:val="center"/>
              <w:rPr>
                <w:color w:val="000000"/>
                <w:sz w:val="22"/>
              </w:rPr>
            </w:pPr>
            <w:r w:rsidRPr="008669C3">
              <w:rPr>
                <w:color w:val="000000"/>
                <w:sz w:val="22"/>
              </w:rPr>
              <w:t>0.337</w:t>
            </w:r>
          </w:p>
        </w:tc>
        <w:tc>
          <w:tcPr>
            <w:tcW w:w="141" w:type="pct"/>
            <w:tcBorders>
              <w:top w:val="nil"/>
              <w:left w:val="nil"/>
              <w:bottom w:val="nil"/>
              <w:right w:val="nil"/>
            </w:tcBorders>
            <w:shd w:val="clear" w:color="auto" w:fill="auto"/>
            <w:noWrap/>
            <w:vAlign w:val="bottom"/>
            <w:hideMark/>
          </w:tcPr>
          <w:p w14:paraId="58AC7CDF" w14:textId="77777777" w:rsidR="006F48F9" w:rsidRPr="008669C3" w:rsidRDefault="006F48F9" w:rsidP="005D0BF5">
            <w:pPr>
              <w:jc w:val="center"/>
              <w:rPr>
                <w:color w:val="000000"/>
                <w:sz w:val="22"/>
              </w:rPr>
            </w:pPr>
          </w:p>
        </w:tc>
        <w:tc>
          <w:tcPr>
            <w:tcW w:w="446" w:type="pct"/>
            <w:tcBorders>
              <w:top w:val="nil"/>
              <w:left w:val="nil"/>
              <w:bottom w:val="nil"/>
              <w:right w:val="nil"/>
            </w:tcBorders>
            <w:shd w:val="clear" w:color="auto" w:fill="auto"/>
            <w:noWrap/>
            <w:vAlign w:val="bottom"/>
            <w:hideMark/>
          </w:tcPr>
          <w:p w14:paraId="6C3F58F1" w14:textId="77777777" w:rsidR="006F48F9" w:rsidRPr="008669C3" w:rsidRDefault="006F48F9" w:rsidP="005D0BF5">
            <w:pPr>
              <w:jc w:val="center"/>
              <w:rPr>
                <w:color w:val="000000"/>
                <w:sz w:val="22"/>
              </w:rPr>
            </w:pPr>
            <w:r w:rsidRPr="008669C3">
              <w:rPr>
                <w:color w:val="000000"/>
                <w:sz w:val="22"/>
              </w:rPr>
              <w:t>0.389</w:t>
            </w:r>
            <w:r w:rsidRPr="008669C3">
              <w:rPr>
                <w:color w:val="000000"/>
                <w:sz w:val="20"/>
              </w:rPr>
              <w:t>*</w:t>
            </w:r>
          </w:p>
        </w:tc>
        <w:tc>
          <w:tcPr>
            <w:tcW w:w="525" w:type="pct"/>
            <w:tcBorders>
              <w:top w:val="nil"/>
              <w:left w:val="nil"/>
              <w:bottom w:val="nil"/>
              <w:right w:val="nil"/>
            </w:tcBorders>
            <w:shd w:val="clear" w:color="auto" w:fill="auto"/>
            <w:noWrap/>
            <w:vAlign w:val="bottom"/>
            <w:hideMark/>
          </w:tcPr>
          <w:p w14:paraId="5543FEE6" w14:textId="77777777" w:rsidR="006F48F9" w:rsidRPr="008669C3" w:rsidRDefault="006F48F9" w:rsidP="005D0BF5">
            <w:pPr>
              <w:jc w:val="center"/>
              <w:rPr>
                <w:color w:val="000000"/>
                <w:sz w:val="22"/>
              </w:rPr>
            </w:pPr>
            <w:r w:rsidRPr="008669C3">
              <w:rPr>
                <w:color w:val="000000"/>
                <w:sz w:val="22"/>
              </w:rPr>
              <w:t>0.030</w:t>
            </w:r>
          </w:p>
        </w:tc>
      </w:tr>
      <w:tr w:rsidR="006F48F9" w:rsidRPr="008669C3" w14:paraId="17980E7A" w14:textId="77777777" w:rsidTr="005D0BF5">
        <w:trPr>
          <w:trHeight w:val="20"/>
        </w:trPr>
        <w:tc>
          <w:tcPr>
            <w:tcW w:w="1631" w:type="pct"/>
            <w:tcBorders>
              <w:top w:val="nil"/>
              <w:left w:val="nil"/>
              <w:bottom w:val="single" w:sz="4" w:space="0" w:color="auto"/>
              <w:right w:val="nil"/>
            </w:tcBorders>
            <w:shd w:val="clear" w:color="auto" w:fill="auto"/>
            <w:noWrap/>
            <w:vAlign w:val="bottom"/>
            <w:hideMark/>
          </w:tcPr>
          <w:p w14:paraId="2A79B580" w14:textId="77777777" w:rsidR="006F48F9" w:rsidRPr="008669C3" w:rsidRDefault="006F48F9" w:rsidP="005D0BF5">
            <w:pPr>
              <w:rPr>
                <w:color w:val="000000"/>
                <w:sz w:val="22"/>
              </w:rPr>
            </w:pPr>
            <w:r w:rsidRPr="008669C3">
              <w:rPr>
                <w:color w:val="000000"/>
                <w:sz w:val="22"/>
              </w:rPr>
              <w:t> </w:t>
            </w:r>
          </w:p>
        </w:tc>
        <w:tc>
          <w:tcPr>
            <w:tcW w:w="525" w:type="pct"/>
            <w:tcBorders>
              <w:top w:val="nil"/>
              <w:left w:val="nil"/>
              <w:bottom w:val="single" w:sz="4" w:space="0" w:color="auto"/>
              <w:right w:val="nil"/>
            </w:tcBorders>
            <w:shd w:val="clear" w:color="auto" w:fill="auto"/>
            <w:noWrap/>
            <w:vAlign w:val="bottom"/>
            <w:hideMark/>
          </w:tcPr>
          <w:p w14:paraId="1A34B64F" w14:textId="77777777" w:rsidR="006F48F9" w:rsidRPr="008669C3" w:rsidRDefault="006F48F9" w:rsidP="005D0BF5">
            <w:pPr>
              <w:jc w:val="center"/>
              <w:rPr>
                <w:color w:val="000000"/>
                <w:sz w:val="22"/>
              </w:rPr>
            </w:pPr>
            <w:r w:rsidRPr="008669C3">
              <w:rPr>
                <w:color w:val="000000"/>
                <w:sz w:val="22"/>
              </w:rPr>
              <w:t>(0.403)</w:t>
            </w:r>
          </w:p>
        </w:tc>
        <w:tc>
          <w:tcPr>
            <w:tcW w:w="541" w:type="pct"/>
            <w:tcBorders>
              <w:top w:val="nil"/>
              <w:left w:val="nil"/>
              <w:bottom w:val="single" w:sz="4" w:space="0" w:color="auto"/>
              <w:right w:val="nil"/>
            </w:tcBorders>
            <w:shd w:val="clear" w:color="auto" w:fill="auto"/>
            <w:noWrap/>
            <w:vAlign w:val="bottom"/>
            <w:hideMark/>
          </w:tcPr>
          <w:p w14:paraId="7342C120" w14:textId="77777777" w:rsidR="006F48F9" w:rsidRPr="008669C3" w:rsidRDefault="006F48F9" w:rsidP="005D0BF5">
            <w:pPr>
              <w:jc w:val="center"/>
              <w:rPr>
                <w:color w:val="000000"/>
                <w:sz w:val="22"/>
              </w:rPr>
            </w:pPr>
            <w:r w:rsidRPr="008669C3">
              <w:rPr>
                <w:color w:val="000000"/>
                <w:sz w:val="22"/>
              </w:rPr>
              <w:t>(0.357)</w:t>
            </w:r>
          </w:p>
        </w:tc>
        <w:tc>
          <w:tcPr>
            <w:tcW w:w="141" w:type="pct"/>
            <w:tcBorders>
              <w:top w:val="nil"/>
              <w:left w:val="nil"/>
              <w:bottom w:val="single" w:sz="4" w:space="0" w:color="auto"/>
              <w:right w:val="nil"/>
            </w:tcBorders>
            <w:shd w:val="clear" w:color="auto" w:fill="auto"/>
            <w:noWrap/>
            <w:vAlign w:val="bottom"/>
            <w:hideMark/>
          </w:tcPr>
          <w:p w14:paraId="62F7CCF4" w14:textId="77777777" w:rsidR="006F48F9" w:rsidRPr="008669C3" w:rsidRDefault="006F48F9" w:rsidP="005D0BF5">
            <w:pPr>
              <w:jc w:val="center"/>
              <w:rPr>
                <w:color w:val="000000"/>
                <w:sz w:val="22"/>
              </w:rPr>
            </w:pPr>
            <w:r w:rsidRPr="008669C3">
              <w:rPr>
                <w:color w:val="000000"/>
                <w:sz w:val="22"/>
              </w:rPr>
              <w:t> </w:t>
            </w:r>
          </w:p>
        </w:tc>
        <w:tc>
          <w:tcPr>
            <w:tcW w:w="525" w:type="pct"/>
            <w:tcBorders>
              <w:top w:val="nil"/>
              <w:left w:val="nil"/>
              <w:bottom w:val="single" w:sz="4" w:space="0" w:color="auto"/>
              <w:right w:val="nil"/>
            </w:tcBorders>
            <w:shd w:val="clear" w:color="auto" w:fill="auto"/>
            <w:noWrap/>
            <w:vAlign w:val="bottom"/>
            <w:hideMark/>
          </w:tcPr>
          <w:p w14:paraId="577E8EDF" w14:textId="77777777" w:rsidR="006F48F9" w:rsidRPr="008669C3" w:rsidRDefault="006F48F9" w:rsidP="005D0BF5">
            <w:pPr>
              <w:jc w:val="center"/>
              <w:rPr>
                <w:color w:val="000000"/>
                <w:sz w:val="22"/>
              </w:rPr>
            </w:pPr>
            <w:r w:rsidRPr="008669C3">
              <w:rPr>
                <w:color w:val="000000"/>
                <w:sz w:val="22"/>
              </w:rPr>
              <w:t>(0.236)</w:t>
            </w:r>
          </w:p>
        </w:tc>
        <w:tc>
          <w:tcPr>
            <w:tcW w:w="525" w:type="pct"/>
            <w:tcBorders>
              <w:top w:val="nil"/>
              <w:left w:val="nil"/>
              <w:bottom w:val="single" w:sz="4" w:space="0" w:color="auto"/>
              <w:right w:val="nil"/>
            </w:tcBorders>
            <w:shd w:val="clear" w:color="auto" w:fill="auto"/>
            <w:noWrap/>
            <w:vAlign w:val="bottom"/>
            <w:hideMark/>
          </w:tcPr>
          <w:p w14:paraId="2D3BDFDF" w14:textId="77777777" w:rsidR="006F48F9" w:rsidRPr="008669C3" w:rsidRDefault="006F48F9" w:rsidP="005D0BF5">
            <w:pPr>
              <w:jc w:val="center"/>
              <w:rPr>
                <w:color w:val="000000"/>
                <w:sz w:val="22"/>
              </w:rPr>
            </w:pPr>
            <w:r w:rsidRPr="008669C3">
              <w:rPr>
                <w:color w:val="000000"/>
                <w:sz w:val="22"/>
              </w:rPr>
              <w:t>(0.248)</w:t>
            </w:r>
          </w:p>
        </w:tc>
        <w:tc>
          <w:tcPr>
            <w:tcW w:w="141" w:type="pct"/>
            <w:tcBorders>
              <w:top w:val="nil"/>
              <w:left w:val="nil"/>
              <w:bottom w:val="single" w:sz="4" w:space="0" w:color="auto"/>
              <w:right w:val="nil"/>
            </w:tcBorders>
            <w:shd w:val="clear" w:color="auto" w:fill="auto"/>
            <w:noWrap/>
            <w:vAlign w:val="bottom"/>
            <w:hideMark/>
          </w:tcPr>
          <w:p w14:paraId="6D084633" w14:textId="77777777" w:rsidR="006F48F9" w:rsidRPr="008669C3" w:rsidRDefault="006F48F9" w:rsidP="005D0BF5">
            <w:pPr>
              <w:jc w:val="center"/>
              <w:rPr>
                <w:color w:val="000000"/>
                <w:sz w:val="22"/>
              </w:rPr>
            </w:pPr>
            <w:r w:rsidRPr="008669C3">
              <w:rPr>
                <w:color w:val="000000"/>
                <w:sz w:val="22"/>
              </w:rPr>
              <w:t> </w:t>
            </w:r>
          </w:p>
        </w:tc>
        <w:tc>
          <w:tcPr>
            <w:tcW w:w="446" w:type="pct"/>
            <w:tcBorders>
              <w:top w:val="nil"/>
              <w:left w:val="nil"/>
              <w:bottom w:val="single" w:sz="4" w:space="0" w:color="auto"/>
              <w:right w:val="nil"/>
            </w:tcBorders>
            <w:shd w:val="clear" w:color="auto" w:fill="auto"/>
            <w:noWrap/>
            <w:vAlign w:val="bottom"/>
            <w:hideMark/>
          </w:tcPr>
          <w:p w14:paraId="717A0AB6" w14:textId="77777777" w:rsidR="006F48F9" w:rsidRPr="008669C3" w:rsidRDefault="006F48F9" w:rsidP="005D0BF5">
            <w:pPr>
              <w:jc w:val="center"/>
              <w:rPr>
                <w:color w:val="000000"/>
                <w:sz w:val="22"/>
              </w:rPr>
            </w:pPr>
            <w:r w:rsidRPr="008669C3">
              <w:rPr>
                <w:color w:val="000000"/>
                <w:sz w:val="22"/>
              </w:rPr>
              <w:t>(0.220)</w:t>
            </w:r>
          </w:p>
        </w:tc>
        <w:tc>
          <w:tcPr>
            <w:tcW w:w="525" w:type="pct"/>
            <w:tcBorders>
              <w:top w:val="nil"/>
              <w:left w:val="nil"/>
              <w:bottom w:val="single" w:sz="4" w:space="0" w:color="auto"/>
              <w:right w:val="nil"/>
            </w:tcBorders>
            <w:shd w:val="clear" w:color="auto" w:fill="auto"/>
            <w:noWrap/>
            <w:vAlign w:val="bottom"/>
            <w:hideMark/>
          </w:tcPr>
          <w:p w14:paraId="71F9CF71" w14:textId="77777777" w:rsidR="006F48F9" w:rsidRPr="008669C3" w:rsidRDefault="006F48F9" w:rsidP="005D0BF5">
            <w:pPr>
              <w:jc w:val="center"/>
              <w:rPr>
                <w:color w:val="000000"/>
                <w:sz w:val="22"/>
              </w:rPr>
            </w:pPr>
            <w:r w:rsidRPr="008669C3">
              <w:rPr>
                <w:color w:val="000000"/>
                <w:sz w:val="22"/>
              </w:rPr>
              <w:t>(0.200)</w:t>
            </w:r>
          </w:p>
        </w:tc>
      </w:tr>
      <w:tr w:rsidR="006F48F9" w:rsidRPr="008669C3" w14:paraId="770D0D59" w14:textId="77777777" w:rsidTr="005D0BF5">
        <w:trPr>
          <w:trHeight w:val="20"/>
        </w:trPr>
        <w:tc>
          <w:tcPr>
            <w:tcW w:w="1631" w:type="pct"/>
            <w:tcBorders>
              <w:top w:val="nil"/>
              <w:left w:val="nil"/>
              <w:bottom w:val="nil"/>
              <w:right w:val="nil"/>
            </w:tcBorders>
            <w:shd w:val="clear" w:color="auto" w:fill="auto"/>
            <w:noWrap/>
            <w:vAlign w:val="bottom"/>
          </w:tcPr>
          <w:p w14:paraId="3F700B81" w14:textId="77777777" w:rsidR="006F48F9" w:rsidRPr="008669C3" w:rsidRDefault="006F48F9" w:rsidP="005D0BF5">
            <w:pPr>
              <w:rPr>
                <w:color w:val="000000"/>
                <w:sz w:val="22"/>
              </w:rPr>
            </w:pPr>
            <w:r w:rsidRPr="008669C3">
              <w:rPr>
                <w:color w:val="000000"/>
                <w:sz w:val="22"/>
              </w:rPr>
              <w:t>All controls</w:t>
            </w:r>
          </w:p>
        </w:tc>
        <w:tc>
          <w:tcPr>
            <w:tcW w:w="525" w:type="pct"/>
            <w:tcBorders>
              <w:top w:val="nil"/>
              <w:left w:val="nil"/>
              <w:bottom w:val="nil"/>
              <w:right w:val="nil"/>
            </w:tcBorders>
            <w:shd w:val="clear" w:color="auto" w:fill="auto"/>
            <w:noWrap/>
            <w:vAlign w:val="bottom"/>
          </w:tcPr>
          <w:p w14:paraId="48761BA5" w14:textId="77777777" w:rsidR="006F48F9" w:rsidRPr="008669C3" w:rsidRDefault="006F48F9" w:rsidP="005D0BF5">
            <w:pPr>
              <w:jc w:val="center"/>
              <w:rPr>
                <w:color w:val="000000"/>
                <w:sz w:val="22"/>
              </w:rPr>
            </w:pPr>
            <w:r w:rsidRPr="008669C3">
              <w:rPr>
                <w:color w:val="000000"/>
                <w:sz w:val="22"/>
              </w:rPr>
              <w:t>Yes</w:t>
            </w:r>
          </w:p>
        </w:tc>
        <w:tc>
          <w:tcPr>
            <w:tcW w:w="541" w:type="pct"/>
            <w:tcBorders>
              <w:top w:val="nil"/>
              <w:left w:val="nil"/>
              <w:bottom w:val="nil"/>
              <w:right w:val="nil"/>
            </w:tcBorders>
            <w:shd w:val="clear" w:color="auto" w:fill="auto"/>
            <w:noWrap/>
            <w:vAlign w:val="bottom"/>
          </w:tcPr>
          <w:p w14:paraId="760F633A" w14:textId="77777777" w:rsidR="006F48F9" w:rsidRPr="008669C3" w:rsidRDefault="006F48F9" w:rsidP="005D0BF5">
            <w:pPr>
              <w:jc w:val="center"/>
              <w:rPr>
                <w:color w:val="000000"/>
                <w:sz w:val="22"/>
              </w:rPr>
            </w:pPr>
            <w:r w:rsidRPr="008669C3">
              <w:rPr>
                <w:color w:val="000000"/>
                <w:sz w:val="22"/>
              </w:rPr>
              <w:t>Yes</w:t>
            </w:r>
          </w:p>
        </w:tc>
        <w:tc>
          <w:tcPr>
            <w:tcW w:w="141" w:type="pct"/>
            <w:tcBorders>
              <w:top w:val="nil"/>
              <w:left w:val="nil"/>
              <w:bottom w:val="nil"/>
              <w:right w:val="nil"/>
            </w:tcBorders>
            <w:shd w:val="clear" w:color="auto" w:fill="auto"/>
            <w:noWrap/>
            <w:vAlign w:val="bottom"/>
          </w:tcPr>
          <w:p w14:paraId="475EA38D"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tcPr>
          <w:p w14:paraId="14B53F41" w14:textId="77777777" w:rsidR="006F48F9" w:rsidRPr="008669C3" w:rsidRDefault="006F48F9" w:rsidP="005D0BF5">
            <w:pPr>
              <w:jc w:val="center"/>
              <w:rPr>
                <w:color w:val="000000"/>
                <w:sz w:val="22"/>
              </w:rPr>
            </w:pPr>
            <w:r w:rsidRPr="008669C3">
              <w:rPr>
                <w:color w:val="000000"/>
                <w:sz w:val="22"/>
              </w:rPr>
              <w:t>Yes</w:t>
            </w:r>
          </w:p>
        </w:tc>
        <w:tc>
          <w:tcPr>
            <w:tcW w:w="525" w:type="pct"/>
            <w:tcBorders>
              <w:top w:val="nil"/>
              <w:left w:val="nil"/>
              <w:bottom w:val="nil"/>
              <w:right w:val="nil"/>
            </w:tcBorders>
            <w:shd w:val="clear" w:color="auto" w:fill="auto"/>
            <w:noWrap/>
            <w:vAlign w:val="bottom"/>
          </w:tcPr>
          <w:p w14:paraId="08484ABA" w14:textId="77777777" w:rsidR="006F48F9" w:rsidRPr="008669C3" w:rsidRDefault="006F48F9" w:rsidP="005D0BF5">
            <w:pPr>
              <w:jc w:val="center"/>
              <w:rPr>
                <w:color w:val="000000"/>
                <w:sz w:val="22"/>
              </w:rPr>
            </w:pPr>
            <w:r w:rsidRPr="008669C3">
              <w:rPr>
                <w:color w:val="000000"/>
                <w:sz w:val="22"/>
              </w:rPr>
              <w:t>Yes</w:t>
            </w:r>
          </w:p>
        </w:tc>
        <w:tc>
          <w:tcPr>
            <w:tcW w:w="141" w:type="pct"/>
            <w:tcBorders>
              <w:top w:val="nil"/>
              <w:left w:val="nil"/>
              <w:bottom w:val="nil"/>
              <w:right w:val="nil"/>
            </w:tcBorders>
            <w:shd w:val="clear" w:color="auto" w:fill="auto"/>
            <w:noWrap/>
            <w:vAlign w:val="bottom"/>
          </w:tcPr>
          <w:p w14:paraId="58677831" w14:textId="77777777" w:rsidR="006F48F9" w:rsidRPr="008669C3" w:rsidRDefault="006F48F9" w:rsidP="005D0BF5">
            <w:pPr>
              <w:jc w:val="center"/>
              <w:rPr>
                <w:sz w:val="22"/>
                <w:szCs w:val="20"/>
              </w:rPr>
            </w:pPr>
          </w:p>
        </w:tc>
        <w:tc>
          <w:tcPr>
            <w:tcW w:w="446" w:type="pct"/>
            <w:tcBorders>
              <w:top w:val="nil"/>
              <w:left w:val="nil"/>
              <w:bottom w:val="nil"/>
              <w:right w:val="nil"/>
            </w:tcBorders>
            <w:shd w:val="clear" w:color="auto" w:fill="auto"/>
            <w:noWrap/>
            <w:vAlign w:val="bottom"/>
          </w:tcPr>
          <w:p w14:paraId="147AD99A" w14:textId="77777777" w:rsidR="006F48F9" w:rsidRPr="008669C3" w:rsidRDefault="006F48F9" w:rsidP="005D0BF5">
            <w:pPr>
              <w:jc w:val="center"/>
              <w:rPr>
                <w:color w:val="000000"/>
                <w:sz w:val="22"/>
              </w:rPr>
            </w:pPr>
            <w:r w:rsidRPr="008669C3">
              <w:rPr>
                <w:color w:val="000000"/>
                <w:sz w:val="22"/>
              </w:rPr>
              <w:t>Yes</w:t>
            </w:r>
          </w:p>
        </w:tc>
        <w:tc>
          <w:tcPr>
            <w:tcW w:w="525" w:type="pct"/>
            <w:tcBorders>
              <w:top w:val="nil"/>
              <w:left w:val="nil"/>
              <w:bottom w:val="nil"/>
              <w:right w:val="nil"/>
            </w:tcBorders>
            <w:shd w:val="clear" w:color="auto" w:fill="auto"/>
            <w:noWrap/>
            <w:vAlign w:val="bottom"/>
          </w:tcPr>
          <w:p w14:paraId="47FAAEB4" w14:textId="77777777" w:rsidR="006F48F9" w:rsidRPr="008669C3" w:rsidRDefault="006F48F9" w:rsidP="005D0BF5">
            <w:pPr>
              <w:jc w:val="center"/>
              <w:rPr>
                <w:color w:val="000000"/>
                <w:sz w:val="22"/>
              </w:rPr>
            </w:pPr>
            <w:r w:rsidRPr="008669C3">
              <w:rPr>
                <w:color w:val="000000"/>
                <w:sz w:val="22"/>
              </w:rPr>
              <w:t>Yes</w:t>
            </w:r>
          </w:p>
        </w:tc>
      </w:tr>
      <w:tr w:rsidR="006F48F9" w:rsidRPr="008669C3" w14:paraId="0C2AFD7D" w14:textId="77777777" w:rsidTr="005D0BF5">
        <w:trPr>
          <w:trHeight w:val="20"/>
        </w:trPr>
        <w:tc>
          <w:tcPr>
            <w:tcW w:w="1631" w:type="pct"/>
            <w:tcBorders>
              <w:top w:val="nil"/>
              <w:left w:val="nil"/>
              <w:bottom w:val="nil"/>
              <w:right w:val="nil"/>
            </w:tcBorders>
            <w:shd w:val="clear" w:color="auto" w:fill="auto"/>
            <w:noWrap/>
            <w:vAlign w:val="bottom"/>
            <w:hideMark/>
          </w:tcPr>
          <w:p w14:paraId="4AC606FE" w14:textId="77777777" w:rsidR="006F48F9" w:rsidRPr="008669C3" w:rsidRDefault="006F48F9" w:rsidP="005D0BF5">
            <w:pPr>
              <w:rPr>
                <w:color w:val="000000"/>
                <w:sz w:val="22"/>
              </w:rPr>
            </w:pPr>
            <w:r w:rsidRPr="008669C3">
              <w:rPr>
                <w:color w:val="000000"/>
                <w:sz w:val="22"/>
              </w:rPr>
              <w:t>Firm FE</w:t>
            </w:r>
          </w:p>
        </w:tc>
        <w:tc>
          <w:tcPr>
            <w:tcW w:w="525" w:type="pct"/>
            <w:tcBorders>
              <w:top w:val="nil"/>
              <w:left w:val="nil"/>
              <w:bottom w:val="nil"/>
              <w:right w:val="nil"/>
            </w:tcBorders>
            <w:shd w:val="clear" w:color="auto" w:fill="auto"/>
            <w:noWrap/>
            <w:vAlign w:val="bottom"/>
            <w:hideMark/>
          </w:tcPr>
          <w:p w14:paraId="2A071B43" w14:textId="77777777" w:rsidR="006F48F9" w:rsidRPr="008669C3" w:rsidRDefault="006F48F9" w:rsidP="005D0BF5">
            <w:pPr>
              <w:jc w:val="center"/>
              <w:rPr>
                <w:color w:val="000000"/>
                <w:sz w:val="22"/>
              </w:rPr>
            </w:pPr>
            <w:r w:rsidRPr="008669C3">
              <w:rPr>
                <w:color w:val="000000"/>
                <w:sz w:val="22"/>
              </w:rPr>
              <w:t>Yes</w:t>
            </w:r>
          </w:p>
        </w:tc>
        <w:tc>
          <w:tcPr>
            <w:tcW w:w="541" w:type="pct"/>
            <w:tcBorders>
              <w:top w:val="nil"/>
              <w:left w:val="nil"/>
              <w:bottom w:val="nil"/>
              <w:right w:val="nil"/>
            </w:tcBorders>
            <w:shd w:val="clear" w:color="auto" w:fill="auto"/>
            <w:noWrap/>
            <w:vAlign w:val="bottom"/>
            <w:hideMark/>
          </w:tcPr>
          <w:p w14:paraId="6DAD9CC6" w14:textId="77777777" w:rsidR="006F48F9" w:rsidRPr="008669C3" w:rsidRDefault="006F48F9" w:rsidP="005D0BF5">
            <w:pPr>
              <w:jc w:val="center"/>
              <w:rPr>
                <w:color w:val="000000"/>
                <w:sz w:val="22"/>
              </w:rPr>
            </w:pPr>
            <w:r w:rsidRPr="008669C3">
              <w:rPr>
                <w:color w:val="000000"/>
                <w:sz w:val="22"/>
              </w:rPr>
              <w:t>No</w:t>
            </w:r>
          </w:p>
        </w:tc>
        <w:tc>
          <w:tcPr>
            <w:tcW w:w="141" w:type="pct"/>
            <w:tcBorders>
              <w:top w:val="nil"/>
              <w:left w:val="nil"/>
              <w:bottom w:val="nil"/>
              <w:right w:val="nil"/>
            </w:tcBorders>
            <w:shd w:val="clear" w:color="auto" w:fill="auto"/>
            <w:noWrap/>
            <w:vAlign w:val="bottom"/>
            <w:hideMark/>
          </w:tcPr>
          <w:p w14:paraId="3864440D"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799384C1" w14:textId="77777777" w:rsidR="006F48F9" w:rsidRPr="008669C3" w:rsidRDefault="006F48F9" w:rsidP="005D0BF5">
            <w:pPr>
              <w:jc w:val="center"/>
              <w:rPr>
                <w:color w:val="000000"/>
                <w:sz w:val="22"/>
              </w:rPr>
            </w:pPr>
            <w:r w:rsidRPr="008669C3">
              <w:rPr>
                <w:color w:val="000000"/>
                <w:sz w:val="22"/>
              </w:rPr>
              <w:t>Yes</w:t>
            </w:r>
          </w:p>
        </w:tc>
        <w:tc>
          <w:tcPr>
            <w:tcW w:w="525" w:type="pct"/>
            <w:tcBorders>
              <w:top w:val="nil"/>
              <w:left w:val="nil"/>
              <w:bottom w:val="nil"/>
              <w:right w:val="nil"/>
            </w:tcBorders>
            <w:shd w:val="clear" w:color="auto" w:fill="auto"/>
            <w:noWrap/>
            <w:vAlign w:val="bottom"/>
            <w:hideMark/>
          </w:tcPr>
          <w:p w14:paraId="2B58DEBE" w14:textId="77777777" w:rsidR="006F48F9" w:rsidRPr="008669C3" w:rsidRDefault="006F48F9" w:rsidP="005D0BF5">
            <w:pPr>
              <w:jc w:val="center"/>
              <w:rPr>
                <w:color w:val="000000"/>
                <w:sz w:val="22"/>
              </w:rPr>
            </w:pPr>
            <w:r w:rsidRPr="008669C3">
              <w:rPr>
                <w:color w:val="000000"/>
                <w:sz w:val="22"/>
              </w:rPr>
              <w:t>No</w:t>
            </w:r>
          </w:p>
        </w:tc>
        <w:tc>
          <w:tcPr>
            <w:tcW w:w="141" w:type="pct"/>
            <w:tcBorders>
              <w:top w:val="nil"/>
              <w:left w:val="nil"/>
              <w:bottom w:val="nil"/>
              <w:right w:val="nil"/>
            </w:tcBorders>
            <w:shd w:val="clear" w:color="auto" w:fill="auto"/>
            <w:noWrap/>
            <w:vAlign w:val="bottom"/>
            <w:hideMark/>
          </w:tcPr>
          <w:p w14:paraId="0B65F7F8" w14:textId="77777777" w:rsidR="006F48F9" w:rsidRPr="008669C3" w:rsidRDefault="006F48F9" w:rsidP="005D0BF5">
            <w:pPr>
              <w:jc w:val="center"/>
              <w:rPr>
                <w:sz w:val="22"/>
                <w:szCs w:val="20"/>
              </w:rPr>
            </w:pPr>
          </w:p>
        </w:tc>
        <w:tc>
          <w:tcPr>
            <w:tcW w:w="446" w:type="pct"/>
            <w:tcBorders>
              <w:top w:val="nil"/>
              <w:left w:val="nil"/>
              <w:bottom w:val="nil"/>
              <w:right w:val="nil"/>
            </w:tcBorders>
            <w:shd w:val="clear" w:color="auto" w:fill="auto"/>
            <w:noWrap/>
            <w:vAlign w:val="bottom"/>
            <w:hideMark/>
          </w:tcPr>
          <w:p w14:paraId="61E68982" w14:textId="77777777" w:rsidR="006F48F9" w:rsidRPr="008669C3" w:rsidRDefault="006F48F9" w:rsidP="005D0BF5">
            <w:pPr>
              <w:jc w:val="center"/>
              <w:rPr>
                <w:color w:val="000000"/>
                <w:sz w:val="22"/>
              </w:rPr>
            </w:pPr>
            <w:r w:rsidRPr="008669C3">
              <w:rPr>
                <w:color w:val="000000"/>
                <w:sz w:val="22"/>
              </w:rPr>
              <w:t>Yes</w:t>
            </w:r>
          </w:p>
        </w:tc>
        <w:tc>
          <w:tcPr>
            <w:tcW w:w="525" w:type="pct"/>
            <w:tcBorders>
              <w:top w:val="nil"/>
              <w:left w:val="nil"/>
              <w:bottom w:val="nil"/>
              <w:right w:val="nil"/>
            </w:tcBorders>
            <w:shd w:val="clear" w:color="auto" w:fill="auto"/>
            <w:noWrap/>
            <w:vAlign w:val="bottom"/>
            <w:hideMark/>
          </w:tcPr>
          <w:p w14:paraId="643624B4" w14:textId="77777777" w:rsidR="006F48F9" w:rsidRPr="008669C3" w:rsidRDefault="006F48F9" w:rsidP="005D0BF5">
            <w:pPr>
              <w:jc w:val="center"/>
              <w:rPr>
                <w:color w:val="000000"/>
                <w:sz w:val="22"/>
              </w:rPr>
            </w:pPr>
            <w:r w:rsidRPr="008669C3">
              <w:rPr>
                <w:color w:val="000000"/>
                <w:sz w:val="22"/>
              </w:rPr>
              <w:t>No</w:t>
            </w:r>
          </w:p>
        </w:tc>
      </w:tr>
      <w:tr w:rsidR="006F48F9" w:rsidRPr="008669C3" w14:paraId="065365DD" w14:textId="77777777" w:rsidTr="005D0BF5">
        <w:trPr>
          <w:trHeight w:val="20"/>
        </w:trPr>
        <w:tc>
          <w:tcPr>
            <w:tcW w:w="1631" w:type="pct"/>
            <w:tcBorders>
              <w:top w:val="nil"/>
              <w:left w:val="nil"/>
              <w:bottom w:val="nil"/>
              <w:right w:val="nil"/>
            </w:tcBorders>
            <w:shd w:val="clear" w:color="auto" w:fill="auto"/>
            <w:noWrap/>
            <w:vAlign w:val="bottom"/>
            <w:hideMark/>
          </w:tcPr>
          <w:p w14:paraId="684B4DB2" w14:textId="77777777" w:rsidR="006F48F9" w:rsidRPr="008669C3" w:rsidRDefault="006F48F9" w:rsidP="005D0BF5">
            <w:pPr>
              <w:rPr>
                <w:color w:val="000000"/>
                <w:sz w:val="22"/>
              </w:rPr>
            </w:pPr>
            <w:r w:rsidRPr="008669C3">
              <w:rPr>
                <w:color w:val="000000"/>
                <w:sz w:val="22"/>
              </w:rPr>
              <w:t>CEO-Firm FE</w:t>
            </w:r>
          </w:p>
        </w:tc>
        <w:tc>
          <w:tcPr>
            <w:tcW w:w="525" w:type="pct"/>
            <w:tcBorders>
              <w:top w:val="nil"/>
              <w:left w:val="nil"/>
              <w:bottom w:val="nil"/>
              <w:right w:val="nil"/>
            </w:tcBorders>
            <w:shd w:val="clear" w:color="auto" w:fill="auto"/>
            <w:noWrap/>
            <w:vAlign w:val="bottom"/>
            <w:hideMark/>
          </w:tcPr>
          <w:p w14:paraId="2BF082BA" w14:textId="77777777" w:rsidR="006F48F9" w:rsidRPr="008669C3" w:rsidRDefault="006F48F9" w:rsidP="005D0BF5">
            <w:pPr>
              <w:jc w:val="center"/>
              <w:rPr>
                <w:color w:val="000000"/>
                <w:sz w:val="22"/>
              </w:rPr>
            </w:pPr>
            <w:r w:rsidRPr="008669C3">
              <w:rPr>
                <w:color w:val="000000"/>
                <w:sz w:val="22"/>
              </w:rPr>
              <w:t>No</w:t>
            </w:r>
          </w:p>
        </w:tc>
        <w:tc>
          <w:tcPr>
            <w:tcW w:w="541" w:type="pct"/>
            <w:tcBorders>
              <w:top w:val="nil"/>
              <w:left w:val="nil"/>
              <w:bottom w:val="nil"/>
              <w:right w:val="nil"/>
            </w:tcBorders>
            <w:shd w:val="clear" w:color="auto" w:fill="auto"/>
            <w:noWrap/>
            <w:vAlign w:val="bottom"/>
            <w:hideMark/>
          </w:tcPr>
          <w:p w14:paraId="44D3E3F9" w14:textId="77777777" w:rsidR="006F48F9" w:rsidRPr="008669C3" w:rsidRDefault="006F48F9" w:rsidP="005D0BF5">
            <w:pPr>
              <w:jc w:val="center"/>
              <w:rPr>
                <w:color w:val="000000"/>
                <w:sz w:val="22"/>
              </w:rPr>
            </w:pPr>
            <w:r w:rsidRPr="008669C3">
              <w:rPr>
                <w:color w:val="000000"/>
                <w:sz w:val="22"/>
              </w:rPr>
              <w:t>Yes</w:t>
            </w:r>
          </w:p>
        </w:tc>
        <w:tc>
          <w:tcPr>
            <w:tcW w:w="141" w:type="pct"/>
            <w:tcBorders>
              <w:top w:val="nil"/>
              <w:left w:val="nil"/>
              <w:bottom w:val="nil"/>
              <w:right w:val="nil"/>
            </w:tcBorders>
            <w:shd w:val="clear" w:color="auto" w:fill="auto"/>
            <w:noWrap/>
            <w:vAlign w:val="bottom"/>
            <w:hideMark/>
          </w:tcPr>
          <w:p w14:paraId="0FDDAF76"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46A0F9D7" w14:textId="77777777" w:rsidR="006F48F9" w:rsidRPr="008669C3" w:rsidRDefault="006F48F9" w:rsidP="005D0BF5">
            <w:pPr>
              <w:jc w:val="center"/>
              <w:rPr>
                <w:sz w:val="22"/>
                <w:szCs w:val="20"/>
              </w:rPr>
            </w:pPr>
            <w:r w:rsidRPr="008669C3">
              <w:rPr>
                <w:color w:val="000000"/>
                <w:sz w:val="22"/>
              </w:rPr>
              <w:t>No</w:t>
            </w:r>
          </w:p>
        </w:tc>
        <w:tc>
          <w:tcPr>
            <w:tcW w:w="525" w:type="pct"/>
            <w:tcBorders>
              <w:top w:val="nil"/>
              <w:left w:val="nil"/>
              <w:bottom w:val="nil"/>
              <w:right w:val="nil"/>
            </w:tcBorders>
            <w:shd w:val="clear" w:color="auto" w:fill="auto"/>
            <w:noWrap/>
            <w:vAlign w:val="bottom"/>
            <w:hideMark/>
          </w:tcPr>
          <w:p w14:paraId="289D7AE2" w14:textId="77777777" w:rsidR="006F48F9" w:rsidRPr="008669C3" w:rsidRDefault="006F48F9" w:rsidP="005D0BF5">
            <w:pPr>
              <w:jc w:val="center"/>
              <w:rPr>
                <w:color w:val="000000"/>
                <w:sz w:val="22"/>
              </w:rPr>
            </w:pPr>
            <w:r w:rsidRPr="008669C3">
              <w:rPr>
                <w:color w:val="000000"/>
                <w:sz w:val="22"/>
              </w:rPr>
              <w:t>Yes</w:t>
            </w:r>
          </w:p>
        </w:tc>
        <w:tc>
          <w:tcPr>
            <w:tcW w:w="141" w:type="pct"/>
            <w:tcBorders>
              <w:top w:val="nil"/>
              <w:left w:val="nil"/>
              <w:bottom w:val="nil"/>
              <w:right w:val="nil"/>
            </w:tcBorders>
            <w:shd w:val="clear" w:color="auto" w:fill="auto"/>
            <w:noWrap/>
            <w:vAlign w:val="bottom"/>
            <w:hideMark/>
          </w:tcPr>
          <w:p w14:paraId="3C7FF868" w14:textId="77777777" w:rsidR="006F48F9" w:rsidRPr="008669C3" w:rsidRDefault="006F48F9" w:rsidP="005D0BF5">
            <w:pPr>
              <w:jc w:val="center"/>
              <w:rPr>
                <w:color w:val="000000"/>
                <w:sz w:val="22"/>
              </w:rPr>
            </w:pPr>
          </w:p>
        </w:tc>
        <w:tc>
          <w:tcPr>
            <w:tcW w:w="446" w:type="pct"/>
            <w:tcBorders>
              <w:top w:val="nil"/>
              <w:left w:val="nil"/>
              <w:bottom w:val="nil"/>
              <w:right w:val="nil"/>
            </w:tcBorders>
            <w:shd w:val="clear" w:color="auto" w:fill="auto"/>
            <w:noWrap/>
            <w:vAlign w:val="bottom"/>
            <w:hideMark/>
          </w:tcPr>
          <w:p w14:paraId="1469927D" w14:textId="77777777" w:rsidR="006F48F9" w:rsidRPr="008669C3" w:rsidRDefault="006F48F9" w:rsidP="005D0BF5">
            <w:pPr>
              <w:jc w:val="center"/>
              <w:rPr>
                <w:sz w:val="22"/>
                <w:szCs w:val="20"/>
              </w:rPr>
            </w:pPr>
            <w:r w:rsidRPr="008669C3">
              <w:rPr>
                <w:color w:val="000000"/>
                <w:sz w:val="22"/>
              </w:rPr>
              <w:t>No</w:t>
            </w:r>
          </w:p>
        </w:tc>
        <w:tc>
          <w:tcPr>
            <w:tcW w:w="525" w:type="pct"/>
            <w:tcBorders>
              <w:top w:val="nil"/>
              <w:left w:val="nil"/>
              <w:bottom w:val="nil"/>
              <w:right w:val="nil"/>
            </w:tcBorders>
            <w:shd w:val="clear" w:color="auto" w:fill="auto"/>
            <w:noWrap/>
            <w:vAlign w:val="bottom"/>
            <w:hideMark/>
          </w:tcPr>
          <w:p w14:paraId="31257DAF" w14:textId="77777777" w:rsidR="006F48F9" w:rsidRPr="008669C3" w:rsidRDefault="006F48F9" w:rsidP="005D0BF5">
            <w:pPr>
              <w:jc w:val="center"/>
              <w:rPr>
                <w:color w:val="000000"/>
                <w:sz w:val="22"/>
              </w:rPr>
            </w:pPr>
            <w:r w:rsidRPr="008669C3">
              <w:rPr>
                <w:color w:val="000000"/>
                <w:sz w:val="22"/>
              </w:rPr>
              <w:t>Yes</w:t>
            </w:r>
          </w:p>
        </w:tc>
      </w:tr>
      <w:tr w:rsidR="006F48F9" w:rsidRPr="008669C3" w14:paraId="44FCC1C3" w14:textId="77777777" w:rsidTr="005D0BF5">
        <w:trPr>
          <w:trHeight w:val="20"/>
        </w:trPr>
        <w:tc>
          <w:tcPr>
            <w:tcW w:w="1631" w:type="pct"/>
            <w:tcBorders>
              <w:top w:val="nil"/>
              <w:left w:val="nil"/>
              <w:bottom w:val="nil"/>
              <w:right w:val="nil"/>
            </w:tcBorders>
            <w:shd w:val="clear" w:color="auto" w:fill="auto"/>
            <w:noWrap/>
            <w:vAlign w:val="bottom"/>
            <w:hideMark/>
          </w:tcPr>
          <w:p w14:paraId="4877871B" w14:textId="77777777" w:rsidR="006F48F9" w:rsidRPr="008669C3" w:rsidRDefault="006F48F9" w:rsidP="005D0BF5">
            <w:pPr>
              <w:rPr>
                <w:color w:val="000000"/>
                <w:sz w:val="22"/>
              </w:rPr>
            </w:pPr>
            <w:r w:rsidRPr="008669C3">
              <w:rPr>
                <w:color w:val="000000"/>
                <w:sz w:val="22"/>
              </w:rPr>
              <w:t>Industry-Year FE</w:t>
            </w:r>
          </w:p>
        </w:tc>
        <w:tc>
          <w:tcPr>
            <w:tcW w:w="525" w:type="pct"/>
            <w:tcBorders>
              <w:top w:val="nil"/>
              <w:left w:val="nil"/>
              <w:bottom w:val="nil"/>
              <w:right w:val="nil"/>
            </w:tcBorders>
            <w:shd w:val="clear" w:color="auto" w:fill="auto"/>
            <w:noWrap/>
            <w:vAlign w:val="bottom"/>
            <w:hideMark/>
          </w:tcPr>
          <w:p w14:paraId="2C86FD03" w14:textId="77777777" w:rsidR="006F48F9" w:rsidRPr="008669C3" w:rsidRDefault="006F48F9" w:rsidP="005D0BF5">
            <w:pPr>
              <w:jc w:val="center"/>
              <w:rPr>
                <w:color w:val="000000"/>
                <w:sz w:val="22"/>
              </w:rPr>
            </w:pPr>
            <w:r w:rsidRPr="008669C3">
              <w:rPr>
                <w:color w:val="000000"/>
                <w:sz w:val="22"/>
              </w:rPr>
              <w:t>Yes</w:t>
            </w:r>
          </w:p>
        </w:tc>
        <w:tc>
          <w:tcPr>
            <w:tcW w:w="541" w:type="pct"/>
            <w:tcBorders>
              <w:top w:val="nil"/>
              <w:left w:val="nil"/>
              <w:bottom w:val="nil"/>
              <w:right w:val="nil"/>
            </w:tcBorders>
            <w:shd w:val="clear" w:color="auto" w:fill="auto"/>
            <w:noWrap/>
            <w:vAlign w:val="bottom"/>
            <w:hideMark/>
          </w:tcPr>
          <w:p w14:paraId="51A52CA3" w14:textId="77777777" w:rsidR="006F48F9" w:rsidRPr="008669C3" w:rsidRDefault="006F48F9" w:rsidP="005D0BF5">
            <w:pPr>
              <w:jc w:val="center"/>
              <w:rPr>
                <w:color w:val="000000"/>
                <w:sz w:val="22"/>
              </w:rPr>
            </w:pPr>
            <w:r w:rsidRPr="008669C3">
              <w:rPr>
                <w:color w:val="000000"/>
                <w:sz w:val="22"/>
              </w:rPr>
              <w:t>Yes</w:t>
            </w:r>
          </w:p>
        </w:tc>
        <w:tc>
          <w:tcPr>
            <w:tcW w:w="141" w:type="pct"/>
            <w:tcBorders>
              <w:top w:val="nil"/>
              <w:left w:val="nil"/>
              <w:bottom w:val="nil"/>
              <w:right w:val="nil"/>
            </w:tcBorders>
            <w:shd w:val="clear" w:color="auto" w:fill="auto"/>
            <w:noWrap/>
            <w:vAlign w:val="bottom"/>
            <w:hideMark/>
          </w:tcPr>
          <w:p w14:paraId="48AE4D2B"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61D3504C" w14:textId="77777777" w:rsidR="006F48F9" w:rsidRPr="008669C3" w:rsidRDefault="006F48F9" w:rsidP="005D0BF5">
            <w:pPr>
              <w:jc w:val="center"/>
              <w:rPr>
                <w:color w:val="000000"/>
                <w:sz w:val="22"/>
              </w:rPr>
            </w:pPr>
            <w:r w:rsidRPr="008669C3">
              <w:rPr>
                <w:color w:val="000000"/>
                <w:sz w:val="22"/>
              </w:rPr>
              <w:t>Yes</w:t>
            </w:r>
          </w:p>
        </w:tc>
        <w:tc>
          <w:tcPr>
            <w:tcW w:w="525" w:type="pct"/>
            <w:tcBorders>
              <w:top w:val="nil"/>
              <w:left w:val="nil"/>
              <w:bottom w:val="nil"/>
              <w:right w:val="nil"/>
            </w:tcBorders>
            <w:shd w:val="clear" w:color="auto" w:fill="auto"/>
            <w:noWrap/>
            <w:vAlign w:val="bottom"/>
            <w:hideMark/>
          </w:tcPr>
          <w:p w14:paraId="02BC601C" w14:textId="77777777" w:rsidR="006F48F9" w:rsidRPr="008669C3" w:rsidRDefault="006F48F9" w:rsidP="005D0BF5">
            <w:pPr>
              <w:jc w:val="center"/>
              <w:rPr>
                <w:color w:val="000000"/>
                <w:sz w:val="22"/>
              </w:rPr>
            </w:pPr>
            <w:r w:rsidRPr="008669C3">
              <w:rPr>
                <w:color w:val="000000"/>
                <w:sz w:val="22"/>
              </w:rPr>
              <w:t>Yes</w:t>
            </w:r>
          </w:p>
        </w:tc>
        <w:tc>
          <w:tcPr>
            <w:tcW w:w="141" w:type="pct"/>
            <w:tcBorders>
              <w:top w:val="nil"/>
              <w:left w:val="nil"/>
              <w:bottom w:val="nil"/>
              <w:right w:val="nil"/>
            </w:tcBorders>
            <w:shd w:val="clear" w:color="auto" w:fill="auto"/>
            <w:noWrap/>
            <w:vAlign w:val="bottom"/>
            <w:hideMark/>
          </w:tcPr>
          <w:p w14:paraId="0FBFC640" w14:textId="77777777" w:rsidR="006F48F9" w:rsidRPr="008669C3" w:rsidRDefault="006F48F9" w:rsidP="005D0BF5">
            <w:pPr>
              <w:jc w:val="center"/>
              <w:rPr>
                <w:color w:val="000000"/>
                <w:sz w:val="22"/>
              </w:rPr>
            </w:pPr>
          </w:p>
        </w:tc>
        <w:tc>
          <w:tcPr>
            <w:tcW w:w="446" w:type="pct"/>
            <w:tcBorders>
              <w:top w:val="nil"/>
              <w:left w:val="nil"/>
              <w:bottom w:val="nil"/>
              <w:right w:val="nil"/>
            </w:tcBorders>
            <w:shd w:val="clear" w:color="auto" w:fill="auto"/>
            <w:noWrap/>
            <w:vAlign w:val="bottom"/>
            <w:hideMark/>
          </w:tcPr>
          <w:p w14:paraId="4B2541F2" w14:textId="77777777" w:rsidR="006F48F9" w:rsidRPr="008669C3" w:rsidRDefault="006F48F9" w:rsidP="005D0BF5">
            <w:pPr>
              <w:jc w:val="center"/>
              <w:rPr>
                <w:color w:val="000000"/>
                <w:sz w:val="22"/>
              </w:rPr>
            </w:pPr>
            <w:r w:rsidRPr="008669C3">
              <w:rPr>
                <w:color w:val="000000"/>
                <w:sz w:val="22"/>
              </w:rPr>
              <w:t>Yes</w:t>
            </w:r>
          </w:p>
        </w:tc>
        <w:tc>
          <w:tcPr>
            <w:tcW w:w="525" w:type="pct"/>
            <w:tcBorders>
              <w:top w:val="nil"/>
              <w:left w:val="nil"/>
              <w:bottom w:val="nil"/>
              <w:right w:val="nil"/>
            </w:tcBorders>
            <w:shd w:val="clear" w:color="auto" w:fill="auto"/>
            <w:noWrap/>
            <w:vAlign w:val="bottom"/>
            <w:hideMark/>
          </w:tcPr>
          <w:p w14:paraId="6F5FB056" w14:textId="77777777" w:rsidR="006F48F9" w:rsidRPr="008669C3" w:rsidRDefault="006F48F9" w:rsidP="005D0BF5">
            <w:pPr>
              <w:jc w:val="center"/>
              <w:rPr>
                <w:color w:val="000000"/>
                <w:sz w:val="22"/>
              </w:rPr>
            </w:pPr>
            <w:r w:rsidRPr="008669C3">
              <w:rPr>
                <w:color w:val="000000"/>
                <w:sz w:val="22"/>
              </w:rPr>
              <w:t>Yes</w:t>
            </w:r>
          </w:p>
        </w:tc>
      </w:tr>
      <w:tr w:rsidR="006F48F9" w:rsidRPr="008669C3" w14:paraId="2A55B9C7" w14:textId="77777777" w:rsidTr="005D0BF5">
        <w:trPr>
          <w:trHeight w:val="20"/>
        </w:trPr>
        <w:tc>
          <w:tcPr>
            <w:tcW w:w="1631" w:type="pct"/>
            <w:tcBorders>
              <w:top w:val="nil"/>
              <w:left w:val="nil"/>
              <w:bottom w:val="nil"/>
              <w:right w:val="nil"/>
            </w:tcBorders>
            <w:shd w:val="clear" w:color="auto" w:fill="auto"/>
            <w:noWrap/>
            <w:vAlign w:val="bottom"/>
            <w:hideMark/>
          </w:tcPr>
          <w:p w14:paraId="2FA22CAF" w14:textId="77777777" w:rsidR="006F48F9" w:rsidRPr="008669C3" w:rsidRDefault="006F48F9" w:rsidP="005D0BF5">
            <w:pPr>
              <w:rPr>
                <w:color w:val="000000"/>
                <w:sz w:val="22"/>
              </w:rPr>
            </w:pPr>
            <w:r w:rsidRPr="008669C3">
              <w:rPr>
                <w:color w:val="000000"/>
                <w:sz w:val="22"/>
              </w:rPr>
              <w:t>N</w:t>
            </w:r>
          </w:p>
        </w:tc>
        <w:tc>
          <w:tcPr>
            <w:tcW w:w="525" w:type="pct"/>
            <w:tcBorders>
              <w:top w:val="nil"/>
              <w:left w:val="nil"/>
              <w:bottom w:val="nil"/>
              <w:right w:val="nil"/>
            </w:tcBorders>
            <w:shd w:val="clear" w:color="auto" w:fill="auto"/>
            <w:noWrap/>
            <w:vAlign w:val="bottom"/>
            <w:hideMark/>
          </w:tcPr>
          <w:p w14:paraId="7B98FD0D" w14:textId="766467E4" w:rsidR="006F48F9" w:rsidRPr="008669C3" w:rsidRDefault="00890C53" w:rsidP="005D0BF5">
            <w:pPr>
              <w:jc w:val="center"/>
              <w:rPr>
                <w:color w:val="000000"/>
                <w:sz w:val="22"/>
              </w:rPr>
            </w:pPr>
            <w:r>
              <w:rPr>
                <w:color w:val="000000"/>
                <w:sz w:val="22"/>
              </w:rPr>
              <w:t>4</w:t>
            </w:r>
            <w:r w:rsidR="006F48F9" w:rsidRPr="008669C3">
              <w:rPr>
                <w:color w:val="000000"/>
                <w:sz w:val="22"/>
              </w:rPr>
              <w:t>588</w:t>
            </w:r>
          </w:p>
        </w:tc>
        <w:tc>
          <w:tcPr>
            <w:tcW w:w="541" w:type="pct"/>
            <w:tcBorders>
              <w:top w:val="nil"/>
              <w:left w:val="nil"/>
              <w:bottom w:val="nil"/>
              <w:right w:val="nil"/>
            </w:tcBorders>
            <w:shd w:val="clear" w:color="auto" w:fill="auto"/>
            <w:noWrap/>
            <w:vAlign w:val="bottom"/>
            <w:hideMark/>
          </w:tcPr>
          <w:p w14:paraId="3730E6DE" w14:textId="69EB3D38" w:rsidR="006F48F9" w:rsidRPr="008669C3" w:rsidRDefault="00890C53" w:rsidP="005D0BF5">
            <w:pPr>
              <w:jc w:val="center"/>
              <w:rPr>
                <w:color w:val="000000"/>
                <w:sz w:val="22"/>
              </w:rPr>
            </w:pPr>
            <w:r>
              <w:rPr>
                <w:color w:val="000000"/>
                <w:sz w:val="22"/>
              </w:rPr>
              <w:t>4</w:t>
            </w:r>
            <w:r w:rsidR="006F48F9" w:rsidRPr="008669C3">
              <w:rPr>
                <w:color w:val="000000"/>
                <w:sz w:val="22"/>
              </w:rPr>
              <w:t>588</w:t>
            </w:r>
          </w:p>
        </w:tc>
        <w:tc>
          <w:tcPr>
            <w:tcW w:w="141" w:type="pct"/>
            <w:tcBorders>
              <w:top w:val="nil"/>
              <w:left w:val="nil"/>
              <w:bottom w:val="nil"/>
              <w:right w:val="nil"/>
            </w:tcBorders>
            <w:shd w:val="clear" w:color="auto" w:fill="auto"/>
            <w:noWrap/>
            <w:vAlign w:val="bottom"/>
            <w:hideMark/>
          </w:tcPr>
          <w:p w14:paraId="6A1591F6"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588D76DD" w14:textId="7583FC29" w:rsidR="006F48F9" w:rsidRPr="008669C3" w:rsidRDefault="00890C53" w:rsidP="005D0BF5">
            <w:pPr>
              <w:jc w:val="center"/>
              <w:rPr>
                <w:color w:val="000000"/>
                <w:sz w:val="22"/>
              </w:rPr>
            </w:pPr>
            <w:r>
              <w:rPr>
                <w:color w:val="000000"/>
                <w:sz w:val="22"/>
              </w:rPr>
              <w:t>4</w:t>
            </w:r>
            <w:r w:rsidR="006F48F9" w:rsidRPr="008669C3">
              <w:rPr>
                <w:color w:val="000000"/>
                <w:sz w:val="22"/>
              </w:rPr>
              <w:t>588</w:t>
            </w:r>
          </w:p>
        </w:tc>
        <w:tc>
          <w:tcPr>
            <w:tcW w:w="525" w:type="pct"/>
            <w:tcBorders>
              <w:top w:val="nil"/>
              <w:left w:val="nil"/>
              <w:bottom w:val="nil"/>
              <w:right w:val="nil"/>
            </w:tcBorders>
            <w:shd w:val="clear" w:color="auto" w:fill="auto"/>
            <w:noWrap/>
            <w:vAlign w:val="bottom"/>
            <w:hideMark/>
          </w:tcPr>
          <w:p w14:paraId="4615D6B9" w14:textId="00F69765" w:rsidR="006F48F9" w:rsidRPr="008669C3" w:rsidRDefault="00890C53" w:rsidP="005D0BF5">
            <w:pPr>
              <w:jc w:val="center"/>
              <w:rPr>
                <w:color w:val="000000"/>
                <w:sz w:val="22"/>
              </w:rPr>
            </w:pPr>
            <w:r>
              <w:rPr>
                <w:color w:val="000000"/>
                <w:sz w:val="22"/>
              </w:rPr>
              <w:t>4</w:t>
            </w:r>
            <w:r w:rsidR="006F48F9" w:rsidRPr="008669C3">
              <w:rPr>
                <w:color w:val="000000"/>
                <w:sz w:val="22"/>
              </w:rPr>
              <w:t>588</w:t>
            </w:r>
          </w:p>
        </w:tc>
        <w:tc>
          <w:tcPr>
            <w:tcW w:w="141" w:type="pct"/>
            <w:tcBorders>
              <w:top w:val="nil"/>
              <w:left w:val="nil"/>
              <w:bottom w:val="nil"/>
              <w:right w:val="nil"/>
            </w:tcBorders>
            <w:shd w:val="clear" w:color="auto" w:fill="auto"/>
            <w:noWrap/>
            <w:vAlign w:val="bottom"/>
            <w:hideMark/>
          </w:tcPr>
          <w:p w14:paraId="4EDB5A43" w14:textId="77777777" w:rsidR="006F48F9" w:rsidRPr="008669C3" w:rsidRDefault="006F48F9" w:rsidP="005D0BF5">
            <w:pPr>
              <w:jc w:val="center"/>
              <w:rPr>
                <w:color w:val="000000"/>
                <w:sz w:val="22"/>
              </w:rPr>
            </w:pPr>
          </w:p>
        </w:tc>
        <w:tc>
          <w:tcPr>
            <w:tcW w:w="446" w:type="pct"/>
            <w:tcBorders>
              <w:top w:val="nil"/>
              <w:left w:val="nil"/>
              <w:bottom w:val="nil"/>
              <w:right w:val="nil"/>
            </w:tcBorders>
            <w:shd w:val="clear" w:color="auto" w:fill="auto"/>
            <w:noWrap/>
            <w:vAlign w:val="bottom"/>
            <w:hideMark/>
          </w:tcPr>
          <w:p w14:paraId="50229B20" w14:textId="0C25C627" w:rsidR="006F48F9" w:rsidRPr="008669C3" w:rsidRDefault="00890C53" w:rsidP="005D0BF5">
            <w:pPr>
              <w:jc w:val="center"/>
              <w:rPr>
                <w:color w:val="000000"/>
                <w:sz w:val="22"/>
              </w:rPr>
            </w:pPr>
            <w:r>
              <w:rPr>
                <w:color w:val="000000"/>
                <w:sz w:val="22"/>
              </w:rPr>
              <w:t>9</w:t>
            </w:r>
            <w:r w:rsidR="006F48F9" w:rsidRPr="008669C3">
              <w:rPr>
                <w:color w:val="000000"/>
                <w:sz w:val="22"/>
              </w:rPr>
              <w:t>176</w:t>
            </w:r>
          </w:p>
        </w:tc>
        <w:tc>
          <w:tcPr>
            <w:tcW w:w="525" w:type="pct"/>
            <w:tcBorders>
              <w:top w:val="nil"/>
              <w:left w:val="nil"/>
              <w:bottom w:val="nil"/>
              <w:right w:val="nil"/>
            </w:tcBorders>
            <w:shd w:val="clear" w:color="auto" w:fill="auto"/>
            <w:noWrap/>
            <w:vAlign w:val="bottom"/>
            <w:hideMark/>
          </w:tcPr>
          <w:p w14:paraId="5AA5EBD9" w14:textId="5AE59352" w:rsidR="006F48F9" w:rsidRPr="008669C3" w:rsidRDefault="00890C53" w:rsidP="005D0BF5">
            <w:pPr>
              <w:jc w:val="center"/>
              <w:rPr>
                <w:color w:val="000000"/>
                <w:sz w:val="22"/>
              </w:rPr>
            </w:pPr>
            <w:r>
              <w:rPr>
                <w:color w:val="000000"/>
                <w:sz w:val="22"/>
              </w:rPr>
              <w:t>9</w:t>
            </w:r>
            <w:r w:rsidR="006F48F9" w:rsidRPr="008669C3">
              <w:rPr>
                <w:color w:val="000000"/>
                <w:sz w:val="22"/>
              </w:rPr>
              <w:t>176</w:t>
            </w:r>
          </w:p>
        </w:tc>
      </w:tr>
      <w:tr w:rsidR="006F48F9" w:rsidRPr="008669C3" w14:paraId="2D14340E" w14:textId="77777777" w:rsidTr="005D0BF5">
        <w:trPr>
          <w:trHeight w:val="20"/>
        </w:trPr>
        <w:tc>
          <w:tcPr>
            <w:tcW w:w="1631" w:type="pct"/>
            <w:tcBorders>
              <w:top w:val="nil"/>
              <w:left w:val="nil"/>
              <w:bottom w:val="single" w:sz="4" w:space="0" w:color="auto"/>
              <w:right w:val="nil"/>
            </w:tcBorders>
            <w:shd w:val="clear" w:color="auto" w:fill="auto"/>
            <w:noWrap/>
            <w:vAlign w:val="bottom"/>
            <w:hideMark/>
          </w:tcPr>
          <w:p w14:paraId="35C4C7E2" w14:textId="77777777" w:rsidR="006F48F9" w:rsidRPr="008669C3" w:rsidRDefault="006F48F9" w:rsidP="005D0BF5">
            <w:pPr>
              <w:rPr>
                <w:color w:val="000000"/>
                <w:sz w:val="22"/>
              </w:rPr>
            </w:pPr>
            <w:r w:rsidRPr="008669C3">
              <w:rPr>
                <w:sz w:val="22"/>
                <w:szCs w:val="20"/>
              </w:rPr>
              <w:t>Adjusted R</w:t>
            </w:r>
            <w:r w:rsidRPr="008669C3">
              <w:rPr>
                <w:sz w:val="22"/>
                <w:szCs w:val="20"/>
                <w:vertAlign w:val="superscript"/>
              </w:rPr>
              <w:t>2</w:t>
            </w:r>
          </w:p>
        </w:tc>
        <w:tc>
          <w:tcPr>
            <w:tcW w:w="525" w:type="pct"/>
            <w:tcBorders>
              <w:top w:val="nil"/>
              <w:left w:val="nil"/>
              <w:bottom w:val="single" w:sz="4" w:space="0" w:color="auto"/>
              <w:right w:val="nil"/>
            </w:tcBorders>
            <w:shd w:val="clear" w:color="auto" w:fill="auto"/>
            <w:noWrap/>
            <w:vAlign w:val="bottom"/>
            <w:hideMark/>
          </w:tcPr>
          <w:p w14:paraId="5934F29B" w14:textId="77777777" w:rsidR="006F48F9" w:rsidRPr="008669C3" w:rsidRDefault="006F48F9" w:rsidP="005D0BF5">
            <w:pPr>
              <w:jc w:val="center"/>
              <w:rPr>
                <w:color w:val="000000"/>
                <w:sz w:val="22"/>
              </w:rPr>
            </w:pPr>
            <w:r w:rsidRPr="008669C3">
              <w:rPr>
                <w:color w:val="000000"/>
                <w:sz w:val="22"/>
              </w:rPr>
              <w:t>0.220</w:t>
            </w:r>
          </w:p>
        </w:tc>
        <w:tc>
          <w:tcPr>
            <w:tcW w:w="541" w:type="pct"/>
            <w:tcBorders>
              <w:top w:val="nil"/>
              <w:left w:val="nil"/>
              <w:bottom w:val="single" w:sz="4" w:space="0" w:color="auto"/>
              <w:right w:val="nil"/>
            </w:tcBorders>
            <w:shd w:val="clear" w:color="auto" w:fill="auto"/>
            <w:noWrap/>
            <w:vAlign w:val="bottom"/>
            <w:hideMark/>
          </w:tcPr>
          <w:p w14:paraId="5F4C056A" w14:textId="77777777" w:rsidR="006F48F9" w:rsidRPr="008669C3" w:rsidRDefault="006F48F9" w:rsidP="005D0BF5">
            <w:pPr>
              <w:jc w:val="center"/>
              <w:rPr>
                <w:color w:val="000000"/>
                <w:sz w:val="22"/>
              </w:rPr>
            </w:pPr>
            <w:r w:rsidRPr="008669C3">
              <w:rPr>
                <w:color w:val="000000"/>
                <w:sz w:val="22"/>
              </w:rPr>
              <w:t>0.135</w:t>
            </w:r>
          </w:p>
        </w:tc>
        <w:tc>
          <w:tcPr>
            <w:tcW w:w="141" w:type="pct"/>
            <w:tcBorders>
              <w:top w:val="nil"/>
              <w:left w:val="nil"/>
              <w:bottom w:val="single" w:sz="4" w:space="0" w:color="auto"/>
              <w:right w:val="nil"/>
            </w:tcBorders>
            <w:shd w:val="clear" w:color="auto" w:fill="auto"/>
            <w:noWrap/>
            <w:vAlign w:val="bottom"/>
            <w:hideMark/>
          </w:tcPr>
          <w:p w14:paraId="02789CF0" w14:textId="77777777" w:rsidR="006F48F9" w:rsidRPr="008669C3" w:rsidRDefault="006F48F9" w:rsidP="005D0BF5">
            <w:pPr>
              <w:jc w:val="center"/>
              <w:rPr>
                <w:color w:val="000000"/>
                <w:sz w:val="22"/>
              </w:rPr>
            </w:pPr>
            <w:r w:rsidRPr="008669C3">
              <w:rPr>
                <w:color w:val="000000"/>
                <w:sz w:val="22"/>
              </w:rPr>
              <w:t> </w:t>
            </w:r>
          </w:p>
        </w:tc>
        <w:tc>
          <w:tcPr>
            <w:tcW w:w="525" w:type="pct"/>
            <w:tcBorders>
              <w:top w:val="nil"/>
              <w:left w:val="nil"/>
              <w:bottom w:val="single" w:sz="4" w:space="0" w:color="auto"/>
              <w:right w:val="nil"/>
            </w:tcBorders>
            <w:shd w:val="clear" w:color="auto" w:fill="auto"/>
            <w:noWrap/>
            <w:vAlign w:val="bottom"/>
            <w:hideMark/>
          </w:tcPr>
          <w:p w14:paraId="6829461A" w14:textId="77777777" w:rsidR="006F48F9" w:rsidRPr="008669C3" w:rsidRDefault="006F48F9" w:rsidP="005D0BF5">
            <w:pPr>
              <w:jc w:val="center"/>
              <w:rPr>
                <w:color w:val="000000"/>
                <w:sz w:val="22"/>
              </w:rPr>
            </w:pPr>
            <w:r w:rsidRPr="008669C3">
              <w:rPr>
                <w:color w:val="000000"/>
                <w:sz w:val="22"/>
              </w:rPr>
              <w:t>0.214</w:t>
            </w:r>
          </w:p>
        </w:tc>
        <w:tc>
          <w:tcPr>
            <w:tcW w:w="525" w:type="pct"/>
            <w:tcBorders>
              <w:top w:val="nil"/>
              <w:left w:val="nil"/>
              <w:bottom w:val="single" w:sz="4" w:space="0" w:color="auto"/>
              <w:right w:val="nil"/>
            </w:tcBorders>
            <w:shd w:val="clear" w:color="auto" w:fill="auto"/>
            <w:noWrap/>
            <w:vAlign w:val="bottom"/>
            <w:hideMark/>
          </w:tcPr>
          <w:p w14:paraId="12734604" w14:textId="77777777" w:rsidR="006F48F9" w:rsidRPr="008669C3" w:rsidRDefault="006F48F9" w:rsidP="005D0BF5">
            <w:pPr>
              <w:jc w:val="center"/>
              <w:rPr>
                <w:color w:val="000000"/>
                <w:sz w:val="22"/>
              </w:rPr>
            </w:pPr>
            <w:r w:rsidRPr="008669C3">
              <w:rPr>
                <w:color w:val="000000"/>
                <w:sz w:val="22"/>
              </w:rPr>
              <w:t>0.164</w:t>
            </w:r>
          </w:p>
        </w:tc>
        <w:tc>
          <w:tcPr>
            <w:tcW w:w="141" w:type="pct"/>
            <w:tcBorders>
              <w:top w:val="nil"/>
              <w:left w:val="nil"/>
              <w:bottom w:val="single" w:sz="4" w:space="0" w:color="auto"/>
              <w:right w:val="nil"/>
            </w:tcBorders>
            <w:shd w:val="clear" w:color="auto" w:fill="auto"/>
            <w:noWrap/>
            <w:vAlign w:val="bottom"/>
            <w:hideMark/>
          </w:tcPr>
          <w:p w14:paraId="6B51C784" w14:textId="77777777" w:rsidR="006F48F9" w:rsidRPr="008669C3" w:rsidRDefault="006F48F9" w:rsidP="005D0BF5">
            <w:pPr>
              <w:jc w:val="center"/>
              <w:rPr>
                <w:color w:val="000000"/>
                <w:sz w:val="22"/>
              </w:rPr>
            </w:pPr>
            <w:r w:rsidRPr="008669C3">
              <w:rPr>
                <w:color w:val="000000"/>
                <w:sz w:val="22"/>
              </w:rPr>
              <w:t> </w:t>
            </w:r>
          </w:p>
        </w:tc>
        <w:tc>
          <w:tcPr>
            <w:tcW w:w="446" w:type="pct"/>
            <w:tcBorders>
              <w:top w:val="nil"/>
              <w:left w:val="nil"/>
              <w:bottom w:val="single" w:sz="4" w:space="0" w:color="auto"/>
              <w:right w:val="nil"/>
            </w:tcBorders>
            <w:shd w:val="clear" w:color="auto" w:fill="auto"/>
            <w:noWrap/>
            <w:vAlign w:val="bottom"/>
            <w:hideMark/>
          </w:tcPr>
          <w:p w14:paraId="3B5FF868" w14:textId="77777777" w:rsidR="006F48F9" w:rsidRPr="008669C3" w:rsidRDefault="006F48F9" w:rsidP="005D0BF5">
            <w:pPr>
              <w:jc w:val="center"/>
              <w:rPr>
                <w:color w:val="000000"/>
                <w:sz w:val="22"/>
              </w:rPr>
            </w:pPr>
            <w:r w:rsidRPr="008669C3">
              <w:rPr>
                <w:color w:val="000000"/>
                <w:sz w:val="22"/>
              </w:rPr>
              <w:t>0.202</w:t>
            </w:r>
          </w:p>
        </w:tc>
        <w:tc>
          <w:tcPr>
            <w:tcW w:w="525" w:type="pct"/>
            <w:tcBorders>
              <w:top w:val="nil"/>
              <w:left w:val="nil"/>
              <w:bottom w:val="single" w:sz="4" w:space="0" w:color="auto"/>
              <w:right w:val="nil"/>
            </w:tcBorders>
            <w:shd w:val="clear" w:color="auto" w:fill="auto"/>
            <w:noWrap/>
            <w:vAlign w:val="bottom"/>
            <w:hideMark/>
          </w:tcPr>
          <w:p w14:paraId="6BC98585" w14:textId="77777777" w:rsidR="006F48F9" w:rsidRPr="008669C3" w:rsidRDefault="006F48F9" w:rsidP="005D0BF5">
            <w:pPr>
              <w:jc w:val="center"/>
              <w:rPr>
                <w:color w:val="000000"/>
                <w:sz w:val="22"/>
              </w:rPr>
            </w:pPr>
            <w:r w:rsidRPr="008669C3">
              <w:rPr>
                <w:color w:val="000000"/>
                <w:sz w:val="22"/>
              </w:rPr>
              <w:t>0.126</w:t>
            </w:r>
          </w:p>
        </w:tc>
      </w:tr>
      <w:tr w:rsidR="006F48F9" w:rsidRPr="008669C3" w14:paraId="4C5B6F3F" w14:textId="77777777" w:rsidTr="005D0BF5">
        <w:trPr>
          <w:trHeight w:val="20"/>
        </w:trPr>
        <w:tc>
          <w:tcPr>
            <w:tcW w:w="1631" w:type="pct"/>
            <w:tcBorders>
              <w:top w:val="nil"/>
              <w:left w:val="nil"/>
              <w:bottom w:val="nil"/>
              <w:right w:val="nil"/>
            </w:tcBorders>
            <w:shd w:val="clear" w:color="auto" w:fill="auto"/>
            <w:noWrap/>
            <w:vAlign w:val="bottom"/>
            <w:hideMark/>
          </w:tcPr>
          <w:p w14:paraId="7B1DD6EC"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42CB13C5" w14:textId="77777777" w:rsidR="006F48F9" w:rsidRPr="008669C3" w:rsidRDefault="006F48F9" w:rsidP="005D0BF5">
            <w:pPr>
              <w:rPr>
                <w:sz w:val="22"/>
                <w:szCs w:val="20"/>
              </w:rPr>
            </w:pPr>
          </w:p>
        </w:tc>
        <w:tc>
          <w:tcPr>
            <w:tcW w:w="541" w:type="pct"/>
            <w:tcBorders>
              <w:top w:val="nil"/>
              <w:left w:val="nil"/>
              <w:bottom w:val="nil"/>
              <w:right w:val="nil"/>
            </w:tcBorders>
            <w:shd w:val="clear" w:color="auto" w:fill="auto"/>
            <w:noWrap/>
            <w:vAlign w:val="bottom"/>
            <w:hideMark/>
          </w:tcPr>
          <w:p w14:paraId="03C2461C" w14:textId="77777777" w:rsidR="006F48F9" w:rsidRPr="008669C3" w:rsidRDefault="006F48F9" w:rsidP="005D0BF5">
            <w:pPr>
              <w:jc w:val="center"/>
              <w:rPr>
                <w:sz w:val="22"/>
                <w:szCs w:val="20"/>
              </w:rPr>
            </w:pPr>
          </w:p>
        </w:tc>
        <w:tc>
          <w:tcPr>
            <w:tcW w:w="141" w:type="pct"/>
            <w:tcBorders>
              <w:top w:val="nil"/>
              <w:left w:val="nil"/>
              <w:bottom w:val="nil"/>
              <w:right w:val="nil"/>
            </w:tcBorders>
            <w:shd w:val="clear" w:color="auto" w:fill="auto"/>
            <w:noWrap/>
            <w:vAlign w:val="bottom"/>
            <w:hideMark/>
          </w:tcPr>
          <w:p w14:paraId="4F0855F8"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0DD6F4F9"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0A809AD3" w14:textId="77777777" w:rsidR="006F48F9" w:rsidRPr="008669C3" w:rsidRDefault="006F48F9" w:rsidP="005D0BF5">
            <w:pPr>
              <w:jc w:val="center"/>
              <w:rPr>
                <w:sz w:val="22"/>
                <w:szCs w:val="20"/>
              </w:rPr>
            </w:pPr>
          </w:p>
        </w:tc>
        <w:tc>
          <w:tcPr>
            <w:tcW w:w="141" w:type="pct"/>
            <w:tcBorders>
              <w:top w:val="nil"/>
              <w:left w:val="nil"/>
              <w:bottom w:val="nil"/>
              <w:right w:val="nil"/>
            </w:tcBorders>
            <w:shd w:val="clear" w:color="auto" w:fill="auto"/>
            <w:noWrap/>
            <w:vAlign w:val="bottom"/>
            <w:hideMark/>
          </w:tcPr>
          <w:p w14:paraId="02C04422" w14:textId="77777777" w:rsidR="006F48F9" w:rsidRPr="008669C3" w:rsidRDefault="006F48F9" w:rsidP="005D0BF5">
            <w:pPr>
              <w:jc w:val="center"/>
              <w:rPr>
                <w:sz w:val="22"/>
                <w:szCs w:val="20"/>
              </w:rPr>
            </w:pPr>
          </w:p>
        </w:tc>
        <w:tc>
          <w:tcPr>
            <w:tcW w:w="446" w:type="pct"/>
            <w:tcBorders>
              <w:top w:val="nil"/>
              <w:left w:val="nil"/>
              <w:bottom w:val="nil"/>
              <w:right w:val="nil"/>
            </w:tcBorders>
            <w:shd w:val="clear" w:color="auto" w:fill="auto"/>
            <w:noWrap/>
            <w:vAlign w:val="bottom"/>
            <w:hideMark/>
          </w:tcPr>
          <w:p w14:paraId="250277A9"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6AB567C9" w14:textId="77777777" w:rsidR="006F48F9" w:rsidRPr="008669C3" w:rsidRDefault="006F48F9" w:rsidP="005D0BF5">
            <w:pPr>
              <w:jc w:val="center"/>
              <w:rPr>
                <w:sz w:val="22"/>
                <w:szCs w:val="20"/>
              </w:rPr>
            </w:pPr>
          </w:p>
        </w:tc>
      </w:tr>
      <w:tr w:rsidR="006F48F9" w:rsidRPr="008669C3" w14:paraId="0E1599EE" w14:textId="77777777" w:rsidTr="005D0BF5">
        <w:trPr>
          <w:trHeight w:val="20"/>
        </w:trPr>
        <w:tc>
          <w:tcPr>
            <w:tcW w:w="1631" w:type="pct"/>
            <w:tcBorders>
              <w:top w:val="nil"/>
              <w:left w:val="nil"/>
              <w:bottom w:val="nil"/>
              <w:right w:val="nil"/>
            </w:tcBorders>
            <w:shd w:val="clear" w:color="auto" w:fill="auto"/>
            <w:noWrap/>
            <w:vAlign w:val="bottom"/>
            <w:hideMark/>
          </w:tcPr>
          <w:p w14:paraId="6AC7ACEF"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09423FFE" w14:textId="77777777" w:rsidR="006F48F9" w:rsidRPr="008669C3" w:rsidRDefault="006F48F9" w:rsidP="005D0BF5">
            <w:pPr>
              <w:rPr>
                <w:sz w:val="22"/>
                <w:szCs w:val="20"/>
              </w:rPr>
            </w:pPr>
          </w:p>
        </w:tc>
        <w:tc>
          <w:tcPr>
            <w:tcW w:w="541" w:type="pct"/>
            <w:tcBorders>
              <w:top w:val="nil"/>
              <w:left w:val="nil"/>
              <w:bottom w:val="nil"/>
              <w:right w:val="nil"/>
            </w:tcBorders>
            <w:shd w:val="clear" w:color="auto" w:fill="auto"/>
            <w:noWrap/>
            <w:vAlign w:val="bottom"/>
            <w:hideMark/>
          </w:tcPr>
          <w:p w14:paraId="4D9DADCB" w14:textId="77777777" w:rsidR="006F48F9" w:rsidRPr="008669C3" w:rsidRDefault="006F48F9" w:rsidP="005D0BF5">
            <w:pPr>
              <w:jc w:val="center"/>
              <w:rPr>
                <w:sz w:val="22"/>
                <w:szCs w:val="20"/>
              </w:rPr>
            </w:pPr>
          </w:p>
        </w:tc>
        <w:tc>
          <w:tcPr>
            <w:tcW w:w="141" w:type="pct"/>
            <w:tcBorders>
              <w:top w:val="nil"/>
              <w:left w:val="nil"/>
              <w:bottom w:val="nil"/>
              <w:right w:val="nil"/>
            </w:tcBorders>
            <w:shd w:val="clear" w:color="auto" w:fill="auto"/>
            <w:noWrap/>
            <w:vAlign w:val="bottom"/>
            <w:hideMark/>
          </w:tcPr>
          <w:p w14:paraId="35211944"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51D31B58"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2ACCF069" w14:textId="77777777" w:rsidR="006F48F9" w:rsidRPr="008669C3" w:rsidRDefault="006F48F9" w:rsidP="005D0BF5">
            <w:pPr>
              <w:jc w:val="center"/>
              <w:rPr>
                <w:sz w:val="22"/>
                <w:szCs w:val="20"/>
              </w:rPr>
            </w:pPr>
          </w:p>
        </w:tc>
        <w:tc>
          <w:tcPr>
            <w:tcW w:w="141" w:type="pct"/>
            <w:tcBorders>
              <w:top w:val="nil"/>
              <w:left w:val="nil"/>
              <w:bottom w:val="nil"/>
              <w:right w:val="nil"/>
            </w:tcBorders>
            <w:shd w:val="clear" w:color="auto" w:fill="auto"/>
            <w:noWrap/>
            <w:vAlign w:val="bottom"/>
            <w:hideMark/>
          </w:tcPr>
          <w:p w14:paraId="132FC623" w14:textId="77777777" w:rsidR="006F48F9" w:rsidRPr="008669C3" w:rsidRDefault="006F48F9" w:rsidP="005D0BF5">
            <w:pPr>
              <w:jc w:val="center"/>
              <w:rPr>
                <w:sz w:val="22"/>
                <w:szCs w:val="20"/>
              </w:rPr>
            </w:pPr>
          </w:p>
        </w:tc>
        <w:tc>
          <w:tcPr>
            <w:tcW w:w="446" w:type="pct"/>
            <w:tcBorders>
              <w:top w:val="nil"/>
              <w:left w:val="nil"/>
              <w:bottom w:val="nil"/>
              <w:right w:val="nil"/>
            </w:tcBorders>
            <w:shd w:val="clear" w:color="auto" w:fill="auto"/>
            <w:noWrap/>
            <w:vAlign w:val="bottom"/>
            <w:hideMark/>
          </w:tcPr>
          <w:p w14:paraId="2AD0E5F6"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2B12DF84" w14:textId="77777777" w:rsidR="006F48F9" w:rsidRPr="008669C3" w:rsidRDefault="006F48F9" w:rsidP="005D0BF5">
            <w:pPr>
              <w:jc w:val="center"/>
              <w:rPr>
                <w:sz w:val="22"/>
                <w:szCs w:val="20"/>
              </w:rPr>
            </w:pPr>
          </w:p>
        </w:tc>
      </w:tr>
      <w:tr w:rsidR="006F48F9" w:rsidRPr="008669C3" w14:paraId="28FCA8DC" w14:textId="77777777" w:rsidTr="005D0BF5">
        <w:trPr>
          <w:trHeight w:val="20"/>
        </w:trPr>
        <w:tc>
          <w:tcPr>
            <w:tcW w:w="1631" w:type="pct"/>
            <w:tcBorders>
              <w:top w:val="nil"/>
              <w:left w:val="nil"/>
              <w:bottom w:val="nil"/>
              <w:right w:val="nil"/>
            </w:tcBorders>
            <w:shd w:val="clear" w:color="auto" w:fill="auto"/>
            <w:noWrap/>
            <w:vAlign w:val="bottom"/>
            <w:hideMark/>
          </w:tcPr>
          <w:p w14:paraId="6DBF042B" w14:textId="77777777" w:rsidR="006F48F9" w:rsidRPr="008669C3" w:rsidRDefault="006F48F9" w:rsidP="005D0BF5">
            <w:pPr>
              <w:rPr>
                <w:color w:val="000000"/>
                <w:sz w:val="22"/>
              </w:rPr>
            </w:pPr>
          </w:p>
          <w:p w14:paraId="540FD51D" w14:textId="77777777" w:rsidR="006F48F9" w:rsidRPr="008669C3" w:rsidRDefault="006F48F9" w:rsidP="005D0BF5">
            <w:pPr>
              <w:rPr>
                <w:color w:val="000000"/>
                <w:sz w:val="22"/>
              </w:rPr>
            </w:pPr>
          </w:p>
          <w:p w14:paraId="7E6F9E29" w14:textId="77777777" w:rsidR="006F48F9" w:rsidRPr="008669C3" w:rsidRDefault="006F48F9" w:rsidP="005D0BF5">
            <w:pPr>
              <w:rPr>
                <w:i/>
                <w:color w:val="000000"/>
                <w:sz w:val="22"/>
              </w:rPr>
            </w:pPr>
            <w:r w:rsidRPr="008669C3">
              <w:rPr>
                <w:i/>
                <w:color w:val="000000"/>
                <w:sz w:val="22"/>
              </w:rPr>
              <w:lastRenderedPageBreak/>
              <w:t>Panel B: Based on analyst coverage</w:t>
            </w:r>
          </w:p>
        </w:tc>
        <w:tc>
          <w:tcPr>
            <w:tcW w:w="525" w:type="pct"/>
            <w:tcBorders>
              <w:top w:val="nil"/>
              <w:left w:val="nil"/>
              <w:bottom w:val="nil"/>
              <w:right w:val="nil"/>
            </w:tcBorders>
            <w:shd w:val="clear" w:color="auto" w:fill="auto"/>
            <w:noWrap/>
            <w:vAlign w:val="bottom"/>
            <w:hideMark/>
          </w:tcPr>
          <w:p w14:paraId="1B1388ED" w14:textId="77777777" w:rsidR="006F48F9" w:rsidRPr="008669C3" w:rsidRDefault="006F48F9" w:rsidP="005D0BF5">
            <w:pPr>
              <w:rPr>
                <w:color w:val="000000"/>
                <w:sz w:val="22"/>
              </w:rPr>
            </w:pPr>
          </w:p>
        </w:tc>
        <w:tc>
          <w:tcPr>
            <w:tcW w:w="541" w:type="pct"/>
            <w:tcBorders>
              <w:top w:val="nil"/>
              <w:left w:val="nil"/>
              <w:bottom w:val="nil"/>
              <w:right w:val="nil"/>
            </w:tcBorders>
            <w:shd w:val="clear" w:color="auto" w:fill="auto"/>
            <w:noWrap/>
            <w:vAlign w:val="bottom"/>
            <w:hideMark/>
          </w:tcPr>
          <w:p w14:paraId="5778B3A7" w14:textId="77777777" w:rsidR="006F48F9" w:rsidRPr="008669C3" w:rsidRDefault="006F48F9" w:rsidP="005D0BF5">
            <w:pPr>
              <w:jc w:val="center"/>
              <w:rPr>
                <w:sz w:val="22"/>
                <w:szCs w:val="20"/>
              </w:rPr>
            </w:pPr>
          </w:p>
        </w:tc>
        <w:tc>
          <w:tcPr>
            <w:tcW w:w="141" w:type="pct"/>
            <w:tcBorders>
              <w:top w:val="nil"/>
              <w:left w:val="nil"/>
              <w:bottom w:val="nil"/>
              <w:right w:val="nil"/>
            </w:tcBorders>
            <w:shd w:val="clear" w:color="auto" w:fill="auto"/>
            <w:noWrap/>
            <w:vAlign w:val="bottom"/>
            <w:hideMark/>
          </w:tcPr>
          <w:p w14:paraId="4C90F96A"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70BD38FD"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264027D1" w14:textId="77777777" w:rsidR="006F48F9" w:rsidRPr="008669C3" w:rsidRDefault="006F48F9" w:rsidP="005D0BF5">
            <w:pPr>
              <w:jc w:val="center"/>
              <w:rPr>
                <w:sz w:val="22"/>
                <w:szCs w:val="20"/>
              </w:rPr>
            </w:pPr>
          </w:p>
        </w:tc>
        <w:tc>
          <w:tcPr>
            <w:tcW w:w="141" w:type="pct"/>
            <w:tcBorders>
              <w:top w:val="nil"/>
              <w:left w:val="nil"/>
              <w:bottom w:val="nil"/>
              <w:right w:val="nil"/>
            </w:tcBorders>
            <w:shd w:val="clear" w:color="auto" w:fill="auto"/>
            <w:noWrap/>
            <w:vAlign w:val="bottom"/>
            <w:hideMark/>
          </w:tcPr>
          <w:p w14:paraId="0644319B" w14:textId="77777777" w:rsidR="006F48F9" w:rsidRPr="008669C3" w:rsidRDefault="006F48F9" w:rsidP="005D0BF5">
            <w:pPr>
              <w:jc w:val="center"/>
              <w:rPr>
                <w:sz w:val="22"/>
                <w:szCs w:val="20"/>
              </w:rPr>
            </w:pPr>
          </w:p>
        </w:tc>
        <w:tc>
          <w:tcPr>
            <w:tcW w:w="446" w:type="pct"/>
            <w:tcBorders>
              <w:top w:val="nil"/>
              <w:left w:val="nil"/>
              <w:bottom w:val="nil"/>
              <w:right w:val="nil"/>
            </w:tcBorders>
            <w:shd w:val="clear" w:color="auto" w:fill="auto"/>
            <w:noWrap/>
            <w:vAlign w:val="bottom"/>
            <w:hideMark/>
          </w:tcPr>
          <w:p w14:paraId="012FAF06"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1D5A36FF" w14:textId="77777777" w:rsidR="006F48F9" w:rsidRPr="008669C3" w:rsidRDefault="006F48F9" w:rsidP="005D0BF5">
            <w:pPr>
              <w:jc w:val="center"/>
              <w:rPr>
                <w:sz w:val="22"/>
                <w:szCs w:val="20"/>
              </w:rPr>
            </w:pPr>
          </w:p>
        </w:tc>
      </w:tr>
      <w:tr w:rsidR="006F48F9" w:rsidRPr="008669C3" w14:paraId="4A2C1D93" w14:textId="77777777" w:rsidTr="005D0BF5">
        <w:trPr>
          <w:trHeight w:val="20"/>
        </w:trPr>
        <w:tc>
          <w:tcPr>
            <w:tcW w:w="1631" w:type="pct"/>
            <w:tcBorders>
              <w:top w:val="nil"/>
              <w:left w:val="nil"/>
              <w:bottom w:val="nil"/>
              <w:right w:val="nil"/>
            </w:tcBorders>
            <w:shd w:val="clear" w:color="auto" w:fill="auto"/>
            <w:noWrap/>
            <w:vAlign w:val="bottom"/>
            <w:hideMark/>
          </w:tcPr>
          <w:p w14:paraId="7FE6C531" w14:textId="77777777" w:rsidR="006F48F9" w:rsidRPr="008669C3" w:rsidRDefault="006F48F9" w:rsidP="005D0BF5">
            <w:pPr>
              <w:jc w:val="center"/>
              <w:rPr>
                <w:color w:val="000000"/>
                <w:sz w:val="22"/>
              </w:rPr>
            </w:pPr>
          </w:p>
        </w:tc>
        <w:tc>
          <w:tcPr>
            <w:tcW w:w="1066" w:type="pct"/>
            <w:gridSpan w:val="2"/>
            <w:tcBorders>
              <w:top w:val="nil"/>
              <w:left w:val="nil"/>
              <w:bottom w:val="single" w:sz="4" w:space="0" w:color="auto"/>
              <w:right w:val="nil"/>
            </w:tcBorders>
            <w:shd w:val="clear" w:color="auto" w:fill="auto"/>
            <w:noWrap/>
            <w:vAlign w:val="bottom"/>
            <w:hideMark/>
          </w:tcPr>
          <w:p w14:paraId="5327D303" w14:textId="77777777" w:rsidR="006F48F9" w:rsidRPr="008669C3" w:rsidRDefault="006F48F9" w:rsidP="005D0BF5">
            <w:pPr>
              <w:jc w:val="center"/>
              <w:rPr>
                <w:color w:val="000000"/>
                <w:sz w:val="22"/>
              </w:rPr>
            </w:pPr>
            <w:r w:rsidRPr="008669C3">
              <w:rPr>
                <w:color w:val="000000"/>
                <w:sz w:val="22"/>
              </w:rPr>
              <w:t>High analyst coverage</w:t>
            </w:r>
          </w:p>
        </w:tc>
        <w:tc>
          <w:tcPr>
            <w:tcW w:w="141" w:type="pct"/>
            <w:tcBorders>
              <w:top w:val="nil"/>
              <w:left w:val="nil"/>
              <w:bottom w:val="nil"/>
              <w:right w:val="nil"/>
            </w:tcBorders>
            <w:shd w:val="clear" w:color="auto" w:fill="auto"/>
            <w:noWrap/>
            <w:vAlign w:val="bottom"/>
            <w:hideMark/>
          </w:tcPr>
          <w:p w14:paraId="39D6F308" w14:textId="77777777" w:rsidR="006F48F9" w:rsidRPr="008669C3" w:rsidRDefault="006F48F9" w:rsidP="005D0BF5">
            <w:pPr>
              <w:jc w:val="center"/>
              <w:rPr>
                <w:color w:val="000000"/>
                <w:sz w:val="22"/>
              </w:rPr>
            </w:pPr>
          </w:p>
        </w:tc>
        <w:tc>
          <w:tcPr>
            <w:tcW w:w="1050" w:type="pct"/>
            <w:gridSpan w:val="2"/>
            <w:tcBorders>
              <w:top w:val="nil"/>
              <w:left w:val="nil"/>
              <w:bottom w:val="single" w:sz="4" w:space="0" w:color="auto"/>
              <w:right w:val="nil"/>
            </w:tcBorders>
            <w:shd w:val="clear" w:color="auto" w:fill="auto"/>
            <w:noWrap/>
            <w:vAlign w:val="bottom"/>
            <w:hideMark/>
          </w:tcPr>
          <w:p w14:paraId="063644B0" w14:textId="77777777" w:rsidR="006F48F9" w:rsidRPr="008669C3" w:rsidRDefault="006F48F9" w:rsidP="005D0BF5">
            <w:pPr>
              <w:jc w:val="center"/>
              <w:rPr>
                <w:color w:val="000000"/>
                <w:sz w:val="22"/>
              </w:rPr>
            </w:pPr>
            <w:r w:rsidRPr="008669C3">
              <w:rPr>
                <w:color w:val="000000"/>
                <w:sz w:val="22"/>
              </w:rPr>
              <w:t>Low analyst coverage</w:t>
            </w:r>
          </w:p>
        </w:tc>
        <w:tc>
          <w:tcPr>
            <w:tcW w:w="141" w:type="pct"/>
            <w:tcBorders>
              <w:top w:val="nil"/>
              <w:left w:val="nil"/>
              <w:bottom w:val="nil"/>
              <w:right w:val="nil"/>
            </w:tcBorders>
            <w:shd w:val="clear" w:color="auto" w:fill="auto"/>
            <w:noWrap/>
            <w:vAlign w:val="bottom"/>
            <w:hideMark/>
          </w:tcPr>
          <w:p w14:paraId="6AF5D20D" w14:textId="77777777" w:rsidR="006F48F9" w:rsidRPr="008669C3" w:rsidRDefault="006F48F9" w:rsidP="005D0BF5">
            <w:pPr>
              <w:jc w:val="center"/>
              <w:rPr>
                <w:color w:val="000000"/>
                <w:sz w:val="22"/>
              </w:rPr>
            </w:pPr>
          </w:p>
        </w:tc>
        <w:tc>
          <w:tcPr>
            <w:tcW w:w="971" w:type="pct"/>
            <w:gridSpan w:val="2"/>
            <w:tcBorders>
              <w:top w:val="nil"/>
              <w:left w:val="nil"/>
              <w:bottom w:val="single" w:sz="4" w:space="0" w:color="auto"/>
              <w:right w:val="nil"/>
            </w:tcBorders>
            <w:shd w:val="clear" w:color="auto" w:fill="auto"/>
            <w:noWrap/>
            <w:vAlign w:val="bottom"/>
            <w:hideMark/>
          </w:tcPr>
          <w:p w14:paraId="73882CD0" w14:textId="77777777" w:rsidR="006F48F9" w:rsidRPr="008669C3" w:rsidRDefault="006F48F9" w:rsidP="005D0BF5">
            <w:pPr>
              <w:jc w:val="center"/>
              <w:rPr>
                <w:color w:val="000000"/>
                <w:sz w:val="22"/>
              </w:rPr>
            </w:pPr>
            <w:r w:rsidRPr="008669C3">
              <w:rPr>
                <w:sz w:val="22"/>
              </w:rPr>
              <w:t>Whole sample</w:t>
            </w:r>
          </w:p>
        </w:tc>
      </w:tr>
      <w:tr w:rsidR="006F48F9" w:rsidRPr="008669C3" w14:paraId="3B7329DE" w14:textId="77777777" w:rsidTr="005D0BF5">
        <w:trPr>
          <w:trHeight w:val="20"/>
        </w:trPr>
        <w:tc>
          <w:tcPr>
            <w:tcW w:w="1631" w:type="pct"/>
            <w:tcBorders>
              <w:top w:val="nil"/>
              <w:left w:val="nil"/>
              <w:bottom w:val="single" w:sz="4" w:space="0" w:color="auto"/>
              <w:right w:val="nil"/>
            </w:tcBorders>
            <w:shd w:val="clear" w:color="auto" w:fill="auto"/>
            <w:noWrap/>
            <w:vAlign w:val="bottom"/>
            <w:hideMark/>
          </w:tcPr>
          <w:p w14:paraId="19776D8A" w14:textId="77777777" w:rsidR="006F48F9" w:rsidRPr="008669C3" w:rsidRDefault="006F48F9" w:rsidP="005D0BF5">
            <w:pPr>
              <w:rPr>
                <w:color w:val="000000"/>
                <w:sz w:val="22"/>
              </w:rPr>
            </w:pPr>
            <w:r w:rsidRPr="008669C3">
              <w:rPr>
                <w:color w:val="000000"/>
                <w:sz w:val="22"/>
              </w:rPr>
              <w:t> </w:t>
            </w:r>
          </w:p>
        </w:tc>
        <w:tc>
          <w:tcPr>
            <w:tcW w:w="525" w:type="pct"/>
            <w:tcBorders>
              <w:top w:val="nil"/>
              <w:left w:val="nil"/>
              <w:bottom w:val="single" w:sz="4" w:space="0" w:color="auto"/>
              <w:right w:val="nil"/>
            </w:tcBorders>
            <w:shd w:val="clear" w:color="auto" w:fill="auto"/>
            <w:noWrap/>
            <w:vAlign w:val="bottom"/>
            <w:hideMark/>
          </w:tcPr>
          <w:p w14:paraId="15B21882" w14:textId="77777777" w:rsidR="006F48F9" w:rsidRPr="008669C3" w:rsidRDefault="006F48F9" w:rsidP="005D0BF5">
            <w:pPr>
              <w:jc w:val="center"/>
              <w:rPr>
                <w:color w:val="000000"/>
                <w:sz w:val="22"/>
              </w:rPr>
            </w:pPr>
            <w:r w:rsidRPr="008669C3">
              <w:rPr>
                <w:color w:val="000000"/>
                <w:sz w:val="22"/>
              </w:rPr>
              <w:t>(1)</w:t>
            </w:r>
          </w:p>
        </w:tc>
        <w:tc>
          <w:tcPr>
            <w:tcW w:w="541" w:type="pct"/>
            <w:tcBorders>
              <w:top w:val="nil"/>
              <w:left w:val="nil"/>
              <w:bottom w:val="single" w:sz="4" w:space="0" w:color="auto"/>
              <w:right w:val="nil"/>
            </w:tcBorders>
            <w:shd w:val="clear" w:color="auto" w:fill="auto"/>
            <w:noWrap/>
            <w:vAlign w:val="bottom"/>
            <w:hideMark/>
          </w:tcPr>
          <w:p w14:paraId="6C62F0BE" w14:textId="77777777" w:rsidR="006F48F9" w:rsidRPr="008669C3" w:rsidRDefault="006F48F9" w:rsidP="005D0BF5">
            <w:pPr>
              <w:jc w:val="center"/>
              <w:rPr>
                <w:color w:val="000000"/>
                <w:sz w:val="22"/>
              </w:rPr>
            </w:pPr>
            <w:r w:rsidRPr="008669C3">
              <w:rPr>
                <w:color w:val="000000"/>
                <w:sz w:val="22"/>
              </w:rPr>
              <w:t>(2)</w:t>
            </w:r>
          </w:p>
        </w:tc>
        <w:tc>
          <w:tcPr>
            <w:tcW w:w="141" w:type="pct"/>
            <w:tcBorders>
              <w:top w:val="nil"/>
              <w:left w:val="nil"/>
              <w:bottom w:val="single" w:sz="4" w:space="0" w:color="auto"/>
              <w:right w:val="nil"/>
            </w:tcBorders>
            <w:shd w:val="clear" w:color="auto" w:fill="auto"/>
            <w:noWrap/>
            <w:vAlign w:val="bottom"/>
            <w:hideMark/>
          </w:tcPr>
          <w:p w14:paraId="2ABA87BC" w14:textId="77777777" w:rsidR="006F48F9" w:rsidRPr="008669C3" w:rsidRDefault="006F48F9" w:rsidP="005D0BF5">
            <w:pPr>
              <w:jc w:val="center"/>
              <w:rPr>
                <w:color w:val="000000"/>
                <w:sz w:val="22"/>
              </w:rPr>
            </w:pPr>
            <w:r w:rsidRPr="008669C3">
              <w:rPr>
                <w:color w:val="000000"/>
                <w:sz w:val="22"/>
              </w:rPr>
              <w:t> </w:t>
            </w:r>
          </w:p>
        </w:tc>
        <w:tc>
          <w:tcPr>
            <w:tcW w:w="525" w:type="pct"/>
            <w:tcBorders>
              <w:top w:val="nil"/>
              <w:left w:val="nil"/>
              <w:bottom w:val="single" w:sz="4" w:space="0" w:color="auto"/>
              <w:right w:val="nil"/>
            </w:tcBorders>
            <w:shd w:val="clear" w:color="auto" w:fill="auto"/>
            <w:noWrap/>
            <w:vAlign w:val="bottom"/>
            <w:hideMark/>
          </w:tcPr>
          <w:p w14:paraId="50F6018D" w14:textId="77777777" w:rsidR="006F48F9" w:rsidRPr="008669C3" w:rsidRDefault="006F48F9" w:rsidP="005D0BF5">
            <w:pPr>
              <w:jc w:val="center"/>
              <w:rPr>
                <w:color w:val="000000"/>
                <w:sz w:val="22"/>
              </w:rPr>
            </w:pPr>
            <w:r w:rsidRPr="008669C3">
              <w:rPr>
                <w:color w:val="000000"/>
                <w:sz w:val="22"/>
              </w:rPr>
              <w:t>(3)</w:t>
            </w:r>
          </w:p>
        </w:tc>
        <w:tc>
          <w:tcPr>
            <w:tcW w:w="525" w:type="pct"/>
            <w:tcBorders>
              <w:top w:val="nil"/>
              <w:left w:val="nil"/>
              <w:bottom w:val="single" w:sz="4" w:space="0" w:color="auto"/>
              <w:right w:val="nil"/>
            </w:tcBorders>
            <w:shd w:val="clear" w:color="auto" w:fill="auto"/>
            <w:noWrap/>
            <w:vAlign w:val="bottom"/>
            <w:hideMark/>
          </w:tcPr>
          <w:p w14:paraId="08A6584A" w14:textId="77777777" w:rsidR="006F48F9" w:rsidRPr="008669C3" w:rsidRDefault="006F48F9" w:rsidP="005D0BF5">
            <w:pPr>
              <w:jc w:val="center"/>
              <w:rPr>
                <w:color w:val="000000"/>
                <w:sz w:val="22"/>
              </w:rPr>
            </w:pPr>
            <w:r w:rsidRPr="008669C3">
              <w:rPr>
                <w:color w:val="000000"/>
                <w:sz w:val="22"/>
              </w:rPr>
              <w:t>(4)</w:t>
            </w:r>
          </w:p>
        </w:tc>
        <w:tc>
          <w:tcPr>
            <w:tcW w:w="141" w:type="pct"/>
            <w:tcBorders>
              <w:top w:val="nil"/>
              <w:left w:val="nil"/>
              <w:bottom w:val="single" w:sz="4" w:space="0" w:color="auto"/>
              <w:right w:val="nil"/>
            </w:tcBorders>
            <w:shd w:val="clear" w:color="auto" w:fill="auto"/>
            <w:noWrap/>
            <w:vAlign w:val="bottom"/>
            <w:hideMark/>
          </w:tcPr>
          <w:p w14:paraId="7095CF18" w14:textId="77777777" w:rsidR="006F48F9" w:rsidRPr="008669C3" w:rsidRDefault="006F48F9" w:rsidP="005D0BF5">
            <w:pPr>
              <w:jc w:val="center"/>
              <w:rPr>
                <w:color w:val="000000"/>
                <w:sz w:val="22"/>
              </w:rPr>
            </w:pPr>
            <w:r w:rsidRPr="008669C3">
              <w:rPr>
                <w:color w:val="000000"/>
                <w:sz w:val="22"/>
              </w:rPr>
              <w:t> </w:t>
            </w:r>
          </w:p>
        </w:tc>
        <w:tc>
          <w:tcPr>
            <w:tcW w:w="446" w:type="pct"/>
            <w:tcBorders>
              <w:top w:val="nil"/>
              <w:left w:val="nil"/>
              <w:bottom w:val="single" w:sz="4" w:space="0" w:color="auto"/>
              <w:right w:val="nil"/>
            </w:tcBorders>
            <w:shd w:val="clear" w:color="auto" w:fill="auto"/>
            <w:noWrap/>
            <w:vAlign w:val="bottom"/>
            <w:hideMark/>
          </w:tcPr>
          <w:p w14:paraId="3E36BF1C" w14:textId="77777777" w:rsidR="006F48F9" w:rsidRPr="008669C3" w:rsidRDefault="006F48F9" w:rsidP="005D0BF5">
            <w:pPr>
              <w:jc w:val="center"/>
              <w:rPr>
                <w:color w:val="000000"/>
                <w:sz w:val="22"/>
              </w:rPr>
            </w:pPr>
            <w:r w:rsidRPr="008669C3">
              <w:rPr>
                <w:color w:val="000000"/>
                <w:sz w:val="22"/>
              </w:rPr>
              <w:t>(5)</w:t>
            </w:r>
          </w:p>
        </w:tc>
        <w:tc>
          <w:tcPr>
            <w:tcW w:w="525" w:type="pct"/>
            <w:tcBorders>
              <w:top w:val="nil"/>
              <w:left w:val="nil"/>
              <w:bottom w:val="single" w:sz="4" w:space="0" w:color="auto"/>
              <w:right w:val="nil"/>
            </w:tcBorders>
            <w:shd w:val="clear" w:color="auto" w:fill="auto"/>
            <w:noWrap/>
            <w:vAlign w:val="bottom"/>
            <w:hideMark/>
          </w:tcPr>
          <w:p w14:paraId="554E6485" w14:textId="77777777" w:rsidR="006F48F9" w:rsidRPr="008669C3" w:rsidRDefault="006F48F9" w:rsidP="005D0BF5">
            <w:pPr>
              <w:jc w:val="center"/>
              <w:rPr>
                <w:color w:val="000000"/>
                <w:sz w:val="22"/>
              </w:rPr>
            </w:pPr>
            <w:r w:rsidRPr="008669C3">
              <w:rPr>
                <w:color w:val="000000"/>
                <w:sz w:val="22"/>
              </w:rPr>
              <w:t>(6)</w:t>
            </w:r>
          </w:p>
        </w:tc>
      </w:tr>
      <w:tr w:rsidR="006F48F9" w:rsidRPr="008669C3" w14:paraId="464ED968" w14:textId="77777777" w:rsidTr="005D0BF5">
        <w:trPr>
          <w:trHeight w:val="20"/>
        </w:trPr>
        <w:tc>
          <w:tcPr>
            <w:tcW w:w="1631" w:type="pct"/>
            <w:tcBorders>
              <w:top w:val="nil"/>
              <w:left w:val="nil"/>
              <w:bottom w:val="nil"/>
              <w:right w:val="nil"/>
            </w:tcBorders>
            <w:shd w:val="clear" w:color="auto" w:fill="auto"/>
            <w:noWrap/>
            <w:vAlign w:val="bottom"/>
            <w:hideMark/>
          </w:tcPr>
          <w:p w14:paraId="4C1A0489" w14:textId="77777777" w:rsidR="006F48F9" w:rsidRPr="008669C3" w:rsidRDefault="006F48F9" w:rsidP="005D0BF5">
            <w:pPr>
              <w:rPr>
                <w:color w:val="000000"/>
                <w:sz w:val="22"/>
              </w:rPr>
            </w:pPr>
            <w:r w:rsidRPr="008669C3">
              <w:rPr>
                <w:color w:val="000000"/>
                <w:sz w:val="22"/>
              </w:rPr>
              <w:t>CDS trading</w:t>
            </w:r>
          </w:p>
        </w:tc>
        <w:tc>
          <w:tcPr>
            <w:tcW w:w="525" w:type="pct"/>
            <w:tcBorders>
              <w:top w:val="nil"/>
              <w:left w:val="nil"/>
              <w:bottom w:val="nil"/>
              <w:right w:val="nil"/>
            </w:tcBorders>
            <w:shd w:val="clear" w:color="auto" w:fill="auto"/>
            <w:noWrap/>
            <w:vAlign w:val="bottom"/>
            <w:hideMark/>
          </w:tcPr>
          <w:p w14:paraId="1D2CE246" w14:textId="77777777" w:rsidR="006F48F9" w:rsidRPr="008669C3" w:rsidRDefault="006F48F9" w:rsidP="005D0BF5">
            <w:pPr>
              <w:jc w:val="center"/>
              <w:rPr>
                <w:color w:val="000000"/>
                <w:sz w:val="22"/>
              </w:rPr>
            </w:pPr>
            <w:r w:rsidRPr="008669C3">
              <w:rPr>
                <w:color w:val="000000"/>
                <w:sz w:val="22"/>
              </w:rPr>
              <w:t>0.406</w:t>
            </w:r>
            <w:r w:rsidRPr="008669C3">
              <w:rPr>
                <w:color w:val="000000"/>
                <w:sz w:val="20"/>
              </w:rPr>
              <w:t>**</w:t>
            </w:r>
          </w:p>
        </w:tc>
        <w:tc>
          <w:tcPr>
            <w:tcW w:w="541" w:type="pct"/>
            <w:tcBorders>
              <w:top w:val="nil"/>
              <w:left w:val="nil"/>
              <w:bottom w:val="nil"/>
              <w:right w:val="nil"/>
            </w:tcBorders>
            <w:shd w:val="clear" w:color="auto" w:fill="auto"/>
            <w:noWrap/>
            <w:vAlign w:val="bottom"/>
            <w:hideMark/>
          </w:tcPr>
          <w:p w14:paraId="5DF15D7C" w14:textId="77777777" w:rsidR="006F48F9" w:rsidRPr="008669C3" w:rsidRDefault="006F48F9" w:rsidP="005D0BF5">
            <w:pPr>
              <w:jc w:val="center"/>
              <w:rPr>
                <w:color w:val="000000"/>
                <w:sz w:val="22"/>
              </w:rPr>
            </w:pPr>
            <w:r w:rsidRPr="008669C3">
              <w:rPr>
                <w:color w:val="000000"/>
                <w:sz w:val="22"/>
              </w:rPr>
              <w:t>0.269</w:t>
            </w:r>
            <w:r w:rsidRPr="008669C3">
              <w:rPr>
                <w:color w:val="000000"/>
                <w:sz w:val="20"/>
              </w:rPr>
              <w:t>*</w:t>
            </w:r>
          </w:p>
        </w:tc>
        <w:tc>
          <w:tcPr>
            <w:tcW w:w="141" w:type="pct"/>
            <w:tcBorders>
              <w:top w:val="nil"/>
              <w:left w:val="nil"/>
              <w:bottom w:val="nil"/>
              <w:right w:val="nil"/>
            </w:tcBorders>
            <w:shd w:val="clear" w:color="auto" w:fill="auto"/>
            <w:noWrap/>
            <w:vAlign w:val="bottom"/>
            <w:hideMark/>
          </w:tcPr>
          <w:p w14:paraId="0F9C57E2"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7BE439E9" w14:textId="77777777" w:rsidR="006F48F9" w:rsidRPr="008669C3" w:rsidRDefault="006F48F9" w:rsidP="005D0BF5">
            <w:pPr>
              <w:jc w:val="center"/>
              <w:rPr>
                <w:color w:val="000000"/>
                <w:sz w:val="22"/>
              </w:rPr>
            </w:pPr>
            <w:r w:rsidRPr="008669C3">
              <w:rPr>
                <w:color w:val="000000"/>
                <w:sz w:val="22"/>
              </w:rPr>
              <w:t>0.330</w:t>
            </w:r>
            <w:r w:rsidRPr="008669C3">
              <w:rPr>
                <w:color w:val="000000"/>
                <w:sz w:val="20"/>
              </w:rPr>
              <w:t>*</w:t>
            </w:r>
          </w:p>
        </w:tc>
        <w:tc>
          <w:tcPr>
            <w:tcW w:w="525" w:type="pct"/>
            <w:tcBorders>
              <w:top w:val="nil"/>
              <w:left w:val="nil"/>
              <w:bottom w:val="nil"/>
              <w:right w:val="nil"/>
            </w:tcBorders>
            <w:shd w:val="clear" w:color="auto" w:fill="auto"/>
            <w:noWrap/>
            <w:vAlign w:val="bottom"/>
            <w:hideMark/>
          </w:tcPr>
          <w:p w14:paraId="7D8EA46A" w14:textId="77777777" w:rsidR="006F48F9" w:rsidRPr="008669C3" w:rsidRDefault="006F48F9" w:rsidP="005D0BF5">
            <w:pPr>
              <w:jc w:val="center"/>
              <w:rPr>
                <w:color w:val="000000"/>
                <w:sz w:val="22"/>
              </w:rPr>
            </w:pPr>
            <w:r w:rsidRPr="008669C3">
              <w:rPr>
                <w:color w:val="000000"/>
                <w:sz w:val="22"/>
              </w:rPr>
              <w:t>0.576</w:t>
            </w:r>
            <w:r w:rsidRPr="008669C3">
              <w:rPr>
                <w:color w:val="000000"/>
                <w:sz w:val="20"/>
              </w:rPr>
              <w:t>**</w:t>
            </w:r>
          </w:p>
        </w:tc>
        <w:tc>
          <w:tcPr>
            <w:tcW w:w="141" w:type="pct"/>
            <w:tcBorders>
              <w:top w:val="nil"/>
              <w:left w:val="nil"/>
              <w:bottom w:val="nil"/>
              <w:right w:val="nil"/>
            </w:tcBorders>
            <w:shd w:val="clear" w:color="auto" w:fill="auto"/>
            <w:noWrap/>
            <w:vAlign w:val="bottom"/>
            <w:hideMark/>
          </w:tcPr>
          <w:p w14:paraId="6446719D" w14:textId="77777777" w:rsidR="006F48F9" w:rsidRPr="008669C3" w:rsidRDefault="006F48F9" w:rsidP="005D0BF5">
            <w:pPr>
              <w:jc w:val="center"/>
              <w:rPr>
                <w:color w:val="000000"/>
                <w:sz w:val="22"/>
              </w:rPr>
            </w:pPr>
          </w:p>
        </w:tc>
        <w:tc>
          <w:tcPr>
            <w:tcW w:w="446" w:type="pct"/>
            <w:tcBorders>
              <w:top w:val="nil"/>
              <w:left w:val="nil"/>
              <w:bottom w:val="nil"/>
              <w:right w:val="nil"/>
            </w:tcBorders>
            <w:shd w:val="clear" w:color="auto" w:fill="auto"/>
            <w:noWrap/>
            <w:vAlign w:val="bottom"/>
            <w:hideMark/>
          </w:tcPr>
          <w:p w14:paraId="7D817EA8" w14:textId="77777777" w:rsidR="006F48F9" w:rsidRPr="008669C3" w:rsidRDefault="006F48F9" w:rsidP="005D0BF5">
            <w:pPr>
              <w:jc w:val="center"/>
              <w:rPr>
                <w:color w:val="000000"/>
                <w:sz w:val="22"/>
              </w:rPr>
            </w:pPr>
            <w:r w:rsidRPr="008669C3">
              <w:rPr>
                <w:color w:val="000000"/>
                <w:sz w:val="22"/>
              </w:rPr>
              <w:t>0.438</w:t>
            </w:r>
            <w:r w:rsidRPr="008669C3">
              <w:rPr>
                <w:color w:val="000000"/>
                <w:sz w:val="20"/>
              </w:rPr>
              <w:t>*</w:t>
            </w:r>
          </w:p>
        </w:tc>
        <w:tc>
          <w:tcPr>
            <w:tcW w:w="525" w:type="pct"/>
            <w:tcBorders>
              <w:top w:val="nil"/>
              <w:left w:val="nil"/>
              <w:bottom w:val="nil"/>
              <w:right w:val="nil"/>
            </w:tcBorders>
            <w:shd w:val="clear" w:color="auto" w:fill="auto"/>
            <w:noWrap/>
            <w:vAlign w:val="bottom"/>
            <w:hideMark/>
          </w:tcPr>
          <w:p w14:paraId="6BE4DF13" w14:textId="77777777" w:rsidR="006F48F9" w:rsidRPr="008669C3" w:rsidRDefault="006F48F9" w:rsidP="005D0BF5">
            <w:pPr>
              <w:jc w:val="center"/>
              <w:rPr>
                <w:color w:val="000000"/>
                <w:sz w:val="22"/>
              </w:rPr>
            </w:pPr>
            <w:r w:rsidRPr="008669C3">
              <w:rPr>
                <w:color w:val="000000"/>
                <w:sz w:val="22"/>
              </w:rPr>
              <w:t>0.704</w:t>
            </w:r>
            <w:r w:rsidRPr="008669C3">
              <w:rPr>
                <w:color w:val="000000"/>
                <w:sz w:val="20"/>
              </w:rPr>
              <w:t>***</w:t>
            </w:r>
          </w:p>
        </w:tc>
      </w:tr>
      <w:tr w:rsidR="006F48F9" w:rsidRPr="008669C3" w14:paraId="75B05598" w14:textId="77777777" w:rsidTr="005D0BF5">
        <w:trPr>
          <w:trHeight w:val="20"/>
        </w:trPr>
        <w:tc>
          <w:tcPr>
            <w:tcW w:w="1631" w:type="pct"/>
            <w:tcBorders>
              <w:top w:val="nil"/>
              <w:left w:val="nil"/>
              <w:bottom w:val="nil"/>
              <w:right w:val="nil"/>
            </w:tcBorders>
            <w:shd w:val="clear" w:color="auto" w:fill="auto"/>
            <w:noWrap/>
            <w:vAlign w:val="bottom"/>
            <w:hideMark/>
          </w:tcPr>
          <w:p w14:paraId="59F74E36"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7F8048E0" w14:textId="77777777" w:rsidR="006F48F9" w:rsidRPr="008669C3" w:rsidRDefault="006F48F9" w:rsidP="005D0BF5">
            <w:pPr>
              <w:jc w:val="center"/>
              <w:rPr>
                <w:color w:val="000000"/>
                <w:sz w:val="22"/>
              </w:rPr>
            </w:pPr>
            <w:r w:rsidRPr="008669C3">
              <w:rPr>
                <w:color w:val="000000"/>
                <w:sz w:val="22"/>
              </w:rPr>
              <w:t>(0.176)</w:t>
            </w:r>
          </w:p>
        </w:tc>
        <w:tc>
          <w:tcPr>
            <w:tcW w:w="541" w:type="pct"/>
            <w:tcBorders>
              <w:top w:val="nil"/>
              <w:left w:val="nil"/>
              <w:bottom w:val="nil"/>
              <w:right w:val="nil"/>
            </w:tcBorders>
            <w:shd w:val="clear" w:color="auto" w:fill="auto"/>
            <w:noWrap/>
            <w:vAlign w:val="bottom"/>
            <w:hideMark/>
          </w:tcPr>
          <w:p w14:paraId="7778C2B7" w14:textId="77777777" w:rsidR="006F48F9" w:rsidRPr="008669C3" w:rsidRDefault="006F48F9" w:rsidP="005D0BF5">
            <w:pPr>
              <w:jc w:val="center"/>
              <w:rPr>
                <w:color w:val="000000"/>
                <w:sz w:val="22"/>
              </w:rPr>
            </w:pPr>
            <w:r w:rsidRPr="008669C3">
              <w:rPr>
                <w:color w:val="000000"/>
                <w:sz w:val="22"/>
              </w:rPr>
              <w:t>(0.145)</w:t>
            </w:r>
          </w:p>
        </w:tc>
        <w:tc>
          <w:tcPr>
            <w:tcW w:w="141" w:type="pct"/>
            <w:tcBorders>
              <w:top w:val="nil"/>
              <w:left w:val="nil"/>
              <w:bottom w:val="nil"/>
              <w:right w:val="nil"/>
            </w:tcBorders>
            <w:shd w:val="clear" w:color="auto" w:fill="auto"/>
            <w:noWrap/>
            <w:vAlign w:val="bottom"/>
            <w:hideMark/>
          </w:tcPr>
          <w:p w14:paraId="6ED2E4BB"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2B9DDCAF" w14:textId="77777777" w:rsidR="006F48F9" w:rsidRPr="008669C3" w:rsidRDefault="006F48F9" w:rsidP="005D0BF5">
            <w:pPr>
              <w:jc w:val="center"/>
              <w:rPr>
                <w:color w:val="000000"/>
                <w:sz w:val="22"/>
              </w:rPr>
            </w:pPr>
            <w:r w:rsidRPr="008669C3">
              <w:rPr>
                <w:color w:val="000000"/>
                <w:sz w:val="22"/>
              </w:rPr>
              <w:t>(0.188)</w:t>
            </w:r>
          </w:p>
        </w:tc>
        <w:tc>
          <w:tcPr>
            <w:tcW w:w="525" w:type="pct"/>
            <w:tcBorders>
              <w:top w:val="nil"/>
              <w:left w:val="nil"/>
              <w:bottom w:val="nil"/>
              <w:right w:val="nil"/>
            </w:tcBorders>
            <w:shd w:val="clear" w:color="auto" w:fill="auto"/>
            <w:noWrap/>
            <w:vAlign w:val="bottom"/>
            <w:hideMark/>
          </w:tcPr>
          <w:p w14:paraId="6227FE10" w14:textId="77777777" w:rsidR="006F48F9" w:rsidRPr="008669C3" w:rsidRDefault="006F48F9" w:rsidP="005D0BF5">
            <w:pPr>
              <w:jc w:val="center"/>
              <w:rPr>
                <w:color w:val="000000"/>
                <w:sz w:val="22"/>
              </w:rPr>
            </w:pPr>
            <w:r w:rsidRPr="008669C3">
              <w:rPr>
                <w:color w:val="000000"/>
                <w:sz w:val="22"/>
              </w:rPr>
              <w:t>(0.268)</w:t>
            </w:r>
          </w:p>
        </w:tc>
        <w:tc>
          <w:tcPr>
            <w:tcW w:w="141" w:type="pct"/>
            <w:tcBorders>
              <w:top w:val="nil"/>
              <w:left w:val="nil"/>
              <w:bottom w:val="nil"/>
              <w:right w:val="nil"/>
            </w:tcBorders>
            <w:shd w:val="clear" w:color="auto" w:fill="auto"/>
            <w:noWrap/>
            <w:vAlign w:val="bottom"/>
            <w:hideMark/>
          </w:tcPr>
          <w:p w14:paraId="334A9982" w14:textId="77777777" w:rsidR="006F48F9" w:rsidRPr="008669C3" w:rsidRDefault="006F48F9" w:rsidP="005D0BF5">
            <w:pPr>
              <w:jc w:val="center"/>
              <w:rPr>
                <w:color w:val="000000"/>
                <w:sz w:val="22"/>
              </w:rPr>
            </w:pPr>
          </w:p>
        </w:tc>
        <w:tc>
          <w:tcPr>
            <w:tcW w:w="446" w:type="pct"/>
            <w:tcBorders>
              <w:top w:val="nil"/>
              <w:left w:val="nil"/>
              <w:bottom w:val="nil"/>
              <w:right w:val="nil"/>
            </w:tcBorders>
            <w:shd w:val="clear" w:color="auto" w:fill="auto"/>
            <w:noWrap/>
            <w:vAlign w:val="bottom"/>
            <w:hideMark/>
          </w:tcPr>
          <w:p w14:paraId="4FEFE711" w14:textId="77777777" w:rsidR="006F48F9" w:rsidRPr="008669C3" w:rsidRDefault="006F48F9" w:rsidP="005D0BF5">
            <w:pPr>
              <w:jc w:val="center"/>
              <w:rPr>
                <w:color w:val="000000"/>
                <w:sz w:val="22"/>
              </w:rPr>
            </w:pPr>
            <w:r w:rsidRPr="008669C3">
              <w:rPr>
                <w:color w:val="000000"/>
                <w:sz w:val="22"/>
              </w:rPr>
              <w:t>(0.229)</w:t>
            </w:r>
          </w:p>
        </w:tc>
        <w:tc>
          <w:tcPr>
            <w:tcW w:w="525" w:type="pct"/>
            <w:tcBorders>
              <w:top w:val="nil"/>
              <w:left w:val="nil"/>
              <w:bottom w:val="nil"/>
              <w:right w:val="nil"/>
            </w:tcBorders>
            <w:shd w:val="clear" w:color="auto" w:fill="auto"/>
            <w:noWrap/>
            <w:vAlign w:val="bottom"/>
            <w:hideMark/>
          </w:tcPr>
          <w:p w14:paraId="41806505" w14:textId="77777777" w:rsidR="006F48F9" w:rsidRPr="008669C3" w:rsidRDefault="006F48F9" w:rsidP="005D0BF5">
            <w:pPr>
              <w:jc w:val="center"/>
              <w:rPr>
                <w:color w:val="000000"/>
                <w:sz w:val="22"/>
              </w:rPr>
            </w:pPr>
            <w:r w:rsidRPr="008669C3">
              <w:rPr>
                <w:color w:val="000000"/>
                <w:sz w:val="22"/>
              </w:rPr>
              <w:t>(0.250)</w:t>
            </w:r>
          </w:p>
        </w:tc>
      </w:tr>
      <w:tr w:rsidR="006F48F9" w:rsidRPr="008669C3" w14:paraId="432A3495" w14:textId="77777777" w:rsidTr="005D0BF5">
        <w:trPr>
          <w:trHeight w:val="20"/>
        </w:trPr>
        <w:tc>
          <w:tcPr>
            <w:tcW w:w="1631" w:type="pct"/>
            <w:tcBorders>
              <w:top w:val="nil"/>
              <w:left w:val="nil"/>
              <w:bottom w:val="nil"/>
              <w:right w:val="nil"/>
            </w:tcBorders>
            <w:shd w:val="clear" w:color="auto" w:fill="auto"/>
            <w:noWrap/>
            <w:vAlign w:val="bottom"/>
            <w:hideMark/>
          </w:tcPr>
          <w:p w14:paraId="08D08DD3" w14:textId="382100D6" w:rsidR="006F48F9" w:rsidRPr="008669C3" w:rsidRDefault="006F48F9" w:rsidP="00853CA5">
            <w:pPr>
              <w:rPr>
                <w:color w:val="000000"/>
                <w:sz w:val="22"/>
              </w:rPr>
            </w:pPr>
            <w:r w:rsidRPr="008669C3">
              <w:rPr>
                <w:color w:val="000000"/>
                <w:sz w:val="22"/>
              </w:rPr>
              <w:t xml:space="preserve">CDS trading × Analyst </w:t>
            </w:r>
            <w:r w:rsidR="00853CA5" w:rsidRPr="008669C3">
              <w:rPr>
                <w:color w:val="000000"/>
                <w:sz w:val="22"/>
              </w:rPr>
              <w:t>c</w:t>
            </w:r>
            <w:r w:rsidRPr="008669C3">
              <w:rPr>
                <w:color w:val="000000"/>
                <w:sz w:val="22"/>
              </w:rPr>
              <w:t>overage</w:t>
            </w:r>
          </w:p>
        </w:tc>
        <w:tc>
          <w:tcPr>
            <w:tcW w:w="525" w:type="pct"/>
            <w:tcBorders>
              <w:top w:val="nil"/>
              <w:left w:val="nil"/>
              <w:bottom w:val="nil"/>
              <w:right w:val="nil"/>
            </w:tcBorders>
            <w:shd w:val="clear" w:color="auto" w:fill="auto"/>
            <w:noWrap/>
            <w:vAlign w:val="bottom"/>
            <w:hideMark/>
          </w:tcPr>
          <w:p w14:paraId="43DD96D1" w14:textId="77777777" w:rsidR="006F48F9" w:rsidRPr="008669C3" w:rsidRDefault="006F48F9" w:rsidP="005D0BF5">
            <w:pPr>
              <w:jc w:val="center"/>
              <w:rPr>
                <w:color w:val="000000"/>
                <w:sz w:val="22"/>
              </w:rPr>
            </w:pPr>
            <w:r w:rsidRPr="008669C3">
              <w:rPr>
                <w:iCs/>
                <w:sz w:val="22"/>
              </w:rPr>
              <w:t>—</w:t>
            </w:r>
          </w:p>
        </w:tc>
        <w:tc>
          <w:tcPr>
            <w:tcW w:w="541" w:type="pct"/>
            <w:tcBorders>
              <w:top w:val="nil"/>
              <w:left w:val="nil"/>
              <w:bottom w:val="nil"/>
              <w:right w:val="nil"/>
            </w:tcBorders>
            <w:shd w:val="clear" w:color="auto" w:fill="auto"/>
            <w:noWrap/>
            <w:vAlign w:val="bottom"/>
            <w:hideMark/>
          </w:tcPr>
          <w:p w14:paraId="26EFAE7D" w14:textId="77777777" w:rsidR="006F48F9" w:rsidRPr="008669C3" w:rsidRDefault="006F48F9" w:rsidP="005D0BF5">
            <w:pPr>
              <w:jc w:val="center"/>
              <w:rPr>
                <w:sz w:val="22"/>
                <w:szCs w:val="20"/>
              </w:rPr>
            </w:pPr>
            <w:r w:rsidRPr="008669C3">
              <w:rPr>
                <w:iCs/>
                <w:sz w:val="22"/>
              </w:rPr>
              <w:t>—</w:t>
            </w:r>
          </w:p>
        </w:tc>
        <w:tc>
          <w:tcPr>
            <w:tcW w:w="141" w:type="pct"/>
            <w:tcBorders>
              <w:top w:val="nil"/>
              <w:left w:val="nil"/>
              <w:bottom w:val="nil"/>
              <w:right w:val="nil"/>
            </w:tcBorders>
            <w:shd w:val="clear" w:color="auto" w:fill="auto"/>
            <w:noWrap/>
            <w:vAlign w:val="bottom"/>
            <w:hideMark/>
          </w:tcPr>
          <w:p w14:paraId="5405ADBA"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78E69AE0" w14:textId="77777777" w:rsidR="006F48F9" w:rsidRPr="008669C3" w:rsidRDefault="006F48F9" w:rsidP="005D0BF5">
            <w:pPr>
              <w:jc w:val="center"/>
              <w:rPr>
                <w:color w:val="000000"/>
                <w:sz w:val="22"/>
              </w:rPr>
            </w:pPr>
            <w:r w:rsidRPr="008669C3">
              <w:rPr>
                <w:iCs/>
                <w:sz w:val="22"/>
              </w:rPr>
              <w:t>—</w:t>
            </w:r>
          </w:p>
        </w:tc>
        <w:tc>
          <w:tcPr>
            <w:tcW w:w="525" w:type="pct"/>
            <w:tcBorders>
              <w:top w:val="nil"/>
              <w:left w:val="nil"/>
              <w:bottom w:val="nil"/>
              <w:right w:val="nil"/>
            </w:tcBorders>
            <w:shd w:val="clear" w:color="auto" w:fill="auto"/>
            <w:noWrap/>
            <w:vAlign w:val="bottom"/>
            <w:hideMark/>
          </w:tcPr>
          <w:p w14:paraId="41D06934" w14:textId="77777777" w:rsidR="006F48F9" w:rsidRPr="008669C3" w:rsidRDefault="006F48F9" w:rsidP="005D0BF5">
            <w:pPr>
              <w:jc w:val="center"/>
              <w:rPr>
                <w:sz w:val="22"/>
                <w:szCs w:val="20"/>
              </w:rPr>
            </w:pPr>
            <w:r w:rsidRPr="008669C3">
              <w:rPr>
                <w:iCs/>
                <w:sz w:val="22"/>
              </w:rPr>
              <w:t>—</w:t>
            </w:r>
          </w:p>
        </w:tc>
        <w:tc>
          <w:tcPr>
            <w:tcW w:w="141" w:type="pct"/>
            <w:tcBorders>
              <w:top w:val="nil"/>
              <w:left w:val="nil"/>
              <w:bottom w:val="nil"/>
              <w:right w:val="nil"/>
            </w:tcBorders>
            <w:shd w:val="clear" w:color="auto" w:fill="auto"/>
            <w:noWrap/>
            <w:vAlign w:val="bottom"/>
            <w:hideMark/>
          </w:tcPr>
          <w:p w14:paraId="7360C408" w14:textId="77777777" w:rsidR="006F48F9" w:rsidRPr="008669C3" w:rsidRDefault="006F48F9" w:rsidP="005D0BF5">
            <w:pPr>
              <w:jc w:val="center"/>
              <w:rPr>
                <w:sz w:val="22"/>
                <w:szCs w:val="20"/>
              </w:rPr>
            </w:pPr>
          </w:p>
        </w:tc>
        <w:tc>
          <w:tcPr>
            <w:tcW w:w="446" w:type="pct"/>
            <w:tcBorders>
              <w:top w:val="nil"/>
              <w:left w:val="nil"/>
              <w:bottom w:val="nil"/>
              <w:right w:val="nil"/>
            </w:tcBorders>
            <w:shd w:val="clear" w:color="auto" w:fill="auto"/>
            <w:noWrap/>
            <w:vAlign w:val="bottom"/>
            <w:hideMark/>
          </w:tcPr>
          <w:p w14:paraId="624D666F" w14:textId="77777777" w:rsidR="006F48F9" w:rsidRPr="008669C3" w:rsidRDefault="006F48F9" w:rsidP="005D0BF5">
            <w:pPr>
              <w:jc w:val="center"/>
              <w:rPr>
                <w:color w:val="000000"/>
                <w:sz w:val="22"/>
              </w:rPr>
            </w:pPr>
            <w:r w:rsidRPr="008669C3">
              <w:rPr>
                <w:color w:val="000000"/>
                <w:sz w:val="22"/>
              </w:rPr>
              <w:t>-0.007</w:t>
            </w:r>
          </w:p>
        </w:tc>
        <w:tc>
          <w:tcPr>
            <w:tcW w:w="525" w:type="pct"/>
            <w:tcBorders>
              <w:top w:val="nil"/>
              <w:left w:val="nil"/>
              <w:bottom w:val="nil"/>
              <w:right w:val="nil"/>
            </w:tcBorders>
            <w:shd w:val="clear" w:color="auto" w:fill="auto"/>
            <w:noWrap/>
            <w:vAlign w:val="bottom"/>
            <w:hideMark/>
          </w:tcPr>
          <w:p w14:paraId="4E5F9028" w14:textId="77777777" w:rsidR="006F48F9" w:rsidRPr="008669C3" w:rsidRDefault="006F48F9" w:rsidP="005D0BF5">
            <w:pPr>
              <w:jc w:val="center"/>
              <w:rPr>
                <w:color w:val="000000"/>
                <w:sz w:val="22"/>
              </w:rPr>
            </w:pPr>
            <w:r w:rsidRPr="008669C3">
              <w:rPr>
                <w:color w:val="000000"/>
                <w:sz w:val="22"/>
              </w:rPr>
              <w:t>-0.025</w:t>
            </w:r>
          </w:p>
        </w:tc>
      </w:tr>
      <w:tr w:rsidR="006F48F9" w:rsidRPr="008669C3" w14:paraId="4459B2CD" w14:textId="77777777" w:rsidTr="005D0BF5">
        <w:trPr>
          <w:trHeight w:val="20"/>
        </w:trPr>
        <w:tc>
          <w:tcPr>
            <w:tcW w:w="1631" w:type="pct"/>
            <w:tcBorders>
              <w:top w:val="nil"/>
              <w:left w:val="nil"/>
              <w:bottom w:val="nil"/>
              <w:right w:val="nil"/>
            </w:tcBorders>
            <w:shd w:val="clear" w:color="auto" w:fill="auto"/>
            <w:noWrap/>
            <w:vAlign w:val="bottom"/>
            <w:hideMark/>
          </w:tcPr>
          <w:p w14:paraId="4530211A"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6272CEA4" w14:textId="77777777" w:rsidR="006F48F9" w:rsidRPr="008669C3" w:rsidRDefault="006F48F9" w:rsidP="005D0BF5">
            <w:pPr>
              <w:rPr>
                <w:sz w:val="22"/>
                <w:szCs w:val="20"/>
              </w:rPr>
            </w:pPr>
          </w:p>
        </w:tc>
        <w:tc>
          <w:tcPr>
            <w:tcW w:w="541" w:type="pct"/>
            <w:tcBorders>
              <w:top w:val="nil"/>
              <w:left w:val="nil"/>
              <w:bottom w:val="nil"/>
              <w:right w:val="nil"/>
            </w:tcBorders>
            <w:shd w:val="clear" w:color="auto" w:fill="auto"/>
            <w:noWrap/>
            <w:vAlign w:val="bottom"/>
            <w:hideMark/>
          </w:tcPr>
          <w:p w14:paraId="696E4E81" w14:textId="77777777" w:rsidR="006F48F9" w:rsidRPr="008669C3" w:rsidRDefault="006F48F9" w:rsidP="005D0BF5">
            <w:pPr>
              <w:jc w:val="center"/>
              <w:rPr>
                <w:sz w:val="22"/>
                <w:szCs w:val="20"/>
              </w:rPr>
            </w:pPr>
          </w:p>
        </w:tc>
        <w:tc>
          <w:tcPr>
            <w:tcW w:w="141" w:type="pct"/>
            <w:tcBorders>
              <w:top w:val="nil"/>
              <w:left w:val="nil"/>
              <w:bottom w:val="nil"/>
              <w:right w:val="nil"/>
            </w:tcBorders>
            <w:shd w:val="clear" w:color="auto" w:fill="auto"/>
            <w:noWrap/>
            <w:vAlign w:val="bottom"/>
            <w:hideMark/>
          </w:tcPr>
          <w:p w14:paraId="47C69E67"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29B7B2B5"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074F82B4" w14:textId="77777777" w:rsidR="006F48F9" w:rsidRPr="008669C3" w:rsidRDefault="006F48F9" w:rsidP="005D0BF5">
            <w:pPr>
              <w:jc w:val="center"/>
              <w:rPr>
                <w:sz w:val="22"/>
                <w:szCs w:val="20"/>
              </w:rPr>
            </w:pPr>
          </w:p>
        </w:tc>
        <w:tc>
          <w:tcPr>
            <w:tcW w:w="141" w:type="pct"/>
            <w:tcBorders>
              <w:top w:val="nil"/>
              <w:left w:val="nil"/>
              <w:bottom w:val="nil"/>
              <w:right w:val="nil"/>
            </w:tcBorders>
            <w:shd w:val="clear" w:color="auto" w:fill="auto"/>
            <w:noWrap/>
            <w:vAlign w:val="bottom"/>
            <w:hideMark/>
          </w:tcPr>
          <w:p w14:paraId="1055E8AB" w14:textId="77777777" w:rsidR="006F48F9" w:rsidRPr="008669C3" w:rsidRDefault="006F48F9" w:rsidP="005D0BF5">
            <w:pPr>
              <w:jc w:val="center"/>
              <w:rPr>
                <w:sz w:val="22"/>
                <w:szCs w:val="20"/>
              </w:rPr>
            </w:pPr>
          </w:p>
        </w:tc>
        <w:tc>
          <w:tcPr>
            <w:tcW w:w="446" w:type="pct"/>
            <w:tcBorders>
              <w:top w:val="nil"/>
              <w:left w:val="nil"/>
              <w:bottom w:val="nil"/>
              <w:right w:val="nil"/>
            </w:tcBorders>
            <w:shd w:val="clear" w:color="auto" w:fill="auto"/>
            <w:noWrap/>
            <w:vAlign w:val="bottom"/>
            <w:hideMark/>
          </w:tcPr>
          <w:p w14:paraId="4ACBA137" w14:textId="77777777" w:rsidR="006F48F9" w:rsidRPr="008669C3" w:rsidRDefault="006F48F9" w:rsidP="005D0BF5">
            <w:pPr>
              <w:jc w:val="center"/>
              <w:rPr>
                <w:color w:val="000000"/>
                <w:sz w:val="22"/>
              </w:rPr>
            </w:pPr>
            <w:r w:rsidRPr="008669C3">
              <w:rPr>
                <w:color w:val="000000"/>
                <w:sz w:val="22"/>
              </w:rPr>
              <w:t>(0.015)</w:t>
            </w:r>
          </w:p>
        </w:tc>
        <w:tc>
          <w:tcPr>
            <w:tcW w:w="525" w:type="pct"/>
            <w:tcBorders>
              <w:top w:val="nil"/>
              <w:left w:val="nil"/>
              <w:bottom w:val="nil"/>
              <w:right w:val="nil"/>
            </w:tcBorders>
            <w:shd w:val="clear" w:color="auto" w:fill="auto"/>
            <w:noWrap/>
            <w:vAlign w:val="bottom"/>
            <w:hideMark/>
          </w:tcPr>
          <w:p w14:paraId="00F4A48F" w14:textId="77777777" w:rsidR="006F48F9" w:rsidRPr="008669C3" w:rsidRDefault="006F48F9" w:rsidP="005D0BF5">
            <w:pPr>
              <w:jc w:val="center"/>
              <w:rPr>
                <w:color w:val="000000"/>
                <w:sz w:val="22"/>
              </w:rPr>
            </w:pPr>
            <w:r w:rsidRPr="008669C3">
              <w:rPr>
                <w:color w:val="000000"/>
                <w:sz w:val="22"/>
              </w:rPr>
              <w:t>(0.017)</w:t>
            </w:r>
          </w:p>
        </w:tc>
      </w:tr>
      <w:tr w:rsidR="006F48F9" w:rsidRPr="008669C3" w14:paraId="1A8A0432" w14:textId="77777777" w:rsidTr="005D0BF5">
        <w:trPr>
          <w:trHeight w:val="20"/>
        </w:trPr>
        <w:tc>
          <w:tcPr>
            <w:tcW w:w="1631" w:type="pct"/>
            <w:tcBorders>
              <w:top w:val="nil"/>
              <w:left w:val="nil"/>
              <w:bottom w:val="nil"/>
              <w:right w:val="nil"/>
            </w:tcBorders>
            <w:shd w:val="clear" w:color="auto" w:fill="auto"/>
            <w:noWrap/>
            <w:vAlign w:val="bottom"/>
            <w:hideMark/>
          </w:tcPr>
          <w:p w14:paraId="402D4CCC" w14:textId="7CE9DADE" w:rsidR="006F48F9" w:rsidRPr="008669C3" w:rsidRDefault="006F48F9" w:rsidP="00853CA5">
            <w:pPr>
              <w:rPr>
                <w:color w:val="000000"/>
                <w:sz w:val="22"/>
              </w:rPr>
            </w:pPr>
            <w:r w:rsidRPr="008669C3">
              <w:rPr>
                <w:color w:val="000000"/>
                <w:sz w:val="22"/>
              </w:rPr>
              <w:t xml:space="preserve">Analyst </w:t>
            </w:r>
            <w:r w:rsidR="00853CA5" w:rsidRPr="008669C3">
              <w:rPr>
                <w:color w:val="000000"/>
                <w:sz w:val="22"/>
              </w:rPr>
              <w:t>c</w:t>
            </w:r>
            <w:r w:rsidRPr="008669C3">
              <w:rPr>
                <w:color w:val="000000"/>
                <w:sz w:val="22"/>
              </w:rPr>
              <w:t>overage</w:t>
            </w:r>
          </w:p>
        </w:tc>
        <w:tc>
          <w:tcPr>
            <w:tcW w:w="525" w:type="pct"/>
            <w:tcBorders>
              <w:top w:val="nil"/>
              <w:left w:val="nil"/>
              <w:bottom w:val="nil"/>
              <w:right w:val="nil"/>
            </w:tcBorders>
            <w:shd w:val="clear" w:color="auto" w:fill="auto"/>
            <w:noWrap/>
            <w:vAlign w:val="bottom"/>
            <w:hideMark/>
          </w:tcPr>
          <w:p w14:paraId="24E809C0" w14:textId="77777777" w:rsidR="006F48F9" w:rsidRPr="008669C3" w:rsidRDefault="006F48F9" w:rsidP="005D0BF5">
            <w:pPr>
              <w:jc w:val="center"/>
              <w:rPr>
                <w:color w:val="000000"/>
                <w:sz w:val="22"/>
              </w:rPr>
            </w:pPr>
            <w:r w:rsidRPr="008669C3">
              <w:rPr>
                <w:color w:val="000000"/>
                <w:sz w:val="22"/>
              </w:rPr>
              <w:t>0.009</w:t>
            </w:r>
          </w:p>
        </w:tc>
        <w:tc>
          <w:tcPr>
            <w:tcW w:w="541" w:type="pct"/>
            <w:tcBorders>
              <w:top w:val="nil"/>
              <w:left w:val="nil"/>
              <w:bottom w:val="nil"/>
              <w:right w:val="nil"/>
            </w:tcBorders>
            <w:shd w:val="clear" w:color="auto" w:fill="auto"/>
            <w:noWrap/>
            <w:vAlign w:val="bottom"/>
            <w:hideMark/>
          </w:tcPr>
          <w:p w14:paraId="74CAC3D8" w14:textId="77777777" w:rsidR="006F48F9" w:rsidRPr="008669C3" w:rsidRDefault="006F48F9" w:rsidP="005D0BF5">
            <w:pPr>
              <w:jc w:val="center"/>
              <w:rPr>
                <w:color w:val="000000"/>
                <w:sz w:val="22"/>
              </w:rPr>
            </w:pPr>
            <w:r w:rsidRPr="008669C3">
              <w:rPr>
                <w:color w:val="000000"/>
                <w:sz w:val="22"/>
              </w:rPr>
              <w:t>0.009</w:t>
            </w:r>
          </w:p>
        </w:tc>
        <w:tc>
          <w:tcPr>
            <w:tcW w:w="141" w:type="pct"/>
            <w:tcBorders>
              <w:top w:val="nil"/>
              <w:left w:val="nil"/>
              <w:bottom w:val="nil"/>
              <w:right w:val="nil"/>
            </w:tcBorders>
            <w:shd w:val="clear" w:color="auto" w:fill="auto"/>
            <w:noWrap/>
            <w:vAlign w:val="bottom"/>
            <w:hideMark/>
          </w:tcPr>
          <w:p w14:paraId="21C81F0B"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155BC04A" w14:textId="77777777" w:rsidR="006F48F9" w:rsidRPr="008669C3" w:rsidRDefault="006F48F9" w:rsidP="005D0BF5">
            <w:pPr>
              <w:jc w:val="center"/>
              <w:rPr>
                <w:color w:val="000000"/>
                <w:sz w:val="22"/>
              </w:rPr>
            </w:pPr>
            <w:r w:rsidRPr="008669C3">
              <w:rPr>
                <w:color w:val="000000"/>
                <w:sz w:val="22"/>
              </w:rPr>
              <w:t>0.015</w:t>
            </w:r>
          </w:p>
        </w:tc>
        <w:tc>
          <w:tcPr>
            <w:tcW w:w="525" w:type="pct"/>
            <w:tcBorders>
              <w:top w:val="nil"/>
              <w:left w:val="nil"/>
              <w:bottom w:val="nil"/>
              <w:right w:val="nil"/>
            </w:tcBorders>
            <w:shd w:val="clear" w:color="auto" w:fill="auto"/>
            <w:noWrap/>
            <w:vAlign w:val="bottom"/>
            <w:hideMark/>
          </w:tcPr>
          <w:p w14:paraId="7BECA1CF" w14:textId="77777777" w:rsidR="006F48F9" w:rsidRPr="008669C3" w:rsidRDefault="006F48F9" w:rsidP="005D0BF5">
            <w:pPr>
              <w:jc w:val="center"/>
              <w:rPr>
                <w:color w:val="000000"/>
                <w:sz w:val="22"/>
              </w:rPr>
            </w:pPr>
            <w:r w:rsidRPr="008669C3">
              <w:rPr>
                <w:color w:val="000000"/>
                <w:sz w:val="22"/>
              </w:rPr>
              <w:t>0.019</w:t>
            </w:r>
          </w:p>
        </w:tc>
        <w:tc>
          <w:tcPr>
            <w:tcW w:w="141" w:type="pct"/>
            <w:tcBorders>
              <w:top w:val="nil"/>
              <w:left w:val="nil"/>
              <w:bottom w:val="nil"/>
              <w:right w:val="nil"/>
            </w:tcBorders>
            <w:shd w:val="clear" w:color="auto" w:fill="auto"/>
            <w:noWrap/>
            <w:vAlign w:val="bottom"/>
            <w:hideMark/>
          </w:tcPr>
          <w:p w14:paraId="4008749D" w14:textId="77777777" w:rsidR="006F48F9" w:rsidRPr="008669C3" w:rsidRDefault="006F48F9" w:rsidP="005D0BF5">
            <w:pPr>
              <w:jc w:val="center"/>
              <w:rPr>
                <w:color w:val="000000"/>
                <w:sz w:val="22"/>
              </w:rPr>
            </w:pPr>
          </w:p>
        </w:tc>
        <w:tc>
          <w:tcPr>
            <w:tcW w:w="446" w:type="pct"/>
            <w:tcBorders>
              <w:top w:val="nil"/>
              <w:left w:val="nil"/>
              <w:bottom w:val="nil"/>
              <w:right w:val="nil"/>
            </w:tcBorders>
            <w:shd w:val="clear" w:color="auto" w:fill="auto"/>
            <w:noWrap/>
            <w:vAlign w:val="bottom"/>
            <w:hideMark/>
          </w:tcPr>
          <w:p w14:paraId="1F6E92F7" w14:textId="77777777" w:rsidR="006F48F9" w:rsidRPr="008669C3" w:rsidRDefault="006F48F9" w:rsidP="005D0BF5">
            <w:pPr>
              <w:jc w:val="center"/>
              <w:rPr>
                <w:color w:val="000000"/>
                <w:sz w:val="22"/>
              </w:rPr>
            </w:pPr>
            <w:r w:rsidRPr="008669C3">
              <w:rPr>
                <w:color w:val="000000"/>
                <w:sz w:val="22"/>
              </w:rPr>
              <w:t>0.014</w:t>
            </w:r>
            <w:r w:rsidRPr="008669C3">
              <w:rPr>
                <w:color w:val="000000"/>
                <w:sz w:val="20"/>
              </w:rPr>
              <w:t>*</w:t>
            </w:r>
          </w:p>
        </w:tc>
        <w:tc>
          <w:tcPr>
            <w:tcW w:w="525" w:type="pct"/>
            <w:tcBorders>
              <w:top w:val="nil"/>
              <w:left w:val="nil"/>
              <w:bottom w:val="nil"/>
              <w:right w:val="nil"/>
            </w:tcBorders>
            <w:shd w:val="clear" w:color="auto" w:fill="auto"/>
            <w:noWrap/>
            <w:vAlign w:val="bottom"/>
            <w:hideMark/>
          </w:tcPr>
          <w:p w14:paraId="7008BEBB" w14:textId="77777777" w:rsidR="006F48F9" w:rsidRPr="008669C3" w:rsidRDefault="006F48F9" w:rsidP="005D0BF5">
            <w:pPr>
              <w:jc w:val="center"/>
              <w:rPr>
                <w:color w:val="000000"/>
                <w:sz w:val="22"/>
              </w:rPr>
            </w:pPr>
            <w:r w:rsidRPr="008669C3">
              <w:rPr>
                <w:color w:val="000000"/>
                <w:sz w:val="22"/>
              </w:rPr>
              <w:t>0.016</w:t>
            </w:r>
            <w:r w:rsidRPr="008669C3">
              <w:rPr>
                <w:color w:val="000000"/>
                <w:sz w:val="20"/>
              </w:rPr>
              <w:t>**</w:t>
            </w:r>
          </w:p>
        </w:tc>
      </w:tr>
      <w:tr w:rsidR="006F48F9" w:rsidRPr="008669C3" w14:paraId="635C017A" w14:textId="77777777" w:rsidTr="005D0BF5">
        <w:trPr>
          <w:trHeight w:val="20"/>
        </w:trPr>
        <w:tc>
          <w:tcPr>
            <w:tcW w:w="1631" w:type="pct"/>
            <w:tcBorders>
              <w:top w:val="nil"/>
              <w:left w:val="nil"/>
              <w:bottom w:val="single" w:sz="4" w:space="0" w:color="auto"/>
              <w:right w:val="nil"/>
            </w:tcBorders>
            <w:shd w:val="clear" w:color="auto" w:fill="auto"/>
            <w:noWrap/>
            <w:vAlign w:val="bottom"/>
            <w:hideMark/>
          </w:tcPr>
          <w:p w14:paraId="3BCFBA2C" w14:textId="77777777" w:rsidR="006F48F9" w:rsidRPr="008669C3" w:rsidRDefault="006F48F9" w:rsidP="005D0BF5">
            <w:pPr>
              <w:rPr>
                <w:color w:val="000000"/>
                <w:sz w:val="22"/>
              </w:rPr>
            </w:pPr>
            <w:r w:rsidRPr="008669C3">
              <w:rPr>
                <w:color w:val="000000"/>
                <w:sz w:val="22"/>
              </w:rPr>
              <w:t> </w:t>
            </w:r>
          </w:p>
        </w:tc>
        <w:tc>
          <w:tcPr>
            <w:tcW w:w="525" w:type="pct"/>
            <w:tcBorders>
              <w:top w:val="nil"/>
              <w:left w:val="nil"/>
              <w:bottom w:val="single" w:sz="4" w:space="0" w:color="auto"/>
              <w:right w:val="nil"/>
            </w:tcBorders>
            <w:shd w:val="clear" w:color="auto" w:fill="auto"/>
            <w:noWrap/>
            <w:vAlign w:val="bottom"/>
            <w:hideMark/>
          </w:tcPr>
          <w:p w14:paraId="2B25F2D1" w14:textId="77777777" w:rsidR="006F48F9" w:rsidRPr="008669C3" w:rsidRDefault="006F48F9" w:rsidP="005D0BF5">
            <w:pPr>
              <w:jc w:val="center"/>
              <w:rPr>
                <w:color w:val="000000"/>
                <w:sz w:val="22"/>
              </w:rPr>
            </w:pPr>
            <w:r w:rsidRPr="008669C3">
              <w:rPr>
                <w:color w:val="000000"/>
                <w:sz w:val="22"/>
              </w:rPr>
              <w:t>(0.010)</w:t>
            </w:r>
          </w:p>
        </w:tc>
        <w:tc>
          <w:tcPr>
            <w:tcW w:w="541" w:type="pct"/>
            <w:tcBorders>
              <w:top w:val="nil"/>
              <w:left w:val="nil"/>
              <w:bottom w:val="single" w:sz="4" w:space="0" w:color="auto"/>
              <w:right w:val="nil"/>
            </w:tcBorders>
            <w:shd w:val="clear" w:color="auto" w:fill="auto"/>
            <w:noWrap/>
            <w:vAlign w:val="bottom"/>
            <w:hideMark/>
          </w:tcPr>
          <w:p w14:paraId="69E104AE" w14:textId="77777777" w:rsidR="006F48F9" w:rsidRPr="008669C3" w:rsidRDefault="006F48F9" w:rsidP="005D0BF5">
            <w:pPr>
              <w:jc w:val="center"/>
              <w:rPr>
                <w:color w:val="000000"/>
                <w:sz w:val="22"/>
              </w:rPr>
            </w:pPr>
            <w:r w:rsidRPr="008669C3">
              <w:rPr>
                <w:color w:val="000000"/>
                <w:sz w:val="22"/>
              </w:rPr>
              <w:t>(0.010)</w:t>
            </w:r>
          </w:p>
        </w:tc>
        <w:tc>
          <w:tcPr>
            <w:tcW w:w="141" w:type="pct"/>
            <w:tcBorders>
              <w:top w:val="nil"/>
              <w:left w:val="nil"/>
              <w:bottom w:val="single" w:sz="4" w:space="0" w:color="auto"/>
              <w:right w:val="nil"/>
            </w:tcBorders>
            <w:shd w:val="clear" w:color="auto" w:fill="auto"/>
            <w:noWrap/>
            <w:vAlign w:val="bottom"/>
            <w:hideMark/>
          </w:tcPr>
          <w:p w14:paraId="787D6F5C" w14:textId="77777777" w:rsidR="006F48F9" w:rsidRPr="008669C3" w:rsidRDefault="006F48F9" w:rsidP="005D0BF5">
            <w:pPr>
              <w:jc w:val="center"/>
              <w:rPr>
                <w:color w:val="000000"/>
                <w:sz w:val="22"/>
              </w:rPr>
            </w:pPr>
            <w:r w:rsidRPr="008669C3">
              <w:rPr>
                <w:color w:val="000000"/>
                <w:sz w:val="22"/>
              </w:rPr>
              <w:t> </w:t>
            </w:r>
          </w:p>
        </w:tc>
        <w:tc>
          <w:tcPr>
            <w:tcW w:w="525" w:type="pct"/>
            <w:tcBorders>
              <w:top w:val="nil"/>
              <w:left w:val="nil"/>
              <w:bottom w:val="single" w:sz="4" w:space="0" w:color="auto"/>
              <w:right w:val="nil"/>
            </w:tcBorders>
            <w:shd w:val="clear" w:color="auto" w:fill="auto"/>
            <w:noWrap/>
            <w:vAlign w:val="bottom"/>
            <w:hideMark/>
          </w:tcPr>
          <w:p w14:paraId="7F2608B1" w14:textId="77777777" w:rsidR="006F48F9" w:rsidRPr="008669C3" w:rsidRDefault="006F48F9" w:rsidP="005D0BF5">
            <w:pPr>
              <w:jc w:val="center"/>
              <w:rPr>
                <w:color w:val="000000"/>
                <w:sz w:val="22"/>
              </w:rPr>
            </w:pPr>
            <w:r w:rsidRPr="008669C3">
              <w:rPr>
                <w:color w:val="000000"/>
                <w:sz w:val="22"/>
              </w:rPr>
              <w:t>(0.014)</w:t>
            </w:r>
          </w:p>
        </w:tc>
        <w:tc>
          <w:tcPr>
            <w:tcW w:w="525" w:type="pct"/>
            <w:tcBorders>
              <w:top w:val="nil"/>
              <w:left w:val="nil"/>
              <w:bottom w:val="single" w:sz="4" w:space="0" w:color="auto"/>
              <w:right w:val="nil"/>
            </w:tcBorders>
            <w:shd w:val="clear" w:color="auto" w:fill="auto"/>
            <w:noWrap/>
            <w:vAlign w:val="bottom"/>
            <w:hideMark/>
          </w:tcPr>
          <w:p w14:paraId="71285A45" w14:textId="77777777" w:rsidR="006F48F9" w:rsidRPr="008669C3" w:rsidRDefault="006F48F9" w:rsidP="005D0BF5">
            <w:pPr>
              <w:jc w:val="center"/>
              <w:rPr>
                <w:color w:val="000000"/>
                <w:sz w:val="22"/>
              </w:rPr>
            </w:pPr>
            <w:r w:rsidRPr="008669C3">
              <w:rPr>
                <w:color w:val="000000"/>
                <w:sz w:val="22"/>
              </w:rPr>
              <w:t>(0.014)</w:t>
            </w:r>
          </w:p>
        </w:tc>
        <w:tc>
          <w:tcPr>
            <w:tcW w:w="141" w:type="pct"/>
            <w:tcBorders>
              <w:top w:val="nil"/>
              <w:left w:val="nil"/>
              <w:bottom w:val="single" w:sz="4" w:space="0" w:color="auto"/>
              <w:right w:val="nil"/>
            </w:tcBorders>
            <w:shd w:val="clear" w:color="auto" w:fill="auto"/>
            <w:noWrap/>
            <w:vAlign w:val="bottom"/>
            <w:hideMark/>
          </w:tcPr>
          <w:p w14:paraId="341BFF87" w14:textId="77777777" w:rsidR="006F48F9" w:rsidRPr="008669C3" w:rsidRDefault="006F48F9" w:rsidP="005D0BF5">
            <w:pPr>
              <w:jc w:val="center"/>
              <w:rPr>
                <w:color w:val="000000"/>
                <w:sz w:val="22"/>
              </w:rPr>
            </w:pPr>
            <w:r w:rsidRPr="008669C3">
              <w:rPr>
                <w:color w:val="000000"/>
                <w:sz w:val="22"/>
              </w:rPr>
              <w:t> </w:t>
            </w:r>
          </w:p>
        </w:tc>
        <w:tc>
          <w:tcPr>
            <w:tcW w:w="446" w:type="pct"/>
            <w:tcBorders>
              <w:top w:val="nil"/>
              <w:left w:val="nil"/>
              <w:bottom w:val="single" w:sz="4" w:space="0" w:color="auto"/>
              <w:right w:val="nil"/>
            </w:tcBorders>
            <w:shd w:val="clear" w:color="auto" w:fill="auto"/>
            <w:noWrap/>
            <w:vAlign w:val="bottom"/>
            <w:hideMark/>
          </w:tcPr>
          <w:p w14:paraId="3126BEA0" w14:textId="77777777" w:rsidR="006F48F9" w:rsidRPr="008669C3" w:rsidRDefault="006F48F9" w:rsidP="005D0BF5">
            <w:pPr>
              <w:jc w:val="center"/>
              <w:rPr>
                <w:color w:val="000000"/>
                <w:sz w:val="22"/>
              </w:rPr>
            </w:pPr>
            <w:r w:rsidRPr="008669C3">
              <w:rPr>
                <w:color w:val="000000"/>
                <w:sz w:val="22"/>
              </w:rPr>
              <w:t>(0.008)</w:t>
            </w:r>
          </w:p>
        </w:tc>
        <w:tc>
          <w:tcPr>
            <w:tcW w:w="525" w:type="pct"/>
            <w:tcBorders>
              <w:top w:val="nil"/>
              <w:left w:val="nil"/>
              <w:bottom w:val="single" w:sz="4" w:space="0" w:color="auto"/>
              <w:right w:val="nil"/>
            </w:tcBorders>
            <w:shd w:val="clear" w:color="auto" w:fill="auto"/>
            <w:noWrap/>
            <w:vAlign w:val="bottom"/>
            <w:hideMark/>
          </w:tcPr>
          <w:p w14:paraId="366BDF23" w14:textId="77777777" w:rsidR="006F48F9" w:rsidRPr="008669C3" w:rsidRDefault="006F48F9" w:rsidP="005D0BF5">
            <w:pPr>
              <w:jc w:val="center"/>
              <w:rPr>
                <w:color w:val="000000"/>
                <w:sz w:val="22"/>
              </w:rPr>
            </w:pPr>
            <w:r w:rsidRPr="008669C3">
              <w:rPr>
                <w:color w:val="000000"/>
                <w:sz w:val="22"/>
              </w:rPr>
              <w:t>(0.007)</w:t>
            </w:r>
          </w:p>
        </w:tc>
      </w:tr>
      <w:tr w:rsidR="006F48F9" w:rsidRPr="008669C3" w14:paraId="201563F2" w14:textId="77777777" w:rsidTr="005D0BF5">
        <w:trPr>
          <w:trHeight w:val="20"/>
        </w:trPr>
        <w:tc>
          <w:tcPr>
            <w:tcW w:w="1631" w:type="pct"/>
            <w:tcBorders>
              <w:top w:val="nil"/>
              <w:left w:val="nil"/>
              <w:bottom w:val="nil"/>
              <w:right w:val="nil"/>
            </w:tcBorders>
            <w:shd w:val="clear" w:color="auto" w:fill="auto"/>
            <w:noWrap/>
            <w:vAlign w:val="bottom"/>
          </w:tcPr>
          <w:p w14:paraId="5BB19543" w14:textId="77777777" w:rsidR="006F48F9" w:rsidRPr="008669C3" w:rsidRDefault="006F48F9" w:rsidP="005D0BF5">
            <w:pPr>
              <w:rPr>
                <w:color w:val="000000"/>
                <w:sz w:val="22"/>
              </w:rPr>
            </w:pPr>
            <w:r w:rsidRPr="008669C3">
              <w:rPr>
                <w:color w:val="000000"/>
                <w:sz w:val="22"/>
              </w:rPr>
              <w:t>All controls</w:t>
            </w:r>
          </w:p>
        </w:tc>
        <w:tc>
          <w:tcPr>
            <w:tcW w:w="525" w:type="pct"/>
            <w:tcBorders>
              <w:top w:val="nil"/>
              <w:left w:val="nil"/>
              <w:bottom w:val="nil"/>
              <w:right w:val="nil"/>
            </w:tcBorders>
            <w:shd w:val="clear" w:color="auto" w:fill="auto"/>
            <w:noWrap/>
            <w:vAlign w:val="bottom"/>
          </w:tcPr>
          <w:p w14:paraId="46B8136A" w14:textId="77777777" w:rsidR="006F48F9" w:rsidRPr="008669C3" w:rsidRDefault="006F48F9" w:rsidP="005D0BF5">
            <w:pPr>
              <w:jc w:val="center"/>
              <w:rPr>
                <w:color w:val="000000"/>
                <w:sz w:val="22"/>
              </w:rPr>
            </w:pPr>
            <w:r w:rsidRPr="008669C3">
              <w:rPr>
                <w:color w:val="000000"/>
                <w:sz w:val="22"/>
              </w:rPr>
              <w:t>Yes</w:t>
            </w:r>
          </w:p>
        </w:tc>
        <w:tc>
          <w:tcPr>
            <w:tcW w:w="541" w:type="pct"/>
            <w:tcBorders>
              <w:top w:val="nil"/>
              <w:left w:val="nil"/>
              <w:bottom w:val="nil"/>
              <w:right w:val="nil"/>
            </w:tcBorders>
            <w:shd w:val="clear" w:color="auto" w:fill="auto"/>
            <w:noWrap/>
            <w:vAlign w:val="bottom"/>
          </w:tcPr>
          <w:p w14:paraId="1ECDAED0" w14:textId="77777777" w:rsidR="006F48F9" w:rsidRPr="008669C3" w:rsidRDefault="006F48F9" w:rsidP="005D0BF5">
            <w:pPr>
              <w:jc w:val="center"/>
              <w:rPr>
                <w:color w:val="000000"/>
                <w:sz w:val="22"/>
              </w:rPr>
            </w:pPr>
            <w:r w:rsidRPr="008669C3">
              <w:rPr>
                <w:color w:val="000000"/>
                <w:sz w:val="22"/>
              </w:rPr>
              <w:t>Yes</w:t>
            </w:r>
          </w:p>
        </w:tc>
        <w:tc>
          <w:tcPr>
            <w:tcW w:w="141" w:type="pct"/>
            <w:tcBorders>
              <w:top w:val="nil"/>
              <w:left w:val="nil"/>
              <w:bottom w:val="nil"/>
              <w:right w:val="nil"/>
            </w:tcBorders>
            <w:shd w:val="clear" w:color="auto" w:fill="auto"/>
            <w:noWrap/>
            <w:vAlign w:val="bottom"/>
          </w:tcPr>
          <w:p w14:paraId="53B82B37"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tcPr>
          <w:p w14:paraId="5B5ECC06" w14:textId="77777777" w:rsidR="006F48F9" w:rsidRPr="008669C3" w:rsidRDefault="006F48F9" w:rsidP="005D0BF5">
            <w:pPr>
              <w:jc w:val="center"/>
              <w:rPr>
                <w:color w:val="000000"/>
                <w:sz w:val="22"/>
              </w:rPr>
            </w:pPr>
            <w:r w:rsidRPr="008669C3">
              <w:rPr>
                <w:color w:val="000000"/>
                <w:sz w:val="22"/>
              </w:rPr>
              <w:t>Yes</w:t>
            </w:r>
          </w:p>
        </w:tc>
        <w:tc>
          <w:tcPr>
            <w:tcW w:w="525" w:type="pct"/>
            <w:tcBorders>
              <w:top w:val="nil"/>
              <w:left w:val="nil"/>
              <w:bottom w:val="nil"/>
              <w:right w:val="nil"/>
            </w:tcBorders>
            <w:shd w:val="clear" w:color="auto" w:fill="auto"/>
            <w:noWrap/>
            <w:vAlign w:val="bottom"/>
          </w:tcPr>
          <w:p w14:paraId="5EC5E35C" w14:textId="77777777" w:rsidR="006F48F9" w:rsidRPr="008669C3" w:rsidRDefault="006F48F9" w:rsidP="005D0BF5">
            <w:pPr>
              <w:jc w:val="center"/>
              <w:rPr>
                <w:color w:val="000000"/>
                <w:sz w:val="22"/>
              </w:rPr>
            </w:pPr>
            <w:r w:rsidRPr="008669C3">
              <w:rPr>
                <w:color w:val="000000"/>
                <w:sz w:val="22"/>
              </w:rPr>
              <w:t>Yes</w:t>
            </w:r>
          </w:p>
        </w:tc>
        <w:tc>
          <w:tcPr>
            <w:tcW w:w="141" w:type="pct"/>
            <w:tcBorders>
              <w:top w:val="nil"/>
              <w:left w:val="nil"/>
              <w:bottom w:val="nil"/>
              <w:right w:val="nil"/>
            </w:tcBorders>
            <w:shd w:val="clear" w:color="auto" w:fill="auto"/>
            <w:noWrap/>
            <w:vAlign w:val="bottom"/>
          </w:tcPr>
          <w:p w14:paraId="68B030D0" w14:textId="77777777" w:rsidR="006F48F9" w:rsidRPr="008669C3" w:rsidRDefault="006F48F9" w:rsidP="005D0BF5">
            <w:pPr>
              <w:jc w:val="center"/>
              <w:rPr>
                <w:sz w:val="22"/>
                <w:szCs w:val="20"/>
              </w:rPr>
            </w:pPr>
          </w:p>
        </w:tc>
        <w:tc>
          <w:tcPr>
            <w:tcW w:w="446" w:type="pct"/>
            <w:tcBorders>
              <w:top w:val="nil"/>
              <w:left w:val="nil"/>
              <w:bottom w:val="nil"/>
              <w:right w:val="nil"/>
            </w:tcBorders>
            <w:shd w:val="clear" w:color="auto" w:fill="auto"/>
            <w:noWrap/>
            <w:vAlign w:val="bottom"/>
          </w:tcPr>
          <w:p w14:paraId="4A4D8716" w14:textId="77777777" w:rsidR="006F48F9" w:rsidRPr="008669C3" w:rsidRDefault="006F48F9" w:rsidP="005D0BF5">
            <w:pPr>
              <w:jc w:val="center"/>
              <w:rPr>
                <w:color w:val="000000"/>
                <w:sz w:val="22"/>
              </w:rPr>
            </w:pPr>
            <w:r w:rsidRPr="008669C3">
              <w:rPr>
                <w:color w:val="000000"/>
                <w:sz w:val="22"/>
              </w:rPr>
              <w:t>Yes</w:t>
            </w:r>
          </w:p>
        </w:tc>
        <w:tc>
          <w:tcPr>
            <w:tcW w:w="525" w:type="pct"/>
            <w:tcBorders>
              <w:top w:val="nil"/>
              <w:left w:val="nil"/>
              <w:bottom w:val="nil"/>
              <w:right w:val="nil"/>
            </w:tcBorders>
            <w:shd w:val="clear" w:color="auto" w:fill="auto"/>
            <w:noWrap/>
            <w:vAlign w:val="bottom"/>
          </w:tcPr>
          <w:p w14:paraId="1B442392" w14:textId="77777777" w:rsidR="006F48F9" w:rsidRPr="008669C3" w:rsidRDefault="006F48F9" w:rsidP="005D0BF5">
            <w:pPr>
              <w:jc w:val="center"/>
              <w:rPr>
                <w:color w:val="000000"/>
                <w:sz w:val="22"/>
              </w:rPr>
            </w:pPr>
            <w:r w:rsidRPr="008669C3">
              <w:rPr>
                <w:color w:val="000000"/>
                <w:sz w:val="22"/>
              </w:rPr>
              <w:t>Yes</w:t>
            </w:r>
          </w:p>
        </w:tc>
      </w:tr>
      <w:tr w:rsidR="006F48F9" w:rsidRPr="008669C3" w14:paraId="24E094E8" w14:textId="77777777" w:rsidTr="005D0BF5">
        <w:trPr>
          <w:trHeight w:val="20"/>
        </w:trPr>
        <w:tc>
          <w:tcPr>
            <w:tcW w:w="1631" w:type="pct"/>
            <w:tcBorders>
              <w:top w:val="nil"/>
              <w:left w:val="nil"/>
              <w:bottom w:val="nil"/>
              <w:right w:val="nil"/>
            </w:tcBorders>
            <w:shd w:val="clear" w:color="auto" w:fill="auto"/>
            <w:noWrap/>
            <w:vAlign w:val="bottom"/>
            <w:hideMark/>
          </w:tcPr>
          <w:p w14:paraId="6FA7EE76" w14:textId="77777777" w:rsidR="006F48F9" w:rsidRPr="008669C3" w:rsidRDefault="006F48F9" w:rsidP="005D0BF5">
            <w:pPr>
              <w:rPr>
                <w:color w:val="000000"/>
                <w:sz w:val="22"/>
              </w:rPr>
            </w:pPr>
            <w:r w:rsidRPr="008669C3">
              <w:rPr>
                <w:color w:val="000000"/>
                <w:sz w:val="22"/>
              </w:rPr>
              <w:t>Firm FE</w:t>
            </w:r>
          </w:p>
        </w:tc>
        <w:tc>
          <w:tcPr>
            <w:tcW w:w="525" w:type="pct"/>
            <w:tcBorders>
              <w:top w:val="nil"/>
              <w:left w:val="nil"/>
              <w:bottom w:val="nil"/>
              <w:right w:val="nil"/>
            </w:tcBorders>
            <w:shd w:val="clear" w:color="auto" w:fill="auto"/>
            <w:noWrap/>
            <w:vAlign w:val="bottom"/>
            <w:hideMark/>
          </w:tcPr>
          <w:p w14:paraId="187423E0" w14:textId="77777777" w:rsidR="006F48F9" w:rsidRPr="008669C3" w:rsidRDefault="006F48F9" w:rsidP="005D0BF5">
            <w:pPr>
              <w:jc w:val="center"/>
              <w:rPr>
                <w:color w:val="000000"/>
                <w:sz w:val="22"/>
              </w:rPr>
            </w:pPr>
            <w:r w:rsidRPr="008669C3">
              <w:rPr>
                <w:color w:val="000000"/>
                <w:sz w:val="22"/>
              </w:rPr>
              <w:t>Yes</w:t>
            </w:r>
          </w:p>
        </w:tc>
        <w:tc>
          <w:tcPr>
            <w:tcW w:w="541" w:type="pct"/>
            <w:tcBorders>
              <w:top w:val="nil"/>
              <w:left w:val="nil"/>
              <w:bottom w:val="nil"/>
              <w:right w:val="nil"/>
            </w:tcBorders>
            <w:shd w:val="clear" w:color="auto" w:fill="auto"/>
            <w:noWrap/>
            <w:vAlign w:val="bottom"/>
            <w:hideMark/>
          </w:tcPr>
          <w:p w14:paraId="3A90F75B" w14:textId="77777777" w:rsidR="006F48F9" w:rsidRPr="008669C3" w:rsidRDefault="006F48F9" w:rsidP="005D0BF5">
            <w:pPr>
              <w:jc w:val="center"/>
              <w:rPr>
                <w:color w:val="000000"/>
                <w:sz w:val="22"/>
              </w:rPr>
            </w:pPr>
            <w:r w:rsidRPr="008669C3">
              <w:rPr>
                <w:color w:val="000000"/>
                <w:sz w:val="22"/>
              </w:rPr>
              <w:t>No</w:t>
            </w:r>
          </w:p>
        </w:tc>
        <w:tc>
          <w:tcPr>
            <w:tcW w:w="141" w:type="pct"/>
            <w:tcBorders>
              <w:top w:val="nil"/>
              <w:left w:val="nil"/>
              <w:bottom w:val="nil"/>
              <w:right w:val="nil"/>
            </w:tcBorders>
            <w:shd w:val="clear" w:color="auto" w:fill="auto"/>
            <w:noWrap/>
            <w:vAlign w:val="bottom"/>
            <w:hideMark/>
          </w:tcPr>
          <w:p w14:paraId="666E33A0"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2CBF6B99" w14:textId="77777777" w:rsidR="006F48F9" w:rsidRPr="008669C3" w:rsidRDefault="006F48F9" w:rsidP="005D0BF5">
            <w:pPr>
              <w:jc w:val="center"/>
              <w:rPr>
                <w:color w:val="000000"/>
                <w:sz w:val="22"/>
              </w:rPr>
            </w:pPr>
            <w:r w:rsidRPr="008669C3">
              <w:rPr>
                <w:color w:val="000000"/>
                <w:sz w:val="22"/>
              </w:rPr>
              <w:t>Yes</w:t>
            </w:r>
          </w:p>
        </w:tc>
        <w:tc>
          <w:tcPr>
            <w:tcW w:w="525" w:type="pct"/>
            <w:tcBorders>
              <w:top w:val="nil"/>
              <w:left w:val="nil"/>
              <w:bottom w:val="nil"/>
              <w:right w:val="nil"/>
            </w:tcBorders>
            <w:shd w:val="clear" w:color="auto" w:fill="auto"/>
            <w:noWrap/>
            <w:vAlign w:val="bottom"/>
            <w:hideMark/>
          </w:tcPr>
          <w:p w14:paraId="468FAAB1" w14:textId="77777777" w:rsidR="006F48F9" w:rsidRPr="008669C3" w:rsidRDefault="006F48F9" w:rsidP="005D0BF5">
            <w:pPr>
              <w:jc w:val="center"/>
              <w:rPr>
                <w:color w:val="000000"/>
                <w:sz w:val="22"/>
              </w:rPr>
            </w:pPr>
            <w:r w:rsidRPr="008669C3">
              <w:rPr>
                <w:color w:val="000000"/>
                <w:sz w:val="22"/>
              </w:rPr>
              <w:t>No</w:t>
            </w:r>
          </w:p>
        </w:tc>
        <w:tc>
          <w:tcPr>
            <w:tcW w:w="141" w:type="pct"/>
            <w:tcBorders>
              <w:top w:val="nil"/>
              <w:left w:val="nil"/>
              <w:bottom w:val="nil"/>
              <w:right w:val="nil"/>
            </w:tcBorders>
            <w:shd w:val="clear" w:color="auto" w:fill="auto"/>
            <w:noWrap/>
            <w:vAlign w:val="bottom"/>
            <w:hideMark/>
          </w:tcPr>
          <w:p w14:paraId="1094278A" w14:textId="77777777" w:rsidR="006F48F9" w:rsidRPr="008669C3" w:rsidRDefault="006F48F9" w:rsidP="005D0BF5">
            <w:pPr>
              <w:jc w:val="center"/>
              <w:rPr>
                <w:sz w:val="22"/>
                <w:szCs w:val="20"/>
              </w:rPr>
            </w:pPr>
          </w:p>
        </w:tc>
        <w:tc>
          <w:tcPr>
            <w:tcW w:w="446" w:type="pct"/>
            <w:tcBorders>
              <w:top w:val="nil"/>
              <w:left w:val="nil"/>
              <w:bottom w:val="nil"/>
              <w:right w:val="nil"/>
            </w:tcBorders>
            <w:shd w:val="clear" w:color="auto" w:fill="auto"/>
            <w:noWrap/>
            <w:vAlign w:val="bottom"/>
            <w:hideMark/>
          </w:tcPr>
          <w:p w14:paraId="1EBD8771" w14:textId="77777777" w:rsidR="006F48F9" w:rsidRPr="008669C3" w:rsidRDefault="006F48F9" w:rsidP="005D0BF5">
            <w:pPr>
              <w:jc w:val="center"/>
              <w:rPr>
                <w:color w:val="000000"/>
                <w:sz w:val="22"/>
              </w:rPr>
            </w:pPr>
            <w:r w:rsidRPr="008669C3">
              <w:rPr>
                <w:color w:val="000000"/>
                <w:sz w:val="22"/>
              </w:rPr>
              <w:t>Yes</w:t>
            </w:r>
          </w:p>
        </w:tc>
        <w:tc>
          <w:tcPr>
            <w:tcW w:w="525" w:type="pct"/>
            <w:tcBorders>
              <w:top w:val="nil"/>
              <w:left w:val="nil"/>
              <w:bottom w:val="nil"/>
              <w:right w:val="nil"/>
            </w:tcBorders>
            <w:shd w:val="clear" w:color="auto" w:fill="auto"/>
            <w:noWrap/>
            <w:vAlign w:val="bottom"/>
            <w:hideMark/>
          </w:tcPr>
          <w:p w14:paraId="6801B744" w14:textId="77777777" w:rsidR="006F48F9" w:rsidRPr="008669C3" w:rsidRDefault="006F48F9" w:rsidP="005D0BF5">
            <w:pPr>
              <w:jc w:val="center"/>
              <w:rPr>
                <w:color w:val="000000"/>
                <w:sz w:val="22"/>
              </w:rPr>
            </w:pPr>
            <w:r w:rsidRPr="008669C3">
              <w:rPr>
                <w:color w:val="000000"/>
                <w:sz w:val="22"/>
              </w:rPr>
              <w:t>No</w:t>
            </w:r>
          </w:p>
        </w:tc>
      </w:tr>
      <w:tr w:rsidR="006F48F9" w:rsidRPr="008669C3" w14:paraId="2DBBE884" w14:textId="77777777" w:rsidTr="005D0BF5">
        <w:trPr>
          <w:trHeight w:val="20"/>
        </w:trPr>
        <w:tc>
          <w:tcPr>
            <w:tcW w:w="1631" w:type="pct"/>
            <w:tcBorders>
              <w:top w:val="nil"/>
              <w:left w:val="nil"/>
              <w:bottom w:val="nil"/>
              <w:right w:val="nil"/>
            </w:tcBorders>
            <w:shd w:val="clear" w:color="auto" w:fill="auto"/>
            <w:noWrap/>
            <w:vAlign w:val="bottom"/>
            <w:hideMark/>
          </w:tcPr>
          <w:p w14:paraId="56BD3CA8" w14:textId="77777777" w:rsidR="006F48F9" w:rsidRPr="008669C3" w:rsidRDefault="006F48F9" w:rsidP="005D0BF5">
            <w:pPr>
              <w:rPr>
                <w:color w:val="000000"/>
                <w:sz w:val="22"/>
              </w:rPr>
            </w:pPr>
            <w:r w:rsidRPr="008669C3">
              <w:rPr>
                <w:color w:val="000000"/>
                <w:sz w:val="22"/>
              </w:rPr>
              <w:t>CEO-Firm FE</w:t>
            </w:r>
          </w:p>
        </w:tc>
        <w:tc>
          <w:tcPr>
            <w:tcW w:w="525" w:type="pct"/>
            <w:tcBorders>
              <w:top w:val="nil"/>
              <w:left w:val="nil"/>
              <w:bottom w:val="nil"/>
              <w:right w:val="nil"/>
            </w:tcBorders>
            <w:shd w:val="clear" w:color="auto" w:fill="auto"/>
            <w:noWrap/>
            <w:vAlign w:val="bottom"/>
            <w:hideMark/>
          </w:tcPr>
          <w:p w14:paraId="34CCD199" w14:textId="77777777" w:rsidR="006F48F9" w:rsidRPr="008669C3" w:rsidRDefault="006F48F9" w:rsidP="005D0BF5">
            <w:pPr>
              <w:jc w:val="center"/>
              <w:rPr>
                <w:color w:val="000000"/>
                <w:sz w:val="22"/>
              </w:rPr>
            </w:pPr>
            <w:r w:rsidRPr="008669C3">
              <w:rPr>
                <w:color w:val="000000"/>
                <w:sz w:val="22"/>
              </w:rPr>
              <w:t>No</w:t>
            </w:r>
          </w:p>
        </w:tc>
        <w:tc>
          <w:tcPr>
            <w:tcW w:w="541" w:type="pct"/>
            <w:tcBorders>
              <w:top w:val="nil"/>
              <w:left w:val="nil"/>
              <w:bottom w:val="nil"/>
              <w:right w:val="nil"/>
            </w:tcBorders>
            <w:shd w:val="clear" w:color="auto" w:fill="auto"/>
            <w:noWrap/>
            <w:vAlign w:val="bottom"/>
            <w:hideMark/>
          </w:tcPr>
          <w:p w14:paraId="3091A8E2" w14:textId="77777777" w:rsidR="006F48F9" w:rsidRPr="008669C3" w:rsidRDefault="006F48F9" w:rsidP="005D0BF5">
            <w:pPr>
              <w:jc w:val="center"/>
              <w:rPr>
                <w:color w:val="000000"/>
                <w:sz w:val="22"/>
              </w:rPr>
            </w:pPr>
            <w:r w:rsidRPr="008669C3">
              <w:rPr>
                <w:color w:val="000000"/>
                <w:sz w:val="22"/>
              </w:rPr>
              <w:t>Yes</w:t>
            </w:r>
          </w:p>
        </w:tc>
        <w:tc>
          <w:tcPr>
            <w:tcW w:w="141" w:type="pct"/>
            <w:tcBorders>
              <w:top w:val="nil"/>
              <w:left w:val="nil"/>
              <w:bottom w:val="nil"/>
              <w:right w:val="nil"/>
            </w:tcBorders>
            <w:shd w:val="clear" w:color="auto" w:fill="auto"/>
            <w:noWrap/>
            <w:vAlign w:val="bottom"/>
            <w:hideMark/>
          </w:tcPr>
          <w:p w14:paraId="5F08B8D2"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6CA73E82" w14:textId="77777777" w:rsidR="006F48F9" w:rsidRPr="008669C3" w:rsidRDefault="006F48F9" w:rsidP="005D0BF5">
            <w:pPr>
              <w:jc w:val="center"/>
              <w:rPr>
                <w:sz w:val="22"/>
                <w:szCs w:val="20"/>
              </w:rPr>
            </w:pPr>
            <w:r w:rsidRPr="008669C3">
              <w:rPr>
                <w:color w:val="000000"/>
                <w:sz w:val="22"/>
              </w:rPr>
              <w:t>No</w:t>
            </w:r>
          </w:p>
        </w:tc>
        <w:tc>
          <w:tcPr>
            <w:tcW w:w="525" w:type="pct"/>
            <w:tcBorders>
              <w:top w:val="nil"/>
              <w:left w:val="nil"/>
              <w:bottom w:val="nil"/>
              <w:right w:val="nil"/>
            </w:tcBorders>
            <w:shd w:val="clear" w:color="auto" w:fill="auto"/>
            <w:noWrap/>
            <w:vAlign w:val="bottom"/>
            <w:hideMark/>
          </w:tcPr>
          <w:p w14:paraId="6715E27B" w14:textId="77777777" w:rsidR="006F48F9" w:rsidRPr="008669C3" w:rsidRDefault="006F48F9" w:rsidP="005D0BF5">
            <w:pPr>
              <w:jc w:val="center"/>
              <w:rPr>
                <w:color w:val="000000"/>
                <w:sz w:val="22"/>
              </w:rPr>
            </w:pPr>
            <w:r w:rsidRPr="008669C3">
              <w:rPr>
                <w:color w:val="000000"/>
                <w:sz w:val="22"/>
              </w:rPr>
              <w:t>Yes</w:t>
            </w:r>
          </w:p>
        </w:tc>
        <w:tc>
          <w:tcPr>
            <w:tcW w:w="141" w:type="pct"/>
            <w:tcBorders>
              <w:top w:val="nil"/>
              <w:left w:val="nil"/>
              <w:bottom w:val="nil"/>
              <w:right w:val="nil"/>
            </w:tcBorders>
            <w:shd w:val="clear" w:color="auto" w:fill="auto"/>
            <w:noWrap/>
            <w:vAlign w:val="bottom"/>
            <w:hideMark/>
          </w:tcPr>
          <w:p w14:paraId="4D9E8032" w14:textId="77777777" w:rsidR="006F48F9" w:rsidRPr="008669C3" w:rsidRDefault="006F48F9" w:rsidP="005D0BF5">
            <w:pPr>
              <w:jc w:val="center"/>
              <w:rPr>
                <w:color w:val="000000"/>
                <w:sz w:val="22"/>
              </w:rPr>
            </w:pPr>
          </w:p>
        </w:tc>
        <w:tc>
          <w:tcPr>
            <w:tcW w:w="446" w:type="pct"/>
            <w:tcBorders>
              <w:top w:val="nil"/>
              <w:left w:val="nil"/>
              <w:bottom w:val="nil"/>
              <w:right w:val="nil"/>
            </w:tcBorders>
            <w:shd w:val="clear" w:color="auto" w:fill="auto"/>
            <w:noWrap/>
            <w:vAlign w:val="bottom"/>
            <w:hideMark/>
          </w:tcPr>
          <w:p w14:paraId="54A8CD23" w14:textId="77777777" w:rsidR="006F48F9" w:rsidRPr="008669C3" w:rsidRDefault="006F48F9" w:rsidP="005D0BF5">
            <w:pPr>
              <w:jc w:val="center"/>
              <w:rPr>
                <w:sz w:val="22"/>
                <w:szCs w:val="20"/>
              </w:rPr>
            </w:pPr>
            <w:r w:rsidRPr="008669C3">
              <w:rPr>
                <w:color w:val="000000"/>
                <w:sz w:val="22"/>
              </w:rPr>
              <w:t>No</w:t>
            </w:r>
          </w:p>
        </w:tc>
        <w:tc>
          <w:tcPr>
            <w:tcW w:w="525" w:type="pct"/>
            <w:tcBorders>
              <w:top w:val="nil"/>
              <w:left w:val="nil"/>
              <w:bottom w:val="nil"/>
              <w:right w:val="nil"/>
            </w:tcBorders>
            <w:shd w:val="clear" w:color="auto" w:fill="auto"/>
            <w:noWrap/>
            <w:vAlign w:val="bottom"/>
            <w:hideMark/>
          </w:tcPr>
          <w:p w14:paraId="6AD2A2C9" w14:textId="77777777" w:rsidR="006F48F9" w:rsidRPr="008669C3" w:rsidRDefault="006F48F9" w:rsidP="005D0BF5">
            <w:pPr>
              <w:jc w:val="center"/>
              <w:rPr>
                <w:color w:val="000000"/>
                <w:sz w:val="22"/>
              </w:rPr>
            </w:pPr>
            <w:r w:rsidRPr="008669C3">
              <w:rPr>
                <w:color w:val="000000"/>
                <w:sz w:val="22"/>
              </w:rPr>
              <w:t>Yes</w:t>
            </w:r>
          </w:p>
        </w:tc>
      </w:tr>
      <w:tr w:rsidR="006F48F9" w:rsidRPr="008669C3" w14:paraId="260ECD16" w14:textId="77777777" w:rsidTr="005D0BF5">
        <w:trPr>
          <w:trHeight w:val="20"/>
        </w:trPr>
        <w:tc>
          <w:tcPr>
            <w:tcW w:w="1631" w:type="pct"/>
            <w:tcBorders>
              <w:top w:val="nil"/>
              <w:left w:val="nil"/>
              <w:bottom w:val="nil"/>
              <w:right w:val="nil"/>
            </w:tcBorders>
            <w:shd w:val="clear" w:color="auto" w:fill="auto"/>
            <w:noWrap/>
            <w:vAlign w:val="bottom"/>
            <w:hideMark/>
          </w:tcPr>
          <w:p w14:paraId="1CD3CE39" w14:textId="77777777" w:rsidR="006F48F9" w:rsidRPr="008669C3" w:rsidRDefault="006F48F9" w:rsidP="005D0BF5">
            <w:pPr>
              <w:rPr>
                <w:color w:val="000000"/>
                <w:sz w:val="22"/>
              </w:rPr>
            </w:pPr>
            <w:r w:rsidRPr="008669C3">
              <w:rPr>
                <w:color w:val="000000"/>
                <w:sz w:val="22"/>
              </w:rPr>
              <w:t>Industry-Year FE</w:t>
            </w:r>
          </w:p>
        </w:tc>
        <w:tc>
          <w:tcPr>
            <w:tcW w:w="525" w:type="pct"/>
            <w:tcBorders>
              <w:top w:val="nil"/>
              <w:left w:val="nil"/>
              <w:bottom w:val="nil"/>
              <w:right w:val="nil"/>
            </w:tcBorders>
            <w:shd w:val="clear" w:color="auto" w:fill="auto"/>
            <w:noWrap/>
            <w:vAlign w:val="bottom"/>
            <w:hideMark/>
          </w:tcPr>
          <w:p w14:paraId="049B1204" w14:textId="77777777" w:rsidR="006F48F9" w:rsidRPr="008669C3" w:rsidRDefault="006F48F9" w:rsidP="005D0BF5">
            <w:pPr>
              <w:jc w:val="center"/>
              <w:rPr>
                <w:color w:val="000000"/>
                <w:sz w:val="22"/>
              </w:rPr>
            </w:pPr>
            <w:r w:rsidRPr="008669C3">
              <w:rPr>
                <w:color w:val="000000"/>
                <w:sz w:val="22"/>
              </w:rPr>
              <w:t>Yes</w:t>
            </w:r>
          </w:p>
        </w:tc>
        <w:tc>
          <w:tcPr>
            <w:tcW w:w="541" w:type="pct"/>
            <w:tcBorders>
              <w:top w:val="nil"/>
              <w:left w:val="nil"/>
              <w:bottom w:val="nil"/>
              <w:right w:val="nil"/>
            </w:tcBorders>
            <w:shd w:val="clear" w:color="auto" w:fill="auto"/>
            <w:noWrap/>
            <w:vAlign w:val="bottom"/>
            <w:hideMark/>
          </w:tcPr>
          <w:p w14:paraId="4C0EC47F" w14:textId="77777777" w:rsidR="006F48F9" w:rsidRPr="008669C3" w:rsidRDefault="006F48F9" w:rsidP="005D0BF5">
            <w:pPr>
              <w:jc w:val="center"/>
              <w:rPr>
                <w:color w:val="000000"/>
                <w:sz w:val="22"/>
              </w:rPr>
            </w:pPr>
            <w:r w:rsidRPr="008669C3">
              <w:rPr>
                <w:color w:val="000000"/>
                <w:sz w:val="22"/>
              </w:rPr>
              <w:t>Yes</w:t>
            </w:r>
          </w:p>
        </w:tc>
        <w:tc>
          <w:tcPr>
            <w:tcW w:w="141" w:type="pct"/>
            <w:tcBorders>
              <w:top w:val="nil"/>
              <w:left w:val="nil"/>
              <w:bottom w:val="nil"/>
              <w:right w:val="nil"/>
            </w:tcBorders>
            <w:shd w:val="clear" w:color="auto" w:fill="auto"/>
            <w:noWrap/>
            <w:vAlign w:val="bottom"/>
            <w:hideMark/>
          </w:tcPr>
          <w:p w14:paraId="6D9519F2"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0C1142A4" w14:textId="77777777" w:rsidR="006F48F9" w:rsidRPr="008669C3" w:rsidRDefault="006F48F9" w:rsidP="005D0BF5">
            <w:pPr>
              <w:jc w:val="center"/>
              <w:rPr>
                <w:color w:val="000000"/>
                <w:sz w:val="22"/>
              </w:rPr>
            </w:pPr>
            <w:r w:rsidRPr="008669C3">
              <w:rPr>
                <w:color w:val="000000"/>
                <w:sz w:val="22"/>
              </w:rPr>
              <w:t>Yes</w:t>
            </w:r>
          </w:p>
        </w:tc>
        <w:tc>
          <w:tcPr>
            <w:tcW w:w="525" w:type="pct"/>
            <w:tcBorders>
              <w:top w:val="nil"/>
              <w:left w:val="nil"/>
              <w:bottom w:val="nil"/>
              <w:right w:val="nil"/>
            </w:tcBorders>
            <w:shd w:val="clear" w:color="auto" w:fill="auto"/>
            <w:noWrap/>
            <w:vAlign w:val="bottom"/>
            <w:hideMark/>
          </w:tcPr>
          <w:p w14:paraId="0D364C72" w14:textId="77777777" w:rsidR="006F48F9" w:rsidRPr="008669C3" w:rsidRDefault="006F48F9" w:rsidP="005D0BF5">
            <w:pPr>
              <w:jc w:val="center"/>
              <w:rPr>
                <w:color w:val="000000"/>
                <w:sz w:val="22"/>
              </w:rPr>
            </w:pPr>
            <w:r w:rsidRPr="008669C3">
              <w:rPr>
                <w:color w:val="000000"/>
                <w:sz w:val="22"/>
              </w:rPr>
              <w:t>Yes</w:t>
            </w:r>
          </w:p>
        </w:tc>
        <w:tc>
          <w:tcPr>
            <w:tcW w:w="141" w:type="pct"/>
            <w:tcBorders>
              <w:top w:val="nil"/>
              <w:left w:val="nil"/>
              <w:bottom w:val="nil"/>
              <w:right w:val="nil"/>
            </w:tcBorders>
            <w:shd w:val="clear" w:color="auto" w:fill="auto"/>
            <w:noWrap/>
            <w:vAlign w:val="bottom"/>
            <w:hideMark/>
          </w:tcPr>
          <w:p w14:paraId="771F7419" w14:textId="77777777" w:rsidR="006F48F9" w:rsidRPr="008669C3" w:rsidRDefault="006F48F9" w:rsidP="005D0BF5">
            <w:pPr>
              <w:jc w:val="center"/>
              <w:rPr>
                <w:color w:val="000000"/>
                <w:sz w:val="22"/>
              </w:rPr>
            </w:pPr>
          </w:p>
        </w:tc>
        <w:tc>
          <w:tcPr>
            <w:tcW w:w="446" w:type="pct"/>
            <w:tcBorders>
              <w:top w:val="nil"/>
              <w:left w:val="nil"/>
              <w:bottom w:val="nil"/>
              <w:right w:val="nil"/>
            </w:tcBorders>
            <w:shd w:val="clear" w:color="auto" w:fill="auto"/>
            <w:noWrap/>
            <w:vAlign w:val="bottom"/>
            <w:hideMark/>
          </w:tcPr>
          <w:p w14:paraId="0CB5D640" w14:textId="77777777" w:rsidR="006F48F9" w:rsidRPr="008669C3" w:rsidRDefault="006F48F9" w:rsidP="005D0BF5">
            <w:pPr>
              <w:jc w:val="center"/>
              <w:rPr>
                <w:color w:val="000000"/>
                <w:sz w:val="22"/>
              </w:rPr>
            </w:pPr>
            <w:r w:rsidRPr="008669C3">
              <w:rPr>
                <w:color w:val="000000"/>
                <w:sz w:val="22"/>
              </w:rPr>
              <w:t>Yes</w:t>
            </w:r>
          </w:p>
        </w:tc>
        <w:tc>
          <w:tcPr>
            <w:tcW w:w="525" w:type="pct"/>
            <w:tcBorders>
              <w:top w:val="nil"/>
              <w:left w:val="nil"/>
              <w:bottom w:val="nil"/>
              <w:right w:val="nil"/>
            </w:tcBorders>
            <w:shd w:val="clear" w:color="auto" w:fill="auto"/>
            <w:noWrap/>
            <w:vAlign w:val="bottom"/>
            <w:hideMark/>
          </w:tcPr>
          <w:p w14:paraId="36E90FC5" w14:textId="77777777" w:rsidR="006F48F9" w:rsidRPr="008669C3" w:rsidRDefault="006F48F9" w:rsidP="005D0BF5">
            <w:pPr>
              <w:jc w:val="center"/>
              <w:rPr>
                <w:color w:val="000000"/>
                <w:sz w:val="22"/>
              </w:rPr>
            </w:pPr>
            <w:r w:rsidRPr="008669C3">
              <w:rPr>
                <w:color w:val="000000"/>
                <w:sz w:val="22"/>
              </w:rPr>
              <w:t>Yes</w:t>
            </w:r>
          </w:p>
        </w:tc>
      </w:tr>
      <w:tr w:rsidR="006F48F9" w:rsidRPr="008669C3" w14:paraId="5F3909F2" w14:textId="77777777" w:rsidTr="005D0BF5">
        <w:trPr>
          <w:trHeight w:val="20"/>
        </w:trPr>
        <w:tc>
          <w:tcPr>
            <w:tcW w:w="1631" w:type="pct"/>
            <w:tcBorders>
              <w:top w:val="nil"/>
              <w:left w:val="nil"/>
              <w:bottom w:val="nil"/>
              <w:right w:val="nil"/>
            </w:tcBorders>
            <w:shd w:val="clear" w:color="auto" w:fill="auto"/>
            <w:noWrap/>
            <w:vAlign w:val="bottom"/>
            <w:hideMark/>
          </w:tcPr>
          <w:p w14:paraId="20DE9AA3" w14:textId="77777777" w:rsidR="006F48F9" w:rsidRPr="008669C3" w:rsidRDefault="006F48F9" w:rsidP="005D0BF5">
            <w:pPr>
              <w:rPr>
                <w:color w:val="000000"/>
                <w:sz w:val="22"/>
              </w:rPr>
            </w:pPr>
            <w:r w:rsidRPr="008669C3">
              <w:rPr>
                <w:color w:val="000000"/>
                <w:sz w:val="22"/>
              </w:rPr>
              <w:t>N</w:t>
            </w:r>
          </w:p>
        </w:tc>
        <w:tc>
          <w:tcPr>
            <w:tcW w:w="525" w:type="pct"/>
            <w:tcBorders>
              <w:top w:val="nil"/>
              <w:left w:val="nil"/>
              <w:bottom w:val="nil"/>
              <w:right w:val="nil"/>
            </w:tcBorders>
            <w:shd w:val="clear" w:color="auto" w:fill="auto"/>
            <w:noWrap/>
            <w:vAlign w:val="bottom"/>
            <w:hideMark/>
          </w:tcPr>
          <w:p w14:paraId="16DF2A4C" w14:textId="382779B6" w:rsidR="006F48F9" w:rsidRPr="008669C3" w:rsidRDefault="00890C53" w:rsidP="005D0BF5">
            <w:pPr>
              <w:jc w:val="center"/>
              <w:rPr>
                <w:color w:val="000000"/>
                <w:sz w:val="22"/>
              </w:rPr>
            </w:pPr>
            <w:r>
              <w:rPr>
                <w:color w:val="000000"/>
                <w:sz w:val="22"/>
              </w:rPr>
              <w:t>4</w:t>
            </w:r>
            <w:r w:rsidR="006F48F9" w:rsidRPr="008669C3">
              <w:rPr>
                <w:color w:val="000000"/>
                <w:sz w:val="22"/>
              </w:rPr>
              <w:t>536</w:t>
            </w:r>
          </w:p>
        </w:tc>
        <w:tc>
          <w:tcPr>
            <w:tcW w:w="541" w:type="pct"/>
            <w:tcBorders>
              <w:top w:val="nil"/>
              <w:left w:val="nil"/>
              <w:bottom w:val="nil"/>
              <w:right w:val="nil"/>
            </w:tcBorders>
            <w:shd w:val="clear" w:color="auto" w:fill="auto"/>
            <w:noWrap/>
            <w:vAlign w:val="bottom"/>
            <w:hideMark/>
          </w:tcPr>
          <w:p w14:paraId="0A66593D" w14:textId="7121BC1F" w:rsidR="006F48F9" w:rsidRPr="008669C3" w:rsidRDefault="00890C53" w:rsidP="005D0BF5">
            <w:pPr>
              <w:jc w:val="center"/>
              <w:rPr>
                <w:color w:val="000000"/>
                <w:sz w:val="22"/>
              </w:rPr>
            </w:pPr>
            <w:r>
              <w:rPr>
                <w:color w:val="000000"/>
                <w:sz w:val="22"/>
              </w:rPr>
              <w:t>4</w:t>
            </w:r>
            <w:r w:rsidR="006F48F9" w:rsidRPr="008669C3">
              <w:rPr>
                <w:color w:val="000000"/>
                <w:sz w:val="22"/>
              </w:rPr>
              <w:t>536</w:t>
            </w:r>
          </w:p>
        </w:tc>
        <w:tc>
          <w:tcPr>
            <w:tcW w:w="141" w:type="pct"/>
            <w:tcBorders>
              <w:top w:val="nil"/>
              <w:left w:val="nil"/>
              <w:bottom w:val="nil"/>
              <w:right w:val="nil"/>
            </w:tcBorders>
            <w:shd w:val="clear" w:color="auto" w:fill="auto"/>
            <w:noWrap/>
            <w:vAlign w:val="bottom"/>
            <w:hideMark/>
          </w:tcPr>
          <w:p w14:paraId="137A3269"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51EC90EE" w14:textId="09ED266B" w:rsidR="006F48F9" w:rsidRPr="008669C3" w:rsidRDefault="00890C53" w:rsidP="005D0BF5">
            <w:pPr>
              <w:jc w:val="center"/>
              <w:rPr>
                <w:color w:val="000000"/>
                <w:sz w:val="22"/>
              </w:rPr>
            </w:pPr>
            <w:r>
              <w:rPr>
                <w:color w:val="000000"/>
                <w:sz w:val="22"/>
              </w:rPr>
              <w:t>4</w:t>
            </w:r>
            <w:r w:rsidR="006F48F9" w:rsidRPr="008669C3">
              <w:rPr>
                <w:color w:val="000000"/>
                <w:sz w:val="22"/>
              </w:rPr>
              <w:t>572</w:t>
            </w:r>
          </w:p>
        </w:tc>
        <w:tc>
          <w:tcPr>
            <w:tcW w:w="525" w:type="pct"/>
            <w:tcBorders>
              <w:top w:val="nil"/>
              <w:left w:val="nil"/>
              <w:bottom w:val="nil"/>
              <w:right w:val="nil"/>
            </w:tcBorders>
            <w:shd w:val="clear" w:color="auto" w:fill="auto"/>
            <w:noWrap/>
            <w:vAlign w:val="bottom"/>
            <w:hideMark/>
          </w:tcPr>
          <w:p w14:paraId="7B80C96F" w14:textId="731225BC" w:rsidR="006F48F9" w:rsidRPr="008669C3" w:rsidRDefault="00890C53" w:rsidP="005D0BF5">
            <w:pPr>
              <w:jc w:val="center"/>
              <w:rPr>
                <w:color w:val="000000"/>
                <w:sz w:val="22"/>
              </w:rPr>
            </w:pPr>
            <w:r>
              <w:rPr>
                <w:color w:val="000000"/>
                <w:sz w:val="22"/>
              </w:rPr>
              <w:t>4</w:t>
            </w:r>
            <w:r w:rsidR="006F48F9" w:rsidRPr="008669C3">
              <w:rPr>
                <w:color w:val="000000"/>
                <w:sz w:val="22"/>
              </w:rPr>
              <w:t>572</w:t>
            </w:r>
          </w:p>
        </w:tc>
        <w:tc>
          <w:tcPr>
            <w:tcW w:w="141" w:type="pct"/>
            <w:tcBorders>
              <w:top w:val="nil"/>
              <w:left w:val="nil"/>
              <w:bottom w:val="nil"/>
              <w:right w:val="nil"/>
            </w:tcBorders>
            <w:shd w:val="clear" w:color="auto" w:fill="auto"/>
            <w:noWrap/>
            <w:vAlign w:val="bottom"/>
            <w:hideMark/>
          </w:tcPr>
          <w:p w14:paraId="16BC9266" w14:textId="77777777" w:rsidR="006F48F9" w:rsidRPr="008669C3" w:rsidRDefault="006F48F9" w:rsidP="005D0BF5">
            <w:pPr>
              <w:jc w:val="center"/>
              <w:rPr>
                <w:color w:val="000000"/>
                <w:sz w:val="22"/>
              </w:rPr>
            </w:pPr>
          </w:p>
        </w:tc>
        <w:tc>
          <w:tcPr>
            <w:tcW w:w="446" w:type="pct"/>
            <w:tcBorders>
              <w:top w:val="nil"/>
              <w:left w:val="nil"/>
              <w:bottom w:val="nil"/>
              <w:right w:val="nil"/>
            </w:tcBorders>
            <w:shd w:val="clear" w:color="auto" w:fill="auto"/>
            <w:noWrap/>
            <w:vAlign w:val="bottom"/>
            <w:hideMark/>
          </w:tcPr>
          <w:p w14:paraId="5B491C42" w14:textId="6BF9CE2D" w:rsidR="006F48F9" w:rsidRPr="008669C3" w:rsidRDefault="00890C53" w:rsidP="005D0BF5">
            <w:pPr>
              <w:jc w:val="center"/>
              <w:rPr>
                <w:color w:val="000000"/>
                <w:sz w:val="22"/>
              </w:rPr>
            </w:pPr>
            <w:r>
              <w:rPr>
                <w:color w:val="000000"/>
                <w:sz w:val="22"/>
              </w:rPr>
              <w:t>9</w:t>
            </w:r>
            <w:r w:rsidR="006F48F9" w:rsidRPr="008669C3">
              <w:rPr>
                <w:color w:val="000000"/>
                <w:sz w:val="22"/>
              </w:rPr>
              <w:t>108</w:t>
            </w:r>
          </w:p>
        </w:tc>
        <w:tc>
          <w:tcPr>
            <w:tcW w:w="525" w:type="pct"/>
            <w:tcBorders>
              <w:top w:val="nil"/>
              <w:left w:val="nil"/>
              <w:bottom w:val="nil"/>
              <w:right w:val="nil"/>
            </w:tcBorders>
            <w:shd w:val="clear" w:color="auto" w:fill="auto"/>
            <w:noWrap/>
            <w:vAlign w:val="bottom"/>
            <w:hideMark/>
          </w:tcPr>
          <w:p w14:paraId="1ECDFB93" w14:textId="4589D93E" w:rsidR="006F48F9" w:rsidRPr="008669C3" w:rsidRDefault="00890C53" w:rsidP="005D0BF5">
            <w:pPr>
              <w:jc w:val="center"/>
              <w:rPr>
                <w:color w:val="000000"/>
                <w:sz w:val="22"/>
              </w:rPr>
            </w:pPr>
            <w:r>
              <w:rPr>
                <w:color w:val="000000"/>
                <w:sz w:val="22"/>
              </w:rPr>
              <w:t>9</w:t>
            </w:r>
            <w:r w:rsidR="006F48F9" w:rsidRPr="008669C3">
              <w:rPr>
                <w:color w:val="000000"/>
                <w:sz w:val="22"/>
              </w:rPr>
              <w:t>108</w:t>
            </w:r>
          </w:p>
        </w:tc>
      </w:tr>
      <w:tr w:rsidR="006F48F9" w:rsidRPr="008669C3" w14:paraId="7E6B7D0F" w14:textId="77777777" w:rsidTr="005D0BF5">
        <w:trPr>
          <w:trHeight w:val="20"/>
        </w:trPr>
        <w:tc>
          <w:tcPr>
            <w:tcW w:w="1631" w:type="pct"/>
            <w:tcBorders>
              <w:top w:val="nil"/>
              <w:left w:val="nil"/>
              <w:bottom w:val="single" w:sz="4" w:space="0" w:color="auto"/>
              <w:right w:val="nil"/>
            </w:tcBorders>
            <w:shd w:val="clear" w:color="auto" w:fill="auto"/>
            <w:noWrap/>
            <w:vAlign w:val="bottom"/>
            <w:hideMark/>
          </w:tcPr>
          <w:p w14:paraId="2A3F770F" w14:textId="77777777" w:rsidR="006F48F9" w:rsidRPr="008669C3" w:rsidRDefault="006F48F9" w:rsidP="005D0BF5">
            <w:pPr>
              <w:rPr>
                <w:color w:val="000000"/>
                <w:sz w:val="22"/>
              </w:rPr>
            </w:pPr>
            <w:r w:rsidRPr="008669C3">
              <w:rPr>
                <w:sz w:val="22"/>
                <w:szCs w:val="20"/>
              </w:rPr>
              <w:t>Adjusted R</w:t>
            </w:r>
            <w:r w:rsidRPr="008669C3">
              <w:rPr>
                <w:sz w:val="22"/>
                <w:szCs w:val="20"/>
                <w:vertAlign w:val="superscript"/>
              </w:rPr>
              <w:t>2</w:t>
            </w:r>
          </w:p>
        </w:tc>
        <w:tc>
          <w:tcPr>
            <w:tcW w:w="525" w:type="pct"/>
            <w:tcBorders>
              <w:top w:val="nil"/>
              <w:left w:val="nil"/>
              <w:bottom w:val="single" w:sz="4" w:space="0" w:color="auto"/>
              <w:right w:val="nil"/>
            </w:tcBorders>
            <w:shd w:val="clear" w:color="auto" w:fill="auto"/>
            <w:noWrap/>
            <w:vAlign w:val="bottom"/>
            <w:hideMark/>
          </w:tcPr>
          <w:p w14:paraId="5FC754BC" w14:textId="77777777" w:rsidR="006F48F9" w:rsidRPr="008669C3" w:rsidRDefault="006F48F9" w:rsidP="005D0BF5">
            <w:pPr>
              <w:jc w:val="center"/>
              <w:rPr>
                <w:color w:val="000000"/>
                <w:sz w:val="22"/>
              </w:rPr>
            </w:pPr>
            <w:r w:rsidRPr="008669C3">
              <w:rPr>
                <w:color w:val="000000"/>
                <w:sz w:val="22"/>
              </w:rPr>
              <w:t>0.213</w:t>
            </w:r>
          </w:p>
        </w:tc>
        <w:tc>
          <w:tcPr>
            <w:tcW w:w="541" w:type="pct"/>
            <w:tcBorders>
              <w:top w:val="nil"/>
              <w:left w:val="nil"/>
              <w:bottom w:val="single" w:sz="4" w:space="0" w:color="auto"/>
              <w:right w:val="nil"/>
            </w:tcBorders>
            <w:shd w:val="clear" w:color="auto" w:fill="auto"/>
            <w:noWrap/>
            <w:vAlign w:val="bottom"/>
            <w:hideMark/>
          </w:tcPr>
          <w:p w14:paraId="7D0AABC6" w14:textId="77777777" w:rsidR="006F48F9" w:rsidRPr="008669C3" w:rsidRDefault="006F48F9" w:rsidP="005D0BF5">
            <w:pPr>
              <w:jc w:val="center"/>
              <w:rPr>
                <w:color w:val="000000"/>
                <w:sz w:val="22"/>
              </w:rPr>
            </w:pPr>
            <w:r w:rsidRPr="008669C3">
              <w:rPr>
                <w:color w:val="000000"/>
                <w:sz w:val="22"/>
              </w:rPr>
              <w:t>0.149</w:t>
            </w:r>
          </w:p>
        </w:tc>
        <w:tc>
          <w:tcPr>
            <w:tcW w:w="141" w:type="pct"/>
            <w:tcBorders>
              <w:top w:val="nil"/>
              <w:left w:val="nil"/>
              <w:bottom w:val="single" w:sz="4" w:space="0" w:color="auto"/>
              <w:right w:val="nil"/>
            </w:tcBorders>
            <w:shd w:val="clear" w:color="auto" w:fill="auto"/>
            <w:noWrap/>
            <w:vAlign w:val="bottom"/>
            <w:hideMark/>
          </w:tcPr>
          <w:p w14:paraId="1D6CD852" w14:textId="77777777" w:rsidR="006F48F9" w:rsidRPr="008669C3" w:rsidRDefault="006F48F9" w:rsidP="005D0BF5">
            <w:pPr>
              <w:jc w:val="center"/>
              <w:rPr>
                <w:color w:val="000000"/>
                <w:sz w:val="22"/>
              </w:rPr>
            </w:pPr>
            <w:r w:rsidRPr="008669C3">
              <w:rPr>
                <w:color w:val="000000"/>
                <w:sz w:val="22"/>
              </w:rPr>
              <w:t> </w:t>
            </w:r>
          </w:p>
        </w:tc>
        <w:tc>
          <w:tcPr>
            <w:tcW w:w="525" w:type="pct"/>
            <w:tcBorders>
              <w:top w:val="nil"/>
              <w:left w:val="nil"/>
              <w:bottom w:val="single" w:sz="4" w:space="0" w:color="auto"/>
              <w:right w:val="nil"/>
            </w:tcBorders>
            <w:shd w:val="clear" w:color="auto" w:fill="auto"/>
            <w:noWrap/>
            <w:vAlign w:val="bottom"/>
            <w:hideMark/>
          </w:tcPr>
          <w:p w14:paraId="73B39256" w14:textId="77777777" w:rsidR="006F48F9" w:rsidRPr="008669C3" w:rsidRDefault="006F48F9" w:rsidP="005D0BF5">
            <w:pPr>
              <w:jc w:val="center"/>
              <w:rPr>
                <w:color w:val="000000"/>
                <w:sz w:val="22"/>
              </w:rPr>
            </w:pPr>
            <w:r w:rsidRPr="008669C3">
              <w:rPr>
                <w:color w:val="000000"/>
                <w:sz w:val="22"/>
              </w:rPr>
              <w:t>0.244</w:t>
            </w:r>
          </w:p>
        </w:tc>
        <w:tc>
          <w:tcPr>
            <w:tcW w:w="525" w:type="pct"/>
            <w:tcBorders>
              <w:top w:val="nil"/>
              <w:left w:val="nil"/>
              <w:bottom w:val="single" w:sz="4" w:space="0" w:color="auto"/>
              <w:right w:val="nil"/>
            </w:tcBorders>
            <w:shd w:val="clear" w:color="auto" w:fill="auto"/>
            <w:noWrap/>
            <w:vAlign w:val="bottom"/>
            <w:hideMark/>
          </w:tcPr>
          <w:p w14:paraId="4B01D132" w14:textId="77777777" w:rsidR="006F48F9" w:rsidRPr="008669C3" w:rsidRDefault="006F48F9" w:rsidP="005D0BF5">
            <w:pPr>
              <w:jc w:val="center"/>
              <w:rPr>
                <w:color w:val="000000"/>
                <w:sz w:val="22"/>
              </w:rPr>
            </w:pPr>
            <w:r w:rsidRPr="008669C3">
              <w:rPr>
                <w:color w:val="000000"/>
                <w:sz w:val="22"/>
              </w:rPr>
              <w:t>0.158</w:t>
            </w:r>
          </w:p>
        </w:tc>
        <w:tc>
          <w:tcPr>
            <w:tcW w:w="141" w:type="pct"/>
            <w:tcBorders>
              <w:top w:val="nil"/>
              <w:left w:val="nil"/>
              <w:bottom w:val="single" w:sz="4" w:space="0" w:color="auto"/>
              <w:right w:val="nil"/>
            </w:tcBorders>
            <w:shd w:val="clear" w:color="auto" w:fill="auto"/>
            <w:noWrap/>
            <w:vAlign w:val="bottom"/>
            <w:hideMark/>
          </w:tcPr>
          <w:p w14:paraId="1FC350FE" w14:textId="77777777" w:rsidR="006F48F9" w:rsidRPr="008669C3" w:rsidRDefault="006F48F9" w:rsidP="005D0BF5">
            <w:pPr>
              <w:jc w:val="center"/>
              <w:rPr>
                <w:color w:val="000000"/>
                <w:sz w:val="22"/>
              </w:rPr>
            </w:pPr>
            <w:r w:rsidRPr="008669C3">
              <w:rPr>
                <w:color w:val="000000"/>
                <w:sz w:val="22"/>
              </w:rPr>
              <w:t> </w:t>
            </w:r>
          </w:p>
        </w:tc>
        <w:tc>
          <w:tcPr>
            <w:tcW w:w="446" w:type="pct"/>
            <w:tcBorders>
              <w:top w:val="nil"/>
              <w:left w:val="nil"/>
              <w:bottom w:val="single" w:sz="4" w:space="0" w:color="auto"/>
              <w:right w:val="nil"/>
            </w:tcBorders>
            <w:shd w:val="clear" w:color="auto" w:fill="auto"/>
            <w:noWrap/>
            <w:vAlign w:val="bottom"/>
            <w:hideMark/>
          </w:tcPr>
          <w:p w14:paraId="2306F458" w14:textId="77777777" w:rsidR="006F48F9" w:rsidRPr="008669C3" w:rsidRDefault="006F48F9" w:rsidP="005D0BF5">
            <w:pPr>
              <w:jc w:val="center"/>
              <w:rPr>
                <w:color w:val="000000"/>
                <w:sz w:val="22"/>
              </w:rPr>
            </w:pPr>
            <w:r w:rsidRPr="008669C3">
              <w:rPr>
                <w:color w:val="000000"/>
                <w:sz w:val="22"/>
              </w:rPr>
              <w:t>0.202</w:t>
            </w:r>
          </w:p>
        </w:tc>
        <w:tc>
          <w:tcPr>
            <w:tcW w:w="525" w:type="pct"/>
            <w:tcBorders>
              <w:top w:val="nil"/>
              <w:left w:val="nil"/>
              <w:bottom w:val="single" w:sz="4" w:space="0" w:color="auto"/>
              <w:right w:val="nil"/>
            </w:tcBorders>
            <w:shd w:val="clear" w:color="auto" w:fill="auto"/>
            <w:noWrap/>
            <w:vAlign w:val="bottom"/>
            <w:hideMark/>
          </w:tcPr>
          <w:p w14:paraId="5CD8A62A" w14:textId="77777777" w:rsidR="006F48F9" w:rsidRPr="008669C3" w:rsidRDefault="006F48F9" w:rsidP="005D0BF5">
            <w:pPr>
              <w:jc w:val="center"/>
              <w:rPr>
                <w:color w:val="000000"/>
                <w:sz w:val="22"/>
              </w:rPr>
            </w:pPr>
            <w:r w:rsidRPr="008669C3">
              <w:rPr>
                <w:color w:val="000000"/>
                <w:sz w:val="22"/>
              </w:rPr>
              <w:t>0.127</w:t>
            </w:r>
          </w:p>
        </w:tc>
      </w:tr>
      <w:tr w:rsidR="006F48F9" w:rsidRPr="008669C3" w14:paraId="2555135D" w14:textId="77777777" w:rsidTr="005D0BF5">
        <w:trPr>
          <w:trHeight w:val="20"/>
        </w:trPr>
        <w:tc>
          <w:tcPr>
            <w:tcW w:w="1631" w:type="pct"/>
            <w:tcBorders>
              <w:top w:val="nil"/>
              <w:left w:val="nil"/>
              <w:bottom w:val="nil"/>
              <w:right w:val="nil"/>
            </w:tcBorders>
            <w:shd w:val="clear" w:color="auto" w:fill="auto"/>
            <w:noWrap/>
            <w:vAlign w:val="bottom"/>
            <w:hideMark/>
          </w:tcPr>
          <w:p w14:paraId="7CA9A68D"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1367640A" w14:textId="77777777" w:rsidR="006F48F9" w:rsidRPr="008669C3" w:rsidRDefault="006F48F9" w:rsidP="005D0BF5">
            <w:pPr>
              <w:rPr>
                <w:sz w:val="22"/>
                <w:szCs w:val="20"/>
              </w:rPr>
            </w:pPr>
          </w:p>
        </w:tc>
        <w:tc>
          <w:tcPr>
            <w:tcW w:w="541" w:type="pct"/>
            <w:tcBorders>
              <w:top w:val="nil"/>
              <w:left w:val="nil"/>
              <w:bottom w:val="nil"/>
              <w:right w:val="nil"/>
            </w:tcBorders>
            <w:shd w:val="clear" w:color="auto" w:fill="auto"/>
            <w:noWrap/>
            <w:vAlign w:val="bottom"/>
            <w:hideMark/>
          </w:tcPr>
          <w:p w14:paraId="00758E02" w14:textId="77777777" w:rsidR="006F48F9" w:rsidRPr="008669C3" w:rsidRDefault="006F48F9" w:rsidP="005D0BF5">
            <w:pPr>
              <w:jc w:val="center"/>
              <w:rPr>
                <w:sz w:val="22"/>
                <w:szCs w:val="20"/>
              </w:rPr>
            </w:pPr>
          </w:p>
        </w:tc>
        <w:tc>
          <w:tcPr>
            <w:tcW w:w="141" w:type="pct"/>
            <w:tcBorders>
              <w:top w:val="nil"/>
              <w:left w:val="nil"/>
              <w:bottom w:val="nil"/>
              <w:right w:val="nil"/>
            </w:tcBorders>
            <w:shd w:val="clear" w:color="auto" w:fill="auto"/>
            <w:noWrap/>
            <w:vAlign w:val="bottom"/>
            <w:hideMark/>
          </w:tcPr>
          <w:p w14:paraId="38D582F2"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720D5BCC"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05879D45" w14:textId="77777777" w:rsidR="006F48F9" w:rsidRPr="008669C3" w:rsidRDefault="006F48F9" w:rsidP="005D0BF5">
            <w:pPr>
              <w:jc w:val="center"/>
              <w:rPr>
                <w:sz w:val="22"/>
                <w:szCs w:val="20"/>
              </w:rPr>
            </w:pPr>
          </w:p>
        </w:tc>
        <w:tc>
          <w:tcPr>
            <w:tcW w:w="141" w:type="pct"/>
            <w:tcBorders>
              <w:top w:val="nil"/>
              <w:left w:val="nil"/>
              <w:bottom w:val="nil"/>
              <w:right w:val="nil"/>
            </w:tcBorders>
            <w:shd w:val="clear" w:color="auto" w:fill="auto"/>
            <w:noWrap/>
            <w:vAlign w:val="bottom"/>
            <w:hideMark/>
          </w:tcPr>
          <w:p w14:paraId="3EA912CB" w14:textId="77777777" w:rsidR="006F48F9" w:rsidRPr="008669C3" w:rsidRDefault="006F48F9" w:rsidP="005D0BF5">
            <w:pPr>
              <w:jc w:val="center"/>
              <w:rPr>
                <w:sz w:val="22"/>
                <w:szCs w:val="20"/>
              </w:rPr>
            </w:pPr>
          </w:p>
        </w:tc>
        <w:tc>
          <w:tcPr>
            <w:tcW w:w="446" w:type="pct"/>
            <w:tcBorders>
              <w:top w:val="nil"/>
              <w:left w:val="nil"/>
              <w:bottom w:val="nil"/>
              <w:right w:val="nil"/>
            </w:tcBorders>
            <w:shd w:val="clear" w:color="auto" w:fill="auto"/>
            <w:noWrap/>
            <w:vAlign w:val="bottom"/>
            <w:hideMark/>
          </w:tcPr>
          <w:p w14:paraId="7742CE75"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58F7611A" w14:textId="77777777" w:rsidR="006F48F9" w:rsidRPr="008669C3" w:rsidRDefault="006F48F9" w:rsidP="005D0BF5">
            <w:pPr>
              <w:jc w:val="center"/>
              <w:rPr>
                <w:sz w:val="22"/>
                <w:szCs w:val="20"/>
              </w:rPr>
            </w:pPr>
          </w:p>
        </w:tc>
      </w:tr>
      <w:tr w:rsidR="006F48F9" w:rsidRPr="008669C3" w14:paraId="7F6375F2" w14:textId="77777777" w:rsidTr="005D0BF5">
        <w:trPr>
          <w:trHeight w:val="20"/>
        </w:trPr>
        <w:tc>
          <w:tcPr>
            <w:tcW w:w="1631" w:type="pct"/>
            <w:tcBorders>
              <w:top w:val="nil"/>
              <w:left w:val="nil"/>
              <w:bottom w:val="nil"/>
              <w:right w:val="nil"/>
            </w:tcBorders>
            <w:shd w:val="clear" w:color="auto" w:fill="auto"/>
            <w:noWrap/>
            <w:vAlign w:val="bottom"/>
            <w:hideMark/>
          </w:tcPr>
          <w:p w14:paraId="4BD4A65C"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37FEED84" w14:textId="77777777" w:rsidR="006F48F9" w:rsidRPr="008669C3" w:rsidRDefault="006F48F9" w:rsidP="005D0BF5">
            <w:pPr>
              <w:rPr>
                <w:sz w:val="22"/>
                <w:szCs w:val="20"/>
              </w:rPr>
            </w:pPr>
          </w:p>
        </w:tc>
        <w:tc>
          <w:tcPr>
            <w:tcW w:w="541" w:type="pct"/>
            <w:tcBorders>
              <w:top w:val="nil"/>
              <w:left w:val="nil"/>
              <w:bottom w:val="nil"/>
              <w:right w:val="nil"/>
            </w:tcBorders>
            <w:shd w:val="clear" w:color="auto" w:fill="auto"/>
            <w:noWrap/>
            <w:vAlign w:val="bottom"/>
            <w:hideMark/>
          </w:tcPr>
          <w:p w14:paraId="49EAAF7A" w14:textId="77777777" w:rsidR="006F48F9" w:rsidRPr="008669C3" w:rsidRDefault="006F48F9" w:rsidP="005D0BF5">
            <w:pPr>
              <w:jc w:val="center"/>
              <w:rPr>
                <w:sz w:val="22"/>
                <w:szCs w:val="20"/>
              </w:rPr>
            </w:pPr>
          </w:p>
        </w:tc>
        <w:tc>
          <w:tcPr>
            <w:tcW w:w="141" w:type="pct"/>
            <w:tcBorders>
              <w:top w:val="nil"/>
              <w:left w:val="nil"/>
              <w:bottom w:val="nil"/>
              <w:right w:val="nil"/>
            </w:tcBorders>
            <w:shd w:val="clear" w:color="auto" w:fill="auto"/>
            <w:noWrap/>
            <w:vAlign w:val="bottom"/>
            <w:hideMark/>
          </w:tcPr>
          <w:p w14:paraId="4B5AC2F2"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73F59FC4"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30FF2AF3" w14:textId="77777777" w:rsidR="006F48F9" w:rsidRPr="008669C3" w:rsidRDefault="006F48F9" w:rsidP="005D0BF5">
            <w:pPr>
              <w:jc w:val="center"/>
              <w:rPr>
                <w:sz w:val="22"/>
                <w:szCs w:val="20"/>
              </w:rPr>
            </w:pPr>
          </w:p>
        </w:tc>
        <w:tc>
          <w:tcPr>
            <w:tcW w:w="141" w:type="pct"/>
            <w:tcBorders>
              <w:top w:val="nil"/>
              <w:left w:val="nil"/>
              <w:bottom w:val="nil"/>
              <w:right w:val="nil"/>
            </w:tcBorders>
            <w:shd w:val="clear" w:color="auto" w:fill="auto"/>
            <w:noWrap/>
            <w:vAlign w:val="bottom"/>
            <w:hideMark/>
          </w:tcPr>
          <w:p w14:paraId="481F72C9" w14:textId="77777777" w:rsidR="006F48F9" w:rsidRPr="008669C3" w:rsidRDefault="006F48F9" w:rsidP="005D0BF5">
            <w:pPr>
              <w:jc w:val="center"/>
              <w:rPr>
                <w:sz w:val="22"/>
                <w:szCs w:val="20"/>
              </w:rPr>
            </w:pPr>
          </w:p>
        </w:tc>
        <w:tc>
          <w:tcPr>
            <w:tcW w:w="446" w:type="pct"/>
            <w:tcBorders>
              <w:top w:val="nil"/>
              <w:left w:val="nil"/>
              <w:bottom w:val="nil"/>
              <w:right w:val="nil"/>
            </w:tcBorders>
            <w:shd w:val="clear" w:color="auto" w:fill="auto"/>
            <w:noWrap/>
            <w:vAlign w:val="bottom"/>
            <w:hideMark/>
          </w:tcPr>
          <w:p w14:paraId="79835FEF"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400448A3" w14:textId="77777777" w:rsidR="006F48F9" w:rsidRPr="008669C3" w:rsidRDefault="006F48F9" w:rsidP="005D0BF5">
            <w:pPr>
              <w:jc w:val="center"/>
              <w:rPr>
                <w:sz w:val="22"/>
                <w:szCs w:val="20"/>
              </w:rPr>
            </w:pPr>
          </w:p>
        </w:tc>
      </w:tr>
      <w:tr w:rsidR="006F48F9" w:rsidRPr="008669C3" w14:paraId="1B2A7A2A" w14:textId="77777777" w:rsidTr="005D0BF5">
        <w:trPr>
          <w:trHeight w:val="20"/>
        </w:trPr>
        <w:tc>
          <w:tcPr>
            <w:tcW w:w="1631" w:type="pct"/>
            <w:tcBorders>
              <w:top w:val="nil"/>
              <w:left w:val="nil"/>
              <w:bottom w:val="nil"/>
              <w:right w:val="nil"/>
            </w:tcBorders>
            <w:shd w:val="clear" w:color="auto" w:fill="auto"/>
            <w:noWrap/>
            <w:vAlign w:val="bottom"/>
            <w:hideMark/>
          </w:tcPr>
          <w:p w14:paraId="25B0B1DD" w14:textId="77777777" w:rsidR="006F48F9" w:rsidRPr="008669C3" w:rsidRDefault="006F48F9" w:rsidP="005D0BF5">
            <w:pPr>
              <w:rPr>
                <w:color w:val="000000"/>
                <w:sz w:val="22"/>
              </w:rPr>
            </w:pPr>
          </w:p>
          <w:p w14:paraId="06A422F6" w14:textId="77777777" w:rsidR="006F48F9" w:rsidRPr="008669C3" w:rsidRDefault="006F48F9" w:rsidP="005D0BF5">
            <w:pPr>
              <w:rPr>
                <w:color w:val="000000"/>
                <w:sz w:val="22"/>
              </w:rPr>
            </w:pPr>
          </w:p>
          <w:p w14:paraId="61DDE945" w14:textId="77777777" w:rsidR="006F48F9" w:rsidRPr="008669C3" w:rsidRDefault="006F48F9" w:rsidP="005D0BF5">
            <w:pPr>
              <w:rPr>
                <w:i/>
                <w:color w:val="000000"/>
                <w:sz w:val="22"/>
              </w:rPr>
            </w:pPr>
            <w:r w:rsidRPr="008669C3">
              <w:rPr>
                <w:i/>
                <w:color w:val="000000"/>
                <w:sz w:val="22"/>
              </w:rPr>
              <w:t>Panel C: Based on the number of segments</w:t>
            </w:r>
          </w:p>
        </w:tc>
        <w:tc>
          <w:tcPr>
            <w:tcW w:w="525" w:type="pct"/>
            <w:tcBorders>
              <w:top w:val="nil"/>
              <w:left w:val="nil"/>
              <w:bottom w:val="nil"/>
              <w:right w:val="nil"/>
            </w:tcBorders>
            <w:shd w:val="clear" w:color="auto" w:fill="auto"/>
            <w:noWrap/>
            <w:vAlign w:val="bottom"/>
            <w:hideMark/>
          </w:tcPr>
          <w:p w14:paraId="194AD4DC" w14:textId="77777777" w:rsidR="006F48F9" w:rsidRPr="008669C3" w:rsidRDefault="006F48F9" w:rsidP="005D0BF5">
            <w:pPr>
              <w:rPr>
                <w:color w:val="000000"/>
                <w:sz w:val="22"/>
              </w:rPr>
            </w:pPr>
          </w:p>
        </w:tc>
        <w:tc>
          <w:tcPr>
            <w:tcW w:w="541" w:type="pct"/>
            <w:tcBorders>
              <w:top w:val="nil"/>
              <w:left w:val="nil"/>
              <w:bottom w:val="nil"/>
              <w:right w:val="nil"/>
            </w:tcBorders>
            <w:shd w:val="clear" w:color="auto" w:fill="auto"/>
            <w:noWrap/>
            <w:vAlign w:val="bottom"/>
            <w:hideMark/>
          </w:tcPr>
          <w:p w14:paraId="66D4B8C3" w14:textId="77777777" w:rsidR="006F48F9" w:rsidRPr="008669C3" w:rsidRDefault="006F48F9" w:rsidP="005D0BF5">
            <w:pPr>
              <w:jc w:val="center"/>
              <w:rPr>
                <w:sz w:val="22"/>
                <w:szCs w:val="20"/>
              </w:rPr>
            </w:pPr>
          </w:p>
        </w:tc>
        <w:tc>
          <w:tcPr>
            <w:tcW w:w="141" w:type="pct"/>
            <w:tcBorders>
              <w:top w:val="nil"/>
              <w:left w:val="nil"/>
              <w:bottom w:val="nil"/>
              <w:right w:val="nil"/>
            </w:tcBorders>
            <w:shd w:val="clear" w:color="auto" w:fill="auto"/>
            <w:noWrap/>
            <w:vAlign w:val="bottom"/>
            <w:hideMark/>
          </w:tcPr>
          <w:p w14:paraId="09C0FD90"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4BCC464B"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76B181EF" w14:textId="77777777" w:rsidR="006F48F9" w:rsidRPr="008669C3" w:rsidRDefault="006F48F9" w:rsidP="005D0BF5">
            <w:pPr>
              <w:jc w:val="center"/>
              <w:rPr>
                <w:sz w:val="22"/>
                <w:szCs w:val="20"/>
              </w:rPr>
            </w:pPr>
          </w:p>
        </w:tc>
        <w:tc>
          <w:tcPr>
            <w:tcW w:w="141" w:type="pct"/>
            <w:tcBorders>
              <w:top w:val="nil"/>
              <w:left w:val="nil"/>
              <w:bottom w:val="nil"/>
              <w:right w:val="nil"/>
            </w:tcBorders>
            <w:shd w:val="clear" w:color="auto" w:fill="auto"/>
            <w:noWrap/>
            <w:vAlign w:val="bottom"/>
            <w:hideMark/>
          </w:tcPr>
          <w:p w14:paraId="12D2B419" w14:textId="77777777" w:rsidR="006F48F9" w:rsidRPr="008669C3" w:rsidRDefault="006F48F9" w:rsidP="005D0BF5">
            <w:pPr>
              <w:jc w:val="center"/>
              <w:rPr>
                <w:sz w:val="22"/>
                <w:szCs w:val="20"/>
              </w:rPr>
            </w:pPr>
          </w:p>
        </w:tc>
        <w:tc>
          <w:tcPr>
            <w:tcW w:w="446" w:type="pct"/>
            <w:tcBorders>
              <w:top w:val="nil"/>
              <w:left w:val="nil"/>
              <w:bottom w:val="nil"/>
              <w:right w:val="nil"/>
            </w:tcBorders>
            <w:shd w:val="clear" w:color="auto" w:fill="auto"/>
            <w:noWrap/>
            <w:vAlign w:val="bottom"/>
            <w:hideMark/>
          </w:tcPr>
          <w:p w14:paraId="3853E9BD"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063ADC84" w14:textId="77777777" w:rsidR="006F48F9" w:rsidRPr="008669C3" w:rsidRDefault="006F48F9" w:rsidP="005D0BF5">
            <w:pPr>
              <w:jc w:val="center"/>
              <w:rPr>
                <w:sz w:val="22"/>
                <w:szCs w:val="20"/>
              </w:rPr>
            </w:pPr>
          </w:p>
        </w:tc>
      </w:tr>
      <w:tr w:rsidR="006F48F9" w:rsidRPr="008669C3" w14:paraId="533D1A9C" w14:textId="77777777" w:rsidTr="005D0BF5">
        <w:trPr>
          <w:trHeight w:val="20"/>
        </w:trPr>
        <w:tc>
          <w:tcPr>
            <w:tcW w:w="1631" w:type="pct"/>
            <w:tcBorders>
              <w:top w:val="nil"/>
              <w:left w:val="nil"/>
              <w:bottom w:val="nil"/>
              <w:right w:val="nil"/>
            </w:tcBorders>
            <w:shd w:val="clear" w:color="auto" w:fill="auto"/>
            <w:noWrap/>
            <w:vAlign w:val="bottom"/>
            <w:hideMark/>
          </w:tcPr>
          <w:p w14:paraId="479D584D" w14:textId="77777777" w:rsidR="006F48F9" w:rsidRPr="008669C3" w:rsidRDefault="006F48F9" w:rsidP="005D0BF5">
            <w:pPr>
              <w:jc w:val="center"/>
              <w:rPr>
                <w:color w:val="000000"/>
                <w:sz w:val="22"/>
              </w:rPr>
            </w:pPr>
          </w:p>
        </w:tc>
        <w:tc>
          <w:tcPr>
            <w:tcW w:w="1066" w:type="pct"/>
            <w:gridSpan w:val="2"/>
            <w:tcBorders>
              <w:top w:val="nil"/>
              <w:left w:val="nil"/>
              <w:bottom w:val="single" w:sz="4" w:space="0" w:color="auto"/>
              <w:right w:val="nil"/>
            </w:tcBorders>
            <w:shd w:val="clear" w:color="auto" w:fill="auto"/>
            <w:noWrap/>
            <w:vAlign w:val="bottom"/>
            <w:hideMark/>
          </w:tcPr>
          <w:p w14:paraId="7A5160E7" w14:textId="77777777" w:rsidR="006F48F9" w:rsidRPr="008669C3" w:rsidRDefault="006F48F9" w:rsidP="005D0BF5">
            <w:pPr>
              <w:jc w:val="center"/>
              <w:rPr>
                <w:color w:val="000000"/>
                <w:sz w:val="22"/>
              </w:rPr>
            </w:pPr>
            <w:r w:rsidRPr="008669C3">
              <w:rPr>
                <w:color w:val="000000"/>
                <w:sz w:val="22"/>
              </w:rPr>
              <w:t>High number of segments</w:t>
            </w:r>
          </w:p>
        </w:tc>
        <w:tc>
          <w:tcPr>
            <w:tcW w:w="141" w:type="pct"/>
            <w:tcBorders>
              <w:top w:val="nil"/>
              <w:left w:val="nil"/>
              <w:bottom w:val="nil"/>
              <w:right w:val="nil"/>
            </w:tcBorders>
            <w:shd w:val="clear" w:color="auto" w:fill="auto"/>
            <w:noWrap/>
            <w:vAlign w:val="bottom"/>
            <w:hideMark/>
          </w:tcPr>
          <w:p w14:paraId="1EFF8371" w14:textId="77777777" w:rsidR="006F48F9" w:rsidRPr="008669C3" w:rsidRDefault="006F48F9" w:rsidP="005D0BF5">
            <w:pPr>
              <w:jc w:val="center"/>
              <w:rPr>
                <w:color w:val="000000"/>
                <w:sz w:val="22"/>
              </w:rPr>
            </w:pPr>
          </w:p>
        </w:tc>
        <w:tc>
          <w:tcPr>
            <w:tcW w:w="1050" w:type="pct"/>
            <w:gridSpan w:val="2"/>
            <w:tcBorders>
              <w:top w:val="nil"/>
              <w:left w:val="nil"/>
              <w:bottom w:val="single" w:sz="4" w:space="0" w:color="auto"/>
              <w:right w:val="nil"/>
            </w:tcBorders>
            <w:shd w:val="clear" w:color="auto" w:fill="auto"/>
            <w:noWrap/>
            <w:vAlign w:val="bottom"/>
            <w:hideMark/>
          </w:tcPr>
          <w:p w14:paraId="4B6253E7" w14:textId="77777777" w:rsidR="006F48F9" w:rsidRPr="008669C3" w:rsidRDefault="006F48F9" w:rsidP="005D0BF5">
            <w:pPr>
              <w:jc w:val="center"/>
              <w:rPr>
                <w:color w:val="000000"/>
                <w:sz w:val="22"/>
              </w:rPr>
            </w:pPr>
            <w:r w:rsidRPr="008669C3">
              <w:rPr>
                <w:color w:val="000000"/>
                <w:sz w:val="22"/>
              </w:rPr>
              <w:t>Low number of segments</w:t>
            </w:r>
          </w:p>
        </w:tc>
        <w:tc>
          <w:tcPr>
            <w:tcW w:w="141" w:type="pct"/>
            <w:tcBorders>
              <w:top w:val="nil"/>
              <w:left w:val="nil"/>
              <w:bottom w:val="nil"/>
              <w:right w:val="nil"/>
            </w:tcBorders>
            <w:shd w:val="clear" w:color="auto" w:fill="auto"/>
            <w:noWrap/>
            <w:vAlign w:val="bottom"/>
            <w:hideMark/>
          </w:tcPr>
          <w:p w14:paraId="16399432" w14:textId="77777777" w:rsidR="006F48F9" w:rsidRPr="008669C3" w:rsidRDefault="006F48F9" w:rsidP="005D0BF5">
            <w:pPr>
              <w:jc w:val="center"/>
              <w:rPr>
                <w:color w:val="000000"/>
                <w:sz w:val="22"/>
              </w:rPr>
            </w:pPr>
          </w:p>
        </w:tc>
        <w:tc>
          <w:tcPr>
            <w:tcW w:w="971" w:type="pct"/>
            <w:gridSpan w:val="2"/>
            <w:tcBorders>
              <w:top w:val="nil"/>
              <w:left w:val="nil"/>
              <w:bottom w:val="single" w:sz="4" w:space="0" w:color="auto"/>
              <w:right w:val="nil"/>
            </w:tcBorders>
            <w:shd w:val="clear" w:color="auto" w:fill="auto"/>
            <w:noWrap/>
            <w:vAlign w:val="bottom"/>
            <w:hideMark/>
          </w:tcPr>
          <w:p w14:paraId="39F6FC62" w14:textId="77777777" w:rsidR="006F48F9" w:rsidRPr="008669C3" w:rsidRDefault="006F48F9" w:rsidP="005D0BF5">
            <w:pPr>
              <w:jc w:val="center"/>
              <w:rPr>
                <w:color w:val="000000"/>
                <w:sz w:val="22"/>
              </w:rPr>
            </w:pPr>
            <w:r w:rsidRPr="008669C3">
              <w:rPr>
                <w:sz w:val="22"/>
              </w:rPr>
              <w:t>Whole sample</w:t>
            </w:r>
          </w:p>
        </w:tc>
      </w:tr>
      <w:tr w:rsidR="006F48F9" w:rsidRPr="008669C3" w14:paraId="159B2DFB" w14:textId="77777777" w:rsidTr="005D0BF5">
        <w:trPr>
          <w:trHeight w:val="20"/>
        </w:trPr>
        <w:tc>
          <w:tcPr>
            <w:tcW w:w="1631" w:type="pct"/>
            <w:tcBorders>
              <w:top w:val="nil"/>
              <w:left w:val="nil"/>
              <w:bottom w:val="single" w:sz="4" w:space="0" w:color="auto"/>
              <w:right w:val="nil"/>
            </w:tcBorders>
            <w:shd w:val="clear" w:color="auto" w:fill="auto"/>
            <w:noWrap/>
            <w:vAlign w:val="bottom"/>
            <w:hideMark/>
          </w:tcPr>
          <w:p w14:paraId="6A32B8CC" w14:textId="77777777" w:rsidR="006F48F9" w:rsidRPr="008669C3" w:rsidRDefault="006F48F9" w:rsidP="005D0BF5">
            <w:pPr>
              <w:rPr>
                <w:color w:val="000000"/>
                <w:sz w:val="22"/>
              </w:rPr>
            </w:pPr>
            <w:r w:rsidRPr="008669C3">
              <w:rPr>
                <w:color w:val="000000"/>
                <w:sz w:val="22"/>
              </w:rPr>
              <w:t> </w:t>
            </w:r>
          </w:p>
        </w:tc>
        <w:tc>
          <w:tcPr>
            <w:tcW w:w="525" w:type="pct"/>
            <w:tcBorders>
              <w:top w:val="nil"/>
              <w:left w:val="nil"/>
              <w:bottom w:val="single" w:sz="4" w:space="0" w:color="auto"/>
              <w:right w:val="nil"/>
            </w:tcBorders>
            <w:shd w:val="clear" w:color="auto" w:fill="auto"/>
            <w:noWrap/>
            <w:vAlign w:val="bottom"/>
            <w:hideMark/>
          </w:tcPr>
          <w:p w14:paraId="36E85A0E" w14:textId="77777777" w:rsidR="006F48F9" w:rsidRPr="008669C3" w:rsidRDefault="006F48F9" w:rsidP="005D0BF5">
            <w:pPr>
              <w:jc w:val="center"/>
              <w:rPr>
                <w:color w:val="000000"/>
                <w:sz w:val="22"/>
              </w:rPr>
            </w:pPr>
            <w:r w:rsidRPr="008669C3">
              <w:rPr>
                <w:color w:val="000000"/>
                <w:sz w:val="22"/>
              </w:rPr>
              <w:t>(1)</w:t>
            </w:r>
          </w:p>
        </w:tc>
        <w:tc>
          <w:tcPr>
            <w:tcW w:w="541" w:type="pct"/>
            <w:tcBorders>
              <w:top w:val="nil"/>
              <w:left w:val="nil"/>
              <w:bottom w:val="single" w:sz="4" w:space="0" w:color="auto"/>
              <w:right w:val="nil"/>
            </w:tcBorders>
            <w:shd w:val="clear" w:color="auto" w:fill="auto"/>
            <w:noWrap/>
            <w:vAlign w:val="bottom"/>
            <w:hideMark/>
          </w:tcPr>
          <w:p w14:paraId="0AD38CCD" w14:textId="77777777" w:rsidR="006F48F9" w:rsidRPr="008669C3" w:rsidRDefault="006F48F9" w:rsidP="005D0BF5">
            <w:pPr>
              <w:jc w:val="center"/>
              <w:rPr>
                <w:color w:val="000000"/>
                <w:sz w:val="22"/>
              </w:rPr>
            </w:pPr>
            <w:r w:rsidRPr="008669C3">
              <w:rPr>
                <w:color w:val="000000"/>
                <w:sz w:val="22"/>
              </w:rPr>
              <w:t>(2)</w:t>
            </w:r>
          </w:p>
        </w:tc>
        <w:tc>
          <w:tcPr>
            <w:tcW w:w="141" w:type="pct"/>
            <w:tcBorders>
              <w:top w:val="nil"/>
              <w:left w:val="nil"/>
              <w:bottom w:val="single" w:sz="4" w:space="0" w:color="auto"/>
              <w:right w:val="nil"/>
            </w:tcBorders>
            <w:shd w:val="clear" w:color="auto" w:fill="auto"/>
            <w:noWrap/>
            <w:vAlign w:val="bottom"/>
            <w:hideMark/>
          </w:tcPr>
          <w:p w14:paraId="70CD5369" w14:textId="77777777" w:rsidR="006F48F9" w:rsidRPr="008669C3" w:rsidRDefault="006F48F9" w:rsidP="005D0BF5">
            <w:pPr>
              <w:jc w:val="center"/>
              <w:rPr>
                <w:color w:val="000000"/>
                <w:sz w:val="22"/>
              </w:rPr>
            </w:pPr>
            <w:r w:rsidRPr="008669C3">
              <w:rPr>
                <w:color w:val="000000"/>
                <w:sz w:val="22"/>
              </w:rPr>
              <w:t> </w:t>
            </w:r>
          </w:p>
        </w:tc>
        <w:tc>
          <w:tcPr>
            <w:tcW w:w="525" w:type="pct"/>
            <w:tcBorders>
              <w:top w:val="nil"/>
              <w:left w:val="nil"/>
              <w:bottom w:val="single" w:sz="4" w:space="0" w:color="auto"/>
              <w:right w:val="nil"/>
            </w:tcBorders>
            <w:shd w:val="clear" w:color="auto" w:fill="auto"/>
            <w:noWrap/>
            <w:vAlign w:val="bottom"/>
            <w:hideMark/>
          </w:tcPr>
          <w:p w14:paraId="1005D32A" w14:textId="77777777" w:rsidR="006F48F9" w:rsidRPr="008669C3" w:rsidRDefault="006F48F9" w:rsidP="005D0BF5">
            <w:pPr>
              <w:jc w:val="center"/>
              <w:rPr>
                <w:color w:val="000000"/>
                <w:sz w:val="22"/>
              </w:rPr>
            </w:pPr>
            <w:r w:rsidRPr="008669C3">
              <w:rPr>
                <w:color w:val="000000"/>
                <w:sz w:val="22"/>
              </w:rPr>
              <w:t>(3)</w:t>
            </w:r>
          </w:p>
        </w:tc>
        <w:tc>
          <w:tcPr>
            <w:tcW w:w="525" w:type="pct"/>
            <w:tcBorders>
              <w:top w:val="nil"/>
              <w:left w:val="nil"/>
              <w:bottom w:val="single" w:sz="4" w:space="0" w:color="auto"/>
              <w:right w:val="nil"/>
            </w:tcBorders>
            <w:shd w:val="clear" w:color="auto" w:fill="auto"/>
            <w:noWrap/>
            <w:vAlign w:val="bottom"/>
            <w:hideMark/>
          </w:tcPr>
          <w:p w14:paraId="4A82BB03" w14:textId="77777777" w:rsidR="006F48F9" w:rsidRPr="008669C3" w:rsidRDefault="006F48F9" w:rsidP="005D0BF5">
            <w:pPr>
              <w:jc w:val="center"/>
              <w:rPr>
                <w:color w:val="000000"/>
                <w:sz w:val="22"/>
              </w:rPr>
            </w:pPr>
            <w:r w:rsidRPr="008669C3">
              <w:rPr>
                <w:color w:val="000000"/>
                <w:sz w:val="22"/>
              </w:rPr>
              <w:t>(4)</w:t>
            </w:r>
          </w:p>
        </w:tc>
        <w:tc>
          <w:tcPr>
            <w:tcW w:w="141" w:type="pct"/>
            <w:tcBorders>
              <w:top w:val="nil"/>
              <w:left w:val="nil"/>
              <w:bottom w:val="single" w:sz="4" w:space="0" w:color="auto"/>
              <w:right w:val="nil"/>
            </w:tcBorders>
            <w:shd w:val="clear" w:color="auto" w:fill="auto"/>
            <w:noWrap/>
            <w:vAlign w:val="bottom"/>
            <w:hideMark/>
          </w:tcPr>
          <w:p w14:paraId="144D4A3E" w14:textId="77777777" w:rsidR="006F48F9" w:rsidRPr="008669C3" w:rsidRDefault="006F48F9" w:rsidP="005D0BF5">
            <w:pPr>
              <w:jc w:val="center"/>
              <w:rPr>
                <w:color w:val="000000"/>
                <w:sz w:val="22"/>
              </w:rPr>
            </w:pPr>
            <w:r w:rsidRPr="008669C3">
              <w:rPr>
                <w:color w:val="000000"/>
                <w:sz w:val="22"/>
              </w:rPr>
              <w:t> </w:t>
            </w:r>
          </w:p>
        </w:tc>
        <w:tc>
          <w:tcPr>
            <w:tcW w:w="446" w:type="pct"/>
            <w:tcBorders>
              <w:top w:val="nil"/>
              <w:left w:val="nil"/>
              <w:bottom w:val="single" w:sz="4" w:space="0" w:color="auto"/>
              <w:right w:val="nil"/>
            </w:tcBorders>
            <w:shd w:val="clear" w:color="auto" w:fill="auto"/>
            <w:noWrap/>
            <w:vAlign w:val="bottom"/>
            <w:hideMark/>
          </w:tcPr>
          <w:p w14:paraId="7425F26E" w14:textId="77777777" w:rsidR="006F48F9" w:rsidRPr="008669C3" w:rsidRDefault="006F48F9" w:rsidP="005D0BF5">
            <w:pPr>
              <w:jc w:val="center"/>
              <w:rPr>
                <w:color w:val="000000"/>
                <w:sz w:val="22"/>
              </w:rPr>
            </w:pPr>
            <w:r w:rsidRPr="008669C3">
              <w:rPr>
                <w:color w:val="000000"/>
                <w:sz w:val="22"/>
              </w:rPr>
              <w:t>(5)</w:t>
            </w:r>
          </w:p>
        </w:tc>
        <w:tc>
          <w:tcPr>
            <w:tcW w:w="525" w:type="pct"/>
            <w:tcBorders>
              <w:top w:val="nil"/>
              <w:left w:val="nil"/>
              <w:bottom w:val="single" w:sz="4" w:space="0" w:color="auto"/>
              <w:right w:val="nil"/>
            </w:tcBorders>
            <w:shd w:val="clear" w:color="auto" w:fill="auto"/>
            <w:noWrap/>
            <w:vAlign w:val="bottom"/>
            <w:hideMark/>
          </w:tcPr>
          <w:p w14:paraId="6ED251DB" w14:textId="77777777" w:rsidR="006F48F9" w:rsidRPr="008669C3" w:rsidRDefault="006F48F9" w:rsidP="005D0BF5">
            <w:pPr>
              <w:jc w:val="center"/>
              <w:rPr>
                <w:color w:val="000000"/>
                <w:sz w:val="22"/>
              </w:rPr>
            </w:pPr>
            <w:r w:rsidRPr="008669C3">
              <w:rPr>
                <w:color w:val="000000"/>
                <w:sz w:val="22"/>
              </w:rPr>
              <w:t>(6)</w:t>
            </w:r>
          </w:p>
        </w:tc>
      </w:tr>
      <w:tr w:rsidR="006F48F9" w:rsidRPr="008669C3" w14:paraId="4325C3F2" w14:textId="77777777" w:rsidTr="005D0BF5">
        <w:trPr>
          <w:trHeight w:val="20"/>
        </w:trPr>
        <w:tc>
          <w:tcPr>
            <w:tcW w:w="1631" w:type="pct"/>
            <w:tcBorders>
              <w:top w:val="nil"/>
              <w:left w:val="nil"/>
              <w:bottom w:val="nil"/>
              <w:right w:val="nil"/>
            </w:tcBorders>
            <w:shd w:val="clear" w:color="auto" w:fill="auto"/>
            <w:noWrap/>
            <w:vAlign w:val="bottom"/>
            <w:hideMark/>
          </w:tcPr>
          <w:p w14:paraId="7D3FAD8D" w14:textId="77777777" w:rsidR="006F48F9" w:rsidRPr="008669C3" w:rsidRDefault="006F48F9" w:rsidP="005D0BF5">
            <w:pPr>
              <w:rPr>
                <w:color w:val="000000"/>
                <w:sz w:val="22"/>
              </w:rPr>
            </w:pPr>
            <w:r w:rsidRPr="008669C3">
              <w:rPr>
                <w:color w:val="000000"/>
                <w:sz w:val="22"/>
              </w:rPr>
              <w:t>CDS trading</w:t>
            </w:r>
          </w:p>
        </w:tc>
        <w:tc>
          <w:tcPr>
            <w:tcW w:w="525" w:type="pct"/>
            <w:tcBorders>
              <w:top w:val="nil"/>
              <w:left w:val="nil"/>
              <w:bottom w:val="nil"/>
              <w:right w:val="nil"/>
            </w:tcBorders>
            <w:shd w:val="clear" w:color="auto" w:fill="auto"/>
            <w:noWrap/>
            <w:vAlign w:val="bottom"/>
            <w:hideMark/>
          </w:tcPr>
          <w:p w14:paraId="0EF20358" w14:textId="77777777" w:rsidR="006F48F9" w:rsidRPr="008669C3" w:rsidRDefault="006F48F9" w:rsidP="005D0BF5">
            <w:pPr>
              <w:jc w:val="center"/>
              <w:rPr>
                <w:color w:val="000000"/>
                <w:sz w:val="22"/>
              </w:rPr>
            </w:pPr>
            <w:r w:rsidRPr="008669C3">
              <w:rPr>
                <w:color w:val="000000"/>
                <w:sz w:val="22"/>
              </w:rPr>
              <w:t>0.381</w:t>
            </w:r>
            <w:r w:rsidRPr="008669C3">
              <w:rPr>
                <w:color w:val="000000"/>
                <w:sz w:val="20"/>
              </w:rPr>
              <w:t>*</w:t>
            </w:r>
          </w:p>
        </w:tc>
        <w:tc>
          <w:tcPr>
            <w:tcW w:w="541" w:type="pct"/>
            <w:tcBorders>
              <w:top w:val="nil"/>
              <w:left w:val="nil"/>
              <w:bottom w:val="nil"/>
              <w:right w:val="nil"/>
            </w:tcBorders>
            <w:shd w:val="clear" w:color="auto" w:fill="auto"/>
            <w:noWrap/>
            <w:vAlign w:val="bottom"/>
            <w:hideMark/>
          </w:tcPr>
          <w:p w14:paraId="75770A07" w14:textId="77777777" w:rsidR="006F48F9" w:rsidRPr="008669C3" w:rsidRDefault="006F48F9" w:rsidP="005D0BF5">
            <w:pPr>
              <w:jc w:val="center"/>
              <w:rPr>
                <w:color w:val="000000"/>
                <w:sz w:val="22"/>
              </w:rPr>
            </w:pPr>
            <w:r w:rsidRPr="008669C3">
              <w:rPr>
                <w:color w:val="000000"/>
                <w:sz w:val="22"/>
              </w:rPr>
              <w:t>0.471</w:t>
            </w:r>
            <w:r w:rsidRPr="008669C3">
              <w:rPr>
                <w:color w:val="000000"/>
                <w:sz w:val="20"/>
              </w:rPr>
              <w:t>***</w:t>
            </w:r>
          </w:p>
        </w:tc>
        <w:tc>
          <w:tcPr>
            <w:tcW w:w="141" w:type="pct"/>
            <w:tcBorders>
              <w:top w:val="nil"/>
              <w:left w:val="nil"/>
              <w:bottom w:val="nil"/>
              <w:right w:val="nil"/>
            </w:tcBorders>
            <w:shd w:val="clear" w:color="auto" w:fill="auto"/>
            <w:noWrap/>
            <w:vAlign w:val="bottom"/>
            <w:hideMark/>
          </w:tcPr>
          <w:p w14:paraId="72C89E2F"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156963CB" w14:textId="77777777" w:rsidR="006F48F9" w:rsidRPr="008669C3" w:rsidRDefault="006F48F9" w:rsidP="005D0BF5">
            <w:pPr>
              <w:jc w:val="center"/>
              <w:rPr>
                <w:color w:val="000000"/>
                <w:sz w:val="22"/>
              </w:rPr>
            </w:pPr>
            <w:r w:rsidRPr="008669C3">
              <w:rPr>
                <w:color w:val="000000"/>
                <w:sz w:val="22"/>
              </w:rPr>
              <w:t>0.428</w:t>
            </w:r>
            <w:r w:rsidRPr="008669C3">
              <w:rPr>
                <w:color w:val="000000"/>
                <w:sz w:val="20"/>
              </w:rPr>
              <w:t>**</w:t>
            </w:r>
          </w:p>
        </w:tc>
        <w:tc>
          <w:tcPr>
            <w:tcW w:w="525" w:type="pct"/>
            <w:tcBorders>
              <w:top w:val="nil"/>
              <w:left w:val="nil"/>
              <w:bottom w:val="nil"/>
              <w:right w:val="nil"/>
            </w:tcBorders>
            <w:shd w:val="clear" w:color="auto" w:fill="auto"/>
            <w:noWrap/>
            <w:vAlign w:val="bottom"/>
            <w:hideMark/>
          </w:tcPr>
          <w:p w14:paraId="072619D2" w14:textId="77777777" w:rsidR="006F48F9" w:rsidRPr="008669C3" w:rsidRDefault="006F48F9" w:rsidP="005D0BF5">
            <w:pPr>
              <w:jc w:val="center"/>
              <w:rPr>
                <w:color w:val="000000"/>
                <w:sz w:val="22"/>
              </w:rPr>
            </w:pPr>
            <w:r w:rsidRPr="008669C3">
              <w:rPr>
                <w:color w:val="000000"/>
                <w:sz w:val="22"/>
              </w:rPr>
              <w:t>0.297</w:t>
            </w:r>
          </w:p>
        </w:tc>
        <w:tc>
          <w:tcPr>
            <w:tcW w:w="141" w:type="pct"/>
            <w:tcBorders>
              <w:top w:val="nil"/>
              <w:left w:val="nil"/>
              <w:bottom w:val="nil"/>
              <w:right w:val="nil"/>
            </w:tcBorders>
            <w:shd w:val="clear" w:color="auto" w:fill="auto"/>
            <w:noWrap/>
            <w:vAlign w:val="bottom"/>
            <w:hideMark/>
          </w:tcPr>
          <w:p w14:paraId="5BB9542B" w14:textId="77777777" w:rsidR="006F48F9" w:rsidRPr="008669C3" w:rsidRDefault="006F48F9" w:rsidP="005D0BF5">
            <w:pPr>
              <w:jc w:val="center"/>
              <w:rPr>
                <w:color w:val="000000"/>
                <w:sz w:val="22"/>
              </w:rPr>
            </w:pPr>
          </w:p>
        </w:tc>
        <w:tc>
          <w:tcPr>
            <w:tcW w:w="446" w:type="pct"/>
            <w:tcBorders>
              <w:top w:val="nil"/>
              <w:left w:val="nil"/>
              <w:bottom w:val="nil"/>
              <w:right w:val="nil"/>
            </w:tcBorders>
            <w:shd w:val="clear" w:color="auto" w:fill="auto"/>
            <w:noWrap/>
            <w:vAlign w:val="bottom"/>
            <w:hideMark/>
          </w:tcPr>
          <w:p w14:paraId="6FDEEF61" w14:textId="77777777" w:rsidR="006F48F9" w:rsidRPr="008669C3" w:rsidRDefault="006F48F9" w:rsidP="005D0BF5">
            <w:pPr>
              <w:jc w:val="center"/>
              <w:rPr>
                <w:color w:val="000000"/>
                <w:sz w:val="22"/>
              </w:rPr>
            </w:pPr>
            <w:r w:rsidRPr="008669C3">
              <w:rPr>
                <w:color w:val="000000"/>
                <w:sz w:val="22"/>
              </w:rPr>
              <w:t>0.300</w:t>
            </w:r>
            <w:r w:rsidRPr="008669C3">
              <w:rPr>
                <w:color w:val="000000"/>
                <w:sz w:val="20"/>
              </w:rPr>
              <w:t>**</w:t>
            </w:r>
          </w:p>
        </w:tc>
        <w:tc>
          <w:tcPr>
            <w:tcW w:w="525" w:type="pct"/>
            <w:tcBorders>
              <w:top w:val="nil"/>
              <w:left w:val="nil"/>
              <w:bottom w:val="nil"/>
              <w:right w:val="nil"/>
            </w:tcBorders>
            <w:shd w:val="clear" w:color="auto" w:fill="auto"/>
            <w:noWrap/>
            <w:vAlign w:val="bottom"/>
            <w:hideMark/>
          </w:tcPr>
          <w:p w14:paraId="56923C72" w14:textId="15E1DD0B" w:rsidR="006F48F9" w:rsidRPr="008669C3" w:rsidRDefault="006F48F9" w:rsidP="007353CF">
            <w:pPr>
              <w:jc w:val="center"/>
              <w:rPr>
                <w:color w:val="000000"/>
                <w:sz w:val="22"/>
              </w:rPr>
            </w:pPr>
            <w:r w:rsidRPr="008669C3">
              <w:rPr>
                <w:color w:val="000000"/>
                <w:sz w:val="22"/>
              </w:rPr>
              <w:t>0.2</w:t>
            </w:r>
            <w:r w:rsidR="007353CF" w:rsidRPr="008669C3">
              <w:rPr>
                <w:color w:val="000000"/>
                <w:sz w:val="22"/>
              </w:rPr>
              <w:t>3</w:t>
            </w:r>
            <w:r w:rsidRPr="008669C3">
              <w:rPr>
                <w:color w:val="000000"/>
                <w:sz w:val="22"/>
              </w:rPr>
              <w:t>5</w:t>
            </w:r>
            <w:r w:rsidR="007353CF" w:rsidRPr="008669C3">
              <w:rPr>
                <w:color w:val="000000"/>
                <w:sz w:val="20"/>
              </w:rPr>
              <w:t>*</w:t>
            </w:r>
          </w:p>
        </w:tc>
      </w:tr>
      <w:tr w:rsidR="006F48F9" w:rsidRPr="008669C3" w14:paraId="16D8D7AB" w14:textId="77777777" w:rsidTr="005D0BF5">
        <w:trPr>
          <w:trHeight w:val="20"/>
        </w:trPr>
        <w:tc>
          <w:tcPr>
            <w:tcW w:w="1631" w:type="pct"/>
            <w:tcBorders>
              <w:top w:val="nil"/>
              <w:left w:val="nil"/>
              <w:bottom w:val="nil"/>
              <w:right w:val="nil"/>
            </w:tcBorders>
            <w:shd w:val="clear" w:color="auto" w:fill="auto"/>
            <w:noWrap/>
            <w:vAlign w:val="bottom"/>
            <w:hideMark/>
          </w:tcPr>
          <w:p w14:paraId="1ADAEF49"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5C1A8B39" w14:textId="77777777" w:rsidR="006F48F9" w:rsidRPr="008669C3" w:rsidRDefault="006F48F9" w:rsidP="005D0BF5">
            <w:pPr>
              <w:jc w:val="center"/>
              <w:rPr>
                <w:color w:val="000000"/>
                <w:sz w:val="22"/>
              </w:rPr>
            </w:pPr>
            <w:r w:rsidRPr="008669C3">
              <w:rPr>
                <w:color w:val="000000"/>
                <w:sz w:val="22"/>
              </w:rPr>
              <w:t>(0.208)</w:t>
            </w:r>
          </w:p>
        </w:tc>
        <w:tc>
          <w:tcPr>
            <w:tcW w:w="541" w:type="pct"/>
            <w:tcBorders>
              <w:top w:val="nil"/>
              <w:left w:val="nil"/>
              <w:bottom w:val="nil"/>
              <w:right w:val="nil"/>
            </w:tcBorders>
            <w:shd w:val="clear" w:color="auto" w:fill="auto"/>
            <w:noWrap/>
            <w:vAlign w:val="bottom"/>
            <w:hideMark/>
          </w:tcPr>
          <w:p w14:paraId="015C0365" w14:textId="77777777" w:rsidR="006F48F9" w:rsidRPr="008669C3" w:rsidRDefault="006F48F9" w:rsidP="005D0BF5">
            <w:pPr>
              <w:jc w:val="center"/>
              <w:rPr>
                <w:color w:val="000000"/>
                <w:sz w:val="22"/>
              </w:rPr>
            </w:pPr>
            <w:r w:rsidRPr="008669C3">
              <w:rPr>
                <w:color w:val="000000"/>
                <w:sz w:val="22"/>
              </w:rPr>
              <w:t>(0.157)</w:t>
            </w:r>
          </w:p>
        </w:tc>
        <w:tc>
          <w:tcPr>
            <w:tcW w:w="141" w:type="pct"/>
            <w:tcBorders>
              <w:top w:val="nil"/>
              <w:left w:val="nil"/>
              <w:bottom w:val="nil"/>
              <w:right w:val="nil"/>
            </w:tcBorders>
            <w:shd w:val="clear" w:color="auto" w:fill="auto"/>
            <w:noWrap/>
            <w:vAlign w:val="bottom"/>
            <w:hideMark/>
          </w:tcPr>
          <w:p w14:paraId="41FAEC91"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52525D54" w14:textId="77777777" w:rsidR="006F48F9" w:rsidRPr="008669C3" w:rsidRDefault="006F48F9" w:rsidP="005D0BF5">
            <w:pPr>
              <w:jc w:val="center"/>
              <w:rPr>
                <w:color w:val="000000"/>
                <w:sz w:val="22"/>
              </w:rPr>
            </w:pPr>
            <w:r w:rsidRPr="008669C3">
              <w:rPr>
                <w:color w:val="000000"/>
                <w:sz w:val="22"/>
              </w:rPr>
              <w:t>(0.209)</w:t>
            </w:r>
          </w:p>
        </w:tc>
        <w:tc>
          <w:tcPr>
            <w:tcW w:w="525" w:type="pct"/>
            <w:tcBorders>
              <w:top w:val="nil"/>
              <w:left w:val="nil"/>
              <w:bottom w:val="nil"/>
              <w:right w:val="nil"/>
            </w:tcBorders>
            <w:shd w:val="clear" w:color="auto" w:fill="auto"/>
            <w:noWrap/>
            <w:vAlign w:val="bottom"/>
            <w:hideMark/>
          </w:tcPr>
          <w:p w14:paraId="3CD33EFA" w14:textId="77777777" w:rsidR="006F48F9" w:rsidRPr="008669C3" w:rsidRDefault="006F48F9" w:rsidP="005D0BF5">
            <w:pPr>
              <w:jc w:val="center"/>
              <w:rPr>
                <w:color w:val="000000"/>
                <w:sz w:val="22"/>
              </w:rPr>
            </w:pPr>
            <w:r w:rsidRPr="008669C3">
              <w:rPr>
                <w:color w:val="000000"/>
                <w:sz w:val="22"/>
              </w:rPr>
              <w:t>(0.208)</w:t>
            </w:r>
          </w:p>
        </w:tc>
        <w:tc>
          <w:tcPr>
            <w:tcW w:w="141" w:type="pct"/>
            <w:tcBorders>
              <w:top w:val="nil"/>
              <w:left w:val="nil"/>
              <w:bottom w:val="nil"/>
              <w:right w:val="nil"/>
            </w:tcBorders>
            <w:shd w:val="clear" w:color="auto" w:fill="auto"/>
            <w:noWrap/>
            <w:vAlign w:val="bottom"/>
            <w:hideMark/>
          </w:tcPr>
          <w:p w14:paraId="0F23C009" w14:textId="77777777" w:rsidR="006F48F9" w:rsidRPr="008669C3" w:rsidRDefault="006F48F9" w:rsidP="005D0BF5">
            <w:pPr>
              <w:jc w:val="center"/>
              <w:rPr>
                <w:color w:val="000000"/>
                <w:sz w:val="22"/>
              </w:rPr>
            </w:pPr>
          </w:p>
        </w:tc>
        <w:tc>
          <w:tcPr>
            <w:tcW w:w="446" w:type="pct"/>
            <w:tcBorders>
              <w:top w:val="nil"/>
              <w:left w:val="nil"/>
              <w:bottom w:val="nil"/>
              <w:right w:val="nil"/>
            </w:tcBorders>
            <w:shd w:val="clear" w:color="auto" w:fill="auto"/>
            <w:noWrap/>
            <w:vAlign w:val="bottom"/>
            <w:hideMark/>
          </w:tcPr>
          <w:p w14:paraId="698ACA1F" w14:textId="77777777" w:rsidR="006F48F9" w:rsidRPr="008669C3" w:rsidRDefault="006F48F9" w:rsidP="005D0BF5">
            <w:pPr>
              <w:jc w:val="center"/>
              <w:rPr>
                <w:color w:val="000000"/>
                <w:sz w:val="22"/>
              </w:rPr>
            </w:pPr>
            <w:r w:rsidRPr="008669C3">
              <w:rPr>
                <w:color w:val="000000"/>
                <w:sz w:val="22"/>
              </w:rPr>
              <w:t>(0.151)</w:t>
            </w:r>
          </w:p>
        </w:tc>
        <w:tc>
          <w:tcPr>
            <w:tcW w:w="525" w:type="pct"/>
            <w:tcBorders>
              <w:top w:val="nil"/>
              <w:left w:val="nil"/>
              <w:bottom w:val="nil"/>
              <w:right w:val="nil"/>
            </w:tcBorders>
            <w:shd w:val="clear" w:color="auto" w:fill="auto"/>
            <w:noWrap/>
            <w:vAlign w:val="bottom"/>
            <w:hideMark/>
          </w:tcPr>
          <w:p w14:paraId="0C78F197" w14:textId="73F8196F" w:rsidR="006F48F9" w:rsidRPr="008669C3" w:rsidRDefault="006F48F9" w:rsidP="007353CF">
            <w:pPr>
              <w:jc w:val="center"/>
              <w:rPr>
                <w:color w:val="000000"/>
                <w:sz w:val="22"/>
              </w:rPr>
            </w:pPr>
            <w:r w:rsidRPr="008669C3">
              <w:rPr>
                <w:color w:val="000000"/>
                <w:sz w:val="22"/>
              </w:rPr>
              <w:t>(0.1</w:t>
            </w:r>
            <w:r w:rsidR="007353CF" w:rsidRPr="008669C3">
              <w:rPr>
                <w:color w:val="000000"/>
                <w:sz w:val="22"/>
              </w:rPr>
              <w:t>3</w:t>
            </w:r>
            <w:r w:rsidRPr="008669C3">
              <w:rPr>
                <w:color w:val="000000"/>
                <w:sz w:val="22"/>
              </w:rPr>
              <w:t>0)</w:t>
            </w:r>
          </w:p>
        </w:tc>
      </w:tr>
      <w:tr w:rsidR="006F48F9" w:rsidRPr="008669C3" w14:paraId="658BC11A" w14:textId="77777777" w:rsidTr="005D0BF5">
        <w:trPr>
          <w:trHeight w:val="20"/>
        </w:trPr>
        <w:tc>
          <w:tcPr>
            <w:tcW w:w="1631" w:type="pct"/>
            <w:tcBorders>
              <w:top w:val="nil"/>
              <w:left w:val="nil"/>
              <w:bottom w:val="nil"/>
              <w:right w:val="nil"/>
            </w:tcBorders>
            <w:shd w:val="clear" w:color="auto" w:fill="auto"/>
            <w:noWrap/>
            <w:vAlign w:val="bottom"/>
            <w:hideMark/>
          </w:tcPr>
          <w:p w14:paraId="17D67C3D" w14:textId="77777777" w:rsidR="006F48F9" w:rsidRPr="008669C3" w:rsidRDefault="006F48F9" w:rsidP="005D0BF5">
            <w:pPr>
              <w:rPr>
                <w:color w:val="000000"/>
                <w:sz w:val="22"/>
              </w:rPr>
            </w:pPr>
            <w:r w:rsidRPr="008669C3">
              <w:rPr>
                <w:color w:val="000000"/>
                <w:sz w:val="22"/>
              </w:rPr>
              <w:t>CDS trading × Number of segments</w:t>
            </w:r>
          </w:p>
        </w:tc>
        <w:tc>
          <w:tcPr>
            <w:tcW w:w="525" w:type="pct"/>
            <w:tcBorders>
              <w:top w:val="nil"/>
              <w:left w:val="nil"/>
              <w:bottom w:val="nil"/>
              <w:right w:val="nil"/>
            </w:tcBorders>
            <w:shd w:val="clear" w:color="auto" w:fill="auto"/>
            <w:noWrap/>
            <w:vAlign w:val="bottom"/>
            <w:hideMark/>
          </w:tcPr>
          <w:p w14:paraId="1A68DDB8" w14:textId="77777777" w:rsidR="006F48F9" w:rsidRPr="008669C3" w:rsidRDefault="006F48F9" w:rsidP="005D0BF5">
            <w:pPr>
              <w:jc w:val="center"/>
              <w:rPr>
                <w:color w:val="000000"/>
                <w:sz w:val="22"/>
              </w:rPr>
            </w:pPr>
            <w:r w:rsidRPr="008669C3">
              <w:rPr>
                <w:iCs/>
                <w:sz w:val="22"/>
              </w:rPr>
              <w:t>—</w:t>
            </w:r>
          </w:p>
        </w:tc>
        <w:tc>
          <w:tcPr>
            <w:tcW w:w="541" w:type="pct"/>
            <w:tcBorders>
              <w:top w:val="nil"/>
              <w:left w:val="nil"/>
              <w:bottom w:val="nil"/>
              <w:right w:val="nil"/>
            </w:tcBorders>
            <w:shd w:val="clear" w:color="auto" w:fill="auto"/>
            <w:noWrap/>
            <w:vAlign w:val="bottom"/>
            <w:hideMark/>
          </w:tcPr>
          <w:p w14:paraId="440EA01A" w14:textId="77777777" w:rsidR="006F48F9" w:rsidRPr="008669C3" w:rsidRDefault="006F48F9" w:rsidP="005D0BF5">
            <w:pPr>
              <w:jc w:val="center"/>
              <w:rPr>
                <w:sz w:val="22"/>
                <w:szCs w:val="20"/>
              </w:rPr>
            </w:pPr>
            <w:r w:rsidRPr="008669C3">
              <w:rPr>
                <w:iCs/>
                <w:sz w:val="22"/>
              </w:rPr>
              <w:t>—</w:t>
            </w:r>
          </w:p>
        </w:tc>
        <w:tc>
          <w:tcPr>
            <w:tcW w:w="141" w:type="pct"/>
            <w:tcBorders>
              <w:top w:val="nil"/>
              <w:left w:val="nil"/>
              <w:bottom w:val="nil"/>
              <w:right w:val="nil"/>
            </w:tcBorders>
            <w:shd w:val="clear" w:color="auto" w:fill="auto"/>
            <w:noWrap/>
            <w:vAlign w:val="bottom"/>
            <w:hideMark/>
          </w:tcPr>
          <w:p w14:paraId="0020F17F"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0ADD45C5" w14:textId="77777777" w:rsidR="006F48F9" w:rsidRPr="008669C3" w:rsidRDefault="006F48F9" w:rsidP="005D0BF5">
            <w:pPr>
              <w:jc w:val="center"/>
              <w:rPr>
                <w:color w:val="000000"/>
                <w:sz w:val="22"/>
              </w:rPr>
            </w:pPr>
            <w:r w:rsidRPr="008669C3">
              <w:rPr>
                <w:iCs/>
                <w:sz w:val="22"/>
              </w:rPr>
              <w:t>—</w:t>
            </w:r>
          </w:p>
        </w:tc>
        <w:tc>
          <w:tcPr>
            <w:tcW w:w="525" w:type="pct"/>
            <w:tcBorders>
              <w:top w:val="nil"/>
              <w:left w:val="nil"/>
              <w:bottom w:val="nil"/>
              <w:right w:val="nil"/>
            </w:tcBorders>
            <w:shd w:val="clear" w:color="auto" w:fill="auto"/>
            <w:noWrap/>
            <w:vAlign w:val="bottom"/>
            <w:hideMark/>
          </w:tcPr>
          <w:p w14:paraId="65CA459F" w14:textId="77777777" w:rsidR="006F48F9" w:rsidRPr="008669C3" w:rsidRDefault="006F48F9" w:rsidP="005D0BF5">
            <w:pPr>
              <w:jc w:val="center"/>
              <w:rPr>
                <w:sz w:val="22"/>
                <w:szCs w:val="20"/>
              </w:rPr>
            </w:pPr>
            <w:r w:rsidRPr="008669C3">
              <w:rPr>
                <w:iCs/>
                <w:sz w:val="22"/>
              </w:rPr>
              <w:t>—</w:t>
            </w:r>
          </w:p>
        </w:tc>
        <w:tc>
          <w:tcPr>
            <w:tcW w:w="141" w:type="pct"/>
            <w:tcBorders>
              <w:top w:val="nil"/>
              <w:left w:val="nil"/>
              <w:bottom w:val="nil"/>
              <w:right w:val="nil"/>
            </w:tcBorders>
            <w:shd w:val="clear" w:color="auto" w:fill="auto"/>
            <w:noWrap/>
            <w:vAlign w:val="bottom"/>
            <w:hideMark/>
          </w:tcPr>
          <w:p w14:paraId="1BDDCFAD" w14:textId="77777777" w:rsidR="006F48F9" w:rsidRPr="008669C3" w:rsidRDefault="006F48F9" w:rsidP="005D0BF5">
            <w:pPr>
              <w:jc w:val="center"/>
              <w:rPr>
                <w:sz w:val="22"/>
                <w:szCs w:val="20"/>
              </w:rPr>
            </w:pPr>
          </w:p>
        </w:tc>
        <w:tc>
          <w:tcPr>
            <w:tcW w:w="446" w:type="pct"/>
            <w:tcBorders>
              <w:top w:val="nil"/>
              <w:left w:val="nil"/>
              <w:bottom w:val="nil"/>
              <w:right w:val="nil"/>
            </w:tcBorders>
            <w:shd w:val="clear" w:color="auto" w:fill="auto"/>
            <w:noWrap/>
            <w:vAlign w:val="bottom"/>
            <w:hideMark/>
          </w:tcPr>
          <w:p w14:paraId="2774F21F" w14:textId="77777777" w:rsidR="006F48F9" w:rsidRPr="008669C3" w:rsidRDefault="006F48F9" w:rsidP="005D0BF5">
            <w:pPr>
              <w:jc w:val="center"/>
              <w:rPr>
                <w:color w:val="000000"/>
                <w:sz w:val="22"/>
              </w:rPr>
            </w:pPr>
            <w:r w:rsidRPr="008669C3">
              <w:rPr>
                <w:color w:val="000000"/>
                <w:sz w:val="22"/>
              </w:rPr>
              <w:t>0.064</w:t>
            </w:r>
          </w:p>
        </w:tc>
        <w:tc>
          <w:tcPr>
            <w:tcW w:w="525" w:type="pct"/>
            <w:tcBorders>
              <w:top w:val="nil"/>
              <w:left w:val="nil"/>
              <w:bottom w:val="nil"/>
              <w:right w:val="nil"/>
            </w:tcBorders>
            <w:shd w:val="clear" w:color="auto" w:fill="auto"/>
            <w:noWrap/>
            <w:vAlign w:val="bottom"/>
            <w:hideMark/>
          </w:tcPr>
          <w:p w14:paraId="4C7953AC" w14:textId="77777777" w:rsidR="006F48F9" w:rsidRPr="008669C3" w:rsidRDefault="006F48F9" w:rsidP="005D0BF5">
            <w:pPr>
              <w:jc w:val="center"/>
              <w:rPr>
                <w:color w:val="000000"/>
                <w:sz w:val="22"/>
              </w:rPr>
            </w:pPr>
            <w:r w:rsidRPr="008669C3">
              <w:rPr>
                <w:color w:val="000000"/>
                <w:sz w:val="22"/>
              </w:rPr>
              <w:t>0.068</w:t>
            </w:r>
          </w:p>
        </w:tc>
      </w:tr>
      <w:tr w:rsidR="006F48F9" w:rsidRPr="008669C3" w14:paraId="0CFE8465" w14:textId="77777777" w:rsidTr="005D0BF5">
        <w:trPr>
          <w:trHeight w:val="20"/>
        </w:trPr>
        <w:tc>
          <w:tcPr>
            <w:tcW w:w="1631" w:type="pct"/>
            <w:tcBorders>
              <w:top w:val="nil"/>
              <w:left w:val="nil"/>
              <w:bottom w:val="nil"/>
              <w:right w:val="nil"/>
            </w:tcBorders>
            <w:shd w:val="clear" w:color="auto" w:fill="auto"/>
            <w:noWrap/>
            <w:vAlign w:val="bottom"/>
            <w:hideMark/>
          </w:tcPr>
          <w:p w14:paraId="3D7BF78F"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57D4FF1E" w14:textId="77777777" w:rsidR="006F48F9" w:rsidRPr="008669C3" w:rsidRDefault="006F48F9" w:rsidP="005D0BF5">
            <w:pPr>
              <w:rPr>
                <w:sz w:val="22"/>
                <w:szCs w:val="20"/>
              </w:rPr>
            </w:pPr>
          </w:p>
        </w:tc>
        <w:tc>
          <w:tcPr>
            <w:tcW w:w="541" w:type="pct"/>
            <w:tcBorders>
              <w:top w:val="nil"/>
              <w:left w:val="nil"/>
              <w:bottom w:val="nil"/>
              <w:right w:val="nil"/>
            </w:tcBorders>
            <w:shd w:val="clear" w:color="auto" w:fill="auto"/>
            <w:noWrap/>
            <w:vAlign w:val="bottom"/>
            <w:hideMark/>
          </w:tcPr>
          <w:p w14:paraId="214BF765" w14:textId="77777777" w:rsidR="006F48F9" w:rsidRPr="008669C3" w:rsidRDefault="006F48F9" w:rsidP="005D0BF5">
            <w:pPr>
              <w:jc w:val="center"/>
              <w:rPr>
                <w:sz w:val="22"/>
                <w:szCs w:val="20"/>
              </w:rPr>
            </w:pPr>
          </w:p>
        </w:tc>
        <w:tc>
          <w:tcPr>
            <w:tcW w:w="141" w:type="pct"/>
            <w:tcBorders>
              <w:top w:val="nil"/>
              <w:left w:val="nil"/>
              <w:bottom w:val="nil"/>
              <w:right w:val="nil"/>
            </w:tcBorders>
            <w:shd w:val="clear" w:color="auto" w:fill="auto"/>
            <w:noWrap/>
            <w:vAlign w:val="bottom"/>
            <w:hideMark/>
          </w:tcPr>
          <w:p w14:paraId="7A5E9AD4"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1A66BF9D"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72D1A29A" w14:textId="77777777" w:rsidR="006F48F9" w:rsidRPr="008669C3" w:rsidRDefault="006F48F9" w:rsidP="005D0BF5">
            <w:pPr>
              <w:jc w:val="center"/>
              <w:rPr>
                <w:sz w:val="22"/>
                <w:szCs w:val="20"/>
              </w:rPr>
            </w:pPr>
          </w:p>
        </w:tc>
        <w:tc>
          <w:tcPr>
            <w:tcW w:w="141" w:type="pct"/>
            <w:tcBorders>
              <w:top w:val="nil"/>
              <w:left w:val="nil"/>
              <w:bottom w:val="nil"/>
              <w:right w:val="nil"/>
            </w:tcBorders>
            <w:shd w:val="clear" w:color="auto" w:fill="auto"/>
            <w:noWrap/>
            <w:vAlign w:val="bottom"/>
            <w:hideMark/>
          </w:tcPr>
          <w:p w14:paraId="6F57F377" w14:textId="77777777" w:rsidR="006F48F9" w:rsidRPr="008669C3" w:rsidRDefault="006F48F9" w:rsidP="005D0BF5">
            <w:pPr>
              <w:jc w:val="center"/>
              <w:rPr>
                <w:sz w:val="22"/>
                <w:szCs w:val="20"/>
              </w:rPr>
            </w:pPr>
          </w:p>
        </w:tc>
        <w:tc>
          <w:tcPr>
            <w:tcW w:w="446" w:type="pct"/>
            <w:tcBorders>
              <w:top w:val="nil"/>
              <w:left w:val="nil"/>
              <w:bottom w:val="nil"/>
              <w:right w:val="nil"/>
            </w:tcBorders>
            <w:shd w:val="clear" w:color="auto" w:fill="auto"/>
            <w:noWrap/>
            <w:vAlign w:val="bottom"/>
            <w:hideMark/>
          </w:tcPr>
          <w:p w14:paraId="1C241072" w14:textId="77777777" w:rsidR="006F48F9" w:rsidRPr="008669C3" w:rsidRDefault="006F48F9" w:rsidP="005D0BF5">
            <w:pPr>
              <w:jc w:val="center"/>
              <w:rPr>
                <w:color w:val="000000"/>
                <w:sz w:val="22"/>
              </w:rPr>
            </w:pPr>
            <w:r w:rsidRPr="008669C3">
              <w:rPr>
                <w:color w:val="000000"/>
                <w:sz w:val="22"/>
              </w:rPr>
              <w:t>(0.049)</w:t>
            </w:r>
          </w:p>
        </w:tc>
        <w:tc>
          <w:tcPr>
            <w:tcW w:w="525" w:type="pct"/>
            <w:tcBorders>
              <w:top w:val="nil"/>
              <w:left w:val="nil"/>
              <w:bottom w:val="nil"/>
              <w:right w:val="nil"/>
            </w:tcBorders>
            <w:shd w:val="clear" w:color="auto" w:fill="auto"/>
            <w:noWrap/>
            <w:vAlign w:val="bottom"/>
            <w:hideMark/>
          </w:tcPr>
          <w:p w14:paraId="2E97B4C4" w14:textId="77777777" w:rsidR="006F48F9" w:rsidRPr="008669C3" w:rsidRDefault="006F48F9" w:rsidP="005D0BF5">
            <w:pPr>
              <w:jc w:val="center"/>
              <w:rPr>
                <w:color w:val="000000"/>
                <w:sz w:val="22"/>
              </w:rPr>
            </w:pPr>
            <w:r w:rsidRPr="008669C3">
              <w:rPr>
                <w:color w:val="000000"/>
                <w:sz w:val="22"/>
              </w:rPr>
              <w:t>(0.052)</w:t>
            </w:r>
          </w:p>
        </w:tc>
      </w:tr>
      <w:tr w:rsidR="006F48F9" w:rsidRPr="008669C3" w14:paraId="08F42C39" w14:textId="77777777" w:rsidTr="005D0BF5">
        <w:trPr>
          <w:trHeight w:val="20"/>
        </w:trPr>
        <w:tc>
          <w:tcPr>
            <w:tcW w:w="1631" w:type="pct"/>
            <w:tcBorders>
              <w:top w:val="nil"/>
              <w:left w:val="nil"/>
              <w:bottom w:val="nil"/>
              <w:right w:val="nil"/>
            </w:tcBorders>
            <w:shd w:val="clear" w:color="auto" w:fill="auto"/>
            <w:noWrap/>
            <w:vAlign w:val="bottom"/>
            <w:hideMark/>
          </w:tcPr>
          <w:p w14:paraId="1B29CB38" w14:textId="77777777" w:rsidR="006F48F9" w:rsidRPr="008669C3" w:rsidRDefault="006F48F9" w:rsidP="005D0BF5">
            <w:pPr>
              <w:rPr>
                <w:color w:val="000000"/>
                <w:sz w:val="22"/>
              </w:rPr>
            </w:pPr>
            <w:r w:rsidRPr="008669C3">
              <w:rPr>
                <w:color w:val="000000"/>
                <w:sz w:val="22"/>
              </w:rPr>
              <w:t>Number of segments</w:t>
            </w:r>
          </w:p>
        </w:tc>
        <w:tc>
          <w:tcPr>
            <w:tcW w:w="525" w:type="pct"/>
            <w:tcBorders>
              <w:top w:val="nil"/>
              <w:left w:val="nil"/>
              <w:bottom w:val="nil"/>
              <w:right w:val="nil"/>
            </w:tcBorders>
            <w:shd w:val="clear" w:color="auto" w:fill="auto"/>
            <w:noWrap/>
            <w:vAlign w:val="bottom"/>
            <w:hideMark/>
          </w:tcPr>
          <w:p w14:paraId="2D65E37C" w14:textId="77777777" w:rsidR="006F48F9" w:rsidRPr="008669C3" w:rsidRDefault="006F48F9" w:rsidP="005D0BF5">
            <w:pPr>
              <w:jc w:val="center"/>
              <w:rPr>
                <w:color w:val="000000"/>
                <w:sz w:val="22"/>
              </w:rPr>
            </w:pPr>
            <w:r w:rsidRPr="008669C3">
              <w:rPr>
                <w:color w:val="000000"/>
                <w:sz w:val="22"/>
              </w:rPr>
              <w:t>0.001</w:t>
            </w:r>
          </w:p>
        </w:tc>
        <w:tc>
          <w:tcPr>
            <w:tcW w:w="541" w:type="pct"/>
            <w:tcBorders>
              <w:top w:val="nil"/>
              <w:left w:val="nil"/>
              <w:bottom w:val="nil"/>
              <w:right w:val="nil"/>
            </w:tcBorders>
            <w:shd w:val="clear" w:color="auto" w:fill="auto"/>
            <w:noWrap/>
            <w:vAlign w:val="bottom"/>
            <w:hideMark/>
          </w:tcPr>
          <w:p w14:paraId="38D4D21B" w14:textId="77777777" w:rsidR="006F48F9" w:rsidRPr="008669C3" w:rsidRDefault="006F48F9" w:rsidP="005D0BF5">
            <w:pPr>
              <w:jc w:val="center"/>
              <w:rPr>
                <w:color w:val="000000"/>
                <w:sz w:val="22"/>
              </w:rPr>
            </w:pPr>
            <w:r w:rsidRPr="008669C3">
              <w:rPr>
                <w:color w:val="000000"/>
                <w:sz w:val="22"/>
              </w:rPr>
              <w:t>-0.003</w:t>
            </w:r>
          </w:p>
        </w:tc>
        <w:tc>
          <w:tcPr>
            <w:tcW w:w="141" w:type="pct"/>
            <w:tcBorders>
              <w:top w:val="nil"/>
              <w:left w:val="nil"/>
              <w:bottom w:val="nil"/>
              <w:right w:val="nil"/>
            </w:tcBorders>
            <w:shd w:val="clear" w:color="auto" w:fill="auto"/>
            <w:noWrap/>
            <w:vAlign w:val="bottom"/>
            <w:hideMark/>
          </w:tcPr>
          <w:p w14:paraId="578D2947"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5D756FF8" w14:textId="77777777" w:rsidR="006F48F9" w:rsidRPr="008669C3" w:rsidRDefault="006F48F9" w:rsidP="005D0BF5">
            <w:pPr>
              <w:jc w:val="center"/>
              <w:rPr>
                <w:color w:val="000000"/>
                <w:sz w:val="22"/>
              </w:rPr>
            </w:pPr>
            <w:r w:rsidRPr="008669C3">
              <w:rPr>
                <w:color w:val="000000"/>
                <w:sz w:val="22"/>
              </w:rPr>
              <w:t>0.142</w:t>
            </w:r>
            <w:r w:rsidRPr="008669C3">
              <w:rPr>
                <w:color w:val="000000"/>
                <w:sz w:val="20"/>
              </w:rPr>
              <w:t>*</w:t>
            </w:r>
          </w:p>
        </w:tc>
        <w:tc>
          <w:tcPr>
            <w:tcW w:w="525" w:type="pct"/>
            <w:tcBorders>
              <w:top w:val="nil"/>
              <w:left w:val="nil"/>
              <w:bottom w:val="nil"/>
              <w:right w:val="nil"/>
            </w:tcBorders>
            <w:shd w:val="clear" w:color="auto" w:fill="auto"/>
            <w:noWrap/>
            <w:vAlign w:val="bottom"/>
            <w:hideMark/>
          </w:tcPr>
          <w:p w14:paraId="7D555B80" w14:textId="77777777" w:rsidR="006F48F9" w:rsidRPr="008669C3" w:rsidRDefault="006F48F9" w:rsidP="005D0BF5">
            <w:pPr>
              <w:jc w:val="center"/>
              <w:rPr>
                <w:color w:val="000000"/>
                <w:sz w:val="22"/>
              </w:rPr>
            </w:pPr>
            <w:r w:rsidRPr="008669C3">
              <w:rPr>
                <w:color w:val="000000"/>
                <w:sz w:val="22"/>
              </w:rPr>
              <w:t>0.102</w:t>
            </w:r>
          </w:p>
        </w:tc>
        <w:tc>
          <w:tcPr>
            <w:tcW w:w="141" w:type="pct"/>
            <w:tcBorders>
              <w:top w:val="nil"/>
              <w:left w:val="nil"/>
              <w:bottom w:val="nil"/>
              <w:right w:val="nil"/>
            </w:tcBorders>
            <w:shd w:val="clear" w:color="auto" w:fill="auto"/>
            <w:noWrap/>
            <w:vAlign w:val="bottom"/>
            <w:hideMark/>
          </w:tcPr>
          <w:p w14:paraId="4EA4389B" w14:textId="77777777" w:rsidR="006F48F9" w:rsidRPr="008669C3" w:rsidRDefault="006F48F9" w:rsidP="005D0BF5">
            <w:pPr>
              <w:jc w:val="center"/>
              <w:rPr>
                <w:color w:val="000000"/>
                <w:sz w:val="22"/>
              </w:rPr>
            </w:pPr>
          </w:p>
        </w:tc>
        <w:tc>
          <w:tcPr>
            <w:tcW w:w="446" w:type="pct"/>
            <w:tcBorders>
              <w:top w:val="nil"/>
              <w:left w:val="nil"/>
              <w:bottom w:val="nil"/>
              <w:right w:val="nil"/>
            </w:tcBorders>
            <w:shd w:val="clear" w:color="auto" w:fill="auto"/>
            <w:noWrap/>
            <w:vAlign w:val="bottom"/>
            <w:hideMark/>
          </w:tcPr>
          <w:p w14:paraId="0D1C7CEF" w14:textId="77777777" w:rsidR="006F48F9" w:rsidRPr="008669C3" w:rsidRDefault="006F48F9" w:rsidP="005D0BF5">
            <w:pPr>
              <w:jc w:val="center"/>
              <w:rPr>
                <w:color w:val="000000"/>
                <w:sz w:val="22"/>
              </w:rPr>
            </w:pPr>
            <w:r w:rsidRPr="008669C3">
              <w:rPr>
                <w:color w:val="000000"/>
                <w:sz w:val="22"/>
              </w:rPr>
              <w:t>-0.011</w:t>
            </w:r>
          </w:p>
        </w:tc>
        <w:tc>
          <w:tcPr>
            <w:tcW w:w="525" w:type="pct"/>
            <w:tcBorders>
              <w:top w:val="nil"/>
              <w:left w:val="nil"/>
              <w:bottom w:val="nil"/>
              <w:right w:val="nil"/>
            </w:tcBorders>
            <w:shd w:val="clear" w:color="auto" w:fill="auto"/>
            <w:noWrap/>
            <w:vAlign w:val="bottom"/>
            <w:hideMark/>
          </w:tcPr>
          <w:p w14:paraId="18F1A283" w14:textId="77777777" w:rsidR="006F48F9" w:rsidRPr="008669C3" w:rsidRDefault="006F48F9" w:rsidP="005D0BF5">
            <w:pPr>
              <w:jc w:val="center"/>
              <w:rPr>
                <w:color w:val="000000"/>
                <w:sz w:val="22"/>
              </w:rPr>
            </w:pPr>
            <w:r w:rsidRPr="008669C3">
              <w:rPr>
                <w:color w:val="000000"/>
                <w:sz w:val="22"/>
              </w:rPr>
              <w:t>-0.014</w:t>
            </w:r>
          </w:p>
        </w:tc>
      </w:tr>
      <w:tr w:rsidR="006F48F9" w:rsidRPr="008669C3" w14:paraId="18F08594" w14:textId="77777777" w:rsidTr="005D0BF5">
        <w:trPr>
          <w:trHeight w:val="20"/>
        </w:trPr>
        <w:tc>
          <w:tcPr>
            <w:tcW w:w="1631" w:type="pct"/>
            <w:tcBorders>
              <w:top w:val="nil"/>
              <w:left w:val="nil"/>
              <w:bottom w:val="single" w:sz="4" w:space="0" w:color="auto"/>
              <w:right w:val="nil"/>
            </w:tcBorders>
            <w:shd w:val="clear" w:color="auto" w:fill="auto"/>
            <w:noWrap/>
            <w:vAlign w:val="bottom"/>
            <w:hideMark/>
          </w:tcPr>
          <w:p w14:paraId="1A5135C4" w14:textId="77777777" w:rsidR="006F48F9" w:rsidRPr="008669C3" w:rsidRDefault="006F48F9" w:rsidP="005D0BF5">
            <w:pPr>
              <w:rPr>
                <w:color w:val="000000"/>
                <w:sz w:val="22"/>
              </w:rPr>
            </w:pPr>
            <w:r w:rsidRPr="008669C3">
              <w:rPr>
                <w:color w:val="000000"/>
                <w:sz w:val="22"/>
              </w:rPr>
              <w:t> </w:t>
            </w:r>
          </w:p>
        </w:tc>
        <w:tc>
          <w:tcPr>
            <w:tcW w:w="525" w:type="pct"/>
            <w:tcBorders>
              <w:top w:val="nil"/>
              <w:left w:val="nil"/>
              <w:bottom w:val="single" w:sz="4" w:space="0" w:color="auto"/>
              <w:right w:val="nil"/>
            </w:tcBorders>
            <w:shd w:val="clear" w:color="auto" w:fill="auto"/>
            <w:noWrap/>
            <w:vAlign w:val="bottom"/>
            <w:hideMark/>
          </w:tcPr>
          <w:p w14:paraId="38885661" w14:textId="77777777" w:rsidR="006F48F9" w:rsidRPr="008669C3" w:rsidRDefault="006F48F9" w:rsidP="005D0BF5">
            <w:pPr>
              <w:jc w:val="center"/>
              <w:rPr>
                <w:color w:val="000000"/>
                <w:sz w:val="22"/>
              </w:rPr>
            </w:pPr>
            <w:r w:rsidRPr="008669C3">
              <w:rPr>
                <w:color w:val="000000"/>
                <w:sz w:val="22"/>
              </w:rPr>
              <w:t>(0.021)</w:t>
            </w:r>
          </w:p>
        </w:tc>
        <w:tc>
          <w:tcPr>
            <w:tcW w:w="541" w:type="pct"/>
            <w:tcBorders>
              <w:top w:val="nil"/>
              <w:left w:val="nil"/>
              <w:bottom w:val="single" w:sz="4" w:space="0" w:color="auto"/>
              <w:right w:val="nil"/>
            </w:tcBorders>
            <w:shd w:val="clear" w:color="auto" w:fill="auto"/>
            <w:noWrap/>
            <w:vAlign w:val="bottom"/>
            <w:hideMark/>
          </w:tcPr>
          <w:p w14:paraId="6166873A" w14:textId="77777777" w:rsidR="006F48F9" w:rsidRPr="008669C3" w:rsidRDefault="006F48F9" w:rsidP="005D0BF5">
            <w:pPr>
              <w:jc w:val="center"/>
              <w:rPr>
                <w:color w:val="000000"/>
                <w:sz w:val="22"/>
              </w:rPr>
            </w:pPr>
            <w:r w:rsidRPr="008669C3">
              <w:rPr>
                <w:color w:val="000000"/>
                <w:sz w:val="22"/>
              </w:rPr>
              <w:t>(0.020)</w:t>
            </w:r>
          </w:p>
        </w:tc>
        <w:tc>
          <w:tcPr>
            <w:tcW w:w="141" w:type="pct"/>
            <w:tcBorders>
              <w:top w:val="nil"/>
              <w:left w:val="nil"/>
              <w:bottom w:val="single" w:sz="4" w:space="0" w:color="auto"/>
              <w:right w:val="nil"/>
            </w:tcBorders>
            <w:shd w:val="clear" w:color="auto" w:fill="auto"/>
            <w:noWrap/>
            <w:vAlign w:val="bottom"/>
            <w:hideMark/>
          </w:tcPr>
          <w:p w14:paraId="355E9A8E" w14:textId="77777777" w:rsidR="006F48F9" w:rsidRPr="008669C3" w:rsidRDefault="006F48F9" w:rsidP="005D0BF5">
            <w:pPr>
              <w:jc w:val="center"/>
              <w:rPr>
                <w:color w:val="000000"/>
                <w:sz w:val="22"/>
              </w:rPr>
            </w:pPr>
            <w:r w:rsidRPr="008669C3">
              <w:rPr>
                <w:color w:val="000000"/>
                <w:sz w:val="22"/>
              </w:rPr>
              <w:t> </w:t>
            </w:r>
          </w:p>
        </w:tc>
        <w:tc>
          <w:tcPr>
            <w:tcW w:w="525" w:type="pct"/>
            <w:tcBorders>
              <w:top w:val="nil"/>
              <w:left w:val="nil"/>
              <w:bottom w:val="single" w:sz="4" w:space="0" w:color="auto"/>
              <w:right w:val="nil"/>
            </w:tcBorders>
            <w:shd w:val="clear" w:color="auto" w:fill="auto"/>
            <w:noWrap/>
            <w:vAlign w:val="bottom"/>
            <w:hideMark/>
          </w:tcPr>
          <w:p w14:paraId="095C154D" w14:textId="77777777" w:rsidR="006F48F9" w:rsidRPr="008669C3" w:rsidRDefault="006F48F9" w:rsidP="005D0BF5">
            <w:pPr>
              <w:jc w:val="center"/>
              <w:rPr>
                <w:color w:val="000000"/>
                <w:sz w:val="22"/>
              </w:rPr>
            </w:pPr>
            <w:r w:rsidRPr="008669C3">
              <w:rPr>
                <w:color w:val="000000"/>
                <w:sz w:val="22"/>
              </w:rPr>
              <w:t>(0.081)</w:t>
            </w:r>
          </w:p>
        </w:tc>
        <w:tc>
          <w:tcPr>
            <w:tcW w:w="525" w:type="pct"/>
            <w:tcBorders>
              <w:top w:val="nil"/>
              <w:left w:val="nil"/>
              <w:bottom w:val="single" w:sz="4" w:space="0" w:color="auto"/>
              <w:right w:val="nil"/>
            </w:tcBorders>
            <w:shd w:val="clear" w:color="auto" w:fill="auto"/>
            <w:noWrap/>
            <w:vAlign w:val="bottom"/>
            <w:hideMark/>
          </w:tcPr>
          <w:p w14:paraId="2CA9EB0A" w14:textId="77777777" w:rsidR="006F48F9" w:rsidRPr="008669C3" w:rsidRDefault="006F48F9" w:rsidP="005D0BF5">
            <w:pPr>
              <w:jc w:val="center"/>
              <w:rPr>
                <w:color w:val="000000"/>
                <w:sz w:val="22"/>
              </w:rPr>
            </w:pPr>
            <w:r w:rsidRPr="008669C3">
              <w:rPr>
                <w:color w:val="000000"/>
                <w:sz w:val="22"/>
              </w:rPr>
              <w:t>(0.081)</w:t>
            </w:r>
          </w:p>
        </w:tc>
        <w:tc>
          <w:tcPr>
            <w:tcW w:w="141" w:type="pct"/>
            <w:tcBorders>
              <w:top w:val="nil"/>
              <w:left w:val="nil"/>
              <w:bottom w:val="single" w:sz="4" w:space="0" w:color="auto"/>
              <w:right w:val="nil"/>
            </w:tcBorders>
            <w:shd w:val="clear" w:color="auto" w:fill="auto"/>
            <w:noWrap/>
            <w:vAlign w:val="bottom"/>
            <w:hideMark/>
          </w:tcPr>
          <w:p w14:paraId="0DAA9DBA" w14:textId="77777777" w:rsidR="006F48F9" w:rsidRPr="008669C3" w:rsidRDefault="006F48F9" w:rsidP="005D0BF5">
            <w:pPr>
              <w:jc w:val="center"/>
              <w:rPr>
                <w:color w:val="000000"/>
                <w:sz w:val="22"/>
              </w:rPr>
            </w:pPr>
            <w:r w:rsidRPr="008669C3">
              <w:rPr>
                <w:color w:val="000000"/>
                <w:sz w:val="22"/>
              </w:rPr>
              <w:t> </w:t>
            </w:r>
          </w:p>
        </w:tc>
        <w:tc>
          <w:tcPr>
            <w:tcW w:w="446" w:type="pct"/>
            <w:tcBorders>
              <w:top w:val="nil"/>
              <w:left w:val="nil"/>
              <w:bottom w:val="single" w:sz="4" w:space="0" w:color="auto"/>
              <w:right w:val="nil"/>
            </w:tcBorders>
            <w:shd w:val="clear" w:color="auto" w:fill="auto"/>
            <w:noWrap/>
            <w:vAlign w:val="bottom"/>
            <w:hideMark/>
          </w:tcPr>
          <w:p w14:paraId="657199CC" w14:textId="77777777" w:rsidR="006F48F9" w:rsidRPr="008669C3" w:rsidRDefault="006F48F9" w:rsidP="005D0BF5">
            <w:pPr>
              <w:jc w:val="center"/>
              <w:rPr>
                <w:color w:val="000000"/>
                <w:sz w:val="22"/>
              </w:rPr>
            </w:pPr>
            <w:r w:rsidRPr="008669C3">
              <w:rPr>
                <w:color w:val="000000"/>
                <w:sz w:val="22"/>
              </w:rPr>
              <w:t>(0.016)</w:t>
            </w:r>
          </w:p>
        </w:tc>
        <w:tc>
          <w:tcPr>
            <w:tcW w:w="525" w:type="pct"/>
            <w:tcBorders>
              <w:top w:val="nil"/>
              <w:left w:val="nil"/>
              <w:bottom w:val="single" w:sz="4" w:space="0" w:color="auto"/>
              <w:right w:val="nil"/>
            </w:tcBorders>
            <w:shd w:val="clear" w:color="auto" w:fill="auto"/>
            <w:noWrap/>
            <w:vAlign w:val="bottom"/>
            <w:hideMark/>
          </w:tcPr>
          <w:p w14:paraId="52260DE9" w14:textId="77777777" w:rsidR="006F48F9" w:rsidRPr="008669C3" w:rsidRDefault="006F48F9" w:rsidP="005D0BF5">
            <w:pPr>
              <w:jc w:val="center"/>
              <w:rPr>
                <w:color w:val="000000"/>
                <w:sz w:val="22"/>
              </w:rPr>
            </w:pPr>
            <w:r w:rsidRPr="008669C3">
              <w:rPr>
                <w:color w:val="000000"/>
                <w:sz w:val="22"/>
              </w:rPr>
              <w:t>(0.014)</w:t>
            </w:r>
          </w:p>
        </w:tc>
      </w:tr>
      <w:tr w:rsidR="006F48F9" w:rsidRPr="008669C3" w14:paraId="0DAD0383" w14:textId="77777777" w:rsidTr="005D0BF5">
        <w:trPr>
          <w:trHeight w:val="20"/>
        </w:trPr>
        <w:tc>
          <w:tcPr>
            <w:tcW w:w="1631" w:type="pct"/>
            <w:tcBorders>
              <w:top w:val="nil"/>
              <w:left w:val="nil"/>
              <w:bottom w:val="nil"/>
              <w:right w:val="nil"/>
            </w:tcBorders>
            <w:shd w:val="clear" w:color="auto" w:fill="auto"/>
            <w:noWrap/>
            <w:vAlign w:val="bottom"/>
          </w:tcPr>
          <w:p w14:paraId="5E4141C0" w14:textId="77777777" w:rsidR="006F48F9" w:rsidRPr="008669C3" w:rsidRDefault="006F48F9" w:rsidP="005D0BF5">
            <w:pPr>
              <w:rPr>
                <w:color w:val="000000"/>
                <w:sz w:val="22"/>
              </w:rPr>
            </w:pPr>
            <w:r w:rsidRPr="008669C3">
              <w:rPr>
                <w:color w:val="000000"/>
                <w:sz w:val="22"/>
              </w:rPr>
              <w:t>All controls</w:t>
            </w:r>
          </w:p>
        </w:tc>
        <w:tc>
          <w:tcPr>
            <w:tcW w:w="525" w:type="pct"/>
            <w:tcBorders>
              <w:top w:val="nil"/>
              <w:left w:val="nil"/>
              <w:bottom w:val="nil"/>
              <w:right w:val="nil"/>
            </w:tcBorders>
            <w:shd w:val="clear" w:color="auto" w:fill="auto"/>
            <w:noWrap/>
            <w:vAlign w:val="bottom"/>
          </w:tcPr>
          <w:p w14:paraId="08844B6E" w14:textId="77777777" w:rsidR="006F48F9" w:rsidRPr="008669C3" w:rsidRDefault="006F48F9" w:rsidP="005D0BF5">
            <w:pPr>
              <w:jc w:val="center"/>
              <w:rPr>
                <w:color w:val="000000"/>
                <w:sz w:val="22"/>
              </w:rPr>
            </w:pPr>
            <w:r w:rsidRPr="008669C3">
              <w:rPr>
                <w:color w:val="000000"/>
                <w:sz w:val="22"/>
              </w:rPr>
              <w:t>Yes</w:t>
            </w:r>
          </w:p>
        </w:tc>
        <w:tc>
          <w:tcPr>
            <w:tcW w:w="541" w:type="pct"/>
            <w:tcBorders>
              <w:top w:val="nil"/>
              <w:left w:val="nil"/>
              <w:bottom w:val="nil"/>
              <w:right w:val="nil"/>
            </w:tcBorders>
            <w:shd w:val="clear" w:color="auto" w:fill="auto"/>
            <w:noWrap/>
            <w:vAlign w:val="bottom"/>
          </w:tcPr>
          <w:p w14:paraId="564E64EB" w14:textId="77777777" w:rsidR="006F48F9" w:rsidRPr="008669C3" w:rsidRDefault="006F48F9" w:rsidP="005D0BF5">
            <w:pPr>
              <w:jc w:val="center"/>
              <w:rPr>
                <w:color w:val="000000"/>
                <w:sz w:val="22"/>
              </w:rPr>
            </w:pPr>
            <w:r w:rsidRPr="008669C3">
              <w:rPr>
                <w:color w:val="000000"/>
                <w:sz w:val="22"/>
              </w:rPr>
              <w:t>Yes</w:t>
            </w:r>
          </w:p>
        </w:tc>
        <w:tc>
          <w:tcPr>
            <w:tcW w:w="141" w:type="pct"/>
            <w:tcBorders>
              <w:top w:val="nil"/>
              <w:left w:val="nil"/>
              <w:bottom w:val="nil"/>
              <w:right w:val="nil"/>
            </w:tcBorders>
            <w:shd w:val="clear" w:color="auto" w:fill="auto"/>
            <w:noWrap/>
            <w:vAlign w:val="bottom"/>
          </w:tcPr>
          <w:p w14:paraId="188280C9"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tcPr>
          <w:p w14:paraId="61936AB2" w14:textId="77777777" w:rsidR="006F48F9" w:rsidRPr="008669C3" w:rsidRDefault="006F48F9" w:rsidP="005D0BF5">
            <w:pPr>
              <w:jc w:val="center"/>
              <w:rPr>
                <w:color w:val="000000"/>
                <w:sz w:val="22"/>
              </w:rPr>
            </w:pPr>
            <w:r w:rsidRPr="008669C3">
              <w:rPr>
                <w:color w:val="000000"/>
                <w:sz w:val="22"/>
              </w:rPr>
              <w:t>Yes</w:t>
            </w:r>
          </w:p>
        </w:tc>
        <w:tc>
          <w:tcPr>
            <w:tcW w:w="525" w:type="pct"/>
            <w:tcBorders>
              <w:top w:val="nil"/>
              <w:left w:val="nil"/>
              <w:bottom w:val="nil"/>
              <w:right w:val="nil"/>
            </w:tcBorders>
            <w:shd w:val="clear" w:color="auto" w:fill="auto"/>
            <w:noWrap/>
            <w:vAlign w:val="bottom"/>
          </w:tcPr>
          <w:p w14:paraId="6F711A09" w14:textId="77777777" w:rsidR="006F48F9" w:rsidRPr="008669C3" w:rsidRDefault="006F48F9" w:rsidP="005D0BF5">
            <w:pPr>
              <w:jc w:val="center"/>
              <w:rPr>
                <w:color w:val="000000"/>
                <w:sz w:val="22"/>
              </w:rPr>
            </w:pPr>
            <w:r w:rsidRPr="008669C3">
              <w:rPr>
                <w:color w:val="000000"/>
                <w:sz w:val="22"/>
              </w:rPr>
              <w:t>Yes</w:t>
            </w:r>
          </w:p>
        </w:tc>
        <w:tc>
          <w:tcPr>
            <w:tcW w:w="141" w:type="pct"/>
            <w:tcBorders>
              <w:top w:val="nil"/>
              <w:left w:val="nil"/>
              <w:bottom w:val="nil"/>
              <w:right w:val="nil"/>
            </w:tcBorders>
            <w:shd w:val="clear" w:color="auto" w:fill="auto"/>
            <w:noWrap/>
            <w:vAlign w:val="bottom"/>
          </w:tcPr>
          <w:p w14:paraId="6100B045" w14:textId="77777777" w:rsidR="006F48F9" w:rsidRPr="008669C3" w:rsidRDefault="006F48F9" w:rsidP="005D0BF5">
            <w:pPr>
              <w:jc w:val="center"/>
              <w:rPr>
                <w:sz w:val="22"/>
                <w:szCs w:val="20"/>
              </w:rPr>
            </w:pPr>
          </w:p>
        </w:tc>
        <w:tc>
          <w:tcPr>
            <w:tcW w:w="446" w:type="pct"/>
            <w:tcBorders>
              <w:top w:val="nil"/>
              <w:left w:val="nil"/>
              <w:bottom w:val="nil"/>
              <w:right w:val="nil"/>
            </w:tcBorders>
            <w:shd w:val="clear" w:color="auto" w:fill="auto"/>
            <w:noWrap/>
            <w:vAlign w:val="bottom"/>
          </w:tcPr>
          <w:p w14:paraId="72774192" w14:textId="77777777" w:rsidR="006F48F9" w:rsidRPr="008669C3" w:rsidRDefault="006F48F9" w:rsidP="005D0BF5">
            <w:pPr>
              <w:jc w:val="center"/>
              <w:rPr>
                <w:color w:val="000000"/>
                <w:sz w:val="22"/>
              </w:rPr>
            </w:pPr>
            <w:r w:rsidRPr="008669C3">
              <w:rPr>
                <w:color w:val="000000"/>
                <w:sz w:val="22"/>
              </w:rPr>
              <w:t>Yes</w:t>
            </w:r>
          </w:p>
        </w:tc>
        <w:tc>
          <w:tcPr>
            <w:tcW w:w="525" w:type="pct"/>
            <w:tcBorders>
              <w:top w:val="nil"/>
              <w:left w:val="nil"/>
              <w:bottom w:val="nil"/>
              <w:right w:val="nil"/>
            </w:tcBorders>
            <w:shd w:val="clear" w:color="auto" w:fill="auto"/>
            <w:noWrap/>
            <w:vAlign w:val="bottom"/>
          </w:tcPr>
          <w:p w14:paraId="641B7D91" w14:textId="77777777" w:rsidR="006F48F9" w:rsidRPr="008669C3" w:rsidRDefault="006F48F9" w:rsidP="005D0BF5">
            <w:pPr>
              <w:jc w:val="center"/>
              <w:rPr>
                <w:color w:val="000000"/>
                <w:sz w:val="22"/>
              </w:rPr>
            </w:pPr>
            <w:r w:rsidRPr="008669C3">
              <w:rPr>
                <w:color w:val="000000"/>
                <w:sz w:val="22"/>
              </w:rPr>
              <w:t>Yes</w:t>
            </w:r>
          </w:p>
        </w:tc>
      </w:tr>
      <w:tr w:rsidR="006F48F9" w:rsidRPr="008669C3" w14:paraId="06540F45" w14:textId="77777777" w:rsidTr="005D0BF5">
        <w:trPr>
          <w:trHeight w:val="20"/>
        </w:trPr>
        <w:tc>
          <w:tcPr>
            <w:tcW w:w="1631" w:type="pct"/>
            <w:tcBorders>
              <w:top w:val="nil"/>
              <w:left w:val="nil"/>
              <w:bottom w:val="nil"/>
              <w:right w:val="nil"/>
            </w:tcBorders>
            <w:shd w:val="clear" w:color="auto" w:fill="auto"/>
            <w:noWrap/>
            <w:vAlign w:val="bottom"/>
            <w:hideMark/>
          </w:tcPr>
          <w:p w14:paraId="416C7847" w14:textId="77777777" w:rsidR="006F48F9" w:rsidRPr="008669C3" w:rsidRDefault="006F48F9" w:rsidP="005D0BF5">
            <w:pPr>
              <w:rPr>
                <w:color w:val="000000"/>
                <w:sz w:val="22"/>
              </w:rPr>
            </w:pPr>
            <w:r w:rsidRPr="008669C3">
              <w:rPr>
                <w:color w:val="000000"/>
                <w:sz w:val="22"/>
              </w:rPr>
              <w:t>Firm FE</w:t>
            </w:r>
          </w:p>
        </w:tc>
        <w:tc>
          <w:tcPr>
            <w:tcW w:w="525" w:type="pct"/>
            <w:tcBorders>
              <w:top w:val="nil"/>
              <w:left w:val="nil"/>
              <w:bottom w:val="nil"/>
              <w:right w:val="nil"/>
            </w:tcBorders>
            <w:shd w:val="clear" w:color="auto" w:fill="auto"/>
            <w:noWrap/>
            <w:vAlign w:val="bottom"/>
            <w:hideMark/>
          </w:tcPr>
          <w:p w14:paraId="794F24C4" w14:textId="77777777" w:rsidR="006F48F9" w:rsidRPr="008669C3" w:rsidRDefault="006F48F9" w:rsidP="005D0BF5">
            <w:pPr>
              <w:jc w:val="center"/>
              <w:rPr>
                <w:color w:val="000000"/>
                <w:sz w:val="22"/>
              </w:rPr>
            </w:pPr>
            <w:r w:rsidRPr="008669C3">
              <w:rPr>
                <w:color w:val="000000"/>
                <w:sz w:val="22"/>
              </w:rPr>
              <w:t>Yes</w:t>
            </w:r>
          </w:p>
        </w:tc>
        <w:tc>
          <w:tcPr>
            <w:tcW w:w="541" w:type="pct"/>
            <w:tcBorders>
              <w:top w:val="nil"/>
              <w:left w:val="nil"/>
              <w:bottom w:val="nil"/>
              <w:right w:val="nil"/>
            </w:tcBorders>
            <w:shd w:val="clear" w:color="auto" w:fill="auto"/>
            <w:noWrap/>
            <w:vAlign w:val="bottom"/>
            <w:hideMark/>
          </w:tcPr>
          <w:p w14:paraId="6C425F66" w14:textId="77777777" w:rsidR="006F48F9" w:rsidRPr="008669C3" w:rsidRDefault="006F48F9" w:rsidP="005D0BF5">
            <w:pPr>
              <w:jc w:val="center"/>
              <w:rPr>
                <w:color w:val="000000"/>
                <w:sz w:val="22"/>
              </w:rPr>
            </w:pPr>
            <w:r w:rsidRPr="008669C3">
              <w:rPr>
                <w:color w:val="000000"/>
                <w:sz w:val="22"/>
              </w:rPr>
              <w:t>No</w:t>
            </w:r>
          </w:p>
        </w:tc>
        <w:tc>
          <w:tcPr>
            <w:tcW w:w="141" w:type="pct"/>
            <w:tcBorders>
              <w:top w:val="nil"/>
              <w:left w:val="nil"/>
              <w:bottom w:val="nil"/>
              <w:right w:val="nil"/>
            </w:tcBorders>
            <w:shd w:val="clear" w:color="auto" w:fill="auto"/>
            <w:noWrap/>
            <w:vAlign w:val="bottom"/>
            <w:hideMark/>
          </w:tcPr>
          <w:p w14:paraId="4952B0FC" w14:textId="77777777" w:rsidR="006F48F9" w:rsidRPr="008669C3" w:rsidRDefault="006F48F9" w:rsidP="005D0BF5">
            <w:pPr>
              <w:jc w:val="center"/>
              <w:rPr>
                <w:sz w:val="22"/>
                <w:szCs w:val="20"/>
              </w:rPr>
            </w:pPr>
          </w:p>
        </w:tc>
        <w:tc>
          <w:tcPr>
            <w:tcW w:w="525" w:type="pct"/>
            <w:tcBorders>
              <w:top w:val="nil"/>
              <w:left w:val="nil"/>
              <w:bottom w:val="nil"/>
              <w:right w:val="nil"/>
            </w:tcBorders>
            <w:shd w:val="clear" w:color="auto" w:fill="auto"/>
            <w:noWrap/>
            <w:vAlign w:val="bottom"/>
            <w:hideMark/>
          </w:tcPr>
          <w:p w14:paraId="045C80CD" w14:textId="77777777" w:rsidR="006F48F9" w:rsidRPr="008669C3" w:rsidRDefault="006F48F9" w:rsidP="005D0BF5">
            <w:pPr>
              <w:jc w:val="center"/>
              <w:rPr>
                <w:color w:val="000000"/>
                <w:sz w:val="22"/>
              </w:rPr>
            </w:pPr>
            <w:r w:rsidRPr="008669C3">
              <w:rPr>
                <w:color w:val="000000"/>
                <w:sz w:val="22"/>
              </w:rPr>
              <w:t>Yes</w:t>
            </w:r>
          </w:p>
        </w:tc>
        <w:tc>
          <w:tcPr>
            <w:tcW w:w="525" w:type="pct"/>
            <w:tcBorders>
              <w:top w:val="nil"/>
              <w:left w:val="nil"/>
              <w:bottom w:val="nil"/>
              <w:right w:val="nil"/>
            </w:tcBorders>
            <w:shd w:val="clear" w:color="auto" w:fill="auto"/>
            <w:noWrap/>
            <w:vAlign w:val="bottom"/>
            <w:hideMark/>
          </w:tcPr>
          <w:p w14:paraId="6BC5F65C" w14:textId="77777777" w:rsidR="006F48F9" w:rsidRPr="008669C3" w:rsidRDefault="006F48F9" w:rsidP="005D0BF5">
            <w:pPr>
              <w:jc w:val="center"/>
              <w:rPr>
                <w:color w:val="000000"/>
                <w:sz w:val="22"/>
              </w:rPr>
            </w:pPr>
            <w:r w:rsidRPr="008669C3">
              <w:rPr>
                <w:color w:val="000000"/>
                <w:sz w:val="22"/>
              </w:rPr>
              <w:t>No</w:t>
            </w:r>
          </w:p>
        </w:tc>
        <w:tc>
          <w:tcPr>
            <w:tcW w:w="141" w:type="pct"/>
            <w:tcBorders>
              <w:top w:val="nil"/>
              <w:left w:val="nil"/>
              <w:bottom w:val="nil"/>
              <w:right w:val="nil"/>
            </w:tcBorders>
            <w:shd w:val="clear" w:color="auto" w:fill="auto"/>
            <w:noWrap/>
            <w:vAlign w:val="bottom"/>
            <w:hideMark/>
          </w:tcPr>
          <w:p w14:paraId="248928FA" w14:textId="77777777" w:rsidR="006F48F9" w:rsidRPr="008669C3" w:rsidRDefault="006F48F9" w:rsidP="005D0BF5">
            <w:pPr>
              <w:jc w:val="center"/>
              <w:rPr>
                <w:sz w:val="22"/>
                <w:szCs w:val="20"/>
              </w:rPr>
            </w:pPr>
          </w:p>
        </w:tc>
        <w:tc>
          <w:tcPr>
            <w:tcW w:w="446" w:type="pct"/>
            <w:tcBorders>
              <w:top w:val="nil"/>
              <w:left w:val="nil"/>
              <w:bottom w:val="nil"/>
              <w:right w:val="nil"/>
            </w:tcBorders>
            <w:shd w:val="clear" w:color="auto" w:fill="auto"/>
            <w:noWrap/>
            <w:vAlign w:val="bottom"/>
            <w:hideMark/>
          </w:tcPr>
          <w:p w14:paraId="3CF5B48B" w14:textId="77777777" w:rsidR="006F48F9" w:rsidRPr="008669C3" w:rsidRDefault="006F48F9" w:rsidP="005D0BF5">
            <w:pPr>
              <w:jc w:val="center"/>
              <w:rPr>
                <w:color w:val="000000"/>
                <w:sz w:val="22"/>
              </w:rPr>
            </w:pPr>
            <w:r w:rsidRPr="008669C3">
              <w:rPr>
                <w:color w:val="000000"/>
                <w:sz w:val="22"/>
              </w:rPr>
              <w:t>Yes</w:t>
            </w:r>
          </w:p>
        </w:tc>
        <w:tc>
          <w:tcPr>
            <w:tcW w:w="525" w:type="pct"/>
            <w:tcBorders>
              <w:top w:val="nil"/>
              <w:left w:val="nil"/>
              <w:bottom w:val="nil"/>
              <w:right w:val="nil"/>
            </w:tcBorders>
            <w:shd w:val="clear" w:color="auto" w:fill="auto"/>
            <w:noWrap/>
            <w:vAlign w:val="bottom"/>
            <w:hideMark/>
          </w:tcPr>
          <w:p w14:paraId="391C1B67" w14:textId="77777777" w:rsidR="006F48F9" w:rsidRPr="008669C3" w:rsidRDefault="006F48F9" w:rsidP="005D0BF5">
            <w:pPr>
              <w:jc w:val="center"/>
              <w:rPr>
                <w:color w:val="000000"/>
                <w:sz w:val="22"/>
              </w:rPr>
            </w:pPr>
            <w:r w:rsidRPr="008669C3">
              <w:rPr>
                <w:color w:val="000000"/>
                <w:sz w:val="22"/>
              </w:rPr>
              <w:t>No</w:t>
            </w:r>
          </w:p>
        </w:tc>
      </w:tr>
      <w:tr w:rsidR="006F48F9" w:rsidRPr="008669C3" w14:paraId="7D462B2B" w14:textId="77777777" w:rsidTr="005D0BF5">
        <w:trPr>
          <w:trHeight w:val="20"/>
        </w:trPr>
        <w:tc>
          <w:tcPr>
            <w:tcW w:w="1631" w:type="pct"/>
            <w:tcBorders>
              <w:top w:val="nil"/>
              <w:left w:val="nil"/>
              <w:bottom w:val="nil"/>
              <w:right w:val="nil"/>
            </w:tcBorders>
            <w:shd w:val="clear" w:color="auto" w:fill="auto"/>
            <w:noWrap/>
            <w:vAlign w:val="bottom"/>
            <w:hideMark/>
          </w:tcPr>
          <w:p w14:paraId="61DA7D2A" w14:textId="77777777" w:rsidR="006F48F9" w:rsidRPr="008669C3" w:rsidRDefault="006F48F9" w:rsidP="005D0BF5">
            <w:pPr>
              <w:rPr>
                <w:color w:val="000000"/>
                <w:sz w:val="22"/>
              </w:rPr>
            </w:pPr>
            <w:r w:rsidRPr="008669C3">
              <w:rPr>
                <w:color w:val="000000"/>
                <w:sz w:val="22"/>
              </w:rPr>
              <w:t>CEO-Firm FE</w:t>
            </w:r>
          </w:p>
        </w:tc>
        <w:tc>
          <w:tcPr>
            <w:tcW w:w="525" w:type="pct"/>
            <w:tcBorders>
              <w:top w:val="nil"/>
              <w:left w:val="nil"/>
              <w:bottom w:val="nil"/>
              <w:right w:val="nil"/>
            </w:tcBorders>
            <w:shd w:val="clear" w:color="auto" w:fill="auto"/>
            <w:noWrap/>
            <w:vAlign w:val="bottom"/>
            <w:hideMark/>
          </w:tcPr>
          <w:p w14:paraId="1600AFD1" w14:textId="77777777" w:rsidR="006F48F9" w:rsidRPr="008669C3" w:rsidRDefault="006F48F9" w:rsidP="005D0BF5">
            <w:pPr>
              <w:jc w:val="center"/>
              <w:rPr>
                <w:color w:val="000000"/>
                <w:sz w:val="22"/>
              </w:rPr>
            </w:pPr>
            <w:r w:rsidRPr="008669C3">
              <w:rPr>
                <w:color w:val="000000"/>
                <w:sz w:val="22"/>
              </w:rPr>
              <w:t>No</w:t>
            </w:r>
          </w:p>
        </w:tc>
        <w:tc>
          <w:tcPr>
            <w:tcW w:w="541" w:type="pct"/>
            <w:tcBorders>
              <w:top w:val="nil"/>
              <w:left w:val="nil"/>
              <w:bottom w:val="nil"/>
              <w:right w:val="nil"/>
            </w:tcBorders>
            <w:shd w:val="clear" w:color="auto" w:fill="auto"/>
            <w:noWrap/>
            <w:vAlign w:val="bottom"/>
            <w:hideMark/>
          </w:tcPr>
          <w:p w14:paraId="3365AC8F" w14:textId="77777777" w:rsidR="006F48F9" w:rsidRPr="008669C3" w:rsidRDefault="006F48F9" w:rsidP="005D0BF5">
            <w:pPr>
              <w:jc w:val="center"/>
              <w:rPr>
                <w:color w:val="000000"/>
                <w:sz w:val="22"/>
              </w:rPr>
            </w:pPr>
            <w:r w:rsidRPr="008669C3">
              <w:rPr>
                <w:color w:val="000000"/>
                <w:sz w:val="22"/>
              </w:rPr>
              <w:t>Yes</w:t>
            </w:r>
          </w:p>
        </w:tc>
        <w:tc>
          <w:tcPr>
            <w:tcW w:w="141" w:type="pct"/>
            <w:tcBorders>
              <w:top w:val="nil"/>
              <w:left w:val="nil"/>
              <w:bottom w:val="nil"/>
              <w:right w:val="nil"/>
            </w:tcBorders>
            <w:shd w:val="clear" w:color="auto" w:fill="auto"/>
            <w:noWrap/>
            <w:vAlign w:val="bottom"/>
            <w:hideMark/>
          </w:tcPr>
          <w:p w14:paraId="5E99B64D"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49F38555" w14:textId="77777777" w:rsidR="006F48F9" w:rsidRPr="008669C3" w:rsidRDefault="006F48F9" w:rsidP="005D0BF5">
            <w:pPr>
              <w:jc w:val="center"/>
              <w:rPr>
                <w:sz w:val="22"/>
                <w:szCs w:val="20"/>
              </w:rPr>
            </w:pPr>
            <w:r w:rsidRPr="008669C3">
              <w:rPr>
                <w:color w:val="000000"/>
                <w:sz w:val="22"/>
              </w:rPr>
              <w:t>No</w:t>
            </w:r>
          </w:p>
        </w:tc>
        <w:tc>
          <w:tcPr>
            <w:tcW w:w="525" w:type="pct"/>
            <w:tcBorders>
              <w:top w:val="nil"/>
              <w:left w:val="nil"/>
              <w:bottom w:val="nil"/>
              <w:right w:val="nil"/>
            </w:tcBorders>
            <w:shd w:val="clear" w:color="auto" w:fill="auto"/>
            <w:noWrap/>
            <w:vAlign w:val="bottom"/>
            <w:hideMark/>
          </w:tcPr>
          <w:p w14:paraId="1E4EF429" w14:textId="77777777" w:rsidR="006F48F9" w:rsidRPr="008669C3" w:rsidRDefault="006F48F9" w:rsidP="005D0BF5">
            <w:pPr>
              <w:jc w:val="center"/>
              <w:rPr>
                <w:color w:val="000000"/>
                <w:sz w:val="22"/>
              </w:rPr>
            </w:pPr>
            <w:r w:rsidRPr="008669C3">
              <w:rPr>
                <w:color w:val="000000"/>
                <w:sz w:val="22"/>
              </w:rPr>
              <w:t>Yes</w:t>
            </w:r>
          </w:p>
        </w:tc>
        <w:tc>
          <w:tcPr>
            <w:tcW w:w="141" w:type="pct"/>
            <w:tcBorders>
              <w:top w:val="nil"/>
              <w:left w:val="nil"/>
              <w:bottom w:val="nil"/>
              <w:right w:val="nil"/>
            </w:tcBorders>
            <w:shd w:val="clear" w:color="auto" w:fill="auto"/>
            <w:noWrap/>
            <w:vAlign w:val="bottom"/>
            <w:hideMark/>
          </w:tcPr>
          <w:p w14:paraId="55F97A0C" w14:textId="77777777" w:rsidR="006F48F9" w:rsidRPr="008669C3" w:rsidRDefault="006F48F9" w:rsidP="005D0BF5">
            <w:pPr>
              <w:jc w:val="center"/>
              <w:rPr>
                <w:color w:val="000000"/>
                <w:sz w:val="22"/>
              </w:rPr>
            </w:pPr>
          </w:p>
        </w:tc>
        <w:tc>
          <w:tcPr>
            <w:tcW w:w="446" w:type="pct"/>
            <w:tcBorders>
              <w:top w:val="nil"/>
              <w:left w:val="nil"/>
              <w:bottom w:val="nil"/>
              <w:right w:val="nil"/>
            </w:tcBorders>
            <w:shd w:val="clear" w:color="auto" w:fill="auto"/>
            <w:noWrap/>
            <w:vAlign w:val="bottom"/>
            <w:hideMark/>
          </w:tcPr>
          <w:p w14:paraId="5ECBFE31" w14:textId="77777777" w:rsidR="006F48F9" w:rsidRPr="008669C3" w:rsidRDefault="006F48F9" w:rsidP="005D0BF5">
            <w:pPr>
              <w:jc w:val="center"/>
              <w:rPr>
                <w:sz w:val="22"/>
                <w:szCs w:val="20"/>
              </w:rPr>
            </w:pPr>
            <w:r w:rsidRPr="008669C3">
              <w:rPr>
                <w:color w:val="000000"/>
                <w:sz w:val="22"/>
              </w:rPr>
              <w:t>No</w:t>
            </w:r>
          </w:p>
        </w:tc>
        <w:tc>
          <w:tcPr>
            <w:tcW w:w="525" w:type="pct"/>
            <w:tcBorders>
              <w:top w:val="nil"/>
              <w:left w:val="nil"/>
              <w:bottom w:val="nil"/>
              <w:right w:val="nil"/>
            </w:tcBorders>
            <w:shd w:val="clear" w:color="auto" w:fill="auto"/>
            <w:noWrap/>
            <w:vAlign w:val="bottom"/>
            <w:hideMark/>
          </w:tcPr>
          <w:p w14:paraId="52E383DA" w14:textId="77777777" w:rsidR="006F48F9" w:rsidRPr="008669C3" w:rsidRDefault="006F48F9" w:rsidP="005D0BF5">
            <w:pPr>
              <w:jc w:val="center"/>
              <w:rPr>
                <w:color w:val="000000"/>
                <w:sz w:val="22"/>
              </w:rPr>
            </w:pPr>
            <w:r w:rsidRPr="008669C3">
              <w:rPr>
                <w:color w:val="000000"/>
                <w:sz w:val="22"/>
              </w:rPr>
              <w:t>Yes</w:t>
            </w:r>
          </w:p>
        </w:tc>
      </w:tr>
      <w:tr w:rsidR="006F48F9" w:rsidRPr="008669C3" w14:paraId="4DE070B7" w14:textId="77777777" w:rsidTr="005D0BF5">
        <w:trPr>
          <w:trHeight w:val="20"/>
        </w:trPr>
        <w:tc>
          <w:tcPr>
            <w:tcW w:w="1631" w:type="pct"/>
            <w:tcBorders>
              <w:top w:val="nil"/>
              <w:left w:val="nil"/>
              <w:bottom w:val="nil"/>
              <w:right w:val="nil"/>
            </w:tcBorders>
            <w:shd w:val="clear" w:color="auto" w:fill="auto"/>
            <w:noWrap/>
            <w:vAlign w:val="bottom"/>
            <w:hideMark/>
          </w:tcPr>
          <w:p w14:paraId="07F2FCD2" w14:textId="77777777" w:rsidR="006F48F9" w:rsidRPr="008669C3" w:rsidRDefault="006F48F9" w:rsidP="005D0BF5">
            <w:pPr>
              <w:rPr>
                <w:color w:val="000000"/>
                <w:sz w:val="22"/>
              </w:rPr>
            </w:pPr>
            <w:r w:rsidRPr="008669C3">
              <w:rPr>
                <w:color w:val="000000"/>
                <w:sz w:val="22"/>
              </w:rPr>
              <w:t>Industry-Year FE</w:t>
            </w:r>
          </w:p>
        </w:tc>
        <w:tc>
          <w:tcPr>
            <w:tcW w:w="525" w:type="pct"/>
            <w:tcBorders>
              <w:top w:val="nil"/>
              <w:left w:val="nil"/>
              <w:bottom w:val="nil"/>
              <w:right w:val="nil"/>
            </w:tcBorders>
            <w:shd w:val="clear" w:color="auto" w:fill="auto"/>
            <w:noWrap/>
            <w:vAlign w:val="bottom"/>
            <w:hideMark/>
          </w:tcPr>
          <w:p w14:paraId="0FD9C2DC" w14:textId="77777777" w:rsidR="006F48F9" w:rsidRPr="008669C3" w:rsidRDefault="006F48F9" w:rsidP="005D0BF5">
            <w:pPr>
              <w:jc w:val="center"/>
              <w:rPr>
                <w:color w:val="000000"/>
                <w:sz w:val="22"/>
              </w:rPr>
            </w:pPr>
            <w:r w:rsidRPr="008669C3">
              <w:rPr>
                <w:color w:val="000000"/>
                <w:sz w:val="22"/>
              </w:rPr>
              <w:t>Yes</w:t>
            </w:r>
          </w:p>
        </w:tc>
        <w:tc>
          <w:tcPr>
            <w:tcW w:w="541" w:type="pct"/>
            <w:tcBorders>
              <w:top w:val="nil"/>
              <w:left w:val="nil"/>
              <w:bottom w:val="nil"/>
              <w:right w:val="nil"/>
            </w:tcBorders>
            <w:shd w:val="clear" w:color="auto" w:fill="auto"/>
            <w:noWrap/>
            <w:vAlign w:val="bottom"/>
            <w:hideMark/>
          </w:tcPr>
          <w:p w14:paraId="301518BC" w14:textId="77777777" w:rsidR="006F48F9" w:rsidRPr="008669C3" w:rsidRDefault="006F48F9" w:rsidP="005D0BF5">
            <w:pPr>
              <w:jc w:val="center"/>
              <w:rPr>
                <w:color w:val="000000"/>
                <w:sz w:val="22"/>
              </w:rPr>
            </w:pPr>
            <w:r w:rsidRPr="008669C3">
              <w:rPr>
                <w:color w:val="000000"/>
                <w:sz w:val="22"/>
              </w:rPr>
              <w:t>Yes</w:t>
            </w:r>
          </w:p>
        </w:tc>
        <w:tc>
          <w:tcPr>
            <w:tcW w:w="141" w:type="pct"/>
            <w:tcBorders>
              <w:top w:val="nil"/>
              <w:left w:val="nil"/>
              <w:bottom w:val="nil"/>
              <w:right w:val="nil"/>
            </w:tcBorders>
            <w:shd w:val="clear" w:color="auto" w:fill="auto"/>
            <w:noWrap/>
            <w:vAlign w:val="bottom"/>
            <w:hideMark/>
          </w:tcPr>
          <w:p w14:paraId="3462C195"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4BA95070" w14:textId="77777777" w:rsidR="006F48F9" w:rsidRPr="008669C3" w:rsidRDefault="006F48F9" w:rsidP="005D0BF5">
            <w:pPr>
              <w:jc w:val="center"/>
              <w:rPr>
                <w:color w:val="000000"/>
                <w:sz w:val="22"/>
              </w:rPr>
            </w:pPr>
            <w:r w:rsidRPr="008669C3">
              <w:rPr>
                <w:color w:val="000000"/>
                <w:sz w:val="22"/>
              </w:rPr>
              <w:t>Yes</w:t>
            </w:r>
          </w:p>
        </w:tc>
        <w:tc>
          <w:tcPr>
            <w:tcW w:w="525" w:type="pct"/>
            <w:tcBorders>
              <w:top w:val="nil"/>
              <w:left w:val="nil"/>
              <w:bottom w:val="nil"/>
              <w:right w:val="nil"/>
            </w:tcBorders>
            <w:shd w:val="clear" w:color="auto" w:fill="auto"/>
            <w:noWrap/>
            <w:vAlign w:val="bottom"/>
            <w:hideMark/>
          </w:tcPr>
          <w:p w14:paraId="397FB453" w14:textId="77777777" w:rsidR="006F48F9" w:rsidRPr="008669C3" w:rsidRDefault="006F48F9" w:rsidP="005D0BF5">
            <w:pPr>
              <w:jc w:val="center"/>
              <w:rPr>
                <w:color w:val="000000"/>
                <w:sz w:val="22"/>
              </w:rPr>
            </w:pPr>
            <w:r w:rsidRPr="008669C3">
              <w:rPr>
                <w:color w:val="000000"/>
                <w:sz w:val="22"/>
              </w:rPr>
              <w:t>Yes</w:t>
            </w:r>
          </w:p>
        </w:tc>
        <w:tc>
          <w:tcPr>
            <w:tcW w:w="141" w:type="pct"/>
            <w:tcBorders>
              <w:top w:val="nil"/>
              <w:left w:val="nil"/>
              <w:bottom w:val="nil"/>
              <w:right w:val="nil"/>
            </w:tcBorders>
            <w:shd w:val="clear" w:color="auto" w:fill="auto"/>
            <w:noWrap/>
            <w:vAlign w:val="bottom"/>
            <w:hideMark/>
          </w:tcPr>
          <w:p w14:paraId="7335B39C" w14:textId="77777777" w:rsidR="006F48F9" w:rsidRPr="008669C3" w:rsidRDefault="006F48F9" w:rsidP="005D0BF5">
            <w:pPr>
              <w:jc w:val="center"/>
              <w:rPr>
                <w:color w:val="000000"/>
                <w:sz w:val="22"/>
              </w:rPr>
            </w:pPr>
          </w:p>
        </w:tc>
        <w:tc>
          <w:tcPr>
            <w:tcW w:w="446" w:type="pct"/>
            <w:tcBorders>
              <w:top w:val="nil"/>
              <w:left w:val="nil"/>
              <w:bottom w:val="nil"/>
              <w:right w:val="nil"/>
            </w:tcBorders>
            <w:shd w:val="clear" w:color="auto" w:fill="auto"/>
            <w:noWrap/>
            <w:vAlign w:val="bottom"/>
            <w:hideMark/>
          </w:tcPr>
          <w:p w14:paraId="6E38513E" w14:textId="77777777" w:rsidR="006F48F9" w:rsidRPr="008669C3" w:rsidRDefault="006F48F9" w:rsidP="005D0BF5">
            <w:pPr>
              <w:jc w:val="center"/>
              <w:rPr>
                <w:color w:val="000000"/>
                <w:sz w:val="22"/>
              </w:rPr>
            </w:pPr>
            <w:r w:rsidRPr="008669C3">
              <w:rPr>
                <w:color w:val="000000"/>
                <w:sz w:val="22"/>
              </w:rPr>
              <w:t>Yes</w:t>
            </w:r>
          </w:p>
        </w:tc>
        <w:tc>
          <w:tcPr>
            <w:tcW w:w="525" w:type="pct"/>
            <w:tcBorders>
              <w:top w:val="nil"/>
              <w:left w:val="nil"/>
              <w:bottom w:val="nil"/>
              <w:right w:val="nil"/>
            </w:tcBorders>
            <w:shd w:val="clear" w:color="auto" w:fill="auto"/>
            <w:noWrap/>
            <w:vAlign w:val="bottom"/>
            <w:hideMark/>
          </w:tcPr>
          <w:p w14:paraId="0191B52F" w14:textId="77777777" w:rsidR="006F48F9" w:rsidRPr="008669C3" w:rsidRDefault="006F48F9" w:rsidP="005D0BF5">
            <w:pPr>
              <w:jc w:val="center"/>
              <w:rPr>
                <w:color w:val="000000"/>
                <w:sz w:val="22"/>
              </w:rPr>
            </w:pPr>
            <w:r w:rsidRPr="008669C3">
              <w:rPr>
                <w:color w:val="000000"/>
                <w:sz w:val="22"/>
              </w:rPr>
              <w:t>Yes</w:t>
            </w:r>
          </w:p>
        </w:tc>
      </w:tr>
      <w:tr w:rsidR="006F48F9" w:rsidRPr="008669C3" w14:paraId="3C1D7869" w14:textId="77777777" w:rsidTr="005D0BF5">
        <w:trPr>
          <w:trHeight w:val="20"/>
        </w:trPr>
        <w:tc>
          <w:tcPr>
            <w:tcW w:w="1631" w:type="pct"/>
            <w:tcBorders>
              <w:top w:val="nil"/>
              <w:left w:val="nil"/>
              <w:bottom w:val="nil"/>
              <w:right w:val="nil"/>
            </w:tcBorders>
            <w:shd w:val="clear" w:color="auto" w:fill="auto"/>
            <w:noWrap/>
            <w:vAlign w:val="bottom"/>
            <w:hideMark/>
          </w:tcPr>
          <w:p w14:paraId="3650EF81" w14:textId="77777777" w:rsidR="006F48F9" w:rsidRPr="008669C3" w:rsidRDefault="006F48F9" w:rsidP="005D0BF5">
            <w:pPr>
              <w:rPr>
                <w:color w:val="000000"/>
                <w:sz w:val="22"/>
              </w:rPr>
            </w:pPr>
            <w:r w:rsidRPr="008669C3">
              <w:rPr>
                <w:color w:val="000000"/>
                <w:sz w:val="22"/>
              </w:rPr>
              <w:t>N</w:t>
            </w:r>
          </w:p>
        </w:tc>
        <w:tc>
          <w:tcPr>
            <w:tcW w:w="525" w:type="pct"/>
            <w:tcBorders>
              <w:top w:val="nil"/>
              <w:left w:val="nil"/>
              <w:bottom w:val="nil"/>
              <w:right w:val="nil"/>
            </w:tcBorders>
            <w:shd w:val="clear" w:color="auto" w:fill="auto"/>
            <w:noWrap/>
            <w:vAlign w:val="bottom"/>
            <w:hideMark/>
          </w:tcPr>
          <w:p w14:paraId="5A00F0B1" w14:textId="66A747D3" w:rsidR="006F48F9" w:rsidRPr="008669C3" w:rsidRDefault="00890C53" w:rsidP="005D0BF5">
            <w:pPr>
              <w:jc w:val="center"/>
              <w:rPr>
                <w:color w:val="000000"/>
                <w:sz w:val="22"/>
              </w:rPr>
            </w:pPr>
            <w:r>
              <w:rPr>
                <w:color w:val="000000"/>
                <w:sz w:val="22"/>
              </w:rPr>
              <w:t>3</w:t>
            </w:r>
            <w:r w:rsidR="006F48F9" w:rsidRPr="008669C3">
              <w:rPr>
                <w:color w:val="000000"/>
                <w:sz w:val="22"/>
              </w:rPr>
              <w:t>677</w:t>
            </w:r>
          </w:p>
        </w:tc>
        <w:tc>
          <w:tcPr>
            <w:tcW w:w="541" w:type="pct"/>
            <w:tcBorders>
              <w:top w:val="nil"/>
              <w:left w:val="nil"/>
              <w:bottom w:val="nil"/>
              <w:right w:val="nil"/>
            </w:tcBorders>
            <w:shd w:val="clear" w:color="auto" w:fill="auto"/>
            <w:noWrap/>
            <w:vAlign w:val="bottom"/>
            <w:hideMark/>
          </w:tcPr>
          <w:p w14:paraId="711EA56B" w14:textId="5E91723D" w:rsidR="006F48F9" w:rsidRPr="008669C3" w:rsidRDefault="00890C53" w:rsidP="005D0BF5">
            <w:pPr>
              <w:jc w:val="center"/>
              <w:rPr>
                <w:color w:val="000000"/>
                <w:sz w:val="22"/>
              </w:rPr>
            </w:pPr>
            <w:r>
              <w:rPr>
                <w:color w:val="000000"/>
                <w:sz w:val="22"/>
              </w:rPr>
              <w:t>3</w:t>
            </w:r>
            <w:r w:rsidR="006F48F9" w:rsidRPr="008669C3">
              <w:rPr>
                <w:color w:val="000000"/>
                <w:sz w:val="22"/>
              </w:rPr>
              <w:t>677</w:t>
            </w:r>
          </w:p>
        </w:tc>
        <w:tc>
          <w:tcPr>
            <w:tcW w:w="141" w:type="pct"/>
            <w:tcBorders>
              <w:top w:val="nil"/>
              <w:left w:val="nil"/>
              <w:bottom w:val="nil"/>
              <w:right w:val="nil"/>
            </w:tcBorders>
            <w:shd w:val="clear" w:color="auto" w:fill="auto"/>
            <w:noWrap/>
            <w:vAlign w:val="bottom"/>
            <w:hideMark/>
          </w:tcPr>
          <w:p w14:paraId="3FBCE206" w14:textId="77777777" w:rsidR="006F48F9" w:rsidRPr="008669C3" w:rsidRDefault="006F48F9" w:rsidP="005D0BF5">
            <w:pPr>
              <w:jc w:val="center"/>
              <w:rPr>
                <w:color w:val="000000"/>
                <w:sz w:val="22"/>
              </w:rPr>
            </w:pPr>
          </w:p>
        </w:tc>
        <w:tc>
          <w:tcPr>
            <w:tcW w:w="525" w:type="pct"/>
            <w:tcBorders>
              <w:top w:val="nil"/>
              <w:left w:val="nil"/>
              <w:bottom w:val="nil"/>
              <w:right w:val="nil"/>
            </w:tcBorders>
            <w:shd w:val="clear" w:color="auto" w:fill="auto"/>
            <w:noWrap/>
            <w:vAlign w:val="bottom"/>
            <w:hideMark/>
          </w:tcPr>
          <w:p w14:paraId="4C37C63D" w14:textId="19D11EB2" w:rsidR="006F48F9" w:rsidRPr="008669C3" w:rsidRDefault="00890C53" w:rsidP="005D0BF5">
            <w:pPr>
              <w:jc w:val="center"/>
              <w:rPr>
                <w:color w:val="000000"/>
                <w:sz w:val="22"/>
              </w:rPr>
            </w:pPr>
            <w:r>
              <w:rPr>
                <w:color w:val="000000"/>
                <w:sz w:val="22"/>
              </w:rPr>
              <w:t>4</w:t>
            </w:r>
            <w:r w:rsidR="006F48F9" w:rsidRPr="008669C3">
              <w:rPr>
                <w:color w:val="000000"/>
                <w:sz w:val="22"/>
              </w:rPr>
              <w:t>388</w:t>
            </w:r>
          </w:p>
        </w:tc>
        <w:tc>
          <w:tcPr>
            <w:tcW w:w="525" w:type="pct"/>
            <w:tcBorders>
              <w:top w:val="nil"/>
              <w:left w:val="nil"/>
              <w:bottom w:val="nil"/>
              <w:right w:val="nil"/>
            </w:tcBorders>
            <w:shd w:val="clear" w:color="auto" w:fill="auto"/>
            <w:noWrap/>
            <w:vAlign w:val="bottom"/>
            <w:hideMark/>
          </w:tcPr>
          <w:p w14:paraId="12BCE5A2" w14:textId="4F582365" w:rsidR="006F48F9" w:rsidRPr="008669C3" w:rsidRDefault="00890C53" w:rsidP="005D0BF5">
            <w:pPr>
              <w:jc w:val="center"/>
              <w:rPr>
                <w:color w:val="000000"/>
                <w:sz w:val="22"/>
              </w:rPr>
            </w:pPr>
            <w:r>
              <w:rPr>
                <w:color w:val="000000"/>
                <w:sz w:val="22"/>
              </w:rPr>
              <w:t>4</w:t>
            </w:r>
            <w:r w:rsidR="006F48F9" w:rsidRPr="008669C3">
              <w:rPr>
                <w:color w:val="000000"/>
                <w:sz w:val="22"/>
              </w:rPr>
              <w:t>388</w:t>
            </w:r>
          </w:p>
        </w:tc>
        <w:tc>
          <w:tcPr>
            <w:tcW w:w="141" w:type="pct"/>
            <w:tcBorders>
              <w:top w:val="nil"/>
              <w:left w:val="nil"/>
              <w:bottom w:val="nil"/>
              <w:right w:val="nil"/>
            </w:tcBorders>
            <w:shd w:val="clear" w:color="auto" w:fill="auto"/>
            <w:noWrap/>
            <w:vAlign w:val="bottom"/>
            <w:hideMark/>
          </w:tcPr>
          <w:p w14:paraId="73C238A9" w14:textId="77777777" w:rsidR="006F48F9" w:rsidRPr="008669C3" w:rsidRDefault="006F48F9" w:rsidP="005D0BF5">
            <w:pPr>
              <w:jc w:val="center"/>
              <w:rPr>
                <w:color w:val="000000"/>
                <w:sz w:val="22"/>
              </w:rPr>
            </w:pPr>
          </w:p>
        </w:tc>
        <w:tc>
          <w:tcPr>
            <w:tcW w:w="446" w:type="pct"/>
            <w:tcBorders>
              <w:top w:val="nil"/>
              <w:left w:val="nil"/>
              <w:bottom w:val="nil"/>
              <w:right w:val="nil"/>
            </w:tcBorders>
            <w:shd w:val="clear" w:color="auto" w:fill="auto"/>
            <w:noWrap/>
            <w:vAlign w:val="bottom"/>
            <w:hideMark/>
          </w:tcPr>
          <w:p w14:paraId="7D04B02A" w14:textId="06A544E0" w:rsidR="006F48F9" w:rsidRPr="008669C3" w:rsidRDefault="00890C53" w:rsidP="005D0BF5">
            <w:pPr>
              <w:jc w:val="center"/>
              <w:rPr>
                <w:color w:val="000000"/>
                <w:sz w:val="22"/>
              </w:rPr>
            </w:pPr>
            <w:r>
              <w:rPr>
                <w:color w:val="000000"/>
                <w:sz w:val="22"/>
              </w:rPr>
              <w:t>8</w:t>
            </w:r>
            <w:r w:rsidR="006F48F9" w:rsidRPr="008669C3">
              <w:rPr>
                <w:color w:val="000000"/>
                <w:sz w:val="22"/>
              </w:rPr>
              <w:t>065</w:t>
            </w:r>
          </w:p>
        </w:tc>
        <w:tc>
          <w:tcPr>
            <w:tcW w:w="525" w:type="pct"/>
            <w:tcBorders>
              <w:top w:val="nil"/>
              <w:left w:val="nil"/>
              <w:bottom w:val="nil"/>
              <w:right w:val="nil"/>
            </w:tcBorders>
            <w:shd w:val="clear" w:color="auto" w:fill="auto"/>
            <w:noWrap/>
            <w:vAlign w:val="bottom"/>
            <w:hideMark/>
          </w:tcPr>
          <w:p w14:paraId="37E7365E" w14:textId="01F3CAB1" w:rsidR="006F48F9" w:rsidRPr="008669C3" w:rsidRDefault="00890C53" w:rsidP="005D0BF5">
            <w:pPr>
              <w:jc w:val="center"/>
              <w:rPr>
                <w:color w:val="000000"/>
                <w:sz w:val="22"/>
              </w:rPr>
            </w:pPr>
            <w:r>
              <w:rPr>
                <w:color w:val="000000"/>
                <w:sz w:val="22"/>
              </w:rPr>
              <w:t>8</w:t>
            </w:r>
            <w:r w:rsidR="006F48F9" w:rsidRPr="008669C3">
              <w:rPr>
                <w:color w:val="000000"/>
                <w:sz w:val="22"/>
              </w:rPr>
              <w:t>065</w:t>
            </w:r>
          </w:p>
        </w:tc>
      </w:tr>
      <w:tr w:rsidR="006F48F9" w:rsidRPr="008669C3" w14:paraId="22006CB6" w14:textId="77777777" w:rsidTr="005D0BF5">
        <w:trPr>
          <w:trHeight w:val="20"/>
        </w:trPr>
        <w:tc>
          <w:tcPr>
            <w:tcW w:w="1631" w:type="pct"/>
            <w:tcBorders>
              <w:top w:val="nil"/>
              <w:left w:val="nil"/>
              <w:bottom w:val="single" w:sz="4" w:space="0" w:color="auto"/>
              <w:right w:val="nil"/>
            </w:tcBorders>
            <w:shd w:val="clear" w:color="auto" w:fill="auto"/>
            <w:noWrap/>
            <w:vAlign w:val="bottom"/>
            <w:hideMark/>
          </w:tcPr>
          <w:p w14:paraId="51A119D4" w14:textId="77777777" w:rsidR="006F48F9" w:rsidRPr="008669C3" w:rsidRDefault="006F48F9" w:rsidP="005D0BF5">
            <w:pPr>
              <w:rPr>
                <w:color w:val="000000"/>
                <w:sz w:val="22"/>
              </w:rPr>
            </w:pPr>
            <w:r w:rsidRPr="008669C3">
              <w:rPr>
                <w:sz w:val="22"/>
                <w:szCs w:val="20"/>
              </w:rPr>
              <w:t>Adjusted R</w:t>
            </w:r>
            <w:r w:rsidRPr="008669C3">
              <w:rPr>
                <w:sz w:val="22"/>
                <w:szCs w:val="20"/>
                <w:vertAlign w:val="superscript"/>
              </w:rPr>
              <w:t>2</w:t>
            </w:r>
          </w:p>
        </w:tc>
        <w:tc>
          <w:tcPr>
            <w:tcW w:w="525" w:type="pct"/>
            <w:tcBorders>
              <w:top w:val="nil"/>
              <w:left w:val="nil"/>
              <w:bottom w:val="single" w:sz="4" w:space="0" w:color="auto"/>
              <w:right w:val="nil"/>
            </w:tcBorders>
            <w:shd w:val="clear" w:color="auto" w:fill="auto"/>
            <w:noWrap/>
            <w:vAlign w:val="bottom"/>
            <w:hideMark/>
          </w:tcPr>
          <w:p w14:paraId="2C68B102" w14:textId="77777777" w:rsidR="006F48F9" w:rsidRPr="008669C3" w:rsidRDefault="006F48F9" w:rsidP="005D0BF5">
            <w:pPr>
              <w:jc w:val="center"/>
              <w:rPr>
                <w:color w:val="000000"/>
                <w:sz w:val="22"/>
              </w:rPr>
            </w:pPr>
            <w:r w:rsidRPr="008669C3">
              <w:rPr>
                <w:color w:val="000000"/>
                <w:sz w:val="22"/>
              </w:rPr>
              <w:t>0.234</w:t>
            </w:r>
          </w:p>
        </w:tc>
        <w:tc>
          <w:tcPr>
            <w:tcW w:w="541" w:type="pct"/>
            <w:tcBorders>
              <w:top w:val="nil"/>
              <w:left w:val="nil"/>
              <w:bottom w:val="single" w:sz="4" w:space="0" w:color="auto"/>
              <w:right w:val="nil"/>
            </w:tcBorders>
            <w:shd w:val="clear" w:color="auto" w:fill="auto"/>
            <w:noWrap/>
            <w:vAlign w:val="bottom"/>
            <w:hideMark/>
          </w:tcPr>
          <w:p w14:paraId="475B6F25" w14:textId="77777777" w:rsidR="006F48F9" w:rsidRPr="008669C3" w:rsidRDefault="006F48F9" w:rsidP="005D0BF5">
            <w:pPr>
              <w:jc w:val="center"/>
              <w:rPr>
                <w:color w:val="000000"/>
                <w:sz w:val="22"/>
              </w:rPr>
            </w:pPr>
            <w:r w:rsidRPr="008669C3">
              <w:rPr>
                <w:color w:val="000000"/>
                <w:sz w:val="22"/>
              </w:rPr>
              <w:t>0.173</w:t>
            </w:r>
          </w:p>
        </w:tc>
        <w:tc>
          <w:tcPr>
            <w:tcW w:w="141" w:type="pct"/>
            <w:tcBorders>
              <w:top w:val="nil"/>
              <w:left w:val="nil"/>
              <w:bottom w:val="single" w:sz="4" w:space="0" w:color="auto"/>
              <w:right w:val="nil"/>
            </w:tcBorders>
            <w:shd w:val="clear" w:color="auto" w:fill="auto"/>
            <w:noWrap/>
            <w:vAlign w:val="bottom"/>
            <w:hideMark/>
          </w:tcPr>
          <w:p w14:paraId="19C3BAFB" w14:textId="77777777" w:rsidR="006F48F9" w:rsidRPr="008669C3" w:rsidRDefault="006F48F9" w:rsidP="005D0BF5">
            <w:pPr>
              <w:jc w:val="center"/>
              <w:rPr>
                <w:color w:val="000000"/>
                <w:sz w:val="22"/>
              </w:rPr>
            </w:pPr>
            <w:r w:rsidRPr="008669C3">
              <w:rPr>
                <w:color w:val="000000"/>
                <w:sz w:val="22"/>
              </w:rPr>
              <w:t> </w:t>
            </w:r>
          </w:p>
        </w:tc>
        <w:tc>
          <w:tcPr>
            <w:tcW w:w="525" w:type="pct"/>
            <w:tcBorders>
              <w:top w:val="nil"/>
              <w:left w:val="nil"/>
              <w:bottom w:val="single" w:sz="4" w:space="0" w:color="auto"/>
              <w:right w:val="nil"/>
            </w:tcBorders>
            <w:shd w:val="clear" w:color="auto" w:fill="auto"/>
            <w:noWrap/>
            <w:vAlign w:val="bottom"/>
            <w:hideMark/>
          </w:tcPr>
          <w:p w14:paraId="04E8EF2D" w14:textId="77777777" w:rsidR="006F48F9" w:rsidRPr="008669C3" w:rsidRDefault="006F48F9" w:rsidP="005D0BF5">
            <w:pPr>
              <w:jc w:val="center"/>
              <w:rPr>
                <w:color w:val="000000"/>
                <w:sz w:val="22"/>
              </w:rPr>
            </w:pPr>
            <w:r w:rsidRPr="008669C3">
              <w:rPr>
                <w:color w:val="000000"/>
                <w:sz w:val="22"/>
              </w:rPr>
              <w:t>0.191</w:t>
            </w:r>
          </w:p>
        </w:tc>
        <w:tc>
          <w:tcPr>
            <w:tcW w:w="525" w:type="pct"/>
            <w:tcBorders>
              <w:top w:val="nil"/>
              <w:left w:val="nil"/>
              <w:bottom w:val="single" w:sz="4" w:space="0" w:color="auto"/>
              <w:right w:val="nil"/>
            </w:tcBorders>
            <w:shd w:val="clear" w:color="auto" w:fill="auto"/>
            <w:noWrap/>
            <w:vAlign w:val="bottom"/>
            <w:hideMark/>
          </w:tcPr>
          <w:p w14:paraId="772C4977" w14:textId="77777777" w:rsidR="006F48F9" w:rsidRPr="008669C3" w:rsidRDefault="006F48F9" w:rsidP="005D0BF5">
            <w:pPr>
              <w:jc w:val="center"/>
              <w:rPr>
                <w:color w:val="000000"/>
                <w:sz w:val="22"/>
              </w:rPr>
            </w:pPr>
            <w:r w:rsidRPr="008669C3">
              <w:rPr>
                <w:color w:val="000000"/>
                <w:sz w:val="22"/>
              </w:rPr>
              <w:t>0.154</w:t>
            </w:r>
          </w:p>
        </w:tc>
        <w:tc>
          <w:tcPr>
            <w:tcW w:w="141" w:type="pct"/>
            <w:tcBorders>
              <w:top w:val="nil"/>
              <w:left w:val="nil"/>
              <w:bottom w:val="single" w:sz="4" w:space="0" w:color="auto"/>
              <w:right w:val="nil"/>
            </w:tcBorders>
            <w:shd w:val="clear" w:color="auto" w:fill="auto"/>
            <w:noWrap/>
            <w:vAlign w:val="bottom"/>
            <w:hideMark/>
          </w:tcPr>
          <w:p w14:paraId="790B5C4E" w14:textId="77777777" w:rsidR="006F48F9" w:rsidRPr="008669C3" w:rsidRDefault="006F48F9" w:rsidP="005D0BF5">
            <w:pPr>
              <w:jc w:val="center"/>
              <w:rPr>
                <w:color w:val="000000"/>
                <w:sz w:val="22"/>
              </w:rPr>
            </w:pPr>
            <w:r w:rsidRPr="008669C3">
              <w:rPr>
                <w:color w:val="000000"/>
                <w:sz w:val="22"/>
              </w:rPr>
              <w:t> </w:t>
            </w:r>
          </w:p>
        </w:tc>
        <w:tc>
          <w:tcPr>
            <w:tcW w:w="446" w:type="pct"/>
            <w:tcBorders>
              <w:top w:val="nil"/>
              <w:left w:val="nil"/>
              <w:bottom w:val="single" w:sz="4" w:space="0" w:color="auto"/>
              <w:right w:val="nil"/>
            </w:tcBorders>
            <w:shd w:val="clear" w:color="auto" w:fill="auto"/>
            <w:noWrap/>
            <w:vAlign w:val="bottom"/>
            <w:hideMark/>
          </w:tcPr>
          <w:p w14:paraId="43E102C3" w14:textId="77777777" w:rsidR="006F48F9" w:rsidRPr="008669C3" w:rsidRDefault="006F48F9" w:rsidP="005D0BF5">
            <w:pPr>
              <w:jc w:val="center"/>
              <w:rPr>
                <w:color w:val="000000"/>
                <w:sz w:val="22"/>
              </w:rPr>
            </w:pPr>
            <w:r w:rsidRPr="008669C3">
              <w:rPr>
                <w:color w:val="000000"/>
                <w:sz w:val="22"/>
              </w:rPr>
              <w:t>0.202</w:t>
            </w:r>
          </w:p>
        </w:tc>
        <w:tc>
          <w:tcPr>
            <w:tcW w:w="525" w:type="pct"/>
            <w:tcBorders>
              <w:top w:val="nil"/>
              <w:left w:val="nil"/>
              <w:bottom w:val="single" w:sz="4" w:space="0" w:color="auto"/>
              <w:right w:val="nil"/>
            </w:tcBorders>
            <w:shd w:val="clear" w:color="auto" w:fill="auto"/>
            <w:noWrap/>
            <w:vAlign w:val="bottom"/>
            <w:hideMark/>
          </w:tcPr>
          <w:p w14:paraId="2A33D85F" w14:textId="77777777" w:rsidR="006F48F9" w:rsidRPr="008669C3" w:rsidRDefault="006F48F9" w:rsidP="005D0BF5">
            <w:pPr>
              <w:jc w:val="center"/>
              <w:rPr>
                <w:color w:val="000000"/>
                <w:sz w:val="22"/>
              </w:rPr>
            </w:pPr>
            <w:r w:rsidRPr="008669C3">
              <w:rPr>
                <w:color w:val="000000"/>
                <w:sz w:val="22"/>
              </w:rPr>
              <w:t>0.146</w:t>
            </w:r>
          </w:p>
        </w:tc>
      </w:tr>
    </w:tbl>
    <w:p w14:paraId="07FD1FE3" w14:textId="77777777" w:rsidR="006F48F9" w:rsidRPr="008669C3" w:rsidRDefault="006F48F9" w:rsidP="000276F6">
      <w:pPr>
        <w:autoSpaceDE w:val="0"/>
        <w:autoSpaceDN w:val="0"/>
        <w:adjustRightInd w:val="0"/>
        <w:rPr>
          <w:color w:val="FF0000"/>
        </w:rPr>
      </w:pPr>
    </w:p>
    <w:p w14:paraId="72C03204" w14:textId="77777777" w:rsidR="000C3715" w:rsidRPr="008669C3" w:rsidRDefault="000C3715" w:rsidP="000276F6">
      <w:pPr>
        <w:autoSpaceDE w:val="0"/>
        <w:autoSpaceDN w:val="0"/>
        <w:adjustRightInd w:val="0"/>
        <w:rPr>
          <w:color w:val="FF0000"/>
        </w:rPr>
        <w:sectPr w:rsidR="000C3715" w:rsidRPr="008669C3" w:rsidSect="000276F6">
          <w:pgSz w:w="16838" w:h="11906" w:orient="landscape"/>
          <w:pgMar w:top="1440" w:right="1440" w:bottom="1440" w:left="1440" w:header="709" w:footer="709" w:gutter="0"/>
          <w:cols w:space="708"/>
          <w:docGrid w:linePitch="360"/>
        </w:sectPr>
      </w:pPr>
    </w:p>
    <w:p w14:paraId="78A9A0E4" w14:textId="2552C0EE" w:rsidR="000C3715" w:rsidRPr="008669C3" w:rsidRDefault="000C3715" w:rsidP="000276F6">
      <w:pPr>
        <w:autoSpaceDE w:val="0"/>
        <w:autoSpaceDN w:val="0"/>
        <w:adjustRightInd w:val="0"/>
        <w:rPr>
          <w:color w:val="FF0000"/>
        </w:rPr>
      </w:pPr>
    </w:p>
    <w:p w14:paraId="524BAF33" w14:textId="77777777" w:rsidR="000C3715" w:rsidRPr="008669C3" w:rsidRDefault="000C3715" w:rsidP="000276F6">
      <w:pPr>
        <w:autoSpaceDE w:val="0"/>
        <w:autoSpaceDN w:val="0"/>
        <w:adjustRightInd w:val="0"/>
        <w:rPr>
          <w:color w:val="FF0000"/>
        </w:rPr>
      </w:pPr>
    </w:p>
    <w:p w14:paraId="76EB219A" w14:textId="77777777" w:rsidR="00435172" w:rsidRPr="008669C3" w:rsidRDefault="00435172" w:rsidP="000276F6">
      <w:pPr>
        <w:autoSpaceDE w:val="0"/>
        <w:autoSpaceDN w:val="0"/>
        <w:adjustRightInd w:val="0"/>
        <w:rPr>
          <w:color w:val="FF0000"/>
        </w:rPr>
      </w:pPr>
    </w:p>
    <w:p w14:paraId="3574F80C" w14:textId="77777777" w:rsidR="00435172" w:rsidRPr="008669C3" w:rsidRDefault="00435172" w:rsidP="000276F6">
      <w:pPr>
        <w:autoSpaceDE w:val="0"/>
        <w:autoSpaceDN w:val="0"/>
        <w:adjustRightInd w:val="0"/>
        <w:rPr>
          <w:color w:val="FF0000"/>
        </w:rPr>
      </w:pPr>
    </w:p>
    <w:p w14:paraId="635CBBCD" w14:textId="77777777" w:rsidR="00435172" w:rsidRPr="008669C3" w:rsidRDefault="00435172" w:rsidP="000276F6">
      <w:pPr>
        <w:autoSpaceDE w:val="0"/>
        <w:autoSpaceDN w:val="0"/>
        <w:adjustRightInd w:val="0"/>
        <w:rPr>
          <w:color w:val="FF0000"/>
        </w:rPr>
      </w:pPr>
    </w:p>
    <w:p w14:paraId="779D8056" w14:textId="77777777" w:rsidR="00435172" w:rsidRPr="008669C3" w:rsidRDefault="00435172" w:rsidP="000276F6">
      <w:pPr>
        <w:autoSpaceDE w:val="0"/>
        <w:autoSpaceDN w:val="0"/>
        <w:adjustRightInd w:val="0"/>
        <w:rPr>
          <w:color w:val="FF0000"/>
        </w:rPr>
      </w:pPr>
    </w:p>
    <w:p w14:paraId="70514D6A" w14:textId="77777777" w:rsidR="00435172" w:rsidRPr="008669C3" w:rsidRDefault="00435172" w:rsidP="000276F6">
      <w:pPr>
        <w:autoSpaceDE w:val="0"/>
        <w:autoSpaceDN w:val="0"/>
        <w:adjustRightInd w:val="0"/>
        <w:rPr>
          <w:color w:val="FF0000"/>
        </w:rPr>
      </w:pPr>
    </w:p>
    <w:p w14:paraId="7A13C42E" w14:textId="77777777" w:rsidR="00435172" w:rsidRPr="008669C3" w:rsidRDefault="00435172" w:rsidP="000276F6">
      <w:pPr>
        <w:autoSpaceDE w:val="0"/>
        <w:autoSpaceDN w:val="0"/>
        <w:adjustRightInd w:val="0"/>
        <w:rPr>
          <w:color w:val="FF0000"/>
        </w:rPr>
      </w:pPr>
    </w:p>
    <w:p w14:paraId="635A0F78" w14:textId="77777777" w:rsidR="00435172" w:rsidRPr="008669C3" w:rsidRDefault="00435172" w:rsidP="000276F6">
      <w:pPr>
        <w:autoSpaceDE w:val="0"/>
        <w:autoSpaceDN w:val="0"/>
        <w:adjustRightInd w:val="0"/>
        <w:rPr>
          <w:color w:val="FF0000"/>
        </w:rPr>
      </w:pPr>
    </w:p>
    <w:p w14:paraId="11106B0E" w14:textId="77777777" w:rsidR="00435172" w:rsidRPr="008669C3" w:rsidRDefault="00435172" w:rsidP="000276F6">
      <w:pPr>
        <w:autoSpaceDE w:val="0"/>
        <w:autoSpaceDN w:val="0"/>
        <w:adjustRightInd w:val="0"/>
        <w:rPr>
          <w:color w:val="FF0000"/>
        </w:rPr>
      </w:pPr>
    </w:p>
    <w:p w14:paraId="3DE7A03F" w14:textId="77777777" w:rsidR="00435172" w:rsidRPr="008669C3" w:rsidRDefault="00435172" w:rsidP="000276F6">
      <w:pPr>
        <w:autoSpaceDE w:val="0"/>
        <w:autoSpaceDN w:val="0"/>
        <w:adjustRightInd w:val="0"/>
        <w:rPr>
          <w:color w:val="FF0000"/>
        </w:rPr>
      </w:pPr>
    </w:p>
    <w:p w14:paraId="71534AE1" w14:textId="77777777" w:rsidR="000C3715" w:rsidRPr="008669C3" w:rsidRDefault="000C3715" w:rsidP="000276F6">
      <w:pPr>
        <w:autoSpaceDE w:val="0"/>
        <w:autoSpaceDN w:val="0"/>
        <w:adjustRightInd w:val="0"/>
        <w:rPr>
          <w:color w:val="FF0000"/>
        </w:rPr>
      </w:pPr>
    </w:p>
    <w:p w14:paraId="2CEC0E4C" w14:textId="0F920C92" w:rsidR="000C3715" w:rsidRPr="008669C3" w:rsidRDefault="000C3715" w:rsidP="000C3715">
      <w:pPr>
        <w:jc w:val="center"/>
        <w:rPr>
          <w:b/>
        </w:rPr>
      </w:pPr>
      <w:r w:rsidRPr="008669C3">
        <w:rPr>
          <w:b/>
        </w:rPr>
        <w:t>Table A.</w:t>
      </w:r>
      <w:r w:rsidR="001C1BBC" w:rsidRPr="008669C3">
        <w:rPr>
          <w:b/>
        </w:rPr>
        <w:t>3</w:t>
      </w:r>
    </w:p>
    <w:p w14:paraId="08A2591B" w14:textId="670DB7DF" w:rsidR="00435172" w:rsidRPr="008669C3" w:rsidRDefault="00435172" w:rsidP="00435172">
      <w:pPr>
        <w:jc w:val="center"/>
      </w:pPr>
      <w:r w:rsidRPr="008669C3">
        <w:t>Restricting the sample to the pre-FAS 123R period</w:t>
      </w:r>
    </w:p>
    <w:p w14:paraId="57410BE4" w14:textId="77777777" w:rsidR="00435172" w:rsidRPr="008669C3" w:rsidRDefault="00435172" w:rsidP="00435172">
      <w:pPr>
        <w:jc w:val="both"/>
        <w:rPr>
          <w:sz w:val="20"/>
          <w:szCs w:val="20"/>
        </w:rPr>
      </w:pPr>
    </w:p>
    <w:p w14:paraId="1E269A4F" w14:textId="72704BCA" w:rsidR="000C3715" w:rsidRPr="008669C3" w:rsidRDefault="00435172" w:rsidP="00435172">
      <w:pPr>
        <w:jc w:val="both"/>
        <w:rPr>
          <w:color w:val="FF0000"/>
        </w:rPr>
      </w:pPr>
      <w:r w:rsidRPr="008669C3">
        <w:rPr>
          <w:sz w:val="20"/>
          <w:szCs w:val="20"/>
        </w:rPr>
        <w:t xml:space="preserve">This table reestimates our baseline regressions after restricting the sample to the pre-FAS 123R period. The dependent variable is the natural logarithm of one plus </w:t>
      </w:r>
      <w:r w:rsidRPr="008669C3">
        <w:rPr>
          <w:i/>
          <w:sz w:val="20"/>
          <w:szCs w:val="20"/>
        </w:rPr>
        <w:t>Vega</w:t>
      </w:r>
      <w:r w:rsidRPr="008669C3">
        <w:rPr>
          <w:sz w:val="20"/>
          <w:szCs w:val="20"/>
        </w:rPr>
        <w:t xml:space="preserve">, where </w:t>
      </w:r>
      <w:r w:rsidRPr="008669C3">
        <w:rPr>
          <w:i/>
          <w:sz w:val="20"/>
          <w:szCs w:val="20"/>
        </w:rPr>
        <w:t>Vega</w:t>
      </w:r>
      <w:r w:rsidRPr="008669C3">
        <w:rPr>
          <w:sz w:val="20"/>
          <w:szCs w:val="20"/>
        </w:rPr>
        <w:t xml:space="preserve"> is the change (in thousands of dollars) </w:t>
      </w:r>
      <w:r w:rsidR="008E495C" w:rsidRPr="008669C3">
        <w:rPr>
          <w:sz w:val="20"/>
          <w:szCs w:val="20"/>
        </w:rPr>
        <w:t xml:space="preserve">in </w:t>
      </w:r>
      <w:r w:rsidRPr="008669C3">
        <w:rPr>
          <w:sz w:val="20"/>
          <w:szCs w:val="20"/>
        </w:rPr>
        <w:t xml:space="preserve">the value of the CEO’s wealth due to a 0.01 increase in the annualized standard deviation of the firm’s stock return. Our main variable of interest </w:t>
      </w:r>
      <w:r w:rsidRPr="008669C3">
        <w:rPr>
          <w:i/>
          <w:sz w:val="20"/>
          <w:szCs w:val="20"/>
        </w:rPr>
        <w:t>CDS trading</w:t>
      </w:r>
      <w:r w:rsidRPr="008669C3">
        <w:rPr>
          <w:sz w:val="20"/>
          <w:szCs w:val="20"/>
        </w:rPr>
        <w:t xml:space="preserve"> is an indicator variable that equals one for a CDS firm after the inception of the firm’s CDS trading and zero prior to it. We include the same set of control variables as in Table 4. The coefficient estimates for control variables are suppressed for brevity. Industry-year effects are constructed based on the Fama-French 49-industry classification. Statistical significance is based on the heteroskedasticity robust firm-clustered standard errors reported in brackets. ***, **</w:t>
      </w:r>
      <w:r w:rsidR="008E495C" w:rsidRPr="008669C3">
        <w:rPr>
          <w:sz w:val="20"/>
          <w:szCs w:val="20"/>
        </w:rPr>
        <w:t>,</w:t>
      </w:r>
      <w:r w:rsidRPr="008669C3">
        <w:rPr>
          <w:sz w:val="20"/>
          <w:szCs w:val="20"/>
        </w:rPr>
        <w:t xml:space="preserve"> and * indicate significance at the 1%, 5%</w:t>
      </w:r>
      <w:r w:rsidR="008E495C" w:rsidRPr="008669C3">
        <w:rPr>
          <w:sz w:val="20"/>
          <w:szCs w:val="20"/>
        </w:rPr>
        <w:t>,</w:t>
      </w:r>
      <w:r w:rsidRPr="008669C3">
        <w:rPr>
          <w:sz w:val="20"/>
          <w:szCs w:val="20"/>
        </w:rPr>
        <w:t xml:space="preserve"> and 10% level, respectively.</w:t>
      </w:r>
    </w:p>
    <w:tbl>
      <w:tblPr>
        <w:tblW w:w="5000" w:type="pct"/>
        <w:tblLook w:val="04A0" w:firstRow="1" w:lastRow="0" w:firstColumn="1" w:lastColumn="0" w:noHBand="0" w:noVBand="1"/>
      </w:tblPr>
      <w:tblGrid>
        <w:gridCol w:w="5605"/>
        <w:gridCol w:w="1911"/>
        <w:gridCol w:w="1726"/>
      </w:tblGrid>
      <w:tr w:rsidR="000C3715" w:rsidRPr="008669C3" w14:paraId="631896F8" w14:textId="77777777" w:rsidTr="008E495C">
        <w:trPr>
          <w:trHeight w:val="113"/>
        </w:trPr>
        <w:tc>
          <w:tcPr>
            <w:tcW w:w="3032" w:type="pct"/>
            <w:tcBorders>
              <w:top w:val="single" w:sz="4" w:space="0" w:color="auto"/>
              <w:left w:val="nil"/>
              <w:bottom w:val="nil"/>
              <w:right w:val="nil"/>
            </w:tcBorders>
            <w:shd w:val="clear" w:color="auto" w:fill="auto"/>
            <w:noWrap/>
            <w:vAlign w:val="bottom"/>
            <w:hideMark/>
          </w:tcPr>
          <w:p w14:paraId="5390C746" w14:textId="77777777" w:rsidR="000C3715" w:rsidRPr="008669C3" w:rsidRDefault="000C3715" w:rsidP="00C374A8">
            <w:pPr>
              <w:rPr>
                <w:sz w:val="22"/>
                <w:szCs w:val="22"/>
              </w:rPr>
            </w:pPr>
          </w:p>
        </w:tc>
        <w:tc>
          <w:tcPr>
            <w:tcW w:w="1968" w:type="pct"/>
            <w:gridSpan w:val="2"/>
            <w:tcBorders>
              <w:top w:val="single" w:sz="4" w:space="0" w:color="auto"/>
              <w:left w:val="nil"/>
              <w:bottom w:val="nil"/>
              <w:right w:val="nil"/>
            </w:tcBorders>
            <w:shd w:val="clear" w:color="auto" w:fill="auto"/>
            <w:noWrap/>
            <w:vAlign w:val="center"/>
            <w:hideMark/>
          </w:tcPr>
          <w:p w14:paraId="7439A916" w14:textId="73C8D11C" w:rsidR="000C3715" w:rsidRPr="008669C3" w:rsidRDefault="008E495C" w:rsidP="008E495C">
            <w:pPr>
              <w:jc w:val="center"/>
              <w:rPr>
                <w:i/>
                <w:iCs/>
                <w:color w:val="000000"/>
                <w:sz w:val="22"/>
                <w:szCs w:val="22"/>
              </w:rPr>
            </w:pPr>
            <w:r w:rsidRPr="008669C3">
              <w:rPr>
                <w:sz w:val="22"/>
                <w:szCs w:val="20"/>
              </w:rPr>
              <w:t xml:space="preserve">Dependent variable: </w:t>
            </w:r>
            <w:r w:rsidRPr="008669C3">
              <w:rPr>
                <w:i/>
                <w:iCs/>
                <w:sz w:val="22"/>
                <w:szCs w:val="20"/>
              </w:rPr>
              <w:t>Ln(1+Vega)</w:t>
            </w:r>
          </w:p>
        </w:tc>
      </w:tr>
      <w:tr w:rsidR="000C3715" w:rsidRPr="008669C3" w14:paraId="596DF392" w14:textId="77777777" w:rsidTr="000C3715">
        <w:trPr>
          <w:trHeight w:val="20"/>
        </w:trPr>
        <w:tc>
          <w:tcPr>
            <w:tcW w:w="3032" w:type="pct"/>
            <w:tcBorders>
              <w:top w:val="nil"/>
              <w:left w:val="nil"/>
              <w:bottom w:val="single" w:sz="4" w:space="0" w:color="auto"/>
              <w:right w:val="nil"/>
            </w:tcBorders>
            <w:shd w:val="clear" w:color="auto" w:fill="auto"/>
            <w:noWrap/>
            <w:vAlign w:val="bottom"/>
            <w:hideMark/>
          </w:tcPr>
          <w:p w14:paraId="41648A2D" w14:textId="77777777" w:rsidR="000C3715" w:rsidRPr="008669C3" w:rsidRDefault="000C3715" w:rsidP="00C374A8">
            <w:pPr>
              <w:rPr>
                <w:color w:val="000000"/>
                <w:sz w:val="22"/>
                <w:szCs w:val="22"/>
              </w:rPr>
            </w:pPr>
            <w:r w:rsidRPr="008669C3">
              <w:rPr>
                <w:color w:val="000000"/>
                <w:sz w:val="22"/>
                <w:szCs w:val="22"/>
              </w:rPr>
              <w:t> </w:t>
            </w:r>
          </w:p>
        </w:tc>
        <w:tc>
          <w:tcPr>
            <w:tcW w:w="1034" w:type="pct"/>
            <w:tcBorders>
              <w:top w:val="nil"/>
              <w:left w:val="nil"/>
              <w:bottom w:val="single" w:sz="4" w:space="0" w:color="auto"/>
              <w:right w:val="nil"/>
            </w:tcBorders>
            <w:shd w:val="clear" w:color="auto" w:fill="auto"/>
            <w:noWrap/>
            <w:vAlign w:val="bottom"/>
            <w:hideMark/>
          </w:tcPr>
          <w:p w14:paraId="4915B145" w14:textId="77777777" w:rsidR="000C3715" w:rsidRPr="008669C3" w:rsidRDefault="000C3715" w:rsidP="00C374A8">
            <w:pPr>
              <w:jc w:val="center"/>
              <w:rPr>
                <w:color w:val="000000"/>
                <w:sz w:val="22"/>
                <w:szCs w:val="22"/>
              </w:rPr>
            </w:pPr>
            <w:r w:rsidRPr="008669C3">
              <w:rPr>
                <w:color w:val="000000"/>
                <w:sz w:val="22"/>
                <w:szCs w:val="22"/>
              </w:rPr>
              <w:t>(1)</w:t>
            </w:r>
          </w:p>
        </w:tc>
        <w:tc>
          <w:tcPr>
            <w:tcW w:w="934" w:type="pct"/>
            <w:tcBorders>
              <w:top w:val="nil"/>
              <w:left w:val="nil"/>
              <w:bottom w:val="single" w:sz="4" w:space="0" w:color="auto"/>
              <w:right w:val="nil"/>
            </w:tcBorders>
            <w:shd w:val="clear" w:color="auto" w:fill="auto"/>
            <w:noWrap/>
            <w:vAlign w:val="bottom"/>
            <w:hideMark/>
          </w:tcPr>
          <w:p w14:paraId="603E847F" w14:textId="77777777" w:rsidR="000C3715" w:rsidRPr="008669C3" w:rsidRDefault="000C3715" w:rsidP="00C374A8">
            <w:pPr>
              <w:jc w:val="center"/>
              <w:rPr>
                <w:color w:val="000000"/>
                <w:sz w:val="22"/>
                <w:szCs w:val="22"/>
              </w:rPr>
            </w:pPr>
            <w:r w:rsidRPr="008669C3">
              <w:rPr>
                <w:color w:val="000000"/>
                <w:sz w:val="22"/>
                <w:szCs w:val="22"/>
              </w:rPr>
              <w:t>(2)</w:t>
            </w:r>
          </w:p>
        </w:tc>
      </w:tr>
      <w:tr w:rsidR="000C3715" w:rsidRPr="008669C3" w14:paraId="3A83E48E" w14:textId="77777777" w:rsidTr="000C3715">
        <w:trPr>
          <w:trHeight w:val="20"/>
        </w:trPr>
        <w:tc>
          <w:tcPr>
            <w:tcW w:w="3032" w:type="pct"/>
            <w:tcBorders>
              <w:top w:val="nil"/>
              <w:left w:val="nil"/>
              <w:bottom w:val="nil"/>
              <w:right w:val="nil"/>
            </w:tcBorders>
            <w:shd w:val="clear" w:color="auto" w:fill="auto"/>
            <w:noWrap/>
            <w:vAlign w:val="bottom"/>
            <w:hideMark/>
          </w:tcPr>
          <w:p w14:paraId="6A261668" w14:textId="77777777" w:rsidR="000C3715" w:rsidRPr="008669C3" w:rsidRDefault="000C3715" w:rsidP="00C374A8">
            <w:pPr>
              <w:rPr>
                <w:color w:val="000000"/>
                <w:sz w:val="22"/>
                <w:szCs w:val="22"/>
              </w:rPr>
            </w:pPr>
            <w:r w:rsidRPr="008669C3">
              <w:rPr>
                <w:color w:val="000000"/>
                <w:sz w:val="22"/>
                <w:szCs w:val="22"/>
              </w:rPr>
              <w:t>CDS trading</w:t>
            </w:r>
          </w:p>
        </w:tc>
        <w:tc>
          <w:tcPr>
            <w:tcW w:w="1034" w:type="pct"/>
            <w:tcBorders>
              <w:top w:val="nil"/>
              <w:left w:val="nil"/>
              <w:bottom w:val="nil"/>
              <w:right w:val="nil"/>
            </w:tcBorders>
            <w:shd w:val="clear" w:color="auto" w:fill="auto"/>
            <w:noWrap/>
            <w:vAlign w:val="bottom"/>
            <w:hideMark/>
          </w:tcPr>
          <w:p w14:paraId="523682F9" w14:textId="5E44B8FE" w:rsidR="000C3715" w:rsidRPr="008669C3" w:rsidRDefault="000C3715" w:rsidP="000C3715">
            <w:pPr>
              <w:jc w:val="center"/>
              <w:rPr>
                <w:color w:val="000000"/>
                <w:sz w:val="22"/>
                <w:szCs w:val="22"/>
              </w:rPr>
            </w:pPr>
            <w:r w:rsidRPr="008669C3">
              <w:rPr>
                <w:color w:val="000000"/>
                <w:sz w:val="22"/>
                <w:szCs w:val="22"/>
              </w:rPr>
              <w:t>0.125</w:t>
            </w:r>
          </w:p>
        </w:tc>
        <w:tc>
          <w:tcPr>
            <w:tcW w:w="934" w:type="pct"/>
            <w:tcBorders>
              <w:top w:val="nil"/>
              <w:left w:val="nil"/>
              <w:bottom w:val="nil"/>
              <w:right w:val="nil"/>
            </w:tcBorders>
            <w:shd w:val="clear" w:color="auto" w:fill="auto"/>
            <w:noWrap/>
            <w:vAlign w:val="bottom"/>
            <w:hideMark/>
          </w:tcPr>
          <w:p w14:paraId="104B7994" w14:textId="581EDD64" w:rsidR="000C3715" w:rsidRPr="008669C3" w:rsidRDefault="000C3715" w:rsidP="000C3715">
            <w:pPr>
              <w:jc w:val="center"/>
              <w:rPr>
                <w:color w:val="000000"/>
                <w:sz w:val="22"/>
                <w:szCs w:val="22"/>
              </w:rPr>
            </w:pPr>
            <w:r w:rsidRPr="008669C3">
              <w:rPr>
                <w:color w:val="000000"/>
                <w:sz w:val="22"/>
                <w:szCs w:val="22"/>
              </w:rPr>
              <w:t>0.148</w:t>
            </w:r>
            <w:r w:rsidRPr="008669C3">
              <w:rPr>
                <w:color w:val="000000"/>
                <w:sz w:val="20"/>
                <w:szCs w:val="22"/>
              </w:rPr>
              <w:t>**</w:t>
            </w:r>
          </w:p>
        </w:tc>
      </w:tr>
      <w:tr w:rsidR="000C3715" w:rsidRPr="008669C3" w14:paraId="19E9D8DF" w14:textId="77777777" w:rsidTr="000C3715">
        <w:trPr>
          <w:trHeight w:val="20"/>
        </w:trPr>
        <w:tc>
          <w:tcPr>
            <w:tcW w:w="3032" w:type="pct"/>
            <w:tcBorders>
              <w:top w:val="nil"/>
              <w:left w:val="nil"/>
              <w:bottom w:val="single" w:sz="4" w:space="0" w:color="auto"/>
              <w:right w:val="nil"/>
            </w:tcBorders>
            <w:shd w:val="clear" w:color="auto" w:fill="auto"/>
            <w:noWrap/>
            <w:vAlign w:val="bottom"/>
            <w:hideMark/>
          </w:tcPr>
          <w:p w14:paraId="70E3E17E" w14:textId="77777777" w:rsidR="000C3715" w:rsidRPr="008669C3" w:rsidRDefault="000C3715" w:rsidP="00C374A8">
            <w:pPr>
              <w:jc w:val="center"/>
              <w:rPr>
                <w:color w:val="000000"/>
                <w:sz w:val="22"/>
                <w:szCs w:val="22"/>
              </w:rPr>
            </w:pPr>
          </w:p>
        </w:tc>
        <w:tc>
          <w:tcPr>
            <w:tcW w:w="1034" w:type="pct"/>
            <w:tcBorders>
              <w:top w:val="nil"/>
              <w:left w:val="nil"/>
              <w:bottom w:val="single" w:sz="4" w:space="0" w:color="auto"/>
              <w:right w:val="nil"/>
            </w:tcBorders>
            <w:shd w:val="clear" w:color="auto" w:fill="auto"/>
            <w:noWrap/>
            <w:vAlign w:val="bottom"/>
            <w:hideMark/>
          </w:tcPr>
          <w:p w14:paraId="714E8AAB" w14:textId="19772FEE" w:rsidR="000C3715" w:rsidRPr="008669C3" w:rsidRDefault="000C3715" w:rsidP="000C3715">
            <w:pPr>
              <w:jc w:val="center"/>
              <w:rPr>
                <w:color w:val="000000"/>
                <w:sz w:val="22"/>
                <w:szCs w:val="22"/>
              </w:rPr>
            </w:pPr>
            <w:r w:rsidRPr="008669C3">
              <w:rPr>
                <w:color w:val="000000"/>
                <w:sz w:val="22"/>
                <w:szCs w:val="22"/>
              </w:rPr>
              <w:t>(0.110)</w:t>
            </w:r>
          </w:p>
        </w:tc>
        <w:tc>
          <w:tcPr>
            <w:tcW w:w="934" w:type="pct"/>
            <w:tcBorders>
              <w:top w:val="nil"/>
              <w:left w:val="nil"/>
              <w:bottom w:val="single" w:sz="4" w:space="0" w:color="auto"/>
              <w:right w:val="nil"/>
            </w:tcBorders>
            <w:shd w:val="clear" w:color="auto" w:fill="auto"/>
            <w:noWrap/>
            <w:vAlign w:val="bottom"/>
            <w:hideMark/>
          </w:tcPr>
          <w:p w14:paraId="6D2AB189" w14:textId="3B3B664B" w:rsidR="000C3715" w:rsidRPr="008669C3" w:rsidRDefault="000C3715" w:rsidP="000C3715">
            <w:pPr>
              <w:jc w:val="center"/>
              <w:rPr>
                <w:color w:val="000000"/>
                <w:sz w:val="22"/>
                <w:szCs w:val="22"/>
              </w:rPr>
            </w:pPr>
            <w:r w:rsidRPr="008669C3">
              <w:rPr>
                <w:color w:val="000000"/>
                <w:sz w:val="22"/>
                <w:szCs w:val="22"/>
              </w:rPr>
              <w:t>(0.068)</w:t>
            </w:r>
          </w:p>
        </w:tc>
      </w:tr>
      <w:tr w:rsidR="000C3715" w:rsidRPr="008669C3" w14:paraId="4624B104" w14:textId="77777777" w:rsidTr="000C3715">
        <w:trPr>
          <w:trHeight w:val="20"/>
        </w:trPr>
        <w:tc>
          <w:tcPr>
            <w:tcW w:w="3032" w:type="pct"/>
            <w:tcBorders>
              <w:top w:val="single" w:sz="4" w:space="0" w:color="auto"/>
              <w:left w:val="nil"/>
              <w:bottom w:val="nil"/>
              <w:right w:val="nil"/>
            </w:tcBorders>
            <w:shd w:val="clear" w:color="auto" w:fill="auto"/>
            <w:noWrap/>
            <w:vAlign w:val="bottom"/>
          </w:tcPr>
          <w:p w14:paraId="21FA2A7E" w14:textId="08A7CD09" w:rsidR="000C3715" w:rsidRPr="008669C3" w:rsidRDefault="000C3715" w:rsidP="000C3715">
            <w:pPr>
              <w:rPr>
                <w:color w:val="000000"/>
                <w:sz w:val="22"/>
                <w:szCs w:val="22"/>
              </w:rPr>
            </w:pPr>
            <w:r w:rsidRPr="008669C3">
              <w:rPr>
                <w:color w:val="000000"/>
                <w:sz w:val="22"/>
                <w:szCs w:val="22"/>
              </w:rPr>
              <w:t>All controls</w:t>
            </w:r>
          </w:p>
        </w:tc>
        <w:tc>
          <w:tcPr>
            <w:tcW w:w="1034" w:type="pct"/>
            <w:tcBorders>
              <w:top w:val="single" w:sz="4" w:space="0" w:color="auto"/>
              <w:left w:val="nil"/>
              <w:bottom w:val="nil"/>
              <w:right w:val="nil"/>
            </w:tcBorders>
            <w:shd w:val="clear" w:color="auto" w:fill="auto"/>
            <w:noWrap/>
            <w:vAlign w:val="bottom"/>
          </w:tcPr>
          <w:p w14:paraId="153CDC1F" w14:textId="00A28A1F" w:rsidR="000C3715" w:rsidRPr="008669C3" w:rsidRDefault="000C3715" w:rsidP="000C3715">
            <w:pPr>
              <w:jc w:val="center"/>
              <w:rPr>
                <w:color w:val="000000"/>
                <w:sz w:val="22"/>
                <w:szCs w:val="22"/>
              </w:rPr>
            </w:pPr>
            <w:r w:rsidRPr="008669C3">
              <w:rPr>
                <w:color w:val="000000"/>
                <w:sz w:val="22"/>
                <w:szCs w:val="22"/>
              </w:rPr>
              <w:t>Yes</w:t>
            </w:r>
          </w:p>
        </w:tc>
        <w:tc>
          <w:tcPr>
            <w:tcW w:w="934" w:type="pct"/>
            <w:tcBorders>
              <w:top w:val="single" w:sz="4" w:space="0" w:color="auto"/>
              <w:left w:val="nil"/>
              <w:bottom w:val="nil"/>
              <w:right w:val="nil"/>
            </w:tcBorders>
            <w:shd w:val="clear" w:color="auto" w:fill="auto"/>
            <w:noWrap/>
            <w:vAlign w:val="bottom"/>
          </w:tcPr>
          <w:p w14:paraId="5AD55B84" w14:textId="769975A4" w:rsidR="000C3715" w:rsidRPr="008669C3" w:rsidRDefault="000C3715" w:rsidP="000C3715">
            <w:pPr>
              <w:jc w:val="center"/>
              <w:rPr>
                <w:color w:val="000000"/>
                <w:sz w:val="22"/>
                <w:szCs w:val="22"/>
              </w:rPr>
            </w:pPr>
            <w:r w:rsidRPr="008669C3">
              <w:rPr>
                <w:color w:val="000000"/>
                <w:sz w:val="22"/>
                <w:szCs w:val="22"/>
              </w:rPr>
              <w:t>Yes</w:t>
            </w:r>
          </w:p>
        </w:tc>
      </w:tr>
      <w:tr w:rsidR="000C3715" w:rsidRPr="008669C3" w14:paraId="2C836C73" w14:textId="77777777" w:rsidTr="000C3715">
        <w:trPr>
          <w:trHeight w:val="20"/>
        </w:trPr>
        <w:tc>
          <w:tcPr>
            <w:tcW w:w="3032" w:type="pct"/>
            <w:tcBorders>
              <w:top w:val="nil"/>
              <w:left w:val="nil"/>
              <w:bottom w:val="nil"/>
              <w:right w:val="nil"/>
            </w:tcBorders>
            <w:shd w:val="clear" w:color="auto" w:fill="auto"/>
            <w:noWrap/>
            <w:vAlign w:val="bottom"/>
            <w:hideMark/>
          </w:tcPr>
          <w:p w14:paraId="3B319F7B" w14:textId="77777777" w:rsidR="000C3715" w:rsidRPr="008669C3" w:rsidRDefault="000C3715" w:rsidP="000C3715">
            <w:pPr>
              <w:rPr>
                <w:color w:val="000000"/>
                <w:sz w:val="22"/>
                <w:szCs w:val="22"/>
              </w:rPr>
            </w:pPr>
            <w:r w:rsidRPr="008669C3">
              <w:rPr>
                <w:color w:val="000000"/>
                <w:sz w:val="22"/>
                <w:szCs w:val="22"/>
              </w:rPr>
              <w:t>Firm FE</w:t>
            </w:r>
          </w:p>
        </w:tc>
        <w:tc>
          <w:tcPr>
            <w:tcW w:w="1034" w:type="pct"/>
            <w:tcBorders>
              <w:top w:val="nil"/>
              <w:left w:val="nil"/>
              <w:bottom w:val="nil"/>
              <w:right w:val="nil"/>
            </w:tcBorders>
            <w:shd w:val="clear" w:color="auto" w:fill="auto"/>
            <w:noWrap/>
            <w:vAlign w:val="bottom"/>
            <w:hideMark/>
          </w:tcPr>
          <w:p w14:paraId="79BFFB8F" w14:textId="77777777" w:rsidR="000C3715" w:rsidRPr="008669C3" w:rsidRDefault="000C3715" w:rsidP="000C3715">
            <w:pPr>
              <w:jc w:val="center"/>
              <w:rPr>
                <w:color w:val="000000"/>
                <w:sz w:val="22"/>
                <w:szCs w:val="22"/>
              </w:rPr>
            </w:pPr>
            <w:r w:rsidRPr="008669C3">
              <w:rPr>
                <w:color w:val="000000"/>
                <w:sz w:val="22"/>
                <w:szCs w:val="22"/>
              </w:rPr>
              <w:t>Yes</w:t>
            </w:r>
          </w:p>
        </w:tc>
        <w:tc>
          <w:tcPr>
            <w:tcW w:w="934" w:type="pct"/>
            <w:tcBorders>
              <w:top w:val="nil"/>
              <w:left w:val="nil"/>
              <w:bottom w:val="nil"/>
              <w:right w:val="nil"/>
            </w:tcBorders>
            <w:shd w:val="clear" w:color="auto" w:fill="auto"/>
            <w:noWrap/>
            <w:vAlign w:val="bottom"/>
            <w:hideMark/>
          </w:tcPr>
          <w:p w14:paraId="5522A0E6" w14:textId="3D425F3E" w:rsidR="000C3715" w:rsidRPr="008669C3" w:rsidRDefault="000C3715" w:rsidP="000C3715">
            <w:pPr>
              <w:jc w:val="center"/>
              <w:rPr>
                <w:color w:val="000000"/>
                <w:sz w:val="22"/>
                <w:szCs w:val="22"/>
              </w:rPr>
            </w:pPr>
            <w:r w:rsidRPr="008669C3">
              <w:rPr>
                <w:color w:val="000000"/>
                <w:sz w:val="22"/>
                <w:szCs w:val="22"/>
              </w:rPr>
              <w:t>No</w:t>
            </w:r>
          </w:p>
        </w:tc>
      </w:tr>
      <w:tr w:rsidR="000C3715" w:rsidRPr="008669C3" w14:paraId="7BEBFEF3" w14:textId="77777777" w:rsidTr="000C3715">
        <w:trPr>
          <w:trHeight w:val="20"/>
        </w:trPr>
        <w:tc>
          <w:tcPr>
            <w:tcW w:w="3032" w:type="pct"/>
            <w:tcBorders>
              <w:top w:val="nil"/>
              <w:left w:val="nil"/>
              <w:bottom w:val="nil"/>
              <w:right w:val="nil"/>
            </w:tcBorders>
            <w:shd w:val="clear" w:color="auto" w:fill="auto"/>
            <w:noWrap/>
            <w:vAlign w:val="bottom"/>
            <w:hideMark/>
          </w:tcPr>
          <w:p w14:paraId="48E449E6" w14:textId="1541F4FA" w:rsidR="000C3715" w:rsidRPr="008669C3" w:rsidRDefault="000C3715" w:rsidP="000C3715">
            <w:pPr>
              <w:rPr>
                <w:color w:val="000000"/>
                <w:sz w:val="22"/>
                <w:szCs w:val="22"/>
              </w:rPr>
            </w:pPr>
            <w:r w:rsidRPr="008669C3">
              <w:rPr>
                <w:color w:val="000000"/>
                <w:sz w:val="22"/>
                <w:szCs w:val="22"/>
              </w:rPr>
              <w:t>CEO-Firm FE</w:t>
            </w:r>
          </w:p>
        </w:tc>
        <w:tc>
          <w:tcPr>
            <w:tcW w:w="1034" w:type="pct"/>
            <w:tcBorders>
              <w:top w:val="nil"/>
              <w:left w:val="nil"/>
              <w:bottom w:val="nil"/>
              <w:right w:val="nil"/>
            </w:tcBorders>
            <w:shd w:val="clear" w:color="auto" w:fill="auto"/>
            <w:noWrap/>
            <w:vAlign w:val="bottom"/>
            <w:hideMark/>
          </w:tcPr>
          <w:p w14:paraId="78F3D963" w14:textId="7842FF20" w:rsidR="000C3715" w:rsidRPr="008669C3" w:rsidRDefault="000C3715" w:rsidP="000C3715">
            <w:pPr>
              <w:jc w:val="center"/>
              <w:rPr>
                <w:color w:val="000000"/>
                <w:sz w:val="22"/>
                <w:szCs w:val="22"/>
              </w:rPr>
            </w:pPr>
            <w:r w:rsidRPr="008669C3">
              <w:rPr>
                <w:color w:val="000000"/>
                <w:sz w:val="22"/>
                <w:szCs w:val="22"/>
              </w:rPr>
              <w:t>No</w:t>
            </w:r>
          </w:p>
        </w:tc>
        <w:tc>
          <w:tcPr>
            <w:tcW w:w="934" w:type="pct"/>
            <w:tcBorders>
              <w:top w:val="nil"/>
              <w:left w:val="nil"/>
              <w:bottom w:val="nil"/>
              <w:right w:val="nil"/>
            </w:tcBorders>
            <w:shd w:val="clear" w:color="auto" w:fill="auto"/>
            <w:noWrap/>
            <w:vAlign w:val="bottom"/>
            <w:hideMark/>
          </w:tcPr>
          <w:p w14:paraId="3DE7AD31" w14:textId="77777777" w:rsidR="000C3715" w:rsidRPr="008669C3" w:rsidRDefault="000C3715" w:rsidP="000C3715">
            <w:pPr>
              <w:jc w:val="center"/>
              <w:rPr>
                <w:color w:val="000000"/>
                <w:sz w:val="22"/>
                <w:szCs w:val="22"/>
              </w:rPr>
            </w:pPr>
            <w:r w:rsidRPr="008669C3">
              <w:rPr>
                <w:color w:val="000000"/>
                <w:sz w:val="22"/>
                <w:szCs w:val="22"/>
              </w:rPr>
              <w:t>Yes</w:t>
            </w:r>
          </w:p>
        </w:tc>
      </w:tr>
      <w:tr w:rsidR="000C3715" w:rsidRPr="008669C3" w14:paraId="1D5A90CF" w14:textId="77777777" w:rsidTr="000C3715">
        <w:trPr>
          <w:trHeight w:val="20"/>
        </w:trPr>
        <w:tc>
          <w:tcPr>
            <w:tcW w:w="3032" w:type="pct"/>
            <w:tcBorders>
              <w:top w:val="nil"/>
              <w:left w:val="nil"/>
              <w:bottom w:val="nil"/>
              <w:right w:val="nil"/>
            </w:tcBorders>
            <w:shd w:val="clear" w:color="auto" w:fill="auto"/>
            <w:noWrap/>
            <w:vAlign w:val="bottom"/>
            <w:hideMark/>
          </w:tcPr>
          <w:p w14:paraId="27A09B6D" w14:textId="38E2BA1A" w:rsidR="000C3715" w:rsidRPr="008669C3" w:rsidRDefault="000C3715" w:rsidP="000C3715">
            <w:pPr>
              <w:rPr>
                <w:color w:val="000000"/>
                <w:sz w:val="22"/>
                <w:szCs w:val="22"/>
              </w:rPr>
            </w:pPr>
            <w:r w:rsidRPr="008669C3">
              <w:rPr>
                <w:color w:val="000000"/>
                <w:sz w:val="22"/>
                <w:szCs w:val="22"/>
              </w:rPr>
              <w:t>Industry-Year FE</w:t>
            </w:r>
          </w:p>
        </w:tc>
        <w:tc>
          <w:tcPr>
            <w:tcW w:w="1034" w:type="pct"/>
            <w:tcBorders>
              <w:top w:val="nil"/>
              <w:left w:val="nil"/>
              <w:bottom w:val="nil"/>
              <w:right w:val="nil"/>
            </w:tcBorders>
            <w:shd w:val="clear" w:color="auto" w:fill="auto"/>
            <w:noWrap/>
            <w:vAlign w:val="bottom"/>
            <w:hideMark/>
          </w:tcPr>
          <w:p w14:paraId="577774D8" w14:textId="77777777" w:rsidR="000C3715" w:rsidRPr="008669C3" w:rsidRDefault="000C3715" w:rsidP="000C3715">
            <w:pPr>
              <w:jc w:val="center"/>
              <w:rPr>
                <w:color w:val="000000"/>
                <w:sz w:val="22"/>
                <w:szCs w:val="22"/>
              </w:rPr>
            </w:pPr>
            <w:r w:rsidRPr="008669C3">
              <w:rPr>
                <w:color w:val="000000"/>
                <w:sz w:val="22"/>
                <w:szCs w:val="22"/>
              </w:rPr>
              <w:t>Yes</w:t>
            </w:r>
          </w:p>
        </w:tc>
        <w:tc>
          <w:tcPr>
            <w:tcW w:w="934" w:type="pct"/>
            <w:tcBorders>
              <w:top w:val="nil"/>
              <w:left w:val="nil"/>
              <w:bottom w:val="nil"/>
              <w:right w:val="nil"/>
            </w:tcBorders>
            <w:shd w:val="clear" w:color="auto" w:fill="auto"/>
            <w:noWrap/>
            <w:vAlign w:val="bottom"/>
            <w:hideMark/>
          </w:tcPr>
          <w:p w14:paraId="1CCA70EA" w14:textId="77777777" w:rsidR="000C3715" w:rsidRPr="008669C3" w:rsidRDefault="000C3715" w:rsidP="000C3715">
            <w:pPr>
              <w:jc w:val="center"/>
              <w:rPr>
                <w:color w:val="000000"/>
                <w:sz w:val="22"/>
                <w:szCs w:val="22"/>
              </w:rPr>
            </w:pPr>
            <w:r w:rsidRPr="008669C3">
              <w:rPr>
                <w:color w:val="000000"/>
                <w:sz w:val="22"/>
                <w:szCs w:val="22"/>
              </w:rPr>
              <w:t>Yes</w:t>
            </w:r>
          </w:p>
        </w:tc>
      </w:tr>
      <w:tr w:rsidR="000C3715" w:rsidRPr="008669C3" w14:paraId="33094D6A" w14:textId="77777777" w:rsidTr="000C3715">
        <w:trPr>
          <w:trHeight w:val="20"/>
        </w:trPr>
        <w:tc>
          <w:tcPr>
            <w:tcW w:w="3032" w:type="pct"/>
            <w:tcBorders>
              <w:top w:val="nil"/>
              <w:left w:val="nil"/>
              <w:bottom w:val="nil"/>
              <w:right w:val="nil"/>
            </w:tcBorders>
            <w:shd w:val="clear" w:color="auto" w:fill="auto"/>
            <w:noWrap/>
            <w:vAlign w:val="bottom"/>
            <w:hideMark/>
          </w:tcPr>
          <w:p w14:paraId="367219D6" w14:textId="11C95560" w:rsidR="000C3715" w:rsidRPr="008669C3" w:rsidRDefault="000C3715" w:rsidP="000C3715">
            <w:pPr>
              <w:rPr>
                <w:color w:val="000000"/>
                <w:sz w:val="22"/>
                <w:szCs w:val="22"/>
              </w:rPr>
            </w:pPr>
            <w:r w:rsidRPr="008669C3">
              <w:rPr>
                <w:color w:val="000000"/>
                <w:sz w:val="22"/>
                <w:szCs w:val="22"/>
              </w:rPr>
              <w:t>N</w:t>
            </w:r>
          </w:p>
        </w:tc>
        <w:tc>
          <w:tcPr>
            <w:tcW w:w="1034" w:type="pct"/>
            <w:tcBorders>
              <w:top w:val="nil"/>
              <w:left w:val="nil"/>
              <w:bottom w:val="nil"/>
              <w:right w:val="nil"/>
            </w:tcBorders>
            <w:shd w:val="clear" w:color="auto" w:fill="auto"/>
            <w:noWrap/>
            <w:vAlign w:val="bottom"/>
            <w:hideMark/>
          </w:tcPr>
          <w:p w14:paraId="5255E8E7" w14:textId="26CA7F95" w:rsidR="000C3715" w:rsidRPr="008669C3" w:rsidRDefault="00890C53" w:rsidP="000C3715">
            <w:pPr>
              <w:jc w:val="center"/>
              <w:rPr>
                <w:color w:val="000000"/>
                <w:sz w:val="22"/>
                <w:szCs w:val="22"/>
              </w:rPr>
            </w:pPr>
            <w:r>
              <w:rPr>
                <w:color w:val="000000"/>
                <w:sz w:val="22"/>
                <w:szCs w:val="22"/>
              </w:rPr>
              <w:t>1</w:t>
            </w:r>
            <w:r w:rsidR="000C3715" w:rsidRPr="008669C3">
              <w:rPr>
                <w:color w:val="000000"/>
                <w:sz w:val="22"/>
                <w:szCs w:val="22"/>
              </w:rPr>
              <w:t>918</w:t>
            </w:r>
          </w:p>
        </w:tc>
        <w:tc>
          <w:tcPr>
            <w:tcW w:w="934" w:type="pct"/>
            <w:tcBorders>
              <w:top w:val="nil"/>
              <w:left w:val="nil"/>
              <w:bottom w:val="nil"/>
              <w:right w:val="nil"/>
            </w:tcBorders>
            <w:shd w:val="clear" w:color="auto" w:fill="auto"/>
            <w:noWrap/>
            <w:vAlign w:val="bottom"/>
            <w:hideMark/>
          </w:tcPr>
          <w:p w14:paraId="44D4CEAB" w14:textId="65344E17" w:rsidR="000C3715" w:rsidRPr="008669C3" w:rsidRDefault="00890C53" w:rsidP="000C3715">
            <w:pPr>
              <w:jc w:val="center"/>
              <w:rPr>
                <w:color w:val="000000"/>
                <w:sz w:val="22"/>
                <w:szCs w:val="22"/>
              </w:rPr>
            </w:pPr>
            <w:r>
              <w:rPr>
                <w:color w:val="000000"/>
                <w:sz w:val="22"/>
                <w:szCs w:val="22"/>
              </w:rPr>
              <w:t>1</w:t>
            </w:r>
            <w:r w:rsidR="000C3715" w:rsidRPr="008669C3">
              <w:rPr>
                <w:color w:val="000000"/>
                <w:sz w:val="22"/>
                <w:szCs w:val="22"/>
              </w:rPr>
              <w:t>918</w:t>
            </w:r>
          </w:p>
        </w:tc>
      </w:tr>
      <w:tr w:rsidR="000C3715" w:rsidRPr="008669C3" w14:paraId="327DF5FD" w14:textId="77777777" w:rsidTr="000C3715">
        <w:trPr>
          <w:trHeight w:val="20"/>
        </w:trPr>
        <w:tc>
          <w:tcPr>
            <w:tcW w:w="3032" w:type="pct"/>
            <w:tcBorders>
              <w:top w:val="nil"/>
              <w:left w:val="nil"/>
              <w:bottom w:val="single" w:sz="4" w:space="0" w:color="auto"/>
              <w:right w:val="nil"/>
            </w:tcBorders>
            <w:shd w:val="clear" w:color="auto" w:fill="auto"/>
            <w:noWrap/>
            <w:vAlign w:val="bottom"/>
            <w:hideMark/>
          </w:tcPr>
          <w:p w14:paraId="06EBA671" w14:textId="71AAD262" w:rsidR="000C3715" w:rsidRPr="008669C3" w:rsidRDefault="000C3715" w:rsidP="000C3715">
            <w:pPr>
              <w:rPr>
                <w:color w:val="000000"/>
                <w:sz w:val="22"/>
                <w:szCs w:val="22"/>
              </w:rPr>
            </w:pPr>
            <w:r w:rsidRPr="008669C3">
              <w:rPr>
                <w:sz w:val="22"/>
                <w:szCs w:val="22"/>
              </w:rPr>
              <w:t>Adjusted R</w:t>
            </w:r>
            <w:r w:rsidRPr="008669C3">
              <w:rPr>
                <w:sz w:val="22"/>
                <w:szCs w:val="22"/>
                <w:vertAlign w:val="superscript"/>
              </w:rPr>
              <w:t>2</w:t>
            </w:r>
          </w:p>
        </w:tc>
        <w:tc>
          <w:tcPr>
            <w:tcW w:w="1034" w:type="pct"/>
            <w:tcBorders>
              <w:top w:val="nil"/>
              <w:left w:val="nil"/>
              <w:bottom w:val="single" w:sz="4" w:space="0" w:color="auto"/>
              <w:right w:val="nil"/>
            </w:tcBorders>
            <w:shd w:val="clear" w:color="auto" w:fill="auto"/>
            <w:noWrap/>
            <w:vAlign w:val="bottom"/>
            <w:hideMark/>
          </w:tcPr>
          <w:p w14:paraId="195CE2BE" w14:textId="77777777" w:rsidR="000C3715" w:rsidRPr="008669C3" w:rsidRDefault="000C3715" w:rsidP="000C3715">
            <w:pPr>
              <w:jc w:val="center"/>
              <w:rPr>
                <w:color w:val="000000"/>
                <w:sz w:val="22"/>
                <w:szCs w:val="22"/>
              </w:rPr>
            </w:pPr>
            <w:r w:rsidRPr="008669C3">
              <w:rPr>
                <w:color w:val="000000"/>
                <w:sz w:val="22"/>
                <w:szCs w:val="22"/>
              </w:rPr>
              <w:t>0.090</w:t>
            </w:r>
          </w:p>
        </w:tc>
        <w:tc>
          <w:tcPr>
            <w:tcW w:w="934" w:type="pct"/>
            <w:tcBorders>
              <w:top w:val="nil"/>
              <w:left w:val="nil"/>
              <w:bottom w:val="single" w:sz="4" w:space="0" w:color="auto"/>
              <w:right w:val="nil"/>
            </w:tcBorders>
            <w:shd w:val="clear" w:color="auto" w:fill="auto"/>
            <w:noWrap/>
            <w:vAlign w:val="bottom"/>
            <w:hideMark/>
          </w:tcPr>
          <w:p w14:paraId="1B735483" w14:textId="77777777" w:rsidR="000C3715" w:rsidRPr="008669C3" w:rsidRDefault="000C3715" w:rsidP="000C3715">
            <w:pPr>
              <w:jc w:val="center"/>
              <w:rPr>
                <w:color w:val="000000"/>
                <w:sz w:val="22"/>
                <w:szCs w:val="22"/>
              </w:rPr>
            </w:pPr>
            <w:r w:rsidRPr="008669C3">
              <w:rPr>
                <w:color w:val="000000"/>
                <w:sz w:val="22"/>
                <w:szCs w:val="22"/>
              </w:rPr>
              <w:t>0.116</w:t>
            </w:r>
          </w:p>
        </w:tc>
      </w:tr>
    </w:tbl>
    <w:p w14:paraId="1E8E48EF" w14:textId="77777777" w:rsidR="000C3715" w:rsidRPr="008669C3" w:rsidRDefault="000C3715" w:rsidP="000276F6">
      <w:pPr>
        <w:autoSpaceDE w:val="0"/>
        <w:autoSpaceDN w:val="0"/>
        <w:adjustRightInd w:val="0"/>
        <w:rPr>
          <w:color w:val="FF0000"/>
        </w:rPr>
      </w:pPr>
    </w:p>
    <w:p w14:paraId="4B8DDB46" w14:textId="77777777" w:rsidR="00A333E3" w:rsidRPr="008669C3" w:rsidRDefault="00A333E3" w:rsidP="000276F6">
      <w:pPr>
        <w:autoSpaceDE w:val="0"/>
        <w:autoSpaceDN w:val="0"/>
        <w:adjustRightInd w:val="0"/>
        <w:rPr>
          <w:color w:val="FF0000"/>
        </w:rPr>
      </w:pPr>
    </w:p>
    <w:p w14:paraId="1C21ED8A" w14:textId="77777777" w:rsidR="00A333E3" w:rsidRPr="008669C3" w:rsidRDefault="00A333E3" w:rsidP="000276F6">
      <w:pPr>
        <w:autoSpaceDE w:val="0"/>
        <w:autoSpaceDN w:val="0"/>
        <w:adjustRightInd w:val="0"/>
        <w:rPr>
          <w:color w:val="FF0000"/>
        </w:rPr>
      </w:pPr>
    </w:p>
    <w:p w14:paraId="5CA28A31" w14:textId="77777777" w:rsidR="00A333E3" w:rsidRPr="008669C3" w:rsidRDefault="00A333E3" w:rsidP="000276F6">
      <w:pPr>
        <w:autoSpaceDE w:val="0"/>
        <w:autoSpaceDN w:val="0"/>
        <w:adjustRightInd w:val="0"/>
        <w:rPr>
          <w:color w:val="FF0000"/>
        </w:rPr>
      </w:pPr>
    </w:p>
    <w:p w14:paraId="629C6971" w14:textId="77777777" w:rsidR="00A333E3" w:rsidRPr="008669C3" w:rsidRDefault="00A333E3" w:rsidP="000276F6">
      <w:pPr>
        <w:autoSpaceDE w:val="0"/>
        <w:autoSpaceDN w:val="0"/>
        <w:adjustRightInd w:val="0"/>
        <w:rPr>
          <w:color w:val="FF0000"/>
        </w:rPr>
      </w:pPr>
    </w:p>
    <w:p w14:paraId="2586069E" w14:textId="77777777" w:rsidR="00A333E3" w:rsidRPr="008669C3" w:rsidRDefault="00A333E3" w:rsidP="000276F6">
      <w:pPr>
        <w:autoSpaceDE w:val="0"/>
        <w:autoSpaceDN w:val="0"/>
        <w:adjustRightInd w:val="0"/>
        <w:rPr>
          <w:color w:val="FF0000"/>
        </w:rPr>
      </w:pPr>
    </w:p>
    <w:p w14:paraId="21B8AAD3" w14:textId="77777777" w:rsidR="00A333E3" w:rsidRPr="008669C3" w:rsidRDefault="00A333E3" w:rsidP="000276F6">
      <w:pPr>
        <w:autoSpaceDE w:val="0"/>
        <w:autoSpaceDN w:val="0"/>
        <w:adjustRightInd w:val="0"/>
        <w:rPr>
          <w:color w:val="FF0000"/>
        </w:rPr>
      </w:pPr>
    </w:p>
    <w:p w14:paraId="447E28CF" w14:textId="77777777" w:rsidR="00A333E3" w:rsidRPr="008669C3" w:rsidRDefault="00A333E3" w:rsidP="000276F6">
      <w:pPr>
        <w:autoSpaceDE w:val="0"/>
        <w:autoSpaceDN w:val="0"/>
        <w:adjustRightInd w:val="0"/>
        <w:rPr>
          <w:color w:val="FF0000"/>
        </w:rPr>
      </w:pPr>
    </w:p>
    <w:p w14:paraId="0AAC1F94" w14:textId="77777777" w:rsidR="00A333E3" w:rsidRPr="008669C3" w:rsidRDefault="00A333E3" w:rsidP="000276F6">
      <w:pPr>
        <w:autoSpaceDE w:val="0"/>
        <w:autoSpaceDN w:val="0"/>
        <w:adjustRightInd w:val="0"/>
        <w:rPr>
          <w:color w:val="FF0000"/>
        </w:rPr>
      </w:pPr>
    </w:p>
    <w:p w14:paraId="08442764" w14:textId="77777777" w:rsidR="00A333E3" w:rsidRPr="008669C3" w:rsidRDefault="00A333E3" w:rsidP="000276F6">
      <w:pPr>
        <w:autoSpaceDE w:val="0"/>
        <w:autoSpaceDN w:val="0"/>
        <w:adjustRightInd w:val="0"/>
        <w:rPr>
          <w:color w:val="FF0000"/>
        </w:rPr>
      </w:pPr>
    </w:p>
    <w:p w14:paraId="39A7EAC4" w14:textId="77777777" w:rsidR="00A333E3" w:rsidRPr="008669C3" w:rsidRDefault="00A333E3" w:rsidP="000276F6">
      <w:pPr>
        <w:autoSpaceDE w:val="0"/>
        <w:autoSpaceDN w:val="0"/>
        <w:adjustRightInd w:val="0"/>
        <w:rPr>
          <w:color w:val="FF0000"/>
        </w:rPr>
      </w:pPr>
    </w:p>
    <w:p w14:paraId="409F9EF6" w14:textId="77777777" w:rsidR="008942EA" w:rsidRPr="008669C3" w:rsidRDefault="008942EA" w:rsidP="00A333E3">
      <w:pPr>
        <w:rPr>
          <w:sz w:val="20"/>
          <w:szCs w:val="20"/>
        </w:rPr>
        <w:sectPr w:rsidR="008942EA" w:rsidRPr="008669C3" w:rsidSect="000C3715">
          <w:pgSz w:w="11906" w:h="16838"/>
          <w:pgMar w:top="1440" w:right="1440" w:bottom="1440" w:left="1440" w:header="709" w:footer="709" w:gutter="0"/>
          <w:cols w:space="708"/>
          <w:docGrid w:linePitch="360"/>
        </w:sectPr>
      </w:pPr>
    </w:p>
    <w:p w14:paraId="0A10963E" w14:textId="77777777" w:rsidR="006D3515" w:rsidRPr="008669C3" w:rsidRDefault="006D3515" w:rsidP="000276F6">
      <w:pPr>
        <w:autoSpaceDE w:val="0"/>
        <w:autoSpaceDN w:val="0"/>
        <w:adjustRightInd w:val="0"/>
        <w:rPr>
          <w:color w:val="FF0000"/>
        </w:rPr>
      </w:pPr>
    </w:p>
    <w:p w14:paraId="39608511" w14:textId="77777777" w:rsidR="006D3515" w:rsidRPr="008669C3" w:rsidRDefault="006D3515" w:rsidP="000276F6">
      <w:pPr>
        <w:autoSpaceDE w:val="0"/>
        <w:autoSpaceDN w:val="0"/>
        <w:adjustRightInd w:val="0"/>
        <w:rPr>
          <w:color w:val="FF0000"/>
        </w:rPr>
      </w:pPr>
    </w:p>
    <w:p w14:paraId="2F45C8BD" w14:textId="77777777" w:rsidR="006D3515" w:rsidRPr="008669C3" w:rsidRDefault="006D3515" w:rsidP="000276F6">
      <w:pPr>
        <w:autoSpaceDE w:val="0"/>
        <w:autoSpaceDN w:val="0"/>
        <w:adjustRightInd w:val="0"/>
        <w:rPr>
          <w:color w:val="FF0000"/>
        </w:rPr>
      </w:pPr>
    </w:p>
    <w:p w14:paraId="3E07857D" w14:textId="3C5ED6FB" w:rsidR="006D3515" w:rsidRPr="008669C3" w:rsidRDefault="006D3515" w:rsidP="006D3515">
      <w:pPr>
        <w:jc w:val="center"/>
        <w:rPr>
          <w:b/>
        </w:rPr>
      </w:pPr>
      <w:r w:rsidRPr="008669C3">
        <w:rPr>
          <w:b/>
        </w:rPr>
        <w:t>Table A.</w:t>
      </w:r>
      <w:r w:rsidR="001C1BBC" w:rsidRPr="008669C3">
        <w:rPr>
          <w:b/>
        </w:rPr>
        <w:t>4</w:t>
      </w:r>
    </w:p>
    <w:p w14:paraId="2332CB0F" w14:textId="707A478A" w:rsidR="006D3515" w:rsidRPr="008669C3" w:rsidRDefault="006D3515" w:rsidP="006D3515">
      <w:pPr>
        <w:autoSpaceDE w:val="0"/>
        <w:autoSpaceDN w:val="0"/>
        <w:adjustRightInd w:val="0"/>
        <w:jc w:val="center"/>
        <w:rPr>
          <w:color w:val="FF0000"/>
        </w:rPr>
      </w:pPr>
      <w:r w:rsidRPr="008669C3">
        <w:t>Firm refinancing needs and the relation between CDS introduction and vega</w:t>
      </w:r>
    </w:p>
    <w:p w14:paraId="6EA4D477" w14:textId="77777777" w:rsidR="006D3515" w:rsidRPr="008669C3" w:rsidRDefault="006D3515" w:rsidP="000276F6">
      <w:pPr>
        <w:autoSpaceDE w:val="0"/>
        <w:autoSpaceDN w:val="0"/>
        <w:adjustRightInd w:val="0"/>
        <w:rPr>
          <w:color w:val="FF0000"/>
        </w:rPr>
      </w:pPr>
    </w:p>
    <w:p w14:paraId="45A8494B" w14:textId="6C3FEC64" w:rsidR="008942EA" w:rsidRPr="008669C3" w:rsidRDefault="006D3515" w:rsidP="006D3515">
      <w:pPr>
        <w:jc w:val="both"/>
        <w:rPr>
          <w:color w:val="FF0000"/>
        </w:rPr>
      </w:pPr>
      <w:r w:rsidRPr="008669C3">
        <w:rPr>
          <w:sz w:val="20"/>
          <w:szCs w:val="20"/>
        </w:rPr>
        <w:t xml:space="preserve">This table examines whether firm refinancing needs affect the relation between CDS introduction and CEO vega. The dependent variable is the natural logarithm of one plus </w:t>
      </w:r>
      <w:r w:rsidRPr="008669C3">
        <w:rPr>
          <w:i/>
          <w:sz w:val="20"/>
          <w:szCs w:val="20"/>
        </w:rPr>
        <w:t>Vega</w:t>
      </w:r>
      <w:r w:rsidRPr="008669C3">
        <w:rPr>
          <w:sz w:val="20"/>
          <w:szCs w:val="20"/>
        </w:rPr>
        <w:t xml:space="preserve">, where </w:t>
      </w:r>
      <w:r w:rsidRPr="008669C3">
        <w:rPr>
          <w:i/>
          <w:sz w:val="20"/>
          <w:szCs w:val="20"/>
        </w:rPr>
        <w:t>Vega</w:t>
      </w:r>
      <w:r w:rsidRPr="008669C3">
        <w:rPr>
          <w:sz w:val="20"/>
          <w:szCs w:val="20"/>
        </w:rPr>
        <w:t xml:space="preserve"> is the change (in thousands of dollars) </w:t>
      </w:r>
      <w:r w:rsidR="008E495C" w:rsidRPr="008669C3">
        <w:rPr>
          <w:sz w:val="20"/>
          <w:szCs w:val="20"/>
        </w:rPr>
        <w:t xml:space="preserve">in </w:t>
      </w:r>
      <w:r w:rsidRPr="008669C3">
        <w:rPr>
          <w:sz w:val="20"/>
          <w:szCs w:val="20"/>
        </w:rPr>
        <w:t xml:space="preserve">the value of the CEO’s wealth due to a 0.01 increase in the annualized standard deviation of the firm’s stock return. Our main variable of interest </w:t>
      </w:r>
      <w:r w:rsidRPr="008669C3">
        <w:rPr>
          <w:i/>
          <w:sz w:val="20"/>
          <w:szCs w:val="20"/>
        </w:rPr>
        <w:t>CDS trading</w:t>
      </w:r>
      <w:r w:rsidRPr="008669C3">
        <w:rPr>
          <w:sz w:val="20"/>
          <w:szCs w:val="20"/>
        </w:rPr>
        <w:t xml:space="preserve"> is an indicator variable that equals one for a CDS firm after the inception of the firm’s CDS trading and zero prior to it. We include the same set of control variables as in Table 4. The coefficient estimates for control variables are suppressed for brevity. In columns (1) and (2), we exclude firms with high refinancing needs. In columns (3) and (4), we include </w:t>
      </w:r>
      <w:r w:rsidRPr="008669C3">
        <w:rPr>
          <w:i/>
          <w:sz w:val="20"/>
          <w:szCs w:val="20"/>
        </w:rPr>
        <w:t>High refinancing needs</w:t>
      </w:r>
      <w:r w:rsidRPr="008669C3">
        <w:rPr>
          <w:sz w:val="20"/>
          <w:szCs w:val="20"/>
        </w:rPr>
        <w:t xml:space="preserve"> and its interaction with </w:t>
      </w:r>
      <w:r w:rsidRPr="008669C3">
        <w:rPr>
          <w:i/>
          <w:sz w:val="20"/>
          <w:szCs w:val="20"/>
        </w:rPr>
        <w:t>CDS trading</w:t>
      </w:r>
      <w:r w:rsidRPr="008669C3">
        <w:rPr>
          <w:sz w:val="20"/>
          <w:szCs w:val="20"/>
        </w:rPr>
        <w:t xml:space="preserve"> as additional controls. </w:t>
      </w:r>
      <w:r w:rsidRPr="008669C3">
        <w:rPr>
          <w:i/>
          <w:sz w:val="20"/>
          <w:lang w:val="en-US"/>
        </w:rPr>
        <w:t>High refinancing needs</w:t>
      </w:r>
      <w:r w:rsidRPr="008669C3">
        <w:rPr>
          <w:sz w:val="20"/>
          <w:lang w:val="en-US"/>
        </w:rPr>
        <w:t xml:space="preserve"> is a dummy variable equals one if </w:t>
      </w:r>
      <w:r w:rsidRPr="008669C3">
        <w:rPr>
          <w:i/>
          <w:sz w:val="20"/>
          <w:lang w:val="en-US"/>
        </w:rPr>
        <w:t>ST3</w:t>
      </w:r>
      <w:r w:rsidRPr="008669C3">
        <w:rPr>
          <w:sz w:val="20"/>
          <w:lang w:val="en-US"/>
        </w:rPr>
        <w:t xml:space="preserve"> and </w:t>
      </w:r>
      <w:r w:rsidRPr="008669C3">
        <w:rPr>
          <w:i/>
          <w:sz w:val="20"/>
          <w:lang w:val="en-US"/>
        </w:rPr>
        <w:t>Book leverage</w:t>
      </w:r>
      <w:r w:rsidRPr="008669C3">
        <w:rPr>
          <w:sz w:val="20"/>
          <w:lang w:val="en-US"/>
        </w:rPr>
        <w:t xml:space="preserve"> are above the sample median for that fiscal year and zero otherwise, where </w:t>
      </w:r>
      <w:r w:rsidRPr="008669C3">
        <w:rPr>
          <w:i/>
          <w:sz w:val="20"/>
          <w:lang w:val="en-US"/>
        </w:rPr>
        <w:t>ST3</w:t>
      </w:r>
      <w:r w:rsidRPr="008669C3">
        <w:rPr>
          <w:sz w:val="20"/>
          <w:lang w:val="en-US"/>
        </w:rPr>
        <w:t xml:space="preserve"> is the book value of the debt maturing within the next 3 years scaled by the book value of total debt. We obtain </w:t>
      </w:r>
      <w:r w:rsidR="008E495C" w:rsidRPr="008669C3">
        <w:rPr>
          <w:sz w:val="20"/>
          <w:lang w:val="en-US"/>
        </w:rPr>
        <w:t xml:space="preserve">the </w:t>
      </w:r>
      <w:r w:rsidRPr="008669C3">
        <w:rPr>
          <w:sz w:val="20"/>
          <w:lang w:val="en-US"/>
        </w:rPr>
        <w:t xml:space="preserve">debt maturity information from Capital IQ. </w:t>
      </w:r>
      <w:r w:rsidRPr="008669C3">
        <w:rPr>
          <w:sz w:val="20"/>
          <w:szCs w:val="20"/>
        </w:rPr>
        <w:t>Industry-year effects are constructed based on the Fama-French 49-industry classification. Statistical significance is based on the heteroskedasticity robust firm-clustered standard errors reported in brackets. ***, **</w:t>
      </w:r>
      <w:r w:rsidR="008E495C" w:rsidRPr="008669C3">
        <w:rPr>
          <w:sz w:val="20"/>
          <w:szCs w:val="20"/>
        </w:rPr>
        <w:t>,</w:t>
      </w:r>
      <w:r w:rsidRPr="008669C3">
        <w:rPr>
          <w:sz w:val="20"/>
          <w:szCs w:val="20"/>
        </w:rPr>
        <w:t xml:space="preserve"> and * indicate significance at the 1%, 5%</w:t>
      </w:r>
      <w:r w:rsidR="008E495C" w:rsidRPr="008669C3">
        <w:rPr>
          <w:sz w:val="20"/>
          <w:szCs w:val="20"/>
        </w:rPr>
        <w:t>,</w:t>
      </w:r>
      <w:r w:rsidRPr="008669C3">
        <w:rPr>
          <w:sz w:val="20"/>
          <w:szCs w:val="20"/>
        </w:rPr>
        <w:t xml:space="preserve"> and 10% level, respectively.</w:t>
      </w:r>
    </w:p>
    <w:tbl>
      <w:tblPr>
        <w:tblW w:w="5000" w:type="pct"/>
        <w:tblLook w:val="04A0" w:firstRow="1" w:lastRow="0" w:firstColumn="1" w:lastColumn="0" w:noHBand="0" w:noVBand="1"/>
      </w:tblPr>
      <w:tblGrid>
        <w:gridCol w:w="4133"/>
        <w:gridCol w:w="2577"/>
        <w:gridCol w:w="2577"/>
        <w:gridCol w:w="403"/>
        <w:gridCol w:w="2242"/>
        <w:gridCol w:w="2242"/>
      </w:tblGrid>
      <w:tr w:rsidR="008942EA" w:rsidRPr="008669C3" w14:paraId="079DC924" w14:textId="77777777" w:rsidTr="000819CD">
        <w:trPr>
          <w:trHeight w:val="340"/>
        </w:trPr>
        <w:tc>
          <w:tcPr>
            <w:tcW w:w="1458" w:type="pct"/>
            <w:tcBorders>
              <w:top w:val="single" w:sz="4" w:space="0" w:color="auto"/>
              <w:left w:val="nil"/>
              <w:bottom w:val="nil"/>
              <w:right w:val="nil"/>
            </w:tcBorders>
            <w:shd w:val="clear" w:color="auto" w:fill="auto"/>
            <w:noWrap/>
            <w:vAlign w:val="bottom"/>
            <w:hideMark/>
          </w:tcPr>
          <w:p w14:paraId="6D323ECC" w14:textId="77777777" w:rsidR="008942EA" w:rsidRPr="008669C3" w:rsidRDefault="008942EA" w:rsidP="009A54F1">
            <w:pPr>
              <w:rPr>
                <w:sz w:val="20"/>
                <w:szCs w:val="20"/>
              </w:rPr>
            </w:pPr>
          </w:p>
        </w:tc>
        <w:tc>
          <w:tcPr>
            <w:tcW w:w="3542" w:type="pct"/>
            <w:gridSpan w:val="5"/>
            <w:tcBorders>
              <w:top w:val="single" w:sz="4" w:space="0" w:color="auto"/>
              <w:left w:val="nil"/>
              <w:bottom w:val="single" w:sz="4" w:space="0" w:color="auto"/>
              <w:right w:val="nil"/>
            </w:tcBorders>
            <w:shd w:val="clear" w:color="auto" w:fill="auto"/>
            <w:noWrap/>
            <w:vAlign w:val="center"/>
            <w:hideMark/>
          </w:tcPr>
          <w:p w14:paraId="3BA016F7" w14:textId="4C7771C0" w:rsidR="008942EA" w:rsidRPr="008669C3" w:rsidRDefault="008E495C" w:rsidP="000819CD">
            <w:pPr>
              <w:jc w:val="center"/>
              <w:rPr>
                <w:i/>
                <w:color w:val="000000"/>
                <w:sz w:val="22"/>
                <w:szCs w:val="22"/>
              </w:rPr>
            </w:pPr>
            <w:r w:rsidRPr="008669C3">
              <w:rPr>
                <w:sz w:val="22"/>
                <w:szCs w:val="20"/>
              </w:rPr>
              <w:t xml:space="preserve">Dependent variable: </w:t>
            </w:r>
            <w:r w:rsidRPr="008669C3">
              <w:rPr>
                <w:i/>
                <w:iCs/>
                <w:sz w:val="22"/>
                <w:szCs w:val="20"/>
              </w:rPr>
              <w:t>Ln(1+Vega)</w:t>
            </w:r>
          </w:p>
        </w:tc>
      </w:tr>
      <w:tr w:rsidR="008942EA" w:rsidRPr="008669C3" w14:paraId="14B72843" w14:textId="77777777" w:rsidTr="000819CD">
        <w:trPr>
          <w:trHeight w:val="20"/>
        </w:trPr>
        <w:tc>
          <w:tcPr>
            <w:tcW w:w="1458" w:type="pct"/>
            <w:tcBorders>
              <w:top w:val="nil"/>
              <w:left w:val="nil"/>
              <w:bottom w:val="nil"/>
              <w:right w:val="nil"/>
            </w:tcBorders>
            <w:shd w:val="clear" w:color="auto" w:fill="auto"/>
            <w:noWrap/>
            <w:vAlign w:val="bottom"/>
            <w:hideMark/>
          </w:tcPr>
          <w:p w14:paraId="4B3A2186" w14:textId="77777777" w:rsidR="008942EA" w:rsidRPr="008669C3" w:rsidRDefault="008942EA" w:rsidP="009A54F1">
            <w:pPr>
              <w:jc w:val="center"/>
              <w:rPr>
                <w:color w:val="000000"/>
                <w:sz w:val="22"/>
                <w:szCs w:val="22"/>
              </w:rPr>
            </w:pPr>
          </w:p>
        </w:tc>
        <w:tc>
          <w:tcPr>
            <w:tcW w:w="1818" w:type="pct"/>
            <w:gridSpan w:val="2"/>
            <w:tcBorders>
              <w:top w:val="single" w:sz="4" w:space="0" w:color="auto"/>
              <w:left w:val="nil"/>
              <w:bottom w:val="nil"/>
              <w:right w:val="nil"/>
            </w:tcBorders>
            <w:shd w:val="clear" w:color="auto" w:fill="auto"/>
            <w:noWrap/>
            <w:vAlign w:val="bottom"/>
            <w:hideMark/>
          </w:tcPr>
          <w:p w14:paraId="1024FB68" w14:textId="77777777" w:rsidR="008942EA" w:rsidRPr="008669C3" w:rsidRDefault="008942EA" w:rsidP="009A54F1">
            <w:pPr>
              <w:jc w:val="center"/>
              <w:rPr>
                <w:color w:val="000000"/>
                <w:sz w:val="22"/>
                <w:szCs w:val="22"/>
              </w:rPr>
            </w:pPr>
            <w:r w:rsidRPr="008669C3">
              <w:rPr>
                <w:color w:val="000000"/>
                <w:sz w:val="22"/>
                <w:szCs w:val="22"/>
              </w:rPr>
              <w:t>Excluding firms with high refinancing needs</w:t>
            </w:r>
          </w:p>
        </w:tc>
        <w:tc>
          <w:tcPr>
            <w:tcW w:w="142" w:type="pct"/>
            <w:tcBorders>
              <w:top w:val="single" w:sz="4" w:space="0" w:color="auto"/>
              <w:left w:val="nil"/>
              <w:bottom w:val="nil"/>
              <w:right w:val="nil"/>
            </w:tcBorders>
            <w:shd w:val="clear" w:color="auto" w:fill="auto"/>
            <w:noWrap/>
            <w:vAlign w:val="bottom"/>
            <w:hideMark/>
          </w:tcPr>
          <w:p w14:paraId="75CD8391" w14:textId="77777777" w:rsidR="008942EA" w:rsidRPr="008669C3" w:rsidRDefault="008942EA" w:rsidP="009A54F1">
            <w:pPr>
              <w:jc w:val="center"/>
              <w:rPr>
                <w:color w:val="000000"/>
                <w:sz w:val="22"/>
                <w:szCs w:val="22"/>
              </w:rPr>
            </w:pPr>
          </w:p>
        </w:tc>
        <w:tc>
          <w:tcPr>
            <w:tcW w:w="1582" w:type="pct"/>
            <w:gridSpan w:val="2"/>
            <w:tcBorders>
              <w:top w:val="single" w:sz="4" w:space="0" w:color="auto"/>
              <w:left w:val="nil"/>
              <w:bottom w:val="nil"/>
              <w:right w:val="nil"/>
            </w:tcBorders>
            <w:shd w:val="clear" w:color="auto" w:fill="auto"/>
            <w:noWrap/>
            <w:vAlign w:val="bottom"/>
            <w:hideMark/>
          </w:tcPr>
          <w:p w14:paraId="683D5A1E" w14:textId="77777777" w:rsidR="008942EA" w:rsidRPr="008669C3" w:rsidRDefault="008942EA" w:rsidP="009A54F1">
            <w:pPr>
              <w:jc w:val="center"/>
              <w:rPr>
                <w:color w:val="000000"/>
                <w:sz w:val="22"/>
                <w:szCs w:val="22"/>
              </w:rPr>
            </w:pPr>
            <w:r w:rsidRPr="008669C3">
              <w:rPr>
                <w:color w:val="000000"/>
                <w:sz w:val="22"/>
                <w:szCs w:val="22"/>
              </w:rPr>
              <w:t>Controlling for firm refinancing needs</w:t>
            </w:r>
          </w:p>
        </w:tc>
      </w:tr>
      <w:tr w:rsidR="008942EA" w:rsidRPr="008669C3" w14:paraId="32E4859D" w14:textId="77777777" w:rsidTr="000819CD">
        <w:trPr>
          <w:trHeight w:val="20"/>
        </w:trPr>
        <w:tc>
          <w:tcPr>
            <w:tcW w:w="1458" w:type="pct"/>
            <w:tcBorders>
              <w:top w:val="nil"/>
              <w:left w:val="nil"/>
              <w:bottom w:val="single" w:sz="4" w:space="0" w:color="auto"/>
              <w:right w:val="nil"/>
            </w:tcBorders>
            <w:shd w:val="clear" w:color="auto" w:fill="auto"/>
            <w:noWrap/>
            <w:vAlign w:val="bottom"/>
            <w:hideMark/>
          </w:tcPr>
          <w:p w14:paraId="51905360" w14:textId="77777777" w:rsidR="008942EA" w:rsidRPr="008669C3" w:rsidRDefault="008942EA" w:rsidP="009A54F1">
            <w:pPr>
              <w:rPr>
                <w:color w:val="000000"/>
                <w:sz w:val="22"/>
                <w:szCs w:val="22"/>
              </w:rPr>
            </w:pPr>
            <w:r w:rsidRPr="008669C3">
              <w:rPr>
                <w:color w:val="000000"/>
                <w:sz w:val="22"/>
                <w:szCs w:val="22"/>
              </w:rPr>
              <w:t> </w:t>
            </w:r>
          </w:p>
        </w:tc>
        <w:tc>
          <w:tcPr>
            <w:tcW w:w="909" w:type="pct"/>
            <w:tcBorders>
              <w:top w:val="nil"/>
              <w:left w:val="nil"/>
              <w:bottom w:val="single" w:sz="4" w:space="0" w:color="auto"/>
              <w:right w:val="nil"/>
            </w:tcBorders>
            <w:shd w:val="clear" w:color="auto" w:fill="auto"/>
            <w:noWrap/>
            <w:vAlign w:val="bottom"/>
            <w:hideMark/>
          </w:tcPr>
          <w:p w14:paraId="28DB7D31" w14:textId="77777777" w:rsidR="008942EA" w:rsidRPr="008669C3" w:rsidRDefault="008942EA" w:rsidP="009A54F1">
            <w:pPr>
              <w:jc w:val="center"/>
              <w:rPr>
                <w:color w:val="000000"/>
                <w:sz w:val="22"/>
                <w:szCs w:val="22"/>
              </w:rPr>
            </w:pPr>
            <w:r w:rsidRPr="008669C3">
              <w:rPr>
                <w:color w:val="000000"/>
                <w:sz w:val="22"/>
                <w:szCs w:val="22"/>
              </w:rPr>
              <w:t>(1)</w:t>
            </w:r>
          </w:p>
        </w:tc>
        <w:tc>
          <w:tcPr>
            <w:tcW w:w="909" w:type="pct"/>
            <w:tcBorders>
              <w:top w:val="nil"/>
              <w:left w:val="nil"/>
              <w:bottom w:val="single" w:sz="4" w:space="0" w:color="auto"/>
              <w:right w:val="nil"/>
            </w:tcBorders>
            <w:shd w:val="clear" w:color="auto" w:fill="auto"/>
            <w:noWrap/>
            <w:vAlign w:val="bottom"/>
            <w:hideMark/>
          </w:tcPr>
          <w:p w14:paraId="075E892F" w14:textId="77777777" w:rsidR="008942EA" w:rsidRPr="008669C3" w:rsidRDefault="008942EA" w:rsidP="009A54F1">
            <w:pPr>
              <w:jc w:val="center"/>
              <w:rPr>
                <w:color w:val="000000"/>
                <w:sz w:val="22"/>
                <w:szCs w:val="22"/>
              </w:rPr>
            </w:pPr>
            <w:r w:rsidRPr="008669C3">
              <w:rPr>
                <w:color w:val="000000"/>
                <w:sz w:val="22"/>
                <w:szCs w:val="22"/>
              </w:rPr>
              <w:t>(2)</w:t>
            </w:r>
          </w:p>
        </w:tc>
        <w:tc>
          <w:tcPr>
            <w:tcW w:w="142" w:type="pct"/>
            <w:tcBorders>
              <w:top w:val="nil"/>
              <w:left w:val="nil"/>
              <w:bottom w:val="single" w:sz="4" w:space="0" w:color="auto"/>
              <w:right w:val="nil"/>
            </w:tcBorders>
            <w:shd w:val="clear" w:color="auto" w:fill="auto"/>
            <w:noWrap/>
            <w:vAlign w:val="bottom"/>
            <w:hideMark/>
          </w:tcPr>
          <w:p w14:paraId="50C19562" w14:textId="77777777" w:rsidR="008942EA" w:rsidRPr="008669C3" w:rsidRDefault="008942EA" w:rsidP="009A54F1">
            <w:pPr>
              <w:jc w:val="center"/>
              <w:rPr>
                <w:color w:val="000000"/>
                <w:sz w:val="22"/>
                <w:szCs w:val="22"/>
              </w:rPr>
            </w:pPr>
            <w:r w:rsidRPr="008669C3">
              <w:rPr>
                <w:color w:val="000000"/>
                <w:sz w:val="22"/>
                <w:szCs w:val="22"/>
              </w:rPr>
              <w:t> </w:t>
            </w:r>
          </w:p>
        </w:tc>
        <w:tc>
          <w:tcPr>
            <w:tcW w:w="791" w:type="pct"/>
            <w:tcBorders>
              <w:top w:val="nil"/>
              <w:left w:val="nil"/>
              <w:bottom w:val="single" w:sz="4" w:space="0" w:color="auto"/>
              <w:right w:val="nil"/>
            </w:tcBorders>
            <w:shd w:val="clear" w:color="auto" w:fill="auto"/>
            <w:noWrap/>
            <w:vAlign w:val="bottom"/>
            <w:hideMark/>
          </w:tcPr>
          <w:p w14:paraId="2D8CAB1E" w14:textId="77777777" w:rsidR="008942EA" w:rsidRPr="008669C3" w:rsidRDefault="008942EA" w:rsidP="009A54F1">
            <w:pPr>
              <w:jc w:val="center"/>
              <w:rPr>
                <w:color w:val="000000"/>
                <w:sz w:val="22"/>
                <w:szCs w:val="22"/>
              </w:rPr>
            </w:pPr>
            <w:r w:rsidRPr="008669C3">
              <w:rPr>
                <w:color w:val="000000"/>
                <w:sz w:val="22"/>
                <w:szCs w:val="22"/>
              </w:rPr>
              <w:t>(3)</w:t>
            </w:r>
          </w:p>
        </w:tc>
        <w:tc>
          <w:tcPr>
            <w:tcW w:w="791" w:type="pct"/>
            <w:tcBorders>
              <w:top w:val="nil"/>
              <w:left w:val="nil"/>
              <w:bottom w:val="single" w:sz="4" w:space="0" w:color="auto"/>
              <w:right w:val="nil"/>
            </w:tcBorders>
            <w:shd w:val="clear" w:color="auto" w:fill="auto"/>
            <w:noWrap/>
            <w:vAlign w:val="bottom"/>
            <w:hideMark/>
          </w:tcPr>
          <w:p w14:paraId="088D6190" w14:textId="77777777" w:rsidR="008942EA" w:rsidRPr="008669C3" w:rsidRDefault="008942EA" w:rsidP="009A54F1">
            <w:pPr>
              <w:jc w:val="center"/>
              <w:rPr>
                <w:color w:val="000000"/>
                <w:sz w:val="22"/>
                <w:szCs w:val="22"/>
              </w:rPr>
            </w:pPr>
            <w:r w:rsidRPr="008669C3">
              <w:rPr>
                <w:color w:val="000000"/>
                <w:sz w:val="22"/>
                <w:szCs w:val="22"/>
              </w:rPr>
              <w:t>(4)</w:t>
            </w:r>
          </w:p>
        </w:tc>
      </w:tr>
      <w:tr w:rsidR="008942EA" w:rsidRPr="008669C3" w14:paraId="60E2AA0F" w14:textId="77777777" w:rsidTr="000819CD">
        <w:trPr>
          <w:trHeight w:val="20"/>
        </w:trPr>
        <w:tc>
          <w:tcPr>
            <w:tcW w:w="1458" w:type="pct"/>
            <w:tcBorders>
              <w:top w:val="nil"/>
              <w:left w:val="nil"/>
              <w:bottom w:val="nil"/>
              <w:right w:val="nil"/>
            </w:tcBorders>
            <w:shd w:val="clear" w:color="auto" w:fill="auto"/>
            <w:noWrap/>
            <w:vAlign w:val="bottom"/>
            <w:hideMark/>
          </w:tcPr>
          <w:p w14:paraId="03E6A9A3" w14:textId="77777777" w:rsidR="008942EA" w:rsidRPr="008669C3" w:rsidRDefault="008942EA" w:rsidP="009A54F1">
            <w:pPr>
              <w:rPr>
                <w:color w:val="000000"/>
                <w:sz w:val="22"/>
                <w:szCs w:val="22"/>
              </w:rPr>
            </w:pPr>
            <w:r w:rsidRPr="008669C3">
              <w:rPr>
                <w:color w:val="000000"/>
                <w:sz w:val="22"/>
                <w:szCs w:val="22"/>
              </w:rPr>
              <w:t>CDS trading</w:t>
            </w:r>
          </w:p>
        </w:tc>
        <w:tc>
          <w:tcPr>
            <w:tcW w:w="909" w:type="pct"/>
            <w:tcBorders>
              <w:top w:val="nil"/>
              <w:left w:val="nil"/>
              <w:bottom w:val="nil"/>
              <w:right w:val="nil"/>
            </w:tcBorders>
            <w:shd w:val="clear" w:color="auto" w:fill="auto"/>
            <w:noWrap/>
            <w:vAlign w:val="bottom"/>
            <w:hideMark/>
          </w:tcPr>
          <w:p w14:paraId="43067E46" w14:textId="000590E1" w:rsidR="008942EA" w:rsidRPr="008669C3" w:rsidRDefault="008942EA" w:rsidP="009B6C8C">
            <w:pPr>
              <w:jc w:val="center"/>
              <w:rPr>
                <w:color w:val="000000"/>
                <w:sz w:val="22"/>
                <w:szCs w:val="22"/>
              </w:rPr>
            </w:pPr>
            <w:r w:rsidRPr="008669C3">
              <w:rPr>
                <w:color w:val="000000"/>
                <w:sz w:val="22"/>
                <w:szCs w:val="22"/>
              </w:rPr>
              <w:t>0.</w:t>
            </w:r>
            <w:r w:rsidR="009B6C8C" w:rsidRPr="008669C3">
              <w:rPr>
                <w:color w:val="000000"/>
                <w:sz w:val="22"/>
                <w:szCs w:val="22"/>
              </w:rPr>
              <w:t>20</w:t>
            </w:r>
            <w:r w:rsidRPr="008669C3">
              <w:rPr>
                <w:color w:val="000000"/>
                <w:sz w:val="22"/>
                <w:szCs w:val="22"/>
              </w:rPr>
              <w:t>9</w:t>
            </w:r>
            <w:r w:rsidR="009B6C8C" w:rsidRPr="008669C3">
              <w:rPr>
                <w:color w:val="000000"/>
                <w:sz w:val="20"/>
                <w:szCs w:val="22"/>
              </w:rPr>
              <w:t>**</w:t>
            </w:r>
          </w:p>
        </w:tc>
        <w:tc>
          <w:tcPr>
            <w:tcW w:w="909" w:type="pct"/>
            <w:tcBorders>
              <w:top w:val="nil"/>
              <w:left w:val="nil"/>
              <w:bottom w:val="nil"/>
              <w:right w:val="nil"/>
            </w:tcBorders>
            <w:shd w:val="clear" w:color="auto" w:fill="auto"/>
            <w:noWrap/>
            <w:vAlign w:val="bottom"/>
            <w:hideMark/>
          </w:tcPr>
          <w:p w14:paraId="6B2715C6" w14:textId="3C64D337" w:rsidR="008942EA" w:rsidRPr="008669C3" w:rsidRDefault="008942EA" w:rsidP="009B6C8C">
            <w:pPr>
              <w:jc w:val="center"/>
              <w:rPr>
                <w:color w:val="000000"/>
                <w:sz w:val="22"/>
                <w:szCs w:val="22"/>
              </w:rPr>
            </w:pPr>
            <w:r w:rsidRPr="008669C3">
              <w:rPr>
                <w:color w:val="000000"/>
                <w:sz w:val="22"/>
                <w:szCs w:val="22"/>
              </w:rPr>
              <w:t>0.</w:t>
            </w:r>
            <w:r w:rsidR="009B6C8C" w:rsidRPr="008669C3">
              <w:rPr>
                <w:color w:val="000000"/>
                <w:sz w:val="22"/>
                <w:szCs w:val="22"/>
              </w:rPr>
              <w:t>12</w:t>
            </w:r>
            <w:r w:rsidRPr="008669C3">
              <w:rPr>
                <w:color w:val="000000"/>
                <w:sz w:val="22"/>
                <w:szCs w:val="22"/>
              </w:rPr>
              <w:t>6</w:t>
            </w:r>
            <w:r w:rsidR="009B6C8C" w:rsidRPr="008669C3">
              <w:rPr>
                <w:color w:val="000000"/>
                <w:sz w:val="20"/>
                <w:szCs w:val="22"/>
              </w:rPr>
              <w:t>*</w:t>
            </w:r>
          </w:p>
        </w:tc>
        <w:tc>
          <w:tcPr>
            <w:tcW w:w="142" w:type="pct"/>
            <w:tcBorders>
              <w:top w:val="nil"/>
              <w:left w:val="nil"/>
              <w:bottom w:val="nil"/>
              <w:right w:val="nil"/>
            </w:tcBorders>
            <w:shd w:val="clear" w:color="auto" w:fill="auto"/>
            <w:noWrap/>
            <w:vAlign w:val="bottom"/>
            <w:hideMark/>
          </w:tcPr>
          <w:p w14:paraId="557B3EAB" w14:textId="77777777" w:rsidR="008942EA" w:rsidRPr="008669C3" w:rsidRDefault="008942EA" w:rsidP="009A54F1">
            <w:pPr>
              <w:jc w:val="center"/>
              <w:rPr>
                <w:color w:val="000000"/>
                <w:sz w:val="22"/>
                <w:szCs w:val="22"/>
              </w:rPr>
            </w:pPr>
          </w:p>
        </w:tc>
        <w:tc>
          <w:tcPr>
            <w:tcW w:w="791" w:type="pct"/>
            <w:tcBorders>
              <w:top w:val="nil"/>
              <w:left w:val="nil"/>
              <w:bottom w:val="nil"/>
              <w:right w:val="nil"/>
            </w:tcBorders>
            <w:shd w:val="clear" w:color="auto" w:fill="auto"/>
            <w:noWrap/>
            <w:vAlign w:val="bottom"/>
            <w:hideMark/>
          </w:tcPr>
          <w:p w14:paraId="74201C21" w14:textId="77777777" w:rsidR="008942EA" w:rsidRPr="008669C3" w:rsidRDefault="008942EA" w:rsidP="009A54F1">
            <w:pPr>
              <w:jc w:val="center"/>
              <w:rPr>
                <w:color w:val="000000"/>
                <w:sz w:val="22"/>
                <w:szCs w:val="22"/>
              </w:rPr>
            </w:pPr>
            <w:r w:rsidRPr="008669C3">
              <w:rPr>
                <w:color w:val="000000"/>
                <w:sz w:val="22"/>
                <w:szCs w:val="22"/>
              </w:rPr>
              <w:t>0.322</w:t>
            </w:r>
            <w:r w:rsidRPr="008669C3">
              <w:rPr>
                <w:color w:val="000000"/>
                <w:sz w:val="20"/>
                <w:szCs w:val="22"/>
              </w:rPr>
              <w:t>**</w:t>
            </w:r>
          </w:p>
        </w:tc>
        <w:tc>
          <w:tcPr>
            <w:tcW w:w="791" w:type="pct"/>
            <w:tcBorders>
              <w:top w:val="nil"/>
              <w:left w:val="nil"/>
              <w:bottom w:val="nil"/>
              <w:right w:val="nil"/>
            </w:tcBorders>
            <w:shd w:val="clear" w:color="auto" w:fill="auto"/>
            <w:noWrap/>
            <w:vAlign w:val="bottom"/>
            <w:hideMark/>
          </w:tcPr>
          <w:p w14:paraId="0EE4216A" w14:textId="77777777" w:rsidR="008942EA" w:rsidRPr="008669C3" w:rsidRDefault="008942EA" w:rsidP="009A54F1">
            <w:pPr>
              <w:jc w:val="center"/>
              <w:rPr>
                <w:color w:val="000000"/>
                <w:sz w:val="22"/>
                <w:szCs w:val="22"/>
              </w:rPr>
            </w:pPr>
            <w:r w:rsidRPr="008669C3">
              <w:rPr>
                <w:color w:val="000000"/>
                <w:sz w:val="22"/>
                <w:szCs w:val="22"/>
              </w:rPr>
              <w:t>0.266</w:t>
            </w:r>
            <w:r w:rsidRPr="008669C3">
              <w:rPr>
                <w:color w:val="000000"/>
                <w:sz w:val="20"/>
                <w:szCs w:val="22"/>
              </w:rPr>
              <w:t>**</w:t>
            </w:r>
          </w:p>
        </w:tc>
      </w:tr>
      <w:tr w:rsidR="008942EA" w:rsidRPr="008669C3" w14:paraId="6AAB33F7" w14:textId="77777777" w:rsidTr="000819CD">
        <w:trPr>
          <w:trHeight w:val="20"/>
        </w:trPr>
        <w:tc>
          <w:tcPr>
            <w:tcW w:w="1458" w:type="pct"/>
            <w:tcBorders>
              <w:top w:val="nil"/>
              <w:left w:val="nil"/>
              <w:bottom w:val="nil"/>
              <w:right w:val="nil"/>
            </w:tcBorders>
            <w:shd w:val="clear" w:color="auto" w:fill="auto"/>
            <w:noWrap/>
            <w:vAlign w:val="bottom"/>
            <w:hideMark/>
          </w:tcPr>
          <w:p w14:paraId="72A2F762" w14:textId="77777777" w:rsidR="008942EA" w:rsidRPr="008669C3" w:rsidRDefault="008942EA" w:rsidP="009A54F1">
            <w:pPr>
              <w:jc w:val="center"/>
              <w:rPr>
                <w:color w:val="000000"/>
                <w:sz w:val="22"/>
                <w:szCs w:val="22"/>
              </w:rPr>
            </w:pPr>
          </w:p>
        </w:tc>
        <w:tc>
          <w:tcPr>
            <w:tcW w:w="909" w:type="pct"/>
            <w:tcBorders>
              <w:top w:val="nil"/>
              <w:left w:val="nil"/>
              <w:bottom w:val="nil"/>
              <w:right w:val="nil"/>
            </w:tcBorders>
            <w:shd w:val="clear" w:color="auto" w:fill="auto"/>
            <w:noWrap/>
            <w:vAlign w:val="bottom"/>
            <w:hideMark/>
          </w:tcPr>
          <w:p w14:paraId="70F9670E" w14:textId="66354C39" w:rsidR="008942EA" w:rsidRPr="008669C3" w:rsidRDefault="008942EA" w:rsidP="009B6C8C">
            <w:pPr>
              <w:jc w:val="center"/>
              <w:rPr>
                <w:color w:val="000000"/>
                <w:sz w:val="22"/>
                <w:szCs w:val="22"/>
              </w:rPr>
            </w:pPr>
            <w:r w:rsidRPr="008669C3">
              <w:rPr>
                <w:color w:val="000000"/>
                <w:sz w:val="22"/>
                <w:szCs w:val="22"/>
              </w:rPr>
              <w:t>(0.1</w:t>
            </w:r>
            <w:r w:rsidR="009B6C8C" w:rsidRPr="008669C3">
              <w:rPr>
                <w:color w:val="000000"/>
                <w:sz w:val="22"/>
                <w:szCs w:val="22"/>
              </w:rPr>
              <w:t>0</w:t>
            </w:r>
            <w:r w:rsidRPr="008669C3">
              <w:rPr>
                <w:color w:val="000000"/>
                <w:sz w:val="22"/>
                <w:szCs w:val="22"/>
              </w:rPr>
              <w:t>4)</w:t>
            </w:r>
          </w:p>
        </w:tc>
        <w:tc>
          <w:tcPr>
            <w:tcW w:w="909" w:type="pct"/>
            <w:tcBorders>
              <w:top w:val="nil"/>
              <w:left w:val="nil"/>
              <w:bottom w:val="nil"/>
              <w:right w:val="nil"/>
            </w:tcBorders>
            <w:shd w:val="clear" w:color="auto" w:fill="auto"/>
            <w:noWrap/>
            <w:vAlign w:val="bottom"/>
            <w:hideMark/>
          </w:tcPr>
          <w:p w14:paraId="2AF3790D" w14:textId="3A393F0D" w:rsidR="008942EA" w:rsidRPr="008669C3" w:rsidRDefault="008942EA" w:rsidP="009B6C8C">
            <w:pPr>
              <w:jc w:val="center"/>
              <w:rPr>
                <w:color w:val="000000"/>
                <w:sz w:val="22"/>
                <w:szCs w:val="22"/>
              </w:rPr>
            </w:pPr>
            <w:r w:rsidRPr="008669C3">
              <w:rPr>
                <w:color w:val="000000"/>
                <w:sz w:val="22"/>
                <w:szCs w:val="22"/>
              </w:rPr>
              <w:t>(0.0</w:t>
            </w:r>
            <w:r w:rsidR="009B6C8C" w:rsidRPr="008669C3">
              <w:rPr>
                <w:color w:val="000000"/>
                <w:sz w:val="22"/>
                <w:szCs w:val="22"/>
              </w:rPr>
              <w:t>7</w:t>
            </w:r>
            <w:r w:rsidRPr="008669C3">
              <w:rPr>
                <w:color w:val="000000"/>
                <w:sz w:val="22"/>
                <w:szCs w:val="22"/>
              </w:rPr>
              <w:t>4)</w:t>
            </w:r>
          </w:p>
        </w:tc>
        <w:tc>
          <w:tcPr>
            <w:tcW w:w="142" w:type="pct"/>
            <w:tcBorders>
              <w:top w:val="nil"/>
              <w:left w:val="nil"/>
              <w:bottom w:val="nil"/>
              <w:right w:val="nil"/>
            </w:tcBorders>
            <w:shd w:val="clear" w:color="auto" w:fill="auto"/>
            <w:noWrap/>
            <w:vAlign w:val="bottom"/>
            <w:hideMark/>
          </w:tcPr>
          <w:p w14:paraId="5977B007" w14:textId="77777777" w:rsidR="008942EA" w:rsidRPr="008669C3" w:rsidRDefault="008942EA" w:rsidP="009A54F1">
            <w:pPr>
              <w:jc w:val="center"/>
              <w:rPr>
                <w:color w:val="000000"/>
                <w:sz w:val="22"/>
                <w:szCs w:val="22"/>
              </w:rPr>
            </w:pPr>
          </w:p>
        </w:tc>
        <w:tc>
          <w:tcPr>
            <w:tcW w:w="791" w:type="pct"/>
            <w:tcBorders>
              <w:top w:val="nil"/>
              <w:left w:val="nil"/>
              <w:bottom w:val="nil"/>
              <w:right w:val="nil"/>
            </w:tcBorders>
            <w:shd w:val="clear" w:color="auto" w:fill="auto"/>
            <w:noWrap/>
            <w:vAlign w:val="bottom"/>
            <w:hideMark/>
          </w:tcPr>
          <w:p w14:paraId="5FA8E13F" w14:textId="77777777" w:rsidR="008942EA" w:rsidRPr="008669C3" w:rsidRDefault="008942EA" w:rsidP="009A54F1">
            <w:pPr>
              <w:jc w:val="center"/>
              <w:rPr>
                <w:color w:val="000000"/>
                <w:sz w:val="22"/>
                <w:szCs w:val="22"/>
              </w:rPr>
            </w:pPr>
            <w:r w:rsidRPr="008669C3">
              <w:rPr>
                <w:color w:val="000000"/>
                <w:sz w:val="22"/>
                <w:szCs w:val="22"/>
              </w:rPr>
              <w:t>(0.137)</w:t>
            </w:r>
          </w:p>
        </w:tc>
        <w:tc>
          <w:tcPr>
            <w:tcW w:w="791" w:type="pct"/>
            <w:tcBorders>
              <w:top w:val="nil"/>
              <w:left w:val="nil"/>
              <w:bottom w:val="nil"/>
              <w:right w:val="nil"/>
            </w:tcBorders>
            <w:shd w:val="clear" w:color="auto" w:fill="auto"/>
            <w:noWrap/>
            <w:vAlign w:val="bottom"/>
            <w:hideMark/>
          </w:tcPr>
          <w:p w14:paraId="6CD60C85" w14:textId="77777777" w:rsidR="008942EA" w:rsidRPr="008669C3" w:rsidRDefault="008942EA" w:rsidP="009A54F1">
            <w:pPr>
              <w:jc w:val="center"/>
              <w:rPr>
                <w:color w:val="000000"/>
                <w:sz w:val="22"/>
                <w:szCs w:val="22"/>
              </w:rPr>
            </w:pPr>
            <w:r w:rsidRPr="008669C3">
              <w:rPr>
                <w:color w:val="000000"/>
                <w:sz w:val="22"/>
                <w:szCs w:val="22"/>
              </w:rPr>
              <w:t>(0.105)</w:t>
            </w:r>
          </w:p>
        </w:tc>
      </w:tr>
      <w:tr w:rsidR="000819CD" w:rsidRPr="008669C3" w14:paraId="3A3783C5" w14:textId="77777777" w:rsidTr="000819CD">
        <w:trPr>
          <w:trHeight w:val="20"/>
        </w:trPr>
        <w:tc>
          <w:tcPr>
            <w:tcW w:w="1458" w:type="pct"/>
            <w:tcBorders>
              <w:top w:val="nil"/>
              <w:left w:val="nil"/>
              <w:bottom w:val="nil"/>
              <w:right w:val="nil"/>
            </w:tcBorders>
            <w:shd w:val="clear" w:color="auto" w:fill="auto"/>
            <w:noWrap/>
            <w:vAlign w:val="bottom"/>
            <w:hideMark/>
          </w:tcPr>
          <w:p w14:paraId="44F56911" w14:textId="77777777" w:rsidR="000819CD" w:rsidRPr="008669C3" w:rsidRDefault="000819CD" w:rsidP="000819CD">
            <w:pPr>
              <w:rPr>
                <w:color w:val="000000"/>
                <w:sz w:val="22"/>
                <w:szCs w:val="22"/>
              </w:rPr>
            </w:pPr>
            <w:r w:rsidRPr="008669C3">
              <w:rPr>
                <w:color w:val="000000"/>
                <w:sz w:val="22"/>
                <w:szCs w:val="22"/>
              </w:rPr>
              <w:t>High refinancing needs</w:t>
            </w:r>
          </w:p>
        </w:tc>
        <w:tc>
          <w:tcPr>
            <w:tcW w:w="909" w:type="pct"/>
            <w:tcBorders>
              <w:top w:val="nil"/>
              <w:left w:val="nil"/>
              <w:bottom w:val="nil"/>
              <w:right w:val="nil"/>
            </w:tcBorders>
            <w:shd w:val="clear" w:color="auto" w:fill="auto"/>
            <w:noWrap/>
            <w:vAlign w:val="bottom"/>
            <w:hideMark/>
          </w:tcPr>
          <w:p w14:paraId="15CC7EF4" w14:textId="22B08443" w:rsidR="000819CD" w:rsidRPr="008669C3" w:rsidRDefault="000819CD" w:rsidP="000819CD">
            <w:pPr>
              <w:jc w:val="center"/>
              <w:rPr>
                <w:color w:val="000000"/>
                <w:sz w:val="22"/>
                <w:szCs w:val="22"/>
              </w:rPr>
            </w:pPr>
            <w:r w:rsidRPr="008669C3">
              <w:rPr>
                <w:iCs/>
                <w:sz w:val="22"/>
              </w:rPr>
              <w:t>—</w:t>
            </w:r>
          </w:p>
        </w:tc>
        <w:tc>
          <w:tcPr>
            <w:tcW w:w="909" w:type="pct"/>
            <w:tcBorders>
              <w:top w:val="nil"/>
              <w:left w:val="nil"/>
              <w:bottom w:val="nil"/>
              <w:right w:val="nil"/>
            </w:tcBorders>
            <w:shd w:val="clear" w:color="auto" w:fill="auto"/>
            <w:noWrap/>
            <w:vAlign w:val="bottom"/>
            <w:hideMark/>
          </w:tcPr>
          <w:p w14:paraId="612F1EF2" w14:textId="68CED062" w:rsidR="000819CD" w:rsidRPr="008669C3" w:rsidRDefault="000819CD" w:rsidP="000819CD">
            <w:pPr>
              <w:jc w:val="center"/>
              <w:rPr>
                <w:sz w:val="20"/>
                <w:szCs w:val="20"/>
              </w:rPr>
            </w:pPr>
            <w:r w:rsidRPr="008669C3">
              <w:rPr>
                <w:iCs/>
                <w:sz w:val="22"/>
              </w:rPr>
              <w:t>—</w:t>
            </w:r>
          </w:p>
        </w:tc>
        <w:tc>
          <w:tcPr>
            <w:tcW w:w="142" w:type="pct"/>
            <w:tcBorders>
              <w:top w:val="nil"/>
              <w:left w:val="nil"/>
              <w:bottom w:val="nil"/>
              <w:right w:val="nil"/>
            </w:tcBorders>
            <w:shd w:val="clear" w:color="auto" w:fill="auto"/>
            <w:noWrap/>
            <w:vAlign w:val="bottom"/>
            <w:hideMark/>
          </w:tcPr>
          <w:p w14:paraId="67C30E9E" w14:textId="77777777" w:rsidR="000819CD" w:rsidRPr="008669C3" w:rsidRDefault="000819CD" w:rsidP="000819CD">
            <w:pPr>
              <w:jc w:val="center"/>
              <w:rPr>
                <w:sz w:val="20"/>
                <w:szCs w:val="20"/>
              </w:rPr>
            </w:pPr>
          </w:p>
        </w:tc>
        <w:tc>
          <w:tcPr>
            <w:tcW w:w="791" w:type="pct"/>
            <w:tcBorders>
              <w:top w:val="nil"/>
              <w:left w:val="nil"/>
              <w:bottom w:val="nil"/>
              <w:right w:val="nil"/>
            </w:tcBorders>
            <w:shd w:val="clear" w:color="auto" w:fill="auto"/>
            <w:noWrap/>
            <w:vAlign w:val="bottom"/>
            <w:hideMark/>
          </w:tcPr>
          <w:p w14:paraId="4114A208" w14:textId="77777777" w:rsidR="000819CD" w:rsidRPr="008669C3" w:rsidRDefault="000819CD" w:rsidP="000819CD">
            <w:pPr>
              <w:jc w:val="center"/>
              <w:rPr>
                <w:color w:val="000000"/>
                <w:sz w:val="22"/>
                <w:szCs w:val="22"/>
              </w:rPr>
            </w:pPr>
            <w:r w:rsidRPr="008669C3">
              <w:rPr>
                <w:color w:val="000000"/>
                <w:sz w:val="22"/>
                <w:szCs w:val="22"/>
              </w:rPr>
              <w:t>-0.011</w:t>
            </w:r>
          </w:p>
        </w:tc>
        <w:tc>
          <w:tcPr>
            <w:tcW w:w="791" w:type="pct"/>
            <w:tcBorders>
              <w:top w:val="nil"/>
              <w:left w:val="nil"/>
              <w:bottom w:val="nil"/>
              <w:right w:val="nil"/>
            </w:tcBorders>
            <w:shd w:val="clear" w:color="auto" w:fill="auto"/>
            <w:noWrap/>
            <w:vAlign w:val="bottom"/>
            <w:hideMark/>
          </w:tcPr>
          <w:p w14:paraId="4F98F68E" w14:textId="77777777" w:rsidR="000819CD" w:rsidRPr="008669C3" w:rsidRDefault="000819CD" w:rsidP="000819CD">
            <w:pPr>
              <w:jc w:val="center"/>
              <w:rPr>
                <w:color w:val="000000"/>
                <w:sz w:val="22"/>
                <w:szCs w:val="22"/>
              </w:rPr>
            </w:pPr>
            <w:r w:rsidRPr="008669C3">
              <w:rPr>
                <w:color w:val="000000"/>
                <w:sz w:val="22"/>
                <w:szCs w:val="22"/>
              </w:rPr>
              <w:t>0.019</w:t>
            </w:r>
          </w:p>
        </w:tc>
      </w:tr>
      <w:tr w:rsidR="000819CD" w:rsidRPr="008669C3" w14:paraId="747E4941" w14:textId="77777777" w:rsidTr="000819CD">
        <w:trPr>
          <w:trHeight w:val="20"/>
        </w:trPr>
        <w:tc>
          <w:tcPr>
            <w:tcW w:w="1458" w:type="pct"/>
            <w:tcBorders>
              <w:top w:val="nil"/>
              <w:left w:val="nil"/>
              <w:bottom w:val="nil"/>
              <w:right w:val="nil"/>
            </w:tcBorders>
            <w:shd w:val="clear" w:color="auto" w:fill="auto"/>
            <w:noWrap/>
            <w:vAlign w:val="bottom"/>
            <w:hideMark/>
          </w:tcPr>
          <w:p w14:paraId="7EC702C4" w14:textId="77777777" w:rsidR="000819CD" w:rsidRPr="008669C3" w:rsidRDefault="000819CD" w:rsidP="000819CD">
            <w:pPr>
              <w:jc w:val="center"/>
              <w:rPr>
                <w:color w:val="000000"/>
                <w:sz w:val="22"/>
                <w:szCs w:val="22"/>
              </w:rPr>
            </w:pPr>
          </w:p>
        </w:tc>
        <w:tc>
          <w:tcPr>
            <w:tcW w:w="909" w:type="pct"/>
            <w:tcBorders>
              <w:top w:val="nil"/>
              <w:left w:val="nil"/>
              <w:bottom w:val="nil"/>
              <w:right w:val="nil"/>
            </w:tcBorders>
            <w:shd w:val="clear" w:color="auto" w:fill="auto"/>
            <w:noWrap/>
            <w:vAlign w:val="bottom"/>
            <w:hideMark/>
          </w:tcPr>
          <w:p w14:paraId="33C2101E" w14:textId="77777777" w:rsidR="000819CD" w:rsidRPr="008669C3" w:rsidRDefault="000819CD" w:rsidP="000819CD">
            <w:pPr>
              <w:jc w:val="center"/>
              <w:rPr>
                <w:sz w:val="20"/>
                <w:szCs w:val="20"/>
              </w:rPr>
            </w:pPr>
          </w:p>
        </w:tc>
        <w:tc>
          <w:tcPr>
            <w:tcW w:w="909" w:type="pct"/>
            <w:tcBorders>
              <w:top w:val="nil"/>
              <w:left w:val="nil"/>
              <w:bottom w:val="nil"/>
              <w:right w:val="nil"/>
            </w:tcBorders>
            <w:shd w:val="clear" w:color="auto" w:fill="auto"/>
            <w:noWrap/>
            <w:vAlign w:val="bottom"/>
            <w:hideMark/>
          </w:tcPr>
          <w:p w14:paraId="36F10C91" w14:textId="77777777" w:rsidR="000819CD" w:rsidRPr="008669C3" w:rsidRDefault="000819CD" w:rsidP="000819CD">
            <w:pPr>
              <w:jc w:val="center"/>
              <w:rPr>
                <w:sz w:val="20"/>
                <w:szCs w:val="20"/>
              </w:rPr>
            </w:pPr>
          </w:p>
        </w:tc>
        <w:tc>
          <w:tcPr>
            <w:tcW w:w="142" w:type="pct"/>
            <w:tcBorders>
              <w:top w:val="nil"/>
              <w:left w:val="nil"/>
              <w:bottom w:val="nil"/>
              <w:right w:val="nil"/>
            </w:tcBorders>
            <w:shd w:val="clear" w:color="auto" w:fill="auto"/>
            <w:noWrap/>
            <w:vAlign w:val="bottom"/>
            <w:hideMark/>
          </w:tcPr>
          <w:p w14:paraId="587BDCF5" w14:textId="77777777" w:rsidR="000819CD" w:rsidRPr="008669C3" w:rsidRDefault="000819CD" w:rsidP="000819CD">
            <w:pPr>
              <w:jc w:val="center"/>
              <w:rPr>
                <w:sz w:val="20"/>
                <w:szCs w:val="20"/>
              </w:rPr>
            </w:pPr>
          </w:p>
        </w:tc>
        <w:tc>
          <w:tcPr>
            <w:tcW w:w="791" w:type="pct"/>
            <w:tcBorders>
              <w:top w:val="nil"/>
              <w:left w:val="nil"/>
              <w:bottom w:val="nil"/>
              <w:right w:val="nil"/>
            </w:tcBorders>
            <w:shd w:val="clear" w:color="auto" w:fill="auto"/>
            <w:noWrap/>
            <w:vAlign w:val="bottom"/>
            <w:hideMark/>
          </w:tcPr>
          <w:p w14:paraId="22D88B62" w14:textId="77777777" w:rsidR="000819CD" w:rsidRPr="008669C3" w:rsidRDefault="000819CD" w:rsidP="000819CD">
            <w:pPr>
              <w:jc w:val="center"/>
              <w:rPr>
                <w:color w:val="000000"/>
                <w:sz w:val="22"/>
                <w:szCs w:val="22"/>
              </w:rPr>
            </w:pPr>
            <w:r w:rsidRPr="008669C3">
              <w:rPr>
                <w:color w:val="000000"/>
                <w:sz w:val="22"/>
                <w:szCs w:val="22"/>
              </w:rPr>
              <w:t>(0.041)</w:t>
            </w:r>
          </w:p>
        </w:tc>
        <w:tc>
          <w:tcPr>
            <w:tcW w:w="791" w:type="pct"/>
            <w:tcBorders>
              <w:top w:val="nil"/>
              <w:left w:val="nil"/>
              <w:bottom w:val="nil"/>
              <w:right w:val="nil"/>
            </w:tcBorders>
            <w:shd w:val="clear" w:color="auto" w:fill="auto"/>
            <w:noWrap/>
            <w:vAlign w:val="bottom"/>
            <w:hideMark/>
          </w:tcPr>
          <w:p w14:paraId="6867E30D" w14:textId="77777777" w:rsidR="000819CD" w:rsidRPr="008669C3" w:rsidRDefault="000819CD" w:rsidP="000819CD">
            <w:pPr>
              <w:jc w:val="center"/>
              <w:rPr>
                <w:color w:val="000000"/>
                <w:sz w:val="22"/>
                <w:szCs w:val="22"/>
              </w:rPr>
            </w:pPr>
            <w:r w:rsidRPr="008669C3">
              <w:rPr>
                <w:color w:val="000000"/>
                <w:sz w:val="22"/>
                <w:szCs w:val="22"/>
              </w:rPr>
              <w:t>(0.036)</w:t>
            </w:r>
          </w:p>
        </w:tc>
      </w:tr>
      <w:tr w:rsidR="000819CD" w:rsidRPr="008669C3" w14:paraId="1731A4AC" w14:textId="77777777" w:rsidTr="000819CD">
        <w:trPr>
          <w:trHeight w:val="20"/>
        </w:trPr>
        <w:tc>
          <w:tcPr>
            <w:tcW w:w="1458" w:type="pct"/>
            <w:tcBorders>
              <w:top w:val="nil"/>
              <w:left w:val="nil"/>
              <w:bottom w:val="nil"/>
              <w:right w:val="nil"/>
            </w:tcBorders>
            <w:shd w:val="clear" w:color="auto" w:fill="auto"/>
            <w:noWrap/>
            <w:vAlign w:val="bottom"/>
            <w:hideMark/>
          </w:tcPr>
          <w:p w14:paraId="2BCD3328" w14:textId="18AFE971" w:rsidR="000819CD" w:rsidRPr="008669C3" w:rsidRDefault="000819CD" w:rsidP="000819CD">
            <w:pPr>
              <w:rPr>
                <w:color w:val="000000"/>
                <w:sz w:val="22"/>
                <w:szCs w:val="22"/>
              </w:rPr>
            </w:pPr>
            <w:r w:rsidRPr="008669C3">
              <w:rPr>
                <w:color w:val="000000"/>
                <w:sz w:val="22"/>
                <w:szCs w:val="22"/>
              </w:rPr>
              <w:t xml:space="preserve">CDS trading </w:t>
            </w:r>
            <w:r w:rsidRPr="008669C3">
              <w:rPr>
                <w:color w:val="000000"/>
                <w:sz w:val="22"/>
              </w:rPr>
              <w:t>×</w:t>
            </w:r>
            <w:r w:rsidRPr="008669C3">
              <w:rPr>
                <w:color w:val="000000"/>
                <w:sz w:val="22"/>
                <w:szCs w:val="22"/>
              </w:rPr>
              <w:t xml:space="preserve"> High refinancing needs</w:t>
            </w:r>
          </w:p>
        </w:tc>
        <w:tc>
          <w:tcPr>
            <w:tcW w:w="909" w:type="pct"/>
            <w:tcBorders>
              <w:top w:val="nil"/>
              <w:left w:val="nil"/>
              <w:bottom w:val="nil"/>
              <w:right w:val="nil"/>
            </w:tcBorders>
            <w:shd w:val="clear" w:color="auto" w:fill="auto"/>
            <w:noWrap/>
            <w:vAlign w:val="bottom"/>
            <w:hideMark/>
          </w:tcPr>
          <w:p w14:paraId="7A3058C6" w14:textId="7F54B164" w:rsidR="000819CD" w:rsidRPr="008669C3" w:rsidRDefault="000819CD" w:rsidP="000819CD">
            <w:pPr>
              <w:jc w:val="center"/>
              <w:rPr>
                <w:color w:val="000000"/>
                <w:sz w:val="22"/>
                <w:szCs w:val="22"/>
              </w:rPr>
            </w:pPr>
            <w:r w:rsidRPr="008669C3">
              <w:rPr>
                <w:iCs/>
                <w:sz w:val="22"/>
              </w:rPr>
              <w:t>—</w:t>
            </w:r>
          </w:p>
        </w:tc>
        <w:tc>
          <w:tcPr>
            <w:tcW w:w="909" w:type="pct"/>
            <w:tcBorders>
              <w:top w:val="nil"/>
              <w:left w:val="nil"/>
              <w:bottom w:val="nil"/>
              <w:right w:val="nil"/>
            </w:tcBorders>
            <w:shd w:val="clear" w:color="auto" w:fill="auto"/>
            <w:noWrap/>
            <w:vAlign w:val="bottom"/>
            <w:hideMark/>
          </w:tcPr>
          <w:p w14:paraId="2BCA9C91" w14:textId="6F26548B" w:rsidR="000819CD" w:rsidRPr="008669C3" w:rsidRDefault="000819CD" w:rsidP="000819CD">
            <w:pPr>
              <w:jc w:val="center"/>
              <w:rPr>
                <w:sz w:val="20"/>
                <w:szCs w:val="20"/>
              </w:rPr>
            </w:pPr>
            <w:r w:rsidRPr="008669C3">
              <w:rPr>
                <w:iCs/>
                <w:sz w:val="22"/>
              </w:rPr>
              <w:t>—</w:t>
            </w:r>
          </w:p>
        </w:tc>
        <w:tc>
          <w:tcPr>
            <w:tcW w:w="142" w:type="pct"/>
            <w:tcBorders>
              <w:top w:val="nil"/>
              <w:left w:val="nil"/>
              <w:bottom w:val="nil"/>
              <w:right w:val="nil"/>
            </w:tcBorders>
            <w:shd w:val="clear" w:color="auto" w:fill="auto"/>
            <w:noWrap/>
            <w:vAlign w:val="bottom"/>
            <w:hideMark/>
          </w:tcPr>
          <w:p w14:paraId="16E52B3D" w14:textId="77777777" w:rsidR="000819CD" w:rsidRPr="008669C3" w:rsidRDefault="000819CD" w:rsidP="000819CD">
            <w:pPr>
              <w:jc w:val="center"/>
              <w:rPr>
                <w:sz w:val="20"/>
                <w:szCs w:val="20"/>
              </w:rPr>
            </w:pPr>
          </w:p>
        </w:tc>
        <w:tc>
          <w:tcPr>
            <w:tcW w:w="791" w:type="pct"/>
            <w:tcBorders>
              <w:top w:val="nil"/>
              <w:left w:val="nil"/>
              <w:bottom w:val="nil"/>
              <w:right w:val="nil"/>
            </w:tcBorders>
            <w:shd w:val="clear" w:color="auto" w:fill="auto"/>
            <w:noWrap/>
            <w:vAlign w:val="bottom"/>
            <w:hideMark/>
          </w:tcPr>
          <w:p w14:paraId="70B87E5A" w14:textId="77777777" w:rsidR="000819CD" w:rsidRPr="008669C3" w:rsidRDefault="000819CD" w:rsidP="000819CD">
            <w:pPr>
              <w:jc w:val="center"/>
              <w:rPr>
                <w:color w:val="000000"/>
                <w:sz w:val="22"/>
                <w:szCs w:val="22"/>
              </w:rPr>
            </w:pPr>
            <w:r w:rsidRPr="008669C3">
              <w:rPr>
                <w:color w:val="000000"/>
                <w:sz w:val="22"/>
                <w:szCs w:val="22"/>
              </w:rPr>
              <w:t>0.017</w:t>
            </w:r>
          </w:p>
        </w:tc>
        <w:tc>
          <w:tcPr>
            <w:tcW w:w="791" w:type="pct"/>
            <w:tcBorders>
              <w:top w:val="nil"/>
              <w:left w:val="nil"/>
              <w:bottom w:val="nil"/>
              <w:right w:val="nil"/>
            </w:tcBorders>
            <w:shd w:val="clear" w:color="auto" w:fill="auto"/>
            <w:noWrap/>
            <w:vAlign w:val="bottom"/>
            <w:hideMark/>
          </w:tcPr>
          <w:p w14:paraId="70D42F90" w14:textId="77777777" w:rsidR="000819CD" w:rsidRPr="008669C3" w:rsidRDefault="000819CD" w:rsidP="000819CD">
            <w:pPr>
              <w:jc w:val="center"/>
              <w:rPr>
                <w:color w:val="000000"/>
                <w:sz w:val="22"/>
                <w:szCs w:val="22"/>
              </w:rPr>
            </w:pPr>
            <w:r w:rsidRPr="008669C3">
              <w:rPr>
                <w:color w:val="000000"/>
                <w:sz w:val="22"/>
                <w:szCs w:val="22"/>
              </w:rPr>
              <w:t>0.065</w:t>
            </w:r>
          </w:p>
        </w:tc>
      </w:tr>
      <w:tr w:rsidR="000819CD" w:rsidRPr="008669C3" w14:paraId="5075BC4F" w14:textId="77777777" w:rsidTr="000819CD">
        <w:trPr>
          <w:trHeight w:val="20"/>
        </w:trPr>
        <w:tc>
          <w:tcPr>
            <w:tcW w:w="1458" w:type="pct"/>
            <w:tcBorders>
              <w:top w:val="nil"/>
              <w:left w:val="nil"/>
              <w:bottom w:val="single" w:sz="4" w:space="0" w:color="auto"/>
              <w:right w:val="nil"/>
            </w:tcBorders>
            <w:shd w:val="clear" w:color="auto" w:fill="auto"/>
            <w:noWrap/>
            <w:vAlign w:val="bottom"/>
            <w:hideMark/>
          </w:tcPr>
          <w:p w14:paraId="6687099D" w14:textId="77777777" w:rsidR="000819CD" w:rsidRPr="008669C3" w:rsidRDefault="000819CD" w:rsidP="000819CD">
            <w:pPr>
              <w:jc w:val="center"/>
              <w:rPr>
                <w:color w:val="000000"/>
                <w:sz w:val="22"/>
                <w:szCs w:val="22"/>
              </w:rPr>
            </w:pPr>
          </w:p>
        </w:tc>
        <w:tc>
          <w:tcPr>
            <w:tcW w:w="909" w:type="pct"/>
            <w:tcBorders>
              <w:top w:val="nil"/>
              <w:left w:val="nil"/>
              <w:bottom w:val="single" w:sz="4" w:space="0" w:color="auto"/>
              <w:right w:val="nil"/>
            </w:tcBorders>
            <w:shd w:val="clear" w:color="auto" w:fill="auto"/>
            <w:noWrap/>
            <w:vAlign w:val="bottom"/>
            <w:hideMark/>
          </w:tcPr>
          <w:p w14:paraId="6588AF8A" w14:textId="77777777" w:rsidR="000819CD" w:rsidRPr="008669C3" w:rsidRDefault="000819CD" w:rsidP="000819CD">
            <w:pPr>
              <w:rPr>
                <w:sz w:val="20"/>
                <w:szCs w:val="20"/>
              </w:rPr>
            </w:pPr>
          </w:p>
        </w:tc>
        <w:tc>
          <w:tcPr>
            <w:tcW w:w="909" w:type="pct"/>
            <w:tcBorders>
              <w:top w:val="nil"/>
              <w:left w:val="nil"/>
              <w:bottom w:val="single" w:sz="4" w:space="0" w:color="auto"/>
              <w:right w:val="nil"/>
            </w:tcBorders>
            <w:shd w:val="clear" w:color="auto" w:fill="auto"/>
            <w:noWrap/>
            <w:vAlign w:val="bottom"/>
            <w:hideMark/>
          </w:tcPr>
          <w:p w14:paraId="47C3235D" w14:textId="77777777" w:rsidR="000819CD" w:rsidRPr="008669C3" w:rsidRDefault="000819CD" w:rsidP="000819CD">
            <w:pPr>
              <w:jc w:val="center"/>
              <w:rPr>
                <w:sz w:val="20"/>
                <w:szCs w:val="20"/>
              </w:rPr>
            </w:pPr>
          </w:p>
        </w:tc>
        <w:tc>
          <w:tcPr>
            <w:tcW w:w="142" w:type="pct"/>
            <w:tcBorders>
              <w:top w:val="nil"/>
              <w:left w:val="nil"/>
              <w:bottom w:val="single" w:sz="4" w:space="0" w:color="auto"/>
              <w:right w:val="nil"/>
            </w:tcBorders>
            <w:shd w:val="clear" w:color="auto" w:fill="auto"/>
            <w:noWrap/>
            <w:vAlign w:val="bottom"/>
            <w:hideMark/>
          </w:tcPr>
          <w:p w14:paraId="243085A5" w14:textId="77777777" w:rsidR="000819CD" w:rsidRPr="008669C3" w:rsidRDefault="000819CD" w:rsidP="000819CD">
            <w:pPr>
              <w:jc w:val="center"/>
              <w:rPr>
                <w:sz w:val="20"/>
                <w:szCs w:val="20"/>
              </w:rPr>
            </w:pPr>
          </w:p>
        </w:tc>
        <w:tc>
          <w:tcPr>
            <w:tcW w:w="791" w:type="pct"/>
            <w:tcBorders>
              <w:top w:val="nil"/>
              <w:left w:val="nil"/>
              <w:bottom w:val="single" w:sz="4" w:space="0" w:color="auto"/>
              <w:right w:val="nil"/>
            </w:tcBorders>
            <w:shd w:val="clear" w:color="auto" w:fill="auto"/>
            <w:noWrap/>
            <w:vAlign w:val="bottom"/>
            <w:hideMark/>
          </w:tcPr>
          <w:p w14:paraId="7483E321" w14:textId="77777777" w:rsidR="000819CD" w:rsidRPr="008669C3" w:rsidRDefault="000819CD" w:rsidP="000819CD">
            <w:pPr>
              <w:jc w:val="center"/>
              <w:rPr>
                <w:color w:val="000000"/>
                <w:sz w:val="22"/>
                <w:szCs w:val="22"/>
              </w:rPr>
            </w:pPr>
            <w:r w:rsidRPr="008669C3">
              <w:rPr>
                <w:color w:val="000000"/>
                <w:sz w:val="22"/>
                <w:szCs w:val="22"/>
              </w:rPr>
              <w:t>(0.095)</w:t>
            </w:r>
          </w:p>
        </w:tc>
        <w:tc>
          <w:tcPr>
            <w:tcW w:w="791" w:type="pct"/>
            <w:tcBorders>
              <w:top w:val="nil"/>
              <w:left w:val="nil"/>
              <w:bottom w:val="single" w:sz="4" w:space="0" w:color="auto"/>
              <w:right w:val="nil"/>
            </w:tcBorders>
            <w:shd w:val="clear" w:color="auto" w:fill="auto"/>
            <w:noWrap/>
            <w:vAlign w:val="bottom"/>
            <w:hideMark/>
          </w:tcPr>
          <w:p w14:paraId="02AD612D" w14:textId="77777777" w:rsidR="000819CD" w:rsidRPr="008669C3" w:rsidRDefault="000819CD" w:rsidP="000819CD">
            <w:pPr>
              <w:jc w:val="center"/>
              <w:rPr>
                <w:color w:val="000000"/>
                <w:sz w:val="22"/>
                <w:szCs w:val="22"/>
              </w:rPr>
            </w:pPr>
            <w:r w:rsidRPr="008669C3">
              <w:rPr>
                <w:color w:val="000000"/>
                <w:sz w:val="22"/>
                <w:szCs w:val="22"/>
              </w:rPr>
              <w:t>(0.080)</w:t>
            </w:r>
          </w:p>
        </w:tc>
      </w:tr>
      <w:tr w:rsidR="000819CD" w:rsidRPr="008669C3" w14:paraId="15FEC45B" w14:textId="77777777" w:rsidTr="000819CD">
        <w:trPr>
          <w:trHeight w:val="20"/>
        </w:trPr>
        <w:tc>
          <w:tcPr>
            <w:tcW w:w="1458" w:type="pct"/>
            <w:tcBorders>
              <w:top w:val="single" w:sz="4" w:space="0" w:color="auto"/>
              <w:left w:val="nil"/>
              <w:bottom w:val="nil"/>
              <w:right w:val="nil"/>
            </w:tcBorders>
            <w:shd w:val="clear" w:color="auto" w:fill="auto"/>
            <w:noWrap/>
            <w:vAlign w:val="bottom"/>
          </w:tcPr>
          <w:p w14:paraId="4FC60F0C" w14:textId="77777777" w:rsidR="000819CD" w:rsidRPr="008669C3" w:rsidRDefault="000819CD" w:rsidP="000819CD">
            <w:pPr>
              <w:rPr>
                <w:color w:val="000000"/>
                <w:sz w:val="22"/>
                <w:szCs w:val="22"/>
              </w:rPr>
            </w:pPr>
            <w:r w:rsidRPr="008669C3">
              <w:rPr>
                <w:color w:val="000000"/>
                <w:sz w:val="22"/>
                <w:szCs w:val="22"/>
              </w:rPr>
              <w:t>All controls</w:t>
            </w:r>
          </w:p>
        </w:tc>
        <w:tc>
          <w:tcPr>
            <w:tcW w:w="909" w:type="pct"/>
            <w:tcBorders>
              <w:top w:val="single" w:sz="4" w:space="0" w:color="auto"/>
              <w:left w:val="nil"/>
              <w:bottom w:val="nil"/>
              <w:right w:val="nil"/>
            </w:tcBorders>
            <w:shd w:val="clear" w:color="auto" w:fill="auto"/>
            <w:noWrap/>
            <w:vAlign w:val="bottom"/>
          </w:tcPr>
          <w:p w14:paraId="7C3C22DC" w14:textId="0E2FE7D1" w:rsidR="000819CD" w:rsidRPr="008669C3" w:rsidRDefault="000819CD" w:rsidP="000819CD">
            <w:pPr>
              <w:jc w:val="center"/>
              <w:rPr>
                <w:color w:val="000000"/>
                <w:sz w:val="22"/>
                <w:szCs w:val="22"/>
              </w:rPr>
            </w:pPr>
            <w:r w:rsidRPr="008669C3">
              <w:rPr>
                <w:color w:val="000000"/>
                <w:sz w:val="22"/>
                <w:szCs w:val="22"/>
              </w:rPr>
              <w:t>Yes</w:t>
            </w:r>
          </w:p>
        </w:tc>
        <w:tc>
          <w:tcPr>
            <w:tcW w:w="909" w:type="pct"/>
            <w:tcBorders>
              <w:top w:val="single" w:sz="4" w:space="0" w:color="auto"/>
              <w:left w:val="nil"/>
              <w:bottom w:val="nil"/>
              <w:right w:val="nil"/>
            </w:tcBorders>
            <w:shd w:val="clear" w:color="auto" w:fill="auto"/>
            <w:noWrap/>
            <w:vAlign w:val="bottom"/>
          </w:tcPr>
          <w:p w14:paraId="2A125A85" w14:textId="5EDCF8F1" w:rsidR="000819CD" w:rsidRPr="008669C3" w:rsidRDefault="000819CD" w:rsidP="000819CD">
            <w:pPr>
              <w:jc w:val="center"/>
              <w:rPr>
                <w:color w:val="000000"/>
                <w:sz w:val="22"/>
                <w:szCs w:val="22"/>
              </w:rPr>
            </w:pPr>
            <w:r w:rsidRPr="008669C3">
              <w:rPr>
                <w:color w:val="000000"/>
                <w:sz w:val="22"/>
                <w:szCs w:val="22"/>
              </w:rPr>
              <w:t>Yes</w:t>
            </w:r>
          </w:p>
        </w:tc>
        <w:tc>
          <w:tcPr>
            <w:tcW w:w="142" w:type="pct"/>
            <w:tcBorders>
              <w:top w:val="single" w:sz="4" w:space="0" w:color="auto"/>
              <w:left w:val="nil"/>
              <w:bottom w:val="nil"/>
              <w:right w:val="nil"/>
            </w:tcBorders>
            <w:shd w:val="clear" w:color="auto" w:fill="auto"/>
            <w:noWrap/>
            <w:vAlign w:val="bottom"/>
          </w:tcPr>
          <w:p w14:paraId="1D2758E4" w14:textId="77777777" w:rsidR="000819CD" w:rsidRPr="008669C3" w:rsidRDefault="000819CD" w:rsidP="000819CD">
            <w:pPr>
              <w:jc w:val="center"/>
              <w:rPr>
                <w:sz w:val="20"/>
                <w:szCs w:val="20"/>
              </w:rPr>
            </w:pPr>
          </w:p>
        </w:tc>
        <w:tc>
          <w:tcPr>
            <w:tcW w:w="791" w:type="pct"/>
            <w:tcBorders>
              <w:top w:val="single" w:sz="4" w:space="0" w:color="auto"/>
              <w:left w:val="nil"/>
              <w:bottom w:val="nil"/>
              <w:right w:val="nil"/>
            </w:tcBorders>
            <w:shd w:val="clear" w:color="auto" w:fill="auto"/>
            <w:noWrap/>
            <w:vAlign w:val="bottom"/>
          </w:tcPr>
          <w:p w14:paraId="0989DBA1" w14:textId="5E472258" w:rsidR="000819CD" w:rsidRPr="008669C3" w:rsidRDefault="000819CD" w:rsidP="000819CD">
            <w:pPr>
              <w:jc w:val="center"/>
              <w:rPr>
                <w:color w:val="000000"/>
                <w:sz w:val="22"/>
                <w:szCs w:val="22"/>
              </w:rPr>
            </w:pPr>
            <w:r w:rsidRPr="008669C3">
              <w:rPr>
                <w:color w:val="000000"/>
                <w:sz w:val="22"/>
                <w:szCs w:val="22"/>
              </w:rPr>
              <w:t>Yes</w:t>
            </w:r>
          </w:p>
        </w:tc>
        <w:tc>
          <w:tcPr>
            <w:tcW w:w="791" w:type="pct"/>
            <w:tcBorders>
              <w:top w:val="single" w:sz="4" w:space="0" w:color="auto"/>
              <w:left w:val="nil"/>
              <w:bottom w:val="nil"/>
              <w:right w:val="nil"/>
            </w:tcBorders>
            <w:shd w:val="clear" w:color="auto" w:fill="auto"/>
            <w:noWrap/>
            <w:vAlign w:val="bottom"/>
          </w:tcPr>
          <w:p w14:paraId="08BB56D4" w14:textId="68023227" w:rsidR="000819CD" w:rsidRPr="008669C3" w:rsidRDefault="000819CD" w:rsidP="000819CD">
            <w:pPr>
              <w:jc w:val="center"/>
              <w:rPr>
                <w:color w:val="000000"/>
                <w:sz w:val="22"/>
                <w:szCs w:val="22"/>
              </w:rPr>
            </w:pPr>
            <w:r w:rsidRPr="008669C3">
              <w:rPr>
                <w:color w:val="000000"/>
                <w:sz w:val="22"/>
                <w:szCs w:val="22"/>
              </w:rPr>
              <w:t>Yes</w:t>
            </w:r>
          </w:p>
        </w:tc>
      </w:tr>
      <w:tr w:rsidR="000819CD" w:rsidRPr="008669C3" w14:paraId="5F0CB89C" w14:textId="77777777" w:rsidTr="000819CD">
        <w:trPr>
          <w:trHeight w:val="20"/>
        </w:trPr>
        <w:tc>
          <w:tcPr>
            <w:tcW w:w="1458" w:type="pct"/>
            <w:tcBorders>
              <w:top w:val="nil"/>
              <w:left w:val="nil"/>
              <w:bottom w:val="nil"/>
              <w:right w:val="nil"/>
            </w:tcBorders>
            <w:shd w:val="clear" w:color="auto" w:fill="auto"/>
            <w:noWrap/>
            <w:vAlign w:val="bottom"/>
            <w:hideMark/>
          </w:tcPr>
          <w:p w14:paraId="69BF9985" w14:textId="77777777" w:rsidR="000819CD" w:rsidRPr="008669C3" w:rsidRDefault="000819CD" w:rsidP="000819CD">
            <w:pPr>
              <w:rPr>
                <w:color w:val="000000"/>
                <w:sz w:val="22"/>
                <w:szCs w:val="22"/>
              </w:rPr>
            </w:pPr>
            <w:r w:rsidRPr="008669C3">
              <w:rPr>
                <w:color w:val="000000"/>
                <w:sz w:val="22"/>
                <w:szCs w:val="22"/>
              </w:rPr>
              <w:t>Firm FE</w:t>
            </w:r>
          </w:p>
        </w:tc>
        <w:tc>
          <w:tcPr>
            <w:tcW w:w="909" w:type="pct"/>
            <w:tcBorders>
              <w:top w:val="nil"/>
              <w:left w:val="nil"/>
              <w:bottom w:val="nil"/>
              <w:right w:val="nil"/>
            </w:tcBorders>
            <w:shd w:val="clear" w:color="auto" w:fill="auto"/>
            <w:noWrap/>
            <w:vAlign w:val="bottom"/>
            <w:hideMark/>
          </w:tcPr>
          <w:p w14:paraId="76716193" w14:textId="77777777" w:rsidR="000819CD" w:rsidRPr="008669C3" w:rsidRDefault="000819CD" w:rsidP="000819CD">
            <w:pPr>
              <w:jc w:val="center"/>
              <w:rPr>
                <w:color w:val="000000"/>
                <w:sz w:val="22"/>
                <w:szCs w:val="22"/>
              </w:rPr>
            </w:pPr>
            <w:r w:rsidRPr="008669C3">
              <w:rPr>
                <w:color w:val="000000"/>
                <w:sz w:val="22"/>
                <w:szCs w:val="22"/>
              </w:rPr>
              <w:t>Yes</w:t>
            </w:r>
          </w:p>
        </w:tc>
        <w:tc>
          <w:tcPr>
            <w:tcW w:w="909" w:type="pct"/>
            <w:tcBorders>
              <w:top w:val="nil"/>
              <w:left w:val="nil"/>
              <w:bottom w:val="nil"/>
              <w:right w:val="nil"/>
            </w:tcBorders>
            <w:shd w:val="clear" w:color="auto" w:fill="auto"/>
            <w:noWrap/>
            <w:vAlign w:val="bottom"/>
            <w:hideMark/>
          </w:tcPr>
          <w:p w14:paraId="76B93192" w14:textId="7342F5D3" w:rsidR="000819CD" w:rsidRPr="008669C3" w:rsidRDefault="000819CD" w:rsidP="000819CD">
            <w:pPr>
              <w:jc w:val="center"/>
              <w:rPr>
                <w:color w:val="000000"/>
                <w:sz w:val="22"/>
                <w:szCs w:val="22"/>
              </w:rPr>
            </w:pPr>
            <w:r w:rsidRPr="008669C3">
              <w:rPr>
                <w:color w:val="000000"/>
                <w:sz w:val="22"/>
                <w:szCs w:val="22"/>
              </w:rPr>
              <w:t>No</w:t>
            </w:r>
          </w:p>
        </w:tc>
        <w:tc>
          <w:tcPr>
            <w:tcW w:w="142" w:type="pct"/>
            <w:tcBorders>
              <w:top w:val="nil"/>
              <w:left w:val="nil"/>
              <w:bottom w:val="nil"/>
              <w:right w:val="nil"/>
            </w:tcBorders>
            <w:shd w:val="clear" w:color="auto" w:fill="auto"/>
            <w:noWrap/>
            <w:vAlign w:val="bottom"/>
            <w:hideMark/>
          </w:tcPr>
          <w:p w14:paraId="39AFA0E8" w14:textId="77777777" w:rsidR="000819CD" w:rsidRPr="008669C3" w:rsidRDefault="000819CD" w:rsidP="000819CD">
            <w:pPr>
              <w:jc w:val="center"/>
              <w:rPr>
                <w:sz w:val="20"/>
                <w:szCs w:val="20"/>
              </w:rPr>
            </w:pPr>
          </w:p>
        </w:tc>
        <w:tc>
          <w:tcPr>
            <w:tcW w:w="791" w:type="pct"/>
            <w:tcBorders>
              <w:top w:val="nil"/>
              <w:left w:val="nil"/>
              <w:bottom w:val="nil"/>
              <w:right w:val="nil"/>
            </w:tcBorders>
            <w:shd w:val="clear" w:color="auto" w:fill="auto"/>
            <w:noWrap/>
            <w:vAlign w:val="bottom"/>
            <w:hideMark/>
          </w:tcPr>
          <w:p w14:paraId="21BCA94B" w14:textId="77777777" w:rsidR="000819CD" w:rsidRPr="008669C3" w:rsidRDefault="000819CD" w:rsidP="000819CD">
            <w:pPr>
              <w:jc w:val="center"/>
              <w:rPr>
                <w:color w:val="000000"/>
                <w:sz w:val="22"/>
                <w:szCs w:val="22"/>
              </w:rPr>
            </w:pPr>
            <w:r w:rsidRPr="008669C3">
              <w:rPr>
                <w:color w:val="000000"/>
                <w:sz w:val="22"/>
                <w:szCs w:val="22"/>
              </w:rPr>
              <w:t>Yes</w:t>
            </w:r>
          </w:p>
        </w:tc>
        <w:tc>
          <w:tcPr>
            <w:tcW w:w="791" w:type="pct"/>
            <w:tcBorders>
              <w:top w:val="nil"/>
              <w:left w:val="nil"/>
              <w:bottom w:val="nil"/>
              <w:right w:val="nil"/>
            </w:tcBorders>
            <w:shd w:val="clear" w:color="auto" w:fill="auto"/>
            <w:noWrap/>
            <w:vAlign w:val="bottom"/>
            <w:hideMark/>
          </w:tcPr>
          <w:p w14:paraId="5DB760E2" w14:textId="50BB03CA" w:rsidR="000819CD" w:rsidRPr="008669C3" w:rsidRDefault="000819CD" w:rsidP="000819CD">
            <w:pPr>
              <w:jc w:val="center"/>
              <w:rPr>
                <w:color w:val="000000"/>
                <w:sz w:val="22"/>
                <w:szCs w:val="22"/>
              </w:rPr>
            </w:pPr>
            <w:r w:rsidRPr="008669C3">
              <w:rPr>
                <w:color w:val="000000"/>
                <w:sz w:val="22"/>
                <w:szCs w:val="22"/>
              </w:rPr>
              <w:t>No</w:t>
            </w:r>
          </w:p>
        </w:tc>
      </w:tr>
      <w:tr w:rsidR="000819CD" w:rsidRPr="008669C3" w14:paraId="710E85A5" w14:textId="77777777" w:rsidTr="000819CD">
        <w:trPr>
          <w:trHeight w:val="20"/>
        </w:trPr>
        <w:tc>
          <w:tcPr>
            <w:tcW w:w="1458" w:type="pct"/>
            <w:tcBorders>
              <w:top w:val="nil"/>
              <w:left w:val="nil"/>
              <w:bottom w:val="nil"/>
              <w:right w:val="nil"/>
            </w:tcBorders>
            <w:shd w:val="clear" w:color="auto" w:fill="auto"/>
            <w:noWrap/>
            <w:vAlign w:val="bottom"/>
            <w:hideMark/>
          </w:tcPr>
          <w:p w14:paraId="061311D7" w14:textId="0ADD1835" w:rsidR="000819CD" w:rsidRPr="008669C3" w:rsidRDefault="008E006F" w:rsidP="000819CD">
            <w:pPr>
              <w:rPr>
                <w:color w:val="000000"/>
                <w:sz w:val="22"/>
                <w:szCs w:val="22"/>
              </w:rPr>
            </w:pPr>
            <w:r w:rsidRPr="008669C3">
              <w:rPr>
                <w:color w:val="000000"/>
                <w:sz w:val="22"/>
                <w:szCs w:val="22"/>
              </w:rPr>
              <w:t xml:space="preserve">CEO-Firm </w:t>
            </w:r>
            <w:r w:rsidR="000819CD" w:rsidRPr="008669C3">
              <w:rPr>
                <w:color w:val="000000"/>
                <w:sz w:val="22"/>
                <w:szCs w:val="22"/>
              </w:rPr>
              <w:t>FE</w:t>
            </w:r>
          </w:p>
        </w:tc>
        <w:tc>
          <w:tcPr>
            <w:tcW w:w="909" w:type="pct"/>
            <w:tcBorders>
              <w:top w:val="nil"/>
              <w:left w:val="nil"/>
              <w:bottom w:val="nil"/>
              <w:right w:val="nil"/>
            </w:tcBorders>
            <w:shd w:val="clear" w:color="auto" w:fill="auto"/>
            <w:noWrap/>
            <w:vAlign w:val="bottom"/>
            <w:hideMark/>
          </w:tcPr>
          <w:p w14:paraId="24A01E6D" w14:textId="607F6511" w:rsidR="000819CD" w:rsidRPr="008669C3" w:rsidRDefault="000819CD" w:rsidP="000819CD">
            <w:pPr>
              <w:jc w:val="center"/>
              <w:rPr>
                <w:color w:val="000000"/>
                <w:sz w:val="22"/>
                <w:szCs w:val="22"/>
              </w:rPr>
            </w:pPr>
            <w:r w:rsidRPr="008669C3">
              <w:rPr>
                <w:color w:val="000000"/>
                <w:sz w:val="22"/>
                <w:szCs w:val="22"/>
              </w:rPr>
              <w:t>No</w:t>
            </w:r>
          </w:p>
        </w:tc>
        <w:tc>
          <w:tcPr>
            <w:tcW w:w="909" w:type="pct"/>
            <w:tcBorders>
              <w:top w:val="nil"/>
              <w:left w:val="nil"/>
              <w:bottom w:val="nil"/>
              <w:right w:val="nil"/>
            </w:tcBorders>
            <w:shd w:val="clear" w:color="auto" w:fill="auto"/>
            <w:noWrap/>
            <w:vAlign w:val="bottom"/>
            <w:hideMark/>
          </w:tcPr>
          <w:p w14:paraId="2DBC13B7" w14:textId="77777777" w:rsidR="000819CD" w:rsidRPr="008669C3" w:rsidRDefault="000819CD" w:rsidP="000819CD">
            <w:pPr>
              <w:jc w:val="center"/>
              <w:rPr>
                <w:color w:val="000000"/>
                <w:sz w:val="22"/>
                <w:szCs w:val="22"/>
              </w:rPr>
            </w:pPr>
            <w:r w:rsidRPr="008669C3">
              <w:rPr>
                <w:color w:val="000000"/>
                <w:sz w:val="22"/>
                <w:szCs w:val="22"/>
              </w:rPr>
              <w:t>Yes</w:t>
            </w:r>
          </w:p>
        </w:tc>
        <w:tc>
          <w:tcPr>
            <w:tcW w:w="142" w:type="pct"/>
            <w:tcBorders>
              <w:top w:val="nil"/>
              <w:left w:val="nil"/>
              <w:bottom w:val="nil"/>
              <w:right w:val="nil"/>
            </w:tcBorders>
            <w:shd w:val="clear" w:color="auto" w:fill="auto"/>
            <w:noWrap/>
            <w:vAlign w:val="bottom"/>
            <w:hideMark/>
          </w:tcPr>
          <w:p w14:paraId="234D1E56" w14:textId="77777777" w:rsidR="000819CD" w:rsidRPr="008669C3" w:rsidRDefault="000819CD" w:rsidP="000819CD">
            <w:pPr>
              <w:jc w:val="center"/>
              <w:rPr>
                <w:color w:val="000000"/>
                <w:sz w:val="22"/>
                <w:szCs w:val="22"/>
              </w:rPr>
            </w:pPr>
          </w:p>
        </w:tc>
        <w:tc>
          <w:tcPr>
            <w:tcW w:w="791" w:type="pct"/>
            <w:tcBorders>
              <w:top w:val="nil"/>
              <w:left w:val="nil"/>
              <w:bottom w:val="nil"/>
              <w:right w:val="nil"/>
            </w:tcBorders>
            <w:shd w:val="clear" w:color="auto" w:fill="auto"/>
            <w:noWrap/>
            <w:vAlign w:val="bottom"/>
            <w:hideMark/>
          </w:tcPr>
          <w:p w14:paraId="60918E53" w14:textId="6ADD8EC5" w:rsidR="000819CD" w:rsidRPr="008669C3" w:rsidRDefault="000819CD" w:rsidP="000819CD">
            <w:pPr>
              <w:jc w:val="center"/>
              <w:rPr>
                <w:sz w:val="20"/>
                <w:szCs w:val="20"/>
              </w:rPr>
            </w:pPr>
            <w:r w:rsidRPr="008669C3">
              <w:rPr>
                <w:color w:val="000000"/>
                <w:sz w:val="22"/>
                <w:szCs w:val="22"/>
              </w:rPr>
              <w:t>No</w:t>
            </w:r>
          </w:p>
        </w:tc>
        <w:tc>
          <w:tcPr>
            <w:tcW w:w="791" w:type="pct"/>
            <w:tcBorders>
              <w:top w:val="nil"/>
              <w:left w:val="nil"/>
              <w:bottom w:val="nil"/>
              <w:right w:val="nil"/>
            </w:tcBorders>
            <w:shd w:val="clear" w:color="auto" w:fill="auto"/>
            <w:noWrap/>
            <w:vAlign w:val="bottom"/>
            <w:hideMark/>
          </w:tcPr>
          <w:p w14:paraId="4B0DF220" w14:textId="77777777" w:rsidR="000819CD" w:rsidRPr="008669C3" w:rsidRDefault="000819CD" w:rsidP="000819CD">
            <w:pPr>
              <w:jc w:val="center"/>
              <w:rPr>
                <w:color w:val="000000"/>
                <w:sz w:val="22"/>
                <w:szCs w:val="22"/>
              </w:rPr>
            </w:pPr>
            <w:r w:rsidRPr="008669C3">
              <w:rPr>
                <w:color w:val="000000"/>
                <w:sz w:val="22"/>
                <w:szCs w:val="22"/>
              </w:rPr>
              <w:t>Yes</w:t>
            </w:r>
          </w:p>
        </w:tc>
      </w:tr>
      <w:tr w:rsidR="000819CD" w:rsidRPr="008669C3" w14:paraId="48487126" w14:textId="77777777" w:rsidTr="000819CD">
        <w:trPr>
          <w:trHeight w:val="20"/>
        </w:trPr>
        <w:tc>
          <w:tcPr>
            <w:tcW w:w="1458" w:type="pct"/>
            <w:tcBorders>
              <w:top w:val="nil"/>
              <w:left w:val="nil"/>
              <w:bottom w:val="nil"/>
              <w:right w:val="nil"/>
            </w:tcBorders>
            <w:shd w:val="clear" w:color="auto" w:fill="auto"/>
            <w:noWrap/>
            <w:vAlign w:val="bottom"/>
            <w:hideMark/>
          </w:tcPr>
          <w:p w14:paraId="552A0AD8" w14:textId="0C3D65BA" w:rsidR="000819CD" w:rsidRPr="008669C3" w:rsidRDefault="008E006F" w:rsidP="000819CD">
            <w:pPr>
              <w:rPr>
                <w:color w:val="000000"/>
                <w:sz w:val="22"/>
                <w:szCs w:val="22"/>
              </w:rPr>
            </w:pPr>
            <w:r w:rsidRPr="008669C3">
              <w:rPr>
                <w:color w:val="000000"/>
                <w:sz w:val="22"/>
                <w:szCs w:val="22"/>
              </w:rPr>
              <w:t xml:space="preserve">Industry-Year </w:t>
            </w:r>
            <w:r w:rsidR="000819CD" w:rsidRPr="008669C3">
              <w:rPr>
                <w:color w:val="000000"/>
                <w:sz w:val="22"/>
                <w:szCs w:val="22"/>
              </w:rPr>
              <w:t>FE</w:t>
            </w:r>
          </w:p>
        </w:tc>
        <w:tc>
          <w:tcPr>
            <w:tcW w:w="909" w:type="pct"/>
            <w:tcBorders>
              <w:top w:val="nil"/>
              <w:left w:val="nil"/>
              <w:bottom w:val="nil"/>
              <w:right w:val="nil"/>
            </w:tcBorders>
            <w:shd w:val="clear" w:color="auto" w:fill="auto"/>
            <w:noWrap/>
            <w:vAlign w:val="bottom"/>
            <w:hideMark/>
          </w:tcPr>
          <w:p w14:paraId="48EEDCB5" w14:textId="77777777" w:rsidR="000819CD" w:rsidRPr="008669C3" w:rsidRDefault="000819CD" w:rsidP="000819CD">
            <w:pPr>
              <w:jc w:val="center"/>
              <w:rPr>
                <w:color w:val="000000"/>
                <w:sz w:val="22"/>
                <w:szCs w:val="22"/>
              </w:rPr>
            </w:pPr>
            <w:r w:rsidRPr="008669C3">
              <w:rPr>
                <w:color w:val="000000"/>
                <w:sz w:val="22"/>
                <w:szCs w:val="22"/>
              </w:rPr>
              <w:t>Yes</w:t>
            </w:r>
          </w:p>
        </w:tc>
        <w:tc>
          <w:tcPr>
            <w:tcW w:w="909" w:type="pct"/>
            <w:tcBorders>
              <w:top w:val="nil"/>
              <w:left w:val="nil"/>
              <w:bottom w:val="nil"/>
              <w:right w:val="nil"/>
            </w:tcBorders>
            <w:shd w:val="clear" w:color="auto" w:fill="auto"/>
            <w:noWrap/>
            <w:vAlign w:val="bottom"/>
            <w:hideMark/>
          </w:tcPr>
          <w:p w14:paraId="0E95D63C" w14:textId="77777777" w:rsidR="000819CD" w:rsidRPr="008669C3" w:rsidRDefault="000819CD" w:rsidP="000819CD">
            <w:pPr>
              <w:jc w:val="center"/>
              <w:rPr>
                <w:color w:val="000000"/>
                <w:sz w:val="22"/>
                <w:szCs w:val="22"/>
              </w:rPr>
            </w:pPr>
            <w:r w:rsidRPr="008669C3">
              <w:rPr>
                <w:color w:val="000000"/>
                <w:sz w:val="22"/>
                <w:szCs w:val="22"/>
              </w:rPr>
              <w:t>Yes</w:t>
            </w:r>
          </w:p>
        </w:tc>
        <w:tc>
          <w:tcPr>
            <w:tcW w:w="142" w:type="pct"/>
            <w:tcBorders>
              <w:top w:val="nil"/>
              <w:left w:val="nil"/>
              <w:bottom w:val="nil"/>
              <w:right w:val="nil"/>
            </w:tcBorders>
            <w:shd w:val="clear" w:color="auto" w:fill="auto"/>
            <w:noWrap/>
            <w:vAlign w:val="bottom"/>
            <w:hideMark/>
          </w:tcPr>
          <w:p w14:paraId="25488468" w14:textId="77777777" w:rsidR="000819CD" w:rsidRPr="008669C3" w:rsidRDefault="000819CD" w:rsidP="000819CD">
            <w:pPr>
              <w:jc w:val="center"/>
              <w:rPr>
                <w:color w:val="000000"/>
                <w:sz w:val="22"/>
                <w:szCs w:val="22"/>
              </w:rPr>
            </w:pPr>
          </w:p>
        </w:tc>
        <w:tc>
          <w:tcPr>
            <w:tcW w:w="791" w:type="pct"/>
            <w:tcBorders>
              <w:top w:val="nil"/>
              <w:left w:val="nil"/>
              <w:bottom w:val="nil"/>
              <w:right w:val="nil"/>
            </w:tcBorders>
            <w:shd w:val="clear" w:color="auto" w:fill="auto"/>
            <w:noWrap/>
            <w:vAlign w:val="bottom"/>
            <w:hideMark/>
          </w:tcPr>
          <w:p w14:paraId="6A0C3DA1" w14:textId="77777777" w:rsidR="000819CD" w:rsidRPr="008669C3" w:rsidRDefault="000819CD" w:rsidP="000819CD">
            <w:pPr>
              <w:jc w:val="center"/>
              <w:rPr>
                <w:color w:val="000000"/>
                <w:sz w:val="22"/>
                <w:szCs w:val="22"/>
              </w:rPr>
            </w:pPr>
            <w:r w:rsidRPr="008669C3">
              <w:rPr>
                <w:color w:val="000000"/>
                <w:sz w:val="22"/>
                <w:szCs w:val="22"/>
              </w:rPr>
              <w:t>Yes</w:t>
            </w:r>
          </w:p>
        </w:tc>
        <w:tc>
          <w:tcPr>
            <w:tcW w:w="791" w:type="pct"/>
            <w:tcBorders>
              <w:top w:val="nil"/>
              <w:left w:val="nil"/>
              <w:bottom w:val="nil"/>
              <w:right w:val="nil"/>
            </w:tcBorders>
            <w:shd w:val="clear" w:color="auto" w:fill="auto"/>
            <w:noWrap/>
            <w:vAlign w:val="bottom"/>
            <w:hideMark/>
          </w:tcPr>
          <w:p w14:paraId="72A53E00" w14:textId="77777777" w:rsidR="000819CD" w:rsidRPr="008669C3" w:rsidRDefault="000819CD" w:rsidP="000819CD">
            <w:pPr>
              <w:jc w:val="center"/>
              <w:rPr>
                <w:color w:val="000000"/>
                <w:sz w:val="22"/>
                <w:szCs w:val="22"/>
              </w:rPr>
            </w:pPr>
            <w:r w:rsidRPr="008669C3">
              <w:rPr>
                <w:color w:val="000000"/>
                <w:sz w:val="22"/>
                <w:szCs w:val="22"/>
              </w:rPr>
              <w:t>Yes</w:t>
            </w:r>
          </w:p>
        </w:tc>
      </w:tr>
      <w:tr w:rsidR="000819CD" w:rsidRPr="008669C3" w14:paraId="2941EC97" w14:textId="77777777" w:rsidTr="000819CD">
        <w:trPr>
          <w:trHeight w:val="20"/>
        </w:trPr>
        <w:tc>
          <w:tcPr>
            <w:tcW w:w="1458" w:type="pct"/>
            <w:tcBorders>
              <w:top w:val="nil"/>
              <w:left w:val="nil"/>
              <w:right w:val="nil"/>
            </w:tcBorders>
            <w:shd w:val="clear" w:color="auto" w:fill="auto"/>
            <w:noWrap/>
            <w:vAlign w:val="bottom"/>
            <w:hideMark/>
          </w:tcPr>
          <w:p w14:paraId="1E298F0E" w14:textId="77777777" w:rsidR="000819CD" w:rsidRPr="008669C3" w:rsidRDefault="000819CD" w:rsidP="000819CD">
            <w:pPr>
              <w:rPr>
                <w:color w:val="000000"/>
                <w:sz w:val="22"/>
                <w:szCs w:val="22"/>
              </w:rPr>
            </w:pPr>
            <w:r w:rsidRPr="008669C3">
              <w:rPr>
                <w:color w:val="000000"/>
                <w:sz w:val="22"/>
                <w:szCs w:val="22"/>
              </w:rPr>
              <w:t>N</w:t>
            </w:r>
          </w:p>
        </w:tc>
        <w:tc>
          <w:tcPr>
            <w:tcW w:w="909" w:type="pct"/>
            <w:tcBorders>
              <w:top w:val="nil"/>
              <w:left w:val="nil"/>
              <w:right w:val="nil"/>
            </w:tcBorders>
            <w:shd w:val="clear" w:color="auto" w:fill="auto"/>
            <w:noWrap/>
            <w:vAlign w:val="bottom"/>
            <w:hideMark/>
          </w:tcPr>
          <w:p w14:paraId="3B61D42B" w14:textId="263BECCC" w:rsidR="000819CD" w:rsidRPr="008669C3" w:rsidRDefault="00890C53" w:rsidP="000819CD">
            <w:pPr>
              <w:jc w:val="center"/>
              <w:rPr>
                <w:color w:val="000000"/>
                <w:sz w:val="22"/>
                <w:szCs w:val="22"/>
              </w:rPr>
            </w:pPr>
            <w:r>
              <w:rPr>
                <w:color w:val="000000"/>
                <w:sz w:val="22"/>
                <w:szCs w:val="22"/>
              </w:rPr>
              <w:t>7</w:t>
            </w:r>
            <w:r w:rsidR="000819CD" w:rsidRPr="008669C3">
              <w:rPr>
                <w:color w:val="000000"/>
                <w:sz w:val="22"/>
                <w:szCs w:val="22"/>
              </w:rPr>
              <w:t>054</w:t>
            </w:r>
          </w:p>
        </w:tc>
        <w:tc>
          <w:tcPr>
            <w:tcW w:w="909" w:type="pct"/>
            <w:tcBorders>
              <w:top w:val="nil"/>
              <w:left w:val="nil"/>
              <w:right w:val="nil"/>
            </w:tcBorders>
            <w:shd w:val="clear" w:color="auto" w:fill="auto"/>
            <w:noWrap/>
            <w:vAlign w:val="bottom"/>
            <w:hideMark/>
          </w:tcPr>
          <w:p w14:paraId="3315456C" w14:textId="3E055648" w:rsidR="000819CD" w:rsidRPr="008669C3" w:rsidRDefault="00890C53" w:rsidP="000819CD">
            <w:pPr>
              <w:jc w:val="center"/>
              <w:rPr>
                <w:color w:val="000000"/>
                <w:sz w:val="22"/>
                <w:szCs w:val="22"/>
              </w:rPr>
            </w:pPr>
            <w:r>
              <w:rPr>
                <w:color w:val="000000"/>
                <w:sz w:val="22"/>
                <w:szCs w:val="22"/>
              </w:rPr>
              <w:t>7</w:t>
            </w:r>
            <w:r w:rsidR="000819CD" w:rsidRPr="008669C3">
              <w:rPr>
                <w:color w:val="000000"/>
                <w:sz w:val="22"/>
                <w:szCs w:val="22"/>
              </w:rPr>
              <w:t>054</w:t>
            </w:r>
          </w:p>
        </w:tc>
        <w:tc>
          <w:tcPr>
            <w:tcW w:w="142" w:type="pct"/>
            <w:tcBorders>
              <w:top w:val="nil"/>
              <w:left w:val="nil"/>
              <w:right w:val="nil"/>
            </w:tcBorders>
            <w:shd w:val="clear" w:color="auto" w:fill="auto"/>
            <w:noWrap/>
            <w:vAlign w:val="bottom"/>
            <w:hideMark/>
          </w:tcPr>
          <w:p w14:paraId="521504DE" w14:textId="77777777" w:rsidR="000819CD" w:rsidRPr="008669C3" w:rsidRDefault="000819CD" w:rsidP="000819CD">
            <w:pPr>
              <w:jc w:val="center"/>
              <w:rPr>
                <w:color w:val="000000"/>
                <w:sz w:val="22"/>
                <w:szCs w:val="22"/>
              </w:rPr>
            </w:pPr>
          </w:p>
        </w:tc>
        <w:tc>
          <w:tcPr>
            <w:tcW w:w="791" w:type="pct"/>
            <w:tcBorders>
              <w:top w:val="nil"/>
              <w:left w:val="nil"/>
              <w:right w:val="nil"/>
            </w:tcBorders>
            <w:shd w:val="clear" w:color="auto" w:fill="auto"/>
            <w:noWrap/>
            <w:vAlign w:val="bottom"/>
            <w:hideMark/>
          </w:tcPr>
          <w:p w14:paraId="0B68A12D" w14:textId="436A3122" w:rsidR="000819CD" w:rsidRPr="008669C3" w:rsidRDefault="00890C53" w:rsidP="000819CD">
            <w:pPr>
              <w:jc w:val="center"/>
              <w:rPr>
                <w:color w:val="000000"/>
                <w:sz w:val="22"/>
                <w:szCs w:val="22"/>
              </w:rPr>
            </w:pPr>
            <w:r>
              <w:rPr>
                <w:color w:val="000000"/>
                <w:sz w:val="22"/>
                <w:szCs w:val="22"/>
              </w:rPr>
              <w:t>9</w:t>
            </w:r>
            <w:r w:rsidR="000819CD" w:rsidRPr="008669C3">
              <w:rPr>
                <w:color w:val="000000"/>
                <w:sz w:val="22"/>
                <w:szCs w:val="22"/>
              </w:rPr>
              <w:t>176</w:t>
            </w:r>
          </w:p>
        </w:tc>
        <w:tc>
          <w:tcPr>
            <w:tcW w:w="791" w:type="pct"/>
            <w:tcBorders>
              <w:top w:val="nil"/>
              <w:left w:val="nil"/>
              <w:right w:val="nil"/>
            </w:tcBorders>
            <w:shd w:val="clear" w:color="auto" w:fill="auto"/>
            <w:noWrap/>
            <w:vAlign w:val="bottom"/>
            <w:hideMark/>
          </w:tcPr>
          <w:p w14:paraId="47FBFDBC" w14:textId="7F6B7CF3" w:rsidR="000819CD" w:rsidRPr="008669C3" w:rsidRDefault="00890C53" w:rsidP="000819CD">
            <w:pPr>
              <w:jc w:val="center"/>
              <w:rPr>
                <w:color w:val="000000"/>
                <w:sz w:val="22"/>
                <w:szCs w:val="22"/>
              </w:rPr>
            </w:pPr>
            <w:r>
              <w:rPr>
                <w:color w:val="000000"/>
                <w:sz w:val="22"/>
                <w:szCs w:val="22"/>
              </w:rPr>
              <w:t>9</w:t>
            </w:r>
            <w:r w:rsidR="000819CD" w:rsidRPr="008669C3">
              <w:rPr>
                <w:color w:val="000000"/>
                <w:sz w:val="22"/>
                <w:szCs w:val="22"/>
              </w:rPr>
              <w:t>176</w:t>
            </w:r>
          </w:p>
        </w:tc>
      </w:tr>
      <w:tr w:rsidR="000819CD" w:rsidRPr="008669C3" w14:paraId="37D60AC8" w14:textId="77777777" w:rsidTr="000819CD">
        <w:trPr>
          <w:trHeight w:val="20"/>
        </w:trPr>
        <w:tc>
          <w:tcPr>
            <w:tcW w:w="1458" w:type="pct"/>
            <w:tcBorders>
              <w:top w:val="nil"/>
              <w:left w:val="nil"/>
              <w:bottom w:val="single" w:sz="4" w:space="0" w:color="auto"/>
              <w:right w:val="nil"/>
            </w:tcBorders>
            <w:shd w:val="clear" w:color="auto" w:fill="auto"/>
            <w:noWrap/>
            <w:vAlign w:val="bottom"/>
            <w:hideMark/>
          </w:tcPr>
          <w:p w14:paraId="611E27C8" w14:textId="5EA157A7" w:rsidR="000819CD" w:rsidRPr="008669C3" w:rsidRDefault="000819CD" w:rsidP="000819CD">
            <w:pPr>
              <w:rPr>
                <w:color w:val="000000"/>
                <w:sz w:val="22"/>
                <w:szCs w:val="22"/>
              </w:rPr>
            </w:pPr>
            <w:r w:rsidRPr="008669C3">
              <w:rPr>
                <w:sz w:val="22"/>
                <w:szCs w:val="22"/>
              </w:rPr>
              <w:t>Adjusted R</w:t>
            </w:r>
            <w:r w:rsidRPr="008669C3">
              <w:rPr>
                <w:sz w:val="22"/>
                <w:szCs w:val="22"/>
                <w:vertAlign w:val="superscript"/>
              </w:rPr>
              <w:t>2</w:t>
            </w:r>
          </w:p>
        </w:tc>
        <w:tc>
          <w:tcPr>
            <w:tcW w:w="909" w:type="pct"/>
            <w:tcBorders>
              <w:top w:val="nil"/>
              <w:left w:val="nil"/>
              <w:bottom w:val="single" w:sz="4" w:space="0" w:color="auto"/>
              <w:right w:val="nil"/>
            </w:tcBorders>
            <w:shd w:val="clear" w:color="auto" w:fill="auto"/>
            <w:noWrap/>
            <w:vAlign w:val="bottom"/>
            <w:hideMark/>
          </w:tcPr>
          <w:p w14:paraId="5CE91612" w14:textId="77777777" w:rsidR="000819CD" w:rsidRPr="008669C3" w:rsidRDefault="000819CD" w:rsidP="000819CD">
            <w:pPr>
              <w:jc w:val="center"/>
              <w:rPr>
                <w:color w:val="000000"/>
                <w:sz w:val="22"/>
                <w:szCs w:val="22"/>
              </w:rPr>
            </w:pPr>
            <w:r w:rsidRPr="008669C3">
              <w:rPr>
                <w:color w:val="000000"/>
                <w:sz w:val="22"/>
                <w:szCs w:val="22"/>
              </w:rPr>
              <w:t>0.186</w:t>
            </w:r>
          </w:p>
        </w:tc>
        <w:tc>
          <w:tcPr>
            <w:tcW w:w="909" w:type="pct"/>
            <w:tcBorders>
              <w:top w:val="nil"/>
              <w:left w:val="nil"/>
              <w:bottom w:val="single" w:sz="4" w:space="0" w:color="auto"/>
              <w:right w:val="nil"/>
            </w:tcBorders>
            <w:shd w:val="clear" w:color="auto" w:fill="auto"/>
            <w:noWrap/>
            <w:vAlign w:val="bottom"/>
            <w:hideMark/>
          </w:tcPr>
          <w:p w14:paraId="75009863" w14:textId="77777777" w:rsidR="000819CD" w:rsidRPr="008669C3" w:rsidRDefault="000819CD" w:rsidP="000819CD">
            <w:pPr>
              <w:jc w:val="center"/>
              <w:rPr>
                <w:color w:val="000000"/>
                <w:sz w:val="22"/>
                <w:szCs w:val="22"/>
              </w:rPr>
            </w:pPr>
            <w:r w:rsidRPr="008669C3">
              <w:rPr>
                <w:color w:val="000000"/>
                <w:sz w:val="22"/>
                <w:szCs w:val="22"/>
              </w:rPr>
              <w:t>0.134</w:t>
            </w:r>
          </w:p>
        </w:tc>
        <w:tc>
          <w:tcPr>
            <w:tcW w:w="142" w:type="pct"/>
            <w:tcBorders>
              <w:top w:val="nil"/>
              <w:left w:val="nil"/>
              <w:bottom w:val="single" w:sz="4" w:space="0" w:color="auto"/>
              <w:right w:val="nil"/>
            </w:tcBorders>
            <w:shd w:val="clear" w:color="auto" w:fill="auto"/>
            <w:noWrap/>
            <w:vAlign w:val="bottom"/>
            <w:hideMark/>
          </w:tcPr>
          <w:p w14:paraId="32E304BA" w14:textId="77777777" w:rsidR="000819CD" w:rsidRPr="008669C3" w:rsidRDefault="000819CD" w:rsidP="000819CD">
            <w:pPr>
              <w:jc w:val="center"/>
              <w:rPr>
                <w:color w:val="000000"/>
                <w:sz w:val="22"/>
                <w:szCs w:val="22"/>
              </w:rPr>
            </w:pPr>
          </w:p>
        </w:tc>
        <w:tc>
          <w:tcPr>
            <w:tcW w:w="791" w:type="pct"/>
            <w:tcBorders>
              <w:top w:val="nil"/>
              <w:left w:val="nil"/>
              <w:bottom w:val="single" w:sz="4" w:space="0" w:color="auto"/>
              <w:right w:val="nil"/>
            </w:tcBorders>
            <w:shd w:val="clear" w:color="auto" w:fill="auto"/>
            <w:noWrap/>
            <w:vAlign w:val="bottom"/>
            <w:hideMark/>
          </w:tcPr>
          <w:p w14:paraId="4A3929AA" w14:textId="77777777" w:rsidR="000819CD" w:rsidRPr="008669C3" w:rsidRDefault="000819CD" w:rsidP="000819CD">
            <w:pPr>
              <w:jc w:val="center"/>
              <w:rPr>
                <w:color w:val="000000"/>
                <w:sz w:val="22"/>
                <w:szCs w:val="22"/>
              </w:rPr>
            </w:pPr>
            <w:r w:rsidRPr="008669C3">
              <w:rPr>
                <w:color w:val="000000"/>
                <w:sz w:val="22"/>
                <w:szCs w:val="22"/>
              </w:rPr>
              <w:t>0.202</w:t>
            </w:r>
          </w:p>
        </w:tc>
        <w:tc>
          <w:tcPr>
            <w:tcW w:w="791" w:type="pct"/>
            <w:tcBorders>
              <w:top w:val="nil"/>
              <w:left w:val="nil"/>
              <w:bottom w:val="single" w:sz="4" w:space="0" w:color="auto"/>
              <w:right w:val="nil"/>
            </w:tcBorders>
            <w:shd w:val="clear" w:color="auto" w:fill="auto"/>
            <w:noWrap/>
            <w:vAlign w:val="bottom"/>
            <w:hideMark/>
          </w:tcPr>
          <w:p w14:paraId="0E002D49" w14:textId="77777777" w:rsidR="000819CD" w:rsidRPr="008669C3" w:rsidRDefault="000819CD" w:rsidP="000819CD">
            <w:pPr>
              <w:jc w:val="center"/>
              <w:rPr>
                <w:color w:val="000000"/>
                <w:sz w:val="22"/>
                <w:szCs w:val="22"/>
              </w:rPr>
            </w:pPr>
            <w:r w:rsidRPr="008669C3">
              <w:rPr>
                <w:color w:val="000000"/>
                <w:sz w:val="22"/>
                <w:szCs w:val="22"/>
              </w:rPr>
              <w:t>0.126</w:t>
            </w:r>
          </w:p>
        </w:tc>
      </w:tr>
    </w:tbl>
    <w:p w14:paraId="6410A261" w14:textId="77777777" w:rsidR="008942EA" w:rsidRPr="008669C3" w:rsidRDefault="008942EA" w:rsidP="000276F6">
      <w:pPr>
        <w:autoSpaceDE w:val="0"/>
        <w:autoSpaceDN w:val="0"/>
        <w:adjustRightInd w:val="0"/>
        <w:rPr>
          <w:color w:val="FF0000"/>
        </w:rPr>
        <w:sectPr w:rsidR="008942EA" w:rsidRPr="008669C3" w:rsidSect="008942EA">
          <w:pgSz w:w="16838" w:h="11906" w:orient="landscape"/>
          <w:pgMar w:top="1440" w:right="1440" w:bottom="1440" w:left="1440" w:header="709" w:footer="709" w:gutter="0"/>
          <w:cols w:space="708"/>
          <w:docGrid w:linePitch="360"/>
        </w:sectPr>
      </w:pPr>
    </w:p>
    <w:p w14:paraId="79E626F5" w14:textId="46A21BF8" w:rsidR="00A333E3" w:rsidRPr="008669C3" w:rsidRDefault="00A333E3" w:rsidP="000276F6">
      <w:pPr>
        <w:autoSpaceDE w:val="0"/>
        <w:autoSpaceDN w:val="0"/>
        <w:adjustRightInd w:val="0"/>
        <w:rPr>
          <w:color w:val="FF0000"/>
        </w:rPr>
      </w:pPr>
    </w:p>
    <w:p w14:paraId="3A2263E7" w14:textId="77777777" w:rsidR="00C55246" w:rsidRPr="008669C3" w:rsidRDefault="00C55246" w:rsidP="000276F6">
      <w:pPr>
        <w:autoSpaceDE w:val="0"/>
        <w:autoSpaceDN w:val="0"/>
        <w:adjustRightInd w:val="0"/>
        <w:rPr>
          <w:color w:val="FF0000"/>
        </w:rPr>
      </w:pPr>
    </w:p>
    <w:p w14:paraId="545F68C3" w14:textId="77777777" w:rsidR="00C55246" w:rsidRPr="008669C3" w:rsidRDefault="00C55246" w:rsidP="000276F6">
      <w:pPr>
        <w:autoSpaceDE w:val="0"/>
        <w:autoSpaceDN w:val="0"/>
        <w:adjustRightInd w:val="0"/>
        <w:rPr>
          <w:color w:val="FF0000"/>
        </w:rPr>
      </w:pPr>
    </w:p>
    <w:p w14:paraId="6B42E47E" w14:textId="77777777" w:rsidR="00C55246" w:rsidRPr="008669C3" w:rsidRDefault="00C55246" w:rsidP="000276F6">
      <w:pPr>
        <w:autoSpaceDE w:val="0"/>
        <w:autoSpaceDN w:val="0"/>
        <w:adjustRightInd w:val="0"/>
        <w:rPr>
          <w:color w:val="FF0000"/>
        </w:rPr>
      </w:pPr>
    </w:p>
    <w:p w14:paraId="0044A5F2" w14:textId="77777777" w:rsidR="00C55246" w:rsidRPr="008669C3" w:rsidRDefault="00C55246" w:rsidP="000276F6">
      <w:pPr>
        <w:autoSpaceDE w:val="0"/>
        <w:autoSpaceDN w:val="0"/>
        <w:adjustRightInd w:val="0"/>
        <w:rPr>
          <w:color w:val="FF0000"/>
        </w:rPr>
      </w:pPr>
    </w:p>
    <w:p w14:paraId="397DDA33" w14:textId="77777777" w:rsidR="007E0BE4" w:rsidRPr="008669C3" w:rsidRDefault="007E0BE4" w:rsidP="000276F6">
      <w:pPr>
        <w:autoSpaceDE w:val="0"/>
        <w:autoSpaceDN w:val="0"/>
        <w:adjustRightInd w:val="0"/>
        <w:rPr>
          <w:color w:val="FF0000"/>
        </w:rPr>
      </w:pPr>
    </w:p>
    <w:p w14:paraId="2C28B2C4" w14:textId="77777777" w:rsidR="007E0BE4" w:rsidRPr="008669C3" w:rsidRDefault="007E0BE4" w:rsidP="000276F6">
      <w:pPr>
        <w:autoSpaceDE w:val="0"/>
        <w:autoSpaceDN w:val="0"/>
        <w:adjustRightInd w:val="0"/>
        <w:rPr>
          <w:color w:val="FF0000"/>
        </w:rPr>
      </w:pPr>
    </w:p>
    <w:p w14:paraId="305ED3AF" w14:textId="77777777" w:rsidR="007E0BE4" w:rsidRPr="008669C3" w:rsidRDefault="007E0BE4" w:rsidP="000276F6">
      <w:pPr>
        <w:autoSpaceDE w:val="0"/>
        <w:autoSpaceDN w:val="0"/>
        <w:adjustRightInd w:val="0"/>
        <w:rPr>
          <w:color w:val="FF0000"/>
        </w:rPr>
      </w:pPr>
    </w:p>
    <w:p w14:paraId="02655AA2" w14:textId="77777777" w:rsidR="00AE6C6F" w:rsidRPr="008669C3" w:rsidRDefault="00AE6C6F" w:rsidP="000276F6">
      <w:pPr>
        <w:autoSpaceDE w:val="0"/>
        <w:autoSpaceDN w:val="0"/>
        <w:adjustRightInd w:val="0"/>
        <w:rPr>
          <w:color w:val="FF0000"/>
        </w:rPr>
      </w:pPr>
    </w:p>
    <w:p w14:paraId="0552B612" w14:textId="77777777" w:rsidR="00AE6C6F" w:rsidRPr="008669C3" w:rsidRDefault="00AE6C6F" w:rsidP="000276F6">
      <w:pPr>
        <w:autoSpaceDE w:val="0"/>
        <w:autoSpaceDN w:val="0"/>
        <w:adjustRightInd w:val="0"/>
        <w:rPr>
          <w:color w:val="FF0000"/>
        </w:rPr>
      </w:pPr>
    </w:p>
    <w:p w14:paraId="649EE53E" w14:textId="77777777" w:rsidR="00C55246" w:rsidRPr="008669C3" w:rsidRDefault="00C55246" w:rsidP="000276F6">
      <w:pPr>
        <w:autoSpaceDE w:val="0"/>
        <w:autoSpaceDN w:val="0"/>
        <w:adjustRightInd w:val="0"/>
        <w:rPr>
          <w:color w:val="FF0000"/>
        </w:rPr>
      </w:pPr>
    </w:p>
    <w:p w14:paraId="7BEE64AB" w14:textId="087AABE0" w:rsidR="00C55246" w:rsidRPr="008669C3" w:rsidRDefault="00C55246" w:rsidP="00C55246">
      <w:pPr>
        <w:jc w:val="center"/>
        <w:rPr>
          <w:b/>
        </w:rPr>
      </w:pPr>
      <w:r w:rsidRPr="008669C3">
        <w:rPr>
          <w:b/>
        </w:rPr>
        <w:t>Table A.5</w:t>
      </w:r>
    </w:p>
    <w:p w14:paraId="3ECD5B6F" w14:textId="5293926E" w:rsidR="00C55246" w:rsidRPr="008669C3" w:rsidRDefault="00C55246" w:rsidP="00C55246">
      <w:pPr>
        <w:autoSpaceDE w:val="0"/>
        <w:autoSpaceDN w:val="0"/>
        <w:adjustRightInd w:val="0"/>
        <w:jc w:val="center"/>
      </w:pPr>
      <w:r w:rsidRPr="008669C3">
        <w:t xml:space="preserve">Descriptive statistics for </w:t>
      </w:r>
      <w:r w:rsidR="00AE6C6F" w:rsidRPr="008669C3">
        <w:t>CDS trading-activity variables</w:t>
      </w:r>
    </w:p>
    <w:p w14:paraId="727C59D8" w14:textId="77777777" w:rsidR="00C55246" w:rsidRPr="008669C3" w:rsidRDefault="00C55246" w:rsidP="000276F6">
      <w:pPr>
        <w:autoSpaceDE w:val="0"/>
        <w:autoSpaceDN w:val="0"/>
        <w:adjustRightInd w:val="0"/>
        <w:rPr>
          <w:color w:val="FF0000"/>
        </w:rPr>
      </w:pPr>
    </w:p>
    <w:p w14:paraId="2C10350B" w14:textId="3E0E65BA" w:rsidR="009A2B0E" w:rsidRPr="008669C3" w:rsidRDefault="003A2A40" w:rsidP="00AE6C6F">
      <w:pPr>
        <w:jc w:val="both"/>
        <w:rPr>
          <w:color w:val="FF0000"/>
        </w:rPr>
      </w:pPr>
      <w:r w:rsidRPr="008669C3">
        <w:rPr>
          <w:sz w:val="20"/>
          <w:szCs w:val="20"/>
        </w:rPr>
        <w:t>This table shows a comparison of our CDS sample to the full DTCC universe.</w:t>
      </w:r>
      <w:r w:rsidR="00AE6C6F" w:rsidRPr="008669C3">
        <w:rPr>
          <w:sz w:val="20"/>
          <w:szCs w:val="20"/>
        </w:rPr>
        <w:t xml:space="preserve"> </w:t>
      </w:r>
      <w:r w:rsidR="003D5D47" w:rsidRPr="008669C3">
        <w:rPr>
          <w:i/>
          <w:sz w:val="20"/>
          <w:szCs w:val="20"/>
        </w:rPr>
        <w:t>Gross notional</w:t>
      </w:r>
      <w:r w:rsidR="003D5D47" w:rsidRPr="008669C3">
        <w:rPr>
          <w:sz w:val="20"/>
          <w:szCs w:val="20"/>
        </w:rPr>
        <w:t xml:space="preserve"> is </w:t>
      </w:r>
      <w:r w:rsidRPr="008669C3">
        <w:rPr>
          <w:sz w:val="20"/>
          <w:szCs w:val="20"/>
        </w:rPr>
        <w:t xml:space="preserve">the </w:t>
      </w:r>
      <w:r w:rsidR="003D5D47" w:rsidRPr="008669C3">
        <w:rPr>
          <w:sz w:val="20"/>
          <w:szCs w:val="20"/>
        </w:rPr>
        <w:t xml:space="preserve">weekly </w:t>
      </w:r>
      <w:r w:rsidRPr="008669C3">
        <w:rPr>
          <w:sz w:val="20"/>
          <w:szCs w:val="20"/>
        </w:rPr>
        <w:t xml:space="preserve">gross notional amount </w:t>
      </w:r>
      <w:r w:rsidR="003D5D47" w:rsidRPr="008669C3">
        <w:rPr>
          <w:sz w:val="20"/>
          <w:szCs w:val="20"/>
        </w:rPr>
        <w:t>of CDS transactions</w:t>
      </w:r>
      <w:r w:rsidR="007E0BE4" w:rsidRPr="008669C3">
        <w:rPr>
          <w:sz w:val="20"/>
          <w:szCs w:val="20"/>
        </w:rPr>
        <w:t xml:space="preserve"> in US dollars</w:t>
      </w:r>
      <w:r w:rsidR="00AE6C6F" w:rsidRPr="008669C3">
        <w:rPr>
          <w:sz w:val="20"/>
          <w:szCs w:val="20"/>
        </w:rPr>
        <w:t xml:space="preserve">. </w:t>
      </w:r>
      <w:r w:rsidRPr="008669C3">
        <w:rPr>
          <w:i/>
          <w:sz w:val="20"/>
          <w:szCs w:val="20"/>
        </w:rPr>
        <w:t>Number of traded contracts</w:t>
      </w:r>
      <w:r w:rsidRPr="008669C3">
        <w:rPr>
          <w:sz w:val="20"/>
          <w:szCs w:val="20"/>
        </w:rPr>
        <w:t xml:space="preserve"> is the weekly number of traded contracts.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1614"/>
        <w:gridCol w:w="2109"/>
        <w:gridCol w:w="1026"/>
        <w:gridCol w:w="2198"/>
      </w:tblGrid>
      <w:tr w:rsidR="00C55246" w:rsidRPr="008669C3" w14:paraId="1EAF52C6" w14:textId="77777777" w:rsidTr="00AE6C6F">
        <w:tc>
          <w:tcPr>
            <w:tcW w:w="1242" w:type="pct"/>
            <w:tcBorders>
              <w:top w:val="single" w:sz="4" w:space="0" w:color="auto"/>
            </w:tcBorders>
          </w:tcPr>
          <w:p w14:paraId="4F56FA5F" w14:textId="77777777" w:rsidR="00C55246" w:rsidRPr="008669C3" w:rsidRDefault="00C55246" w:rsidP="00C55246">
            <w:pPr>
              <w:autoSpaceDE w:val="0"/>
              <w:autoSpaceDN w:val="0"/>
              <w:adjustRightInd w:val="0"/>
              <w:jc w:val="both"/>
              <w:rPr>
                <w:sz w:val="22"/>
                <w:szCs w:val="22"/>
              </w:rPr>
            </w:pPr>
          </w:p>
        </w:tc>
        <w:tc>
          <w:tcPr>
            <w:tcW w:w="2014" w:type="pct"/>
            <w:gridSpan w:val="2"/>
            <w:tcBorders>
              <w:top w:val="single" w:sz="4" w:space="0" w:color="auto"/>
            </w:tcBorders>
          </w:tcPr>
          <w:p w14:paraId="56CFE8E0" w14:textId="0216D820" w:rsidR="00C55246" w:rsidRPr="008669C3" w:rsidRDefault="00C55246" w:rsidP="00C55246">
            <w:pPr>
              <w:autoSpaceDE w:val="0"/>
              <w:autoSpaceDN w:val="0"/>
              <w:adjustRightInd w:val="0"/>
              <w:jc w:val="center"/>
              <w:rPr>
                <w:sz w:val="22"/>
                <w:szCs w:val="22"/>
              </w:rPr>
            </w:pPr>
            <w:r w:rsidRPr="008669C3">
              <w:rPr>
                <w:sz w:val="22"/>
                <w:szCs w:val="22"/>
              </w:rPr>
              <w:t xml:space="preserve">Gross </w:t>
            </w:r>
            <w:r w:rsidR="003D5D47" w:rsidRPr="008669C3">
              <w:rPr>
                <w:sz w:val="22"/>
                <w:szCs w:val="22"/>
              </w:rPr>
              <w:t>notional</w:t>
            </w:r>
            <w:r w:rsidRPr="008669C3">
              <w:rPr>
                <w:sz w:val="22"/>
                <w:szCs w:val="22"/>
              </w:rPr>
              <w:t xml:space="preserve"> (US dollars)</w:t>
            </w:r>
          </w:p>
        </w:tc>
        <w:tc>
          <w:tcPr>
            <w:tcW w:w="1744" w:type="pct"/>
            <w:gridSpan w:val="2"/>
            <w:tcBorders>
              <w:top w:val="single" w:sz="4" w:space="0" w:color="auto"/>
            </w:tcBorders>
          </w:tcPr>
          <w:p w14:paraId="0125B577" w14:textId="52F5E230" w:rsidR="00C55246" w:rsidRPr="008669C3" w:rsidRDefault="00AE6C6F" w:rsidP="00AE6C6F">
            <w:pPr>
              <w:autoSpaceDE w:val="0"/>
              <w:autoSpaceDN w:val="0"/>
              <w:adjustRightInd w:val="0"/>
              <w:jc w:val="center"/>
              <w:rPr>
                <w:sz w:val="22"/>
                <w:szCs w:val="22"/>
              </w:rPr>
            </w:pPr>
            <w:r w:rsidRPr="008669C3">
              <w:rPr>
                <w:sz w:val="22"/>
                <w:szCs w:val="22"/>
              </w:rPr>
              <w:t>Number of t</w:t>
            </w:r>
            <w:r w:rsidR="00C55246" w:rsidRPr="008669C3">
              <w:rPr>
                <w:sz w:val="22"/>
                <w:szCs w:val="22"/>
              </w:rPr>
              <w:t>raded contracts</w:t>
            </w:r>
          </w:p>
        </w:tc>
      </w:tr>
      <w:tr w:rsidR="00C55246" w:rsidRPr="008669C3" w14:paraId="027718CE" w14:textId="77777777" w:rsidTr="000D37C2">
        <w:tc>
          <w:tcPr>
            <w:tcW w:w="1242" w:type="pct"/>
            <w:tcBorders>
              <w:bottom w:val="single" w:sz="4" w:space="0" w:color="auto"/>
            </w:tcBorders>
          </w:tcPr>
          <w:p w14:paraId="470746C7" w14:textId="77777777" w:rsidR="00C55246" w:rsidRPr="008669C3" w:rsidRDefault="00C55246" w:rsidP="00C55246">
            <w:pPr>
              <w:autoSpaceDE w:val="0"/>
              <w:autoSpaceDN w:val="0"/>
              <w:adjustRightInd w:val="0"/>
              <w:jc w:val="both"/>
              <w:rPr>
                <w:sz w:val="22"/>
                <w:szCs w:val="22"/>
              </w:rPr>
            </w:pPr>
          </w:p>
        </w:tc>
        <w:tc>
          <w:tcPr>
            <w:tcW w:w="873" w:type="pct"/>
            <w:tcBorders>
              <w:bottom w:val="single" w:sz="4" w:space="0" w:color="auto"/>
            </w:tcBorders>
          </w:tcPr>
          <w:p w14:paraId="7D332541" w14:textId="77777777" w:rsidR="00C55246" w:rsidRPr="008669C3" w:rsidRDefault="00C55246" w:rsidP="00C55246">
            <w:pPr>
              <w:autoSpaceDE w:val="0"/>
              <w:autoSpaceDN w:val="0"/>
              <w:adjustRightInd w:val="0"/>
              <w:jc w:val="center"/>
              <w:rPr>
                <w:sz w:val="22"/>
                <w:szCs w:val="22"/>
              </w:rPr>
            </w:pPr>
            <w:r w:rsidRPr="008669C3">
              <w:rPr>
                <w:sz w:val="22"/>
                <w:szCs w:val="22"/>
              </w:rPr>
              <w:t>DTCC</w:t>
            </w:r>
          </w:p>
        </w:tc>
        <w:tc>
          <w:tcPr>
            <w:tcW w:w="1141" w:type="pct"/>
            <w:tcBorders>
              <w:bottom w:val="single" w:sz="4" w:space="0" w:color="auto"/>
            </w:tcBorders>
          </w:tcPr>
          <w:p w14:paraId="2E2938C8" w14:textId="0A4DB117" w:rsidR="00C55246" w:rsidRPr="008669C3" w:rsidRDefault="00AE6C6F" w:rsidP="00C55246">
            <w:pPr>
              <w:autoSpaceDE w:val="0"/>
              <w:autoSpaceDN w:val="0"/>
              <w:adjustRightInd w:val="0"/>
              <w:jc w:val="center"/>
              <w:rPr>
                <w:sz w:val="22"/>
                <w:szCs w:val="22"/>
              </w:rPr>
            </w:pPr>
            <w:r w:rsidRPr="008669C3">
              <w:rPr>
                <w:sz w:val="22"/>
                <w:szCs w:val="22"/>
              </w:rPr>
              <w:t xml:space="preserve">Our </w:t>
            </w:r>
            <w:r w:rsidR="00C55246" w:rsidRPr="008669C3">
              <w:rPr>
                <w:sz w:val="22"/>
                <w:szCs w:val="22"/>
              </w:rPr>
              <w:t>CDS sample</w:t>
            </w:r>
          </w:p>
        </w:tc>
        <w:tc>
          <w:tcPr>
            <w:tcW w:w="555" w:type="pct"/>
            <w:tcBorders>
              <w:bottom w:val="single" w:sz="4" w:space="0" w:color="auto"/>
            </w:tcBorders>
          </w:tcPr>
          <w:p w14:paraId="7E742865" w14:textId="77777777" w:rsidR="00C55246" w:rsidRPr="008669C3" w:rsidRDefault="00C55246" w:rsidP="00C55246">
            <w:pPr>
              <w:autoSpaceDE w:val="0"/>
              <w:autoSpaceDN w:val="0"/>
              <w:adjustRightInd w:val="0"/>
              <w:jc w:val="center"/>
              <w:rPr>
                <w:sz w:val="22"/>
                <w:szCs w:val="22"/>
              </w:rPr>
            </w:pPr>
            <w:r w:rsidRPr="008669C3">
              <w:rPr>
                <w:sz w:val="22"/>
                <w:szCs w:val="22"/>
              </w:rPr>
              <w:t>DTCC</w:t>
            </w:r>
          </w:p>
        </w:tc>
        <w:tc>
          <w:tcPr>
            <w:tcW w:w="1189" w:type="pct"/>
            <w:tcBorders>
              <w:bottom w:val="single" w:sz="4" w:space="0" w:color="auto"/>
            </w:tcBorders>
          </w:tcPr>
          <w:p w14:paraId="493E9F6E" w14:textId="55A2B928" w:rsidR="00C55246" w:rsidRPr="008669C3" w:rsidRDefault="00AE6C6F" w:rsidP="00C55246">
            <w:pPr>
              <w:autoSpaceDE w:val="0"/>
              <w:autoSpaceDN w:val="0"/>
              <w:adjustRightInd w:val="0"/>
              <w:jc w:val="center"/>
              <w:rPr>
                <w:sz w:val="22"/>
                <w:szCs w:val="22"/>
              </w:rPr>
            </w:pPr>
            <w:r w:rsidRPr="008669C3">
              <w:rPr>
                <w:sz w:val="22"/>
                <w:szCs w:val="22"/>
              </w:rPr>
              <w:t xml:space="preserve">Our </w:t>
            </w:r>
            <w:r w:rsidR="00C55246" w:rsidRPr="008669C3">
              <w:rPr>
                <w:sz w:val="22"/>
                <w:szCs w:val="22"/>
              </w:rPr>
              <w:t>CDS sample</w:t>
            </w:r>
          </w:p>
        </w:tc>
      </w:tr>
      <w:tr w:rsidR="00C55246" w:rsidRPr="008669C3" w14:paraId="60A5F241" w14:textId="77777777" w:rsidTr="000D37C2">
        <w:tc>
          <w:tcPr>
            <w:tcW w:w="1242" w:type="pct"/>
            <w:tcBorders>
              <w:top w:val="single" w:sz="4" w:space="0" w:color="auto"/>
            </w:tcBorders>
          </w:tcPr>
          <w:p w14:paraId="2DFF4225" w14:textId="77777777" w:rsidR="00C55246" w:rsidRPr="008669C3" w:rsidRDefault="00C55246" w:rsidP="00C55246">
            <w:pPr>
              <w:autoSpaceDE w:val="0"/>
              <w:autoSpaceDN w:val="0"/>
              <w:adjustRightInd w:val="0"/>
              <w:jc w:val="both"/>
              <w:rPr>
                <w:sz w:val="22"/>
                <w:szCs w:val="22"/>
              </w:rPr>
            </w:pPr>
            <w:r w:rsidRPr="008669C3">
              <w:rPr>
                <w:sz w:val="22"/>
                <w:szCs w:val="22"/>
              </w:rPr>
              <w:t>Mean</w:t>
            </w:r>
          </w:p>
        </w:tc>
        <w:tc>
          <w:tcPr>
            <w:tcW w:w="873" w:type="pct"/>
            <w:tcBorders>
              <w:top w:val="single" w:sz="4" w:space="0" w:color="auto"/>
            </w:tcBorders>
          </w:tcPr>
          <w:p w14:paraId="34995ED6" w14:textId="77777777" w:rsidR="00C55246" w:rsidRPr="008669C3" w:rsidRDefault="00C55246" w:rsidP="00C55246">
            <w:pPr>
              <w:autoSpaceDE w:val="0"/>
              <w:autoSpaceDN w:val="0"/>
              <w:adjustRightInd w:val="0"/>
              <w:jc w:val="center"/>
              <w:rPr>
                <w:sz w:val="22"/>
                <w:szCs w:val="22"/>
              </w:rPr>
            </w:pPr>
            <w:r w:rsidRPr="008669C3">
              <w:rPr>
                <w:sz w:val="22"/>
                <w:szCs w:val="22"/>
              </w:rPr>
              <w:t>93,412,080</w:t>
            </w:r>
          </w:p>
        </w:tc>
        <w:tc>
          <w:tcPr>
            <w:tcW w:w="1141" w:type="pct"/>
            <w:tcBorders>
              <w:top w:val="single" w:sz="4" w:space="0" w:color="auto"/>
            </w:tcBorders>
          </w:tcPr>
          <w:p w14:paraId="7AD7F69B" w14:textId="77777777" w:rsidR="00C55246" w:rsidRPr="008669C3" w:rsidRDefault="00C55246" w:rsidP="00C55246">
            <w:pPr>
              <w:autoSpaceDE w:val="0"/>
              <w:autoSpaceDN w:val="0"/>
              <w:adjustRightInd w:val="0"/>
              <w:jc w:val="center"/>
              <w:rPr>
                <w:sz w:val="22"/>
                <w:szCs w:val="22"/>
              </w:rPr>
            </w:pPr>
            <w:r w:rsidRPr="008669C3">
              <w:rPr>
                <w:sz w:val="22"/>
                <w:szCs w:val="22"/>
              </w:rPr>
              <w:t>138,701,497</w:t>
            </w:r>
          </w:p>
        </w:tc>
        <w:tc>
          <w:tcPr>
            <w:tcW w:w="555" w:type="pct"/>
            <w:tcBorders>
              <w:top w:val="single" w:sz="4" w:space="0" w:color="auto"/>
            </w:tcBorders>
          </w:tcPr>
          <w:p w14:paraId="4A1C815C" w14:textId="77777777" w:rsidR="00C55246" w:rsidRPr="008669C3" w:rsidRDefault="00C55246" w:rsidP="00C55246">
            <w:pPr>
              <w:autoSpaceDE w:val="0"/>
              <w:autoSpaceDN w:val="0"/>
              <w:adjustRightInd w:val="0"/>
              <w:jc w:val="center"/>
              <w:rPr>
                <w:sz w:val="22"/>
                <w:szCs w:val="22"/>
              </w:rPr>
            </w:pPr>
            <w:r w:rsidRPr="008669C3">
              <w:rPr>
                <w:sz w:val="22"/>
                <w:szCs w:val="22"/>
              </w:rPr>
              <w:t>19</w:t>
            </w:r>
          </w:p>
        </w:tc>
        <w:tc>
          <w:tcPr>
            <w:tcW w:w="1189" w:type="pct"/>
            <w:tcBorders>
              <w:top w:val="single" w:sz="4" w:space="0" w:color="auto"/>
            </w:tcBorders>
          </w:tcPr>
          <w:p w14:paraId="429B7360" w14:textId="77777777" w:rsidR="00C55246" w:rsidRPr="008669C3" w:rsidRDefault="00C55246" w:rsidP="00C55246">
            <w:pPr>
              <w:autoSpaceDE w:val="0"/>
              <w:autoSpaceDN w:val="0"/>
              <w:adjustRightInd w:val="0"/>
              <w:jc w:val="center"/>
              <w:rPr>
                <w:sz w:val="22"/>
                <w:szCs w:val="22"/>
              </w:rPr>
            </w:pPr>
            <w:r w:rsidRPr="008669C3">
              <w:rPr>
                <w:sz w:val="22"/>
                <w:szCs w:val="22"/>
              </w:rPr>
              <w:t>28</w:t>
            </w:r>
          </w:p>
        </w:tc>
      </w:tr>
      <w:tr w:rsidR="00C55246" w:rsidRPr="008669C3" w14:paraId="3B3E3121" w14:textId="77777777" w:rsidTr="00AE6C6F">
        <w:tc>
          <w:tcPr>
            <w:tcW w:w="1242" w:type="pct"/>
          </w:tcPr>
          <w:p w14:paraId="594B9349" w14:textId="77777777" w:rsidR="00C55246" w:rsidRPr="008669C3" w:rsidRDefault="00C55246" w:rsidP="00C55246">
            <w:pPr>
              <w:autoSpaceDE w:val="0"/>
              <w:autoSpaceDN w:val="0"/>
              <w:adjustRightInd w:val="0"/>
              <w:jc w:val="both"/>
              <w:rPr>
                <w:sz w:val="22"/>
                <w:szCs w:val="22"/>
              </w:rPr>
            </w:pPr>
            <w:r w:rsidRPr="008669C3">
              <w:rPr>
                <w:sz w:val="22"/>
                <w:szCs w:val="22"/>
              </w:rPr>
              <w:t>Median</w:t>
            </w:r>
          </w:p>
        </w:tc>
        <w:tc>
          <w:tcPr>
            <w:tcW w:w="873" w:type="pct"/>
          </w:tcPr>
          <w:p w14:paraId="435E3208" w14:textId="77777777" w:rsidR="00C55246" w:rsidRPr="008669C3" w:rsidRDefault="00C55246" w:rsidP="00C55246">
            <w:pPr>
              <w:autoSpaceDE w:val="0"/>
              <w:autoSpaceDN w:val="0"/>
              <w:adjustRightInd w:val="0"/>
              <w:jc w:val="center"/>
              <w:rPr>
                <w:sz w:val="22"/>
                <w:szCs w:val="22"/>
              </w:rPr>
            </w:pPr>
            <w:r w:rsidRPr="008669C3">
              <w:rPr>
                <w:sz w:val="22"/>
                <w:szCs w:val="22"/>
              </w:rPr>
              <w:t>69,709,111</w:t>
            </w:r>
          </w:p>
        </w:tc>
        <w:tc>
          <w:tcPr>
            <w:tcW w:w="1141" w:type="pct"/>
          </w:tcPr>
          <w:p w14:paraId="0FB246EF" w14:textId="77777777" w:rsidR="00C55246" w:rsidRPr="008669C3" w:rsidRDefault="00C55246" w:rsidP="00C55246">
            <w:pPr>
              <w:autoSpaceDE w:val="0"/>
              <w:autoSpaceDN w:val="0"/>
              <w:adjustRightInd w:val="0"/>
              <w:jc w:val="center"/>
              <w:rPr>
                <w:sz w:val="22"/>
                <w:szCs w:val="22"/>
              </w:rPr>
            </w:pPr>
            <w:r w:rsidRPr="008669C3">
              <w:rPr>
                <w:sz w:val="22"/>
                <w:szCs w:val="22"/>
              </w:rPr>
              <w:t>124,418,974</w:t>
            </w:r>
          </w:p>
        </w:tc>
        <w:tc>
          <w:tcPr>
            <w:tcW w:w="555" w:type="pct"/>
          </w:tcPr>
          <w:p w14:paraId="4557F320" w14:textId="77777777" w:rsidR="00C55246" w:rsidRPr="008669C3" w:rsidRDefault="00C55246" w:rsidP="00C55246">
            <w:pPr>
              <w:autoSpaceDE w:val="0"/>
              <w:autoSpaceDN w:val="0"/>
              <w:adjustRightInd w:val="0"/>
              <w:jc w:val="center"/>
              <w:rPr>
                <w:sz w:val="22"/>
                <w:szCs w:val="22"/>
              </w:rPr>
            </w:pPr>
            <w:r w:rsidRPr="008669C3">
              <w:rPr>
                <w:sz w:val="22"/>
                <w:szCs w:val="22"/>
              </w:rPr>
              <w:t>15</w:t>
            </w:r>
          </w:p>
        </w:tc>
        <w:tc>
          <w:tcPr>
            <w:tcW w:w="1189" w:type="pct"/>
          </w:tcPr>
          <w:p w14:paraId="5A16E438" w14:textId="77777777" w:rsidR="00C55246" w:rsidRPr="008669C3" w:rsidRDefault="00C55246" w:rsidP="00C55246">
            <w:pPr>
              <w:autoSpaceDE w:val="0"/>
              <w:autoSpaceDN w:val="0"/>
              <w:adjustRightInd w:val="0"/>
              <w:jc w:val="center"/>
              <w:rPr>
                <w:sz w:val="22"/>
                <w:szCs w:val="22"/>
              </w:rPr>
            </w:pPr>
            <w:r w:rsidRPr="008669C3">
              <w:rPr>
                <w:sz w:val="22"/>
                <w:szCs w:val="22"/>
              </w:rPr>
              <w:t>24</w:t>
            </w:r>
          </w:p>
        </w:tc>
      </w:tr>
      <w:tr w:rsidR="00C55246" w:rsidRPr="008669C3" w14:paraId="5A8DFEB3" w14:textId="77777777" w:rsidTr="00AE6C6F">
        <w:tc>
          <w:tcPr>
            <w:tcW w:w="1242" w:type="pct"/>
          </w:tcPr>
          <w:p w14:paraId="5BEF9155" w14:textId="77777777" w:rsidR="00C55246" w:rsidRPr="008669C3" w:rsidRDefault="00C55246" w:rsidP="00C55246">
            <w:pPr>
              <w:autoSpaceDE w:val="0"/>
              <w:autoSpaceDN w:val="0"/>
              <w:adjustRightInd w:val="0"/>
              <w:jc w:val="both"/>
              <w:rPr>
                <w:sz w:val="22"/>
                <w:szCs w:val="22"/>
              </w:rPr>
            </w:pPr>
            <w:r w:rsidRPr="008669C3">
              <w:rPr>
                <w:sz w:val="22"/>
                <w:szCs w:val="22"/>
              </w:rPr>
              <w:t>Standard deviation</w:t>
            </w:r>
          </w:p>
        </w:tc>
        <w:tc>
          <w:tcPr>
            <w:tcW w:w="873" w:type="pct"/>
          </w:tcPr>
          <w:p w14:paraId="10A75BA0" w14:textId="77777777" w:rsidR="00C55246" w:rsidRPr="008669C3" w:rsidRDefault="00C55246" w:rsidP="00C55246">
            <w:pPr>
              <w:autoSpaceDE w:val="0"/>
              <w:autoSpaceDN w:val="0"/>
              <w:adjustRightInd w:val="0"/>
              <w:jc w:val="center"/>
              <w:rPr>
                <w:sz w:val="22"/>
                <w:szCs w:val="22"/>
              </w:rPr>
            </w:pPr>
            <w:r w:rsidRPr="008669C3">
              <w:rPr>
                <w:sz w:val="22"/>
                <w:szCs w:val="22"/>
              </w:rPr>
              <w:t>78,916,837</w:t>
            </w:r>
          </w:p>
        </w:tc>
        <w:tc>
          <w:tcPr>
            <w:tcW w:w="1141" w:type="pct"/>
          </w:tcPr>
          <w:p w14:paraId="7F72B242" w14:textId="77777777" w:rsidR="00C55246" w:rsidRPr="008669C3" w:rsidRDefault="00C55246" w:rsidP="00C55246">
            <w:pPr>
              <w:autoSpaceDE w:val="0"/>
              <w:autoSpaceDN w:val="0"/>
              <w:adjustRightInd w:val="0"/>
              <w:jc w:val="center"/>
              <w:rPr>
                <w:sz w:val="22"/>
                <w:szCs w:val="22"/>
              </w:rPr>
            </w:pPr>
            <w:r w:rsidRPr="008669C3">
              <w:rPr>
                <w:sz w:val="22"/>
                <w:szCs w:val="22"/>
              </w:rPr>
              <w:t>62,222,922</w:t>
            </w:r>
          </w:p>
        </w:tc>
        <w:tc>
          <w:tcPr>
            <w:tcW w:w="555" w:type="pct"/>
          </w:tcPr>
          <w:p w14:paraId="6E2D8376" w14:textId="77777777" w:rsidR="00C55246" w:rsidRPr="008669C3" w:rsidRDefault="00C55246" w:rsidP="00C55246">
            <w:pPr>
              <w:autoSpaceDE w:val="0"/>
              <w:autoSpaceDN w:val="0"/>
              <w:adjustRightInd w:val="0"/>
              <w:jc w:val="center"/>
              <w:rPr>
                <w:sz w:val="22"/>
                <w:szCs w:val="22"/>
              </w:rPr>
            </w:pPr>
            <w:r w:rsidRPr="008669C3">
              <w:rPr>
                <w:sz w:val="22"/>
                <w:szCs w:val="22"/>
              </w:rPr>
              <w:t>16</w:t>
            </w:r>
          </w:p>
        </w:tc>
        <w:tc>
          <w:tcPr>
            <w:tcW w:w="1189" w:type="pct"/>
          </w:tcPr>
          <w:p w14:paraId="63193EE0" w14:textId="77777777" w:rsidR="00C55246" w:rsidRPr="008669C3" w:rsidRDefault="00C55246" w:rsidP="00C55246">
            <w:pPr>
              <w:autoSpaceDE w:val="0"/>
              <w:autoSpaceDN w:val="0"/>
              <w:adjustRightInd w:val="0"/>
              <w:jc w:val="center"/>
              <w:rPr>
                <w:sz w:val="22"/>
                <w:szCs w:val="22"/>
              </w:rPr>
            </w:pPr>
            <w:r w:rsidRPr="008669C3">
              <w:rPr>
                <w:sz w:val="22"/>
                <w:szCs w:val="22"/>
              </w:rPr>
              <w:t>13</w:t>
            </w:r>
          </w:p>
        </w:tc>
      </w:tr>
      <w:tr w:rsidR="00C55246" w:rsidRPr="008669C3" w14:paraId="07D6626C" w14:textId="77777777" w:rsidTr="00AE6C6F">
        <w:tc>
          <w:tcPr>
            <w:tcW w:w="1242" w:type="pct"/>
          </w:tcPr>
          <w:p w14:paraId="14710560" w14:textId="77777777" w:rsidR="00C55246" w:rsidRPr="008669C3" w:rsidRDefault="00C55246" w:rsidP="00C55246">
            <w:pPr>
              <w:autoSpaceDE w:val="0"/>
              <w:autoSpaceDN w:val="0"/>
              <w:adjustRightInd w:val="0"/>
              <w:jc w:val="both"/>
              <w:rPr>
                <w:sz w:val="22"/>
                <w:szCs w:val="22"/>
              </w:rPr>
            </w:pPr>
            <w:r w:rsidRPr="008669C3">
              <w:rPr>
                <w:sz w:val="22"/>
                <w:szCs w:val="22"/>
              </w:rPr>
              <w:t>Minimum</w:t>
            </w:r>
          </w:p>
        </w:tc>
        <w:tc>
          <w:tcPr>
            <w:tcW w:w="873" w:type="pct"/>
          </w:tcPr>
          <w:p w14:paraId="4EE80060" w14:textId="77777777" w:rsidR="00C55246" w:rsidRPr="008669C3" w:rsidRDefault="00C55246" w:rsidP="00C55246">
            <w:pPr>
              <w:autoSpaceDE w:val="0"/>
              <w:autoSpaceDN w:val="0"/>
              <w:adjustRightInd w:val="0"/>
              <w:jc w:val="center"/>
              <w:rPr>
                <w:sz w:val="22"/>
                <w:szCs w:val="22"/>
              </w:rPr>
            </w:pPr>
            <w:r w:rsidRPr="008669C3">
              <w:rPr>
                <w:sz w:val="22"/>
                <w:szCs w:val="22"/>
              </w:rPr>
              <w:t>2,000,000</w:t>
            </w:r>
          </w:p>
        </w:tc>
        <w:tc>
          <w:tcPr>
            <w:tcW w:w="1141" w:type="pct"/>
          </w:tcPr>
          <w:p w14:paraId="35634E2C" w14:textId="77777777" w:rsidR="00C55246" w:rsidRPr="008669C3" w:rsidRDefault="00C55246" w:rsidP="00C55246">
            <w:pPr>
              <w:autoSpaceDE w:val="0"/>
              <w:autoSpaceDN w:val="0"/>
              <w:adjustRightInd w:val="0"/>
              <w:jc w:val="center"/>
              <w:rPr>
                <w:sz w:val="22"/>
                <w:szCs w:val="22"/>
              </w:rPr>
            </w:pPr>
            <w:r w:rsidRPr="008669C3">
              <w:rPr>
                <w:sz w:val="22"/>
                <w:szCs w:val="22"/>
              </w:rPr>
              <w:t>21,950,862</w:t>
            </w:r>
          </w:p>
        </w:tc>
        <w:tc>
          <w:tcPr>
            <w:tcW w:w="555" w:type="pct"/>
          </w:tcPr>
          <w:p w14:paraId="3DBACC05" w14:textId="77777777" w:rsidR="00C55246" w:rsidRPr="008669C3" w:rsidRDefault="00C55246" w:rsidP="00C55246">
            <w:pPr>
              <w:autoSpaceDE w:val="0"/>
              <w:autoSpaceDN w:val="0"/>
              <w:adjustRightInd w:val="0"/>
              <w:jc w:val="center"/>
              <w:rPr>
                <w:sz w:val="22"/>
                <w:szCs w:val="22"/>
              </w:rPr>
            </w:pPr>
            <w:r w:rsidRPr="008669C3">
              <w:rPr>
                <w:sz w:val="22"/>
                <w:szCs w:val="22"/>
              </w:rPr>
              <w:t>1</w:t>
            </w:r>
          </w:p>
        </w:tc>
        <w:tc>
          <w:tcPr>
            <w:tcW w:w="1189" w:type="pct"/>
          </w:tcPr>
          <w:p w14:paraId="4231B415" w14:textId="77777777" w:rsidR="00C55246" w:rsidRPr="008669C3" w:rsidRDefault="00C55246" w:rsidP="00C55246">
            <w:pPr>
              <w:autoSpaceDE w:val="0"/>
              <w:autoSpaceDN w:val="0"/>
              <w:adjustRightInd w:val="0"/>
              <w:jc w:val="center"/>
              <w:rPr>
                <w:sz w:val="22"/>
                <w:szCs w:val="22"/>
              </w:rPr>
            </w:pPr>
            <w:r w:rsidRPr="008669C3">
              <w:rPr>
                <w:sz w:val="22"/>
                <w:szCs w:val="22"/>
              </w:rPr>
              <w:t>4</w:t>
            </w:r>
          </w:p>
        </w:tc>
      </w:tr>
      <w:tr w:rsidR="00C55246" w:rsidRPr="008669C3" w14:paraId="32C9BCCE" w14:textId="77777777" w:rsidTr="00AE6C6F">
        <w:tc>
          <w:tcPr>
            <w:tcW w:w="1242" w:type="pct"/>
          </w:tcPr>
          <w:p w14:paraId="468A8613" w14:textId="77777777" w:rsidR="00C55246" w:rsidRPr="008669C3" w:rsidRDefault="00C55246" w:rsidP="00C55246">
            <w:pPr>
              <w:autoSpaceDE w:val="0"/>
              <w:autoSpaceDN w:val="0"/>
              <w:adjustRightInd w:val="0"/>
              <w:jc w:val="both"/>
              <w:rPr>
                <w:sz w:val="22"/>
                <w:szCs w:val="22"/>
              </w:rPr>
            </w:pPr>
            <w:r w:rsidRPr="008669C3">
              <w:rPr>
                <w:sz w:val="22"/>
                <w:szCs w:val="22"/>
              </w:rPr>
              <w:t>Maximum</w:t>
            </w:r>
          </w:p>
        </w:tc>
        <w:tc>
          <w:tcPr>
            <w:tcW w:w="873" w:type="pct"/>
          </w:tcPr>
          <w:p w14:paraId="4B46739F" w14:textId="77777777" w:rsidR="00C55246" w:rsidRPr="008669C3" w:rsidRDefault="00C55246" w:rsidP="00C55246">
            <w:pPr>
              <w:autoSpaceDE w:val="0"/>
              <w:autoSpaceDN w:val="0"/>
              <w:adjustRightInd w:val="0"/>
              <w:jc w:val="center"/>
              <w:rPr>
                <w:sz w:val="22"/>
                <w:szCs w:val="22"/>
              </w:rPr>
            </w:pPr>
            <w:r w:rsidRPr="008669C3">
              <w:rPr>
                <w:sz w:val="22"/>
                <w:szCs w:val="22"/>
              </w:rPr>
              <w:t>526,097,985</w:t>
            </w:r>
          </w:p>
        </w:tc>
        <w:tc>
          <w:tcPr>
            <w:tcW w:w="1141" w:type="pct"/>
          </w:tcPr>
          <w:p w14:paraId="68CE8A1A" w14:textId="77777777" w:rsidR="00C55246" w:rsidRPr="008669C3" w:rsidRDefault="00C55246" w:rsidP="00C55246">
            <w:pPr>
              <w:autoSpaceDE w:val="0"/>
              <w:autoSpaceDN w:val="0"/>
              <w:adjustRightInd w:val="0"/>
              <w:jc w:val="center"/>
              <w:rPr>
                <w:sz w:val="22"/>
                <w:szCs w:val="22"/>
              </w:rPr>
            </w:pPr>
            <w:r w:rsidRPr="008669C3">
              <w:rPr>
                <w:sz w:val="22"/>
                <w:szCs w:val="22"/>
              </w:rPr>
              <w:t>336,023,149</w:t>
            </w:r>
          </w:p>
        </w:tc>
        <w:tc>
          <w:tcPr>
            <w:tcW w:w="555" w:type="pct"/>
          </w:tcPr>
          <w:p w14:paraId="56950480" w14:textId="77777777" w:rsidR="00C55246" w:rsidRPr="008669C3" w:rsidRDefault="00C55246" w:rsidP="00C55246">
            <w:pPr>
              <w:autoSpaceDE w:val="0"/>
              <w:autoSpaceDN w:val="0"/>
              <w:adjustRightInd w:val="0"/>
              <w:jc w:val="center"/>
              <w:rPr>
                <w:sz w:val="22"/>
                <w:szCs w:val="22"/>
              </w:rPr>
            </w:pPr>
            <w:r w:rsidRPr="008669C3">
              <w:rPr>
                <w:sz w:val="22"/>
                <w:szCs w:val="22"/>
              </w:rPr>
              <w:t>120</w:t>
            </w:r>
          </w:p>
        </w:tc>
        <w:tc>
          <w:tcPr>
            <w:tcW w:w="1189" w:type="pct"/>
          </w:tcPr>
          <w:p w14:paraId="2DDA8269" w14:textId="77777777" w:rsidR="00C55246" w:rsidRPr="008669C3" w:rsidRDefault="00C55246" w:rsidP="00C55246">
            <w:pPr>
              <w:autoSpaceDE w:val="0"/>
              <w:autoSpaceDN w:val="0"/>
              <w:adjustRightInd w:val="0"/>
              <w:jc w:val="center"/>
              <w:rPr>
                <w:sz w:val="22"/>
                <w:szCs w:val="22"/>
              </w:rPr>
            </w:pPr>
            <w:r w:rsidRPr="008669C3">
              <w:rPr>
                <w:sz w:val="22"/>
                <w:szCs w:val="22"/>
              </w:rPr>
              <w:t>68</w:t>
            </w:r>
          </w:p>
        </w:tc>
      </w:tr>
      <w:tr w:rsidR="00C55246" w:rsidRPr="008669C3" w14:paraId="0AB95A02" w14:textId="77777777" w:rsidTr="00AE6C6F">
        <w:tc>
          <w:tcPr>
            <w:tcW w:w="1242" w:type="pct"/>
          </w:tcPr>
          <w:p w14:paraId="005CE955" w14:textId="77777777" w:rsidR="00C55246" w:rsidRPr="008669C3" w:rsidRDefault="00C55246" w:rsidP="00C55246">
            <w:pPr>
              <w:autoSpaceDE w:val="0"/>
              <w:autoSpaceDN w:val="0"/>
              <w:adjustRightInd w:val="0"/>
              <w:jc w:val="both"/>
              <w:rPr>
                <w:sz w:val="22"/>
                <w:szCs w:val="22"/>
              </w:rPr>
            </w:pPr>
            <w:r w:rsidRPr="008669C3">
              <w:rPr>
                <w:sz w:val="22"/>
                <w:szCs w:val="22"/>
              </w:rPr>
              <w:t>5</w:t>
            </w:r>
            <w:r w:rsidRPr="008669C3">
              <w:rPr>
                <w:sz w:val="22"/>
                <w:szCs w:val="22"/>
                <w:vertAlign w:val="superscript"/>
              </w:rPr>
              <w:t>th</w:t>
            </w:r>
            <w:r w:rsidRPr="008669C3">
              <w:rPr>
                <w:sz w:val="22"/>
                <w:szCs w:val="22"/>
              </w:rPr>
              <w:t xml:space="preserve"> percentile</w:t>
            </w:r>
          </w:p>
        </w:tc>
        <w:tc>
          <w:tcPr>
            <w:tcW w:w="873" w:type="pct"/>
          </w:tcPr>
          <w:p w14:paraId="077001BA" w14:textId="77777777" w:rsidR="00C55246" w:rsidRPr="008669C3" w:rsidRDefault="00C55246" w:rsidP="00C55246">
            <w:pPr>
              <w:autoSpaceDE w:val="0"/>
              <w:autoSpaceDN w:val="0"/>
              <w:adjustRightInd w:val="0"/>
              <w:jc w:val="center"/>
              <w:rPr>
                <w:sz w:val="22"/>
                <w:szCs w:val="22"/>
              </w:rPr>
            </w:pPr>
            <w:r w:rsidRPr="008669C3">
              <w:rPr>
                <w:sz w:val="22"/>
                <w:szCs w:val="22"/>
              </w:rPr>
              <w:t>17,669,970</w:t>
            </w:r>
          </w:p>
        </w:tc>
        <w:tc>
          <w:tcPr>
            <w:tcW w:w="1141" w:type="pct"/>
          </w:tcPr>
          <w:p w14:paraId="6EFEF79D" w14:textId="77777777" w:rsidR="00C55246" w:rsidRPr="008669C3" w:rsidRDefault="00C55246" w:rsidP="00C55246">
            <w:pPr>
              <w:autoSpaceDE w:val="0"/>
              <w:autoSpaceDN w:val="0"/>
              <w:adjustRightInd w:val="0"/>
              <w:jc w:val="center"/>
              <w:rPr>
                <w:sz w:val="22"/>
                <w:szCs w:val="22"/>
              </w:rPr>
            </w:pPr>
            <w:r w:rsidRPr="008669C3">
              <w:rPr>
                <w:sz w:val="22"/>
                <w:szCs w:val="22"/>
              </w:rPr>
              <w:t>59,566,064</w:t>
            </w:r>
          </w:p>
        </w:tc>
        <w:tc>
          <w:tcPr>
            <w:tcW w:w="555" w:type="pct"/>
          </w:tcPr>
          <w:p w14:paraId="466E2F59" w14:textId="77777777" w:rsidR="00C55246" w:rsidRPr="008669C3" w:rsidRDefault="00C55246" w:rsidP="00C55246">
            <w:pPr>
              <w:autoSpaceDE w:val="0"/>
              <w:autoSpaceDN w:val="0"/>
              <w:adjustRightInd w:val="0"/>
              <w:jc w:val="center"/>
              <w:rPr>
                <w:sz w:val="22"/>
                <w:szCs w:val="22"/>
              </w:rPr>
            </w:pPr>
            <w:r w:rsidRPr="008669C3">
              <w:rPr>
                <w:sz w:val="22"/>
                <w:szCs w:val="22"/>
              </w:rPr>
              <w:t>4</w:t>
            </w:r>
          </w:p>
        </w:tc>
        <w:tc>
          <w:tcPr>
            <w:tcW w:w="1189" w:type="pct"/>
          </w:tcPr>
          <w:p w14:paraId="0C1B347D" w14:textId="77777777" w:rsidR="00C55246" w:rsidRPr="008669C3" w:rsidRDefault="00C55246" w:rsidP="00C55246">
            <w:pPr>
              <w:autoSpaceDE w:val="0"/>
              <w:autoSpaceDN w:val="0"/>
              <w:adjustRightInd w:val="0"/>
              <w:jc w:val="center"/>
              <w:rPr>
                <w:sz w:val="22"/>
                <w:szCs w:val="22"/>
              </w:rPr>
            </w:pPr>
            <w:r w:rsidRPr="008669C3">
              <w:rPr>
                <w:sz w:val="22"/>
                <w:szCs w:val="22"/>
              </w:rPr>
              <w:t>13</w:t>
            </w:r>
          </w:p>
        </w:tc>
      </w:tr>
      <w:tr w:rsidR="00C55246" w:rsidRPr="008669C3" w14:paraId="6BE6F616" w14:textId="77777777" w:rsidTr="00AE6C6F">
        <w:tc>
          <w:tcPr>
            <w:tcW w:w="1242" w:type="pct"/>
            <w:tcBorders>
              <w:bottom w:val="single" w:sz="4" w:space="0" w:color="auto"/>
            </w:tcBorders>
          </w:tcPr>
          <w:p w14:paraId="03BEB3DB" w14:textId="77777777" w:rsidR="00C55246" w:rsidRPr="008669C3" w:rsidRDefault="00C55246" w:rsidP="00C55246">
            <w:pPr>
              <w:autoSpaceDE w:val="0"/>
              <w:autoSpaceDN w:val="0"/>
              <w:adjustRightInd w:val="0"/>
              <w:jc w:val="both"/>
              <w:rPr>
                <w:sz w:val="22"/>
                <w:szCs w:val="22"/>
              </w:rPr>
            </w:pPr>
            <w:r w:rsidRPr="008669C3">
              <w:rPr>
                <w:sz w:val="22"/>
                <w:szCs w:val="22"/>
              </w:rPr>
              <w:t>95</w:t>
            </w:r>
            <w:r w:rsidRPr="008669C3">
              <w:rPr>
                <w:sz w:val="22"/>
                <w:szCs w:val="22"/>
                <w:vertAlign w:val="superscript"/>
              </w:rPr>
              <w:t>th</w:t>
            </w:r>
            <w:r w:rsidRPr="008669C3">
              <w:rPr>
                <w:sz w:val="22"/>
                <w:szCs w:val="22"/>
              </w:rPr>
              <w:t xml:space="preserve"> percentile</w:t>
            </w:r>
          </w:p>
        </w:tc>
        <w:tc>
          <w:tcPr>
            <w:tcW w:w="873" w:type="pct"/>
            <w:tcBorders>
              <w:bottom w:val="single" w:sz="4" w:space="0" w:color="auto"/>
            </w:tcBorders>
          </w:tcPr>
          <w:p w14:paraId="460683B8" w14:textId="77777777" w:rsidR="00C55246" w:rsidRPr="008669C3" w:rsidRDefault="00C55246" w:rsidP="00C55246">
            <w:pPr>
              <w:autoSpaceDE w:val="0"/>
              <w:autoSpaceDN w:val="0"/>
              <w:adjustRightInd w:val="0"/>
              <w:jc w:val="center"/>
              <w:rPr>
                <w:sz w:val="22"/>
                <w:szCs w:val="22"/>
              </w:rPr>
            </w:pPr>
            <w:r w:rsidRPr="008669C3">
              <w:rPr>
                <w:sz w:val="22"/>
                <w:szCs w:val="22"/>
              </w:rPr>
              <w:t>249,227,640</w:t>
            </w:r>
          </w:p>
        </w:tc>
        <w:tc>
          <w:tcPr>
            <w:tcW w:w="1141" w:type="pct"/>
            <w:tcBorders>
              <w:bottom w:val="single" w:sz="4" w:space="0" w:color="auto"/>
            </w:tcBorders>
          </w:tcPr>
          <w:p w14:paraId="02F7F54D" w14:textId="77777777" w:rsidR="00C55246" w:rsidRPr="008669C3" w:rsidRDefault="00C55246" w:rsidP="00C55246">
            <w:pPr>
              <w:autoSpaceDE w:val="0"/>
              <w:autoSpaceDN w:val="0"/>
              <w:adjustRightInd w:val="0"/>
              <w:jc w:val="center"/>
              <w:rPr>
                <w:sz w:val="22"/>
                <w:szCs w:val="22"/>
              </w:rPr>
            </w:pPr>
            <w:r w:rsidRPr="008669C3">
              <w:rPr>
                <w:sz w:val="22"/>
                <w:szCs w:val="22"/>
              </w:rPr>
              <w:t>249,198,823</w:t>
            </w:r>
          </w:p>
        </w:tc>
        <w:tc>
          <w:tcPr>
            <w:tcW w:w="555" w:type="pct"/>
            <w:tcBorders>
              <w:bottom w:val="single" w:sz="4" w:space="0" w:color="auto"/>
            </w:tcBorders>
          </w:tcPr>
          <w:p w14:paraId="7D8A3B13" w14:textId="77777777" w:rsidR="00C55246" w:rsidRPr="008669C3" w:rsidRDefault="00C55246" w:rsidP="00C55246">
            <w:pPr>
              <w:autoSpaceDE w:val="0"/>
              <w:autoSpaceDN w:val="0"/>
              <w:adjustRightInd w:val="0"/>
              <w:jc w:val="center"/>
              <w:rPr>
                <w:sz w:val="22"/>
                <w:szCs w:val="22"/>
              </w:rPr>
            </w:pPr>
            <w:r w:rsidRPr="008669C3">
              <w:rPr>
                <w:sz w:val="22"/>
                <w:szCs w:val="22"/>
              </w:rPr>
              <w:t>50</w:t>
            </w:r>
          </w:p>
        </w:tc>
        <w:tc>
          <w:tcPr>
            <w:tcW w:w="1189" w:type="pct"/>
            <w:tcBorders>
              <w:bottom w:val="single" w:sz="4" w:space="0" w:color="auto"/>
            </w:tcBorders>
          </w:tcPr>
          <w:p w14:paraId="3B093946" w14:textId="77777777" w:rsidR="00C55246" w:rsidRPr="008669C3" w:rsidRDefault="00C55246" w:rsidP="00C55246">
            <w:pPr>
              <w:autoSpaceDE w:val="0"/>
              <w:autoSpaceDN w:val="0"/>
              <w:adjustRightInd w:val="0"/>
              <w:jc w:val="center"/>
              <w:rPr>
                <w:sz w:val="22"/>
                <w:szCs w:val="22"/>
              </w:rPr>
            </w:pPr>
            <w:r w:rsidRPr="008669C3">
              <w:rPr>
                <w:sz w:val="22"/>
                <w:szCs w:val="22"/>
              </w:rPr>
              <w:t>55</w:t>
            </w:r>
          </w:p>
        </w:tc>
      </w:tr>
    </w:tbl>
    <w:p w14:paraId="278FB672" w14:textId="77777777" w:rsidR="00C55246" w:rsidRPr="008669C3" w:rsidRDefault="00C55246" w:rsidP="000276F6">
      <w:pPr>
        <w:autoSpaceDE w:val="0"/>
        <w:autoSpaceDN w:val="0"/>
        <w:adjustRightInd w:val="0"/>
        <w:rPr>
          <w:color w:val="FF0000"/>
        </w:rPr>
      </w:pPr>
    </w:p>
    <w:sectPr w:rsidR="00C55246" w:rsidRPr="008669C3" w:rsidSect="000C37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6CCDE" w14:textId="77777777" w:rsidR="00997022" w:rsidRDefault="00997022" w:rsidP="00844313">
      <w:r>
        <w:separator/>
      </w:r>
    </w:p>
  </w:endnote>
  <w:endnote w:type="continuationSeparator" w:id="0">
    <w:p w14:paraId="6D253A7F" w14:textId="77777777" w:rsidR="00997022" w:rsidRDefault="00997022" w:rsidP="0084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375099"/>
      <w:docPartObj>
        <w:docPartGallery w:val="Page Numbers (Bottom of Page)"/>
        <w:docPartUnique/>
      </w:docPartObj>
    </w:sdtPr>
    <w:sdtEndPr>
      <w:rPr>
        <w:noProof/>
      </w:rPr>
    </w:sdtEndPr>
    <w:sdtContent>
      <w:p w14:paraId="02DA4ED6" w14:textId="1CBEF7A7" w:rsidR="007E6CF8" w:rsidRPr="005C6109" w:rsidRDefault="007E6CF8">
        <w:pPr>
          <w:pStyle w:val="Footer"/>
          <w:jc w:val="center"/>
        </w:pPr>
        <w:r w:rsidRPr="005C6109">
          <w:fldChar w:fldCharType="begin"/>
        </w:r>
        <w:r w:rsidRPr="005C6109">
          <w:instrText xml:space="preserve"> PAGE   \* MERGEFORMAT </w:instrText>
        </w:r>
        <w:r w:rsidRPr="005C6109">
          <w:fldChar w:fldCharType="separate"/>
        </w:r>
        <w:r w:rsidR="00012C3B">
          <w:rPr>
            <w:noProof/>
          </w:rPr>
          <w:t>2</w:t>
        </w:r>
        <w:r w:rsidRPr="005C6109">
          <w:rPr>
            <w:noProof/>
          </w:rPr>
          <w:fldChar w:fldCharType="end"/>
        </w:r>
      </w:p>
    </w:sdtContent>
  </w:sdt>
  <w:p w14:paraId="0C0F13F4" w14:textId="77777777" w:rsidR="007E6CF8" w:rsidRDefault="007E6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044179"/>
      <w:docPartObj>
        <w:docPartGallery w:val="Page Numbers (Bottom of Page)"/>
        <w:docPartUnique/>
      </w:docPartObj>
    </w:sdtPr>
    <w:sdtEndPr>
      <w:rPr>
        <w:noProof/>
      </w:rPr>
    </w:sdtEndPr>
    <w:sdtContent>
      <w:p w14:paraId="12E33B72" w14:textId="6C1DD860" w:rsidR="007E6CF8" w:rsidRPr="00EB10CB" w:rsidRDefault="007E6CF8">
        <w:pPr>
          <w:pStyle w:val="Footer"/>
          <w:jc w:val="center"/>
        </w:pPr>
        <w:r w:rsidRPr="00EB10CB">
          <w:fldChar w:fldCharType="begin"/>
        </w:r>
        <w:r w:rsidRPr="00EB10CB">
          <w:instrText xml:space="preserve"> PAGE   \* MERGEFORMAT </w:instrText>
        </w:r>
        <w:r w:rsidRPr="00EB10CB">
          <w:fldChar w:fldCharType="separate"/>
        </w:r>
        <w:r w:rsidR="00012C3B">
          <w:rPr>
            <w:noProof/>
          </w:rPr>
          <w:t>47</w:t>
        </w:r>
        <w:r w:rsidRPr="00EB10CB">
          <w:rPr>
            <w:noProof/>
          </w:rPr>
          <w:fldChar w:fldCharType="end"/>
        </w:r>
      </w:p>
    </w:sdtContent>
  </w:sdt>
  <w:p w14:paraId="326C3C50" w14:textId="77777777" w:rsidR="007E6CF8" w:rsidRDefault="007E6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91473" w14:textId="77777777" w:rsidR="00997022" w:rsidRDefault="00997022" w:rsidP="00844313">
      <w:r>
        <w:separator/>
      </w:r>
    </w:p>
  </w:footnote>
  <w:footnote w:type="continuationSeparator" w:id="0">
    <w:p w14:paraId="129FE7BB" w14:textId="77777777" w:rsidR="00997022" w:rsidRDefault="00997022" w:rsidP="00844313">
      <w:r>
        <w:continuationSeparator/>
      </w:r>
    </w:p>
  </w:footnote>
  <w:footnote w:id="1">
    <w:p w14:paraId="6CBAB8EB" w14:textId="77777777" w:rsidR="008842CF" w:rsidRPr="00630FC1" w:rsidRDefault="008842CF" w:rsidP="008842CF">
      <w:pPr>
        <w:jc w:val="both"/>
        <w:rPr>
          <w:sz w:val="20"/>
        </w:rPr>
      </w:pPr>
      <w:r w:rsidRPr="00630FC1">
        <w:rPr>
          <w:sz w:val="20"/>
          <w:vertAlign w:val="superscript"/>
        </w:rPr>
        <w:t>a</w:t>
      </w:r>
      <w:r>
        <w:rPr>
          <w:sz w:val="20"/>
          <w:vertAlign w:val="superscript"/>
        </w:rPr>
        <w:t xml:space="preserve"> </w:t>
      </w:r>
      <w:r w:rsidRPr="00630FC1">
        <w:rPr>
          <w:sz w:val="20"/>
        </w:rPr>
        <w:t>Leeds University Business School, University of Leeds, Maurice Keyworth Building, Leeds, LS2 9JT, UK.</w:t>
      </w:r>
    </w:p>
    <w:p w14:paraId="5254EE28" w14:textId="77777777" w:rsidR="008842CF" w:rsidRPr="00630FC1" w:rsidRDefault="008842CF" w:rsidP="008842CF">
      <w:pPr>
        <w:jc w:val="both"/>
        <w:rPr>
          <w:sz w:val="20"/>
        </w:rPr>
      </w:pPr>
      <w:r w:rsidRPr="00630FC1">
        <w:rPr>
          <w:sz w:val="20"/>
          <w:vertAlign w:val="superscript"/>
        </w:rPr>
        <w:t>b</w:t>
      </w:r>
      <w:r>
        <w:rPr>
          <w:sz w:val="20"/>
        </w:rPr>
        <w:t xml:space="preserve"> </w:t>
      </w:r>
      <w:r w:rsidRPr="00630FC1">
        <w:rPr>
          <w:sz w:val="20"/>
        </w:rPr>
        <w:t>Cardiff Business School, Cardiff University, Aberconway Building, Colum Drive, Cardiff, United Kingdom, CF10 3EU.</w:t>
      </w:r>
    </w:p>
    <w:p w14:paraId="1F4145D5" w14:textId="77777777" w:rsidR="008842CF" w:rsidRPr="00630FC1" w:rsidRDefault="008842CF" w:rsidP="008842CF">
      <w:pPr>
        <w:jc w:val="both"/>
        <w:rPr>
          <w:sz w:val="20"/>
        </w:rPr>
      </w:pPr>
      <w:r w:rsidRPr="00630FC1">
        <w:rPr>
          <w:sz w:val="20"/>
          <w:vertAlign w:val="superscript"/>
        </w:rPr>
        <w:t>c</w:t>
      </w:r>
      <w:r w:rsidRPr="00630FC1">
        <w:rPr>
          <w:sz w:val="20"/>
        </w:rPr>
        <w:t xml:space="preserve"> School of Management, Swansea University, Bay Campus, Fabian Way, Swansea, United Kingdom, SA1 8EN.</w:t>
      </w:r>
    </w:p>
    <w:p w14:paraId="2620B2EE" w14:textId="77777777" w:rsidR="008842CF" w:rsidRPr="00FA5F1D" w:rsidRDefault="008842CF" w:rsidP="008842CF">
      <w:pPr>
        <w:jc w:val="both"/>
        <w:rPr>
          <w:sz w:val="20"/>
        </w:rPr>
      </w:pPr>
      <w:r w:rsidRPr="00630FC1">
        <w:rPr>
          <w:sz w:val="20"/>
          <w:vertAlign w:val="superscript"/>
        </w:rPr>
        <w:t>d</w:t>
      </w:r>
      <w:r>
        <w:rPr>
          <w:sz w:val="20"/>
        </w:rPr>
        <w:t xml:space="preserve"> Management School, </w:t>
      </w:r>
      <w:r w:rsidRPr="00630FC1">
        <w:rPr>
          <w:sz w:val="20"/>
        </w:rPr>
        <w:t>University of Liverpool, Liverpool</w:t>
      </w:r>
      <w:r>
        <w:rPr>
          <w:sz w:val="20"/>
        </w:rPr>
        <w:t>,</w:t>
      </w:r>
      <w:r w:rsidRPr="00630FC1">
        <w:rPr>
          <w:sz w:val="20"/>
        </w:rPr>
        <w:t xml:space="preserve"> United Kingdom</w:t>
      </w:r>
      <w:r>
        <w:rPr>
          <w:sz w:val="20"/>
        </w:rPr>
        <w:t>, L69 3BX.</w:t>
      </w:r>
    </w:p>
    <w:p w14:paraId="4F7D10ED" w14:textId="77777777" w:rsidR="008842CF" w:rsidRDefault="008842CF" w:rsidP="008842CF">
      <w:pPr>
        <w:jc w:val="both"/>
        <w:rPr>
          <w:sz w:val="20"/>
        </w:rPr>
      </w:pPr>
      <w:r w:rsidRPr="00D579D7">
        <w:rPr>
          <w:rStyle w:val="FootnoteReference"/>
          <w:szCs w:val="20"/>
        </w:rPr>
        <w:t>*</w:t>
      </w:r>
      <w:r>
        <w:t xml:space="preserve"> </w:t>
      </w:r>
      <w:r w:rsidRPr="001512FA">
        <w:rPr>
          <w:sz w:val="20"/>
        </w:rPr>
        <w:t xml:space="preserve">Corresponding author. </w:t>
      </w:r>
    </w:p>
    <w:p w14:paraId="0BFF4458" w14:textId="77777777" w:rsidR="008842CF" w:rsidRDefault="008842CF" w:rsidP="008842CF">
      <w:pPr>
        <w:rPr>
          <w:sz w:val="20"/>
        </w:rPr>
      </w:pPr>
      <w:r>
        <w:rPr>
          <w:sz w:val="20"/>
        </w:rPr>
        <w:t>E</w:t>
      </w:r>
      <w:r w:rsidRPr="001512FA">
        <w:rPr>
          <w:sz w:val="20"/>
        </w:rPr>
        <w:t xml:space="preserve">-mail address </w:t>
      </w:r>
      <w:hyperlink r:id="rId1" w:history="1">
        <w:r w:rsidRPr="00F41560">
          <w:rPr>
            <w:rStyle w:val="Hyperlink"/>
            <w:sz w:val="20"/>
          </w:rPr>
          <w:t>J.Chen3@leeds.ac.uk</w:t>
        </w:r>
      </w:hyperlink>
      <w:r>
        <w:rPr>
          <w:sz w:val="20"/>
        </w:rPr>
        <w:t xml:space="preserve">; </w:t>
      </w:r>
      <w:hyperlink r:id="rId2" w:history="1">
        <w:r w:rsidRPr="003E015A">
          <w:rPr>
            <w:rStyle w:val="Hyperlink"/>
            <w:sz w:val="20"/>
          </w:rPr>
          <w:t>leungws1@cardiff.ac.uk</w:t>
        </w:r>
      </w:hyperlink>
      <w:r>
        <w:rPr>
          <w:rStyle w:val="Hyperlink"/>
          <w:sz w:val="20"/>
        </w:rPr>
        <w:t>;</w:t>
      </w:r>
      <w:r w:rsidRPr="00FA5F1D">
        <w:rPr>
          <w:rStyle w:val="Hyperlink"/>
          <w:sz w:val="20"/>
        </w:rPr>
        <w:t xml:space="preserve"> </w:t>
      </w:r>
      <w:hyperlink r:id="rId3" w:history="1">
        <w:r w:rsidRPr="003E015A">
          <w:rPr>
            <w:rStyle w:val="Hyperlink"/>
            <w:sz w:val="20"/>
          </w:rPr>
          <w:t>w.song@swansea.ac.uk</w:t>
        </w:r>
      </w:hyperlink>
      <w:r>
        <w:rPr>
          <w:rStyle w:val="Hyperlink"/>
          <w:sz w:val="20"/>
        </w:rPr>
        <w:t>; D.Avino</w:t>
      </w:r>
      <w:r w:rsidRPr="00FA5F1D">
        <w:rPr>
          <w:rStyle w:val="Hyperlink"/>
          <w:sz w:val="20"/>
        </w:rPr>
        <w:t>@</w:t>
      </w:r>
      <w:r>
        <w:rPr>
          <w:rStyle w:val="Hyperlink"/>
          <w:sz w:val="20"/>
        </w:rPr>
        <w:t>liverpool</w:t>
      </w:r>
      <w:r w:rsidRPr="00FA5F1D">
        <w:rPr>
          <w:rStyle w:val="Hyperlink"/>
          <w:sz w:val="20"/>
        </w:rPr>
        <w:t>.ac.uk</w:t>
      </w:r>
      <w:r>
        <w:rPr>
          <w:rStyle w:val="Hyperlink"/>
          <w:sz w:val="20"/>
        </w:rPr>
        <w:t>.</w:t>
      </w:r>
    </w:p>
    <w:p w14:paraId="5AED9B31" w14:textId="77777777" w:rsidR="008842CF" w:rsidRPr="00FA5F1D" w:rsidRDefault="008842CF" w:rsidP="008842CF">
      <w:pPr>
        <w:jc w:val="both"/>
        <w:rPr>
          <w:sz w:val="20"/>
        </w:rPr>
      </w:pPr>
      <w:r w:rsidRPr="00603328">
        <w:rPr>
          <w:sz w:val="20"/>
        </w:rPr>
        <w:t xml:space="preserve">We are grateful for helpful comments from </w:t>
      </w:r>
      <w:r>
        <w:rPr>
          <w:sz w:val="20"/>
        </w:rPr>
        <w:t xml:space="preserve">Marc Goergen, </w:t>
      </w:r>
      <w:r w:rsidRPr="00603328">
        <w:rPr>
          <w:sz w:val="20"/>
        </w:rPr>
        <w:t xml:space="preserve">Jens Hagendorff, </w:t>
      </w:r>
      <w:r>
        <w:rPr>
          <w:sz w:val="20"/>
        </w:rPr>
        <w:t xml:space="preserve">Nadia Massoud, </w:t>
      </w:r>
      <w:r w:rsidRPr="00603328">
        <w:rPr>
          <w:sz w:val="20"/>
        </w:rPr>
        <w:t>and seminar participants at the Cardiff Business School,</w:t>
      </w:r>
      <w:r>
        <w:rPr>
          <w:sz w:val="20"/>
        </w:rPr>
        <w:t xml:space="preserve"> Swansea University,</w:t>
      </w:r>
      <w:r w:rsidRPr="00603328">
        <w:rPr>
          <w:sz w:val="20"/>
        </w:rPr>
        <w:t xml:space="preserve"> 201</w:t>
      </w:r>
      <w:r>
        <w:rPr>
          <w:sz w:val="20"/>
        </w:rPr>
        <w:t>7</w:t>
      </w:r>
      <w:r w:rsidRPr="00603328">
        <w:rPr>
          <w:sz w:val="20"/>
        </w:rPr>
        <w:t xml:space="preserve"> Xiamen-Cardiff</w:t>
      </w:r>
      <w:r>
        <w:rPr>
          <w:sz w:val="20"/>
        </w:rPr>
        <w:t xml:space="preserve">-Newcastle Symposium, </w:t>
      </w:r>
      <w:r w:rsidRPr="00603328">
        <w:rPr>
          <w:sz w:val="20"/>
        </w:rPr>
        <w:t>and the IFABS 2017 Ningbo China Conference. All errors are our own.</w:t>
      </w:r>
    </w:p>
  </w:footnote>
  <w:footnote w:id="2">
    <w:p w14:paraId="2ABC4E9C" w14:textId="77777777" w:rsidR="007E6CF8" w:rsidRPr="00C315CF" w:rsidRDefault="007E6CF8" w:rsidP="006C2541">
      <w:pPr>
        <w:pStyle w:val="FootnoteText"/>
        <w:jc w:val="both"/>
      </w:pPr>
      <w:r w:rsidRPr="00C315CF">
        <w:rPr>
          <w:rStyle w:val="FootnoteReference"/>
        </w:rPr>
        <w:footnoteRef/>
      </w:r>
      <w:r w:rsidRPr="00C315CF">
        <w:t xml:space="preserve"> A CDS contract is between a protection buyer and a protection seller. The protection buyer pays a premium (commonly referred to as the CDS premium) to the protection seller. In exchange, the protection buyer receives a payment from the protection seller if a credit event (e.g., a credit rating downgrade, restructuring, or bankruptcy) occurs on a reference credit instrument within a predetermined time period. However, while a traditional insurance contract typically offers coverage only for damages incurred by the protection buyer, a CDS contract can be “naked” meaning it provides payment in case of a credit event, even if the protection buyer has no underlying credit exposure (Bolton and Oehmke, 2013).</w:t>
      </w:r>
    </w:p>
  </w:footnote>
  <w:footnote w:id="3">
    <w:p w14:paraId="346CCCC6" w14:textId="4994035A" w:rsidR="007E6CF8" w:rsidRPr="00C315CF" w:rsidRDefault="007E6CF8" w:rsidP="00EE5877">
      <w:pPr>
        <w:pStyle w:val="FootnoteText"/>
        <w:jc w:val="both"/>
      </w:pPr>
      <w:r w:rsidRPr="00C315CF">
        <w:rPr>
          <w:rStyle w:val="FootnoteReference"/>
        </w:rPr>
        <w:footnoteRef/>
      </w:r>
      <w:r w:rsidRPr="00C315CF">
        <w:t xml:space="preserve"> For example, Daniel et al. (2004) show that higher levels of CEO vega are associated with higher bond credit spreads, suggesting that the bond markets understand and account for the effect of incentives on risk taking. Billett et al. (2010) find that bondholders experience negative abnormal returns when firms announce new CEO option grants. Further, Brockman et al. (2010) document a positive relation between CEO vega and short-term debt, implying that creditors adjust debt maturity to restrain managerial risk seeking in response to an increase in CEO vega. In a similar vein, Castro et al. (2016) find that an increase in CEO vega leads to a greater concentration of the firm’s debt structure. More concentrated debt structures facilitate creditor monitoring by mitigating free-rider and coordination problems (Diamond, 1991; Sufi, 2007).</w:t>
      </w:r>
    </w:p>
  </w:footnote>
  <w:footnote w:id="4">
    <w:p w14:paraId="12019A16" w14:textId="63834D13" w:rsidR="007E6CF8" w:rsidRDefault="007E6CF8" w:rsidP="00A84DBC">
      <w:pPr>
        <w:pStyle w:val="FootnoteText"/>
        <w:jc w:val="both"/>
      </w:pPr>
      <w:r w:rsidRPr="00A84DBC">
        <w:rPr>
          <w:rStyle w:val="FootnoteReference"/>
        </w:rPr>
        <w:footnoteRef/>
      </w:r>
      <w:r w:rsidRPr="00A84DBC">
        <w:t xml:space="preserve"> </w:t>
      </w:r>
      <w:r>
        <w:t>We acknowledge another possible explanation for why CEO vega would increase after CDS introduction based on managerial risk avers</w:t>
      </w:r>
      <w:r w:rsidRPr="00241D1A">
        <w:t>ion. CDS-protected creditors can be tougher during debt renegotiation, making borrowers more vulnerable to bankruptcy. Anticipating tougher renegotiation, and taking into account significant personal costs of corporate bankruptcy (Eckbo et al., 2016), CEOs make more conservative operating and investing decisions to avoid defaults and covenant violations once their firms are referenced by CDS trading. For example, CEOs might be more reluctant to invest in risky projects even when those projects have positive net present values. To prevent excessive CEO conservatism at the expense of value maximization, boards may provide additional risk-taking incentives following CDS introduction to offset the potential increase in managerial risk aversion</w:t>
      </w:r>
      <w:r w:rsidRPr="00241D1A">
        <w:rPr>
          <w:sz w:val="16"/>
        </w:rPr>
        <w:t xml:space="preserve">. </w:t>
      </w:r>
      <w:r w:rsidRPr="00241D1A">
        <w:rPr>
          <w:szCs w:val="24"/>
          <w:shd w:val="clear" w:color="auto" w:fill="FFFFFF"/>
          <w:lang w:val="en-US"/>
        </w:rPr>
        <w:t>However, we do not focus on th</w:t>
      </w:r>
      <w:r>
        <w:rPr>
          <w:szCs w:val="24"/>
          <w:shd w:val="clear" w:color="auto" w:fill="FFFFFF"/>
          <w:lang w:val="en-US"/>
        </w:rPr>
        <w:t>is</w:t>
      </w:r>
      <w:r w:rsidRPr="00241D1A">
        <w:rPr>
          <w:szCs w:val="24"/>
          <w:shd w:val="clear" w:color="auto" w:fill="FFFFFF"/>
          <w:lang w:val="en-US"/>
        </w:rPr>
        <w:t xml:space="preserve"> risk aversion explanation for two reasons. First, risk aversion is largely unobserved, which limits our ability to test this explanation explicitly. Second, this explanation is hard to reconcile with the findings of our split sample analysis based on institutional ownership, although we are careful to recognize that our analysis does not allow us to </w:t>
      </w:r>
      <w:r w:rsidRPr="00241D1A">
        <w:rPr>
          <w:szCs w:val="24"/>
          <w:lang w:val="en-US"/>
        </w:rPr>
        <w:t>rule out this alternative explanation.</w:t>
      </w:r>
    </w:p>
  </w:footnote>
  <w:footnote w:id="5">
    <w:p w14:paraId="4C916AD7" w14:textId="6100BEB7" w:rsidR="007E6CF8" w:rsidRPr="00C315CF" w:rsidRDefault="007E6CF8" w:rsidP="005F223E">
      <w:pPr>
        <w:pStyle w:val="FootnoteText"/>
        <w:jc w:val="both"/>
      </w:pPr>
      <w:r w:rsidRPr="00C315CF">
        <w:rPr>
          <w:rStyle w:val="FootnoteReference"/>
        </w:rPr>
        <w:footnoteRef/>
      </w:r>
      <w:r w:rsidRPr="00C315CF">
        <w:t xml:space="preserve"> We are particularly interest</w:t>
      </w:r>
      <w:r>
        <w:t>ed in firms’ capital structures</w:t>
      </w:r>
      <w:r w:rsidRPr="00C315CF">
        <w:t xml:space="preserve"> because both vega and CDS trading have been documented to impact leverage (see, e.g., Coles et al., 2006; Saretto and Tookes, 2013; Li and Tang, 2016); in contrast, the predictions on the relation between CDS introduction and corporate investment decisions, and between CDS and firm risk are ambiguous.</w:t>
      </w:r>
    </w:p>
  </w:footnote>
  <w:footnote w:id="6">
    <w:p w14:paraId="295F1106" w14:textId="6D3E95BF" w:rsidR="007E6CF8" w:rsidRPr="00C315CF" w:rsidRDefault="007E6CF8" w:rsidP="006C2541">
      <w:pPr>
        <w:pStyle w:val="FootnoteText"/>
        <w:jc w:val="both"/>
      </w:pPr>
      <w:r w:rsidRPr="00C315CF">
        <w:rPr>
          <w:rStyle w:val="FootnoteReference"/>
        </w:rPr>
        <w:footnoteRef/>
      </w:r>
      <w:r w:rsidRPr="00C315CF">
        <w:rPr>
          <w:rStyle w:val="FootnoteReference"/>
        </w:rPr>
        <w:t xml:space="preserve"> </w:t>
      </w:r>
      <w:r w:rsidRPr="00C315CF">
        <w:t xml:space="preserve"> Our main dependent variable, CEO vega, is obtained from Coles et al. (2006), who construct the variable using </w:t>
      </w:r>
      <w:r>
        <w:t xml:space="preserve">the </w:t>
      </w:r>
      <w:r w:rsidRPr="00C315CF">
        <w:t xml:space="preserve">ExecuComp data. The data </w:t>
      </w:r>
      <w:r>
        <w:t>is</w:t>
      </w:r>
      <w:r w:rsidRPr="00C315CF">
        <w:t xml:space="preserve"> available at </w:t>
      </w:r>
      <w:hyperlink r:id="rId4" w:history="1">
        <w:r w:rsidRPr="00C315CF">
          <w:rPr>
            <w:rStyle w:val="Hyperlink"/>
          </w:rPr>
          <w:t>http://sites.temple.edu/lnaveen/data/</w:t>
        </w:r>
      </w:hyperlink>
      <w:r w:rsidRPr="00C315CF">
        <w:t>.</w:t>
      </w:r>
    </w:p>
  </w:footnote>
  <w:footnote w:id="7">
    <w:p w14:paraId="4AD6DF98" w14:textId="060AFB45" w:rsidR="007E6CF8" w:rsidRPr="00C315CF" w:rsidRDefault="007E6CF8" w:rsidP="004E24C4">
      <w:pPr>
        <w:pStyle w:val="FootnoteText"/>
        <w:jc w:val="both"/>
      </w:pPr>
      <w:r w:rsidRPr="00C315CF">
        <w:rPr>
          <w:rStyle w:val="FootnoteReference"/>
        </w:rPr>
        <w:footnoteRef/>
      </w:r>
      <w:r w:rsidRPr="00C315CF">
        <w:t xml:space="preserve"> One potential concern is that if CDS contracts on underlying borrowers are not actively traded upon CDS availability, then the effect of CDS trading would be called into question. To rule out this concern, we compare our sample CDS firms to the Depository Trust &amp; Clearing Corporation (DTCC) universe in terms of CDS trading activity. DTCC is a dataset that contains transaction level data on credit derivatives. Its coverage amounts to 95% of single-name CDSs based on the number of contracts, and 99% of single-name CDSs with respect to notional amounts (See Gehde-Trapp et al., 2015, for a more detailed description of this dataset). Untabulated results suggest that, on average, our sample CDS firms have larger transaction amounts and higher numbers of traded contracts, mitigating the concern about infrequent transactions. </w:t>
      </w:r>
    </w:p>
  </w:footnote>
  <w:footnote w:id="8">
    <w:p w14:paraId="5CA9A940" w14:textId="54C242D2" w:rsidR="007E6CF8" w:rsidRPr="00C315CF" w:rsidRDefault="007E6CF8" w:rsidP="00447957">
      <w:pPr>
        <w:pStyle w:val="FootnoteText"/>
        <w:jc w:val="both"/>
      </w:pPr>
      <w:r w:rsidRPr="00C315CF">
        <w:rPr>
          <w:rStyle w:val="FootnoteReference"/>
        </w:rPr>
        <w:footnoteRef/>
      </w:r>
      <w:r w:rsidRPr="00C315CF">
        <w:t xml:space="preserve"> Prior to the implementation of FAS 123R, firms were allowed to expense stock options at their intrinsic value. Since nearly all firms granted stock options at-the-money, no expenses for option-based compensation were reported on the income statement. FAS 123R required firms to begin expensing option-based compensation at its fair value, thereby eliminating accounting advantages associated with stock options. Consequently, firms significantly reduce</w:t>
      </w:r>
      <w:r>
        <w:t>d</w:t>
      </w:r>
      <w:r w:rsidRPr="00C315CF">
        <w:t xml:space="preserve"> their usage of option-based compensation after the adoption of FAS 123R.</w:t>
      </w:r>
    </w:p>
  </w:footnote>
  <w:footnote w:id="9">
    <w:p w14:paraId="75680D8A" w14:textId="19A728B1" w:rsidR="007E6CF8" w:rsidRPr="00C315CF" w:rsidRDefault="007E6CF8" w:rsidP="006C2541">
      <w:pPr>
        <w:pStyle w:val="FootnoteText"/>
        <w:jc w:val="both"/>
      </w:pPr>
      <w:r w:rsidRPr="00C315CF">
        <w:rPr>
          <w:rStyle w:val="FootnoteReference"/>
        </w:rPr>
        <w:footnoteRef/>
      </w:r>
      <w:r w:rsidRPr="00C315CF">
        <w:t xml:space="preserve"> Following Saretto and Tookes (2013) and Subrahmanyam et al. (2014), to construct the variable, we first identify the lenders and bond underwriters for our sample firms based on data from DealScan and Bloomberg. We then supplement this information to include </w:t>
      </w:r>
      <w:r w:rsidRPr="00C315CF">
        <w:rPr>
          <w:rFonts w:ascii="Times-Roman" w:hAnsi="Times-Roman" w:cs="Times-Roman"/>
        </w:rPr>
        <w:t xml:space="preserve">data on the foreign exchange derivative positions of these lenders and bond underwriters, obtained from </w:t>
      </w:r>
      <w:r w:rsidRPr="00C315CF">
        <w:t xml:space="preserve">the bank regulatory data set. In our sample, the mean (standard deviation) of </w:t>
      </w:r>
      <w:r w:rsidRPr="00C315CF">
        <w:rPr>
          <w:i/>
        </w:rPr>
        <w:t>Lender FX Hedging</w:t>
      </w:r>
      <w:r w:rsidRPr="00C315CF">
        <w:t xml:space="preserve"> is 2.73% (2.41%), which is similar to the 1.85% (1.40%) reported by Saretto and Tookes.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14C08"/>
    <w:multiLevelType w:val="multilevel"/>
    <w:tmpl w:val="1004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453601"/>
    <w:multiLevelType w:val="hybridMultilevel"/>
    <w:tmpl w:val="A0206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B12CF7"/>
    <w:multiLevelType w:val="hybridMultilevel"/>
    <w:tmpl w:val="A1D4C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9B"/>
    <w:rsid w:val="0000069F"/>
    <w:rsid w:val="0000092D"/>
    <w:rsid w:val="0000111F"/>
    <w:rsid w:val="00002D3C"/>
    <w:rsid w:val="00003277"/>
    <w:rsid w:val="0000400C"/>
    <w:rsid w:val="000052B3"/>
    <w:rsid w:val="00005E19"/>
    <w:rsid w:val="00006757"/>
    <w:rsid w:val="00006C97"/>
    <w:rsid w:val="00010B10"/>
    <w:rsid w:val="000111DC"/>
    <w:rsid w:val="00011E25"/>
    <w:rsid w:val="00012C3B"/>
    <w:rsid w:val="0001392D"/>
    <w:rsid w:val="00017DB3"/>
    <w:rsid w:val="00017EAE"/>
    <w:rsid w:val="00020385"/>
    <w:rsid w:val="000204D0"/>
    <w:rsid w:val="00024693"/>
    <w:rsid w:val="0002487C"/>
    <w:rsid w:val="00025552"/>
    <w:rsid w:val="0002599E"/>
    <w:rsid w:val="00025BCE"/>
    <w:rsid w:val="00026EA4"/>
    <w:rsid w:val="00026ED4"/>
    <w:rsid w:val="00026FB5"/>
    <w:rsid w:val="000274F0"/>
    <w:rsid w:val="000276F6"/>
    <w:rsid w:val="00030443"/>
    <w:rsid w:val="0003059D"/>
    <w:rsid w:val="0003424F"/>
    <w:rsid w:val="00035EA7"/>
    <w:rsid w:val="00037CA0"/>
    <w:rsid w:val="000422B7"/>
    <w:rsid w:val="000445AC"/>
    <w:rsid w:val="0004473D"/>
    <w:rsid w:val="0004703D"/>
    <w:rsid w:val="000476D9"/>
    <w:rsid w:val="0005024B"/>
    <w:rsid w:val="00050FFE"/>
    <w:rsid w:val="00051569"/>
    <w:rsid w:val="000517DE"/>
    <w:rsid w:val="00051DF7"/>
    <w:rsid w:val="00051EB5"/>
    <w:rsid w:val="0005245E"/>
    <w:rsid w:val="00052884"/>
    <w:rsid w:val="00052E17"/>
    <w:rsid w:val="00053B3F"/>
    <w:rsid w:val="00053D43"/>
    <w:rsid w:val="00054523"/>
    <w:rsid w:val="00054B72"/>
    <w:rsid w:val="000555DB"/>
    <w:rsid w:val="0005761F"/>
    <w:rsid w:val="00060701"/>
    <w:rsid w:val="0006101C"/>
    <w:rsid w:val="0006157B"/>
    <w:rsid w:val="0006311E"/>
    <w:rsid w:val="00063129"/>
    <w:rsid w:val="0006313F"/>
    <w:rsid w:val="00066692"/>
    <w:rsid w:val="0006698E"/>
    <w:rsid w:val="00066EAF"/>
    <w:rsid w:val="00070309"/>
    <w:rsid w:val="000704DC"/>
    <w:rsid w:val="00070D8E"/>
    <w:rsid w:val="00071045"/>
    <w:rsid w:val="00071BD8"/>
    <w:rsid w:val="00072D97"/>
    <w:rsid w:val="00073DCB"/>
    <w:rsid w:val="000819CD"/>
    <w:rsid w:val="0008253D"/>
    <w:rsid w:val="00082FB6"/>
    <w:rsid w:val="0008344E"/>
    <w:rsid w:val="000841EB"/>
    <w:rsid w:val="00085CB9"/>
    <w:rsid w:val="000861B4"/>
    <w:rsid w:val="00086224"/>
    <w:rsid w:val="00087652"/>
    <w:rsid w:val="00091690"/>
    <w:rsid w:val="0009228E"/>
    <w:rsid w:val="00092F8F"/>
    <w:rsid w:val="00093930"/>
    <w:rsid w:val="00094BD1"/>
    <w:rsid w:val="000957E5"/>
    <w:rsid w:val="00095E76"/>
    <w:rsid w:val="00095E78"/>
    <w:rsid w:val="000963DB"/>
    <w:rsid w:val="00096C64"/>
    <w:rsid w:val="000971BD"/>
    <w:rsid w:val="000975B8"/>
    <w:rsid w:val="00097940"/>
    <w:rsid w:val="00097E15"/>
    <w:rsid w:val="000A17ED"/>
    <w:rsid w:val="000A2314"/>
    <w:rsid w:val="000A24AE"/>
    <w:rsid w:val="000A28CF"/>
    <w:rsid w:val="000A2DED"/>
    <w:rsid w:val="000A3631"/>
    <w:rsid w:val="000A37EB"/>
    <w:rsid w:val="000A4C01"/>
    <w:rsid w:val="000A54C4"/>
    <w:rsid w:val="000A5958"/>
    <w:rsid w:val="000A61AA"/>
    <w:rsid w:val="000B163E"/>
    <w:rsid w:val="000B2013"/>
    <w:rsid w:val="000B3500"/>
    <w:rsid w:val="000B356B"/>
    <w:rsid w:val="000B39B9"/>
    <w:rsid w:val="000B3CDF"/>
    <w:rsid w:val="000B3F0C"/>
    <w:rsid w:val="000B4117"/>
    <w:rsid w:val="000B5788"/>
    <w:rsid w:val="000B60E8"/>
    <w:rsid w:val="000C0186"/>
    <w:rsid w:val="000C0265"/>
    <w:rsid w:val="000C0EEB"/>
    <w:rsid w:val="000C1129"/>
    <w:rsid w:val="000C2569"/>
    <w:rsid w:val="000C2FC8"/>
    <w:rsid w:val="000C35F5"/>
    <w:rsid w:val="000C3715"/>
    <w:rsid w:val="000C3FF9"/>
    <w:rsid w:val="000C4469"/>
    <w:rsid w:val="000C4839"/>
    <w:rsid w:val="000C54A9"/>
    <w:rsid w:val="000C58DD"/>
    <w:rsid w:val="000C6D67"/>
    <w:rsid w:val="000D2100"/>
    <w:rsid w:val="000D2D2E"/>
    <w:rsid w:val="000D37C2"/>
    <w:rsid w:val="000D50CF"/>
    <w:rsid w:val="000D54E9"/>
    <w:rsid w:val="000D6079"/>
    <w:rsid w:val="000D7342"/>
    <w:rsid w:val="000D7C98"/>
    <w:rsid w:val="000D7D52"/>
    <w:rsid w:val="000E3D1E"/>
    <w:rsid w:val="000E6D73"/>
    <w:rsid w:val="000E6FE5"/>
    <w:rsid w:val="000E7606"/>
    <w:rsid w:val="000F11BC"/>
    <w:rsid w:val="000F27A8"/>
    <w:rsid w:val="000F2D2D"/>
    <w:rsid w:val="000F41A4"/>
    <w:rsid w:val="000F4CC5"/>
    <w:rsid w:val="000F5BAD"/>
    <w:rsid w:val="000F7125"/>
    <w:rsid w:val="000F7185"/>
    <w:rsid w:val="001002F0"/>
    <w:rsid w:val="001011A6"/>
    <w:rsid w:val="00102E6E"/>
    <w:rsid w:val="00102FC2"/>
    <w:rsid w:val="001033A1"/>
    <w:rsid w:val="00104FCC"/>
    <w:rsid w:val="00106801"/>
    <w:rsid w:val="00106E94"/>
    <w:rsid w:val="00106FC0"/>
    <w:rsid w:val="0010733F"/>
    <w:rsid w:val="001078EB"/>
    <w:rsid w:val="00110030"/>
    <w:rsid w:val="001100D5"/>
    <w:rsid w:val="00110178"/>
    <w:rsid w:val="0011029F"/>
    <w:rsid w:val="00110677"/>
    <w:rsid w:val="001112B2"/>
    <w:rsid w:val="001129C8"/>
    <w:rsid w:val="001138F6"/>
    <w:rsid w:val="00114DBF"/>
    <w:rsid w:val="0011647A"/>
    <w:rsid w:val="00117384"/>
    <w:rsid w:val="001204E7"/>
    <w:rsid w:val="00121720"/>
    <w:rsid w:val="00122751"/>
    <w:rsid w:val="00123A60"/>
    <w:rsid w:val="001252E1"/>
    <w:rsid w:val="00125766"/>
    <w:rsid w:val="00126C72"/>
    <w:rsid w:val="00127A8C"/>
    <w:rsid w:val="00127BC9"/>
    <w:rsid w:val="00130D94"/>
    <w:rsid w:val="00131BB3"/>
    <w:rsid w:val="00131C3C"/>
    <w:rsid w:val="0013318A"/>
    <w:rsid w:val="0013377A"/>
    <w:rsid w:val="00133DEB"/>
    <w:rsid w:val="00134110"/>
    <w:rsid w:val="001343B0"/>
    <w:rsid w:val="001343CD"/>
    <w:rsid w:val="00140226"/>
    <w:rsid w:val="0014141E"/>
    <w:rsid w:val="00141452"/>
    <w:rsid w:val="0014192B"/>
    <w:rsid w:val="00142C1A"/>
    <w:rsid w:val="00144675"/>
    <w:rsid w:val="00144E08"/>
    <w:rsid w:val="00145EB6"/>
    <w:rsid w:val="001464AB"/>
    <w:rsid w:val="00151325"/>
    <w:rsid w:val="0015202B"/>
    <w:rsid w:val="00153AA9"/>
    <w:rsid w:val="001542E2"/>
    <w:rsid w:val="00154D4D"/>
    <w:rsid w:val="00155273"/>
    <w:rsid w:val="00155444"/>
    <w:rsid w:val="00155F13"/>
    <w:rsid w:val="0015752E"/>
    <w:rsid w:val="00160CC9"/>
    <w:rsid w:val="00160FD5"/>
    <w:rsid w:val="0016267D"/>
    <w:rsid w:val="001636B8"/>
    <w:rsid w:val="00163B8E"/>
    <w:rsid w:val="001645CD"/>
    <w:rsid w:val="001646FA"/>
    <w:rsid w:val="001666E4"/>
    <w:rsid w:val="00167A9F"/>
    <w:rsid w:val="001705FE"/>
    <w:rsid w:val="0017138B"/>
    <w:rsid w:val="001717A1"/>
    <w:rsid w:val="00172EB0"/>
    <w:rsid w:val="001744F3"/>
    <w:rsid w:val="00174610"/>
    <w:rsid w:val="00174650"/>
    <w:rsid w:val="001749B5"/>
    <w:rsid w:val="0017598B"/>
    <w:rsid w:val="00175BE6"/>
    <w:rsid w:val="00176F8C"/>
    <w:rsid w:val="001777F0"/>
    <w:rsid w:val="00177C14"/>
    <w:rsid w:val="00180201"/>
    <w:rsid w:val="00182114"/>
    <w:rsid w:val="00183006"/>
    <w:rsid w:val="00187E96"/>
    <w:rsid w:val="001900E3"/>
    <w:rsid w:val="00191317"/>
    <w:rsid w:val="00192070"/>
    <w:rsid w:val="00192E3A"/>
    <w:rsid w:val="0019687F"/>
    <w:rsid w:val="00196BDA"/>
    <w:rsid w:val="00197775"/>
    <w:rsid w:val="001A1B40"/>
    <w:rsid w:val="001A1C7D"/>
    <w:rsid w:val="001A291E"/>
    <w:rsid w:val="001A2B88"/>
    <w:rsid w:val="001A3214"/>
    <w:rsid w:val="001A3327"/>
    <w:rsid w:val="001A3DC0"/>
    <w:rsid w:val="001A4325"/>
    <w:rsid w:val="001A4440"/>
    <w:rsid w:val="001A55F7"/>
    <w:rsid w:val="001A6123"/>
    <w:rsid w:val="001A65BD"/>
    <w:rsid w:val="001A785C"/>
    <w:rsid w:val="001B1054"/>
    <w:rsid w:val="001B23B3"/>
    <w:rsid w:val="001B2E7A"/>
    <w:rsid w:val="001B3683"/>
    <w:rsid w:val="001B51A1"/>
    <w:rsid w:val="001B6260"/>
    <w:rsid w:val="001B63CB"/>
    <w:rsid w:val="001B65FC"/>
    <w:rsid w:val="001C0062"/>
    <w:rsid w:val="001C0BEB"/>
    <w:rsid w:val="001C0E06"/>
    <w:rsid w:val="001C1BBC"/>
    <w:rsid w:val="001C2D3C"/>
    <w:rsid w:val="001C2EE6"/>
    <w:rsid w:val="001C3387"/>
    <w:rsid w:val="001C4B33"/>
    <w:rsid w:val="001C699A"/>
    <w:rsid w:val="001D05DD"/>
    <w:rsid w:val="001D14E3"/>
    <w:rsid w:val="001D223B"/>
    <w:rsid w:val="001D2552"/>
    <w:rsid w:val="001D2F40"/>
    <w:rsid w:val="001D4B28"/>
    <w:rsid w:val="001D5D42"/>
    <w:rsid w:val="001D6008"/>
    <w:rsid w:val="001E04CC"/>
    <w:rsid w:val="001E05C7"/>
    <w:rsid w:val="001E0EEC"/>
    <w:rsid w:val="001E135A"/>
    <w:rsid w:val="001E1924"/>
    <w:rsid w:val="001E4826"/>
    <w:rsid w:val="001E562D"/>
    <w:rsid w:val="001E5742"/>
    <w:rsid w:val="001E5916"/>
    <w:rsid w:val="001E73F5"/>
    <w:rsid w:val="001E7897"/>
    <w:rsid w:val="001E7EDD"/>
    <w:rsid w:val="001F02FE"/>
    <w:rsid w:val="001F24D4"/>
    <w:rsid w:val="001F2DC6"/>
    <w:rsid w:val="001F3268"/>
    <w:rsid w:val="001F3EC1"/>
    <w:rsid w:val="001F4151"/>
    <w:rsid w:val="001F4C0D"/>
    <w:rsid w:val="001F4EB9"/>
    <w:rsid w:val="001F57FC"/>
    <w:rsid w:val="001F6F0C"/>
    <w:rsid w:val="00202EBE"/>
    <w:rsid w:val="0020383C"/>
    <w:rsid w:val="00203D36"/>
    <w:rsid w:val="00204F1E"/>
    <w:rsid w:val="002057BB"/>
    <w:rsid w:val="00205E23"/>
    <w:rsid w:val="00205F10"/>
    <w:rsid w:val="002067A5"/>
    <w:rsid w:val="002075F0"/>
    <w:rsid w:val="00207B71"/>
    <w:rsid w:val="00210192"/>
    <w:rsid w:val="002103F1"/>
    <w:rsid w:val="00212ADA"/>
    <w:rsid w:val="002130F9"/>
    <w:rsid w:val="00215DA7"/>
    <w:rsid w:val="00216D0C"/>
    <w:rsid w:val="002179EE"/>
    <w:rsid w:val="0022050C"/>
    <w:rsid w:val="002207D8"/>
    <w:rsid w:val="00221634"/>
    <w:rsid w:val="00221B88"/>
    <w:rsid w:val="00226D84"/>
    <w:rsid w:val="00230B3B"/>
    <w:rsid w:val="0023106B"/>
    <w:rsid w:val="002314E0"/>
    <w:rsid w:val="0023246E"/>
    <w:rsid w:val="00235271"/>
    <w:rsid w:val="002363FA"/>
    <w:rsid w:val="00236FE8"/>
    <w:rsid w:val="00241D1A"/>
    <w:rsid w:val="0024682D"/>
    <w:rsid w:val="00246A95"/>
    <w:rsid w:val="002471A4"/>
    <w:rsid w:val="00247250"/>
    <w:rsid w:val="00250B1F"/>
    <w:rsid w:val="00254A4A"/>
    <w:rsid w:val="002550A3"/>
    <w:rsid w:val="002550E6"/>
    <w:rsid w:val="002566FE"/>
    <w:rsid w:val="002568AA"/>
    <w:rsid w:val="00256A45"/>
    <w:rsid w:val="00260117"/>
    <w:rsid w:val="002612C7"/>
    <w:rsid w:val="00261F00"/>
    <w:rsid w:val="00266E03"/>
    <w:rsid w:val="00266F7F"/>
    <w:rsid w:val="002670EA"/>
    <w:rsid w:val="002704F4"/>
    <w:rsid w:val="0027068C"/>
    <w:rsid w:val="00270B01"/>
    <w:rsid w:val="00271545"/>
    <w:rsid w:val="00272538"/>
    <w:rsid w:val="00272A9F"/>
    <w:rsid w:val="002737FE"/>
    <w:rsid w:val="00274458"/>
    <w:rsid w:val="00280153"/>
    <w:rsid w:val="0028028E"/>
    <w:rsid w:val="00280F21"/>
    <w:rsid w:val="00282372"/>
    <w:rsid w:val="00282B68"/>
    <w:rsid w:val="00282E8E"/>
    <w:rsid w:val="0028360B"/>
    <w:rsid w:val="002842FE"/>
    <w:rsid w:val="00284953"/>
    <w:rsid w:val="00285237"/>
    <w:rsid w:val="002853AB"/>
    <w:rsid w:val="002858A7"/>
    <w:rsid w:val="00285D69"/>
    <w:rsid w:val="002876DB"/>
    <w:rsid w:val="0029188C"/>
    <w:rsid w:val="00292E3B"/>
    <w:rsid w:val="002932DA"/>
    <w:rsid w:val="00295D6A"/>
    <w:rsid w:val="00296482"/>
    <w:rsid w:val="00296F2F"/>
    <w:rsid w:val="002A0524"/>
    <w:rsid w:val="002A0748"/>
    <w:rsid w:val="002A132F"/>
    <w:rsid w:val="002A4A91"/>
    <w:rsid w:val="002B1482"/>
    <w:rsid w:val="002B1DB5"/>
    <w:rsid w:val="002B35F4"/>
    <w:rsid w:val="002B4477"/>
    <w:rsid w:val="002B4D09"/>
    <w:rsid w:val="002B50B1"/>
    <w:rsid w:val="002B532A"/>
    <w:rsid w:val="002B56F0"/>
    <w:rsid w:val="002B5AF4"/>
    <w:rsid w:val="002B67FC"/>
    <w:rsid w:val="002B7CA3"/>
    <w:rsid w:val="002B7D9B"/>
    <w:rsid w:val="002C09F7"/>
    <w:rsid w:val="002C0EAA"/>
    <w:rsid w:val="002C1AAB"/>
    <w:rsid w:val="002C23EF"/>
    <w:rsid w:val="002C317F"/>
    <w:rsid w:val="002C31E3"/>
    <w:rsid w:val="002C3765"/>
    <w:rsid w:val="002C416E"/>
    <w:rsid w:val="002C5D59"/>
    <w:rsid w:val="002C683B"/>
    <w:rsid w:val="002C718B"/>
    <w:rsid w:val="002C773A"/>
    <w:rsid w:val="002C7CFF"/>
    <w:rsid w:val="002D09EE"/>
    <w:rsid w:val="002D245C"/>
    <w:rsid w:val="002D2C7B"/>
    <w:rsid w:val="002D3773"/>
    <w:rsid w:val="002D4D00"/>
    <w:rsid w:val="002D6736"/>
    <w:rsid w:val="002E013F"/>
    <w:rsid w:val="002E0A3A"/>
    <w:rsid w:val="002E19EA"/>
    <w:rsid w:val="002E25ED"/>
    <w:rsid w:val="002E29AE"/>
    <w:rsid w:val="002E448C"/>
    <w:rsid w:val="002E4727"/>
    <w:rsid w:val="002E48DC"/>
    <w:rsid w:val="002E5072"/>
    <w:rsid w:val="002E6040"/>
    <w:rsid w:val="002E6665"/>
    <w:rsid w:val="002E6A1C"/>
    <w:rsid w:val="002F0120"/>
    <w:rsid w:val="002F4605"/>
    <w:rsid w:val="002F4631"/>
    <w:rsid w:val="002F70F3"/>
    <w:rsid w:val="002F726E"/>
    <w:rsid w:val="002F7949"/>
    <w:rsid w:val="003007D7"/>
    <w:rsid w:val="00300F2C"/>
    <w:rsid w:val="00303815"/>
    <w:rsid w:val="00307433"/>
    <w:rsid w:val="00310547"/>
    <w:rsid w:val="0031060C"/>
    <w:rsid w:val="00310AF7"/>
    <w:rsid w:val="00311A3C"/>
    <w:rsid w:val="003134B6"/>
    <w:rsid w:val="00313960"/>
    <w:rsid w:val="0031442F"/>
    <w:rsid w:val="00314AD6"/>
    <w:rsid w:val="003162DB"/>
    <w:rsid w:val="00316A5F"/>
    <w:rsid w:val="003203ED"/>
    <w:rsid w:val="00322E64"/>
    <w:rsid w:val="00323685"/>
    <w:rsid w:val="00323AB0"/>
    <w:rsid w:val="00324992"/>
    <w:rsid w:val="00324A93"/>
    <w:rsid w:val="00325DA4"/>
    <w:rsid w:val="003266A8"/>
    <w:rsid w:val="00326FEB"/>
    <w:rsid w:val="00327E86"/>
    <w:rsid w:val="00331B66"/>
    <w:rsid w:val="00331F7A"/>
    <w:rsid w:val="00332E8B"/>
    <w:rsid w:val="00334121"/>
    <w:rsid w:val="00334600"/>
    <w:rsid w:val="00336754"/>
    <w:rsid w:val="0033708D"/>
    <w:rsid w:val="00337D6E"/>
    <w:rsid w:val="003401BA"/>
    <w:rsid w:val="00341F1E"/>
    <w:rsid w:val="00342DD3"/>
    <w:rsid w:val="00343182"/>
    <w:rsid w:val="00344C08"/>
    <w:rsid w:val="00345DDD"/>
    <w:rsid w:val="00351AC6"/>
    <w:rsid w:val="00351FD4"/>
    <w:rsid w:val="00354281"/>
    <w:rsid w:val="0035542F"/>
    <w:rsid w:val="003554A2"/>
    <w:rsid w:val="00355EA3"/>
    <w:rsid w:val="003568BE"/>
    <w:rsid w:val="003568E1"/>
    <w:rsid w:val="003579C4"/>
    <w:rsid w:val="003627C7"/>
    <w:rsid w:val="0036388F"/>
    <w:rsid w:val="00363FA5"/>
    <w:rsid w:val="00364170"/>
    <w:rsid w:val="00364D8E"/>
    <w:rsid w:val="00364DF8"/>
    <w:rsid w:val="00365FAD"/>
    <w:rsid w:val="00366556"/>
    <w:rsid w:val="003666FD"/>
    <w:rsid w:val="0036680F"/>
    <w:rsid w:val="00366D36"/>
    <w:rsid w:val="003733E3"/>
    <w:rsid w:val="00373517"/>
    <w:rsid w:val="00373ABC"/>
    <w:rsid w:val="00373C4E"/>
    <w:rsid w:val="00374527"/>
    <w:rsid w:val="003750EA"/>
    <w:rsid w:val="00375928"/>
    <w:rsid w:val="0037779B"/>
    <w:rsid w:val="00377ED9"/>
    <w:rsid w:val="00380604"/>
    <w:rsid w:val="0038061B"/>
    <w:rsid w:val="00381019"/>
    <w:rsid w:val="00382121"/>
    <w:rsid w:val="00382345"/>
    <w:rsid w:val="003839E4"/>
    <w:rsid w:val="003844EA"/>
    <w:rsid w:val="00384B2D"/>
    <w:rsid w:val="0038711B"/>
    <w:rsid w:val="00387453"/>
    <w:rsid w:val="003877CD"/>
    <w:rsid w:val="003903DA"/>
    <w:rsid w:val="00393EB0"/>
    <w:rsid w:val="003940AF"/>
    <w:rsid w:val="00394772"/>
    <w:rsid w:val="003961B2"/>
    <w:rsid w:val="00396FE3"/>
    <w:rsid w:val="00397012"/>
    <w:rsid w:val="00397C61"/>
    <w:rsid w:val="00397CF4"/>
    <w:rsid w:val="003A0399"/>
    <w:rsid w:val="003A08CF"/>
    <w:rsid w:val="003A18D2"/>
    <w:rsid w:val="003A22E6"/>
    <w:rsid w:val="003A2691"/>
    <w:rsid w:val="003A2A40"/>
    <w:rsid w:val="003A5024"/>
    <w:rsid w:val="003A54EB"/>
    <w:rsid w:val="003A5618"/>
    <w:rsid w:val="003A6EDA"/>
    <w:rsid w:val="003A7D6C"/>
    <w:rsid w:val="003B10F0"/>
    <w:rsid w:val="003B122B"/>
    <w:rsid w:val="003B3A7D"/>
    <w:rsid w:val="003B5EEB"/>
    <w:rsid w:val="003C1154"/>
    <w:rsid w:val="003C16E6"/>
    <w:rsid w:val="003C1ABC"/>
    <w:rsid w:val="003C2491"/>
    <w:rsid w:val="003C2AB2"/>
    <w:rsid w:val="003C3E15"/>
    <w:rsid w:val="003C53B1"/>
    <w:rsid w:val="003C5447"/>
    <w:rsid w:val="003C70D7"/>
    <w:rsid w:val="003D0610"/>
    <w:rsid w:val="003D11DF"/>
    <w:rsid w:val="003D1AFA"/>
    <w:rsid w:val="003D456F"/>
    <w:rsid w:val="003D49AE"/>
    <w:rsid w:val="003D5386"/>
    <w:rsid w:val="003D5533"/>
    <w:rsid w:val="003D5D47"/>
    <w:rsid w:val="003D708A"/>
    <w:rsid w:val="003E04D8"/>
    <w:rsid w:val="003E0BA2"/>
    <w:rsid w:val="003E1DB3"/>
    <w:rsid w:val="003E2023"/>
    <w:rsid w:val="003E48A9"/>
    <w:rsid w:val="003E658A"/>
    <w:rsid w:val="003E75DC"/>
    <w:rsid w:val="003E76B4"/>
    <w:rsid w:val="003E7E6F"/>
    <w:rsid w:val="003F0550"/>
    <w:rsid w:val="003F0FB2"/>
    <w:rsid w:val="003F1FEF"/>
    <w:rsid w:val="003F4755"/>
    <w:rsid w:val="003F4940"/>
    <w:rsid w:val="003F55FD"/>
    <w:rsid w:val="003F7D4E"/>
    <w:rsid w:val="00400674"/>
    <w:rsid w:val="00400827"/>
    <w:rsid w:val="00400856"/>
    <w:rsid w:val="00404451"/>
    <w:rsid w:val="00404DD1"/>
    <w:rsid w:val="00405D98"/>
    <w:rsid w:val="00411541"/>
    <w:rsid w:val="00412CFB"/>
    <w:rsid w:val="004148CC"/>
    <w:rsid w:val="00415FBA"/>
    <w:rsid w:val="004206D4"/>
    <w:rsid w:val="00422657"/>
    <w:rsid w:val="004249A8"/>
    <w:rsid w:val="00426112"/>
    <w:rsid w:val="004263B6"/>
    <w:rsid w:val="004267AB"/>
    <w:rsid w:val="00431EA3"/>
    <w:rsid w:val="004338C6"/>
    <w:rsid w:val="004346F7"/>
    <w:rsid w:val="00435172"/>
    <w:rsid w:val="00435463"/>
    <w:rsid w:val="00435905"/>
    <w:rsid w:val="00436B99"/>
    <w:rsid w:val="004409E1"/>
    <w:rsid w:val="0044183A"/>
    <w:rsid w:val="004425D0"/>
    <w:rsid w:val="00442789"/>
    <w:rsid w:val="00443B31"/>
    <w:rsid w:val="00443C5E"/>
    <w:rsid w:val="00444683"/>
    <w:rsid w:val="004448B9"/>
    <w:rsid w:val="00445817"/>
    <w:rsid w:val="004470B4"/>
    <w:rsid w:val="0044784F"/>
    <w:rsid w:val="00447957"/>
    <w:rsid w:val="00450191"/>
    <w:rsid w:val="004517B1"/>
    <w:rsid w:val="0045297D"/>
    <w:rsid w:val="0045429D"/>
    <w:rsid w:val="00454927"/>
    <w:rsid w:val="004559B2"/>
    <w:rsid w:val="00456725"/>
    <w:rsid w:val="004579A6"/>
    <w:rsid w:val="0046273E"/>
    <w:rsid w:val="0046327B"/>
    <w:rsid w:val="00463AEA"/>
    <w:rsid w:val="00463E89"/>
    <w:rsid w:val="00464124"/>
    <w:rsid w:val="00465665"/>
    <w:rsid w:val="00471320"/>
    <w:rsid w:val="004714CA"/>
    <w:rsid w:val="00472866"/>
    <w:rsid w:val="00472AD9"/>
    <w:rsid w:val="004738F1"/>
    <w:rsid w:val="00473DA2"/>
    <w:rsid w:val="00474CCF"/>
    <w:rsid w:val="00476355"/>
    <w:rsid w:val="00476D3C"/>
    <w:rsid w:val="004770EC"/>
    <w:rsid w:val="0047730C"/>
    <w:rsid w:val="00480327"/>
    <w:rsid w:val="004809D6"/>
    <w:rsid w:val="00480C78"/>
    <w:rsid w:val="00480CD2"/>
    <w:rsid w:val="00481457"/>
    <w:rsid w:val="00481B81"/>
    <w:rsid w:val="00481C8D"/>
    <w:rsid w:val="004820F0"/>
    <w:rsid w:val="004823A8"/>
    <w:rsid w:val="00483837"/>
    <w:rsid w:val="00483A96"/>
    <w:rsid w:val="00483C46"/>
    <w:rsid w:val="00484971"/>
    <w:rsid w:val="00485A13"/>
    <w:rsid w:val="00486699"/>
    <w:rsid w:val="004909DF"/>
    <w:rsid w:val="00491290"/>
    <w:rsid w:val="00491A11"/>
    <w:rsid w:val="00493779"/>
    <w:rsid w:val="004937A1"/>
    <w:rsid w:val="0049445F"/>
    <w:rsid w:val="00496624"/>
    <w:rsid w:val="004A07B2"/>
    <w:rsid w:val="004A24AD"/>
    <w:rsid w:val="004A2ECA"/>
    <w:rsid w:val="004A354D"/>
    <w:rsid w:val="004A3770"/>
    <w:rsid w:val="004A3967"/>
    <w:rsid w:val="004A51EE"/>
    <w:rsid w:val="004A686B"/>
    <w:rsid w:val="004B0C70"/>
    <w:rsid w:val="004B117D"/>
    <w:rsid w:val="004B13E1"/>
    <w:rsid w:val="004B1A0D"/>
    <w:rsid w:val="004B1C95"/>
    <w:rsid w:val="004B1E31"/>
    <w:rsid w:val="004B248D"/>
    <w:rsid w:val="004B3440"/>
    <w:rsid w:val="004B346C"/>
    <w:rsid w:val="004B3744"/>
    <w:rsid w:val="004B4367"/>
    <w:rsid w:val="004B4D52"/>
    <w:rsid w:val="004C0BD6"/>
    <w:rsid w:val="004C30C0"/>
    <w:rsid w:val="004C37D1"/>
    <w:rsid w:val="004C435B"/>
    <w:rsid w:val="004C4BBD"/>
    <w:rsid w:val="004C4E9C"/>
    <w:rsid w:val="004C5344"/>
    <w:rsid w:val="004C6B94"/>
    <w:rsid w:val="004C7176"/>
    <w:rsid w:val="004D0165"/>
    <w:rsid w:val="004D11FC"/>
    <w:rsid w:val="004D1A1F"/>
    <w:rsid w:val="004D253F"/>
    <w:rsid w:val="004D2584"/>
    <w:rsid w:val="004D25A1"/>
    <w:rsid w:val="004D43AC"/>
    <w:rsid w:val="004D56AA"/>
    <w:rsid w:val="004D5B17"/>
    <w:rsid w:val="004D61C2"/>
    <w:rsid w:val="004E00D4"/>
    <w:rsid w:val="004E0193"/>
    <w:rsid w:val="004E04BC"/>
    <w:rsid w:val="004E1D05"/>
    <w:rsid w:val="004E24C4"/>
    <w:rsid w:val="004E2795"/>
    <w:rsid w:val="004E2CF7"/>
    <w:rsid w:val="004E3991"/>
    <w:rsid w:val="004E3A90"/>
    <w:rsid w:val="004E5875"/>
    <w:rsid w:val="004E6440"/>
    <w:rsid w:val="004E7583"/>
    <w:rsid w:val="004E768A"/>
    <w:rsid w:val="004F0634"/>
    <w:rsid w:val="004F0B0E"/>
    <w:rsid w:val="004F1AF6"/>
    <w:rsid w:val="004F30E9"/>
    <w:rsid w:val="004F34E9"/>
    <w:rsid w:val="004F3A11"/>
    <w:rsid w:val="004F44CA"/>
    <w:rsid w:val="004F49E1"/>
    <w:rsid w:val="004F5C0E"/>
    <w:rsid w:val="004F6C8D"/>
    <w:rsid w:val="004F7B52"/>
    <w:rsid w:val="004F7F3C"/>
    <w:rsid w:val="005002A0"/>
    <w:rsid w:val="00500580"/>
    <w:rsid w:val="00500C90"/>
    <w:rsid w:val="0050103D"/>
    <w:rsid w:val="005027F4"/>
    <w:rsid w:val="00504B0D"/>
    <w:rsid w:val="005056F1"/>
    <w:rsid w:val="0050597E"/>
    <w:rsid w:val="00505F61"/>
    <w:rsid w:val="0050641A"/>
    <w:rsid w:val="00507406"/>
    <w:rsid w:val="00512E1E"/>
    <w:rsid w:val="00512F63"/>
    <w:rsid w:val="005140B3"/>
    <w:rsid w:val="00514BAD"/>
    <w:rsid w:val="00514BCC"/>
    <w:rsid w:val="0051611F"/>
    <w:rsid w:val="00517052"/>
    <w:rsid w:val="00517F59"/>
    <w:rsid w:val="00520157"/>
    <w:rsid w:val="00520387"/>
    <w:rsid w:val="00520B23"/>
    <w:rsid w:val="0052115F"/>
    <w:rsid w:val="0052212C"/>
    <w:rsid w:val="00526001"/>
    <w:rsid w:val="005267B9"/>
    <w:rsid w:val="0052780E"/>
    <w:rsid w:val="00531776"/>
    <w:rsid w:val="00531F97"/>
    <w:rsid w:val="005327DB"/>
    <w:rsid w:val="00532D2B"/>
    <w:rsid w:val="00532F4E"/>
    <w:rsid w:val="00533A3E"/>
    <w:rsid w:val="00535F81"/>
    <w:rsid w:val="00536514"/>
    <w:rsid w:val="0053652D"/>
    <w:rsid w:val="00536A26"/>
    <w:rsid w:val="00536C11"/>
    <w:rsid w:val="00536FF0"/>
    <w:rsid w:val="00540069"/>
    <w:rsid w:val="0054184F"/>
    <w:rsid w:val="0054343D"/>
    <w:rsid w:val="00545E13"/>
    <w:rsid w:val="00546D5A"/>
    <w:rsid w:val="00547A2B"/>
    <w:rsid w:val="00547DFB"/>
    <w:rsid w:val="00551D31"/>
    <w:rsid w:val="00555166"/>
    <w:rsid w:val="00555469"/>
    <w:rsid w:val="00555A47"/>
    <w:rsid w:val="00560740"/>
    <w:rsid w:val="00564435"/>
    <w:rsid w:val="0056466D"/>
    <w:rsid w:val="0056667F"/>
    <w:rsid w:val="00572E57"/>
    <w:rsid w:val="005741A0"/>
    <w:rsid w:val="00575798"/>
    <w:rsid w:val="00575842"/>
    <w:rsid w:val="005759AB"/>
    <w:rsid w:val="00576657"/>
    <w:rsid w:val="00576F4E"/>
    <w:rsid w:val="00577273"/>
    <w:rsid w:val="0058067B"/>
    <w:rsid w:val="00580F39"/>
    <w:rsid w:val="00581C79"/>
    <w:rsid w:val="00581F4D"/>
    <w:rsid w:val="00583856"/>
    <w:rsid w:val="005838E5"/>
    <w:rsid w:val="00584E34"/>
    <w:rsid w:val="00585134"/>
    <w:rsid w:val="005859A7"/>
    <w:rsid w:val="005859F1"/>
    <w:rsid w:val="00586043"/>
    <w:rsid w:val="00586D43"/>
    <w:rsid w:val="00590E62"/>
    <w:rsid w:val="00592F2C"/>
    <w:rsid w:val="00592F60"/>
    <w:rsid w:val="005957D3"/>
    <w:rsid w:val="005A083B"/>
    <w:rsid w:val="005A143F"/>
    <w:rsid w:val="005A14C9"/>
    <w:rsid w:val="005A2F70"/>
    <w:rsid w:val="005A36D3"/>
    <w:rsid w:val="005A409E"/>
    <w:rsid w:val="005A4C10"/>
    <w:rsid w:val="005B0BEB"/>
    <w:rsid w:val="005B22F7"/>
    <w:rsid w:val="005B282B"/>
    <w:rsid w:val="005B4C87"/>
    <w:rsid w:val="005B5034"/>
    <w:rsid w:val="005B5200"/>
    <w:rsid w:val="005B5904"/>
    <w:rsid w:val="005B5ABC"/>
    <w:rsid w:val="005C18A8"/>
    <w:rsid w:val="005C2AE6"/>
    <w:rsid w:val="005C3B61"/>
    <w:rsid w:val="005C3F38"/>
    <w:rsid w:val="005C4253"/>
    <w:rsid w:val="005C4D75"/>
    <w:rsid w:val="005C6109"/>
    <w:rsid w:val="005C681B"/>
    <w:rsid w:val="005C79B0"/>
    <w:rsid w:val="005C79F9"/>
    <w:rsid w:val="005C7D33"/>
    <w:rsid w:val="005D0ACB"/>
    <w:rsid w:val="005D0BF5"/>
    <w:rsid w:val="005D0FAF"/>
    <w:rsid w:val="005D14AB"/>
    <w:rsid w:val="005D27B8"/>
    <w:rsid w:val="005D2C60"/>
    <w:rsid w:val="005D34EA"/>
    <w:rsid w:val="005D3DDF"/>
    <w:rsid w:val="005D42E3"/>
    <w:rsid w:val="005D5877"/>
    <w:rsid w:val="005D5EA7"/>
    <w:rsid w:val="005D6FD1"/>
    <w:rsid w:val="005E0327"/>
    <w:rsid w:val="005E1A28"/>
    <w:rsid w:val="005E1BA2"/>
    <w:rsid w:val="005E369C"/>
    <w:rsid w:val="005E4219"/>
    <w:rsid w:val="005E7618"/>
    <w:rsid w:val="005E79D7"/>
    <w:rsid w:val="005E7A6D"/>
    <w:rsid w:val="005F01FB"/>
    <w:rsid w:val="005F1CB3"/>
    <w:rsid w:val="005F223E"/>
    <w:rsid w:val="005F78E4"/>
    <w:rsid w:val="006002BD"/>
    <w:rsid w:val="00601203"/>
    <w:rsid w:val="006015D0"/>
    <w:rsid w:val="00604990"/>
    <w:rsid w:val="00604AC5"/>
    <w:rsid w:val="00605704"/>
    <w:rsid w:val="0060589A"/>
    <w:rsid w:val="00610107"/>
    <w:rsid w:val="006105E9"/>
    <w:rsid w:val="0061102C"/>
    <w:rsid w:val="00613802"/>
    <w:rsid w:val="006148C2"/>
    <w:rsid w:val="00615AA8"/>
    <w:rsid w:val="006161BF"/>
    <w:rsid w:val="00616546"/>
    <w:rsid w:val="00617F3C"/>
    <w:rsid w:val="0062074D"/>
    <w:rsid w:val="0062171C"/>
    <w:rsid w:val="006220C8"/>
    <w:rsid w:val="00626BED"/>
    <w:rsid w:val="00631548"/>
    <w:rsid w:val="00631672"/>
    <w:rsid w:val="00632192"/>
    <w:rsid w:val="006346DC"/>
    <w:rsid w:val="00634833"/>
    <w:rsid w:val="00634B37"/>
    <w:rsid w:val="006357D3"/>
    <w:rsid w:val="00635F61"/>
    <w:rsid w:val="00636E43"/>
    <w:rsid w:val="006379B4"/>
    <w:rsid w:val="0064131E"/>
    <w:rsid w:val="006440DB"/>
    <w:rsid w:val="00644BEB"/>
    <w:rsid w:val="006453A4"/>
    <w:rsid w:val="006456EB"/>
    <w:rsid w:val="00650EFE"/>
    <w:rsid w:val="00651A05"/>
    <w:rsid w:val="0065316F"/>
    <w:rsid w:val="00653B9A"/>
    <w:rsid w:val="006540FE"/>
    <w:rsid w:val="00655073"/>
    <w:rsid w:val="00655A83"/>
    <w:rsid w:val="00656B79"/>
    <w:rsid w:val="00660615"/>
    <w:rsid w:val="00661033"/>
    <w:rsid w:val="0066137F"/>
    <w:rsid w:val="00661F61"/>
    <w:rsid w:val="00662074"/>
    <w:rsid w:val="00663521"/>
    <w:rsid w:val="00664AB3"/>
    <w:rsid w:val="00664B2A"/>
    <w:rsid w:val="0066561E"/>
    <w:rsid w:val="0067173B"/>
    <w:rsid w:val="006733E2"/>
    <w:rsid w:val="00673E6C"/>
    <w:rsid w:val="00675A63"/>
    <w:rsid w:val="00676646"/>
    <w:rsid w:val="00676A87"/>
    <w:rsid w:val="00677094"/>
    <w:rsid w:val="006778E7"/>
    <w:rsid w:val="00681C43"/>
    <w:rsid w:val="00681C55"/>
    <w:rsid w:val="00682BBB"/>
    <w:rsid w:val="00683130"/>
    <w:rsid w:val="00684133"/>
    <w:rsid w:val="00686E62"/>
    <w:rsid w:val="00687AF8"/>
    <w:rsid w:val="00687E49"/>
    <w:rsid w:val="00690F59"/>
    <w:rsid w:val="006912C4"/>
    <w:rsid w:val="0069156F"/>
    <w:rsid w:val="00692615"/>
    <w:rsid w:val="00692DBA"/>
    <w:rsid w:val="00692E6F"/>
    <w:rsid w:val="006931DF"/>
    <w:rsid w:val="00693730"/>
    <w:rsid w:val="006955E4"/>
    <w:rsid w:val="006976DE"/>
    <w:rsid w:val="00697CAB"/>
    <w:rsid w:val="00697E26"/>
    <w:rsid w:val="006A1476"/>
    <w:rsid w:val="006A4CFD"/>
    <w:rsid w:val="006A4DF9"/>
    <w:rsid w:val="006B0B45"/>
    <w:rsid w:val="006B1EB2"/>
    <w:rsid w:val="006B2B56"/>
    <w:rsid w:val="006B59DB"/>
    <w:rsid w:val="006B74A6"/>
    <w:rsid w:val="006B7650"/>
    <w:rsid w:val="006C0E03"/>
    <w:rsid w:val="006C1AE9"/>
    <w:rsid w:val="006C2541"/>
    <w:rsid w:val="006C2828"/>
    <w:rsid w:val="006C373D"/>
    <w:rsid w:val="006C6678"/>
    <w:rsid w:val="006C67DE"/>
    <w:rsid w:val="006C6D28"/>
    <w:rsid w:val="006C707F"/>
    <w:rsid w:val="006D021E"/>
    <w:rsid w:val="006D0E21"/>
    <w:rsid w:val="006D1F6E"/>
    <w:rsid w:val="006D2022"/>
    <w:rsid w:val="006D3515"/>
    <w:rsid w:val="006D3E3A"/>
    <w:rsid w:val="006D6A92"/>
    <w:rsid w:val="006D740F"/>
    <w:rsid w:val="006D75BA"/>
    <w:rsid w:val="006D769B"/>
    <w:rsid w:val="006D774F"/>
    <w:rsid w:val="006E0EDF"/>
    <w:rsid w:val="006E1DDE"/>
    <w:rsid w:val="006E4097"/>
    <w:rsid w:val="006E50E1"/>
    <w:rsid w:val="006E5406"/>
    <w:rsid w:val="006E5F4C"/>
    <w:rsid w:val="006E7D13"/>
    <w:rsid w:val="006F0E6B"/>
    <w:rsid w:val="006F0FB1"/>
    <w:rsid w:val="006F1E1F"/>
    <w:rsid w:val="006F2272"/>
    <w:rsid w:val="006F2F2B"/>
    <w:rsid w:val="006F4113"/>
    <w:rsid w:val="006F4787"/>
    <w:rsid w:val="006F47C2"/>
    <w:rsid w:val="006F48F9"/>
    <w:rsid w:val="006F5027"/>
    <w:rsid w:val="006F51D2"/>
    <w:rsid w:val="006F6F36"/>
    <w:rsid w:val="00701880"/>
    <w:rsid w:val="0070286F"/>
    <w:rsid w:val="007040E5"/>
    <w:rsid w:val="0070431A"/>
    <w:rsid w:val="00704D84"/>
    <w:rsid w:val="00705309"/>
    <w:rsid w:val="0070559C"/>
    <w:rsid w:val="00705AEF"/>
    <w:rsid w:val="00707696"/>
    <w:rsid w:val="00707F29"/>
    <w:rsid w:val="007115F5"/>
    <w:rsid w:val="00711749"/>
    <w:rsid w:val="007119D1"/>
    <w:rsid w:val="00713868"/>
    <w:rsid w:val="00715A46"/>
    <w:rsid w:val="0071694A"/>
    <w:rsid w:val="00716B6E"/>
    <w:rsid w:val="00716ECA"/>
    <w:rsid w:val="00720380"/>
    <w:rsid w:val="007214C9"/>
    <w:rsid w:val="00722CA4"/>
    <w:rsid w:val="00722D0C"/>
    <w:rsid w:val="00725081"/>
    <w:rsid w:val="0072554A"/>
    <w:rsid w:val="00725E9D"/>
    <w:rsid w:val="0072613E"/>
    <w:rsid w:val="0072699B"/>
    <w:rsid w:val="007275EC"/>
    <w:rsid w:val="0073002B"/>
    <w:rsid w:val="00731B07"/>
    <w:rsid w:val="00734B87"/>
    <w:rsid w:val="007353CF"/>
    <w:rsid w:val="0073676A"/>
    <w:rsid w:val="0073732E"/>
    <w:rsid w:val="00740807"/>
    <w:rsid w:val="00741A5F"/>
    <w:rsid w:val="00743A43"/>
    <w:rsid w:val="00743DED"/>
    <w:rsid w:val="00744306"/>
    <w:rsid w:val="00744EC5"/>
    <w:rsid w:val="007450CC"/>
    <w:rsid w:val="00745720"/>
    <w:rsid w:val="00745878"/>
    <w:rsid w:val="00746A16"/>
    <w:rsid w:val="00747191"/>
    <w:rsid w:val="0075165C"/>
    <w:rsid w:val="00751F0C"/>
    <w:rsid w:val="00752290"/>
    <w:rsid w:val="00752676"/>
    <w:rsid w:val="007537C0"/>
    <w:rsid w:val="00755125"/>
    <w:rsid w:val="0075677A"/>
    <w:rsid w:val="0075702F"/>
    <w:rsid w:val="007572E6"/>
    <w:rsid w:val="0075799C"/>
    <w:rsid w:val="00757CCD"/>
    <w:rsid w:val="00760DEA"/>
    <w:rsid w:val="00761271"/>
    <w:rsid w:val="007622E8"/>
    <w:rsid w:val="00762A1D"/>
    <w:rsid w:val="007678CA"/>
    <w:rsid w:val="00770E1A"/>
    <w:rsid w:val="00771FBB"/>
    <w:rsid w:val="00772F6C"/>
    <w:rsid w:val="00774392"/>
    <w:rsid w:val="00774B45"/>
    <w:rsid w:val="00774DB9"/>
    <w:rsid w:val="007761A1"/>
    <w:rsid w:val="007772AE"/>
    <w:rsid w:val="00777C44"/>
    <w:rsid w:val="00780BCE"/>
    <w:rsid w:val="00781F05"/>
    <w:rsid w:val="0078243D"/>
    <w:rsid w:val="007826AE"/>
    <w:rsid w:val="00782748"/>
    <w:rsid w:val="00783082"/>
    <w:rsid w:val="00784409"/>
    <w:rsid w:val="007871D9"/>
    <w:rsid w:val="00790006"/>
    <w:rsid w:val="007902DB"/>
    <w:rsid w:val="00790321"/>
    <w:rsid w:val="00790F26"/>
    <w:rsid w:val="00792220"/>
    <w:rsid w:val="007926ED"/>
    <w:rsid w:val="00792D2C"/>
    <w:rsid w:val="00793717"/>
    <w:rsid w:val="00795EB1"/>
    <w:rsid w:val="00796855"/>
    <w:rsid w:val="007A0163"/>
    <w:rsid w:val="007A054D"/>
    <w:rsid w:val="007A05C3"/>
    <w:rsid w:val="007A0AB9"/>
    <w:rsid w:val="007A0D58"/>
    <w:rsid w:val="007A2324"/>
    <w:rsid w:val="007A25BD"/>
    <w:rsid w:val="007A305D"/>
    <w:rsid w:val="007A5678"/>
    <w:rsid w:val="007A69F4"/>
    <w:rsid w:val="007A700E"/>
    <w:rsid w:val="007A7151"/>
    <w:rsid w:val="007B02F4"/>
    <w:rsid w:val="007B380E"/>
    <w:rsid w:val="007B3D31"/>
    <w:rsid w:val="007B5C56"/>
    <w:rsid w:val="007B5CD6"/>
    <w:rsid w:val="007B6498"/>
    <w:rsid w:val="007B6520"/>
    <w:rsid w:val="007B6B95"/>
    <w:rsid w:val="007B74F6"/>
    <w:rsid w:val="007B7B9F"/>
    <w:rsid w:val="007C0E12"/>
    <w:rsid w:val="007C2D0C"/>
    <w:rsid w:val="007C3664"/>
    <w:rsid w:val="007C3EFA"/>
    <w:rsid w:val="007C4980"/>
    <w:rsid w:val="007C5663"/>
    <w:rsid w:val="007C5DEA"/>
    <w:rsid w:val="007C6F42"/>
    <w:rsid w:val="007C7B8B"/>
    <w:rsid w:val="007C7DB3"/>
    <w:rsid w:val="007D06EE"/>
    <w:rsid w:val="007D06F9"/>
    <w:rsid w:val="007D0EF3"/>
    <w:rsid w:val="007D2279"/>
    <w:rsid w:val="007D49BF"/>
    <w:rsid w:val="007D6C44"/>
    <w:rsid w:val="007D6DEE"/>
    <w:rsid w:val="007D7422"/>
    <w:rsid w:val="007E0BE4"/>
    <w:rsid w:val="007E12E7"/>
    <w:rsid w:val="007E3320"/>
    <w:rsid w:val="007E3DA3"/>
    <w:rsid w:val="007E5DD7"/>
    <w:rsid w:val="007E6CF8"/>
    <w:rsid w:val="007F0505"/>
    <w:rsid w:val="007F32DB"/>
    <w:rsid w:val="007F3733"/>
    <w:rsid w:val="007F3AB8"/>
    <w:rsid w:val="007F4FDA"/>
    <w:rsid w:val="007F63D5"/>
    <w:rsid w:val="007F7A27"/>
    <w:rsid w:val="008000C7"/>
    <w:rsid w:val="00800682"/>
    <w:rsid w:val="00800A1D"/>
    <w:rsid w:val="00800D8B"/>
    <w:rsid w:val="00803FE8"/>
    <w:rsid w:val="00804BC0"/>
    <w:rsid w:val="00807AA5"/>
    <w:rsid w:val="00811AD7"/>
    <w:rsid w:val="008143B2"/>
    <w:rsid w:val="0081460B"/>
    <w:rsid w:val="00814A9B"/>
    <w:rsid w:val="00816114"/>
    <w:rsid w:val="00816C0E"/>
    <w:rsid w:val="0081702E"/>
    <w:rsid w:val="008176D9"/>
    <w:rsid w:val="00821B8E"/>
    <w:rsid w:val="00822530"/>
    <w:rsid w:val="008235E1"/>
    <w:rsid w:val="00825309"/>
    <w:rsid w:val="00826549"/>
    <w:rsid w:val="00826A32"/>
    <w:rsid w:val="008271CE"/>
    <w:rsid w:val="008318FB"/>
    <w:rsid w:val="00832B06"/>
    <w:rsid w:val="00833B57"/>
    <w:rsid w:val="00833E83"/>
    <w:rsid w:val="008347E4"/>
    <w:rsid w:val="00835018"/>
    <w:rsid w:val="00835FBE"/>
    <w:rsid w:val="008375BB"/>
    <w:rsid w:val="00837847"/>
    <w:rsid w:val="008402C1"/>
    <w:rsid w:val="008412D0"/>
    <w:rsid w:val="00841306"/>
    <w:rsid w:val="008424F5"/>
    <w:rsid w:val="008429A8"/>
    <w:rsid w:val="00844313"/>
    <w:rsid w:val="00844BC5"/>
    <w:rsid w:val="00844FAB"/>
    <w:rsid w:val="008455EB"/>
    <w:rsid w:val="00845DFA"/>
    <w:rsid w:val="00846AF4"/>
    <w:rsid w:val="00847ED9"/>
    <w:rsid w:val="00850AEF"/>
    <w:rsid w:val="00850D5D"/>
    <w:rsid w:val="00850E19"/>
    <w:rsid w:val="00851FFE"/>
    <w:rsid w:val="00853324"/>
    <w:rsid w:val="00853CA5"/>
    <w:rsid w:val="008546E3"/>
    <w:rsid w:val="008550AC"/>
    <w:rsid w:val="0085519D"/>
    <w:rsid w:val="00863011"/>
    <w:rsid w:val="00866831"/>
    <w:rsid w:val="008669C3"/>
    <w:rsid w:val="008678CD"/>
    <w:rsid w:val="00871596"/>
    <w:rsid w:val="00872055"/>
    <w:rsid w:val="008723D3"/>
    <w:rsid w:val="0087321A"/>
    <w:rsid w:val="0087354A"/>
    <w:rsid w:val="0087523D"/>
    <w:rsid w:val="00875DAE"/>
    <w:rsid w:val="00875FD9"/>
    <w:rsid w:val="00876A9A"/>
    <w:rsid w:val="00877121"/>
    <w:rsid w:val="008806AE"/>
    <w:rsid w:val="008807AA"/>
    <w:rsid w:val="00880F47"/>
    <w:rsid w:val="008817B7"/>
    <w:rsid w:val="0088190E"/>
    <w:rsid w:val="00883607"/>
    <w:rsid w:val="008842CF"/>
    <w:rsid w:val="008848C7"/>
    <w:rsid w:val="008855C5"/>
    <w:rsid w:val="00885CDB"/>
    <w:rsid w:val="0088699A"/>
    <w:rsid w:val="00887585"/>
    <w:rsid w:val="00890C53"/>
    <w:rsid w:val="00891485"/>
    <w:rsid w:val="008942EA"/>
    <w:rsid w:val="008949FD"/>
    <w:rsid w:val="00894C18"/>
    <w:rsid w:val="00895BCC"/>
    <w:rsid w:val="00895E34"/>
    <w:rsid w:val="008A01C8"/>
    <w:rsid w:val="008A073D"/>
    <w:rsid w:val="008A1FE3"/>
    <w:rsid w:val="008A234C"/>
    <w:rsid w:val="008A235A"/>
    <w:rsid w:val="008A66E5"/>
    <w:rsid w:val="008A7021"/>
    <w:rsid w:val="008B00F9"/>
    <w:rsid w:val="008B17D7"/>
    <w:rsid w:val="008B20D8"/>
    <w:rsid w:val="008B2B53"/>
    <w:rsid w:val="008B3BF8"/>
    <w:rsid w:val="008B50C8"/>
    <w:rsid w:val="008B5568"/>
    <w:rsid w:val="008B5F68"/>
    <w:rsid w:val="008B68B3"/>
    <w:rsid w:val="008B7041"/>
    <w:rsid w:val="008B71A9"/>
    <w:rsid w:val="008C0CB3"/>
    <w:rsid w:val="008C17A4"/>
    <w:rsid w:val="008C1D3E"/>
    <w:rsid w:val="008C3933"/>
    <w:rsid w:val="008C47CB"/>
    <w:rsid w:val="008C49E0"/>
    <w:rsid w:val="008C4A24"/>
    <w:rsid w:val="008C64AA"/>
    <w:rsid w:val="008D0426"/>
    <w:rsid w:val="008D1240"/>
    <w:rsid w:val="008D2502"/>
    <w:rsid w:val="008D3059"/>
    <w:rsid w:val="008D43C7"/>
    <w:rsid w:val="008D6546"/>
    <w:rsid w:val="008D6945"/>
    <w:rsid w:val="008D7F80"/>
    <w:rsid w:val="008E000D"/>
    <w:rsid w:val="008E006F"/>
    <w:rsid w:val="008E1E6D"/>
    <w:rsid w:val="008E37AD"/>
    <w:rsid w:val="008E48E9"/>
    <w:rsid w:val="008E495C"/>
    <w:rsid w:val="008E4E69"/>
    <w:rsid w:val="008E5559"/>
    <w:rsid w:val="008E55C8"/>
    <w:rsid w:val="008E6403"/>
    <w:rsid w:val="008E6E87"/>
    <w:rsid w:val="008E74D3"/>
    <w:rsid w:val="008E7640"/>
    <w:rsid w:val="008F166F"/>
    <w:rsid w:val="008F20FD"/>
    <w:rsid w:val="008F2179"/>
    <w:rsid w:val="008F2DA3"/>
    <w:rsid w:val="008F4708"/>
    <w:rsid w:val="008F63C0"/>
    <w:rsid w:val="008F75F4"/>
    <w:rsid w:val="00900914"/>
    <w:rsid w:val="00900E9E"/>
    <w:rsid w:val="00900F48"/>
    <w:rsid w:val="00901074"/>
    <w:rsid w:val="00901663"/>
    <w:rsid w:val="00901E3E"/>
    <w:rsid w:val="009021B9"/>
    <w:rsid w:val="00902458"/>
    <w:rsid w:val="00903201"/>
    <w:rsid w:val="00904A1C"/>
    <w:rsid w:val="00906008"/>
    <w:rsid w:val="00906EA4"/>
    <w:rsid w:val="00910A5C"/>
    <w:rsid w:val="00910EEA"/>
    <w:rsid w:val="00913031"/>
    <w:rsid w:val="00914068"/>
    <w:rsid w:val="009146E1"/>
    <w:rsid w:val="0091483C"/>
    <w:rsid w:val="00914EB8"/>
    <w:rsid w:val="00916041"/>
    <w:rsid w:val="00917501"/>
    <w:rsid w:val="00922A00"/>
    <w:rsid w:val="00922C9F"/>
    <w:rsid w:val="00924734"/>
    <w:rsid w:val="00925F25"/>
    <w:rsid w:val="00926271"/>
    <w:rsid w:val="00926983"/>
    <w:rsid w:val="00926B9A"/>
    <w:rsid w:val="009272B9"/>
    <w:rsid w:val="009279C5"/>
    <w:rsid w:val="009310DB"/>
    <w:rsid w:val="00933064"/>
    <w:rsid w:val="00933161"/>
    <w:rsid w:val="00933E24"/>
    <w:rsid w:val="00934399"/>
    <w:rsid w:val="00935160"/>
    <w:rsid w:val="0093536E"/>
    <w:rsid w:val="009359F6"/>
    <w:rsid w:val="00937C2B"/>
    <w:rsid w:val="00941DB3"/>
    <w:rsid w:val="00943DAD"/>
    <w:rsid w:val="00944C32"/>
    <w:rsid w:val="00944F3C"/>
    <w:rsid w:val="00946602"/>
    <w:rsid w:val="009472DD"/>
    <w:rsid w:val="00952013"/>
    <w:rsid w:val="0095247B"/>
    <w:rsid w:val="00956D13"/>
    <w:rsid w:val="00956D16"/>
    <w:rsid w:val="00957095"/>
    <w:rsid w:val="00957FA8"/>
    <w:rsid w:val="00960040"/>
    <w:rsid w:val="009602C4"/>
    <w:rsid w:val="00960367"/>
    <w:rsid w:val="009605B7"/>
    <w:rsid w:val="00960B27"/>
    <w:rsid w:val="0096164E"/>
    <w:rsid w:val="009627F8"/>
    <w:rsid w:val="00963127"/>
    <w:rsid w:val="0096430F"/>
    <w:rsid w:val="00964AFF"/>
    <w:rsid w:val="00966508"/>
    <w:rsid w:val="00966542"/>
    <w:rsid w:val="009667E3"/>
    <w:rsid w:val="00966EAB"/>
    <w:rsid w:val="00967496"/>
    <w:rsid w:val="0097001B"/>
    <w:rsid w:val="009703B9"/>
    <w:rsid w:val="0097191B"/>
    <w:rsid w:val="00972209"/>
    <w:rsid w:val="0097270A"/>
    <w:rsid w:val="0097294F"/>
    <w:rsid w:val="009738B1"/>
    <w:rsid w:val="00974127"/>
    <w:rsid w:val="0097499D"/>
    <w:rsid w:val="00974B47"/>
    <w:rsid w:val="009751FB"/>
    <w:rsid w:val="0097609F"/>
    <w:rsid w:val="00976375"/>
    <w:rsid w:val="00980CB3"/>
    <w:rsid w:val="00980E5A"/>
    <w:rsid w:val="00981AEA"/>
    <w:rsid w:val="00982273"/>
    <w:rsid w:val="009822F8"/>
    <w:rsid w:val="00982D61"/>
    <w:rsid w:val="00982E15"/>
    <w:rsid w:val="009833FF"/>
    <w:rsid w:val="009834D7"/>
    <w:rsid w:val="009836AD"/>
    <w:rsid w:val="00983898"/>
    <w:rsid w:val="00984533"/>
    <w:rsid w:val="00984B5A"/>
    <w:rsid w:val="00984DC4"/>
    <w:rsid w:val="00986465"/>
    <w:rsid w:val="00986E28"/>
    <w:rsid w:val="00986F87"/>
    <w:rsid w:val="00991640"/>
    <w:rsid w:val="00991B92"/>
    <w:rsid w:val="009946BF"/>
    <w:rsid w:val="00995BF1"/>
    <w:rsid w:val="00996941"/>
    <w:rsid w:val="00997022"/>
    <w:rsid w:val="009974A8"/>
    <w:rsid w:val="009A0131"/>
    <w:rsid w:val="009A056D"/>
    <w:rsid w:val="009A16ED"/>
    <w:rsid w:val="009A2738"/>
    <w:rsid w:val="009A2B0E"/>
    <w:rsid w:val="009A2C1C"/>
    <w:rsid w:val="009A2F97"/>
    <w:rsid w:val="009A4800"/>
    <w:rsid w:val="009A51E3"/>
    <w:rsid w:val="009A54F1"/>
    <w:rsid w:val="009A6A1D"/>
    <w:rsid w:val="009A740B"/>
    <w:rsid w:val="009A74EC"/>
    <w:rsid w:val="009B0637"/>
    <w:rsid w:val="009B0D24"/>
    <w:rsid w:val="009B1DF7"/>
    <w:rsid w:val="009B2E8E"/>
    <w:rsid w:val="009B34CD"/>
    <w:rsid w:val="009B37B8"/>
    <w:rsid w:val="009B38B0"/>
    <w:rsid w:val="009B4E87"/>
    <w:rsid w:val="009B6B00"/>
    <w:rsid w:val="009B6C8C"/>
    <w:rsid w:val="009B7179"/>
    <w:rsid w:val="009B7584"/>
    <w:rsid w:val="009B7DC0"/>
    <w:rsid w:val="009C0D7E"/>
    <w:rsid w:val="009C153F"/>
    <w:rsid w:val="009C1B2F"/>
    <w:rsid w:val="009C2430"/>
    <w:rsid w:val="009C2D17"/>
    <w:rsid w:val="009C50BA"/>
    <w:rsid w:val="009C639D"/>
    <w:rsid w:val="009C6620"/>
    <w:rsid w:val="009C7530"/>
    <w:rsid w:val="009D027B"/>
    <w:rsid w:val="009D0BC5"/>
    <w:rsid w:val="009D3C63"/>
    <w:rsid w:val="009D5C2C"/>
    <w:rsid w:val="009E095B"/>
    <w:rsid w:val="009E1EE6"/>
    <w:rsid w:val="009E20FD"/>
    <w:rsid w:val="009E3055"/>
    <w:rsid w:val="009E4B47"/>
    <w:rsid w:val="009E647A"/>
    <w:rsid w:val="009E7086"/>
    <w:rsid w:val="009E726B"/>
    <w:rsid w:val="009E7289"/>
    <w:rsid w:val="009E75FE"/>
    <w:rsid w:val="009F1276"/>
    <w:rsid w:val="009F3470"/>
    <w:rsid w:val="009F427E"/>
    <w:rsid w:val="009F42BE"/>
    <w:rsid w:val="009F5C84"/>
    <w:rsid w:val="009F6731"/>
    <w:rsid w:val="00A000D2"/>
    <w:rsid w:val="00A01725"/>
    <w:rsid w:val="00A021E6"/>
    <w:rsid w:val="00A02D6C"/>
    <w:rsid w:val="00A04395"/>
    <w:rsid w:val="00A04F40"/>
    <w:rsid w:val="00A06408"/>
    <w:rsid w:val="00A070CA"/>
    <w:rsid w:val="00A121E4"/>
    <w:rsid w:val="00A1250A"/>
    <w:rsid w:val="00A145C1"/>
    <w:rsid w:val="00A1480C"/>
    <w:rsid w:val="00A1758E"/>
    <w:rsid w:val="00A21D3C"/>
    <w:rsid w:val="00A21E90"/>
    <w:rsid w:val="00A224E9"/>
    <w:rsid w:val="00A22EDA"/>
    <w:rsid w:val="00A2353B"/>
    <w:rsid w:val="00A24C04"/>
    <w:rsid w:val="00A26E25"/>
    <w:rsid w:val="00A31244"/>
    <w:rsid w:val="00A31E0F"/>
    <w:rsid w:val="00A333E3"/>
    <w:rsid w:val="00A33B81"/>
    <w:rsid w:val="00A35B55"/>
    <w:rsid w:val="00A36DD3"/>
    <w:rsid w:val="00A37BAB"/>
    <w:rsid w:val="00A418EA"/>
    <w:rsid w:val="00A41EB3"/>
    <w:rsid w:val="00A42485"/>
    <w:rsid w:val="00A424F2"/>
    <w:rsid w:val="00A4279D"/>
    <w:rsid w:val="00A42C1A"/>
    <w:rsid w:val="00A4440B"/>
    <w:rsid w:val="00A44DDF"/>
    <w:rsid w:val="00A452B3"/>
    <w:rsid w:val="00A45A9C"/>
    <w:rsid w:val="00A51210"/>
    <w:rsid w:val="00A5155D"/>
    <w:rsid w:val="00A53C59"/>
    <w:rsid w:val="00A55110"/>
    <w:rsid w:val="00A55CBD"/>
    <w:rsid w:val="00A5655A"/>
    <w:rsid w:val="00A566A9"/>
    <w:rsid w:val="00A56E93"/>
    <w:rsid w:val="00A56FF1"/>
    <w:rsid w:val="00A601AE"/>
    <w:rsid w:val="00A62B7C"/>
    <w:rsid w:val="00A63960"/>
    <w:rsid w:val="00A64ACA"/>
    <w:rsid w:val="00A65B9D"/>
    <w:rsid w:val="00A66019"/>
    <w:rsid w:val="00A66841"/>
    <w:rsid w:val="00A703EF"/>
    <w:rsid w:val="00A7066B"/>
    <w:rsid w:val="00A70B43"/>
    <w:rsid w:val="00A72162"/>
    <w:rsid w:val="00A7253F"/>
    <w:rsid w:val="00A72F3C"/>
    <w:rsid w:val="00A73BBF"/>
    <w:rsid w:val="00A768EF"/>
    <w:rsid w:val="00A804F1"/>
    <w:rsid w:val="00A818A5"/>
    <w:rsid w:val="00A83754"/>
    <w:rsid w:val="00A838E0"/>
    <w:rsid w:val="00A84DBC"/>
    <w:rsid w:val="00A86CE2"/>
    <w:rsid w:val="00A86DD3"/>
    <w:rsid w:val="00A8727F"/>
    <w:rsid w:val="00A8732C"/>
    <w:rsid w:val="00A87D6A"/>
    <w:rsid w:val="00A87F0E"/>
    <w:rsid w:val="00A90A7D"/>
    <w:rsid w:val="00A90E29"/>
    <w:rsid w:val="00A91B86"/>
    <w:rsid w:val="00A91BDB"/>
    <w:rsid w:val="00A9236A"/>
    <w:rsid w:val="00A929DF"/>
    <w:rsid w:val="00A93089"/>
    <w:rsid w:val="00A94055"/>
    <w:rsid w:val="00A94122"/>
    <w:rsid w:val="00A94131"/>
    <w:rsid w:val="00A94C74"/>
    <w:rsid w:val="00A95195"/>
    <w:rsid w:val="00A95685"/>
    <w:rsid w:val="00A95925"/>
    <w:rsid w:val="00A972BE"/>
    <w:rsid w:val="00A97ADF"/>
    <w:rsid w:val="00AA0799"/>
    <w:rsid w:val="00AA176C"/>
    <w:rsid w:val="00AA1EE4"/>
    <w:rsid w:val="00AA4717"/>
    <w:rsid w:val="00AA5B4C"/>
    <w:rsid w:val="00AA5DDA"/>
    <w:rsid w:val="00AA63BD"/>
    <w:rsid w:val="00AA76CE"/>
    <w:rsid w:val="00AA79AB"/>
    <w:rsid w:val="00AB37D4"/>
    <w:rsid w:val="00AB3CBB"/>
    <w:rsid w:val="00AB44D4"/>
    <w:rsid w:val="00AB56F4"/>
    <w:rsid w:val="00AB674D"/>
    <w:rsid w:val="00AB718F"/>
    <w:rsid w:val="00AB755F"/>
    <w:rsid w:val="00AC0988"/>
    <w:rsid w:val="00AC1111"/>
    <w:rsid w:val="00AC4C5D"/>
    <w:rsid w:val="00AC6233"/>
    <w:rsid w:val="00AC67E0"/>
    <w:rsid w:val="00AC6BED"/>
    <w:rsid w:val="00AC79DB"/>
    <w:rsid w:val="00AD07F3"/>
    <w:rsid w:val="00AD2023"/>
    <w:rsid w:val="00AD2067"/>
    <w:rsid w:val="00AD276B"/>
    <w:rsid w:val="00AD53DB"/>
    <w:rsid w:val="00AD6A7E"/>
    <w:rsid w:val="00AD7BBD"/>
    <w:rsid w:val="00AE01E2"/>
    <w:rsid w:val="00AE10F0"/>
    <w:rsid w:val="00AE4F0E"/>
    <w:rsid w:val="00AE5545"/>
    <w:rsid w:val="00AE6C6F"/>
    <w:rsid w:val="00AF082B"/>
    <w:rsid w:val="00AF1DFB"/>
    <w:rsid w:val="00AF2E68"/>
    <w:rsid w:val="00AF43EF"/>
    <w:rsid w:val="00AF471A"/>
    <w:rsid w:val="00AF4A19"/>
    <w:rsid w:val="00AF59DF"/>
    <w:rsid w:val="00AF6811"/>
    <w:rsid w:val="00AF6ED7"/>
    <w:rsid w:val="00AF7C1E"/>
    <w:rsid w:val="00B00440"/>
    <w:rsid w:val="00B0047A"/>
    <w:rsid w:val="00B00511"/>
    <w:rsid w:val="00B02488"/>
    <w:rsid w:val="00B02895"/>
    <w:rsid w:val="00B03895"/>
    <w:rsid w:val="00B03ABA"/>
    <w:rsid w:val="00B05329"/>
    <w:rsid w:val="00B05519"/>
    <w:rsid w:val="00B06471"/>
    <w:rsid w:val="00B0674E"/>
    <w:rsid w:val="00B11455"/>
    <w:rsid w:val="00B135CC"/>
    <w:rsid w:val="00B13776"/>
    <w:rsid w:val="00B137D4"/>
    <w:rsid w:val="00B1385A"/>
    <w:rsid w:val="00B1549E"/>
    <w:rsid w:val="00B175EE"/>
    <w:rsid w:val="00B17E2E"/>
    <w:rsid w:val="00B203FE"/>
    <w:rsid w:val="00B21746"/>
    <w:rsid w:val="00B227B3"/>
    <w:rsid w:val="00B26555"/>
    <w:rsid w:val="00B30274"/>
    <w:rsid w:val="00B31646"/>
    <w:rsid w:val="00B31926"/>
    <w:rsid w:val="00B31F04"/>
    <w:rsid w:val="00B32D67"/>
    <w:rsid w:val="00B335B7"/>
    <w:rsid w:val="00B342AE"/>
    <w:rsid w:val="00B35584"/>
    <w:rsid w:val="00B36899"/>
    <w:rsid w:val="00B37693"/>
    <w:rsid w:val="00B37A31"/>
    <w:rsid w:val="00B37C80"/>
    <w:rsid w:val="00B408F2"/>
    <w:rsid w:val="00B41F16"/>
    <w:rsid w:val="00B42464"/>
    <w:rsid w:val="00B44F8F"/>
    <w:rsid w:val="00B45CCE"/>
    <w:rsid w:val="00B46200"/>
    <w:rsid w:val="00B47239"/>
    <w:rsid w:val="00B50150"/>
    <w:rsid w:val="00B5073C"/>
    <w:rsid w:val="00B50F15"/>
    <w:rsid w:val="00B50FFD"/>
    <w:rsid w:val="00B5153B"/>
    <w:rsid w:val="00B51C42"/>
    <w:rsid w:val="00B527EE"/>
    <w:rsid w:val="00B52E62"/>
    <w:rsid w:val="00B531AF"/>
    <w:rsid w:val="00B53CED"/>
    <w:rsid w:val="00B54895"/>
    <w:rsid w:val="00B55D7B"/>
    <w:rsid w:val="00B560BF"/>
    <w:rsid w:val="00B56243"/>
    <w:rsid w:val="00B5637F"/>
    <w:rsid w:val="00B57104"/>
    <w:rsid w:val="00B572DD"/>
    <w:rsid w:val="00B6042C"/>
    <w:rsid w:val="00B60A31"/>
    <w:rsid w:val="00B6184C"/>
    <w:rsid w:val="00B62C64"/>
    <w:rsid w:val="00B64F3D"/>
    <w:rsid w:val="00B653DD"/>
    <w:rsid w:val="00B65EA4"/>
    <w:rsid w:val="00B67E24"/>
    <w:rsid w:val="00B71E79"/>
    <w:rsid w:val="00B71EEE"/>
    <w:rsid w:val="00B72BE6"/>
    <w:rsid w:val="00B73441"/>
    <w:rsid w:val="00B7376B"/>
    <w:rsid w:val="00B746D5"/>
    <w:rsid w:val="00B76096"/>
    <w:rsid w:val="00B766AC"/>
    <w:rsid w:val="00B76C9F"/>
    <w:rsid w:val="00B7787D"/>
    <w:rsid w:val="00B816A4"/>
    <w:rsid w:val="00B821BC"/>
    <w:rsid w:val="00B82CFC"/>
    <w:rsid w:val="00B82E05"/>
    <w:rsid w:val="00B857BF"/>
    <w:rsid w:val="00B857E7"/>
    <w:rsid w:val="00B87AF1"/>
    <w:rsid w:val="00B87E6E"/>
    <w:rsid w:val="00B924B2"/>
    <w:rsid w:val="00B93823"/>
    <w:rsid w:val="00B93DD2"/>
    <w:rsid w:val="00B94DBB"/>
    <w:rsid w:val="00B96541"/>
    <w:rsid w:val="00B96B86"/>
    <w:rsid w:val="00B96EB5"/>
    <w:rsid w:val="00BA0E71"/>
    <w:rsid w:val="00BA16CB"/>
    <w:rsid w:val="00BA1D50"/>
    <w:rsid w:val="00BA254F"/>
    <w:rsid w:val="00BA28A3"/>
    <w:rsid w:val="00BA3406"/>
    <w:rsid w:val="00BA4025"/>
    <w:rsid w:val="00BA5865"/>
    <w:rsid w:val="00BA5EB3"/>
    <w:rsid w:val="00BA735B"/>
    <w:rsid w:val="00BB00BF"/>
    <w:rsid w:val="00BB3AE9"/>
    <w:rsid w:val="00BB411A"/>
    <w:rsid w:val="00BB4836"/>
    <w:rsid w:val="00BB68C2"/>
    <w:rsid w:val="00BB7F49"/>
    <w:rsid w:val="00BC07E3"/>
    <w:rsid w:val="00BC2EE9"/>
    <w:rsid w:val="00BC3F0A"/>
    <w:rsid w:val="00BC548E"/>
    <w:rsid w:val="00BC5601"/>
    <w:rsid w:val="00BC6DEA"/>
    <w:rsid w:val="00BC6F42"/>
    <w:rsid w:val="00BC7037"/>
    <w:rsid w:val="00BD078A"/>
    <w:rsid w:val="00BD173F"/>
    <w:rsid w:val="00BD2612"/>
    <w:rsid w:val="00BD3AF5"/>
    <w:rsid w:val="00BD5020"/>
    <w:rsid w:val="00BE0C7D"/>
    <w:rsid w:val="00BE15C3"/>
    <w:rsid w:val="00BE2215"/>
    <w:rsid w:val="00BE46C3"/>
    <w:rsid w:val="00BE6A3B"/>
    <w:rsid w:val="00BE6AF7"/>
    <w:rsid w:val="00BF14EB"/>
    <w:rsid w:val="00BF219E"/>
    <w:rsid w:val="00BF227D"/>
    <w:rsid w:val="00BF2A32"/>
    <w:rsid w:val="00BF3A3B"/>
    <w:rsid w:val="00BF3EB8"/>
    <w:rsid w:val="00BF5987"/>
    <w:rsid w:val="00BF6053"/>
    <w:rsid w:val="00C00781"/>
    <w:rsid w:val="00C01A2C"/>
    <w:rsid w:val="00C03481"/>
    <w:rsid w:val="00C03A27"/>
    <w:rsid w:val="00C05F6A"/>
    <w:rsid w:val="00C062C6"/>
    <w:rsid w:val="00C077C5"/>
    <w:rsid w:val="00C101A2"/>
    <w:rsid w:val="00C12747"/>
    <w:rsid w:val="00C1341B"/>
    <w:rsid w:val="00C15727"/>
    <w:rsid w:val="00C165EE"/>
    <w:rsid w:val="00C16D98"/>
    <w:rsid w:val="00C176A1"/>
    <w:rsid w:val="00C17D2A"/>
    <w:rsid w:val="00C20A0C"/>
    <w:rsid w:val="00C20DFA"/>
    <w:rsid w:val="00C21244"/>
    <w:rsid w:val="00C23CAC"/>
    <w:rsid w:val="00C26575"/>
    <w:rsid w:val="00C315CF"/>
    <w:rsid w:val="00C31D52"/>
    <w:rsid w:val="00C32B23"/>
    <w:rsid w:val="00C340A8"/>
    <w:rsid w:val="00C34315"/>
    <w:rsid w:val="00C345E2"/>
    <w:rsid w:val="00C351DF"/>
    <w:rsid w:val="00C374A8"/>
    <w:rsid w:val="00C37E89"/>
    <w:rsid w:val="00C40B9E"/>
    <w:rsid w:val="00C40E53"/>
    <w:rsid w:val="00C410EA"/>
    <w:rsid w:val="00C4258C"/>
    <w:rsid w:val="00C43D5B"/>
    <w:rsid w:val="00C43FFD"/>
    <w:rsid w:val="00C44077"/>
    <w:rsid w:val="00C445B4"/>
    <w:rsid w:val="00C44C53"/>
    <w:rsid w:val="00C44FB1"/>
    <w:rsid w:val="00C453E4"/>
    <w:rsid w:val="00C50D3D"/>
    <w:rsid w:val="00C512D7"/>
    <w:rsid w:val="00C53A10"/>
    <w:rsid w:val="00C53AF6"/>
    <w:rsid w:val="00C54205"/>
    <w:rsid w:val="00C5426D"/>
    <w:rsid w:val="00C55246"/>
    <w:rsid w:val="00C55ECA"/>
    <w:rsid w:val="00C56DEE"/>
    <w:rsid w:val="00C601C0"/>
    <w:rsid w:val="00C601EF"/>
    <w:rsid w:val="00C617D5"/>
    <w:rsid w:val="00C61EA6"/>
    <w:rsid w:val="00C62349"/>
    <w:rsid w:val="00C627EC"/>
    <w:rsid w:val="00C62FC4"/>
    <w:rsid w:val="00C634A4"/>
    <w:rsid w:val="00C64762"/>
    <w:rsid w:val="00C647EB"/>
    <w:rsid w:val="00C651DE"/>
    <w:rsid w:val="00C66AF5"/>
    <w:rsid w:val="00C66FAA"/>
    <w:rsid w:val="00C71C05"/>
    <w:rsid w:val="00C7281E"/>
    <w:rsid w:val="00C73966"/>
    <w:rsid w:val="00C73AB1"/>
    <w:rsid w:val="00C74599"/>
    <w:rsid w:val="00C75916"/>
    <w:rsid w:val="00C76009"/>
    <w:rsid w:val="00C770E8"/>
    <w:rsid w:val="00C7781B"/>
    <w:rsid w:val="00C77CE4"/>
    <w:rsid w:val="00C77EA4"/>
    <w:rsid w:val="00C81657"/>
    <w:rsid w:val="00C837A5"/>
    <w:rsid w:val="00C83BF0"/>
    <w:rsid w:val="00C86549"/>
    <w:rsid w:val="00C8795E"/>
    <w:rsid w:val="00C87B10"/>
    <w:rsid w:val="00C900E8"/>
    <w:rsid w:val="00C902B4"/>
    <w:rsid w:val="00C93473"/>
    <w:rsid w:val="00C934D9"/>
    <w:rsid w:val="00C93729"/>
    <w:rsid w:val="00C93AEA"/>
    <w:rsid w:val="00C9408A"/>
    <w:rsid w:val="00C95C00"/>
    <w:rsid w:val="00C97454"/>
    <w:rsid w:val="00CA0729"/>
    <w:rsid w:val="00CA175B"/>
    <w:rsid w:val="00CA1B88"/>
    <w:rsid w:val="00CA3639"/>
    <w:rsid w:val="00CA3666"/>
    <w:rsid w:val="00CA3C66"/>
    <w:rsid w:val="00CA4D3C"/>
    <w:rsid w:val="00CA4DAE"/>
    <w:rsid w:val="00CA4F47"/>
    <w:rsid w:val="00CA552B"/>
    <w:rsid w:val="00CB023D"/>
    <w:rsid w:val="00CB214C"/>
    <w:rsid w:val="00CB2B1C"/>
    <w:rsid w:val="00CB4C42"/>
    <w:rsid w:val="00CB4DEE"/>
    <w:rsid w:val="00CB5250"/>
    <w:rsid w:val="00CB6594"/>
    <w:rsid w:val="00CC03A3"/>
    <w:rsid w:val="00CC100C"/>
    <w:rsid w:val="00CC2B48"/>
    <w:rsid w:val="00CC3715"/>
    <w:rsid w:val="00CC3731"/>
    <w:rsid w:val="00CC5019"/>
    <w:rsid w:val="00CC5BBC"/>
    <w:rsid w:val="00CC63B3"/>
    <w:rsid w:val="00CC68F4"/>
    <w:rsid w:val="00CD1B53"/>
    <w:rsid w:val="00CD2375"/>
    <w:rsid w:val="00CD23BF"/>
    <w:rsid w:val="00CD2A4C"/>
    <w:rsid w:val="00CD393B"/>
    <w:rsid w:val="00CD3FB5"/>
    <w:rsid w:val="00CD4043"/>
    <w:rsid w:val="00CD6850"/>
    <w:rsid w:val="00CE09F7"/>
    <w:rsid w:val="00CE1D17"/>
    <w:rsid w:val="00CE3BFA"/>
    <w:rsid w:val="00CE4787"/>
    <w:rsid w:val="00CE4AC6"/>
    <w:rsid w:val="00CE4CD6"/>
    <w:rsid w:val="00CE4E9B"/>
    <w:rsid w:val="00CE4FE8"/>
    <w:rsid w:val="00CE52BC"/>
    <w:rsid w:val="00CE63CE"/>
    <w:rsid w:val="00CE6F13"/>
    <w:rsid w:val="00CF2799"/>
    <w:rsid w:val="00CF31DA"/>
    <w:rsid w:val="00CF3556"/>
    <w:rsid w:val="00CF3B17"/>
    <w:rsid w:val="00CF3EC2"/>
    <w:rsid w:val="00CF4180"/>
    <w:rsid w:val="00CF4A35"/>
    <w:rsid w:val="00CF5B53"/>
    <w:rsid w:val="00CF6472"/>
    <w:rsid w:val="00CF6DFA"/>
    <w:rsid w:val="00CF70FE"/>
    <w:rsid w:val="00CF7646"/>
    <w:rsid w:val="00D004EE"/>
    <w:rsid w:val="00D00859"/>
    <w:rsid w:val="00D00DBC"/>
    <w:rsid w:val="00D0200E"/>
    <w:rsid w:val="00D04814"/>
    <w:rsid w:val="00D0546F"/>
    <w:rsid w:val="00D05BCE"/>
    <w:rsid w:val="00D13F4E"/>
    <w:rsid w:val="00D1442D"/>
    <w:rsid w:val="00D14BF2"/>
    <w:rsid w:val="00D165B9"/>
    <w:rsid w:val="00D16AAD"/>
    <w:rsid w:val="00D17912"/>
    <w:rsid w:val="00D17CD8"/>
    <w:rsid w:val="00D222AE"/>
    <w:rsid w:val="00D22D46"/>
    <w:rsid w:val="00D233DC"/>
    <w:rsid w:val="00D2628B"/>
    <w:rsid w:val="00D2662A"/>
    <w:rsid w:val="00D30690"/>
    <w:rsid w:val="00D33801"/>
    <w:rsid w:val="00D34511"/>
    <w:rsid w:val="00D348F9"/>
    <w:rsid w:val="00D35194"/>
    <w:rsid w:val="00D3567E"/>
    <w:rsid w:val="00D37806"/>
    <w:rsid w:val="00D37EEF"/>
    <w:rsid w:val="00D40C7C"/>
    <w:rsid w:val="00D4122B"/>
    <w:rsid w:val="00D41B45"/>
    <w:rsid w:val="00D41EDB"/>
    <w:rsid w:val="00D4295B"/>
    <w:rsid w:val="00D42BEF"/>
    <w:rsid w:val="00D42D9E"/>
    <w:rsid w:val="00D43133"/>
    <w:rsid w:val="00D4331E"/>
    <w:rsid w:val="00D43AB8"/>
    <w:rsid w:val="00D45791"/>
    <w:rsid w:val="00D458F7"/>
    <w:rsid w:val="00D46497"/>
    <w:rsid w:val="00D47278"/>
    <w:rsid w:val="00D47750"/>
    <w:rsid w:val="00D5140E"/>
    <w:rsid w:val="00D51DF4"/>
    <w:rsid w:val="00D528C4"/>
    <w:rsid w:val="00D53768"/>
    <w:rsid w:val="00D53BF8"/>
    <w:rsid w:val="00D541AD"/>
    <w:rsid w:val="00D546F3"/>
    <w:rsid w:val="00D5530F"/>
    <w:rsid w:val="00D56275"/>
    <w:rsid w:val="00D56EF3"/>
    <w:rsid w:val="00D57714"/>
    <w:rsid w:val="00D5789F"/>
    <w:rsid w:val="00D57E69"/>
    <w:rsid w:val="00D60694"/>
    <w:rsid w:val="00D60A54"/>
    <w:rsid w:val="00D61A28"/>
    <w:rsid w:val="00D633A1"/>
    <w:rsid w:val="00D63B0E"/>
    <w:rsid w:val="00D63CD2"/>
    <w:rsid w:val="00D63FAE"/>
    <w:rsid w:val="00D646C6"/>
    <w:rsid w:val="00D65067"/>
    <w:rsid w:val="00D65F9C"/>
    <w:rsid w:val="00D665E1"/>
    <w:rsid w:val="00D70266"/>
    <w:rsid w:val="00D7073F"/>
    <w:rsid w:val="00D717F0"/>
    <w:rsid w:val="00D73440"/>
    <w:rsid w:val="00D73EDA"/>
    <w:rsid w:val="00D73F1E"/>
    <w:rsid w:val="00D746EF"/>
    <w:rsid w:val="00D748AA"/>
    <w:rsid w:val="00D75903"/>
    <w:rsid w:val="00D766E7"/>
    <w:rsid w:val="00D77B64"/>
    <w:rsid w:val="00D80174"/>
    <w:rsid w:val="00D81087"/>
    <w:rsid w:val="00D81413"/>
    <w:rsid w:val="00D822C8"/>
    <w:rsid w:val="00D830A1"/>
    <w:rsid w:val="00D8552B"/>
    <w:rsid w:val="00D860B3"/>
    <w:rsid w:val="00D8645B"/>
    <w:rsid w:val="00D8707A"/>
    <w:rsid w:val="00D90321"/>
    <w:rsid w:val="00D903FC"/>
    <w:rsid w:val="00D90930"/>
    <w:rsid w:val="00D91837"/>
    <w:rsid w:val="00D923D1"/>
    <w:rsid w:val="00D9676A"/>
    <w:rsid w:val="00DA05B7"/>
    <w:rsid w:val="00DA1BA4"/>
    <w:rsid w:val="00DA29A6"/>
    <w:rsid w:val="00DA31E3"/>
    <w:rsid w:val="00DA3349"/>
    <w:rsid w:val="00DA3855"/>
    <w:rsid w:val="00DA4F13"/>
    <w:rsid w:val="00DA54EE"/>
    <w:rsid w:val="00DA5BA4"/>
    <w:rsid w:val="00DA6F85"/>
    <w:rsid w:val="00DA76DA"/>
    <w:rsid w:val="00DB2020"/>
    <w:rsid w:val="00DB2E43"/>
    <w:rsid w:val="00DB3598"/>
    <w:rsid w:val="00DB4B9B"/>
    <w:rsid w:val="00DB4EA2"/>
    <w:rsid w:val="00DB5B74"/>
    <w:rsid w:val="00DB6013"/>
    <w:rsid w:val="00DB64AE"/>
    <w:rsid w:val="00DB6C33"/>
    <w:rsid w:val="00DC0507"/>
    <w:rsid w:val="00DC2956"/>
    <w:rsid w:val="00DC44B8"/>
    <w:rsid w:val="00DC5C9A"/>
    <w:rsid w:val="00DC6C48"/>
    <w:rsid w:val="00DC6DE6"/>
    <w:rsid w:val="00DC7DB2"/>
    <w:rsid w:val="00DD03FF"/>
    <w:rsid w:val="00DD1F18"/>
    <w:rsid w:val="00DD29F7"/>
    <w:rsid w:val="00DD366F"/>
    <w:rsid w:val="00DD367C"/>
    <w:rsid w:val="00DD4B83"/>
    <w:rsid w:val="00DD5325"/>
    <w:rsid w:val="00DD5533"/>
    <w:rsid w:val="00DD5FC7"/>
    <w:rsid w:val="00DE07C0"/>
    <w:rsid w:val="00DE0C05"/>
    <w:rsid w:val="00DE13BF"/>
    <w:rsid w:val="00DE180B"/>
    <w:rsid w:val="00DE3CB0"/>
    <w:rsid w:val="00DE46CA"/>
    <w:rsid w:val="00DE4E15"/>
    <w:rsid w:val="00DE503F"/>
    <w:rsid w:val="00DE50A3"/>
    <w:rsid w:val="00DE5925"/>
    <w:rsid w:val="00DE7D9A"/>
    <w:rsid w:val="00DF07E6"/>
    <w:rsid w:val="00DF09BB"/>
    <w:rsid w:val="00DF0B50"/>
    <w:rsid w:val="00DF1937"/>
    <w:rsid w:val="00DF246F"/>
    <w:rsid w:val="00DF29FD"/>
    <w:rsid w:val="00DF2CA0"/>
    <w:rsid w:val="00DF3AFA"/>
    <w:rsid w:val="00DF3F1E"/>
    <w:rsid w:val="00DF4D9B"/>
    <w:rsid w:val="00DF68D4"/>
    <w:rsid w:val="00DF7A5B"/>
    <w:rsid w:val="00E00751"/>
    <w:rsid w:val="00E00B31"/>
    <w:rsid w:val="00E016B7"/>
    <w:rsid w:val="00E02606"/>
    <w:rsid w:val="00E02959"/>
    <w:rsid w:val="00E02F58"/>
    <w:rsid w:val="00E03137"/>
    <w:rsid w:val="00E0327B"/>
    <w:rsid w:val="00E04298"/>
    <w:rsid w:val="00E04BC0"/>
    <w:rsid w:val="00E11367"/>
    <w:rsid w:val="00E113CD"/>
    <w:rsid w:val="00E13E09"/>
    <w:rsid w:val="00E1438F"/>
    <w:rsid w:val="00E150B2"/>
    <w:rsid w:val="00E1553F"/>
    <w:rsid w:val="00E16807"/>
    <w:rsid w:val="00E1707B"/>
    <w:rsid w:val="00E20211"/>
    <w:rsid w:val="00E206E7"/>
    <w:rsid w:val="00E21BF9"/>
    <w:rsid w:val="00E21FB0"/>
    <w:rsid w:val="00E2290F"/>
    <w:rsid w:val="00E22A53"/>
    <w:rsid w:val="00E23290"/>
    <w:rsid w:val="00E23506"/>
    <w:rsid w:val="00E2499A"/>
    <w:rsid w:val="00E25F36"/>
    <w:rsid w:val="00E26143"/>
    <w:rsid w:val="00E279B4"/>
    <w:rsid w:val="00E30137"/>
    <w:rsid w:val="00E30480"/>
    <w:rsid w:val="00E306D9"/>
    <w:rsid w:val="00E307C3"/>
    <w:rsid w:val="00E31FC4"/>
    <w:rsid w:val="00E32539"/>
    <w:rsid w:val="00E329F7"/>
    <w:rsid w:val="00E33783"/>
    <w:rsid w:val="00E35204"/>
    <w:rsid w:val="00E36956"/>
    <w:rsid w:val="00E369D4"/>
    <w:rsid w:val="00E37C41"/>
    <w:rsid w:val="00E37CB5"/>
    <w:rsid w:val="00E37F61"/>
    <w:rsid w:val="00E412B0"/>
    <w:rsid w:val="00E422E3"/>
    <w:rsid w:val="00E44443"/>
    <w:rsid w:val="00E450F9"/>
    <w:rsid w:val="00E460B8"/>
    <w:rsid w:val="00E4749D"/>
    <w:rsid w:val="00E47EA7"/>
    <w:rsid w:val="00E503D3"/>
    <w:rsid w:val="00E50F40"/>
    <w:rsid w:val="00E518BD"/>
    <w:rsid w:val="00E52306"/>
    <w:rsid w:val="00E5311B"/>
    <w:rsid w:val="00E537ED"/>
    <w:rsid w:val="00E53F4E"/>
    <w:rsid w:val="00E544B0"/>
    <w:rsid w:val="00E54B32"/>
    <w:rsid w:val="00E54DDB"/>
    <w:rsid w:val="00E54FEB"/>
    <w:rsid w:val="00E551C6"/>
    <w:rsid w:val="00E56100"/>
    <w:rsid w:val="00E5630E"/>
    <w:rsid w:val="00E57ADF"/>
    <w:rsid w:val="00E57F2D"/>
    <w:rsid w:val="00E6029B"/>
    <w:rsid w:val="00E647E8"/>
    <w:rsid w:val="00E66A5F"/>
    <w:rsid w:val="00E70698"/>
    <w:rsid w:val="00E70D35"/>
    <w:rsid w:val="00E710FD"/>
    <w:rsid w:val="00E714EA"/>
    <w:rsid w:val="00E7277F"/>
    <w:rsid w:val="00E73222"/>
    <w:rsid w:val="00E7427B"/>
    <w:rsid w:val="00E74806"/>
    <w:rsid w:val="00E75AC9"/>
    <w:rsid w:val="00E82E81"/>
    <w:rsid w:val="00E84227"/>
    <w:rsid w:val="00E856BB"/>
    <w:rsid w:val="00E85C7B"/>
    <w:rsid w:val="00E85CA1"/>
    <w:rsid w:val="00E8662A"/>
    <w:rsid w:val="00E8678F"/>
    <w:rsid w:val="00E8777C"/>
    <w:rsid w:val="00E90E4D"/>
    <w:rsid w:val="00E93147"/>
    <w:rsid w:val="00E9374D"/>
    <w:rsid w:val="00E93B82"/>
    <w:rsid w:val="00E93C6E"/>
    <w:rsid w:val="00E949B3"/>
    <w:rsid w:val="00E95CEB"/>
    <w:rsid w:val="00EA04D7"/>
    <w:rsid w:val="00EA11AA"/>
    <w:rsid w:val="00EA4854"/>
    <w:rsid w:val="00EA72A7"/>
    <w:rsid w:val="00EA7C77"/>
    <w:rsid w:val="00EB02F2"/>
    <w:rsid w:val="00EB0364"/>
    <w:rsid w:val="00EB101C"/>
    <w:rsid w:val="00EB10CB"/>
    <w:rsid w:val="00EB13D7"/>
    <w:rsid w:val="00EB231E"/>
    <w:rsid w:val="00EB3D23"/>
    <w:rsid w:val="00EB5D38"/>
    <w:rsid w:val="00EC1867"/>
    <w:rsid w:val="00EC1CB7"/>
    <w:rsid w:val="00EC2441"/>
    <w:rsid w:val="00EC25FE"/>
    <w:rsid w:val="00EC3EBF"/>
    <w:rsid w:val="00EC4601"/>
    <w:rsid w:val="00EC47AA"/>
    <w:rsid w:val="00EC75BE"/>
    <w:rsid w:val="00EC7BF8"/>
    <w:rsid w:val="00ED223B"/>
    <w:rsid w:val="00ED25A0"/>
    <w:rsid w:val="00ED312A"/>
    <w:rsid w:val="00ED35A8"/>
    <w:rsid w:val="00ED3AB4"/>
    <w:rsid w:val="00ED48DF"/>
    <w:rsid w:val="00ED4E0B"/>
    <w:rsid w:val="00ED54A9"/>
    <w:rsid w:val="00ED68BA"/>
    <w:rsid w:val="00ED7C58"/>
    <w:rsid w:val="00EE04E0"/>
    <w:rsid w:val="00EE0BC5"/>
    <w:rsid w:val="00EE1856"/>
    <w:rsid w:val="00EE194F"/>
    <w:rsid w:val="00EE279E"/>
    <w:rsid w:val="00EE411F"/>
    <w:rsid w:val="00EE4123"/>
    <w:rsid w:val="00EE4E15"/>
    <w:rsid w:val="00EE5877"/>
    <w:rsid w:val="00EE5C0C"/>
    <w:rsid w:val="00EE727E"/>
    <w:rsid w:val="00EE794C"/>
    <w:rsid w:val="00EF149A"/>
    <w:rsid w:val="00EF17ED"/>
    <w:rsid w:val="00EF1A8B"/>
    <w:rsid w:val="00EF22EB"/>
    <w:rsid w:val="00EF24FB"/>
    <w:rsid w:val="00EF2C68"/>
    <w:rsid w:val="00EF4280"/>
    <w:rsid w:val="00EF514D"/>
    <w:rsid w:val="00EF5B79"/>
    <w:rsid w:val="00EF7069"/>
    <w:rsid w:val="00EF7E99"/>
    <w:rsid w:val="00F005B1"/>
    <w:rsid w:val="00F0067C"/>
    <w:rsid w:val="00F00A14"/>
    <w:rsid w:val="00F02A20"/>
    <w:rsid w:val="00F02F05"/>
    <w:rsid w:val="00F04592"/>
    <w:rsid w:val="00F07BCD"/>
    <w:rsid w:val="00F106D8"/>
    <w:rsid w:val="00F11668"/>
    <w:rsid w:val="00F129E8"/>
    <w:rsid w:val="00F147FD"/>
    <w:rsid w:val="00F14A20"/>
    <w:rsid w:val="00F14B1A"/>
    <w:rsid w:val="00F14B51"/>
    <w:rsid w:val="00F14C99"/>
    <w:rsid w:val="00F15152"/>
    <w:rsid w:val="00F1555B"/>
    <w:rsid w:val="00F15BAA"/>
    <w:rsid w:val="00F204AC"/>
    <w:rsid w:val="00F226A3"/>
    <w:rsid w:val="00F22BB2"/>
    <w:rsid w:val="00F23EF0"/>
    <w:rsid w:val="00F2548A"/>
    <w:rsid w:val="00F266A1"/>
    <w:rsid w:val="00F267FE"/>
    <w:rsid w:val="00F27A91"/>
    <w:rsid w:val="00F32158"/>
    <w:rsid w:val="00F32C5F"/>
    <w:rsid w:val="00F32DC8"/>
    <w:rsid w:val="00F32EB7"/>
    <w:rsid w:val="00F342E7"/>
    <w:rsid w:val="00F34393"/>
    <w:rsid w:val="00F3497F"/>
    <w:rsid w:val="00F34D8F"/>
    <w:rsid w:val="00F40C0D"/>
    <w:rsid w:val="00F4192C"/>
    <w:rsid w:val="00F41C69"/>
    <w:rsid w:val="00F42585"/>
    <w:rsid w:val="00F425A0"/>
    <w:rsid w:val="00F42F36"/>
    <w:rsid w:val="00F43680"/>
    <w:rsid w:val="00F44465"/>
    <w:rsid w:val="00F45591"/>
    <w:rsid w:val="00F45ABB"/>
    <w:rsid w:val="00F467F3"/>
    <w:rsid w:val="00F47179"/>
    <w:rsid w:val="00F5090E"/>
    <w:rsid w:val="00F50B05"/>
    <w:rsid w:val="00F51757"/>
    <w:rsid w:val="00F51935"/>
    <w:rsid w:val="00F52486"/>
    <w:rsid w:val="00F551F8"/>
    <w:rsid w:val="00F55529"/>
    <w:rsid w:val="00F561E6"/>
    <w:rsid w:val="00F564F3"/>
    <w:rsid w:val="00F56AA2"/>
    <w:rsid w:val="00F57660"/>
    <w:rsid w:val="00F57DED"/>
    <w:rsid w:val="00F61DB9"/>
    <w:rsid w:val="00F627B1"/>
    <w:rsid w:val="00F63C72"/>
    <w:rsid w:val="00F64FFF"/>
    <w:rsid w:val="00F65F33"/>
    <w:rsid w:val="00F66235"/>
    <w:rsid w:val="00F66328"/>
    <w:rsid w:val="00F6767B"/>
    <w:rsid w:val="00F701AD"/>
    <w:rsid w:val="00F70B9B"/>
    <w:rsid w:val="00F70F4A"/>
    <w:rsid w:val="00F71AD9"/>
    <w:rsid w:val="00F73607"/>
    <w:rsid w:val="00F74830"/>
    <w:rsid w:val="00F76235"/>
    <w:rsid w:val="00F779D2"/>
    <w:rsid w:val="00F8023E"/>
    <w:rsid w:val="00F81185"/>
    <w:rsid w:val="00F81957"/>
    <w:rsid w:val="00F8279A"/>
    <w:rsid w:val="00F84B11"/>
    <w:rsid w:val="00F851ED"/>
    <w:rsid w:val="00F87188"/>
    <w:rsid w:val="00F879ED"/>
    <w:rsid w:val="00F912BC"/>
    <w:rsid w:val="00F91D42"/>
    <w:rsid w:val="00F92799"/>
    <w:rsid w:val="00F92C61"/>
    <w:rsid w:val="00F9485D"/>
    <w:rsid w:val="00F94FA7"/>
    <w:rsid w:val="00F9633F"/>
    <w:rsid w:val="00F97446"/>
    <w:rsid w:val="00F97C99"/>
    <w:rsid w:val="00FA0CC6"/>
    <w:rsid w:val="00FA26E5"/>
    <w:rsid w:val="00FA3BEC"/>
    <w:rsid w:val="00FA4245"/>
    <w:rsid w:val="00FA4596"/>
    <w:rsid w:val="00FA57BF"/>
    <w:rsid w:val="00FA57CD"/>
    <w:rsid w:val="00FA5DE9"/>
    <w:rsid w:val="00FA6E14"/>
    <w:rsid w:val="00FA7928"/>
    <w:rsid w:val="00FB1690"/>
    <w:rsid w:val="00FB2724"/>
    <w:rsid w:val="00FB32F6"/>
    <w:rsid w:val="00FB388F"/>
    <w:rsid w:val="00FB3B9E"/>
    <w:rsid w:val="00FB4166"/>
    <w:rsid w:val="00FB5035"/>
    <w:rsid w:val="00FB5EA8"/>
    <w:rsid w:val="00FB7903"/>
    <w:rsid w:val="00FC0646"/>
    <w:rsid w:val="00FC0B7A"/>
    <w:rsid w:val="00FC112B"/>
    <w:rsid w:val="00FC1555"/>
    <w:rsid w:val="00FC21AE"/>
    <w:rsid w:val="00FC32B0"/>
    <w:rsid w:val="00FC375B"/>
    <w:rsid w:val="00FC3EEC"/>
    <w:rsid w:val="00FC467A"/>
    <w:rsid w:val="00FC62BA"/>
    <w:rsid w:val="00FC63B8"/>
    <w:rsid w:val="00FC7123"/>
    <w:rsid w:val="00FD0E93"/>
    <w:rsid w:val="00FD459D"/>
    <w:rsid w:val="00FD47A1"/>
    <w:rsid w:val="00FD5BF0"/>
    <w:rsid w:val="00FD6F12"/>
    <w:rsid w:val="00FD7837"/>
    <w:rsid w:val="00FE0101"/>
    <w:rsid w:val="00FE3BFF"/>
    <w:rsid w:val="00FE463F"/>
    <w:rsid w:val="00FE5122"/>
    <w:rsid w:val="00FE54A7"/>
    <w:rsid w:val="00FF12A4"/>
    <w:rsid w:val="00FF12B1"/>
    <w:rsid w:val="00FF4EED"/>
    <w:rsid w:val="00FF509B"/>
    <w:rsid w:val="00FF5914"/>
    <w:rsid w:val="00FF6656"/>
    <w:rsid w:val="00FF71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9C797"/>
  <w15:docId w15:val="{ED997848-49A5-49A0-8E10-716BDB93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27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23246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44C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175E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CD"/>
    <w:rPr>
      <w:color w:val="0000FF"/>
      <w:u w:val="single"/>
    </w:rPr>
  </w:style>
  <w:style w:type="paragraph" w:styleId="ListParagraph">
    <w:name w:val="List Paragraph"/>
    <w:basedOn w:val="Normal"/>
    <w:uiPriority w:val="34"/>
    <w:qFormat/>
    <w:rsid w:val="00967496"/>
    <w:pPr>
      <w:ind w:left="720"/>
      <w:contextualSpacing/>
    </w:pPr>
  </w:style>
  <w:style w:type="paragraph" w:styleId="FootnoteText">
    <w:name w:val="footnote text"/>
    <w:basedOn w:val="Normal"/>
    <w:link w:val="FootnoteTextChar"/>
    <w:uiPriority w:val="99"/>
    <w:unhideWhenUsed/>
    <w:rsid w:val="00844313"/>
    <w:rPr>
      <w:sz w:val="20"/>
      <w:szCs w:val="20"/>
    </w:rPr>
  </w:style>
  <w:style w:type="character" w:customStyle="1" w:styleId="FootnoteTextChar">
    <w:name w:val="Footnote Text Char"/>
    <w:basedOn w:val="DefaultParagraphFont"/>
    <w:link w:val="FootnoteText"/>
    <w:uiPriority w:val="99"/>
    <w:rsid w:val="00844313"/>
    <w:rPr>
      <w:sz w:val="20"/>
      <w:szCs w:val="20"/>
      <w:lang w:val="en-US"/>
    </w:rPr>
  </w:style>
  <w:style w:type="character" w:styleId="FootnoteReference">
    <w:name w:val="footnote reference"/>
    <w:basedOn w:val="DefaultParagraphFont"/>
    <w:uiPriority w:val="99"/>
    <w:semiHidden/>
    <w:unhideWhenUsed/>
    <w:rsid w:val="00844313"/>
    <w:rPr>
      <w:vertAlign w:val="superscript"/>
    </w:rPr>
  </w:style>
  <w:style w:type="paragraph" w:styleId="NormalWeb">
    <w:name w:val="Normal (Web)"/>
    <w:basedOn w:val="Normal"/>
    <w:uiPriority w:val="99"/>
    <w:unhideWhenUsed/>
    <w:rsid w:val="00096C64"/>
    <w:pPr>
      <w:spacing w:before="100" w:beforeAutospacing="1" w:after="100" w:afterAutospacing="1"/>
    </w:pPr>
  </w:style>
  <w:style w:type="character" w:customStyle="1" w:styleId="apple-converted-space">
    <w:name w:val="apple-converted-space"/>
    <w:basedOn w:val="DefaultParagraphFont"/>
    <w:rsid w:val="00FB4166"/>
  </w:style>
  <w:style w:type="character" w:styleId="FollowedHyperlink">
    <w:name w:val="FollowedHyperlink"/>
    <w:basedOn w:val="DefaultParagraphFont"/>
    <w:uiPriority w:val="99"/>
    <w:semiHidden/>
    <w:unhideWhenUsed/>
    <w:rsid w:val="00035EA7"/>
    <w:rPr>
      <w:color w:val="954F72" w:themeColor="followedHyperlink"/>
      <w:u w:val="single"/>
    </w:rPr>
  </w:style>
  <w:style w:type="character" w:customStyle="1" w:styleId="Heading1Char">
    <w:name w:val="Heading 1 Char"/>
    <w:basedOn w:val="DefaultParagraphFont"/>
    <w:link w:val="Heading1"/>
    <w:uiPriority w:val="9"/>
    <w:rsid w:val="0023246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B175EE"/>
    <w:rPr>
      <w:rFonts w:asciiTheme="majorHAnsi" w:eastAsiaTheme="majorEastAsia" w:hAnsiTheme="majorHAnsi" w:cstheme="majorBidi"/>
      <w:i/>
      <w:iCs/>
      <w:color w:val="2E74B5" w:themeColor="accent1" w:themeShade="BF"/>
      <w:lang w:val="en-US"/>
    </w:rPr>
  </w:style>
  <w:style w:type="paragraph" w:styleId="Header">
    <w:name w:val="header"/>
    <w:basedOn w:val="Normal"/>
    <w:link w:val="HeaderChar"/>
    <w:uiPriority w:val="99"/>
    <w:unhideWhenUsed/>
    <w:rsid w:val="00EB10CB"/>
    <w:pPr>
      <w:tabs>
        <w:tab w:val="center" w:pos="4513"/>
        <w:tab w:val="right" w:pos="9026"/>
      </w:tabs>
    </w:pPr>
  </w:style>
  <w:style w:type="character" w:customStyle="1" w:styleId="HeaderChar">
    <w:name w:val="Header Char"/>
    <w:basedOn w:val="DefaultParagraphFont"/>
    <w:link w:val="Header"/>
    <w:uiPriority w:val="99"/>
    <w:rsid w:val="00EB10CB"/>
    <w:rPr>
      <w:lang w:val="en-US"/>
    </w:rPr>
  </w:style>
  <w:style w:type="paragraph" w:styleId="Footer">
    <w:name w:val="footer"/>
    <w:basedOn w:val="Normal"/>
    <w:link w:val="FooterChar"/>
    <w:uiPriority w:val="99"/>
    <w:unhideWhenUsed/>
    <w:rsid w:val="00EB10CB"/>
    <w:pPr>
      <w:tabs>
        <w:tab w:val="center" w:pos="4513"/>
        <w:tab w:val="right" w:pos="9026"/>
      </w:tabs>
    </w:pPr>
  </w:style>
  <w:style w:type="character" w:customStyle="1" w:styleId="FooterChar">
    <w:name w:val="Footer Char"/>
    <w:basedOn w:val="DefaultParagraphFont"/>
    <w:link w:val="Footer"/>
    <w:uiPriority w:val="99"/>
    <w:rsid w:val="00EB10CB"/>
    <w:rPr>
      <w:lang w:val="en-US"/>
    </w:rPr>
  </w:style>
  <w:style w:type="table" w:styleId="TableGrid">
    <w:name w:val="Table Grid"/>
    <w:basedOn w:val="TableNormal"/>
    <w:uiPriority w:val="39"/>
    <w:rsid w:val="001900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6D3"/>
    <w:rPr>
      <w:rFonts w:ascii="Calibri" w:hAnsi="Calibri"/>
      <w:sz w:val="18"/>
      <w:szCs w:val="18"/>
    </w:rPr>
  </w:style>
  <w:style w:type="character" w:customStyle="1" w:styleId="BalloonTextChar">
    <w:name w:val="Balloon Text Char"/>
    <w:basedOn w:val="DefaultParagraphFont"/>
    <w:link w:val="BalloonText"/>
    <w:uiPriority w:val="99"/>
    <w:semiHidden/>
    <w:rsid w:val="005A36D3"/>
    <w:rPr>
      <w:rFonts w:ascii="Calibri" w:hAnsi="Calibri"/>
      <w:sz w:val="18"/>
      <w:szCs w:val="18"/>
      <w:lang w:val="en-US"/>
    </w:rPr>
  </w:style>
  <w:style w:type="character" w:styleId="CommentReference">
    <w:name w:val="annotation reference"/>
    <w:basedOn w:val="DefaultParagraphFont"/>
    <w:uiPriority w:val="99"/>
    <w:semiHidden/>
    <w:unhideWhenUsed/>
    <w:rsid w:val="006C2541"/>
    <w:rPr>
      <w:sz w:val="16"/>
      <w:szCs w:val="16"/>
    </w:rPr>
  </w:style>
  <w:style w:type="paragraph" w:styleId="CommentText">
    <w:name w:val="annotation text"/>
    <w:basedOn w:val="Normal"/>
    <w:link w:val="CommentTextChar"/>
    <w:uiPriority w:val="99"/>
    <w:semiHidden/>
    <w:unhideWhenUsed/>
    <w:rsid w:val="006C2541"/>
    <w:rPr>
      <w:sz w:val="20"/>
      <w:szCs w:val="20"/>
    </w:rPr>
  </w:style>
  <w:style w:type="character" w:customStyle="1" w:styleId="CommentTextChar">
    <w:name w:val="Comment Text Char"/>
    <w:basedOn w:val="DefaultParagraphFont"/>
    <w:link w:val="CommentText"/>
    <w:uiPriority w:val="99"/>
    <w:semiHidden/>
    <w:rsid w:val="006C2541"/>
    <w:rPr>
      <w:sz w:val="20"/>
      <w:szCs w:val="20"/>
      <w:lang w:val="en-US"/>
    </w:rPr>
  </w:style>
  <w:style w:type="paragraph" w:styleId="CommentSubject">
    <w:name w:val="annotation subject"/>
    <w:basedOn w:val="CommentText"/>
    <w:next w:val="CommentText"/>
    <w:link w:val="CommentSubjectChar"/>
    <w:uiPriority w:val="99"/>
    <w:semiHidden/>
    <w:unhideWhenUsed/>
    <w:rsid w:val="006C2541"/>
    <w:rPr>
      <w:b/>
      <w:bCs/>
    </w:rPr>
  </w:style>
  <w:style w:type="character" w:customStyle="1" w:styleId="CommentSubjectChar">
    <w:name w:val="Comment Subject Char"/>
    <w:basedOn w:val="CommentTextChar"/>
    <w:link w:val="CommentSubject"/>
    <w:uiPriority w:val="99"/>
    <w:semiHidden/>
    <w:rsid w:val="006C2541"/>
    <w:rPr>
      <w:b/>
      <w:bCs/>
      <w:sz w:val="20"/>
      <w:szCs w:val="20"/>
      <w:lang w:val="en-US"/>
    </w:rPr>
  </w:style>
  <w:style w:type="paragraph" w:styleId="Revision">
    <w:name w:val="Revision"/>
    <w:hidden/>
    <w:uiPriority w:val="99"/>
    <w:semiHidden/>
    <w:rsid w:val="006C2541"/>
    <w:pPr>
      <w:spacing w:after="0" w:line="240" w:lineRule="auto"/>
    </w:pPr>
    <w:rPr>
      <w:lang w:val="en-US"/>
    </w:rPr>
  </w:style>
  <w:style w:type="character" w:customStyle="1" w:styleId="ms-font-s">
    <w:name w:val="ms-font-s"/>
    <w:basedOn w:val="DefaultParagraphFont"/>
    <w:rsid w:val="003C1154"/>
  </w:style>
  <w:style w:type="paragraph" w:customStyle="1" w:styleId="Default">
    <w:name w:val="Default"/>
    <w:rsid w:val="00373A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944C32"/>
    <w:rPr>
      <w:rFonts w:asciiTheme="majorHAnsi" w:eastAsiaTheme="majorEastAsia" w:hAnsiTheme="majorHAnsi" w:cstheme="majorBidi"/>
      <w:color w:val="2E74B5" w:themeColor="accent1" w:themeShade="BF"/>
      <w:sz w:val="26"/>
      <w:szCs w:val="26"/>
      <w:lang w:val="en-US"/>
    </w:rPr>
  </w:style>
  <w:style w:type="paragraph" w:customStyle="1" w:styleId="volume-issue">
    <w:name w:val="volume-issue"/>
    <w:basedOn w:val="Normal"/>
    <w:rsid w:val="00944C32"/>
    <w:pPr>
      <w:spacing w:before="100" w:beforeAutospacing="1" w:after="100" w:afterAutospacing="1"/>
    </w:pPr>
  </w:style>
  <w:style w:type="character" w:customStyle="1" w:styleId="val">
    <w:name w:val="val"/>
    <w:basedOn w:val="DefaultParagraphFont"/>
    <w:rsid w:val="00944C32"/>
  </w:style>
  <w:style w:type="paragraph" w:customStyle="1" w:styleId="page-range">
    <w:name w:val="page-range"/>
    <w:basedOn w:val="Normal"/>
    <w:rsid w:val="00944C32"/>
    <w:pPr>
      <w:spacing w:before="100" w:beforeAutospacing="1" w:after="100" w:afterAutospacing="1"/>
    </w:pPr>
  </w:style>
  <w:style w:type="character" w:customStyle="1" w:styleId="current-selection">
    <w:name w:val="current-selection"/>
    <w:basedOn w:val="DefaultParagraphFont"/>
    <w:rsid w:val="002E29AE"/>
  </w:style>
  <w:style w:type="character" w:customStyle="1" w:styleId="a">
    <w:name w:val="_"/>
    <w:basedOn w:val="DefaultParagraphFont"/>
    <w:rsid w:val="002E2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7922">
      <w:bodyDiv w:val="1"/>
      <w:marLeft w:val="0"/>
      <w:marRight w:val="0"/>
      <w:marTop w:val="0"/>
      <w:marBottom w:val="0"/>
      <w:divBdr>
        <w:top w:val="none" w:sz="0" w:space="0" w:color="auto"/>
        <w:left w:val="none" w:sz="0" w:space="0" w:color="auto"/>
        <w:bottom w:val="none" w:sz="0" w:space="0" w:color="auto"/>
        <w:right w:val="none" w:sz="0" w:space="0" w:color="auto"/>
      </w:divBdr>
    </w:div>
    <w:div w:id="75903962">
      <w:bodyDiv w:val="1"/>
      <w:marLeft w:val="0"/>
      <w:marRight w:val="0"/>
      <w:marTop w:val="0"/>
      <w:marBottom w:val="0"/>
      <w:divBdr>
        <w:top w:val="none" w:sz="0" w:space="0" w:color="auto"/>
        <w:left w:val="none" w:sz="0" w:space="0" w:color="auto"/>
        <w:bottom w:val="none" w:sz="0" w:space="0" w:color="auto"/>
        <w:right w:val="none" w:sz="0" w:space="0" w:color="auto"/>
      </w:divBdr>
    </w:div>
    <w:div w:id="110713642">
      <w:bodyDiv w:val="1"/>
      <w:marLeft w:val="0"/>
      <w:marRight w:val="0"/>
      <w:marTop w:val="0"/>
      <w:marBottom w:val="0"/>
      <w:divBdr>
        <w:top w:val="none" w:sz="0" w:space="0" w:color="auto"/>
        <w:left w:val="none" w:sz="0" w:space="0" w:color="auto"/>
        <w:bottom w:val="none" w:sz="0" w:space="0" w:color="auto"/>
        <w:right w:val="none" w:sz="0" w:space="0" w:color="auto"/>
      </w:divBdr>
      <w:divsChild>
        <w:div w:id="1992829393">
          <w:marLeft w:val="0"/>
          <w:marRight w:val="0"/>
          <w:marTop w:val="0"/>
          <w:marBottom w:val="0"/>
          <w:divBdr>
            <w:top w:val="none" w:sz="0" w:space="0" w:color="auto"/>
            <w:left w:val="none" w:sz="0" w:space="0" w:color="auto"/>
            <w:bottom w:val="none" w:sz="0" w:space="0" w:color="auto"/>
            <w:right w:val="none" w:sz="0" w:space="0" w:color="auto"/>
          </w:divBdr>
        </w:div>
        <w:div w:id="1041902182">
          <w:marLeft w:val="0"/>
          <w:marRight w:val="0"/>
          <w:marTop w:val="0"/>
          <w:marBottom w:val="0"/>
          <w:divBdr>
            <w:top w:val="none" w:sz="0" w:space="0" w:color="auto"/>
            <w:left w:val="none" w:sz="0" w:space="0" w:color="auto"/>
            <w:bottom w:val="none" w:sz="0" w:space="0" w:color="auto"/>
            <w:right w:val="none" w:sz="0" w:space="0" w:color="auto"/>
          </w:divBdr>
        </w:div>
        <w:div w:id="228611705">
          <w:marLeft w:val="0"/>
          <w:marRight w:val="0"/>
          <w:marTop w:val="0"/>
          <w:marBottom w:val="0"/>
          <w:divBdr>
            <w:top w:val="none" w:sz="0" w:space="0" w:color="auto"/>
            <w:left w:val="none" w:sz="0" w:space="0" w:color="auto"/>
            <w:bottom w:val="none" w:sz="0" w:space="0" w:color="auto"/>
            <w:right w:val="none" w:sz="0" w:space="0" w:color="auto"/>
          </w:divBdr>
        </w:div>
      </w:divsChild>
    </w:div>
    <w:div w:id="212892608">
      <w:bodyDiv w:val="1"/>
      <w:marLeft w:val="0"/>
      <w:marRight w:val="0"/>
      <w:marTop w:val="0"/>
      <w:marBottom w:val="0"/>
      <w:divBdr>
        <w:top w:val="none" w:sz="0" w:space="0" w:color="auto"/>
        <w:left w:val="none" w:sz="0" w:space="0" w:color="auto"/>
        <w:bottom w:val="none" w:sz="0" w:space="0" w:color="auto"/>
        <w:right w:val="none" w:sz="0" w:space="0" w:color="auto"/>
      </w:divBdr>
    </w:div>
    <w:div w:id="225117032">
      <w:bodyDiv w:val="1"/>
      <w:marLeft w:val="0"/>
      <w:marRight w:val="0"/>
      <w:marTop w:val="0"/>
      <w:marBottom w:val="0"/>
      <w:divBdr>
        <w:top w:val="none" w:sz="0" w:space="0" w:color="auto"/>
        <w:left w:val="none" w:sz="0" w:space="0" w:color="auto"/>
        <w:bottom w:val="none" w:sz="0" w:space="0" w:color="auto"/>
        <w:right w:val="none" w:sz="0" w:space="0" w:color="auto"/>
      </w:divBdr>
    </w:div>
    <w:div w:id="255872205">
      <w:bodyDiv w:val="1"/>
      <w:marLeft w:val="0"/>
      <w:marRight w:val="0"/>
      <w:marTop w:val="0"/>
      <w:marBottom w:val="0"/>
      <w:divBdr>
        <w:top w:val="none" w:sz="0" w:space="0" w:color="auto"/>
        <w:left w:val="none" w:sz="0" w:space="0" w:color="auto"/>
        <w:bottom w:val="none" w:sz="0" w:space="0" w:color="auto"/>
        <w:right w:val="none" w:sz="0" w:space="0" w:color="auto"/>
      </w:divBdr>
    </w:div>
    <w:div w:id="277807719">
      <w:bodyDiv w:val="1"/>
      <w:marLeft w:val="0"/>
      <w:marRight w:val="0"/>
      <w:marTop w:val="0"/>
      <w:marBottom w:val="0"/>
      <w:divBdr>
        <w:top w:val="none" w:sz="0" w:space="0" w:color="auto"/>
        <w:left w:val="none" w:sz="0" w:space="0" w:color="auto"/>
        <w:bottom w:val="none" w:sz="0" w:space="0" w:color="auto"/>
        <w:right w:val="none" w:sz="0" w:space="0" w:color="auto"/>
      </w:divBdr>
    </w:div>
    <w:div w:id="288166193">
      <w:bodyDiv w:val="1"/>
      <w:marLeft w:val="0"/>
      <w:marRight w:val="0"/>
      <w:marTop w:val="0"/>
      <w:marBottom w:val="0"/>
      <w:divBdr>
        <w:top w:val="none" w:sz="0" w:space="0" w:color="auto"/>
        <w:left w:val="none" w:sz="0" w:space="0" w:color="auto"/>
        <w:bottom w:val="none" w:sz="0" w:space="0" w:color="auto"/>
        <w:right w:val="none" w:sz="0" w:space="0" w:color="auto"/>
      </w:divBdr>
    </w:div>
    <w:div w:id="312294053">
      <w:bodyDiv w:val="1"/>
      <w:marLeft w:val="0"/>
      <w:marRight w:val="0"/>
      <w:marTop w:val="0"/>
      <w:marBottom w:val="0"/>
      <w:divBdr>
        <w:top w:val="none" w:sz="0" w:space="0" w:color="auto"/>
        <w:left w:val="none" w:sz="0" w:space="0" w:color="auto"/>
        <w:bottom w:val="none" w:sz="0" w:space="0" w:color="auto"/>
        <w:right w:val="none" w:sz="0" w:space="0" w:color="auto"/>
      </w:divBdr>
    </w:div>
    <w:div w:id="352346877">
      <w:bodyDiv w:val="1"/>
      <w:marLeft w:val="0"/>
      <w:marRight w:val="0"/>
      <w:marTop w:val="0"/>
      <w:marBottom w:val="0"/>
      <w:divBdr>
        <w:top w:val="none" w:sz="0" w:space="0" w:color="auto"/>
        <w:left w:val="none" w:sz="0" w:space="0" w:color="auto"/>
        <w:bottom w:val="none" w:sz="0" w:space="0" w:color="auto"/>
        <w:right w:val="none" w:sz="0" w:space="0" w:color="auto"/>
      </w:divBdr>
      <w:divsChild>
        <w:div w:id="450321796">
          <w:marLeft w:val="0"/>
          <w:marRight w:val="0"/>
          <w:marTop w:val="0"/>
          <w:marBottom w:val="0"/>
          <w:divBdr>
            <w:top w:val="none" w:sz="0" w:space="0" w:color="auto"/>
            <w:left w:val="none" w:sz="0" w:space="0" w:color="auto"/>
            <w:bottom w:val="none" w:sz="0" w:space="0" w:color="auto"/>
            <w:right w:val="none" w:sz="0" w:space="0" w:color="auto"/>
          </w:divBdr>
        </w:div>
        <w:div w:id="748160451">
          <w:marLeft w:val="0"/>
          <w:marRight w:val="0"/>
          <w:marTop w:val="0"/>
          <w:marBottom w:val="0"/>
          <w:divBdr>
            <w:top w:val="none" w:sz="0" w:space="0" w:color="auto"/>
            <w:left w:val="none" w:sz="0" w:space="0" w:color="auto"/>
            <w:bottom w:val="none" w:sz="0" w:space="0" w:color="auto"/>
            <w:right w:val="none" w:sz="0" w:space="0" w:color="auto"/>
          </w:divBdr>
        </w:div>
      </w:divsChild>
    </w:div>
    <w:div w:id="420373799">
      <w:bodyDiv w:val="1"/>
      <w:marLeft w:val="0"/>
      <w:marRight w:val="0"/>
      <w:marTop w:val="0"/>
      <w:marBottom w:val="0"/>
      <w:divBdr>
        <w:top w:val="none" w:sz="0" w:space="0" w:color="auto"/>
        <w:left w:val="none" w:sz="0" w:space="0" w:color="auto"/>
        <w:bottom w:val="none" w:sz="0" w:space="0" w:color="auto"/>
        <w:right w:val="none" w:sz="0" w:space="0" w:color="auto"/>
      </w:divBdr>
    </w:div>
    <w:div w:id="427389516">
      <w:bodyDiv w:val="1"/>
      <w:marLeft w:val="0"/>
      <w:marRight w:val="0"/>
      <w:marTop w:val="0"/>
      <w:marBottom w:val="0"/>
      <w:divBdr>
        <w:top w:val="none" w:sz="0" w:space="0" w:color="auto"/>
        <w:left w:val="none" w:sz="0" w:space="0" w:color="auto"/>
        <w:bottom w:val="none" w:sz="0" w:space="0" w:color="auto"/>
        <w:right w:val="none" w:sz="0" w:space="0" w:color="auto"/>
      </w:divBdr>
    </w:div>
    <w:div w:id="447968842">
      <w:bodyDiv w:val="1"/>
      <w:marLeft w:val="0"/>
      <w:marRight w:val="0"/>
      <w:marTop w:val="0"/>
      <w:marBottom w:val="0"/>
      <w:divBdr>
        <w:top w:val="none" w:sz="0" w:space="0" w:color="auto"/>
        <w:left w:val="none" w:sz="0" w:space="0" w:color="auto"/>
        <w:bottom w:val="none" w:sz="0" w:space="0" w:color="auto"/>
        <w:right w:val="none" w:sz="0" w:space="0" w:color="auto"/>
      </w:divBdr>
    </w:div>
    <w:div w:id="449209051">
      <w:bodyDiv w:val="1"/>
      <w:marLeft w:val="0"/>
      <w:marRight w:val="0"/>
      <w:marTop w:val="0"/>
      <w:marBottom w:val="0"/>
      <w:divBdr>
        <w:top w:val="none" w:sz="0" w:space="0" w:color="auto"/>
        <w:left w:val="none" w:sz="0" w:space="0" w:color="auto"/>
        <w:bottom w:val="none" w:sz="0" w:space="0" w:color="auto"/>
        <w:right w:val="none" w:sz="0" w:space="0" w:color="auto"/>
      </w:divBdr>
    </w:div>
    <w:div w:id="510798533">
      <w:bodyDiv w:val="1"/>
      <w:marLeft w:val="0"/>
      <w:marRight w:val="0"/>
      <w:marTop w:val="0"/>
      <w:marBottom w:val="0"/>
      <w:divBdr>
        <w:top w:val="none" w:sz="0" w:space="0" w:color="auto"/>
        <w:left w:val="none" w:sz="0" w:space="0" w:color="auto"/>
        <w:bottom w:val="none" w:sz="0" w:space="0" w:color="auto"/>
        <w:right w:val="none" w:sz="0" w:space="0" w:color="auto"/>
      </w:divBdr>
    </w:div>
    <w:div w:id="534583162">
      <w:bodyDiv w:val="1"/>
      <w:marLeft w:val="0"/>
      <w:marRight w:val="0"/>
      <w:marTop w:val="0"/>
      <w:marBottom w:val="0"/>
      <w:divBdr>
        <w:top w:val="none" w:sz="0" w:space="0" w:color="auto"/>
        <w:left w:val="none" w:sz="0" w:space="0" w:color="auto"/>
        <w:bottom w:val="none" w:sz="0" w:space="0" w:color="auto"/>
        <w:right w:val="none" w:sz="0" w:space="0" w:color="auto"/>
      </w:divBdr>
    </w:div>
    <w:div w:id="564032067">
      <w:bodyDiv w:val="1"/>
      <w:marLeft w:val="0"/>
      <w:marRight w:val="0"/>
      <w:marTop w:val="0"/>
      <w:marBottom w:val="0"/>
      <w:divBdr>
        <w:top w:val="none" w:sz="0" w:space="0" w:color="auto"/>
        <w:left w:val="none" w:sz="0" w:space="0" w:color="auto"/>
        <w:bottom w:val="none" w:sz="0" w:space="0" w:color="auto"/>
        <w:right w:val="none" w:sz="0" w:space="0" w:color="auto"/>
      </w:divBdr>
    </w:div>
    <w:div w:id="645864851">
      <w:bodyDiv w:val="1"/>
      <w:marLeft w:val="0"/>
      <w:marRight w:val="0"/>
      <w:marTop w:val="0"/>
      <w:marBottom w:val="0"/>
      <w:divBdr>
        <w:top w:val="none" w:sz="0" w:space="0" w:color="auto"/>
        <w:left w:val="none" w:sz="0" w:space="0" w:color="auto"/>
        <w:bottom w:val="none" w:sz="0" w:space="0" w:color="auto"/>
        <w:right w:val="none" w:sz="0" w:space="0" w:color="auto"/>
      </w:divBdr>
    </w:div>
    <w:div w:id="654721179">
      <w:bodyDiv w:val="1"/>
      <w:marLeft w:val="0"/>
      <w:marRight w:val="0"/>
      <w:marTop w:val="0"/>
      <w:marBottom w:val="0"/>
      <w:divBdr>
        <w:top w:val="none" w:sz="0" w:space="0" w:color="auto"/>
        <w:left w:val="none" w:sz="0" w:space="0" w:color="auto"/>
        <w:bottom w:val="none" w:sz="0" w:space="0" w:color="auto"/>
        <w:right w:val="none" w:sz="0" w:space="0" w:color="auto"/>
      </w:divBdr>
    </w:div>
    <w:div w:id="686754735">
      <w:bodyDiv w:val="1"/>
      <w:marLeft w:val="0"/>
      <w:marRight w:val="0"/>
      <w:marTop w:val="0"/>
      <w:marBottom w:val="0"/>
      <w:divBdr>
        <w:top w:val="none" w:sz="0" w:space="0" w:color="auto"/>
        <w:left w:val="none" w:sz="0" w:space="0" w:color="auto"/>
        <w:bottom w:val="none" w:sz="0" w:space="0" w:color="auto"/>
        <w:right w:val="none" w:sz="0" w:space="0" w:color="auto"/>
      </w:divBdr>
    </w:div>
    <w:div w:id="699861355">
      <w:bodyDiv w:val="1"/>
      <w:marLeft w:val="0"/>
      <w:marRight w:val="0"/>
      <w:marTop w:val="0"/>
      <w:marBottom w:val="0"/>
      <w:divBdr>
        <w:top w:val="none" w:sz="0" w:space="0" w:color="auto"/>
        <w:left w:val="none" w:sz="0" w:space="0" w:color="auto"/>
        <w:bottom w:val="none" w:sz="0" w:space="0" w:color="auto"/>
        <w:right w:val="none" w:sz="0" w:space="0" w:color="auto"/>
      </w:divBdr>
    </w:div>
    <w:div w:id="709501762">
      <w:bodyDiv w:val="1"/>
      <w:marLeft w:val="0"/>
      <w:marRight w:val="0"/>
      <w:marTop w:val="0"/>
      <w:marBottom w:val="0"/>
      <w:divBdr>
        <w:top w:val="none" w:sz="0" w:space="0" w:color="auto"/>
        <w:left w:val="none" w:sz="0" w:space="0" w:color="auto"/>
        <w:bottom w:val="none" w:sz="0" w:space="0" w:color="auto"/>
        <w:right w:val="none" w:sz="0" w:space="0" w:color="auto"/>
      </w:divBdr>
    </w:div>
    <w:div w:id="736897488">
      <w:bodyDiv w:val="1"/>
      <w:marLeft w:val="0"/>
      <w:marRight w:val="0"/>
      <w:marTop w:val="0"/>
      <w:marBottom w:val="0"/>
      <w:divBdr>
        <w:top w:val="none" w:sz="0" w:space="0" w:color="auto"/>
        <w:left w:val="none" w:sz="0" w:space="0" w:color="auto"/>
        <w:bottom w:val="none" w:sz="0" w:space="0" w:color="auto"/>
        <w:right w:val="none" w:sz="0" w:space="0" w:color="auto"/>
      </w:divBdr>
    </w:div>
    <w:div w:id="762726530">
      <w:bodyDiv w:val="1"/>
      <w:marLeft w:val="0"/>
      <w:marRight w:val="0"/>
      <w:marTop w:val="0"/>
      <w:marBottom w:val="0"/>
      <w:divBdr>
        <w:top w:val="none" w:sz="0" w:space="0" w:color="auto"/>
        <w:left w:val="none" w:sz="0" w:space="0" w:color="auto"/>
        <w:bottom w:val="none" w:sz="0" w:space="0" w:color="auto"/>
        <w:right w:val="none" w:sz="0" w:space="0" w:color="auto"/>
      </w:divBdr>
      <w:divsChild>
        <w:div w:id="767311377">
          <w:marLeft w:val="0"/>
          <w:marRight w:val="0"/>
          <w:marTop w:val="225"/>
          <w:marBottom w:val="225"/>
          <w:divBdr>
            <w:top w:val="none" w:sz="0" w:space="0" w:color="auto"/>
            <w:left w:val="none" w:sz="0" w:space="0" w:color="auto"/>
            <w:bottom w:val="none" w:sz="0" w:space="0" w:color="auto"/>
            <w:right w:val="none" w:sz="0" w:space="0" w:color="auto"/>
          </w:divBdr>
          <w:divsChild>
            <w:div w:id="1508207424">
              <w:marLeft w:val="0"/>
              <w:marRight w:val="0"/>
              <w:marTop w:val="0"/>
              <w:marBottom w:val="0"/>
              <w:divBdr>
                <w:top w:val="none" w:sz="0" w:space="0" w:color="auto"/>
                <w:left w:val="none" w:sz="0" w:space="0" w:color="auto"/>
                <w:bottom w:val="none" w:sz="0" w:space="0" w:color="auto"/>
                <w:right w:val="none" w:sz="0" w:space="0" w:color="auto"/>
              </w:divBdr>
              <w:divsChild>
                <w:div w:id="710148418">
                  <w:marLeft w:val="0"/>
                  <w:marRight w:val="0"/>
                  <w:marTop w:val="0"/>
                  <w:marBottom w:val="0"/>
                  <w:divBdr>
                    <w:top w:val="none" w:sz="0" w:space="0" w:color="auto"/>
                    <w:left w:val="none" w:sz="0" w:space="0" w:color="auto"/>
                    <w:bottom w:val="none" w:sz="0" w:space="0" w:color="auto"/>
                    <w:right w:val="none" w:sz="0" w:space="0" w:color="auto"/>
                  </w:divBdr>
                  <w:divsChild>
                    <w:div w:id="1764717319">
                      <w:marLeft w:val="0"/>
                      <w:marRight w:val="0"/>
                      <w:marTop w:val="0"/>
                      <w:marBottom w:val="0"/>
                      <w:divBdr>
                        <w:top w:val="none" w:sz="0" w:space="0" w:color="auto"/>
                        <w:left w:val="none" w:sz="0" w:space="0" w:color="auto"/>
                        <w:bottom w:val="none" w:sz="0" w:space="0" w:color="auto"/>
                        <w:right w:val="none" w:sz="0" w:space="0" w:color="auto"/>
                      </w:divBdr>
                    </w:div>
                    <w:div w:id="260652948">
                      <w:marLeft w:val="0"/>
                      <w:marRight w:val="0"/>
                      <w:marTop w:val="0"/>
                      <w:marBottom w:val="0"/>
                      <w:divBdr>
                        <w:top w:val="none" w:sz="0" w:space="0" w:color="auto"/>
                        <w:left w:val="none" w:sz="0" w:space="0" w:color="auto"/>
                        <w:bottom w:val="none" w:sz="0" w:space="0" w:color="auto"/>
                        <w:right w:val="none" w:sz="0" w:space="0" w:color="auto"/>
                      </w:divBdr>
                    </w:div>
                    <w:div w:id="7616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951">
      <w:bodyDiv w:val="1"/>
      <w:marLeft w:val="0"/>
      <w:marRight w:val="0"/>
      <w:marTop w:val="0"/>
      <w:marBottom w:val="0"/>
      <w:divBdr>
        <w:top w:val="none" w:sz="0" w:space="0" w:color="auto"/>
        <w:left w:val="none" w:sz="0" w:space="0" w:color="auto"/>
        <w:bottom w:val="none" w:sz="0" w:space="0" w:color="auto"/>
        <w:right w:val="none" w:sz="0" w:space="0" w:color="auto"/>
      </w:divBdr>
    </w:div>
    <w:div w:id="850532172">
      <w:bodyDiv w:val="1"/>
      <w:marLeft w:val="0"/>
      <w:marRight w:val="0"/>
      <w:marTop w:val="0"/>
      <w:marBottom w:val="0"/>
      <w:divBdr>
        <w:top w:val="none" w:sz="0" w:space="0" w:color="auto"/>
        <w:left w:val="none" w:sz="0" w:space="0" w:color="auto"/>
        <w:bottom w:val="none" w:sz="0" w:space="0" w:color="auto"/>
        <w:right w:val="none" w:sz="0" w:space="0" w:color="auto"/>
      </w:divBdr>
    </w:div>
    <w:div w:id="889536393">
      <w:bodyDiv w:val="1"/>
      <w:marLeft w:val="0"/>
      <w:marRight w:val="0"/>
      <w:marTop w:val="0"/>
      <w:marBottom w:val="0"/>
      <w:divBdr>
        <w:top w:val="none" w:sz="0" w:space="0" w:color="auto"/>
        <w:left w:val="none" w:sz="0" w:space="0" w:color="auto"/>
        <w:bottom w:val="none" w:sz="0" w:space="0" w:color="auto"/>
        <w:right w:val="none" w:sz="0" w:space="0" w:color="auto"/>
      </w:divBdr>
    </w:div>
    <w:div w:id="924537619">
      <w:bodyDiv w:val="1"/>
      <w:marLeft w:val="0"/>
      <w:marRight w:val="0"/>
      <w:marTop w:val="0"/>
      <w:marBottom w:val="0"/>
      <w:divBdr>
        <w:top w:val="none" w:sz="0" w:space="0" w:color="auto"/>
        <w:left w:val="none" w:sz="0" w:space="0" w:color="auto"/>
        <w:bottom w:val="none" w:sz="0" w:space="0" w:color="auto"/>
        <w:right w:val="none" w:sz="0" w:space="0" w:color="auto"/>
      </w:divBdr>
    </w:div>
    <w:div w:id="925188462">
      <w:bodyDiv w:val="1"/>
      <w:marLeft w:val="0"/>
      <w:marRight w:val="0"/>
      <w:marTop w:val="0"/>
      <w:marBottom w:val="0"/>
      <w:divBdr>
        <w:top w:val="none" w:sz="0" w:space="0" w:color="auto"/>
        <w:left w:val="none" w:sz="0" w:space="0" w:color="auto"/>
        <w:bottom w:val="none" w:sz="0" w:space="0" w:color="auto"/>
        <w:right w:val="none" w:sz="0" w:space="0" w:color="auto"/>
      </w:divBdr>
      <w:divsChild>
        <w:div w:id="1694500791">
          <w:marLeft w:val="0"/>
          <w:marRight w:val="0"/>
          <w:marTop w:val="0"/>
          <w:marBottom w:val="0"/>
          <w:divBdr>
            <w:top w:val="none" w:sz="0" w:space="0" w:color="auto"/>
            <w:left w:val="none" w:sz="0" w:space="0" w:color="auto"/>
            <w:bottom w:val="none" w:sz="0" w:space="0" w:color="auto"/>
            <w:right w:val="none" w:sz="0" w:space="0" w:color="auto"/>
          </w:divBdr>
        </w:div>
        <w:div w:id="47341379">
          <w:marLeft w:val="0"/>
          <w:marRight w:val="0"/>
          <w:marTop w:val="0"/>
          <w:marBottom w:val="0"/>
          <w:divBdr>
            <w:top w:val="none" w:sz="0" w:space="0" w:color="auto"/>
            <w:left w:val="none" w:sz="0" w:space="0" w:color="auto"/>
            <w:bottom w:val="none" w:sz="0" w:space="0" w:color="auto"/>
            <w:right w:val="none" w:sz="0" w:space="0" w:color="auto"/>
          </w:divBdr>
        </w:div>
      </w:divsChild>
    </w:div>
    <w:div w:id="970207067">
      <w:bodyDiv w:val="1"/>
      <w:marLeft w:val="0"/>
      <w:marRight w:val="0"/>
      <w:marTop w:val="0"/>
      <w:marBottom w:val="0"/>
      <w:divBdr>
        <w:top w:val="none" w:sz="0" w:space="0" w:color="auto"/>
        <w:left w:val="none" w:sz="0" w:space="0" w:color="auto"/>
        <w:bottom w:val="none" w:sz="0" w:space="0" w:color="auto"/>
        <w:right w:val="none" w:sz="0" w:space="0" w:color="auto"/>
      </w:divBdr>
    </w:div>
    <w:div w:id="980505434">
      <w:bodyDiv w:val="1"/>
      <w:marLeft w:val="0"/>
      <w:marRight w:val="0"/>
      <w:marTop w:val="0"/>
      <w:marBottom w:val="0"/>
      <w:divBdr>
        <w:top w:val="none" w:sz="0" w:space="0" w:color="auto"/>
        <w:left w:val="none" w:sz="0" w:space="0" w:color="auto"/>
        <w:bottom w:val="none" w:sz="0" w:space="0" w:color="auto"/>
        <w:right w:val="none" w:sz="0" w:space="0" w:color="auto"/>
      </w:divBdr>
    </w:div>
    <w:div w:id="995458835">
      <w:bodyDiv w:val="1"/>
      <w:marLeft w:val="0"/>
      <w:marRight w:val="0"/>
      <w:marTop w:val="0"/>
      <w:marBottom w:val="0"/>
      <w:divBdr>
        <w:top w:val="none" w:sz="0" w:space="0" w:color="auto"/>
        <w:left w:val="none" w:sz="0" w:space="0" w:color="auto"/>
        <w:bottom w:val="none" w:sz="0" w:space="0" w:color="auto"/>
        <w:right w:val="none" w:sz="0" w:space="0" w:color="auto"/>
      </w:divBdr>
    </w:div>
    <w:div w:id="995575623">
      <w:bodyDiv w:val="1"/>
      <w:marLeft w:val="0"/>
      <w:marRight w:val="0"/>
      <w:marTop w:val="0"/>
      <w:marBottom w:val="0"/>
      <w:divBdr>
        <w:top w:val="none" w:sz="0" w:space="0" w:color="auto"/>
        <w:left w:val="none" w:sz="0" w:space="0" w:color="auto"/>
        <w:bottom w:val="none" w:sz="0" w:space="0" w:color="auto"/>
        <w:right w:val="none" w:sz="0" w:space="0" w:color="auto"/>
      </w:divBdr>
    </w:div>
    <w:div w:id="996373557">
      <w:bodyDiv w:val="1"/>
      <w:marLeft w:val="0"/>
      <w:marRight w:val="0"/>
      <w:marTop w:val="0"/>
      <w:marBottom w:val="0"/>
      <w:divBdr>
        <w:top w:val="none" w:sz="0" w:space="0" w:color="auto"/>
        <w:left w:val="none" w:sz="0" w:space="0" w:color="auto"/>
        <w:bottom w:val="none" w:sz="0" w:space="0" w:color="auto"/>
        <w:right w:val="none" w:sz="0" w:space="0" w:color="auto"/>
      </w:divBdr>
    </w:div>
    <w:div w:id="1016542094">
      <w:bodyDiv w:val="1"/>
      <w:marLeft w:val="0"/>
      <w:marRight w:val="0"/>
      <w:marTop w:val="0"/>
      <w:marBottom w:val="0"/>
      <w:divBdr>
        <w:top w:val="none" w:sz="0" w:space="0" w:color="auto"/>
        <w:left w:val="none" w:sz="0" w:space="0" w:color="auto"/>
        <w:bottom w:val="none" w:sz="0" w:space="0" w:color="auto"/>
        <w:right w:val="none" w:sz="0" w:space="0" w:color="auto"/>
      </w:divBdr>
    </w:div>
    <w:div w:id="1099638814">
      <w:bodyDiv w:val="1"/>
      <w:marLeft w:val="0"/>
      <w:marRight w:val="0"/>
      <w:marTop w:val="0"/>
      <w:marBottom w:val="0"/>
      <w:divBdr>
        <w:top w:val="none" w:sz="0" w:space="0" w:color="auto"/>
        <w:left w:val="none" w:sz="0" w:space="0" w:color="auto"/>
        <w:bottom w:val="none" w:sz="0" w:space="0" w:color="auto"/>
        <w:right w:val="none" w:sz="0" w:space="0" w:color="auto"/>
      </w:divBdr>
    </w:div>
    <w:div w:id="1173568923">
      <w:bodyDiv w:val="1"/>
      <w:marLeft w:val="0"/>
      <w:marRight w:val="0"/>
      <w:marTop w:val="0"/>
      <w:marBottom w:val="0"/>
      <w:divBdr>
        <w:top w:val="none" w:sz="0" w:space="0" w:color="auto"/>
        <w:left w:val="none" w:sz="0" w:space="0" w:color="auto"/>
        <w:bottom w:val="none" w:sz="0" w:space="0" w:color="auto"/>
        <w:right w:val="none" w:sz="0" w:space="0" w:color="auto"/>
      </w:divBdr>
    </w:div>
    <w:div w:id="1215580139">
      <w:bodyDiv w:val="1"/>
      <w:marLeft w:val="0"/>
      <w:marRight w:val="0"/>
      <w:marTop w:val="0"/>
      <w:marBottom w:val="0"/>
      <w:divBdr>
        <w:top w:val="none" w:sz="0" w:space="0" w:color="auto"/>
        <w:left w:val="none" w:sz="0" w:space="0" w:color="auto"/>
        <w:bottom w:val="none" w:sz="0" w:space="0" w:color="auto"/>
        <w:right w:val="none" w:sz="0" w:space="0" w:color="auto"/>
      </w:divBdr>
    </w:div>
    <w:div w:id="1248156115">
      <w:bodyDiv w:val="1"/>
      <w:marLeft w:val="0"/>
      <w:marRight w:val="0"/>
      <w:marTop w:val="0"/>
      <w:marBottom w:val="0"/>
      <w:divBdr>
        <w:top w:val="none" w:sz="0" w:space="0" w:color="auto"/>
        <w:left w:val="none" w:sz="0" w:space="0" w:color="auto"/>
        <w:bottom w:val="none" w:sz="0" w:space="0" w:color="auto"/>
        <w:right w:val="none" w:sz="0" w:space="0" w:color="auto"/>
      </w:divBdr>
    </w:div>
    <w:div w:id="1294873018">
      <w:bodyDiv w:val="1"/>
      <w:marLeft w:val="0"/>
      <w:marRight w:val="0"/>
      <w:marTop w:val="0"/>
      <w:marBottom w:val="0"/>
      <w:divBdr>
        <w:top w:val="none" w:sz="0" w:space="0" w:color="auto"/>
        <w:left w:val="none" w:sz="0" w:space="0" w:color="auto"/>
        <w:bottom w:val="none" w:sz="0" w:space="0" w:color="auto"/>
        <w:right w:val="none" w:sz="0" w:space="0" w:color="auto"/>
      </w:divBdr>
    </w:div>
    <w:div w:id="1302005946">
      <w:bodyDiv w:val="1"/>
      <w:marLeft w:val="0"/>
      <w:marRight w:val="0"/>
      <w:marTop w:val="0"/>
      <w:marBottom w:val="0"/>
      <w:divBdr>
        <w:top w:val="none" w:sz="0" w:space="0" w:color="auto"/>
        <w:left w:val="none" w:sz="0" w:space="0" w:color="auto"/>
        <w:bottom w:val="none" w:sz="0" w:space="0" w:color="auto"/>
        <w:right w:val="none" w:sz="0" w:space="0" w:color="auto"/>
      </w:divBdr>
    </w:div>
    <w:div w:id="1321274711">
      <w:bodyDiv w:val="1"/>
      <w:marLeft w:val="0"/>
      <w:marRight w:val="0"/>
      <w:marTop w:val="0"/>
      <w:marBottom w:val="0"/>
      <w:divBdr>
        <w:top w:val="none" w:sz="0" w:space="0" w:color="auto"/>
        <w:left w:val="none" w:sz="0" w:space="0" w:color="auto"/>
        <w:bottom w:val="none" w:sz="0" w:space="0" w:color="auto"/>
        <w:right w:val="none" w:sz="0" w:space="0" w:color="auto"/>
      </w:divBdr>
    </w:div>
    <w:div w:id="1383627880">
      <w:bodyDiv w:val="1"/>
      <w:marLeft w:val="0"/>
      <w:marRight w:val="0"/>
      <w:marTop w:val="0"/>
      <w:marBottom w:val="0"/>
      <w:divBdr>
        <w:top w:val="none" w:sz="0" w:space="0" w:color="auto"/>
        <w:left w:val="none" w:sz="0" w:space="0" w:color="auto"/>
        <w:bottom w:val="none" w:sz="0" w:space="0" w:color="auto"/>
        <w:right w:val="none" w:sz="0" w:space="0" w:color="auto"/>
      </w:divBdr>
    </w:div>
    <w:div w:id="1431850547">
      <w:bodyDiv w:val="1"/>
      <w:marLeft w:val="0"/>
      <w:marRight w:val="0"/>
      <w:marTop w:val="0"/>
      <w:marBottom w:val="0"/>
      <w:divBdr>
        <w:top w:val="none" w:sz="0" w:space="0" w:color="auto"/>
        <w:left w:val="none" w:sz="0" w:space="0" w:color="auto"/>
        <w:bottom w:val="none" w:sz="0" w:space="0" w:color="auto"/>
        <w:right w:val="none" w:sz="0" w:space="0" w:color="auto"/>
      </w:divBdr>
    </w:div>
    <w:div w:id="1441876429">
      <w:bodyDiv w:val="1"/>
      <w:marLeft w:val="0"/>
      <w:marRight w:val="0"/>
      <w:marTop w:val="0"/>
      <w:marBottom w:val="0"/>
      <w:divBdr>
        <w:top w:val="none" w:sz="0" w:space="0" w:color="auto"/>
        <w:left w:val="none" w:sz="0" w:space="0" w:color="auto"/>
        <w:bottom w:val="none" w:sz="0" w:space="0" w:color="auto"/>
        <w:right w:val="none" w:sz="0" w:space="0" w:color="auto"/>
      </w:divBdr>
    </w:div>
    <w:div w:id="1457798646">
      <w:bodyDiv w:val="1"/>
      <w:marLeft w:val="0"/>
      <w:marRight w:val="0"/>
      <w:marTop w:val="0"/>
      <w:marBottom w:val="0"/>
      <w:divBdr>
        <w:top w:val="none" w:sz="0" w:space="0" w:color="auto"/>
        <w:left w:val="none" w:sz="0" w:space="0" w:color="auto"/>
        <w:bottom w:val="none" w:sz="0" w:space="0" w:color="auto"/>
        <w:right w:val="none" w:sz="0" w:space="0" w:color="auto"/>
      </w:divBdr>
    </w:div>
    <w:div w:id="1517427342">
      <w:bodyDiv w:val="1"/>
      <w:marLeft w:val="0"/>
      <w:marRight w:val="0"/>
      <w:marTop w:val="0"/>
      <w:marBottom w:val="0"/>
      <w:divBdr>
        <w:top w:val="none" w:sz="0" w:space="0" w:color="auto"/>
        <w:left w:val="none" w:sz="0" w:space="0" w:color="auto"/>
        <w:bottom w:val="none" w:sz="0" w:space="0" w:color="auto"/>
        <w:right w:val="none" w:sz="0" w:space="0" w:color="auto"/>
      </w:divBdr>
    </w:div>
    <w:div w:id="1542208789">
      <w:bodyDiv w:val="1"/>
      <w:marLeft w:val="0"/>
      <w:marRight w:val="0"/>
      <w:marTop w:val="0"/>
      <w:marBottom w:val="0"/>
      <w:divBdr>
        <w:top w:val="none" w:sz="0" w:space="0" w:color="auto"/>
        <w:left w:val="none" w:sz="0" w:space="0" w:color="auto"/>
        <w:bottom w:val="none" w:sz="0" w:space="0" w:color="auto"/>
        <w:right w:val="none" w:sz="0" w:space="0" w:color="auto"/>
      </w:divBdr>
    </w:div>
    <w:div w:id="1542936356">
      <w:bodyDiv w:val="1"/>
      <w:marLeft w:val="0"/>
      <w:marRight w:val="0"/>
      <w:marTop w:val="0"/>
      <w:marBottom w:val="0"/>
      <w:divBdr>
        <w:top w:val="none" w:sz="0" w:space="0" w:color="auto"/>
        <w:left w:val="none" w:sz="0" w:space="0" w:color="auto"/>
        <w:bottom w:val="none" w:sz="0" w:space="0" w:color="auto"/>
        <w:right w:val="none" w:sz="0" w:space="0" w:color="auto"/>
      </w:divBdr>
    </w:div>
    <w:div w:id="1543783324">
      <w:bodyDiv w:val="1"/>
      <w:marLeft w:val="0"/>
      <w:marRight w:val="0"/>
      <w:marTop w:val="0"/>
      <w:marBottom w:val="0"/>
      <w:divBdr>
        <w:top w:val="none" w:sz="0" w:space="0" w:color="auto"/>
        <w:left w:val="none" w:sz="0" w:space="0" w:color="auto"/>
        <w:bottom w:val="none" w:sz="0" w:space="0" w:color="auto"/>
        <w:right w:val="none" w:sz="0" w:space="0" w:color="auto"/>
      </w:divBdr>
    </w:div>
    <w:div w:id="1579904954">
      <w:bodyDiv w:val="1"/>
      <w:marLeft w:val="0"/>
      <w:marRight w:val="0"/>
      <w:marTop w:val="0"/>
      <w:marBottom w:val="0"/>
      <w:divBdr>
        <w:top w:val="none" w:sz="0" w:space="0" w:color="auto"/>
        <w:left w:val="none" w:sz="0" w:space="0" w:color="auto"/>
        <w:bottom w:val="none" w:sz="0" w:space="0" w:color="auto"/>
        <w:right w:val="none" w:sz="0" w:space="0" w:color="auto"/>
      </w:divBdr>
    </w:div>
    <w:div w:id="1617562163">
      <w:bodyDiv w:val="1"/>
      <w:marLeft w:val="0"/>
      <w:marRight w:val="0"/>
      <w:marTop w:val="0"/>
      <w:marBottom w:val="0"/>
      <w:divBdr>
        <w:top w:val="none" w:sz="0" w:space="0" w:color="auto"/>
        <w:left w:val="none" w:sz="0" w:space="0" w:color="auto"/>
        <w:bottom w:val="none" w:sz="0" w:space="0" w:color="auto"/>
        <w:right w:val="none" w:sz="0" w:space="0" w:color="auto"/>
      </w:divBdr>
    </w:div>
    <w:div w:id="1650818766">
      <w:bodyDiv w:val="1"/>
      <w:marLeft w:val="0"/>
      <w:marRight w:val="0"/>
      <w:marTop w:val="0"/>
      <w:marBottom w:val="0"/>
      <w:divBdr>
        <w:top w:val="none" w:sz="0" w:space="0" w:color="auto"/>
        <w:left w:val="none" w:sz="0" w:space="0" w:color="auto"/>
        <w:bottom w:val="none" w:sz="0" w:space="0" w:color="auto"/>
        <w:right w:val="none" w:sz="0" w:space="0" w:color="auto"/>
      </w:divBdr>
    </w:div>
    <w:div w:id="1673800541">
      <w:bodyDiv w:val="1"/>
      <w:marLeft w:val="0"/>
      <w:marRight w:val="0"/>
      <w:marTop w:val="0"/>
      <w:marBottom w:val="0"/>
      <w:divBdr>
        <w:top w:val="none" w:sz="0" w:space="0" w:color="auto"/>
        <w:left w:val="none" w:sz="0" w:space="0" w:color="auto"/>
        <w:bottom w:val="none" w:sz="0" w:space="0" w:color="auto"/>
        <w:right w:val="none" w:sz="0" w:space="0" w:color="auto"/>
      </w:divBdr>
    </w:div>
    <w:div w:id="1686902947">
      <w:bodyDiv w:val="1"/>
      <w:marLeft w:val="0"/>
      <w:marRight w:val="0"/>
      <w:marTop w:val="0"/>
      <w:marBottom w:val="0"/>
      <w:divBdr>
        <w:top w:val="none" w:sz="0" w:space="0" w:color="auto"/>
        <w:left w:val="none" w:sz="0" w:space="0" w:color="auto"/>
        <w:bottom w:val="none" w:sz="0" w:space="0" w:color="auto"/>
        <w:right w:val="none" w:sz="0" w:space="0" w:color="auto"/>
      </w:divBdr>
    </w:div>
    <w:div w:id="1690064031">
      <w:bodyDiv w:val="1"/>
      <w:marLeft w:val="0"/>
      <w:marRight w:val="0"/>
      <w:marTop w:val="0"/>
      <w:marBottom w:val="0"/>
      <w:divBdr>
        <w:top w:val="none" w:sz="0" w:space="0" w:color="auto"/>
        <w:left w:val="none" w:sz="0" w:space="0" w:color="auto"/>
        <w:bottom w:val="none" w:sz="0" w:space="0" w:color="auto"/>
        <w:right w:val="none" w:sz="0" w:space="0" w:color="auto"/>
      </w:divBdr>
    </w:div>
    <w:div w:id="1715346937">
      <w:bodyDiv w:val="1"/>
      <w:marLeft w:val="0"/>
      <w:marRight w:val="0"/>
      <w:marTop w:val="0"/>
      <w:marBottom w:val="0"/>
      <w:divBdr>
        <w:top w:val="none" w:sz="0" w:space="0" w:color="auto"/>
        <w:left w:val="none" w:sz="0" w:space="0" w:color="auto"/>
        <w:bottom w:val="none" w:sz="0" w:space="0" w:color="auto"/>
        <w:right w:val="none" w:sz="0" w:space="0" w:color="auto"/>
      </w:divBdr>
    </w:div>
    <w:div w:id="1752389701">
      <w:bodyDiv w:val="1"/>
      <w:marLeft w:val="0"/>
      <w:marRight w:val="0"/>
      <w:marTop w:val="0"/>
      <w:marBottom w:val="0"/>
      <w:divBdr>
        <w:top w:val="none" w:sz="0" w:space="0" w:color="auto"/>
        <w:left w:val="none" w:sz="0" w:space="0" w:color="auto"/>
        <w:bottom w:val="none" w:sz="0" w:space="0" w:color="auto"/>
        <w:right w:val="none" w:sz="0" w:space="0" w:color="auto"/>
      </w:divBdr>
    </w:div>
    <w:div w:id="1805733896">
      <w:bodyDiv w:val="1"/>
      <w:marLeft w:val="0"/>
      <w:marRight w:val="0"/>
      <w:marTop w:val="0"/>
      <w:marBottom w:val="0"/>
      <w:divBdr>
        <w:top w:val="none" w:sz="0" w:space="0" w:color="auto"/>
        <w:left w:val="none" w:sz="0" w:space="0" w:color="auto"/>
        <w:bottom w:val="none" w:sz="0" w:space="0" w:color="auto"/>
        <w:right w:val="none" w:sz="0" w:space="0" w:color="auto"/>
      </w:divBdr>
    </w:div>
    <w:div w:id="1835685593">
      <w:bodyDiv w:val="1"/>
      <w:marLeft w:val="0"/>
      <w:marRight w:val="0"/>
      <w:marTop w:val="0"/>
      <w:marBottom w:val="0"/>
      <w:divBdr>
        <w:top w:val="none" w:sz="0" w:space="0" w:color="auto"/>
        <w:left w:val="none" w:sz="0" w:space="0" w:color="auto"/>
        <w:bottom w:val="none" w:sz="0" w:space="0" w:color="auto"/>
        <w:right w:val="none" w:sz="0" w:space="0" w:color="auto"/>
      </w:divBdr>
    </w:div>
    <w:div w:id="1855998056">
      <w:bodyDiv w:val="1"/>
      <w:marLeft w:val="0"/>
      <w:marRight w:val="0"/>
      <w:marTop w:val="0"/>
      <w:marBottom w:val="0"/>
      <w:divBdr>
        <w:top w:val="none" w:sz="0" w:space="0" w:color="auto"/>
        <w:left w:val="none" w:sz="0" w:space="0" w:color="auto"/>
        <w:bottom w:val="none" w:sz="0" w:space="0" w:color="auto"/>
        <w:right w:val="none" w:sz="0" w:space="0" w:color="auto"/>
      </w:divBdr>
    </w:div>
    <w:div w:id="1862207377">
      <w:bodyDiv w:val="1"/>
      <w:marLeft w:val="0"/>
      <w:marRight w:val="0"/>
      <w:marTop w:val="0"/>
      <w:marBottom w:val="0"/>
      <w:divBdr>
        <w:top w:val="none" w:sz="0" w:space="0" w:color="auto"/>
        <w:left w:val="none" w:sz="0" w:space="0" w:color="auto"/>
        <w:bottom w:val="none" w:sz="0" w:space="0" w:color="auto"/>
        <w:right w:val="none" w:sz="0" w:space="0" w:color="auto"/>
      </w:divBdr>
      <w:divsChild>
        <w:div w:id="816150291">
          <w:marLeft w:val="0"/>
          <w:marRight w:val="0"/>
          <w:marTop w:val="0"/>
          <w:marBottom w:val="0"/>
          <w:divBdr>
            <w:top w:val="none" w:sz="0" w:space="0" w:color="auto"/>
            <w:left w:val="none" w:sz="0" w:space="0" w:color="auto"/>
            <w:bottom w:val="none" w:sz="0" w:space="0" w:color="auto"/>
            <w:right w:val="none" w:sz="0" w:space="0" w:color="auto"/>
          </w:divBdr>
        </w:div>
        <w:div w:id="1253665560">
          <w:marLeft w:val="0"/>
          <w:marRight w:val="0"/>
          <w:marTop w:val="0"/>
          <w:marBottom w:val="0"/>
          <w:divBdr>
            <w:top w:val="none" w:sz="0" w:space="0" w:color="auto"/>
            <w:left w:val="none" w:sz="0" w:space="0" w:color="auto"/>
            <w:bottom w:val="none" w:sz="0" w:space="0" w:color="auto"/>
            <w:right w:val="none" w:sz="0" w:space="0" w:color="auto"/>
          </w:divBdr>
        </w:div>
        <w:div w:id="804352381">
          <w:marLeft w:val="0"/>
          <w:marRight w:val="0"/>
          <w:marTop w:val="0"/>
          <w:marBottom w:val="0"/>
          <w:divBdr>
            <w:top w:val="none" w:sz="0" w:space="0" w:color="auto"/>
            <w:left w:val="none" w:sz="0" w:space="0" w:color="auto"/>
            <w:bottom w:val="none" w:sz="0" w:space="0" w:color="auto"/>
            <w:right w:val="none" w:sz="0" w:space="0" w:color="auto"/>
          </w:divBdr>
        </w:div>
      </w:divsChild>
    </w:div>
    <w:div w:id="1884634514">
      <w:bodyDiv w:val="1"/>
      <w:marLeft w:val="0"/>
      <w:marRight w:val="0"/>
      <w:marTop w:val="0"/>
      <w:marBottom w:val="0"/>
      <w:divBdr>
        <w:top w:val="none" w:sz="0" w:space="0" w:color="auto"/>
        <w:left w:val="none" w:sz="0" w:space="0" w:color="auto"/>
        <w:bottom w:val="none" w:sz="0" w:space="0" w:color="auto"/>
        <w:right w:val="none" w:sz="0" w:space="0" w:color="auto"/>
      </w:divBdr>
    </w:div>
    <w:div w:id="1956865067">
      <w:bodyDiv w:val="1"/>
      <w:marLeft w:val="0"/>
      <w:marRight w:val="0"/>
      <w:marTop w:val="0"/>
      <w:marBottom w:val="0"/>
      <w:divBdr>
        <w:top w:val="none" w:sz="0" w:space="0" w:color="auto"/>
        <w:left w:val="none" w:sz="0" w:space="0" w:color="auto"/>
        <w:bottom w:val="none" w:sz="0" w:space="0" w:color="auto"/>
        <w:right w:val="none" w:sz="0" w:space="0" w:color="auto"/>
      </w:divBdr>
      <w:divsChild>
        <w:div w:id="267592043">
          <w:marLeft w:val="0"/>
          <w:marRight w:val="0"/>
          <w:marTop w:val="0"/>
          <w:marBottom w:val="0"/>
          <w:divBdr>
            <w:top w:val="none" w:sz="0" w:space="0" w:color="auto"/>
            <w:left w:val="none" w:sz="0" w:space="0" w:color="auto"/>
            <w:bottom w:val="none" w:sz="0" w:space="0" w:color="auto"/>
            <w:right w:val="none" w:sz="0" w:space="0" w:color="auto"/>
          </w:divBdr>
        </w:div>
        <w:div w:id="448402386">
          <w:marLeft w:val="0"/>
          <w:marRight w:val="0"/>
          <w:marTop w:val="0"/>
          <w:marBottom w:val="0"/>
          <w:divBdr>
            <w:top w:val="none" w:sz="0" w:space="0" w:color="auto"/>
            <w:left w:val="none" w:sz="0" w:space="0" w:color="auto"/>
            <w:bottom w:val="none" w:sz="0" w:space="0" w:color="auto"/>
            <w:right w:val="none" w:sz="0" w:space="0" w:color="auto"/>
          </w:divBdr>
        </w:div>
        <w:div w:id="1587763526">
          <w:marLeft w:val="0"/>
          <w:marRight w:val="0"/>
          <w:marTop w:val="0"/>
          <w:marBottom w:val="0"/>
          <w:divBdr>
            <w:top w:val="none" w:sz="0" w:space="0" w:color="auto"/>
            <w:left w:val="none" w:sz="0" w:space="0" w:color="auto"/>
            <w:bottom w:val="none" w:sz="0" w:space="0" w:color="auto"/>
            <w:right w:val="none" w:sz="0" w:space="0" w:color="auto"/>
          </w:divBdr>
        </w:div>
      </w:divsChild>
    </w:div>
    <w:div w:id="1974678955">
      <w:bodyDiv w:val="1"/>
      <w:marLeft w:val="0"/>
      <w:marRight w:val="0"/>
      <w:marTop w:val="0"/>
      <w:marBottom w:val="0"/>
      <w:divBdr>
        <w:top w:val="none" w:sz="0" w:space="0" w:color="auto"/>
        <w:left w:val="none" w:sz="0" w:space="0" w:color="auto"/>
        <w:bottom w:val="none" w:sz="0" w:space="0" w:color="auto"/>
        <w:right w:val="none" w:sz="0" w:space="0" w:color="auto"/>
      </w:divBdr>
    </w:div>
    <w:div w:id="1988774711">
      <w:bodyDiv w:val="1"/>
      <w:marLeft w:val="0"/>
      <w:marRight w:val="0"/>
      <w:marTop w:val="0"/>
      <w:marBottom w:val="0"/>
      <w:divBdr>
        <w:top w:val="none" w:sz="0" w:space="0" w:color="auto"/>
        <w:left w:val="none" w:sz="0" w:space="0" w:color="auto"/>
        <w:bottom w:val="none" w:sz="0" w:space="0" w:color="auto"/>
        <w:right w:val="none" w:sz="0" w:space="0" w:color="auto"/>
      </w:divBdr>
    </w:div>
    <w:div w:id="2085492853">
      <w:bodyDiv w:val="1"/>
      <w:marLeft w:val="0"/>
      <w:marRight w:val="0"/>
      <w:marTop w:val="0"/>
      <w:marBottom w:val="0"/>
      <w:divBdr>
        <w:top w:val="none" w:sz="0" w:space="0" w:color="auto"/>
        <w:left w:val="none" w:sz="0" w:space="0" w:color="auto"/>
        <w:bottom w:val="none" w:sz="0" w:space="0" w:color="auto"/>
        <w:right w:val="none" w:sz="0" w:space="0" w:color="auto"/>
      </w:divBdr>
    </w:div>
    <w:div w:id="214303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304405X163000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iencedirect.com/science/article/pii/S0304405X1630007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w.song@swansea.ac.uk" TargetMode="External"/><Relationship Id="rId2" Type="http://schemas.openxmlformats.org/officeDocument/2006/relationships/hyperlink" Target="mailto:leungws1@cardiff.ac.uk" TargetMode="External"/><Relationship Id="rId1" Type="http://schemas.openxmlformats.org/officeDocument/2006/relationships/hyperlink" Target="mailto:J.Chen3@leeds.ac.uk" TargetMode="External"/><Relationship Id="rId4" Type="http://schemas.openxmlformats.org/officeDocument/2006/relationships/hyperlink" Target="http://sites.temple.edu/lnaveen/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58486-EEA7-487E-86E5-4B078212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12727</Words>
  <Characters>72549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 Chen</dc:creator>
  <cp:keywords/>
  <dc:description/>
  <cp:lastModifiedBy>Avino, Davide</cp:lastModifiedBy>
  <cp:revision>2</cp:revision>
  <cp:lastPrinted>2018-08-22T10:54:00Z</cp:lastPrinted>
  <dcterms:created xsi:type="dcterms:W3CDTF">2019-01-07T15:20:00Z</dcterms:created>
  <dcterms:modified xsi:type="dcterms:W3CDTF">2019-01-07T15:20:00Z</dcterms:modified>
</cp:coreProperties>
</file>