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7CB8" w:rsidRPr="00951FE8" w:rsidRDefault="00D07CB8" w:rsidP="00951FE8">
      <w:pPr>
        <w:spacing w:after="0"/>
        <w:jc w:val="center"/>
        <w:rPr>
          <w:rFonts w:ascii="Arial" w:hAnsi="Arial" w:cs="Arial"/>
          <w:b/>
        </w:rPr>
      </w:pPr>
      <w:r w:rsidRPr="00951FE8">
        <w:rPr>
          <w:rFonts w:ascii="Arial" w:hAnsi="Arial" w:cs="Arial"/>
          <w:b/>
        </w:rPr>
        <w:t>Back on their feet again: Management of endocrine laminitis</w:t>
      </w:r>
    </w:p>
    <w:p w:rsidR="000315DB" w:rsidRPr="00951FE8" w:rsidRDefault="000315DB" w:rsidP="00951FE8">
      <w:pPr>
        <w:spacing w:after="0"/>
        <w:jc w:val="center"/>
        <w:rPr>
          <w:rFonts w:ascii="Arial" w:hAnsi="Arial" w:cs="Arial"/>
        </w:rPr>
      </w:pPr>
    </w:p>
    <w:p w:rsidR="00D07CB8" w:rsidRPr="00951FE8" w:rsidRDefault="00D07CB8" w:rsidP="00951FE8">
      <w:pPr>
        <w:spacing w:after="0"/>
        <w:jc w:val="center"/>
        <w:rPr>
          <w:rFonts w:ascii="Arial" w:hAnsi="Arial" w:cs="Arial"/>
        </w:rPr>
      </w:pPr>
      <w:r w:rsidRPr="00951FE8">
        <w:rPr>
          <w:rFonts w:ascii="Arial" w:hAnsi="Arial" w:cs="Arial"/>
        </w:rPr>
        <w:t>Professor Catherine McGowan</w:t>
      </w:r>
    </w:p>
    <w:p w:rsidR="00D07CB8" w:rsidRPr="00951FE8" w:rsidRDefault="00D07CB8" w:rsidP="00951FE8">
      <w:pPr>
        <w:spacing w:after="0"/>
        <w:jc w:val="center"/>
        <w:rPr>
          <w:rFonts w:ascii="Arial" w:hAnsi="Arial" w:cs="Arial"/>
        </w:rPr>
      </w:pPr>
      <w:r w:rsidRPr="00951FE8">
        <w:rPr>
          <w:rFonts w:ascii="Arial" w:hAnsi="Arial" w:cs="Arial"/>
        </w:rPr>
        <w:t>The University of Liverpool</w:t>
      </w:r>
    </w:p>
    <w:p w:rsidR="00D07CB8" w:rsidRPr="00951FE8" w:rsidRDefault="00D07CB8" w:rsidP="00951FE8">
      <w:pPr>
        <w:spacing w:after="0"/>
        <w:jc w:val="center"/>
        <w:rPr>
          <w:rFonts w:ascii="Arial" w:hAnsi="Arial" w:cs="Arial"/>
        </w:rPr>
      </w:pPr>
      <w:r w:rsidRPr="00951FE8">
        <w:rPr>
          <w:rFonts w:ascii="Arial" w:hAnsi="Arial" w:cs="Arial"/>
        </w:rPr>
        <w:t>Dept. Equine Clinical Science, Institute of Veterinary Science</w:t>
      </w:r>
    </w:p>
    <w:p w:rsidR="000315DB" w:rsidRPr="00951FE8" w:rsidRDefault="00D07CB8" w:rsidP="00951FE8">
      <w:pPr>
        <w:spacing w:after="0"/>
        <w:jc w:val="center"/>
        <w:rPr>
          <w:rFonts w:ascii="Arial" w:hAnsi="Arial" w:cs="Arial"/>
        </w:rPr>
      </w:pPr>
      <w:r w:rsidRPr="00951FE8">
        <w:rPr>
          <w:rFonts w:ascii="Arial" w:hAnsi="Arial" w:cs="Arial"/>
        </w:rPr>
        <w:t>Leahurst campus, Neston, CH64 7TE</w:t>
      </w:r>
    </w:p>
    <w:p w:rsidR="000315DB" w:rsidRPr="00951FE8" w:rsidRDefault="000315DB" w:rsidP="00951FE8">
      <w:pPr>
        <w:spacing w:after="0"/>
        <w:rPr>
          <w:rFonts w:ascii="Arial" w:hAnsi="Arial" w:cs="Arial"/>
        </w:rPr>
      </w:pPr>
    </w:p>
    <w:p w:rsidR="00D07CB8" w:rsidRPr="00951FE8" w:rsidRDefault="00D07CB8" w:rsidP="00951FE8">
      <w:pPr>
        <w:spacing w:after="0"/>
        <w:rPr>
          <w:rFonts w:ascii="Arial" w:hAnsi="Arial" w:cs="Arial"/>
        </w:rPr>
      </w:pPr>
    </w:p>
    <w:p w:rsidR="00D07CB8" w:rsidRPr="00951FE8" w:rsidRDefault="00D07CB8" w:rsidP="00951FE8">
      <w:pPr>
        <w:spacing w:after="0"/>
        <w:rPr>
          <w:rFonts w:ascii="Arial" w:hAnsi="Arial" w:cs="Arial"/>
          <w:i/>
        </w:rPr>
      </w:pPr>
      <w:r w:rsidRPr="00951FE8">
        <w:rPr>
          <w:rFonts w:ascii="Arial" w:hAnsi="Arial" w:cs="Arial"/>
          <w:i/>
        </w:rPr>
        <w:t>Management of naturally occurring endocrine laminitis (EMS, PPID or combination): diet, exercise and medical treatments and case examples.</w:t>
      </w:r>
    </w:p>
    <w:p w:rsidR="000315DB" w:rsidRPr="00951FE8" w:rsidRDefault="000315DB" w:rsidP="00951FE8">
      <w:pPr>
        <w:spacing w:after="0"/>
        <w:jc w:val="both"/>
        <w:rPr>
          <w:rFonts w:ascii="Arial" w:hAnsi="Arial" w:cs="Arial"/>
          <w:b/>
        </w:rPr>
      </w:pPr>
    </w:p>
    <w:p w:rsidR="009B5217" w:rsidRPr="00951FE8" w:rsidRDefault="00D07CB8" w:rsidP="00951FE8">
      <w:pPr>
        <w:spacing w:after="0"/>
        <w:jc w:val="both"/>
        <w:rPr>
          <w:rFonts w:ascii="Arial" w:hAnsi="Arial" w:cs="Arial"/>
          <w:b/>
        </w:rPr>
      </w:pPr>
      <w:r w:rsidRPr="00951FE8">
        <w:rPr>
          <w:rFonts w:ascii="Arial" w:hAnsi="Arial" w:cs="Arial"/>
          <w:b/>
        </w:rPr>
        <w:t>Introduction</w:t>
      </w:r>
    </w:p>
    <w:p w:rsidR="009B5217" w:rsidRPr="00951FE8" w:rsidRDefault="009B5217" w:rsidP="00951FE8">
      <w:pPr>
        <w:spacing w:after="0"/>
        <w:rPr>
          <w:rFonts w:ascii="Arial" w:hAnsi="Arial" w:cs="Arial"/>
        </w:rPr>
      </w:pPr>
      <w:r w:rsidRPr="00951FE8">
        <w:rPr>
          <w:rFonts w:ascii="Arial" w:hAnsi="Arial" w:cs="Arial"/>
        </w:rPr>
        <w:t>Once you have made a diagnosis of endocrinopathic laminitis, it is important to use that information to guide treatment of the acute laminitis episode as well as to guide long term management to prevent recurrence. However, not all endocrinopathic laminitis cases are lame and the importance of recognising sub clinical laminitis and the development of divergent hoof rings or other hoof capsular changes to enable preventive strategies to be implemented are emphasised.</w:t>
      </w:r>
    </w:p>
    <w:p w:rsidR="009B5217" w:rsidRPr="00951FE8" w:rsidRDefault="009B5217" w:rsidP="00951FE8">
      <w:pPr>
        <w:spacing w:after="0"/>
        <w:rPr>
          <w:rFonts w:ascii="Arial" w:hAnsi="Arial" w:cs="Arial"/>
        </w:rPr>
      </w:pPr>
    </w:p>
    <w:p w:rsidR="009B5217" w:rsidRPr="00951FE8" w:rsidRDefault="009B5217" w:rsidP="00951FE8">
      <w:pPr>
        <w:spacing w:after="0"/>
        <w:rPr>
          <w:rFonts w:ascii="Arial" w:hAnsi="Arial" w:cs="Arial"/>
        </w:rPr>
      </w:pPr>
      <w:r w:rsidRPr="00951FE8">
        <w:rPr>
          <w:rFonts w:ascii="Arial" w:hAnsi="Arial" w:cs="Arial"/>
        </w:rPr>
        <w:t>The aims of this presentation are to:</w:t>
      </w:r>
    </w:p>
    <w:p w:rsidR="009B5217" w:rsidRPr="00951FE8" w:rsidRDefault="009B5217" w:rsidP="00951FE8">
      <w:pPr>
        <w:pStyle w:val="ListParagraph"/>
        <w:numPr>
          <w:ilvl w:val="0"/>
          <w:numId w:val="1"/>
        </w:numPr>
        <w:spacing w:after="0"/>
        <w:rPr>
          <w:rFonts w:ascii="Arial" w:hAnsi="Arial" w:cs="Arial"/>
        </w:rPr>
      </w:pPr>
      <w:r w:rsidRPr="00951FE8">
        <w:rPr>
          <w:rFonts w:ascii="Arial" w:hAnsi="Arial" w:cs="Arial"/>
        </w:rPr>
        <w:t xml:space="preserve">Discuss management of the acute case including managing the pain, providing hoof support and preventing further damage as well as immediate endocrine treatment considerations. The evidence for medical options beyond NSAIDs will be discussed. </w:t>
      </w:r>
    </w:p>
    <w:p w:rsidR="009B5217" w:rsidRPr="00951FE8" w:rsidRDefault="009B5217" w:rsidP="00951FE8">
      <w:pPr>
        <w:pStyle w:val="ListParagraph"/>
        <w:numPr>
          <w:ilvl w:val="0"/>
          <w:numId w:val="1"/>
        </w:numPr>
        <w:spacing w:after="0"/>
        <w:rPr>
          <w:rFonts w:ascii="Arial" w:hAnsi="Arial" w:cs="Arial"/>
        </w:rPr>
      </w:pPr>
      <w:r w:rsidRPr="00951FE8">
        <w:rPr>
          <w:rFonts w:ascii="Arial" w:hAnsi="Arial" w:cs="Arial"/>
        </w:rPr>
        <w:t xml:space="preserve">Discuss management of the endocrine laminitis case after the acute episode, where the management focus is on the underlying cause, principally reduction of reduction of hyperinsulinaemia and improvement of insulin sensitivity using dietary management, exercise and medical therapy, depending on the case. </w:t>
      </w:r>
    </w:p>
    <w:p w:rsidR="009B5217" w:rsidRPr="00951FE8" w:rsidRDefault="009B5217" w:rsidP="00951FE8">
      <w:pPr>
        <w:pStyle w:val="ListParagraph"/>
        <w:numPr>
          <w:ilvl w:val="0"/>
          <w:numId w:val="1"/>
        </w:numPr>
        <w:spacing w:after="0"/>
        <w:rPr>
          <w:rFonts w:ascii="Arial" w:hAnsi="Arial" w:cs="Arial"/>
        </w:rPr>
      </w:pPr>
      <w:r w:rsidRPr="00951FE8">
        <w:rPr>
          <w:rFonts w:ascii="Arial" w:hAnsi="Arial" w:cs="Arial"/>
        </w:rPr>
        <w:t xml:space="preserve">Provide case based examples of endocrinopathic laminitis management, including longer term management, pitfalls and difficulties that may be encountered. This includes consideration of the owner and their requirements – how to tailor your plan to ensure owner compliance and equine welfare. </w:t>
      </w:r>
    </w:p>
    <w:p w:rsidR="000315DB" w:rsidRPr="00951FE8" w:rsidRDefault="000315DB" w:rsidP="00951FE8">
      <w:pPr>
        <w:spacing w:after="0"/>
        <w:jc w:val="both"/>
        <w:rPr>
          <w:rFonts w:ascii="Arial" w:hAnsi="Arial" w:cs="Arial"/>
        </w:rPr>
      </w:pPr>
    </w:p>
    <w:p w:rsidR="00C94F13" w:rsidRPr="00951FE8" w:rsidRDefault="00D84300" w:rsidP="00951FE8">
      <w:pPr>
        <w:spacing w:after="0"/>
        <w:rPr>
          <w:rFonts w:ascii="Arial" w:hAnsi="Arial" w:cs="Arial"/>
          <w:b/>
        </w:rPr>
      </w:pPr>
      <w:r w:rsidRPr="00951FE8">
        <w:rPr>
          <w:rFonts w:ascii="Arial" w:hAnsi="Arial" w:cs="Arial"/>
          <w:b/>
        </w:rPr>
        <w:t>M</w:t>
      </w:r>
      <w:r w:rsidR="00C94F13" w:rsidRPr="00951FE8">
        <w:rPr>
          <w:rFonts w:ascii="Arial" w:hAnsi="Arial" w:cs="Arial"/>
          <w:b/>
        </w:rPr>
        <w:t xml:space="preserve">anagement of </w:t>
      </w:r>
      <w:r w:rsidRPr="00951FE8">
        <w:rPr>
          <w:rFonts w:ascii="Arial" w:hAnsi="Arial" w:cs="Arial"/>
          <w:b/>
        </w:rPr>
        <w:t>the acute case</w:t>
      </w:r>
    </w:p>
    <w:p w:rsidR="00D52053" w:rsidRPr="00951FE8" w:rsidRDefault="00D52053" w:rsidP="00951FE8">
      <w:pPr>
        <w:spacing w:after="0"/>
        <w:rPr>
          <w:rFonts w:ascii="Arial" w:hAnsi="Arial" w:cs="Arial"/>
          <w:lang w:val="en-US"/>
        </w:rPr>
      </w:pPr>
      <w:r w:rsidRPr="00951FE8">
        <w:rPr>
          <w:rFonts w:ascii="Arial" w:hAnsi="Arial" w:cs="Arial"/>
          <w:lang w:val="en-US"/>
        </w:rPr>
        <w:t xml:space="preserve">Management of acute cases of laminitis involves three basic principles – </w:t>
      </w:r>
      <w:r w:rsidR="001A0F23" w:rsidRPr="00951FE8">
        <w:rPr>
          <w:rFonts w:ascii="Arial" w:hAnsi="Arial" w:cs="Arial"/>
          <w:lang w:val="en-US"/>
        </w:rPr>
        <w:t xml:space="preserve">identification and </w:t>
      </w:r>
      <w:r w:rsidRPr="00951FE8">
        <w:rPr>
          <w:rFonts w:ascii="Arial" w:hAnsi="Arial" w:cs="Arial"/>
          <w:lang w:val="en-US"/>
        </w:rPr>
        <w:t>treatment of the primary disease, pain relief and digital support.</w:t>
      </w:r>
    </w:p>
    <w:p w:rsidR="001A0F23" w:rsidRPr="00951FE8" w:rsidRDefault="001A0F23" w:rsidP="00951FE8">
      <w:pPr>
        <w:spacing w:after="0"/>
        <w:rPr>
          <w:rFonts w:ascii="Arial" w:hAnsi="Arial" w:cs="Arial"/>
          <w:lang w:val="en-US"/>
        </w:rPr>
      </w:pPr>
      <w:r w:rsidRPr="00951FE8">
        <w:rPr>
          <w:rFonts w:ascii="Arial" w:hAnsi="Arial" w:cs="Arial"/>
          <w:lang w:val="en-US"/>
        </w:rPr>
        <w:t>After initiating treatment, the severity and prognosis may be an important component of management, especially in severe or rapidly progressing cases.</w:t>
      </w:r>
    </w:p>
    <w:p w:rsidR="00A63BC2" w:rsidRPr="00951FE8" w:rsidRDefault="00A63BC2" w:rsidP="00951FE8">
      <w:pPr>
        <w:spacing w:after="0"/>
        <w:rPr>
          <w:rFonts w:ascii="Arial" w:hAnsi="Arial" w:cs="Arial"/>
          <w:lang w:val="en-US"/>
        </w:rPr>
      </w:pPr>
    </w:p>
    <w:p w:rsidR="009859FA" w:rsidRPr="00951FE8" w:rsidRDefault="001A0F23" w:rsidP="00951FE8">
      <w:pPr>
        <w:spacing w:after="0"/>
        <w:rPr>
          <w:rFonts w:ascii="Arial" w:hAnsi="Arial" w:cs="Arial"/>
          <w:lang w:val="en-GB"/>
        </w:rPr>
      </w:pPr>
      <w:r w:rsidRPr="00951FE8">
        <w:rPr>
          <w:rFonts w:ascii="Arial" w:hAnsi="Arial" w:cs="Arial"/>
          <w:lang w:val="en-US"/>
        </w:rPr>
        <w:t>Endocrine laminitis is</w:t>
      </w:r>
      <w:r w:rsidR="00D7161F" w:rsidRPr="00951FE8">
        <w:rPr>
          <w:rFonts w:ascii="Arial" w:hAnsi="Arial" w:cs="Arial"/>
          <w:lang w:val="en-US"/>
        </w:rPr>
        <w:t>,</w:t>
      </w:r>
      <w:r w:rsidRPr="00951FE8">
        <w:rPr>
          <w:rFonts w:ascii="Arial" w:hAnsi="Arial" w:cs="Arial"/>
          <w:lang w:val="en-US"/>
        </w:rPr>
        <w:t xml:space="preserve"> fortunately</w:t>
      </w:r>
      <w:r w:rsidR="00D7161F" w:rsidRPr="00951FE8">
        <w:rPr>
          <w:rFonts w:ascii="Arial" w:hAnsi="Arial" w:cs="Arial"/>
          <w:lang w:val="en-US"/>
        </w:rPr>
        <w:t>,</w:t>
      </w:r>
      <w:r w:rsidRPr="00951FE8">
        <w:rPr>
          <w:rFonts w:ascii="Arial" w:hAnsi="Arial" w:cs="Arial"/>
          <w:lang w:val="en-US"/>
        </w:rPr>
        <w:t xml:space="preserve"> </w:t>
      </w:r>
      <w:r w:rsidR="009859FA" w:rsidRPr="00951FE8">
        <w:rPr>
          <w:rFonts w:ascii="Arial" w:hAnsi="Arial" w:cs="Arial"/>
          <w:lang w:val="en-US"/>
        </w:rPr>
        <w:t>usually</w:t>
      </w:r>
      <w:r w:rsidRPr="00951FE8">
        <w:rPr>
          <w:rFonts w:ascii="Arial" w:hAnsi="Arial" w:cs="Arial"/>
          <w:lang w:val="en-US"/>
        </w:rPr>
        <w:t xml:space="preserve"> less severe and less progressive</w:t>
      </w:r>
      <w:r w:rsidR="005C1516" w:rsidRPr="00951FE8">
        <w:rPr>
          <w:rFonts w:ascii="Arial" w:hAnsi="Arial" w:cs="Arial"/>
          <w:lang w:val="en-US"/>
        </w:rPr>
        <w:t xml:space="preserve"> than laminitis secondary to systemic inflammatory conditions. Nonetheless, </w:t>
      </w:r>
      <w:r w:rsidRPr="00951FE8">
        <w:rPr>
          <w:rFonts w:ascii="Arial" w:hAnsi="Arial" w:cs="Arial"/>
          <w:lang w:val="en-US"/>
        </w:rPr>
        <w:t xml:space="preserve">an essential part of management is monitoring and managing the underlying endocrine cause as failure to do so </w:t>
      </w:r>
      <w:r w:rsidR="009859FA" w:rsidRPr="00951FE8">
        <w:rPr>
          <w:rFonts w:ascii="Arial" w:hAnsi="Arial" w:cs="Arial"/>
          <w:lang w:val="en-US"/>
        </w:rPr>
        <w:t>can</w:t>
      </w:r>
      <w:r w:rsidRPr="00951FE8">
        <w:rPr>
          <w:rFonts w:ascii="Arial" w:hAnsi="Arial" w:cs="Arial"/>
          <w:lang w:val="en-US"/>
        </w:rPr>
        <w:t xml:space="preserve"> result in treatment failure or recurrence.</w:t>
      </w:r>
      <w:r w:rsidR="009859FA" w:rsidRPr="00951FE8">
        <w:rPr>
          <w:rFonts w:ascii="Arial" w:hAnsi="Arial" w:cs="Arial"/>
          <w:lang w:val="en-US"/>
        </w:rPr>
        <w:t xml:space="preserve"> As mentioned in </w:t>
      </w:r>
      <w:r w:rsidR="00790F69" w:rsidRPr="00951FE8">
        <w:rPr>
          <w:rFonts w:ascii="Arial" w:hAnsi="Arial" w:cs="Arial"/>
          <w:lang w:val="en-US"/>
        </w:rPr>
        <w:t>another presentation (</w:t>
      </w:r>
      <w:r w:rsidR="009859FA" w:rsidRPr="00951FE8">
        <w:rPr>
          <w:rFonts w:ascii="Arial" w:hAnsi="Arial" w:cs="Arial"/>
          <w:lang w:val="en-US"/>
        </w:rPr>
        <w:t>Endocrine laminitis</w:t>
      </w:r>
      <w:r w:rsidR="00790F69" w:rsidRPr="00951FE8">
        <w:rPr>
          <w:rFonts w:ascii="Arial" w:hAnsi="Arial" w:cs="Arial"/>
          <w:lang w:val="en-US"/>
        </w:rPr>
        <w:t>)</w:t>
      </w:r>
      <w:r w:rsidR="009859FA" w:rsidRPr="00951FE8">
        <w:rPr>
          <w:rFonts w:ascii="Arial" w:hAnsi="Arial" w:cs="Arial"/>
          <w:lang w:val="en-US"/>
        </w:rPr>
        <w:t xml:space="preserve"> </w:t>
      </w:r>
      <w:r w:rsidR="009859FA" w:rsidRPr="00951FE8">
        <w:rPr>
          <w:rFonts w:ascii="Arial" w:hAnsi="Arial" w:cs="Arial"/>
          <w:lang w:val="en-GB"/>
        </w:rPr>
        <w:t>management should be guided by monitoring of insulin dysregulation not simply pain and grossly visible radiographic or hoof capsular changes, otherwise pathological changes to the lamellar cell</w:t>
      </w:r>
      <w:r w:rsidR="006A7CAF" w:rsidRPr="00951FE8">
        <w:rPr>
          <w:rFonts w:ascii="Arial" w:hAnsi="Arial" w:cs="Arial"/>
          <w:lang w:val="en-GB"/>
        </w:rPr>
        <w:t>s</w:t>
      </w:r>
      <w:r w:rsidR="009859FA" w:rsidRPr="00951FE8">
        <w:rPr>
          <w:rFonts w:ascii="Arial" w:hAnsi="Arial" w:cs="Arial"/>
          <w:lang w:val="en-GB"/>
        </w:rPr>
        <w:t xml:space="preserve"> can be continuing to </w:t>
      </w:r>
      <w:r w:rsidR="005C1516" w:rsidRPr="00951FE8">
        <w:rPr>
          <w:rFonts w:ascii="Arial" w:hAnsi="Arial" w:cs="Arial"/>
          <w:lang w:val="en-GB"/>
        </w:rPr>
        <w:t>occur</w:t>
      </w:r>
      <w:r w:rsidR="009859FA" w:rsidRPr="00951FE8">
        <w:rPr>
          <w:rFonts w:ascii="Arial" w:hAnsi="Arial" w:cs="Arial"/>
          <w:lang w:val="en-GB"/>
        </w:rPr>
        <w:t xml:space="preserve"> and chronic severe lamellar changes can occur.</w:t>
      </w:r>
    </w:p>
    <w:p w:rsidR="006A7CAF" w:rsidRPr="00951FE8" w:rsidRDefault="006A7CAF" w:rsidP="00951FE8">
      <w:pPr>
        <w:spacing w:after="0"/>
        <w:rPr>
          <w:rFonts w:ascii="Arial" w:hAnsi="Arial" w:cs="Arial"/>
          <w:lang w:val="en-GB"/>
        </w:rPr>
      </w:pPr>
    </w:p>
    <w:p w:rsidR="009859FA" w:rsidRPr="00951FE8" w:rsidRDefault="009859FA" w:rsidP="00951FE8">
      <w:pPr>
        <w:spacing w:after="0"/>
        <w:rPr>
          <w:rFonts w:ascii="Arial" w:hAnsi="Arial" w:cs="Arial"/>
          <w:lang w:val="en-GB"/>
        </w:rPr>
      </w:pPr>
      <w:r w:rsidRPr="00951FE8">
        <w:rPr>
          <w:rFonts w:ascii="Arial" w:hAnsi="Arial" w:cs="Arial"/>
          <w:lang w:val="en-GB"/>
        </w:rPr>
        <w:t xml:space="preserve">It is also vitally important to remember that not all endocrinopathic cases of laminitis demonstrate lameness, and repeated subclinical bouts of laminitis can occur with or </w:t>
      </w:r>
      <w:r w:rsidRPr="00951FE8">
        <w:rPr>
          <w:rFonts w:ascii="Arial" w:hAnsi="Arial" w:cs="Arial"/>
          <w:lang w:val="en-GB"/>
        </w:rPr>
        <w:lastRenderedPageBreak/>
        <w:t xml:space="preserve">without lameness. </w:t>
      </w:r>
      <w:r w:rsidRPr="00951FE8">
        <w:rPr>
          <w:rFonts w:ascii="Arial" w:hAnsi="Arial" w:cs="Arial"/>
          <w:vertAlign w:val="superscript"/>
          <w:lang w:val="en-GB"/>
        </w:rPr>
        <w:t xml:space="preserve">1 </w:t>
      </w:r>
      <w:r w:rsidR="00D7161F" w:rsidRPr="00951FE8">
        <w:rPr>
          <w:rFonts w:ascii="Arial" w:hAnsi="Arial" w:cs="Arial"/>
          <w:lang w:val="en-GB"/>
        </w:rPr>
        <w:t xml:space="preserve">The underlying pathology is associated with cellular cytoskeletal </w:t>
      </w:r>
      <w:r w:rsidR="00086B62" w:rsidRPr="00951FE8">
        <w:rPr>
          <w:rFonts w:ascii="Arial" w:hAnsi="Arial" w:cs="Arial"/>
          <w:lang w:val="en-GB"/>
        </w:rPr>
        <w:t>disruption</w:t>
      </w:r>
      <w:r w:rsidR="00D7161F" w:rsidRPr="00951FE8">
        <w:rPr>
          <w:rFonts w:ascii="Arial" w:hAnsi="Arial" w:cs="Arial"/>
          <w:lang w:val="en-GB"/>
        </w:rPr>
        <w:t xml:space="preserve">, stretching and lamellar elongation </w:t>
      </w:r>
      <w:r w:rsidR="00D7161F" w:rsidRPr="00951FE8">
        <w:rPr>
          <w:rFonts w:ascii="Arial" w:hAnsi="Arial" w:cs="Arial"/>
          <w:vertAlign w:val="superscript"/>
          <w:lang w:val="en-GB"/>
        </w:rPr>
        <w:t xml:space="preserve">2 </w:t>
      </w:r>
      <w:r w:rsidR="00D7161F" w:rsidRPr="00951FE8">
        <w:rPr>
          <w:rFonts w:ascii="Arial" w:hAnsi="Arial" w:cs="Arial"/>
          <w:lang w:val="en-GB"/>
        </w:rPr>
        <w:t xml:space="preserve">which </w:t>
      </w:r>
      <w:r w:rsidR="005C1516" w:rsidRPr="00951FE8">
        <w:rPr>
          <w:rFonts w:ascii="Arial" w:hAnsi="Arial" w:cs="Arial"/>
          <w:lang w:val="en-GB"/>
        </w:rPr>
        <w:t>results in</w:t>
      </w:r>
      <w:r w:rsidR="00D7161F" w:rsidRPr="00951FE8">
        <w:rPr>
          <w:rFonts w:ascii="Arial" w:hAnsi="Arial" w:cs="Arial"/>
          <w:lang w:val="en-GB"/>
        </w:rPr>
        <w:t xml:space="preserve"> abnormal </w:t>
      </w:r>
      <w:r w:rsidR="005C1516" w:rsidRPr="00951FE8">
        <w:rPr>
          <w:rFonts w:ascii="Arial" w:hAnsi="Arial" w:cs="Arial"/>
          <w:lang w:val="en-GB"/>
        </w:rPr>
        <w:t xml:space="preserve">and differential </w:t>
      </w:r>
      <w:r w:rsidR="00D7161F" w:rsidRPr="00951FE8">
        <w:rPr>
          <w:rFonts w:ascii="Arial" w:hAnsi="Arial" w:cs="Arial"/>
          <w:lang w:val="en-GB"/>
        </w:rPr>
        <w:t>hoof growth,</w:t>
      </w:r>
      <w:r w:rsidR="005C1516" w:rsidRPr="00951FE8">
        <w:rPr>
          <w:rFonts w:ascii="Arial" w:hAnsi="Arial" w:cs="Arial"/>
          <w:lang w:val="en-GB"/>
        </w:rPr>
        <w:t xml:space="preserve"> with reduced growth rate</w:t>
      </w:r>
      <w:r w:rsidR="00D7161F" w:rsidRPr="00951FE8">
        <w:rPr>
          <w:rFonts w:ascii="Arial" w:hAnsi="Arial" w:cs="Arial"/>
          <w:lang w:val="en-GB"/>
        </w:rPr>
        <w:t xml:space="preserve"> especially at the dorsal aspect of the hoof wall resulting in divergent (laminitic) rings. The occurrence of </w:t>
      </w:r>
      <w:proofErr w:type="spellStart"/>
      <w:r w:rsidR="00D7161F" w:rsidRPr="00951FE8">
        <w:rPr>
          <w:rFonts w:ascii="Arial" w:hAnsi="Arial" w:cs="Arial"/>
          <w:lang w:val="en-GB"/>
        </w:rPr>
        <w:t>cap</w:t>
      </w:r>
      <w:proofErr w:type="spellEnd"/>
      <w:r w:rsidR="00D7161F" w:rsidRPr="00951FE8">
        <w:rPr>
          <w:rFonts w:ascii="Arial" w:hAnsi="Arial" w:cs="Arial"/>
          <w:lang w:val="en-GB"/>
        </w:rPr>
        <w:t xml:space="preserve"> horn</w:t>
      </w:r>
      <w:r w:rsidR="005C1516" w:rsidRPr="00951FE8">
        <w:rPr>
          <w:rFonts w:ascii="Arial" w:hAnsi="Arial" w:cs="Arial"/>
          <w:lang w:val="en-GB"/>
        </w:rPr>
        <w:t xml:space="preserve"> associated with endocrinopathic lamellar lesions</w:t>
      </w:r>
      <w:r w:rsidR="00D7161F" w:rsidRPr="00951FE8">
        <w:rPr>
          <w:rFonts w:ascii="Arial" w:hAnsi="Arial" w:cs="Arial"/>
          <w:lang w:val="en-GB"/>
        </w:rPr>
        <w:t xml:space="preserve"> </w:t>
      </w:r>
      <w:r w:rsidR="00D7161F" w:rsidRPr="00951FE8">
        <w:rPr>
          <w:rFonts w:ascii="Arial" w:hAnsi="Arial" w:cs="Arial"/>
          <w:vertAlign w:val="superscript"/>
          <w:lang w:val="en-GB"/>
        </w:rPr>
        <w:t>1</w:t>
      </w:r>
      <w:r w:rsidR="00D7161F" w:rsidRPr="00951FE8">
        <w:rPr>
          <w:rFonts w:ascii="Arial" w:hAnsi="Arial" w:cs="Arial"/>
          <w:lang w:val="en-GB"/>
        </w:rPr>
        <w:t xml:space="preserve"> can result in visible widening or separation of the white line and increased susceptibility to hoof abscesses and changes in the position of the pedal bone can cause flattening or convexity of the soles.</w:t>
      </w:r>
      <w:r w:rsidR="00086B62" w:rsidRPr="00951FE8">
        <w:rPr>
          <w:rFonts w:ascii="Arial" w:hAnsi="Arial" w:cs="Arial"/>
          <w:lang w:val="en-GB"/>
        </w:rPr>
        <w:t xml:space="preserve"> </w:t>
      </w:r>
      <w:r w:rsidR="005C1516" w:rsidRPr="00951FE8">
        <w:rPr>
          <w:rFonts w:ascii="Arial" w:hAnsi="Arial" w:cs="Arial"/>
          <w:lang w:val="en-GB"/>
        </w:rPr>
        <w:t>Early i</w:t>
      </w:r>
      <w:r w:rsidR="00086B62" w:rsidRPr="00951FE8">
        <w:rPr>
          <w:rFonts w:ascii="Arial" w:hAnsi="Arial" w:cs="Arial"/>
          <w:lang w:val="en-GB"/>
        </w:rPr>
        <w:t>dentification of these changes</w:t>
      </w:r>
      <w:r w:rsidR="005C1516" w:rsidRPr="00951FE8">
        <w:rPr>
          <w:rFonts w:ascii="Arial" w:hAnsi="Arial" w:cs="Arial"/>
          <w:lang w:val="en-GB"/>
        </w:rPr>
        <w:t xml:space="preserve">, even </w:t>
      </w:r>
      <w:r w:rsidR="00086B62" w:rsidRPr="00951FE8">
        <w:rPr>
          <w:rFonts w:ascii="Arial" w:hAnsi="Arial" w:cs="Arial"/>
          <w:lang w:val="en-GB"/>
        </w:rPr>
        <w:t>prior to clinical laminitis</w:t>
      </w:r>
      <w:r w:rsidR="005C1516" w:rsidRPr="00951FE8">
        <w:rPr>
          <w:rFonts w:ascii="Arial" w:hAnsi="Arial" w:cs="Arial"/>
          <w:lang w:val="en-GB"/>
        </w:rPr>
        <w:t>,</w:t>
      </w:r>
      <w:r w:rsidR="00086B62" w:rsidRPr="00951FE8">
        <w:rPr>
          <w:rFonts w:ascii="Arial" w:hAnsi="Arial" w:cs="Arial"/>
          <w:lang w:val="en-GB"/>
        </w:rPr>
        <w:t xml:space="preserve"> will allow management strategies to be implemented.</w:t>
      </w:r>
    </w:p>
    <w:p w:rsidR="00A63BC2" w:rsidRPr="00951FE8" w:rsidRDefault="00A63BC2" w:rsidP="00951FE8">
      <w:pPr>
        <w:spacing w:after="0"/>
        <w:rPr>
          <w:rFonts w:ascii="Arial" w:hAnsi="Arial" w:cs="Arial"/>
          <w:b/>
          <w:lang w:val="en-US"/>
        </w:rPr>
      </w:pPr>
    </w:p>
    <w:p w:rsidR="00D52053" w:rsidRPr="00951FE8" w:rsidRDefault="00D52053" w:rsidP="00951FE8">
      <w:pPr>
        <w:spacing w:after="0"/>
        <w:rPr>
          <w:rFonts w:ascii="Arial" w:hAnsi="Arial" w:cs="Arial"/>
          <w:lang w:val="en-US"/>
        </w:rPr>
      </w:pPr>
      <w:r w:rsidRPr="00951FE8">
        <w:rPr>
          <w:rFonts w:ascii="Arial" w:hAnsi="Arial" w:cs="Arial"/>
          <w:b/>
          <w:lang w:val="en-US"/>
        </w:rPr>
        <w:t>Managing the pain</w:t>
      </w:r>
    </w:p>
    <w:p w:rsidR="00BF4BEC" w:rsidRPr="00951FE8" w:rsidRDefault="00D52053" w:rsidP="00951FE8">
      <w:pPr>
        <w:spacing w:after="0"/>
        <w:rPr>
          <w:rFonts w:ascii="Arial" w:hAnsi="Arial" w:cs="Arial"/>
          <w:lang w:val="en-US"/>
        </w:rPr>
      </w:pPr>
      <w:r w:rsidRPr="00951FE8">
        <w:rPr>
          <w:rFonts w:ascii="Arial" w:hAnsi="Arial" w:cs="Arial"/>
          <w:lang w:val="en-US"/>
        </w:rPr>
        <w:t>A</w:t>
      </w:r>
      <w:r w:rsidR="00C94F13" w:rsidRPr="00951FE8">
        <w:rPr>
          <w:rFonts w:ascii="Arial" w:hAnsi="Arial" w:cs="Arial"/>
          <w:lang w:val="en-US"/>
        </w:rPr>
        <w:t>ppropriate analgesia using non-steroidal anti-inflammatory drugs</w:t>
      </w:r>
      <w:r w:rsidR="00BF4BEC" w:rsidRPr="00951FE8">
        <w:rPr>
          <w:rFonts w:ascii="Arial" w:hAnsi="Arial" w:cs="Arial"/>
          <w:lang w:val="en-US"/>
        </w:rPr>
        <w:t xml:space="preserve"> (NSAIDS)</w:t>
      </w:r>
      <w:r w:rsidR="005C1516" w:rsidRPr="00951FE8">
        <w:rPr>
          <w:rFonts w:ascii="Arial" w:hAnsi="Arial" w:cs="Arial"/>
          <w:lang w:val="en-US"/>
        </w:rPr>
        <w:t xml:space="preserve"> is an important part of treatment</w:t>
      </w:r>
      <w:r w:rsidR="00C94F13" w:rsidRPr="00951FE8">
        <w:rPr>
          <w:rFonts w:ascii="Arial" w:hAnsi="Arial" w:cs="Arial"/>
          <w:lang w:val="en-US"/>
        </w:rPr>
        <w:t xml:space="preserve">. There </w:t>
      </w:r>
      <w:r w:rsidR="002D5304" w:rsidRPr="00951FE8">
        <w:rPr>
          <w:rFonts w:ascii="Arial" w:hAnsi="Arial" w:cs="Arial"/>
          <w:lang w:val="en-US"/>
        </w:rPr>
        <w:t xml:space="preserve">is some evidence that </w:t>
      </w:r>
      <w:r w:rsidR="00C94F13" w:rsidRPr="00951FE8">
        <w:rPr>
          <w:rFonts w:ascii="Arial" w:hAnsi="Arial" w:cs="Arial"/>
          <w:lang w:val="en-US"/>
        </w:rPr>
        <w:t>COX-2</w:t>
      </w:r>
      <w:r w:rsidR="002D5304" w:rsidRPr="00951FE8">
        <w:rPr>
          <w:rFonts w:ascii="Arial" w:hAnsi="Arial" w:cs="Arial"/>
          <w:lang w:val="en-US"/>
        </w:rPr>
        <w:t xml:space="preserve"> is constitutive in the lamellar dermis </w:t>
      </w:r>
      <w:r w:rsidR="00BF4BEC" w:rsidRPr="00951FE8">
        <w:rPr>
          <w:rFonts w:ascii="Arial" w:hAnsi="Arial" w:cs="Arial"/>
          <w:lang w:val="en-US"/>
        </w:rPr>
        <w:t xml:space="preserve">and epithelium </w:t>
      </w:r>
      <w:r w:rsidR="002D5304" w:rsidRPr="00951FE8">
        <w:rPr>
          <w:rFonts w:ascii="Arial" w:hAnsi="Arial" w:cs="Arial"/>
          <w:vertAlign w:val="superscript"/>
          <w:lang w:val="en-US"/>
        </w:rPr>
        <w:t>3</w:t>
      </w:r>
      <w:r w:rsidR="002D5304" w:rsidRPr="00951FE8">
        <w:rPr>
          <w:rFonts w:ascii="Arial" w:hAnsi="Arial" w:cs="Arial"/>
          <w:lang w:val="en-US"/>
        </w:rPr>
        <w:t xml:space="preserve"> so even though COX-2 </w:t>
      </w:r>
      <w:r w:rsidR="005C1516" w:rsidRPr="00951FE8">
        <w:rPr>
          <w:rFonts w:ascii="Arial" w:hAnsi="Arial" w:cs="Arial"/>
          <w:lang w:val="en-US"/>
        </w:rPr>
        <w:t>has been shown to be</w:t>
      </w:r>
      <w:r w:rsidR="002D5304" w:rsidRPr="00951FE8">
        <w:rPr>
          <w:rFonts w:ascii="Arial" w:hAnsi="Arial" w:cs="Arial"/>
          <w:lang w:val="en-US"/>
        </w:rPr>
        <w:t xml:space="preserve"> upregulated in laminitis, highly COX-2</w:t>
      </w:r>
      <w:r w:rsidR="00C94F13" w:rsidRPr="00951FE8">
        <w:rPr>
          <w:rFonts w:ascii="Arial" w:hAnsi="Arial" w:cs="Arial"/>
          <w:lang w:val="en-US"/>
        </w:rPr>
        <w:t xml:space="preserve"> specific drugs</w:t>
      </w:r>
      <w:r w:rsidR="002D5304" w:rsidRPr="00951FE8">
        <w:rPr>
          <w:rFonts w:ascii="Arial" w:hAnsi="Arial" w:cs="Arial"/>
          <w:lang w:val="en-US"/>
        </w:rPr>
        <w:t xml:space="preserve"> </w:t>
      </w:r>
      <w:r w:rsidR="00BF4BEC" w:rsidRPr="00951FE8">
        <w:rPr>
          <w:rFonts w:ascii="Arial" w:hAnsi="Arial" w:cs="Arial"/>
          <w:lang w:val="en-US"/>
        </w:rPr>
        <w:t>could have detrimental effects on homeostasis. Long term NSAIDS can result in signs of gastrointestinal or renal toxicity, in which case paracetamol can be useful to either in combination with</w:t>
      </w:r>
      <w:r w:rsidR="005C1516" w:rsidRPr="00951FE8">
        <w:rPr>
          <w:rFonts w:ascii="Arial" w:hAnsi="Arial" w:cs="Arial"/>
          <w:lang w:val="en-US"/>
        </w:rPr>
        <w:t xml:space="preserve"> (to reduce NSAID dose)</w:t>
      </w:r>
      <w:r w:rsidR="00BF4BEC" w:rsidRPr="00951FE8">
        <w:rPr>
          <w:rFonts w:ascii="Arial" w:hAnsi="Arial" w:cs="Arial"/>
          <w:lang w:val="en-US"/>
        </w:rPr>
        <w:t xml:space="preserve"> or instead of NSAIDs. </w:t>
      </w:r>
      <w:r w:rsidR="00BF4BEC" w:rsidRPr="00951FE8">
        <w:rPr>
          <w:rFonts w:ascii="Arial" w:hAnsi="Arial" w:cs="Arial"/>
          <w:vertAlign w:val="superscript"/>
          <w:lang w:val="en-US"/>
        </w:rPr>
        <w:t>4</w:t>
      </w:r>
      <w:r w:rsidR="00BF4BEC" w:rsidRPr="00951FE8">
        <w:rPr>
          <w:rFonts w:ascii="Arial" w:hAnsi="Arial" w:cs="Arial"/>
          <w:lang w:val="en-US"/>
        </w:rPr>
        <w:t xml:space="preserve"> </w:t>
      </w:r>
    </w:p>
    <w:p w:rsidR="00A63BC2" w:rsidRPr="00951FE8" w:rsidRDefault="00A63BC2" w:rsidP="00951FE8">
      <w:pPr>
        <w:spacing w:after="0"/>
        <w:rPr>
          <w:rFonts w:ascii="Arial" w:hAnsi="Arial" w:cs="Arial"/>
          <w:lang w:val="en-US"/>
        </w:rPr>
      </w:pPr>
    </w:p>
    <w:p w:rsidR="00BF4BEC" w:rsidRPr="00951FE8" w:rsidRDefault="00BF4BEC" w:rsidP="00951FE8">
      <w:pPr>
        <w:spacing w:after="0"/>
        <w:rPr>
          <w:rFonts w:ascii="Arial" w:hAnsi="Arial" w:cs="Arial"/>
          <w:lang w:val="en-US"/>
        </w:rPr>
      </w:pPr>
      <w:r w:rsidRPr="00951FE8">
        <w:rPr>
          <w:rFonts w:ascii="Arial" w:hAnsi="Arial" w:cs="Arial"/>
          <w:lang w:val="en-US"/>
        </w:rPr>
        <w:t>Where pain is severe or non-responsive, multi modal analgesia is warranted including opioids, ketamine or lidocaine infusion</w:t>
      </w:r>
      <w:r w:rsidR="00AA550F" w:rsidRPr="00951FE8">
        <w:rPr>
          <w:rFonts w:ascii="Arial" w:hAnsi="Arial" w:cs="Arial"/>
          <w:lang w:val="en-US"/>
        </w:rPr>
        <w:t>. Some clinicians have had good results with gabapentin therapy to modulate neuropathic pain.</w:t>
      </w:r>
    </w:p>
    <w:p w:rsidR="00A63BC2" w:rsidRPr="00951FE8" w:rsidRDefault="00A63BC2" w:rsidP="00951FE8">
      <w:pPr>
        <w:spacing w:after="0"/>
        <w:rPr>
          <w:rFonts w:ascii="Arial" w:hAnsi="Arial" w:cs="Arial"/>
          <w:b/>
          <w:lang w:val="en-US"/>
        </w:rPr>
      </w:pPr>
    </w:p>
    <w:p w:rsidR="00790F69" w:rsidRPr="00951FE8" w:rsidRDefault="00790F69" w:rsidP="00951FE8">
      <w:pPr>
        <w:spacing w:after="0"/>
        <w:rPr>
          <w:rFonts w:ascii="Arial" w:hAnsi="Arial" w:cs="Arial"/>
          <w:b/>
          <w:lang w:val="en-US"/>
        </w:rPr>
      </w:pPr>
      <w:r w:rsidRPr="00951FE8">
        <w:rPr>
          <w:rFonts w:ascii="Arial" w:hAnsi="Arial" w:cs="Arial"/>
          <w:b/>
          <w:lang w:val="en-US"/>
        </w:rPr>
        <w:t>Digital support</w:t>
      </w:r>
    </w:p>
    <w:p w:rsidR="00C94F13" w:rsidRPr="00951FE8" w:rsidRDefault="00C94F13" w:rsidP="00951FE8">
      <w:pPr>
        <w:spacing w:after="0"/>
        <w:rPr>
          <w:rFonts w:ascii="Arial" w:hAnsi="Arial" w:cs="Arial"/>
          <w:lang w:val="en-US"/>
        </w:rPr>
      </w:pPr>
      <w:r w:rsidRPr="00951FE8">
        <w:rPr>
          <w:rFonts w:ascii="Arial" w:hAnsi="Arial" w:cs="Arial"/>
          <w:lang w:val="en-US"/>
        </w:rPr>
        <w:t>Appropriate sole support is vital in severe cases th</w:t>
      </w:r>
      <w:r w:rsidR="00031D2B" w:rsidRPr="00951FE8">
        <w:rPr>
          <w:rFonts w:ascii="Arial" w:hAnsi="Arial" w:cs="Arial"/>
          <w:lang w:val="en-US"/>
        </w:rPr>
        <w:t>r</w:t>
      </w:r>
      <w:r w:rsidRPr="00951FE8">
        <w:rPr>
          <w:rFonts w:ascii="Arial" w:hAnsi="Arial" w:cs="Arial"/>
          <w:lang w:val="en-US"/>
        </w:rPr>
        <w:t xml:space="preserve">ough either </w:t>
      </w:r>
      <w:proofErr w:type="spellStart"/>
      <w:proofErr w:type="gramStart"/>
      <w:r w:rsidR="003C38FB" w:rsidRPr="00951FE8">
        <w:rPr>
          <w:rFonts w:ascii="Arial" w:hAnsi="Arial" w:cs="Arial"/>
          <w:lang w:val="en-US"/>
        </w:rPr>
        <w:t>s</w:t>
      </w:r>
      <w:r w:rsidRPr="00951FE8">
        <w:rPr>
          <w:rFonts w:ascii="Arial" w:hAnsi="Arial" w:cs="Arial"/>
          <w:lang w:val="en-US"/>
        </w:rPr>
        <w:t>tyrofoam</w:t>
      </w:r>
      <w:proofErr w:type="spellEnd"/>
      <w:proofErr w:type="gramEnd"/>
      <w:r w:rsidRPr="00951FE8">
        <w:rPr>
          <w:rFonts w:ascii="Arial" w:hAnsi="Arial" w:cs="Arial"/>
          <w:lang w:val="en-US"/>
        </w:rPr>
        <w:t xml:space="preserve"> pads or other </w:t>
      </w:r>
      <w:r w:rsidR="00031D2B" w:rsidRPr="00951FE8">
        <w:rPr>
          <w:rFonts w:ascii="Arial" w:hAnsi="Arial" w:cs="Arial"/>
          <w:lang w:val="en-US"/>
        </w:rPr>
        <w:t>moldable</w:t>
      </w:r>
      <w:r w:rsidRPr="00951FE8">
        <w:rPr>
          <w:rFonts w:ascii="Arial" w:hAnsi="Arial" w:cs="Arial"/>
          <w:lang w:val="en-US"/>
        </w:rPr>
        <w:t xml:space="preserve"> soft sole support products. </w:t>
      </w:r>
      <w:r w:rsidR="00C252FB" w:rsidRPr="00951FE8">
        <w:rPr>
          <w:rFonts w:ascii="Arial" w:hAnsi="Arial" w:cs="Arial"/>
          <w:lang w:val="en-US"/>
        </w:rPr>
        <w:t xml:space="preserve">Shoe removal may be not possible in severe cases, but many products can be used with shoes still in place.  A deep bed can also reduce pain and is advised. </w:t>
      </w:r>
      <w:r w:rsidRPr="00951FE8">
        <w:rPr>
          <w:rFonts w:ascii="Arial" w:hAnsi="Arial" w:cs="Arial"/>
          <w:lang w:val="en-US"/>
        </w:rPr>
        <w:t>The aim is to spread the weight bearing surface over a wider surface area, with maximal weight bearing on the less affected heel areas</w:t>
      </w:r>
      <w:r w:rsidR="00C252FB" w:rsidRPr="00951FE8">
        <w:rPr>
          <w:rFonts w:ascii="Arial" w:hAnsi="Arial" w:cs="Arial"/>
          <w:lang w:val="en-US"/>
        </w:rPr>
        <w:t xml:space="preserve"> and frog. Trimming can be useful to</w:t>
      </w:r>
      <w:r w:rsidRPr="00951FE8">
        <w:rPr>
          <w:rFonts w:ascii="Arial" w:hAnsi="Arial" w:cs="Arial"/>
          <w:lang w:val="en-US"/>
        </w:rPr>
        <w:t xml:space="preserve"> change the point of </w:t>
      </w:r>
      <w:r w:rsidR="00031D2B" w:rsidRPr="00951FE8">
        <w:rPr>
          <w:rFonts w:ascii="Arial" w:hAnsi="Arial" w:cs="Arial"/>
          <w:lang w:val="en-US"/>
        </w:rPr>
        <w:t>break over</w:t>
      </w:r>
      <w:r w:rsidRPr="00951FE8">
        <w:rPr>
          <w:rFonts w:ascii="Arial" w:hAnsi="Arial" w:cs="Arial"/>
          <w:lang w:val="en-US"/>
        </w:rPr>
        <w:t xml:space="preserve"> to a more caudal position (i.e. shorten the toe)</w:t>
      </w:r>
      <w:r w:rsidR="00C252FB" w:rsidRPr="00951FE8">
        <w:rPr>
          <w:rFonts w:ascii="Arial" w:hAnsi="Arial" w:cs="Arial"/>
          <w:lang w:val="en-US"/>
        </w:rPr>
        <w:t>, but may not be possible acutely</w:t>
      </w:r>
      <w:r w:rsidRPr="00951FE8">
        <w:rPr>
          <w:rFonts w:ascii="Arial" w:hAnsi="Arial" w:cs="Arial"/>
          <w:lang w:val="en-US"/>
        </w:rPr>
        <w:t xml:space="preserve">. </w:t>
      </w:r>
      <w:r w:rsidR="00C252FB" w:rsidRPr="00951FE8">
        <w:rPr>
          <w:rFonts w:ascii="Arial" w:hAnsi="Arial" w:cs="Arial"/>
          <w:lang w:val="en-US"/>
        </w:rPr>
        <w:t xml:space="preserve">Ideally work with radiographs and a good farrier. </w:t>
      </w:r>
      <w:r w:rsidRPr="00951FE8">
        <w:rPr>
          <w:rFonts w:ascii="Arial" w:hAnsi="Arial" w:cs="Arial"/>
          <w:lang w:val="en-US"/>
        </w:rPr>
        <w:t>Exercise restriction</w:t>
      </w:r>
      <w:r w:rsidR="00800E16" w:rsidRPr="00951FE8">
        <w:rPr>
          <w:rFonts w:ascii="Arial" w:hAnsi="Arial" w:cs="Arial"/>
          <w:lang w:val="en-US"/>
        </w:rPr>
        <w:t xml:space="preserve"> in the form of box rest</w:t>
      </w:r>
      <w:r w:rsidRPr="00951FE8">
        <w:rPr>
          <w:rFonts w:ascii="Arial" w:hAnsi="Arial" w:cs="Arial"/>
          <w:lang w:val="en-US"/>
        </w:rPr>
        <w:t xml:space="preserve"> is generally recommended due to the </w:t>
      </w:r>
      <w:r w:rsidR="000B5D69" w:rsidRPr="00951FE8">
        <w:rPr>
          <w:rFonts w:ascii="Arial" w:hAnsi="Arial" w:cs="Arial"/>
          <w:lang w:val="en-US"/>
        </w:rPr>
        <w:t xml:space="preserve">potential </w:t>
      </w:r>
      <w:r w:rsidR="005C1516" w:rsidRPr="00951FE8">
        <w:rPr>
          <w:rFonts w:ascii="Arial" w:hAnsi="Arial" w:cs="Arial"/>
          <w:lang w:val="en-US"/>
        </w:rPr>
        <w:t xml:space="preserve">to </w:t>
      </w:r>
      <w:r w:rsidR="000B5D69" w:rsidRPr="00951FE8">
        <w:rPr>
          <w:rFonts w:ascii="Arial" w:hAnsi="Arial" w:cs="Arial"/>
          <w:lang w:val="en-US"/>
        </w:rPr>
        <w:t xml:space="preserve">damage or even </w:t>
      </w:r>
      <w:r w:rsidR="005C1516" w:rsidRPr="00951FE8">
        <w:rPr>
          <w:rFonts w:ascii="Arial" w:hAnsi="Arial" w:cs="Arial"/>
          <w:lang w:val="en-US"/>
        </w:rPr>
        <w:t>tear</w:t>
      </w:r>
      <w:r w:rsidR="000B5D69" w:rsidRPr="00951FE8">
        <w:rPr>
          <w:rFonts w:ascii="Arial" w:hAnsi="Arial" w:cs="Arial"/>
          <w:lang w:val="en-US"/>
        </w:rPr>
        <w:t xml:space="preserve"> the elongated and weakened </w:t>
      </w:r>
      <w:r w:rsidR="005C1516" w:rsidRPr="00951FE8">
        <w:rPr>
          <w:rFonts w:ascii="Arial" w:hAnsi="Arial" w:cs="Arial"/>
          <w:lang w:val="en-US"/>
        </w:rPr>
        <w:t xml:space="preserve">lamellae. </w:t>
      </w:r>
    </w:p>
    <w:p w:rsidR="00A63BC2" w:rsidRPr="00951FE8" w:rsidRDefault="00A63BC2" w:rsidP="00951FE8">
      <w:pPr>
        <w:spacing w:after="0"/>
        <w:rPr>
          <w:rFonts w:ascii="Arial" w:hAnsi="Arial" w:cs="Arial"/>
          <w:b/>
          <w:lang w:val="en-US"/>
        </w:rPr>
      </w:pPr>
    </w:p>
    <w:p w:rsidR="00790F69" w:rsidRPr="00951FE8" w:rsidRDefault="00A63BC2" w:rsidP="00951FE8">
      <w:pPr>
        <w:spacing w:after="0"/>
        <w:rPr>
          <w:rFonts w:ascii="Arial" w:hAnsi="Arial" w:cs="Arial"/>
          <w:b/>
          <w:lang w:val="en-US"/>
        </w:rPr>
      </w:pPr>
      <w:r w:rsidRPr="00951FE8">
        <w:rPr>
          <w:rFonts w:ascii="Arial" w:hAnsi="Arial" w:cs="Arial"/>
          <w:b/>
          <w:lang w:val="en-US"/>
        </w:rPr>
        <w:t>Other therapy</w:t>
      </w:r>
    </w:p>
    <w:p w:rsidR="00E26555" w:rsidRPr="00951FE8" w:rsidRDefault="00790F69" w:rsidP="00951FE8">
      <w:pPr>
        <w:spacing w:after="0"/>
        <w:rPr>
          <w:rFonts w:ascii="Arial" w:hAnsi="Arial" w:cs="Arial"/>
          <w:lang w:val="en-US"/>
        </w:rPr>
      </w:pPr>
      <w:proofErr w:type="spellStart"/>
      <w:r w:rsidRPr="00951FE8">
        <w:rPr>
          <w:rFonts w:ascii="Arial" w:hAnsi="Arial" w:cs="Arial"/>
          <w:lang w:val="en-US"/>
        </w:rPr>
        <w:t>Acepromazine</w:t>
      </w:r>
      <w:proofErr w:type="spellEnd"/>
      <w:r w:rsidRPr="00951FE8">
        <w:rPr>
          <w:rFonts w:ascii="Arial" w:hAnsi="Arial" w:cs="Arial"/>
          <w:lang w:val="en-US"/>
        </w:rPr>
        <w:t xml:space="preserve"> (0.03 mg/kg) has been used as a sedative and </w:t>
      </w:r>
      <w:r w:rsidR="00AA550F" w:rsidRPr="00951FE8">
        <w:rPr>
          <w:rFonts w:ascii="Arial" w:hAnsi="Arial" w:cs="Arial"/>
          <w:lang w:val="en-US"/>
        </w:rPr>
        <w:t xml:space="preserve">purported </w:t>
      </w:r>
      <w:r w:rsidRPr="00951FE8">
        <w:rPr>
          <w:rFonts w:ascii="Arial" w:hAnsi="Arial" w:cs="Arial"/>
          <w:lang w:val="en-US"/>
        </w:rPr>
        <w:t>peripheral vasodilator in th</w:t>
      </w:r>
      <w:r w:rsidR="00AA550F" w:rsidRPr="00951FE8">
        <w:rPr>
          <w:rFonts w:ascii="Arial" w:hAnsi="Arial" w:cs="Arial"/>
          <w:lang w:val="en-US"/>
        </w:rPr>
        <w:t>e treatment of laminitis cases, however the</w:t>
      </w:r>
      <w:r w:rsidR="00E26555" w:rsidRPr="00951FE8">
        <w:rPr>
          <w:rFonts w:ascii="Arial" w:hAnsi="Arial" w:cs="Arial"/>
          <w:lang w:val="en-US"/>
        </w:rPr>
        <w:t>re is limited</w:t>
      </w:r>
      <w:r w:rsidR="00AA550F" w:rsidRPr="00951FE8">
        <w:rPr>
          <w:rFonts w:ascii="Arial" w:hAnsi="Arial" w:cs="Arial"/>
          <w:lang w:val="en-US"/>
        </w:rPr>
        <w:t xml:space="preserve"> evidence for its vasodilatory</w:t>
      </w:r>
      <w:r w:rsidR="00E26555" w:rsidRPr="00951FE8">
        <w:rPr>
          <w:rFonts w:ascii="Arial" w:hAnsi="Arial" w:cs="Arial"/>
          <w:lang w:val="en-US"/>
        </w:rPr>
        <w:t xml:space="preserve"> effects within the hoof</w:t>
      </w:r>
      <w:r w:rsidR="00AA550F" w:rsidRPr="00951FE8">
        <w:rPr>
          <w:rFonts w:ascii="Arial" w:hAnsi="Arial" w:cs="Arial"/>
          <w:lang w:val="en-US"/>
        </w:rPr>
        <w:t xml:space="preserve">. For pasture-associated (endocrinopathic) laminitis, there </w:t>
      </w:r>
      <w:r w:rsidR="00E26555" w:rsidRPr="00951FE8">
        <w:rPr>
          <w:rFonts w:ascii="Arial" w:hAnsi="Arial" w:cs="Arial"/>
          <w:lang w:val="en-US"/>
        </w:rPr>
        <w:t>was a trend</w:t>
      </w:r>
      <w:r w:rsidR="00AA550F" w:rsidRPr="00951FE8">
        <w:rPr>
          <w:rFonts w:ascii="Arial" w:hAnsi="Arial" w:cs="Arial"/>
          <w:lang w:val="en-US"/>
        </w:rPr>
        <w:t xml:space="preserve"> towards use of </w:t>
      </w:r>
      <w:proofErr w:type="spellStart"/>
      <w:r w:rsidR="00AA550F" w:rsidRPr="00951FE8">
        <w:rPr>
          <w:rFonts w:ascii="Arial" w:hAnsi="Arial" w:cs="Arial"/>
          <w:lang w:val="en-US"/>
        </w:rPr>
        <w:t>acepromazine</w:t>
      </w:r>
      <w:proofErr w:type="spellEnd"/>
      <w:r w:rsidR="00AA550F" w:rsidRPr="00951FE8">
        <w:rPr>
          <w:rFonts w:ascii="Arial" w:hAnsi="Arial" w:cs="Arial"/>
          <w:lang w:val="en-US"/>
        </w:rPr>
        <w:t xml:space="preserve"> and increased survival</w:t>
      </w:r>
      <w:r w:rsidRPr="00951FE8">
        <w:rPr>
          <w:rFonts w:ascii="Arial" w:hAnsi="Arial" w:cs="Arial"/>
          <w:lang w:val="en-US"/>
        </w:rPr>
        <w:t>,</w:t>
      </w:r>
      <w:r w:rsidR="00E26555" w:rsidRPr="00951FE8">
        <w:rPr>
          <w:rFonts w:ascii="Arial" w:hAnsi="Arial" w:cs="Arial"/>
          <w:lang w:val="en-US"/>
        </w:rPr>
        <w:t xml:space="preserve"> </w:t>
      </w:r>
      <w:r w:rsidR="00E26555" w:rsidRPr="00951FE8">
        <w:rPr>
          <w:rFonts w:ascii="Arial" w:hAnsi="Arial" w:cs="Arial"/>
          <w:vertAlign w:val="superscript"/>
          <w:lang w:val="en-US"/>
        </w:rPr>
        <w:t>5</w:t>
      </w:r>
      <w:r w:rsidRPr="00951FE8">
        <w:rPr>
          <w:rFonts w:ascii="Arial" w:hAnsi="Arial" w:cs="Arial"/>
          <w:lang w:val="en-US"/>
        </w:rPr>
        <w:t xml:space="preserve"> but this </w:t>
      </w:r>
      <w:r w:rsidR="00E26555" w:rsidRPr="00951FE8">
        <w:rPr>
          <w:rFonts w:ascii="Arial" w:hAnsi="Arial" w:cs="Arial"/>
          <w:lang w:val="en-US"/>
        </w:rPr>
        <w:t>could</w:t>
      </w:r>
      <w:r w:rsidRPr="00951FE8">
        <w:rPr>
          <w:rFonts w:ascii="Arial" w:hAnsi="Arial" w:cs="Arial"/>
          <w:lang w:val="en-US"/>
        </w:rPr>
        <w:t xml:space="preserve"> be att</w:t>
      </w:r>
      <w:r w:rsidR="00C252FB" w:rsidRPr="00951FE8">
        <w:rPr>
          <w:rFonts w:ascii="Arial" w:hAnsi="Arial" w:cs="Arial"/>
          <w:lang w:val="en-US"/>
        </w:rPr>
        <w:t xml:space="preserve">ributed as much to the sedative </w:t>
      </w:r>
      <w:r w:rsidRPr="00951FE8">
        <w:rPr>
          <w:rFonts w:ascii="Arial" w:hAnsi="Arial" w:cs="Arial"/>
          <w:lang w:val="en-US"/>
        </w:rPr>
        <w:t>effects</w:t>
      </w:r>
      <w:r w:rsidR="00C252FB" w:rsidRPr="00951FE8">
        <w:rPr>
          <w:rFonts w:ascii="Arial" w:hAnsi="Arial" w:cs="Arial"/>
          <w:lang w:val="en-US"/>
        </w:rPr>
        <w:t xml:space="preserve"> relaxing the horse, </w:t>
      </w:r>
      <w:r w:rsidR="00E26555" w:rsidRPr="00951FE8">
        <w:rPr>
          <w:rFonts w:ascii="Arial" w:hAnsi="Arial" w:cs="Arial"/>
          <w:lang w:val="en-US"/>
        </w:rPr>
        <w:t>helping manage activity as well as stress</w:t>
      </w:r>
      <w:r w:rsidR="00C252FB" w:rsidRPr="00951FE8">
        <w:rPr>
          <w:rFonts w:ascii="Arial" w:hAnsi="Arial" w:cs="Arial"/>
          <w:lang w:val="en-US"/>
        </w:rPr>
        <w:t xml:space="preserve"> which could worsen the </w:t>
      </w:r>
      <w:proofErr w:type="spellStart"/>
      <w:r w:rsidR="00C252FB" w:rsidRPr="00951FE8">
        <w:rPr>
          <w:rFonts w:ascii="Arial" w:hAnsi="Arial" w:cs="Arial"/>
          <w:lang w:val="en-US"/>
        </w:rPr>
        <w:t>endocrinopathy</w:t>
      </w:r>
      <w:proofErr w:type="spellEnd"/>
      <w:r w:rsidR="00E26555" w:rsidRPr="00951FE8">
        <w:rPr>
          <w:rFonts w:ascii="Arial" w:hAnsi="Arial" w:cs="Arial"/>
          <w:lang w:val="en-US"/>
        </w:rPr>
        <w:t>.</w:t>
      </w:r>
    </w:p>
    <w:p w:rsidR="00A63BC2" w:rsidRPr="00951FE8" w:rsidRDefault="00A63BC2" w:rsidP="00951FE8">
      <w:pPr>
        <w:spacing w:after="0"/>
        <w:rPr>
          <w:rFonts w:ascii="Arial" w:hAnsi="Arial" w:cs="Arial"/>
          <w:lang w:val="en-US"/>
        </w:rPr>
      </w:pPr>
    </w:p>
    <w:p w:rsidR="00790F69" w:rsidRPr="00951FE8" w:rsidRDefault="00E26555" w:rsidP="00951FE8">
      <w:pPr>
        <w:spacing w:after="0"/>
        <w:rPr>
          <w:rFonts w:ascii="Arial" w:hAnsi="Arial" w:cs="Arial"/>
          <w:lang w:val="en-US"/>
        </w:rPr>
      </w:pPr>
      <w:r w:rsidRPr="00951FE8">
        <w:rPr>
          <w:rFonts w:ascii="Arial" w:hAnsi="Arial" w:cs="Arial"/>
          <w:lang w:val="en-US"/>
        </w:rPr>
        <w:t>T</w:t>
      </w:r>
      <w:r w:rsidR="00790F69" w:rsidRPr="00951FE8">
        <w:rPr>
          <w:rFonts w:ascii="Arial" w:hAnsi="Arial" w:cs="Arial"/>
          <w:lang w:val="en-US"/>
        </w:rPr>
        <w:t xml:space="preserve">here is </w:t>
      </w:r>
      <w:r w:rsidRPr="00951FE8">
        <w:rPr>
          <w:rFonts w:ascii="Arial" w:hAnsi="Arial" w:cs="Arial"/>
          <w:lang w:val="en-US"/>
        </w:rPr>
        <w:t>increasing</w:t>
      </w:r>
      <w:r w:rsidR="00790F69" w:rsidRPr="00951FE8">
        <w:rPr>
          <w:rFonts w:ascii="Arial" w:hAnsi="Arial" w:cs="Arial"/>
          <w:lang w:val="en-US"/>
        </w:rPr>
        <w:t xml:space="preserve"> evidence to suggest that the opposite effect</w:t>
      </w:r>
      <w:r w:rsidR="003C38FB" w:rsidRPr="00951FE8">
        <w:rPr>
          <w:rFonts w:ascii="Arial" w:hAnsi="Arial" w:cs="Arial"/>
          <w:lang w:val="en-US"/>
        </w:rPr>
        <w:t xml:space="preserve">, vasoconstriction </w:t>
      </w:r>
      <w:r w:rsidR="00790F69" w:rsidRPr="00951FE8">
        <w:rPr>
          <w:rFonts w:ascii="Arial" w:hAnsi="Arial" w:cs="Arial"/>
          <w:lang w:val="en-US"/>
        </w:rPr>
        <w:t>using cryotherapy</w:t>
      </w:r>
      <w:r w:rsidR="00A63BC2" w:rsidRPr="00951FE8">
        <w:rPr>
          <w:rFonts w:ascii="Arial" w:hAnsi="Arial" w:cs="Arial"/>
          <w:lang w:val="en-US"/>
        </w:rPr>
        <w:t xml:space="preserve"> (icing the feet)</w:t>
      </w:r>
      <w:r w:rsidR="00790F69" w:rsidRPr="00951FE8">
        <w:rPr>
          <w:rFonts w:ascii="Arial" w:hAnsi="Arial" w:cs="Arial"/>
          <w:lang w:val="en-US"/>
        </w:rPr>
        <w:t xml:space="preserve"> is effective at reducing the effects of experimentally</w:t>
      </w:r>
      <w:r w:rsidRPr="00951FE8">
        <w:rPr>
          <w:rFonts w:ascii="Arial" w:hAnsi="Arial" w:cs="Arial"/>
          <w:lang w:val="en-US"/>
        </w:rPr>
        <w:t xml:space="preserve"> or naturally occurring </w:t>
      </w:r>
      <w:r w:rsidR="00790F69" w:rsidRPr="00951FE8">
        <w:rPr>
          <w:rFonts w:ascii="Arial" w:hAnsi="Arial" w:cs="Arial"/>
          <w:lang w:val="en-US"/>
        </w:rPr>
        <w:t>laminitis</w:t>
      </w:r>
      <w:r w:rsidRPr="00951FE8">
        <w:rPr>
          <w:rFonts w:ascii="Arial" w:hAnsi="Arial" w:cs="Arial"/>
          <w:lang w:val="en-US"/>
        </w:rPr>
        <w:t xml:space="preserve"> associated </w:t>
      </w:r>
      <w:r w:rsidR="003C38FB" w:rsidRPr="00951FE8">
        <w:rPr>
          <w:rFonts w:ascii="Arial" w:hAnsi="Arial" w:cs="Arial"/>
          <w:lang w:val="en-US"/>
        </w:rPr>
        <w:t>with systemic inflammatory conditions</w:t>
      </w:r>
      <w:r w:rsidR="00790F69" w:rsidRPr="00951FE8">
        <w:rPr>
          <w:rFonts w:ascii="Arial" w:hAnsi="Arial" w:cs="Arial"/>
          <w:lang w:val="en-US"/>
        </w:rPr>
        <w:t>.</w:t>
      </w:r>
      <w:r w:rsidR="003C38FB" w:rsidRPr="00951FE8">
        <w:rPr>
          <w:rFonts w:ascii="Arial" w:hAnsi="Arial" w:cs="Arial"/>
          <w:lang w:val="en-US"/>
        </w:rPr>
        <w:t xml:space="preserve"> </w:t>
      </w:r>
      <w:r w:rsidR="003C38FB" w:rsidRPr="00951FE8">
        <w:rPr>
          <w:rFonts w:ascii="Arial" w:hAnsi="Arial" w:cs="Arial"/>
          <w:vertAlign w:val="superscript"/>
          <w:lang w:val="en-US"/>
        </w:rPr>
        <w:t>6,7</w:t>
      </w:r>
      <w:r w:rsidR="00790F69" w:rsidRPr="00951FE8">
        <w:rPr>
          <w:rFonts w:ascii="Arial" w:hAnsi="Arial" w:cs="Arial"/>
          <w:lang w:val="en-US"/>
        </w:rPr>
        <w:t xml:space="preserve"> Much less is known about the effects of cryotherapy in endocrine laminitis</w:t>
      </w:r>
      <w:r w:rsidR="00C252FB" w:rsidRPr="00951FE8">
        <w:rPr>
          <w:rFonts w:ascii="Arial" w:hAnsi="Arial" w:cs="Arial"/>
          <w:lang w:val="en-US"/>
        </w:rPr>
        <w:t xml:space="preserve">, </w:t>
      </w:r>
      <w:r w:rsidR="003C38FB" w:rsidRPr="00951FE8">
        <w:rPr>
          <w:rFonts w:ascii="Arial" w:hAnsi="Arial" w:cs="Arial"/>
          <w:lang w:val="en-US"/>
        </w:rPr>
        <w:t xml:space="preserve">however, increased hoof wall surface temperature indicative of increased blood flow during the development of laminitis induced by hyperinsulinaemia </w:t>
      </w:r>
      <w:r w:rsidR="003C38FB" w:rsidRPr="00951FE8">
        <w:rPr>
          <w:rFonts w:ascii="Arial" w:hAnsi="Arial" w:cs="Arial"/>
          <w:vertAlign w:val="superscript"/>
          <w:lang w:val="en-US"/>
        </w:rPr>
        <w:t>8</w:t>
      </w:r>
      <w:r w:rsidR="003C38FB" w:rsidRPr="00951FE8">
        <w:rPr>
          <w:rFonts w:ascii="Arial" w:hAnsi="Arial" w:cs="Arial"/>
          <w:lang w:val="en-US"/>
        </w:rPr>
        <w:t xml:space="preserve"> implies that cryotherapy could </w:t>
      </w:r>
      <w:r w:rsidR="003C38FB" w:rsidRPr="00951FE8">
        <w:rPr>
          <w:rFonts w:ascii="Arial" w:hAnsi="Arial" w:cs="Arial"/>
          <w:lang w:val="en-US"/>
        </w:rPr>
        <w:lastRenderedPageBreak/>
        <w:t>also have a role. In naturally occurring cases, the insidious onset of many cases is likely to preclude its use</w:t>
      </w:r>
      <w:r w:rsidR="00790F69" w:rsidRPr="00951FE8">
        <w:rPr>
          <w:rFonts w:ascii="Arial" w:hAnsi="Arial" w:cs="Arial"/>
          <w:lang w:val="en-US"/>
        </w:rPr>
        <w:t>.</w:t>
      </w:r>
    </w:p>
    <w:p w:rsidR="00A63BC2" w:rsidRPr="00951FE8" w:rsidRDefault="00A63BC2" w:rsidP="00951FE8">
      <w:pPr>
        <w:spacing w:after="0"/>
        <w:rPr>
          <w:rFonts w:ascii="Arial" w:hAnsi="Arial" w:cs="Arial"/>
          <w:b/>
        </w:rPr>
      </w:pPr>
    </w:p>
    <w:p w:rsidR="0098698C" w:rsidRPr="00951FE8" w:rsidRDefault="00790F69" w:rsidP="00951FE8">
      <w:pPr>
        <w:spacing w:after="0"/>
        <w:rPr>
          <w:rFonts w:ascii="Arial" w:hAnsi="Arial" w:cs="Arial"/>
          <w:b/>
        </w:rPr>
      </w:pPr>
      <w:r w:rsidRPr="00951FE8">
        <w:rPr>
          <w:rFonts w:ascii="Arial" w:hAnsi="Arial" w:cs="Arial"/>
          <w:b/>
        </w:rPr>
        <w:t>Endocrinopathic management</w:t>
      </w:r>
    </w:p>
    <w:p w:rsidR="00D7161F" w:rsidRPr="00951FE8" w:rsidRDefault="00D7161F" w:rsidP="00951FE8">
      <w:pPr>
        <w:spacing w:after="0"/>
        <w:rPr>
          <w:rFonts w:ascii="Arial" w:hAnsi="Arial" w:cs="Arial"/>
        </w:rPr>
      </w:pPr>
      <w:r w:rsidRPr="00951FE8">
        <w:rPr>
          <w:rFonts w:ascii="Arial" w:hAnsi="Arial" w:cs="Arial"/>
        </w:rPr>
        <w:t xml:space="preserve">Whether </w:t>
      </w:r>
      <w:r w:rsidR="00790F69" w:rsidRPr="00951FE8">
        <w:rPr>
          <w:rFonts w:ascii="Arial" w:hAnsi="Arial" w:cs="Arial"/>
        </w:rPr>
        <w:t>treating a</w:t>
      </w:r>
      <w:r w:rsidRPr="00951FE8">
        <w:rPr>
          <w:rFonts w:ascii="Arial" w:hAnsi="Arial" w:cs="Arial"/>
        </w:rPr>
        <w:t xml:space="preserve"> clinical bout of laminitis or </w:t>
      </w:r>
      <w:r w:rsidR="00790F69" w:rsidRPr="00951FE8">
        <w:rPr>
          <w:rFonts w:ascii="Arial" w:hAnsi="Arial" w:cs="Arial"/>
        </w:rPr>
        <w:t xml:space="preserve">preventing one after identification of </w:t>
      </w:r>
      <w:r w:rsidRPr="00951FE8">
        <w:rPr>
          <w:rFonts w:ascii="Arial" w:hAnsi="Arial" w:cs="Arial"/>
        </w:rPr>
        <w:t xml:space="preserve">hoof capsular changes in an insulin dysregulated horse, </w:t>
      </w:r>
      <w:r w:rsidR="00790F69" w:rsidRPr="00951FE8">
        <w:rPr>
          <w:rFonts w:ascii="Arial" w:hAnsi="Arial" w:cs="Arial"/>
        </w:rPr>
        <w:t>management</w:t>
      </w:r>
      <w:r w:rsidRPr="00951FE8">
        <w:rPr>
          <w:rFonts w:ascii="Arial" w:hAnsi="Arial" w:cs="Arial"/>
        </w:rPr>
        <w:t xml:space="preserve"> of the underlying </w:t>
      </w:r>
      <w:proofErr w:type="spellStart"/>
      <w:r w:rsidRPr="00951FE8">
        <w:rPr>
          <w:rFonts w:ascii="Arial" w:hAnsi="Arial" w:cs="Arial"/>
        </w:rPr>
        <w:t>endocrinopathy</w:t>
      </w:r>
      <w:proofErr w:type="spellEnd"/>
      <w:r w:rsidRPr="00951FE8">
        <w:rPr>
          <w:rFonts w:ascii="Arial" w:hAnsi="Arial" w:cs="Arial"/>
        </w:rPr>
        <w:t xml:space="preserve"> is warranted.</w:t>
      </w:r>
      <w:r w:rsidR="00A63BC2" w:rsidRPr="00951FE8">
        <w:rPr>
          <w:rFonts w:ascii="Arial" w:hAnsi="Arial" w:cs="Arial"/>
        </w:rPr>
        <w:t xml:space="preserve"> Related presentations cover the diagnosis and treatment of </w:t>
      </w:r>
      <w:r w:rsidR="004E6DE3" w:rsidRPr="00951FE8">
        <w:rPr>
          <w:rFonts w:ascii="Arial" w:eastAsia="Calibri" w:hAnsi="Arial" w:cs="Arial"/>
          <w:lang w:val="en-US"/>
        </w:rPr>
        <w:t>equine metabolic syndrome (EMS) and pituitary pars intermedia dysfunction (PPID)</w:t>
      </w:r>
      <w:r w:rsidR="00C252FB" w:rsidRPr="00951FE8">
        <w:rPr>
          <w:rFonts w:ascii="Arial" w:hAnsi="Arial" w:cs="Arial"/>
        </w:rPr>
        <w:t xml:space="preserve"> (Equine Cushing’s disease/PPID what do we know now? Getting the old guys back on </w:t>
      </w:r>
      <w:proofErr w:type="spellStart"/>
      <w:r w:rsidR="00C252FB" w:rsidRPr="00951FE8">
        <w:rPr>
          <w:rFonts w:ascii="Arial" w:hAnsi="Arial" w:cs="Arial"/>
        </w:rPr>
        <w:t>track</w:t>
      </w:r>
      <w:proofErr w:type="gramStart"/>
      <w:r w:rsidR="00C252FB" w:rsidRPr="00951FE8">
        <w:rPr>
          <w:rFonts w:ascii="Arial" w:hAnsi="Arial" w:cs="Arial"/>
        </w:rPr>
        <w:t>:management</w:t>
      </w:r>
      <w:proofErr w:type="spellEnd"/>
      <w:proofErr w:type="gramEnd"/>
      <w:r w:rsidR="00C252FB" w:rsidRPr="00951FE8">
        <w:rPr>
          <w:rFonts w:ascii="Arial" w:hAnsi="Arial" w:cs="Arial"/>
        </w:rPr>
        <w:t xml:space="preserve"> of PPID; Dilemmas in diagnosis of EMS and managing the waistline: prevention and management of EMS). H</w:t>
      </w:r>
      <w:r w:rsidR="00A63BC2" w:rsidRPr="00951FE8">
        <w:rPr>
          <w:rFonts w:ascii="Arial" w:hAnsi="Arial" w:cs="Arial"/>
        </w:rPr>
        <w:t>owever, irrespective of the diagnosis, an immediate goal for endocrine management will be changing the diet to limit potential insulinaemic responses to the feed.</w:t>
      </w:r>
    </w:p>
    <w:p w:rsidR="00D7161F" w:rsidRPr="00951FE8" w:rsidRDefault="00D7161F" w:rsidP="00951FE8">
      <w:pPr>
        <w:spacing w:after="0"/>
        <w:rPr>
          <w:rFonts w:ascii="Arial" w:hAnsi="Arial" w:cs="Arial"/>
        </w:rPr>
      </w:pPr>
    </w:p>
    <w:p w:rsidR="0098698C" w:rsidRPr="00951FE8" w:rsidRDefault="00800E16" w:rsidP="00951FE8">
      <w:pPr>
        <w:widowControl w:val="0"/>
        <w:spacing w:after="0"/>
        <w:ind w:right="-20"/>
        <w:rPr>
          <w:rFonts w:ascii="Arial" w:eastAsia="Calibri" w:hAnsi="Arial" w:cs="Arial"/>
          <w:b/>
          <w:spacing w:val="-1"/>
          <w:position w:val="1"/>
          <w:lang w:val="en-US"/>
        </w:rPr>
      </w:pPr>
      <w:r w:rsidRPr="00951FE8">
        <w:rPr>
          <w:rFonts w:ascii="Arial" w:eastAsia="Calibri" w:hAnsi="Arial" w:cs="Arial"/>
          <w:b/>
          <w:spacing w:val="-1"/>
          <w:position w:val="1"/>
          <w:lang w:val="en-US"/>
        </w:rPr>
        <w:t>R</w:t>
      </w:r>
      <w:r w:rsidR="0098698C" w:rsidRPr="00951FE8">
        <w:rPr>
          <w:rFonts w:ascii="Arial" w:eastAsia="Calibri" w:hAnsi="Arial" w:cs="Arial"/>
          <w:b/>
          <w:spacing w:val="-1"/>
          <w:position w:val="1"/>
          <w:lang w:val="en-US"/>
        </w:rPr>
        <w:t>eduction of insulinaemic responses to feed</w:t>
      </w:r>
    </w:p>
    <w:p w:rsidR="0098698C" w:rsidRPr="00951FE8" w:rsidRDefault="00065803" w:rsidP="00951FE8">
      <w:pPr>
        <w:widowControl w:val="0"/>
        <w:spacing w:after="0"/>
        <w:rPr>
          <w:rFonts w:ascii="Arial" w:eastAsia="Calibri" w:hAnsi="Arial" w:cs="Arial"/>
          <w:lang w:val="en-US"/>
        </w:rPr>
      </w:pPr>
      <w:r w:rsidRPr="00951FE8">
        <w:rPr>
          <w:rFonts w:ascii="Arial" w:eastAsia="Calibri" w:hAnsi="Arial" w:cs="Arial"/>
          <w:lang w:val="en-US"/>
        </w:rPr>
        <w:t xml:space="preserve">Insulin dysregulation, especially the hyperinsulinaemic response to ingested carbohydrates, </w:t>
      </w:r>
      <w:r w:rsidR="0098698C" w:rsidRPr="00951FE8">
        <w:rPr>
          <w:rFonts w:ascii="Arial" w:eastAsia="Calibri" w:hAnsi="Arial" w:cs="Arial"/>
          <w:lang w:val="en-US"/>
        </w:rPr>
        <w:t xml:space="preserve">is central to the </w:t>
      </w:r>
      <w:r w:rsidRPr="00951FE8">
        <w:rPr>
          <w:rFonts w:ascii="Arial" w:eastAsia="Calibri" w:hAnsi="Arial" w:cs="Arial"/>
          <w:lang w:val="en-US"/>
        </w:rPr>
        <w:t>risk for laminitis irrespective of whether the horse has</w:t>
      </w:r>
      <w:r w:rsidR="004E6DE3" w:rsidRPr="00951FE8">
        <w:rPr>
          <w:rFonts w:ascii="Arial" w:eastAsia="Calibri" w:hAnsi="Arial" w:cs="Arial"/>
          <w:lang w:val="en-US"/>
        </w:rPr>
        <w:t xml:space="preserve"> </w:t>
      </w:r>
      <w:r w:rsidR="004E6DE3" w:rsidRPr="00951FE8">
        <w:rPr>
          <w:rFonts w:ascii="Arial" w:hAnsi="Arial" w:cs="Arial"/>
        </w:rPr>
        <w:t>PPID or EMS</w:t>
      </w:r>
      <w:r w:rsidRPr="00951FE8">
        <w:rPr>
          <w:rFonts w:ascii="Arial" w:eastAsia="Calibri" w:hAnsi="Arial" w:cs="Arial"/>
          <w:lang w:val="en-US"/>
        </w:rPr>
        <w:t xml:space="preserve">. </w:t>
      </w:r>
      <w:r w:rsidR="0098698C" w:rsidRPr="00951FE8">
        <w:rPr>
          <w:rFonts w:ascii="Arial" w:eastAsia="Calibri" w:hAnsi="Arial" w:cs="Arial"/>
          <w:lang w:val="en-US"/>
        </w:rPr>
        <w:t>Reduction in postprandial hyperinsulinemia is the immediate and ultimate goal of dietary management</w:t>
      </w:r>
      <w:r w:rsidRPr="00951FE8">
        <w:rPr>
          <w:rFonts w:ascii="Arial" w:eastAsia="Calibri" w:hAnsi="Arial" w:cs="Arial"/>
          <w:lang w:val="en-US"/>
        </w:rPr>
        <w:t xml:space="preserve"> of endocrine laminitis</w:t>
      </w:r>
      <w:r w:rsidR="0098698C" w:rsidRPr="00951FE8">
        <w:rPr>
          <w:rFonts w:ascii="Arial" w:eastAsia="Calibri" w:hAnsi="Arial" w:cs="Arial"/>
          <w:lang w:val="en-US"/>
        </w:rPr>
        <w:t xml:space="preserve">. This will </w:t>
      </w:r>
      <w:r w:rsidR="0098698C" w:rsidRPr="00951FE8">
        <w:rPr>
          <w:rFonts w:ascii="Arial" w:eastAsia="Calibri" w:hAnsi="Arial" w:cs="Arial"/>
          <w:bCs/>
          <w:lang w:val="en-US"/>
        </w:rPr>
        <w:t xml:space="preserve">typically involve removal of </w:t>
      </w:r>
      <w:r w:rsidR="004E6DE3" w:rsidRPr="00951FE8">
        <w:rPr>
          <w:rFonts w:ascii="Arial" w:eastAsia="Calibri" w:hAnsi="Arial" w:cs="Arial"/>
          <w:bCs/>
          <w:lang w:val="en-US"/>
        </w:rPr>
        <w:t>all</w:t>
      </w:r>
      <w:r w:rsidR="0098698C" w:rsidRPr="00951FE8">
        <w:rPr>
          <w:rFonts w:ascii="Arial" w:eastAsia="Calibri" w:hAnsi="Arial" w:cs="Arial"/>
          <w:bCs/>
          <w:lang w:val="en-US"/>
        </w:rPr>
        <w:t xml:space="preserve"> </w:t>
      </w:r>
      <w:r w:rsidR="004E6DE3" w:rsidRPr="00951FE8">
        <w:rPr>
          <w:rFonts w:ascii="Arial" w:eastAsia="Calibri" w:hAnsi="Arial" w:cs="Arial"/>
          <w:bCs/>
          <w:lang w:val="en-US"/>
        </w:rPr>
        <w:t xml:space="preserve">starch rich </w:t>
      </w:r>
      <w:r w:rsidR="0098698C" w:rsidRPr="00951FE8">
        <w:rPr>
          <w:rFonts w:ascii="Arial" w:eastAsia="Calibri" w:hAnsi="Arial" w:cs="Arial"/>
          <w:bCs/>
          <w:lang w:val="en-US"/>
        </w:rPr>
        <w:t>supplementary feeds such as grains, pellets or mixes</w:t>
      </w:r>
      <w:r w:rsidR="004E6DE3" w:rsidRPr="00951FE8">
        <w:rPr>
          <w:rFonts w:ascii="Arial" w:eastAsia="Calibri" w:hAnsi="Arial" w:cs="Arial"/>
          <w:bCs/>
          <w:lang w:val="en-US"/>
        </w:rPr>
        <w:t>,</w:t>
      </w:r>
      <w:r w:rsidR="0098698C" w:rsidRPr="00951FE8">
        <w:rPr>
          <w:rFonts w:ascii="Arial" w:eastAsia="Calibri" w:hAnsi="Arial" w:cs="Arial"/>
          <w:bCs/>
          <w:lang w:val="en-US"/>
        </w:rPr>
        <w:t xml:space="preserve"> and all </w:t>
      </w:r>
      <w:r w:rsidR="004E6DE3" w:rsidRPr="00951FE8">
        <w:rPr>
          <w:rFonts w:ascii="Arial" w:eastAsia="Calibri" w:hAnsi="Arial" w:cs="Arial"/>
          <w:bCs/>
          <w:lang w:val="en-US"/>
        </w:rPr>
        <w:t xml:space="preserve">fruit and vegetable </w:t>
      </w:r>
      <w:r w:rsidR="0098698C" w:rsidRPr="00951FE8">
        <w:rPr>
          <w:rFonts w:ascii="Arial" w:eastAsia="Calibri" w:hAnsi="Arial" w:cs="Arial"/>
          <w:bCs/>
          <w:lang w:val="en-US"/>
        </w:rPr>
        <w:t xml:space="preserve">treats </w:t>
      </w:r>
      <w:r w:rsidR="004E6DE3" w:rsidRPr="00951FE8">
        <w:rPr>
          <w:rFonts w:ascii="Arial" w:eastAsia="Calibri" w:hAnsi="Arial" w:cs="Arial"/>
          <w:bCs/>
          <w:lang w:val="en-US"/>
        </w:rPr>
        <w:t xml:space="preserve">such as carrots and apples (usually high in water soluble carbohydrates) </w:t>
      </w:r>
      <w:r w:rsidR="0098698C" w:rsidRPr="00951FE8">
        <w:rPr>
          <w:rFonts w:ascii="Arial" w:eastAsia="Calibri" w:hAnsi="Arial" w:cs="Arial"/>
          <w:bCs/>
          <w:lang w:val="en-US"/>
        </w:rPr>
        <w:t>and feeding of a low NSC, forage-only diet, supplemented with a balancer.</w:t>
      </w:r>
    </w:p>
    <w:p w:rsidR="0098698C" w:rsidRPr="00951FE8" w:rsidRDefault="0098698C" w:rsidP="00951FE8">
      <w:pPr>
        <w:widowControl w:val="0"/>
        <w:spacing w:after="0"/>
        <w:rPr>
          <w:rFonts w:ascii="Arial" w:eastAsia="Calibri" w:hAnsi="Arial" w:cs="Arial"/>
          <w:lang w:val="en-US"/>
        </w:rPr>
      </w:pPr>
    </w:p>
    <w:p w:rsidR="0098698C" w:rsidRPr="00951FE8" w:rsidRDefault="00065803" w:rsidP="00951FE8">
      <w:pPr>
        <w:widowControl w:val="0"/>
        <w:spacing w:after="0"/>
        <w:rPr>
          <w:rFonts w:ascii="Arial" w:eastAsia="Calibri" w:hAnsi="Arial" w:cs="Arial"/>
          <w:lang w:val="en-US"/>
        </w:rPr>
      </w:pPr>
      <w:r w:rsidRPr="00951FE8">
        <w:rPr>
          <w:rFonts w:ascii="Arial" w:eastAsia="Calibri" w:hAnsi="Arial" w:cs="Arial"/>
          <w:lang w:val="en-US"/>
        </w:rPr>
        <w:t>D</w:t>
      </w:r>
      <w:r w:rsidR="0098698C" w:rsidRPr="00951FE8">
        <w:rPr>
          <w:rFonts w:ascii="Arial" w:eastAsia="Calibri" w:hAnsi="Arial" w:cs="Arial"/>
          <w:lang w:val="en-US"/>
        </w:rPr>
        <w:t xml:space="preserve">espite </w:t>
      </w:r>
      <w:r w:rsidRPr="00951FE8">
        <w:rPr>
          <w:rFonts w:ascii="Arial" w:eastAsia="Calibri" w:hAnsi="Arial" w:cs="Arial"/>
          <w:lang w:val="en-US"/>
        </w:rPr>
        <w:t xml:space="preserve">many </w:t>
      </w:r>
      <w:r w:rsidR="0098698C" w:rsidRPr="00951FE8">
        <w:rPr>
          <w:rFonts w:ascii="Arial" w:eastAsia="Calibri" w:hAnsi="Arial" w:cs="Arial"/>
          <w:lang w:val="en-US"/>
        </w:rPr>
        <w:t>horse-owners’ perceptions, forages can contribute greatly to the NSC load of horse diets, and</w:t>
      </w:r>
      <w:r w:rsidR="00800E16" w:rsidRPr="00951FE8">
        <w:rPr>
          <w:rFonts w:ascii="Arial" w:eastAsia="Calibri" w:hAnsi="Arial" w:cs="Arial"/>
          <w:lang w:val="en-US"/>
        </w:rPr>
        <w:t xml:space="preserve"> produce marked hyperinsulinaemic responses in horses when fed.</w:t>
      </w:r>
      <w:r w:rsidR="0098698C" w:rsidRPr="00951FE8">
        <w:rPr>
          <w:rFonts w:ascii="Arial" w:eastAsia="Calibri" w:hAnsi="Arial" w:cs="Arial"/>
          <w:lang w:val="en-US"/>
        </w:rPr>
        <w:t xml:space="preserve"> </w:t>
      </w:r>
      <w:r w:rsidR="00800E16" w:rsidRPr="00951FE8">
        <w:rPr>
          <w:rFonts w:ascii="Arial" w:eastAsia="Calibri" w:hAnsi="Arial" w:cs="Arial"/>
          <w:lang w:val="en-US"/>
        </w:rPr>
        <w:t>H</w:t>
      </w:r>
      <w:r w:rsidR="0098698C" w:rsidRPr="00951FE8">
        <w:rPr>
          <w:rFonts w:ascii="Arial" w:eastAsia="Calibri" w:hAnsi="Arial" w:cs="Arial"/>
          <w:lang w:val="en-US"/>
        </w:rPr>
        <w:t>igh quality forages from improved pastures can be very high in NSC so it is important to</w:t>
      </w:r>
      <w:r w:rsidR="00800E16" w:rsidRPr="00951FE8">
        <w:rPr>
          <w:rFonts w:ascii="Arial" w:eastAsia="Calibri" w:hAnsi="Arial" w:cs="Arial"/>
          <w:lang w:val="en-US"/>
        </w:rPr>
        <w:t xml:space="preserve"> attempt to </w:t>
      </w:r>
      <w:r w:rsidR="0098698C" w:rsidRPr="00951FE8">
        <w:rPr>
          <w:rFonts w:ascii="Arial" w:eastAsia="Calibri" w:hAnsi="Arial" w:cs="Arial"/>
          <w:lang w:val="en-US"/>
        </w:rPr>
        <w:t>ensure the forage source has low NSC. The insulinaemic responses to a meal using hays of different NSC (17%, 10% and 4%) were shown in normal horses and horses with PSSM.</w:t>
      </w:r>
      <w:r w:rsidR="00544728" w:rsidRPr="00951FE8">
        <w:rPr>
          <w:rFonts w:ascii="Arial" w:eastAsia="Calibri" w:hAnsi="Arial" w:cs="Arial"/>
          <w:lang w:val="en-US"/>
        </w:rPr>
        <w:t xml:space="preserve"> </w:t>
      </w:r>
      <w:r w:rsidR="004E6DE3" w:rsidRPr="00951FE8">
        <w:rPr>
          <w:rFonts w:ascii="Arial" w:eastAsia="Calibri" w:hAnsi="Arial" w:cs="Arial"/>
          <w:vertAlign w:val="superscript"/>
          <w:lang w:val="en-US"/>
        </w:rPr>
        <w:t>9</w:t>
      </w:r>
      <w:r w:rsidR="0098698C" w:rsidRPr="00951FE8">
        <w:rPr>
          <w:rFonts w:ascii="Arial" w:eastAsia="Calibri" w:hAnsi="Arial" w:cs="Arial"/>
          <w:vertAlign w:val="superscript"/>
          <w:lang w:val="en-US"/>
        </w:rPr>
        <w:t xml:space="preserve"> </w:t>
      </w:r>
      <w:r w:rsidR="0098698C" w:rsidRPr="00951FE8">
        <w:rPr>
          <w:rFonts w:ascii="Arial" w:eastAsia="Calibri" w:hAnsi="Arial" w:cs="Arial"/>
          <w:lang w:val="en-US"/>
        </w:rPr>
        <w:t>The 17% NSC hay produced greater insulinaemic responses in both normal and PSSM horses than 10% or 4% (which were not different from each other). That study certainly supports aiming to feed hay of NSC% of 10% or lower. However, pasture species with such low NSC percentages are not always available, particularly not from improved pastures.</w:t>
      </w:r>
    </w:p>
    <w:p w:rsidR="0098698C" w:rsidRPr="00951FE8" w:rsidRDefault="0098698C" w:rsidP="00951FE8">
      <w:pPr>
        <w:widowControl w:val="0"/>
        <w:spacing w:after="0"/>
        <w:rPr>
          <w:rFonts w:ascii="Arial" w:eastAsia="Calibri" w:hAnsi="Arial" w:cs="Arial"/>
          <w:lang w:val="en-US"/>
        </w:rPr>
      </w:pPr>
    </w:p>
    <w:p w:rsidR="0098698C" w:rsidRPr="00951FE8" w:rsidRDefault="0098698C" w:rsidP="00951FE8">
      <w:pPr>
        <w:widowControl w:val="0"/>
        <w:spacing w:after="0"/>
        <w:rPr>
          <w:rFonts w:ascii="Arial" w:eastAsia="Calibri" w:hAnsi="Arial" w:cs="Arial"/>
          <w:lang w:val="en-US"/>
        </w:rPr>
      </w:pPr>
      <w:r w:rsidRPr="00951FE8">
        <w:rPr>
          <w:rFonts w:ascii="Arial" w:eastAsia="Calibri" w:hAnsi="Arial" w:cs="Arial"/>
          <w:lang w:val="en-US"/>
        </w:rPr>
        <w:t>Soaking grass hay can be a simple way of reducing the NSC of forage where the NSC content is unknown so is ideal for immediate dietary changes. In a recent study conducted at our institute, Carslake et al.</w:t>
      </w:r>
      <w:r w:rsidR="004E6DE3" w:rsidRPr="00951FE8">
        <w:rPr>
          <w:rFonts w:ascii="Arial" w:eastAsia="Calibri" w:hAnsi="Arial" w:cs="Arial"/>
          <w:vertAlign w:val="superscript"/>
          <w:lang w:val="en-US"/>
        </w:rPr>
        <w:t xml:space="preserve"> 10</w:t>
      </w:r>
      <w:r w:rsidRPr="00951FE8">
        <w:rPr>
          <w:rFonts w:ascii="Arial" w:eastAsia="Calibri" w:hAnsi="Arial" w:cs="Arial"/>
          <w:lang w:val="en-US"/>
        </w:rPr>
        <w:t xml:space="preserve"> performed a </w:t>
      </w:r>
      <w:proofErr w:type="spellStart"/>
      <w:r w:rsidRPr="00951FE8">
        <w:rPr>
          <w:rFonts w:ascii="Arial" w:eastAsia="Calibri" w:hAnsi="Arial" w:cs="Arial"/>
          <w:lang w:val="en-US"/>
        </w:rPr>
        <w:t>randomi</w:t>
      </w:r>
      <w:r w:rsidR="00800E16" w:rsidRPr="00951FE8">
        <w:rPr>
          <w:rFonts w:ascii="Arial" w:eastAsia="Calibri" w:hAnsi="Arial" w:cs="Arial"/>
          <w:lang w:val="en-US"/>
        </w:rPr>
        <w:t>s</w:t>
      </w:r>
      <w:r w:rsidRPr="00951FE8">
        <w:rPr>
          <w:rFonts w:ascii="Arial" w:eastAsia="Calibri" w:hAnsi="Arial" w:cs="Arial"/>
          <w:lang w:val="en-US"/>
        </w:rPr>
        <w:t>ed</w:t>
      </w:r>
      <w:proofErr w:type="spellEnd"/>
      <w:r w:rsidRPr="00951FE8">
        <w:rPr>
          <w:rFonts w:ascii="Arial" w:eastAsia="Calibri" w:hAnsi="Arial" w:cs="Arial"/>
          <w:lang w:val="en-US"/>
        </w:rPr>
        <w:t xml:space="preserve"> crossover trial investigating the insulinaemic and glycaemic responses to three commonly fed forages in the UK</w:t>
      </w:r>
      <w:r w:rsidR="004E6DE3" w:rsidRPr="00951FE8">
        <w:rPr>
          <w:rFonts w:ascii="Arial" w:eastAsia="Calibri" w:hAnsi="Arial" w:cs="Arial"/>
          <w:lang w:val="en-US"/>
        </w:rPr>
        <w:t>;</w:t>
      </w:r>
      <w:r w:rsidRPr="00951FE8">
        <w:rPr>
          <w:rFonts w:ascii="Arial" w:eastAsia="Calibri" w:hAnsi="Arial" w:cs="Arial"/>
          <w:lang w:val="en-US"/>
        </w:rPr>
        <w:t xml:space="preserve"> mixed species grass hay, the same hay soaked and the same species preserved as haylage (hay wrapped and fermented instead of sun cured).  This showed a significantly greater insulinaemic responses to haylage over both hay and soaked hay, and considerably greater insulinaemic and glycaemic responses of hay over soaked hay. Insulin dysregulated ponies had much greater responses for all three forages, compared to normal ponies. The insulinaemic response to soaked hay was very small, even in insulin dysregulated ponies, supporting its use for immediate reduction of the insulinaemic response in a laminitic horse.</w:t>
      </w:r>
    </w:p>
    <w:p w:rsidR="0098698C" w:rsidRPr="00951FE8" w:rsidRDefault="0098698C" w:rsidP="00951FE8">
      <w:pPr>
        <w:widowControl w:val="0"/>
        <w:spacing w:after="0"/>
        <w:rPr>
          <w:rFonts w:ascii="Arial" w:eastAsia="Calibri" w:hAnsi="Arial" w:cs="Arial"/>
          <w:lang w:val="en-US"/>
        </w:rPr>
      </w:pPr>
    </w:p>
    <w:p w:rsidR="0098698C" w:rsidRPr="00951FE8" w:rsidRDefault="0098698C" w:rsidP="00951FE8">
      <w:pPr>
        <w:widowControl w:val="0"/>
        <w:spacing w:after="0"/>
        <w:rPr>
          <w:rFonts w:ascii="Arial" w:hAnsi="Arial" w:cs="Arial"/>
        </w:rPr>
      </w:pPr>
      <w:r w:rsidRPr="00951FE8">
        <w:rPr>
          <w:rFonts w:ascii="Arial" w:eastAsia="Calibri" w:hAnsi="Arial" w:cs="Arial"/>
          <w:lang w:val="en-US"/>
        </w:rPr>
        <w:t xml:space="preserve">The effects of feeding alfalfa hay to normal horses has been studied and shown that is </w:t>
      </w:r>
      <w:proofErr w:type="spellStart"/>
      <w:r w:rsidRPr="00951FE8">
        <w:rPr>
          <w:rFonts w:ascii="Arial" w:eastAsia="Calibri" w:hAnsi="Arial" w:cs="Arial"/>
          <w:lang w:val="en-US"/>
        </w:rPr>
        <w:t>is</w:t>
      </w:r>
      <w:proofErr w:type="spellEnd"/>
      <w:r w:rsidRPr="00951FE8">
        <w:rPr>
          <w:rFonts w:ascii="Arial" w:eastAsia="Calibri" w:hAnsi="Arial" w:cs="Arial"/>
          <w:lang w:val="en-US"/>
        </w:rPr>
        <w:t xml:space="preserve"> a relatively low glycaemic forage and in young normal horses produces low </w:t>
      </w:r>
      <w:r w:rsidRPr="00951FE8">
        <w:rPr>
          <w:rFonts w:ascii="Arial" w:eastAsia="Calibri" w:hAnsi="Arial" w:cs="Arial"/>
          <w:lang w:val="en-US"/>
        </w:rPr>
        <w:lastRenderedPageBreak/>
        <w:t>insulinaemic responses.</w:t>
      </w:r>
      <w:r w:rsidR="00800E16" w:rsidRPr="00951FE8">
        <w:rPr>
          <w:rFonts w:ascii="Arial" w:eastAsia="Calibri" w:hAnsi="Arial" w:cs="Arial"/>
          <w:lang w:val="en-US"/>
        </w:rPr>
        <w:t xml:space="preserve"> </w:t>
      </w:r>
      <w:r w:rsidR="00800E16" w:rsidRPr="00951FE8">
        <w:rPr>
          <w:rFonts w:ascii="Arial" w:eastAsia="Calibri" w:hAnsi="Arial" w:cs="Arial"/>
          <w:vertAlign w:val="superscript"/>
          <w:lang w:val="en-US"/>
        </w:rPr>
        <w:t>11</w:t>
      </w:r>
      <w:r w:rsidRPr="00951FE8">
        <w:rPr>
          <w:rFonts w:ascii="Arial" w:eastAsia="Calibri" w:hAnsi="Arial" w:cs="Arial"/>
          <w:lang w:val="en-US"/>
        </w:rPr>
        <w:t xml:space="preserve"> However, the effect in insulin dysregulated horses is yet to be determined, especially as the high protein content of alfalfa can</w:t>
      </w:r>
      <w:r w:rsidR="00800E16" w:rsidRPr="00951FE8">
        <w:rPr>
          <w:rFonts w:ascii="Arial" w:eastAsia="Calibri" w:hAnsi="Arial" w:cs="Arial"/>
          <w:lang w:val="en-US"/>
        </w:rPr>
        <w:t xml:space="preserve"> directly</w:t>
      </w:r>
      <w:r w:rsidRPr="00951FE8">
        <w:rPr>
          <w:rFonts w:ascii="Arial" w:eastAsia="Calibri" w:hAnsi="Arial" w:cs="Arial"/>
          <w:lang w:val="en-US"/>
        </w:rPr>
        <w:t xml:space="preserve"> stimulate gut derived incretins. </w:t>
      </w:r>
      <w:r w:rsidR="00800E16" w:rsidRPr="00951FE8">
        <w:rPr>
          <w:rFonts w:ascii="Arial" w:eastAsia="Calibri" w:hAnsi="Arial" w:cs="Arial"/>
          <w:lang w:val="en-US"/>
        </w:rPr>
        <w:t>S</w:t>
      </w:r>
      <w:r w:rsidRPr="00951FE8">
        <w:rPr>
          <w:rFonts w:ascii="Arial" w:eastAsia="Calibri" w:hAnsi="Arial" w:cs="Arial"/>
          <w:lang w:val="en-US"/>
        </w:rPr>
        <w:t>oaking alfalfa hay has been shown to be effective in even as short a period as 15 minutes at halving the NSC.</w:t>
      </w:r>
      <w:r w:rsidR="00800E16" w:rsidRPr="00951FE8">
        <w:rPr>
          <w:rFonts w:ascii="Arial" w:eastAsia="Calibri" w:hAnsi="Arial" w:cs="Arial"/>
          <w:lang w:val="en-US"/>
        </w:rPr>
        <w:t xml:space="preserve"> </w:t>
      </w:r>
      <w:r w:rsidR="00800E16" w:rsidRPr="00951FE8">
        <w:rPr>
          <w:rFonts w:ascii="Arial" w:eastAsia="Calibri" w:hAnsi="Arial" w:cs="Arial"/>
          <w:vertAlign w:val="superscript"/>
          <w:lang w:val="en-US"/>
        </w:rPr>
        <w:t>12</w:t>
      </w:r>
    </w:p>
    <w:p w:rsidR="0098698C" w:rsidRPr="00951FE8" w:rsidRDefault="0098698C" w:rsidP="00951FE8">
      <w:pPr>
        <w:spacing w:after="0"/>
        <w:rPr>
          <w:rFonts w:ascii="Arial" w:hAnsi="Arial" w:cs="Arial"/>
          <w:b/>
          <w:u w:val="single"/>
        </w:rPr>
      </w:pPr>
    </w:p>
    <w:p w:rsidR="0098698C" w:rsidRPr="00951FE8" w:rsidRDefault="0098698C" w:rsidP="00951FE8">
      <w:pPr>
        <w:spacing w:after="0"/>
        <w:rPr>
          <w:rFonts w:ascii="Arial" w:hAnsi="Arial" w:cs="Arial"/>
          <w:b/>
          <w:lang w:val="en-US"/>
        </w:rPr>
      </w:pPr>
      <w:r w:rsidRPr="00951FE8">
        <w:rPr>
          <w:rFonts w:ascii="Arial" w:hAnsi="Arial" w:cs="Arial"/>
          <w:b/>
        </w:rPr>
        <w:t>Medical therapy</w:t>
      </w:r>
      <w:r w:rsidRPr="00951FE8">
        <w:rPr>
          <w:rFonts w:ascii="Arial" w:hAnsi="Arial" w:cs="Arial"/>
          <w:b/>
          <w:lang w:val="en-US"/>
        </w:rPr>
        <w:t xml:space="preserve"> </w:t>
      </w:r>
    </w:p>
    <w:p w:rsidR="002922F5" w:rsidRPr="00951FE8" w:rsidRDefault="0098698C" w:rsidP="00951FE8">
      <w:pPr>
        <w:spacing w:after="0"/>
        <w:rPr>
          <w:rFonts w:ascii="Arial" w:hAnsi="Arial" w:cs="Arial"/>
          <w:lang w:val="en-GB"/>
        </w:rPr>
      </w:pPr>
      <w:r w:rsidRPr="00951FE8">
        <w:rPr>
          <w:rFonts w:ascii="Arial" w:hAnsi="Arial" w:cs="Arial"/>
          <w:lang w:val="en-US"/>
        </w:rPr>
        <w:t>Levothyroxine</w:t>
      </w:r>
      <w:r w:rsidR="00800E16" w:rsidRPr="00951FE8">
        <w:rPr>
          <w:rFonts w:ascii="Arial" w:hAnsi="Arial" w:cs="Arial"/>
          <w:i/>
          <w:lang w:val="en-US"/>
        </w:rPr>
        <w:t xml:space="preserve"> </w:t>
      </w:r>
      <w:r w:rsidR="00800E16" w:rsidRPr="00951FE8">
        <w:rPr>
          <w:rFonts w:ascii="Arial" w:hAnsi="Arial" w:cs="Arial"/>
          <w:lang w:val="en-US"/>
        </w:rPr>
        <w:t>is u</w:t>
      </w:r>
      <w:r w:rsidRPr="00951FE8">
        <w:rPr>
          <w:rFonts w:ascii="Arial" w:hAnsi="Arial" w:cs="Arial"/>
          <w:lang w:val="en-US"/>
        </w:rPr>
        <w:t>nsuitable for</w:t>
      </w:r>
      <w:r w:rsidR="00800E16" w:rsidRPr="00951FE8">
        <w:rPr>
          <w:rFonts w:ascii="Arial" w:hAnsi="Arial" w:cs="Arial"/>
          <w:lang w:val="en-US"/>
        </w:rPr>
        <w:t xml:space="preserve"> treatment in the face of acute laminitis as stimulation of metabolic rate while being confined. However m</w:t>
      </w:r>
      <w:r w:rsidRPr="00951FE8">
        <w:rPr>
          <w:rFonts w:ascii="Arial" w:hAnsi="Arial" w:cs="Arial"/>
          <w:lang w:val="en-US"/>
        </w:rPr>
        <w:t>etformin</w:t>
      </w:r>
      <w:r w:rsidR="00800E16" w:rsidRPr="00951FE8">
        <w:rPr>
          <w:rFonts w:ascii="Arial" w:hAnsi="Arial" w:cs="Arial"/>
          <w:lang w:val="en-US"/>
        </w:rPr>
        <w:t xml:space="preserve"> may play a role in reducing enteric glucose absorption </w:t>
      </w:r>
      <w:r w:rsidR="0062770A" w:rsidRPr="00951FE8">
        <w:rPr>
          <w:rFonts w:ascii="Arial" w:hAnsi="Arial" w:cs="Arial"/>
          <w:lang w:val="en-US"/>
        </w:rPr>
        <w:t>so</w:t>
      </w:r>
      <w:r w:rsidR="00800E16" w:rsidRPr="00951FE8">
        <w:rPr>
          <w:rFonts w:ascii="Arial" w:hAnsi="Arial" w:cs="Arial"/>
          <w:lang w:val="en-US"/>
        </w:rPr>
        <w:t xml:space="preserve"> </w:t>
      </w:r>
      <w:r w:rsidR="00800E16" w:rsidRPr="00951FE8">
        <w:rPr>
          <w:rFonts w:ascii="Arial" w:hAnsi="Arial" w:cs="Arial"/>
          <w:lang w:val="en-GB"/>
        </w:rPr>
        <w:t xml:space="preserve">15-30mg/kg PO could be given approximately 30 </w:t>
      </w:r>
      <w:r w:rsidR="0062770A" w:rsidRPr="00951FE8">
        <w:rPr>
          <w:rFonts w:ascii="Arial" w:hAnsi="Arial" w:cs="Arial"/>
          <w:lang w:val="en-GB"/>
        </w:rPr>
        <w:t>mins before consumption of feed where low NSC feed is unable to be sourced or hay is not able to be soaked.</w:t>
      </w:r>
    </w:p>
    <w:p w:rsidR="0098698C" w:rsidRPr="00951FE8" w:rsidRDefault="0098698C" w:rsidP="00951FE8">
      <w:pPr>
        <w:spacing w:after="0"/>
        <w:rPr>
          <w:rFonts w:ascii="Arial" w:hAnsi="Arial" w:cs="Arial"/>
          <w:lang w:val="en-US"/>
        </w:rPr>
      </w:pPr>
    </w:p>
    <w:p w:rsidR="009A04F7" w:rsidRPr="00951FE8" w:rsidRDefault="009A04F7" w:rsidP="00951FE8">
      <w:pPr>
        <w:spacing w:after="0"/>
        <w:rPr>
          <w:rFonts w:ascii="Arial" w:hAnsi="Arial" w:cs="Arial"/>
          <w:b/>
          <w:lang w:val="en-US"/>
        </w:rPr>
      </w:pPr>
      <w:r w:rsidRPr="00951FE8">
        <w:rPr>
          <w:rFonts w:ascii="Arial" w:hAnsi="Arial" w:cs="Arial"/>
          <w:b/>
          <w:lang w:val="en-US"/>
        </w:rPr>
        <w:t>Exercise</w:t>
      </w:r>
    </w:p>
    <w:p w:rsidR="0062770A" w:rsidRPr="00951FE8" w:rsidRDefault="0062770A" w:rsidP="00951FE8">
      <w:pPr>
        <w:spacing w:after="0"/>
        <w:rPr>
          <w:rFonts w:ascii="Arial" w:hAnsi="Arial" w:cs="Arial"/>
        </w:rPr>
      </w:pPr>
      <w:r w:rsidRPr="00951FE8">
        <w:rPr>
          <w:rFonts w:ascii="Arial" w:hAnsi="Arial" w:cs="Arial"/>
        </w:rPr>
        <w:t>Exercise is usually inappropriate in acute cases of laminitis due to concern about the stability of the lamellar attachments. Considering the fact that real improvement in insulin sensitivity requires moderate intensity exercise for 30 minutes duration several times a week (See managing the waistline), it is best to focus on dietary considerations in the early stages following a bout of laminitis.</w:t>
      </w:r>
    </w:p>
    <w:p w:rsidR="0062770A" w:rsidRPr="00951FE8" w:rsidRDefault="0062770A" w:rsidP="00951FE8">
      <w:pPr>
        <w:spacing w:after="0"/>
        <w:rPr>
          <w:rFonts w:ascii="Arial" w:hAnsi="Arial" w:cs="Arial"/>
        </w:rPr>
      </w:pPr>
    </w:p>
    <w:p w:rsidR="0062770A" w:rsidRPr="00951FE8" w:rsidRDefault="0062770A" w:rsidP="00951FE8">
      <w:pPr>
        <w:spacing w:after="0"/>
        <w:rPr>
          <w:rFonts w:ascii="Arial" w:hAnsi="Arial" w:cs="Arial"/>
          <w:vertAlign w:val="superscript"/>
        </w:rPr>
      </w:pPr>
      <w:r w:rsidRPr="00951FE8">
        <w:rPr>
          <w:rFonts w:ascii="Arial" w:hAnsi="Arial" w:cs="Arial"/>
        </w:rPr>
        <w:t xml:space="preserve">Once the laminitis has stabilised, ideally confirmed radiographically, and laminitis is &lt; </w:t>
      </w:r>
      <w:proofErr w:type="spellStart"/>
      <w:r w:rsidRPr="00951FE8">
        <w:rPr>
          <w:rFonts w:ascii="Arial" w:hAnsi="Arial" w:cs="Arial"/>
        </w:rPr>
        <w:t>Obel</w:t>
      </w:r>
      <w:proofErr w:type="spellEnd"/>
      <w:r w:rsidRPr="00951FE8">
        <w:rPr>
          <w:rFonts w:ascii="Arial" w:hAnsi="Arial" w:cs="Arial"/>
        </w:rPr>
        <w:t xml:space="preserve"> grade 1 off analgesics, e</w:t>
      </w:r>
      <w:r w:rsidR="009A04F7" w:rsidRPr="00951FE8">
        <w:rPr>
          <w:rFonts w:ascii="Arial" w:hAnsi="Arial" w:cs="Arial"/>
        </w:rPr>
        <w:t xml:space="preserve">xercise can be commenced on a soft surface, ideally sand like in a manège and gradually increased with close monitoring for worsening of lameness. </w:t>
      </w:r>
      <w:r w:rsidRPr="00951FE8">
        <w:rPr>
          <w:rFonts w:ascii="Arial" w:hAnsi="Arial" w:cs="Arial"/>
        </w:rPr>
        <w:t xml:space="preserve">Although not necessarily improving insulin sensitivity, in overweight horses with EMS, even very small increases in exercise can be useful. An example is a tracker system for a horse to find its food which has been shown to increase daily walking distances from 1-3 km and improve body fat indices. </w:t>
      </w:r>
      <w:r w:rsidRPr="00951FE8">
        <w:rPr>
          <w:rFonts w:ascii="Arial" w:hAnsi="Arial" w:cs="Arial"/>
          <w:vertAlign w:val="superscript"/>
        </w:rPr>
        <w:t>13</w:t>
      </w:r>
    </w:p>
    <w:p w:rsidR="0062770A" w:rsidRPr="00951FE8" w:rsidRDefault="0062770A" w:rsidP="00951FE8">
      <w:pPr>
        <w:spacing w:after="0"/>
        <w:rPr>
          <w:rFonts w:ascii="Arial" w:hAnsi="Arial" w:cs="Arial"/>
          <w:lang w:val="en-GB"/>
        </w:rPr>
      </w:pPr>
    </w:p>
    <w:p w:rsidR="009A04F7" w:rsidRPr="00951FE8" w:rsidRDefault="0062770A" w:rsidP="00951FE8">
      <w:pPr>
        <w:spacing w:after="0"/>
        <w:rPr>
          <w:rFonts w:ascii="Arial" w:hAnsi="Arial" w:cs="Arial"/>
          <w:lang w:val="en-US"/>
        </w:rPr>
      </w:pPr>
      <w:r w:rsidRPr="00951FE8">
        <w:rPr>
          <w:rFonts w:ascii="Arial" w:hAnsi="Arial" w:cs="Arial"/>
          <w:lang w:val="en-GB"/>
        </w:rPr>
        <w:t>Longer term dietary and exercise management for endocrine disease is covered in the accompanying presentations.</w:t>
      </w:r>
    </w:p>
    <w:p w:rsidR="00C94F13" w:rsidRPr="00951FE8" w:rsidRDefault="00C94F13" w:rsidP="00951FE8">
      <w:pPr>
        <w:spacing w:after="0"/>
        <w:rPr>
          <w:rFonts w:ascii="Arial" w:hAnsi="Arial" w:cs="Arial"/>
          <w:b/>
        </w:rPr>
      </w:pPr>
    </w:p>
    <w:p w:rsidR="00C94F13" w:rsidRPr="00951FE8" w:rsidRDefault="003A3574" w:rsidP="00951FE8">
      <w:pPr>
        <w:spacing w:after="0"/>
        <w:rPr>
          <w:rFonts w:ascii="Arial" w:hAnsi="Arial" w:cs="Arial"/>
          <w:b/>
        </w:rPr>
      </w:pPr>
      <w:r w:rsidRPr="00951FE8">
        <w:rPr>
          <w:rFonts w:ascii="Arial" w:hAnsi="Arial" w:cs="Arial"/>
          <w:b/>
        </w:rPr>
        <w:t>References</w:t>
      </w:r>
    </w:p>
    <w:p w:rsidR="009859FA" w:rsidRPr="00951FE8" w:rsidRDefault="009859FA" w:rsidP="00951FE8">
      <w:pPr>
        <w:pStyle w:val="ListParagraph"/>
        <w:numPr>
          <w:ilvl w:val="0"/>
          <w:numId w:val="5"/>
        </w:numPr>
        <w:spacing w:after="0"/>
        <w:ind w:left="360"/>
        <w:rPr>
          <w:rFonts w:ascii="Arial" w:hAnsi="Arial" w:cs="Arial"/>
        </w:rPr>
      </w:pPr>
      <w:r w:rsidRPr="00951FE8">
        <w:rPr>
          <w:rFonts w:ascii="Arial" w:hAnsi="Arial" w:cs="Arial"/>
        </w:rPr>
        <w:t xml:space="preserve">Karikoski NP, McGowan CM, Singer ER et al. Pathology of Natural Cases of Equine Endocrinopathic Laminitis Associated With Hyperinsulinemia. </w:t>
      </w:r>
      <w:r w:rsidRPr="00951FE8">
        <w:rPr>
          <w:rFonts w:ascii="Arial" w:hAnsi="Arial" w:cs="Arial"/>
          <w:i/>
        </w:rPr>
        <w:t xml:space="preserve">Vet </w:t>
      </w:r>
      <w:proofErr w:type="spellStart"/>
      <w:r w:rsidRPr="00951FE8">
        <w:rPr>
          <w:rFonts w:ascii="Arial" w:hAnsi="Arial" w:cs="Arial"/>
          <w:i/>
        </w:rPr>
        <w:t>Pathol</w:t>
      </w:r>
      <w:proofErr w:type="spellEnd"/>
      <w:r w:rsidRPr="00951FE8">
        <w:rPr>
          <w:rFonts w:ascii="Arial" w:hAnsi="Arial" w:cs="Arial"/>
        </w:rPr>
        <w:t>. 2015; 52(5):945-56.</w:t>
      </w:r>
    </w:p>
    <w:p w:rsidR="002D5304" w:rsidRPr="00951FE8" w:rsidRDefault="009859FA" w:rsidP="00951FE8">
      <w:pPr>
        <w:pStyle w:val="ListParagraph"/>
        <w:numPr>
          <w:ilvl w:val="0"/>
          <w:numId w:val="5"/>
        </w:numPr>
        <w:spacing w:after="0"/>
        <w:ind w:left="360"/>
        <w:rPr>
          <w:rFonts w:ascii="Arial" w:hAnsi="Arial" w:cs="Arial"/>
        </w:rPr>
      </w:pPr>
      <w:r w:rsidRPr="00951FE8">
        <w:rPr>
          <w:rFonts w:ascii="Arial" w:hAnsi="Arial" w:cs="Arial"/>
        </w:rPr>
        <w:t>Patterson-Kane JC, Karikoski NP, McGowan CM. Paradigm shifts in understanding equine lamini</w:t>
      </w:r>
      <w:bookmarkStart w:id="0" w:name="_GoBack"/>
      <w:bookmarkEnd w:id="0"/>
      <w:r w:rsidRPr="00951FE8">
        <w:rPr>
          <w:rFonts w:ascii="Arial" w:hAnsi="Arial" w:cs="Arial"/>
        </w:rPr>
        <w:t xml:space="preserve">tis. </w:t>
      </w:r>
      <w:r w:rsidRPr="00951FE8">
        <w:rPr>
          <w:rFonts w:ascii="Arial" w:hAnsi="Arial" w:cs="Arial"/>
          <w:i/>
        </w:rPr>
        <w:t>Vet J</w:t>
      </w:r>
      <w:r w:rsidRPr="00951FE8">
        <w:rPr>
          <w:rFonts w:ascii="Arial" w:hAnsi="Arial" w:cs="Arial"/>
        </w:rPr>
        <w:t>. 2018; 231, pp. 33-40.</w:t>
      </w:r>
    </w:p>
    <w:p w:rsidR="00BF4BEC" w:rsidRPr="00951FE8" w:rsidRDefault="002D5304" w:rsidP="00951FE8">
      <w:pPr>
        <w:pStyle w:val="ListParagraph"/>
        <w:numPr>
          <w:ilvl w:val="0"/>
          <w:numId w:val="5"/>
        </w:numPr>
        <w:spacing w:after="0"/>
        <w:ind w:left="360"/>
        <w:rPr>
          <w:rFonts w:ascii="Arial" w:hAnsi="Arial" w:cs="Arial"/>
        </w:rPr>
      </w:pPr>
      <w:proofErr w:type="spellStart"/>
      <w:r w:rsidRPr="00951FE8">
        <w:rPr>
          <w:rFonts w:ascii="Arial" w:hAnsi="Arial" w:cs="Arial"/>
        </w:rPr>
        <w:t>Blikslager</w:t>
      </w:r>
      <w:proofErr w:type="spellEnd"/>
      <w:r w:rsidRPr="00951FE8">
        <w:rPr>
          <w:rFonts w:ascii="Arial" w:hAnsi="Arial" w:cs="Arial"/>
        </w:rPr>
        <w:t xml:space="preserve"> AT, Yin C, Cochran AM, et al. Cyclooxygenase expression in the early stages of equine laminitis: a </w:t>
      </w:r>
      <w:proofErr w:type="spellStart"/>
      <w:r w:rsidRPr="00951FE8">
        <w:rPr>
          <w:rFonts w:ascii="Arial" w:hAnsi="Arial" w:cs="Arial"/>
        </w:rPr>
        <w:t>cytologic</w:t>
      </w:r>
      <w:proofErr w:type="spellEnd"/>
      <w:r w:rsidRPr="00951FE8">
        <w:rPr>
          <w:rFonts w:ascii="Arial" w:hAnsi="Arial" w:cs="Arial"/>
        </w:rPr>
        <w:t xml:space="preserve"> study. </w:t>
      </w:r>
      <w:r w:rsidRPr="00951FE8">
        <w:rPr>
          <w:rFonts w:ascii="Arial" w:hAnsi="Arial" w:cs="Arial"/>
          <w:i/>
        </w:rPr>
        <w:t>J Vet Intern Med</w:t>
      </w:r>
      <w:r w:rsidRPr="00951FE8">
        <w:rPr>
          <w:rFonts w:ascii="Arial" w:hAnsi="Arial" w:cs="Arial"/>
        </w:rPr>
        <w:t>. 2006</w:t>
      </w:r>
      <w:proofErr w:type="gramStart"/>
      <w:r w:rsidRPr="00951FE8">
        <w:rPr>
          <w:rFonts w:ascii="Arial" w:hAnsi="Arial" w:cs="Arial"/>
        </w:rPr>
        <w:t>;20</w:t>
      </w:r>
      <w:proofErr w:type="gramEnd"/>
      <w:r w:rsidRPr="00951FE8">
        <w:rPr>
          <w:rFonts w:ascii="Arial" w:hAnsi="Arial" w:cs="Arial"/>
        </w:rPr>
        <w:t>(5):1191-6.</w:t>
      </w:r>
    </w:p>
    <w:p w:rsidR="00E26555" w:rsidRPr="00951FE8" w:rsidRDefault="00BF4BEC" w:rsidP="00951FE8">
      <w:pPr>
        <w:pStyle w:val="ListParagraph"/>
        <w:numPr>
          <w:ilvl w:val="0"/>
          <w:numId w:val="5"/>
        </w:numPr>
        <w:spacing w:after="0"/>
        <w:ind w:left="360"/>
        <w:rPr>
          <w:rFonts w:ascii="Arial" w:hAnsi="Arial" w:cs="Arial"/>
        </w:rPr>
      </w:pPr>
      <w:r w:rsidRPr="00951FE8">
        <w:rPr>
          <w:rFonts w:ascii="Arial" w:hAnsi="Arial" w:cs="Arial"/>
        </w:rPr>
        <w:t xml:space="preserve">West E, Bardell D, Morgan R, Senior M. Use of acetaminophen (paracetamol) as a short-term adjunctive analgesic in a laminitic pony. </w:t>
      </w:r>
      <w:r w:rsidRPr="00951FE8">
        <w:rPr>
          <w:rFonts w:ascii="Arial" w:hAnsi="Arial" w:cs="Arial"/>
          <w:i/>
        </w:rPr>
        <w:t xml:space="preserve">Vet </w:t>
      </w:r>
      <w:proofErr w:type="spellStart"/>
      <w:r w:rsidRPr="00951FE8">
        <w:rPr>
          <w:rFonts w:ascii="Arial" w:hAnsi="Arial" w:cs="Arial"/>
          <w:i/>
        </w:rPr>
        <w:t>Anaesth</w:t>
      </w:r>
      <w:proofErr w:type="spellEnd"/>
      <w:r w:rsidRPr="00951FE8">
        <w:rPr>
          <w:rFonts w:ascii="Arial" w:hAnsi="Arial" w:cs="Arial"/>
          <w:i/>
        </w:rPr>
        <w:t xml:space="preserve"> </w:t>
      </w:r>
      <w:proofErr w:type="spellStart"/>
      <w:r w:rsidRPr="00951FE8">
        <w:rPr>
          <w:rFonts w:ascii="Arial" w:hAnsi="Arial" w:cs="Arial"/>
          <w:i/>
        </w:rPr>
        <w:t>Analg</w:t>
      </w:r>
      <w:proofErr w:type="spellEnd"/>
      <w:r w:rsidRPr="00951FE8">
        <w:rPr>
          <w:rFonts w:ascii="Arial" w:hAnsi="Arial" w:cs="Arial"/>
        </w:rPr>
        <w:t>. 2011</w:t>
      </w:r>
      <w:proofErr w:type="gramStart"/>
      <w:r w:rsidRPr="00951FE8">
        <w:rPr>
          <w:rFonts w:ascii="Arial" w:hAnsi="Arial" w:cs="Arial"/>
        </w:rPr>
        <w:t>;38</w:t>
      </w:r>
      <w:proofErr w:type="gramEnd"/>
      <w:r w:rsidRPr="00951FE8">
        <w:rPr>
          <w:rFonts w:ascii="Arial" w:hAnsi="Arial" w:cs="Arial"/>
        </w:rPr>
        <w:t>(5):521-2.</w:t>
      </w:r>
    </w:p>
    <w:p w:rsidR="00E26555" w:rsidRPr="00951FE8" w:rsidRDefault="00E26555" w:rsidP="00951FE8">
      <w:pPr>
        <w:pStyle w:val="ListParagraph"/>
        <w:numPr>
          <w:ilvl w:val="0"/>
          <w:numId w:val="5"/>
        </w:numPr>
        <w:spacing w:after="0"/>
        <w:ind w:left="360"/>
        <w:rPr>
          <w:rFonts w:ascii="Arial" w:hAnsi="Arial" w:cs="Arial"/>
        </w:rPr>
      </w:pPr>
      <w:proofErr w:type="spellStart"/>
      <w:r w:rsidRPr="00951FE8">
        <w:rPr>
          <w:rFonts w:ascii="Arial" w:hAnsi="Arial" w:cs="Arial"/>
        </w:rPr>
        <w:t>Menzies-Gow</w:t>
      </w:r>
      <w:proofErr w:type="spellEnd"/>
      <w:r w:rsidRPr="00951FE8">
        <w:rPr>
          <w:rFonts w:ascii="Arial" w:hAnsi="Arial" w:cs="Arial"/>
        </w:rPr>
        <w:t xml:space="preserve"> NJ, Stevens K, Barr A, et al. Severity and outcome of equine pasture-associated laminitis managed in first opinion practice in the UK. </w:t>
      </w:r>
      <w:r w:rsidRPr="00951FE8">
        <w:rPr>
          <w:rFonts w:ascii="Arial" w:hAnsi="Arial" w:cs="Arial"/>
          <w:i/>
        </w:rPr>
        <w:t>Vet Rec</w:t>
      </w:r>
      <w:r w:rsidRPr="00951FE8">
        <w:rPr>
          <w:rFonts w:ascii="Arial" w:hAnsi="Arial" w:cs="Arial"/>
        </w:rPr>
        <w:t>. 2010</w:t>
      </w:r>
      <w:proofErr w:type="gramStart"/>
      <w:r w:rsidRPr="00951FE8">
        <w:rPr>
          <w:rFonts w:ascii="Arial" w:hAnsi="Arial" w:cs="Arial"/>
        </w:rPr>
        <w:t>;167</w:t>
      </w:r>
      <w:proofErr w:type="gramEnd"/>
      <w:r w:rsidRPr="00951FE8">
        <w:rPr>
          <w:rFonts w:ascii="Arial" w:hAnsi="Arial" w:cs="Arial"/>
        </w:rPr>
        <w:t>(10):364.</w:t>
      </w:r>
    </w:p>
    <w:p w:rsidR="00031D2B" w:rsidRPr="00951FE8" w:rsidRDefault="00031D2B" w:rsidP="00951FE8">
      <w:pPr>
        <w:pStyle w:val="ListParagraph"/>
        <w:numPr>
          <w:ilvl w:val="0"/>
          <w:numId w:val="5"/>
        </w:numPr>
        <w:spacing w:after="0"/>
        <w:ind w:left="360"/>
        <w:rPr>
          <w:rFonts w:ascii="Arial" w:hAnsi="Arial" w:cs="Arial"/>
        </w:rPr>
      </w:pPr>
      <w:r w:rsidRPr="00951FE8">
        <w:rPr>
          <w:rFonts w:ascii="Arial" w:hAnsi="Arial" w:cs="Arial"/>
          <w:lang w:val="en-AU"/>
        </w:rPr>
        <w:t xml:space="preserve">Van Eps AW, Pollitt CC. Equine laminitis model: cryotherapy reduces the severity of lesions evaluated seven days after induction with </w:t>
      </w:r>
      <w:proofErr w:type="spellStart"/>
      <w:r w:rsidRPr="00951FE8">
        <w:rPr>
          <w:rFonts w:ascii="Arial" w:hAnsi="Arial" w:cs="Arial"/>
          <w:lang w:val="en-AU"/>
        </w:rPr>
        <w:t>oligofructose</w:t>
      </w:r>
      <w:proofErr w:type="spellEnd"/>
      <w:r w:rsidRPr="00951FE8">
        <w:rPr>
          <w:rFonts w:ascii="Arial" w:hAnsi="Arial" w:cs="Arial"/>
          <w:lang w:val="en-AU"/>
        </w:rPr>
        <w:t xml:space="preserve">. </w:t>
      </w:r>
      <w:r w:rsidRPr="00951FE8">
        <w:rPr>
          <w:rFonts w:ascii="Arial" w:hAnsi="Arial" w:cs="Arial"/>
          <w:i/>
          <w:lang w:val="en-AU"/>
        </w:rPr>
        <w:t>Equine Vet J.</w:t>
      </w:r>
      <w:r w:rsidRPr="00951FE8">
        <w:rPr>
          <w:rFonts w:ascii="Arial" w:hAnsi="Arial" w:cs="Arial"/>
          <w:lang w:val="en-AU"/>
        </w:rPr>
        <w:t xml:space="preserve"> 2009</w:t>
      </w:r>
      <w:proofErr w:type="gramStart"/>
      <w:r w:rsidRPr="00951FE8">
        <w:rPr>
          <w:rFonts w:ascii="Arial" w:hAnsi="Arial" w:cs="Arial"/>
          <w:lang w:val="en-AU"/>
        </w:rPr>
        <w:t>;41</w:t>
      </w:r>
      <w:proofErr w:type="gramEnd"/>
      <w:r w:rsidRPr="00951FE8">
        <w:rPr>
          <w:rFonts w:ascii="Arial" w:hAnsi="Arial" w:cs="Arial"/>
          <w:lang w:val="en-AU"/>
        </w:rPr>
        <w:t>(8):741-6.</w:t>
      </w:r>
    </w:p>
    <w:p w:rsidR="00031D2B" w:rsidRPr="00951FE8" w:rsidRDefault="00031D2B" w:rsidP="00951FE8">
      <w:pPr>
        <w:pStyle w:val="ListParagraph"/>
        <w:numPr>
          <w:ilvl w:val="0"/>
          <w:numId w:val="5"/>
        </w:numPr>
        <w:spacing w:after="0"/>
        <w:ind w:left="360"/>
        <w:rPr>
          <w:rFonts w:ascii="Arial" w:hAnsi="Arial" w:cs="Arial"/>
        </w:rPr>
      </w:pPr>
      <w:proofErr w:type="spellStart"/>
      <w:r w:rsidRPr="00951FE8">
        <w:rPr>
          <w:rFonts w:ascii="Arial" w:hAnsi="Arial" w:cs="Arial"/>
          <w:lang w:val="en-AU"/>
        </w:rPr>
        <w:t>Kullmann</w:t>
      </w:r>
      <w:proofErr w:type="spellEnd"/>
      <w:r w:rsidRPr="00951FE8">
        <w:rPr>
          <w:rFonts w:ascii="Arial" w:hAnsi="Arial" w:cs="Arial"/>
          <w:lang w:val="en-AU"/>
        </w:rPr>
        <w:t xml:space="preserve"> A, Holcombe SJ, </w:t>
      </w:r>
      <w:proofErr w:type="spellStart"/>
      <w:r w:rsidRPr="00951FE8">
        <w:rPr>
          <w:rFonts w:ascii="Arial" w:hAnsi="Arial" w:cs="Arial"/>
          <w:lang w:val="en-AU"/>
        </w:rPr>
        <w:t>Hurcombe</w:t>
      </w:r>
      <w:proofErr w:type="spellEnd"/>
      <w:r w:rsidRPr="00951FE8">
        <w:rPr>
          <w:rFonts w:ascii="Arial" w:hAnsi="Arial" w:cs="Arial"/>
          <w:lang w:val="en-AU"/>
        </w:rPr>
        <w:t xml:space="preserve"> SD, et al. Prophylactic digital cryotherapy is associated with decreased incidence of laminitis in horses diagnosed with colitis. </w:t>
      </w:r>
      <w:r w:rsidRPr="00951FE8">
        <w:rPr>
          <w:rFonts w:ascii="Arial" w:hAnsi="Arial" w:cs="Arial"/>
          <w:i/>
          <w:lang w:val="en-AU"/>
        </w:rPr>
        <w:t>Equine Vet J.</w:t>
      </w:r>
      <w:r w:rsidRPr="00951FE8">
        <w:rPr>
          <w:rFonts w:ascii="Arial" w:hAnsi="Arial" w:cs="Arial"/>
          <w:lang w:val="en-AU"/>
        </w:rPr>
        <w:t xml:space="preserve"> 2014</w:t>
      </w:r>
      <w:proofErr w:type="gramStart"/>
      <w:r w:rsidRPr="00951FE8">
        <w:rPr>
          <w:rFonts w:ascii="Arial" w:hAnsi="Arial" w:cs="Arial"/>
          <w:lang w:val="en-AU"/>
        </w:rPr>
        <w:t>;46</w:t>
      </w:r>
      <w:proofErr w:type="gramEnd"/>
      <w:r w:rsidRPr="00951FE8">
        <w:rPr>
          <w:rFonts w:ascii="Arial" w:hAnsi="Arial" w:cs="Arial"/>
          <w:lang w:val="en-AU"/>
        </w:rPr>
        <w:t>(5):554-9.</w:t>
      </w:r>
    </w:p>
    <w:p w:rsidR="004E6DE3" w:rsidRPr="00951FE8" w:rsidRDefault="00A63BC2" w:rsidP="00951FE8">
      <w:pPr>
        <w:pStyle w:val="ListParagraph"/>
        <w:numPr>
          <w:ilvl w:val="0"/>
          <w:numId w:val="5"/>
        </w:numPr>
        <w:spacing w:after="0"/>
        <w:ind w:left="360"/>
        <w:rPr>
          <w:rFonts w:ascii="Arial" w:hAnsi="Arial" w:cs="Arial"/>
        </w:rPr>
      </w:pPr>
      <w:proofErr w:type="gramStart"/>
      <w:r w:rsidRPr="00951FE8">
        <w:rPr>
          <w:rFonts w:ascii="Arial" w:hAnsi="Arial" w:cs="Arial"/>
          <w:lang w:val="en-US"/>
        </w:rPr>
        <w:lastRenderedPageBreak/>
        <w:t>de</w:t>
      </w:r>
      <w:proofErr w:type="gramEnd"/>
      <w:r w:rsidRPr="00951FE8">
        <w:rPr>
          <w:rFonts w:ascii="Arial" w:hAnsi="Arial" w:cs="Arial"/>
          <w:lang w:val="en-US"/>
        </w:rPr>
        <w:t xml:space="preserve"> Laat MA, McGowan CM, Sillence MN et al.</w:t>
      </w:r>
      <w:r w:rsidRPr="00951FE8">
        <w:rPr>
          <w:rFonts w:ascii="Arial" w:hAnsi="Arial" w:cs="Arial"/>
        </w:rPr>
        <w:t xml:space="preserve"> </w:t>
      </w:r>
      <w:r w:rsidRPr="00951FE8">
        <w:rPr>
          <w:rFonts w:ascii="Arial" w:hAnsi="Arial" w:cs="Arial"/>
          <w:lang w:val="en-US"/>
        </w:rPr>
        <w:t xml:space="preserve">Equine laminitis: induced by 48 hours of hyperinsulinaemia in Standardbred horses. </w:t>
      </w:r>
      <w:r w:rsidRPr="00951FE8">
        <w:rPr>
          <w:rFonts w:ascii="Arial" w:hAnsi="Arial" w:cs="Arial"/>
          <w:i/>
          <w:lang w:val="en-US"/>
        </w:rPr>
        <w:t>Equine vet J.</w:t>
      </w:r>
      <w:r w:rsidRPr="00951FE8">
        <w:rPr>
          <w:rFonts w:ascii="Arial" w:hAnsi="Arial" w:cs="Arial"/>
          <w:lang w:val="en-US"/>
        </w:rPr>
        <w:t xml:space="preserve"> </w:t>
      </w:r>
      <w:r w:rsidRPr="00951FE8">
        <w:rPr>
          <w:rFonts w:ascii="Arial" w:hAnsi="Arial" w:cs="Arial"/>
          <w:lang w:val="en-AU"/>
        </w:rPr>
        <w:t>2010</w:t>
      </w:r>
      <w:proofErr w:type="gramStart"/>
      <w:r w:rsidRPr="00951FE8">
        <w:rPr>
          <w:rFonts w:ascii="Arial" w:hAnsi="Arial" w:cs="Arial"/>
          <w:lang w:val="en-AU"/>
        </w:rPr>
        <w:t>;42</w:t>
      </w:r>
      <w:proofErr w:type="gramEnd"/>
      <w:r w:rsidRPr="00951FE8">
        <w:rPr>
          <w:rFonts w:ascii="Arial" w:hAnsi="Arial" w:cs="Arial"/>
          <w:lang w:val="en-AU"/>
        </w:rPr>
        <w:t>(2):129-35.</w:t>
      </w:r>
    </w:p>
    <w:p w:rsidR="004E6DE3" w:rsidRPr="00951FE8" w:rsidRDefault="004E6DE3" w:rsidP="00951FE8">
      <w:pPr>
        <w:pStyle w:val="ListParagraph"/>
        <w:numPr>
          <w:ilvl w:val="0"/>
          <w:numId w:val="5"/>
        </w:numPr>
        <w:spacing w:after="0"/>
        <w:ind w:left="360"/>
        <w:rPr>
          <w:rFonts w:ascii="Arial" w:hAnsi="Arial" w:cs="Arial"/>
        </w:rPr>
      </w:pPr>
      <w:r w:rsidRPr="00951FE8">
        <w:rPr>
          <w:rFonts w:ascii="Arial" w:hAnsi="Arial" w:cs="Arial"/>
        </w:rPr>
        <w:t xml:space="preserve">Borgia L, </w:t>
      </w:r>
      <w:proofErr w:type="spellStart"/>
      <w:r w:rsidRPr="00951FE8">
        <w:rPr>
          <w:rFonts w:ascii="Arial" w:hAnsi="Arial" w:cs="Arial"/>
        </w:rPr>
        <w:t>Valberg</w:t>
      </w:r>
      <w:proofErr w:type="spellEnd"/>
      <w:r w:rsidRPr="00951FE8">
        <w:rPr>
          <w:rFonts w:ascii="Arial" w:hAnsi="Arial" w:cs="Arial"/>
        </w:rPr>
        <w:t xml:space="preserve"> S, McCue M, et al. Glycaemic and insulinaemic responses to feeding hay with different non-structural carbohydrate content in control and polysaccharide storage myopathy-affected horses</w:t>
      </w:r>
      <w:r w:rsidRPr="00951FE8">
        <w:rPr>
          <w:rFonts w:ascii="Arial" w:hAnsi="Arial" w:cs="Arial"/>
          <w:i/>
        </w:rPr>
        <w:t xml:space="preserve">. J </w:t>
      </w:r>
      <w:proofErr w:type="spellStart"/>
      <w:r w:rsidRPr="00951FE8">
        <w:rPr>
          <w:rFonts w:ascii="Arial" w:hAnsi="Arial" w:cs="Arial"/>
          <w:i/>
        </w:rPr>
        <w:t>Anim</w:t>
      </w:r>
      <w:proofErr w:type="spellEnd"/>
      <w:r w:rsidRPr="00951FE8">
        <w:rPr>
          <w:rFonts w:ascii="Arial" w:hAnsi="Arial" w:cs="Arial"/>
          <w:i/>
        </w:rPr>
        <w:t xml:space="preserve"> </w:t>
      </w:r>
      <w:proofErr w:type="spellStart"/>
      <w:r w:rsidRPr="00951FE8">
        <w:rPr>
          <w:rFonts w:ascii="Arial" w:hAnsi="Arial" w:cs="Arial"/>
          <w:i/>
        </w:rPr>
        <w:t>Physiol</w:t>
      </w:r>
      <w:proofErr w:type="spellEnd"/>
      <w:r w:rsidRPr="00951FE8">
        <w:rPr>
          <w:rFonts w:ascii="Arial" w:hAnsi="Arial" w:cs="Arial"/>
          <w:i/>
        </w:rPr>
        <w:t xml:space="preserve"> </w:t>
      </w:r>
      <w:proofErr w:type="spellStart"/>
      <w:r w:rsidRPr="00951FE8">
        <w:rPr>
          <w:rFonts w:ascii="Arial" w:hAnsi="Arial" w:cs="Arial"/>
          <w:i/>
        </w:rPr>
        <w:t>Anim</w:t>
      </w:r>
      <w:proofErr w:type="spellEnd"/>
      <w:r w:rsidRPr="00951FE8">
        <w:rPr>
          <w:rFonts w:ascii="Arial" w:hAnsi="Arial" w:cs="Arial"/>
          <w:i/>
        </w:rPr>
        <w:t xml:space="preserve"> </w:t>
      </w:r>
      <w:proofErr w:type="spellStart"/>
      <w:r w:rsidRPr="00951FE8">
        <w:rPr>
          <w:rFonts w:ascii="Arial" w:hAnsi="Arial" w:cs="Arial"/>
          <w:i/>
        </w:rPr>
        <w:t>Nutr</w:t>
      </w:r>
      <w:proofErr w:type="spellEnd"/>
      <w:r w:rsidRPr="00951FE8">
        <w:rPr>
          <w:rFonts w:ascii="Arial" w:hAnsi="Arial" w:cs="Arial"/>
        </w:rPr>
        <w:t xml:space="preserve"> (</w:t>
      </w:r>
      <w:proofErr w:type="spellStart"/>
      <w:r w:rsidRPr="00951FE8">
        <w:rPr>
          <w:rFonts w:ascii="Arial" w:hAnsi="Arial" w:cs="Arial"/>
        </w:rPr>
        <w:t>Berl</w:t>
      </w:r>
      <w:proofErr w:type="spellEnd"/>
      <w:r w:rsidRPr="00951FE8">
        <w:rPr>
          <w:rFonts w:ascii="Arial" w:hAnsi="Arial" w:cs="Arial"/>
        </w:rPr>
        <w:t>). 2011</w:t>
      </w:r>
      <w:proofErr w:type="gramStart"/>
      <w:r w:rsidRPr="00951FE8">
        <w:rPr>
          <w:rFonts w:ascii="Arial" w:hAnsi="Arial" w:cs="Arial"/>
        </w:rPr>
        <w:t>;95</w:t>
      </w:r>
      <w:proofErr w:type="gramEnd"/>
      <w:r w:rsidRPr="00951FE8">
        <w:rPr>
          <w:rFonts w:ascii="Arial" w:hAnsi="Arial" w:cs="Arial"/>
        </w:rPr>
        <w:t>(6):798-807.</w:t>
      </w:r>
    </w:p>
    <w:p w:rsidR="00800E16" w:rsidRPr="00951FE8" w:rsidRDefault="004E6DE3" w:rsidP="00951FE8">
      <w:pPr>
        <w:pStyle w:val="ListParagraph"/>
        <w:numPr>
          <w:ilvl w:val="0"/>
          <w:numId w:val="5"/>
        </w:numPr>
        <w:spacing w:after="0"/>
        <w:ind w:left="360"/>
        <w:rPr>
          <w:rFonts w:ascii="Arial" w:hAnsi="Arial" w:cs="Arial"/>
        </w:rPr>
      </w:pPr>
      <w:r w:rsidRPr="00951FE8">
        <w:rPr>
          <w:rFonts w:ascii="Arial" w:hAnsi="Arial" w:cs="Arial"/>
          <w:lang w:val="en-US"/>
        </w:rPr>
        <w:t xml:space="preserve">Carslake HB, McGowan C, </w:t>
      </w:r>
      <w:proofErr w:type="spellStart"/>
      <w:r w:rsidRPr="00951FE8">
        <w:rPr>
          <w:rFonts w:ascii="Arial" w:hAnsi="Arial" w:cs="Arial"/>
          <w:lang w:val="en-US"/>
        </w:rPr>
        <w:t>Dugdale</w:t>
      </w:r>
      <w:proofErr w:type="spellEnd"/>
      <w:r w:rsidRPr="00951FE8">
        <w:rPr>
          <w:rFonts w:ascii="Arial" w:hAnsi="Arial" w:cs="Arial"/>
          <w:lang w:val="en-US"/>
        </w:rPr>
        <w:t xml:space="preserve"> A, et al. Insulinaemic and glycaemic responses to three forages in ponies. </w:t>
      </w:r>
      <w:r w:rsidRPr="00951FE8">
        <w:rPr>
          <w:rFonts w:ascii="Arial" w:hAnsi="Arial" w:cs="Arial"/>
          <w:i/>
          <w:lang w:val="en-US"/>
        </w:rPr>
        <w:t>Vet J.</w:t>
      </w:r>
      <w:r w:rsidRPr="00951FE8">
        <w:rPr>
          <w:rFonts w:ascii="Arial" w:hAnsi="Arial" w:cs="Arial"/>
          <w:lang w:val="en-US"/>
        </w:rPr>
        <w:t xml:space="preserve"> 2018 </w:t>
      </w:r>
      <w:proofErr w:type="gramStart"/>
      <w:r w:rsidRPr="00951FE8">
        <w:rPr>
          <w:rFonts w:ascii="Arial" w:hAnsi="Arial" w:cs="Arial"/>
          <w:lang w:val="en-US"/>
        </w:rPr>
        <w:t>In</w:t>
      </w:r>
      <w:proofErr w:type="gramEnd"/>
      <w:r w:rsidRPr="00951FE8">
        <w:rPr>
          <w:rFonts w:ascii="Arial" w:hAnsi="Arial" w:cs="Arial"/>
          <w:lang w:val="en-US"/>
        </w:rPr>
        <w:t xml:space="preserve"> Press.</w:t>
      </w:r>
    </w:p>
    <w:p w:rsidR="00800E16" w:rsidRPr="00951FE8" w:rsidRDefault="00800E16" w:rsidP="00951FE8">
      <w:pPr>
        <w:pStyle w:val="ListParagraph"/>
        <w:numPr>
          <w:ilvl w:val="0"/>
          <w:numId w:val="5"/>
        </w:numPr>
        <w:spacing w:after="0"/>
        <w:ind w:left="360"/>
        <w:rPr>
          <w:rFonts w:ascii="Arial" w:hAnsi="Arial" w:cs="Arial"/>
        </w:rPr>
      </w:pPr>
      <w:r w:rsidRPr="00951FE8">
        <w:rPr>
          <w:rFonts w:ascii="Arial" w:hAnsi="Arial" w:cs="Arial"/>
        </w:rPr>
        <w:t xml:space="preserve">Stull CL, </w:t>
      </w:r>
      <w:proofErr w:type="spellStart"/>
      <w:r w:rsidRPr="00951FE8">
        <w:rPr>
          <w:rFonts w:ascii="Arial" w:hAnsi="Arial" w:cs="Arial"/>
        </w:rPr>
        <w:t>Rodiek</w:t>
      </w:r>
      <w:proofErr w:type="spellEnd"/>
      <w:r w:rsidRPr="00951FE8">
        <w:rPr>
          <w:rFonts w:ascii="Arial" w:hAnsi="Arial" w:cs="Arial"/>
        </w:rPr>
        <w:t xml:space="preserve"> AV. Responses of blood glucose, insulin and cortisol concentrations to common equine diets. </w:t>
      </w:r>
      <w:r w:rsidRPr="00951FE8">
        <w:rPr>
          <w:rFonts w:ascii="Arial" w:hAnsi="Arial" w:cs="Arial"/>
          <w:i/>
        </w:rPr>
        <w:t xml:space="preserve">J </w:t>
      </w:r>
      <w:proofErr w:type="spellStart"/>
      <w:r w:rsidRPr="00951FE8">
        <w:rPr>
          <w:rFonts w:ascii="Arial" w:hAnsi="Arial" w:cs="Arial"/>
          <w:i/>
        </w:rPr>
        <w:t>Nutr</w:t>
      </w:r>
      <w:proofErr w:type="spellEnd"/>
      <w:r w:rsidRPr="00951FE8">
        <w:rPr>
          <w:rFonts w:ascii="Arial" w:hAnsi="Arial" w:cs="Arial"/>
        </w:rPr>
        <w:t>. 1988</w:t>
      </w:r>
      <w:proofErr w:type="gramStart"/>
      <w:r w:rsidRPr="00951FE8">
        <w:rPr>
          <w:rFonts w:ascii="Arial" w:hAnsi="Arial" w:cs="Arial"/>
        </w:rPr>
        <w:t>;118</w:t>
      </w:r>
      <w:proofErr w:type="gramEnd"/>
      <w:r w:rsidRPr="00951FE8">
        <w:rPr>
          <w:rFonts w:ascii="Arial" w:hAnsi="Arial" w:cs="Arial"/>
        </w:rPr>
        <w:t>(2):206-13.</w:t>
      </w:r>
    </w:p>
    <w:p w:rsidR="0062770A" w:rsidRPr="00951FE8" w:rsidRDefault="00800E16" w:rsidP="00951FE8">
      <w:pPr>
        <w:pStyle w:val="ListParagraph"/>
        <w:numPr>
          <w:ilvl w:val="0"/>
          <w:numId w:val="5"/>
        </w:numPr>
        <w:spacing w:after="0"/>
        <w:ind w:left="360"/>
        <w:rPr>
          <w:rFonts w:ascii="Arial" w:hAnsi="Arial" w:cs="Arial"/>
        </w:rPr>
      </w:pPr>
      <w:r w:rsidRPr="00951FE8">
        <w:rPr>
          <w:rFonts w:ascii="Arial" w:hAnsi="Arial" w:cs="Arial"/>
        </w:rPr>
        <w:t xml:space="preserve">Martinson K, Jung H, Hathaway M, et al. The effect of soaking on carbohydrate removal and dry matter loss in </w:t>
      </w:r>
      <w:proofErr w:type="spellStart"/>
      <w:r w:rsidRPr="00951FE8">
        <w:rPr>
          <w:rFonts w:ascii="Arial" w:hAnsi="Arial" w:cs="Arial"/>
        </w:rPr>
        <w:t>orchardgrass</w:t>
      </w:r>
      <w:proofErr w:type="spellEnd"/>
      <w:r w:rsidRPr="00951FE8">
        <w:rPr>
          <w:rFonts w:ascii="Arial" w:hAnsi="Arial" w:cs="Arial"/>
        </w:rPr>
        <w:t xml:space="preserve"> and alfalfa hays. </w:t>
      </w:r>
      <w:r w:rsidRPr="00951FE8">
        <w:rPr>
          <w:rFonts w:ascii="Arial" w:hAnsi="Arial" w:cs="Arial"/>
          <w:i/>
        </w:rPr>
        <w:t>J Equine Vet Sci</w:t>
      </w:r>
      <w:r w:rsidRPr="00951FE8">
        <w:rPr>
          <w:rFonts w:ascii="Arial" w:hAnsi="Arial" w:cs="Arial"/>
        </w:rPr>
        <w:t>. 2012</w:t>
      </w:r>
      <w:r w:rsidR="0062770A" w:rsidRPr="00951FE8">
        <w:rPr>
          <w:rFonts w:ascii="Arial" w:hAnsi="Arial" w:cs="Arial"/>
        </w:rPr>
        <w:t>;32(6):332-8</w:t>
      </w:r>
    </w:p>
    <w:p w:rsidR="00800E16" w:rsidRPr="00951FE8" w:rsidRDefault="0062770A" w:rsidP="00951FE8">
      <w:pPr>
        <w:pStyle w:val="ListParagraph"/>
        <w:numPr>
          <w:ilvl w:val="0"/>
          <w:numId w:val="5"/>
        </w:numPr>
        <w:spacing w:after="0"/>
        <w:ind w:left="360"/>
        <w:rPr>
          <w:rFonts w:ascii="Arial" w:hAnsi="Arial" w:cs="Arial"/>
        </w:rPr>
      </w:pPr>
      <w:r w:rsidRPr="00951FE8">
        <w:rPr>
          <w:rFonts w:ascii="Arial" w:hAnsi="Arial" w:cs="Arial"/>
        </w:rPr>
        <w:t xml:space="preserve">de Laat MA, Hampson BA, Sillence MN, et al. Sustained, Low-Intensity Exercise Achieved by a Dynamic Feeding System Decreases Body Fat in Ponies. </w:t>
      </w:r>
      <w:r w:rsidRPr="00951FE8">
        <w:rPr>
          <w:rFonts w:ascii="Arial" w:hAnsi="Arial" w:cs="Arial"/>
          <w:i/>
        </w:rPr>
        <w:t>J Vet Intern Med.</w:t>
      </w:r>
      <w:r w:rsidRPr="00951FE8">
        <w:rPr>
          <w:rFonts w:ascii="Arial" w:hAnsi="Arial" w:cs="Arial"/>
        </w:rPr>
        <w:t xml:space="preserve"> 2016</w:t>
      </w:r>
      <w:proofErr w:type="gramStart"/>
      <w:r w:rsidRPr="00951FE8">
        <w:rPr>
          <w:rFonts w:ascii="Arial" w:hAnsi="Arial" w:cs="Arial"/>
        </w:rPr>
        <w:t>;30</w:t>
      </w:r>
      <w:proofErr w:type="gramEnd"/>
      <w:r w:rsidRPr="00951FE8">
        <w:rPr>
          <w:rFonts w:ascii="Arial" w:hAnsi="Arial" w:cs="Arial"/>
        </w:rPr>
        <w:t>(5):1732-1738.</w:t>
      </w:r>
    </w:p>
    <w:sectPr w:rsidR="00800E16" w:rsidRPr="00951FE8" w:rsidSect="000315DB">
      <w:footerReference w:type="default" r:id="rId7"/>
      <w:pgSz w:w="11906" w:h="16838" w:code="9"/>
      <w:pgMar w:top="1418" w:right="1701" w:bottom="1418"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6793" w:rsidRDefault="000C6793" w:rsidP="001976B2">
      <w:pPr>
        <w:spacing w:after="0" w:line="240" w:lineRule="auto"/>
      </w:pPr>
      <w:r>
        <w:separator/>
      </w:r>
    </w:p>
  </w:endnote>
  <w:endnote w:type="continuationSeparator" w:id="0">
    <w:p w:rsidR="000C6793" w:rsidRDefault="000C6793" w:rsidP="001976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76B2" w:rsidRPr="001976B2" w:rsidRDefault="001976B2" w:rsidP="001976B2">
    <w:pPr>
      <w:spacing w:after="0"/>
      <w:rPr>
        <w:rFonts w:ascii="Arial" w:hAnsi="Arial" w:cs="Arial"/>
        <w:sz w:val="20"/>
        <w:szCs w:val="20"/>
      </w:rPr>
    </w:pPr>
    <w:r w:rsidRPr="001976B2">
      <w:rPr>
        <w:rFonts w:ascii="Arial" w:hAnsi="Arial" w:cs="Arial"/>
        <w:sz w:val="20"/>
        <w:szCs w:val="20"/>
      </w:rPr>
      <w:t xml:space="preserve">Proceedings of AVA Annual Conference, </w:t>
    </w:r>
    <w:r w:rsidR="004508C5">
      <w:rPr>
        <w:rFonts w:ascii="Arial" w:hAnsi="Arial" w:cs="Arial"/>
        <w:sz w:val="20"/>
        <w:szCs w:val="20"/>
      </w:rPr>
      <w:t>Brisbane</w:t>
    </w:r>
    <w:r w:rsidRPr="001976B2">
      <w:rPr>
        <w:rFonts w:ascii="Arial" w:hAnsi="Arial" w:cs="Arial"/>
        <w:sz w:val="20"/>
        <w:szCs w:val="20"/>
      </w:rPr>
      <w:t>, 201</w:t>
    </w:r>
    <w:r w:rsidR="004508C5">
      <w:rPr>
        <w:rFonts w:ascii="Arial" w:hAnsi="Arial" w:cs="Arial"/>
        <w:sz w:val="20"/>
        <w:szCs w:val="20"/>
      </w:rPr>
      <w:t>8</w:t>
    </w:r>
    <w:r w:rsidRPr="001976B2">
      <w:rPr>
        <w:rFonts w:ascii="Arial" w:hAnsi="Arial" w:cs="Arial"/>
        <w:sz w:val="20"/>
        <w:szCs w:val="20"/>
      </w:rPr>
      <w:t>.</w:t>
    </w:r>
  </w:p>
  <w:p w:rsidR="001976B2" w:rsidRPr="001976B2" w:rsidRDefault="00FD65A9" w:rsidP="001976B2">
    <w:pPr>
      <w:spacing w:after="0"/>
      <w:rPr>
        <w:rFonts w:ascii="Arial" w:hAnsi="Arial" w:cs="Arial"/>
        <w:sz w:val="20"/>
        <w:szCs w:val="20"/>
      </w:rPr>
    </w:pPr>
    <w:r>
      <w:rPr>
        <w:rFonts w:ascii="Arial" w:hAnsi="Arial" w:cs="Arial"/>
        <w:sz w:val="20"/>
        <w:szCs w:val="20"/>
      </w:rPr>
      <w:t>McGowan, C</w:t>
    </w:r>
    <w:r w:rsidR="001976B2" w:rsidRPr="001976B2">
      <w:rPr>
        <w:rFonts w:ascii="Arial" w:hAnsi="Arial" w:cs="Arial"/>
        <w:sz w:val="20"/>
        <w:szCs w:val="20"/>
      </w:rPr>
      <w:t xml:space="preserve"> – </w:t>
    </w:r>
    <w:r w:rsidRPr="00FD65A9">
      <w:rPr>
        <w:rFonts w:ascii="Arial" w:hAnsi="Arial" w:cs="Arial"/>
        <w:sz w:val="20"/>
        <w:szCs w:val="20"/>
      </w:rPr>
      <w:t>Back on their feet again: Management of endocrine laminitis</w:t>
    </w:r>
    <w:r w:rsidR="001976B2" w:rsidRPr="001976B2">
      <w:rPr>
        <w:rFonts w:ascii="Arial" w:hAnsi="Arial" w:cs="Arial"/>
        <w:sz w:val="20"/>
        <w:szCs w:val="20"/>
      </w:rPr>
      <w:t>.</w:t>
    </w:r>
  </w:p>
  <w:p w:rsidR="001976B2" w:rsidRDefault="001976B2">
    <w:pPr>
      <w:pStyle w:val="Footer"/>
    </w:pPr>
  </w:p>
  <w:p w:rsidR="001976B2" w:rsidRDefault="001976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6793" w:rsidRDefault="000C6793" w:rsidP="001976B2">
      <w:pPr>
        <w:spacing w:after="0" w:line="240" w:lineRule="auto"/>
      </w:pPr>
      <w:r>
        <w:separator/>
      </w:r>
    </w:p>
  </w:footnote>
  <w:footnote w:type="continuationSeparator" w:id="0">
    <w:p w:rsidR="000C6793" w:rsidRDefault="000C6793" w:rsidP="001976B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F39F0"/>
    <w:multiLevelType w:val="hybridMultilevel"/>
    <w:tmpl w:val="07A6BB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C1521A8"/>
    <w:multiLevelType w:val="hybridMultilevel"/>
    <w:tmpl w:val="07A6BB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DFB630C"/>
    <w:multiLevelType w:val="hybridMultilevel"/>
    <w:tmpl w:val="D338A49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3411CB7"/>
    <w:multiLevelType w:val="hybridMultilevel"/>
    <w:tmpl w:val="9808F4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9304415"/>
    <w:multiLevelType w:val="hybridMultilevel"/>
    <w:tmpl w:val="37BA5C68"/>
    <w:lvl w:ilvl="0" w:tplc="5A6AFD6C">
      <w:start w:val="1"/>
      <w:numFmt w:val="decimal"/>
      <w:lvlText w:val="%1."/>
      <w:lvlJc w:val="left"/>
      <w:pPr>
        <w:tabs>
          <w:tab w:val="num" w:pos="720"/>
        </w:tabs>
        <w:ind w:left="720" w:hanging="360"/>
      </w:pPr>
    </w:lvl>
    <w:lvl w:ilvl="1" w:tplc="B3A2C40C" w:tentative="1">
      <w:start w:val="1"/>
      <w:numFmt w:val="decimal"/>
      <w:lvlText w:val="%2."/>
      <w:lvlJc w:val="left"/>
      <w:pPr>
        <w:tabs>
          <w:tab w:val="num" w:pos="1440"/>
        </w:tabs>
        <w:ind w:left="1440" w:hanging="360"/>
      </w:pPr>
    </w:lvl>
    <w:lvl w:ilvl="2" w:tplc="A3160DC4" w:tentative="1">
      <w:start w:val="1"/>
      <w:numFmt w:val="decimal"/>
      <w:lvlText w:val="%3."/>
      <w:lvlJc w:val="left"/>
      <w:pPr>
        <w:tabs>
          <w:tab w:val="num" w:pos="2160"/>
        </w:tabs>
        <w:ind w:left="2160" w:hanging="360"/>
      </w:pPr>
    </w:lvl>
    <w:lvl w:ilvl="3" w:tplc="5588BAB6" w:tentative="1">
      <w:start w:val="1"/>
      <w:numFmt w:val="decimal"/>
      <w:lvlText w:val="%4."/>
      <w:lvlJc w:val="left"/>
      <w:pPr>
        <w:tabs>
          <w:tab w:val="num" w:pos="2880"/>
        </w:tabs>
        <w:ind w:left="2880" w:hanging="360"/>
      </w:pPr>
    </w:lvl>
    <w:lvl w:ilvl="4" w:tplc="5752385A" w:tentative="1">
      <w:start w:val="1"/>
      <w:numFmt w:val="decimal"/>
      <w:lvlText w:val="%5."/>
      <w:lvlJc w:val="left"/>
      <w:pPr>
        <w:tabs>
          <w:tab w:val="num" w:pos="3600"/>
        </w:tabs>
        <w:ind w:left="3600" w:hanging="360"/>
      </w:pPr>
    </w:lvl>
    <w:lvl w:ilvl="5" w:tplc="52ACEE4A" w:tentative="1">
      <w:start w:val="1"/>
      <w:numFmt w:val="decimal"/>
      <w:lvlText w:val="%6."/>
      <w:lvlJc w:val="left"/>
      <w:pPr>
        <w:tabs>
          <w:tab w:val="num" w:pos="4320"/>
        </w:tabs>
        <w:ind w:left="4320" w:hanging="360"/>
      </w:pPr>
    </w:lvl>
    <w:lvl w:ilvl="6" w:tplc="3148FD14" w:tentative="1">
      <w:start w:val="1"/>
      <w:numFmt w:val="decimal"/>
      <w:lvlText w:val="%7."/>
      <w:lvlJc w:val="left"/>
      <w:pPr>
        <w:tabs>
          <w:tab w:val="num" w:pos="5040"/>
        </w:tabs>
        <w:ind w:left="5040" w:hanging="360"/>
      </w:pPr>
    </w:lvl>
    <w:lvl w:ilvl="7" w:tplc="961AC7BA" w:tentative="1">
      <w:start w:val="1"/>
      <w:numFmt w:val="decimal"/>
      <w:lvlText w:val="%8."/>
      <w:lvlJc w:val="left"/>
      <w:pPr>
        <w:tabs>
          <w:tab w:val="num" w:pos="5760"/>
        </w:tabs>
        <w:ind w:left="5760" w:hanging="360"/>
      </w:pPr>
    </w:lvl>
    <w:lvl w:ilvl="8" w:tplc="B4B2AF6E" w:tentative="1">
      <w:start w:val="1"/>
      <w:numFmt w:val="decimal"/>
      <w:lvlText w:val="%9."/>
      <w:lvlJc w:val="left"/>
      <w:pPr>
        <w:tabs>
          <w:tab w:val="num" w:pos="6480"/>
        </w:tabs>
        <w:ind w:left="6480" w:hanging="360"/>
      </w:pPr>
    </w:lvl>
  </w:abstractNum>
  <w:abstractNum w:abstractNumId="5">
    <w:nsid w:val="362B586B"/>
    <w:multiLevelType w:val="hybridMultilevel"/>
    <w:tmpl w:val="07A6BB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EBB4C60"/>
    <w:multiLevelType w:val="hybridMultilevel"/>
    <w:tmpl w:val="6B9CA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74A3158"/>
    <w:multiLevelType w:val="hybridMultilevel"/>
    <w:tmpl w:val="07A6BB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6"/>
  </w:num>
  <w:num w:numId="5">
    <w:abstractNumId w:val="7"/>
  </w:num>
  <w:num w:numId="6">
    <w:abstractNumId w:val="0"/>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5DB"/>
    <w:rsid w:val="000315DB"/>
    <w:rsid w:val="00031D2B"/>
    <w:rsid w:val="00065803"/>
    <w:rsid w:val="00086B62"/>
    <w:rsid w:val="000B5D69"/>
    <w:rsid w:val="000C6793"/>
    <w:rsid w:val="00117766"/>
    <w:rsid w:val="00181AE5"/>
    <w:rsid w:val="0019593D"/>
    <w:rsid w:val="001976B2"/>
    <w:rsid w:val="001A0F23"/>
    <w:rsid w:val="00252966"/>
    <w:rsid w:val="002922F5"/>
    <w:rsid w:val="002B5479"/>
    <w:rsid w:val="002D5304"/>
    <w:rsid w:val="00315D9A"/>
    <w:rsid w:val="00385938"/>
    <w:rsid w:val="003A3574"/>
    <w:rsid w:val="003C38FB"/>
    <w:rsid w:val="003C4FBB"/>
    <w:rsid w:val="00403F07"/>
    <w:rsid w:val="004508C5"/>
    <w:rsid w:val="004E6DE3"/>
    <w:rsid w:val="004F4D7F"/>
    <w:rsid w:val="00544728"/>
    <w:rsid w:val="005C1516"/>
    <w:rsid w:val="0062770A"/>
    <w:rsid w:val="006543A1"/>
    <w:rsid w:val="006A7CAF"/>
    <w:rsid w:val="007657F5"/>
    <w:rsid w:val="00790F69"/>
    <w:rsid w:val="007D1E8A"/>
    <w:rsid w:val="00800E16"/>
    <w:rsid w:val="0089468E"/>
    <w:rsid w:val="008A6506"/>
    <w:rsid w:val="008B0746"/>
    <w:rsid w:val="008C156C"/>
    <w:rsid w:val="00912185"/>
    <w:rsid w:val="00951FE8"/>
    <w:rsid w:val="009721D8"/>
    <w:rsid w:val="00974BB0"/>
    <w:rsid w:val="009859FA"/>
    <w:rsid w:val="0098698C"/>
    <w:rsid w:val="009A04F7"/>
    <w:rsid w:val="009B5217"/>
    <w:rsid w:val="00A63BC2"/>
    <w:rsid w:val="00AA3D52"/>
    <w:rsid w:val="00AA550F"/>
    <w:rsid w:val="00AD008A"/>
    <w:rsid w:val="00B62CCF"/>
    <w:rsid w:val="00BB5A1F"/>
    <w:rsid w:val="00BF4BEC"/>
    <w:rsid w:val="00C252FB"/>
    <w:rsid w:val="00C758CC"/>
    <w:rsid w:val="00C94F13"/>
    <w:rsid w:val="00CA118B"/>
    <w:rsid w:val="00D07CB8"/>
    <w:rsid w:val="00D33905"/>
    <w:rsid w:val="00D52053"/>
    <w:rsid w:val="00D7161F"/>
    <w:rsid w:val="00D80943"/>
    <w:rsid w:val="00D84300"/>
    <w:rsid w:val="00DE1B08"/>
    <w:rsid w:val="00E165F3"/>
    <w:rsid w:val="00E26555"/>
    <w:rsid w:val="00E82026"/>
    <w:rsid w:val="00FB1DFB"/>
    <w:rsid w:val="00FC69D6"/>
    <w:rsid w:val="00FD65A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15499DC-7BE0-431C-949C-9CCF85402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E6DE3"/>
    <w:pPr>
      <w:spacing w:before="100" w:beforeAutospacing="1" w:after="100" w:afterAutospacing="1" w:line="240" w:lineRule="auto"/>
      <w:outlineLvl w:val="0"/>
    </w:pPr>
    <w:rPr>
      <w:rFonts w:ascii="Times New Roman" w:eastAsia="Times New Roman" w:hAnsi="Times New Roman" w:cs="Times New Roman"/>
      <w:b/>
      <w:bCs/>
      <w:kern w:val="36"/>
      <w:sz w:val="48"/>
      <w:szCs w:val="48"/>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76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76B2"/>
  </w:style>
  <w:style w:type="paragraph" w:styleId="Footer">
    <w:name w:val="footer"/>
    <w:basedOn w:val="Normal"/>
    <w:link w:val="FooterChar"/>
    <w:uiPriority w:val="99"/>
    <w:unhideWhenUsed/>
    <w:rsid w:val="001976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76B2"/>
  </w:style>
  <w:style w:type="paragraph" w:styleId="ListParagraph">
    <w:name w:val="List Paragraph"/>
    <w:basedOn w:val="Normal"/>
    <w:uiPriority w:val="34"/>
    <w:qFormat/>
    <w:rsid w:val="009B5217"/>
    <w:pPr>
      <w:ind w:left="720"/>
      <w:contextualSpacing/>
    </w:pPr>
    <w:rPr>
      <w:lang w:val="en-GB"/>
    </w:rPr>
  </w:style>
  <w:style w:type="character" w:customStyle="1" w:styleId="Heading1Char">
    <w:name w:val="Heading 1 Char"/>
    <w:basedOn w:val="DefaultParagraphFont"/>
    <w:link w:val="Heading1"/>
    <w:uiPriority w:val="9"/>
    <w:rsid w:val="004E6DE3"/>
    <w:rPr>
      <w:rFonts w:ascii="Times New Roman" w:eastAsia="Times New Roman" w:hAnsi="Times New Roman" w:cs="Times New Roman"/>
      <w:b/>
      <w:bCs/>
      <w:kern w:val="36"/>
      <w:sz w:val="48"/>
      <w:szCs w:val="48"/>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0495037">
      <w:bodyDiv w:val="1"/>
      <w:marLeft w:val="0"/>
      <w:marRight w:val="0"/>
      <w:marTop w:val="0"/>
      <w:marBottom w:val="0"/>
      <w:divBdr>
        <w:top w:val="none" w:sz="0" w:space="0" w:color="auto"/>
        <w:left w:val="none" w:sz="0" w:space="0" w:color="auto"/>
        <w:bottom w:val="none" w:sz="0" w:space="0" w:color="auto"/>
        <w:right w:val="none" w:sz="0" w:space="0" w:color="auto"/>
      </w:divBdr>
      <w:divsChild>
        <w:div w:id="457454853">
          <w:marLeft w:val="0"/>
          <w:marRight w:val="0"/>
          <w:marTop w:val="0"/>
          <w:marBottom w:val="0"/>
          <w:divBdr>
            <w:top w:val="none" w:sz="0" w:space="0" w:color="auto"/>
            <w:left w:val="none" w:sz="0" w:space="0" w:color="auto"/>
            <w:bottom w:val="none" w:sz="0" w:space="0" w:color="auto"/>
            <w:right w:val="none" w:sz="0" w:space="0" w:color="auto"/>
          </w:divBdr>
        </w:div>
      </w:divsChild>
    </w:div>
    <w:div w:id="762191926">
      <w:bodyDiv w:val="1"/>
      <w:marLeft w:val="0"/>
      <w:marRight w:val="0"/>
      <w:marTop w:val="0"/>
      <w:marBottom w:val="0"/>
      <w:divBdr>
        <w:top w:val="none" w:sz="0" w:space="0" w:color="auto"/>
        <w:left w:val="none" w:sz="0" w:space="0" w:color="auto"/>
        <w:bottom w:val="none" w:sz="0" w:space="0" w:color="auto"/>
        <w:right w:val="none" w:sz="0" w:space="0" w:color="auto"/>
      </w:divBdr>
      <w:divsChild>
        <w:div w:id="1890532394">
          <w:marLeft w:val="0"/>
          <w:marRight w:val="0"/>
          <w:marTop w:val="0"/>
          <w:marBottom w:val="0"/>
          <w:divBdr>
            <w:top w:val="none" w:sz="0" w:space="0" w:color="auto"/>
            <w:left w:val="none" w:sz="0" w:space="0" w:color="auto"/>
            <w:bottom w:val="none" w:sz="0" w:space="0" w:color="auto"/>
            <w:right w:val="none" w:sz="0" w:space="0" w:color="auto"/>
          </w:divBdr>
        </w:div>
      </w:divsChild>
    </w:div>
    <w:div w:id="771164271">
      <w:bodyDiv w:val="1"/>
      <w:marLeft w:val="0"/>
      <w:marRight w:val="0"/>
      <w:marTop w:val="0"/>
      <w:marBottom w:val="0"/>
      <w:divBdr>
        <w:top w:val="none" w:sz="0" w:space="0" w:color="auto"/>
        <w:left w:val="none" w:sz="0" w:space="0" w:color="auto"/>
        <w:bottom w:val="none" w:sz="0" w:space="0" w:color="auto"/>
        <w:right w:val="none" w:sz="0" w:space="0" w:color="auto"/>
      </w:divBdr>
      <w:divsChild>
        <w:div w:id="1539781713">
          <w:marLeft w:val="0"/>
          <w:marRight w:val="0"/>
          <w:marTop w:val="0"/>
          <w:marBottom w:val="0"/>
          <w:divBdr>
            <w:top w:val="none" w:sz="0" w:space="0" w:color="auto"/>
            <w:left w:val="none" w:sz="0" w:space="0" w:color="auto"/>
            <w:bottom w:val="none" w:sz="0" w:space="0" w:color="auto"/>
            <w:right w:val="none" w:sz="0" w:space="0" w:color="auto"/>
          </w:divBdr>
        </w:div>
      </w:divsChild>
    </w:div>
    <w:div w:id="1479490986">
      <w:bodyDiv w:val="1"/>
      <w:marLeft w:val="0"/>
      <w:marRight w:val="0"/>
      <w:marTop w:val="0"/>
      <w:marBottom w:val="0"/>
      <w:divBdr>
        <w:top w:val="none" w:sz="0" w:space="0" w:color="auto"/>
        <w:left w:val="none" w:sz="0" w:space="0" w:color="auto"/>
        <w:bottom w:val="none" w:sz="0" w:space="0" w:color="auto"/>
        <w:right w:val="none" w:sz="0" w:space="0" w:color="auto"/>
      </w:divBdr>
    </w:div>
    <w:div w:id="1608659441">
      <w:bodyDiv w:val="1"/>
      <w:marLeft w:val="0"/>
      <w:marRight w:val="0"/>
      <w:marTop w:val="0"/>
      <w:marBottom w:val="0"/>
      <w:divBdr>
        <w:top w:val="none" w:sz="0" w:space="0" w:color="auto"/>
        <w:left w:val="none" w:sz="0" w:space="0" w:color="auto"/>
        <w:bottom w:val="none" w:sz="0" w:space="0" w:color="auto"/>
        <w:right w:val="none" w:sz="0" w:space="0" w:color="auto"/>
      </w:divBdr>
      <w:divsChild>
        <w:div w:id="6763505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364</TotalTime>
  <Pages>5</Pages>
  <Words>2028</Words>
  <Characters>11565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King</dc:creator>
  <cp:keywords/>
  <dc:description/>
  <cp:lastModifiedBy>McGowan, Cathy</cp:lastModifiedBy>
  <cp:revision>25</cp:revision>
  <dcterms:created xsi:type="dcterms:W3CDTF">2018-02-13T14:23:00Z</dcterms:created>
  <dcterms:modified xsi:type="dcterms:W3CDTF">2018-02-18T12:49:00Z</dcterms:modified>
</cp:coreProperties>
</file>