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16B" w:rsidRPr="00E672BE" w:rsidRDefault="003906CB" w:rsidP="0057773A">
      <w:pPr>
        <w:pStyle w:val="Head"/>
        <w:spacing w:line="480" w:lineRule="auto"/>
        <w:rPr>
          <w:color w:val="000000"/>
        </w:rPr>
      </w:pPr>
      <w:bookmarkStart w:id="0" w:name="_GoBack"/>
      <w:bookmarkEnd w:id="0"/>
      <w:r w:rsidRPr="00E672BE">
        <w:rPr>
          <w:color w:val="000000"/>
        </w:rPr>
        <w:t xml:space="preserve">Industrial scale high-throughput screening delivers </w:t>
      </w:r>
      <w:r w:rsidR="000A5BED" w:rsidRPr="00E672BE">
        <w:rPr>
          <w:color w:val="000000"/>
        </w:rPr>
        <w:t xml:space="preserve">multiple </w:t>
      </w:r>
      <w:r w:rsidRPr="00E672BE">
        <w:rPr>
          <w:color w:val="000000"/>
        </w:rPr>
        <w:t xml:space="preserve">fast acting </w:t>
      </w:r>
      <w:proofErr w:type="spellStart"/>
      <w:r w:rsidRPr="00E672BE">
        <w:rPr>
          <w:color w:val="000000"/>
        </w:rPr>
        <w:t>macrofilaricides</w:t>
      </w:r>
      <w:proofErr w:type="spellEnd"/>
    </w:p>
    <w:p w:rsidR="00EB2F9C" w:rsidRPr="00E672BE" w:rsidRDefault="00EB2F9C" w:rsidP="001965E5">
      <w:pPr>
        <w:spacing w:after="0"/>
        <w:rPr>
          <w:rFonts w:eastAsia="Times New Roman" w:cs="Times New Roman"/>
          <w:bCs/>
          <w:kern w:val="28"/>
          <w:szCs w:val="24"/>
          <w:lang w:val="en-US"/>
        </w:rPr>
      </w:pPr>
    </w:p>
    <w:p w:rsidR="00963BBC" w:rsidRPr="00E672BE" w:rsidRDefault="5E5305A3" w:rsidP="001965E5">
      <w:pPr>
        <w:spacing w:after="0"/>
        <w:rPr>
          <w:rFonts w:cs="Times New Roman"/>
          <w:color w:val="000000" w:themeColor="text1"/>
          <w:szCs w:val="24"/>
          <w:vertAlign w:val="superscript"/>
        </w:rPr>
      </w:pPr>
      <w:r w:rsidRPr="00E672BE">
        <w:rPr>
          <w:rFonts w:eastAsia="Times New Roman" w:cs="Times New Roman"/>
          <w:color w:val="000000" w:themeColor="text1"/>
          <w:szCs w:val="24"/>
        </w:rPr>
        <w:t>Rachel H. Clare</w:t>
      </w:r>
      <w:r w:rsidRPr="00E672BE">
        <w:rPr>
          <w:rFonts w:eastAsia="Times New Roman" w:cs="Times New Roman"/>
          <w:color w:val="000000" w:themeColor="text1"/>
          <w:szCs w:val="24"/>
          <w:vertAlign w:val="superscript"/>
        </w:rPr>
        <w:t>1</w:t>
      </w:r>
      <w:r w:rsidRPr="00E672BE">
        <w:rPr>
          <w:rFonts w:eastAsia="Times New Roman" w:cs="Times New Roman"/>
          <w:color w:val="000000" w:themeColor="text1"/>
          <w:szCs w:val="24"/>
        </w:rPr>
        <w:t>, Catherine Bardelle</w:t>
      </w:r>
      <w:r w:rsidRPr="00E672BE">
        <w:rPr>
          <w:rFonts w:eastAsia="Times New Roman" w:cs="Times New Roman"/>
          <w:color w:val="000000" w:themeColor="text1"/>
          <w:szCs w:val="24"/>
          <w:vertAlign w:val="superscript"/>
        </w:rPr>
        <w:t>2</w:t>
      </w:r>
      <w:r w:rsidRPr="00E672BE">
        <w:rPr>
          <w:rFonts w:eastAsia="Times New Roman" w:cs="Times New Roman"/>
          <w:color w:val="000000" w:themeColor="text1"/>
          <w:szCs w:val="24"/>
        </w:rPr>
        <w:t>, Paul Harper</w:t>
      </w:r>
      <w:r w:rsidRPr="00E672BE">
        <w:rPr>
          <w:rFonts w:eastAsia="Times New Roman" w:cs="Times New Roman"/>
          <w:color w:val="000000" w:themeColor="text1"/>
          <w:szCs w:val="24"/>
          <w:vertAlign w:val="superscript"/>
        </w:rPr>
        <w:t>2</w:t>
      </w:r>
      <w:r w:rsidRPr="00E672BE">
        <w:rPr>
          <w:rFonts w:eastAsia="Times New Roman" w:cs="Times New Roman"/>
          <w:color w:val="000000" w:themeColor="text1"/>
          <w:szCs w:val="24"/>
        </w:rPr>
        <w:t xml:space="preserve">, </w:t>
      </w:r>
      <w:r w:rsidR="004E2C93" w:rsidRPr="00E672BE">
        <w:rPr>
          <w:rFonts w:eastAsia="Times New Roman" w:cs="Times New Roman"/>
          <w:color w:val="000000" w:themeColor="text1"/>
          <w:szCs w:val="24"/>
        </w:rPr>
        <w:t>W. David Hong</w:t>
      </w:r>
      <w:r w:rsidR="004E2C93" w:rsidRPr="00E672BE">
        <w:rPr>
          <w:rFonts w:eastAsia="Times New Roman" w:cs="Times New Roman"/>
          <w:color w:val="000000" w:themeColor="text1"/>
          <w:szCs w:val="24"/>
          <w:vertAlign w:val="superscript"/>
        </w:rPr>
        <w:t>3</w:t>
      </w:r>
      <w:r w:rsidR="004E2C93" w:rsidRPr="00E672BE">
        <w:rPr>
          <w:rFonts w:eastAsia="Times New Roman" w:cs="Times New Roman"/>
          <w:color w:val="000000" w:themeColor="text1"/>
          <w:szCs w:val="24"/>
        </w:rPr>
        <w:t>,</w:t>
      </w:r>
      <w:r w:rsidR="004E2C93" w:rsidRPr="00E672BE">
        <w:rPr>
          <w:rFonts w:eastAsia="Times New Roman" w:cs="Times New Roman"/>
          <w:color w:val="000000" w:themeColor="text1"/>
          <w:szCs w:val="24"/>
          <w:vertAlign w:val="superscript"/>
        </w:rPr>
        <w:t xml:space="preserve"> </w:t>
      </w:r>
      <w:r w:rsidRPr="00E672BE">
        <w:rPr>
          <w:rFonts w:eastAsia="Times New Roman" w:cs="Times New Roman"/>
          <w:color w:val="000000" w:themeColor="text1"/>
          <w:szCs w:val="24"/>
        </w:rPr>
        <w:t>Ulf Börjesson</w:t>
      </w:r>
      <w:r w:rsidR="00DE116C" w:rsidRPr="00E672BE">
        <w:rPr>
          <w:rFonts w:eastAsia="Times New Roman" w:cs="Times New Roman"/>
          <w:color w:val="000000" w:themeColor="text1"/>
          <w:szCs w:val="24"/>
          <w:vertAlign w:val="superscript"/>
        </w:rPr>
        <w:t>4</w:t>
      </w:r>
      <w:r w:rsidRPr="00E672BE">
        <w:rPr>
          <w:rFonts w:eastAsia="Times New Roman" w:cs="Times New Roman"/>
          <w:color w:val="000000" w:themeColor="text1"/>
          <w:szCs w:val="24"/>
        </w:rPr>
        <w:t xml:space="preserve">, </w:t>
      </w:r>
      <w:r w:rsidR="004E2C93" w:rsidRPr="00E672BE">
        <w:rPr>
          <w:rFonts w:eastAsia="Times New Roman" w:cs="Times New Roman"/>
          <w:color w:val="000000" w:themeColor="text1"/>
          <w:szCs w:val="24"/>
        </w:rPr>
        <w:t>Kelly L. Johnston</w:t>
      </w:r>
      <w:r w:rsidR="004E2C93" w:rsidRPr="00E672BE">
        <w:rPr>
          <w:rFonts w:eastAsia="Times New Roman" w:cs="Times New Roman"/>
          <w:color w:val="000000" w:themeColor="text1"/>
          <w:szCs w:val="24"/>
          <w:vertAlign w:val="superscript"/>
        </w:rPr>
        <w:t>1</w:t>
      </w:r>
      <w:r w:rsidRPr="00E672BE">
        <w:rPr>
          <w:rFonts w:eastAsia="Times New Roman" w:cs="Times New Roman"/>
          <w:color w:val="000000" w:themeColor="text1"/>
          <w:szCs w:val="24"/>
        </w:rPr>
        <w:t>, Matthew Collier</w:t>
      </w:r>
      <w:r w:rsidRPr="00E672BE">
        <w:rPr>
          <w:rFonts w:eastAsia="Times New Roman" w:cs="Times New Roman"/>
          <w:color w:val="000000" w:themeColor="text1"/>
          <w:szCs w:val="24"/>
          <w:vertAlign w:val="superscript"/>
        </w:rPr>
        <w:t>2</w:t>
      </w:r>
      <w:r w:rsidRPr="00E672BE">
        <w:rPr>
          <w:rFonts w:eastAsia="Times New Roman" w:cs="Times New Roman"/>
          <w:color w:val="000000" w:themeColor="text1"/>
          <w:szCs w:val="24"/>
        </w:rPr>
        <w:t>,</w:t>
      </w:r>
      <w:r w:rsidRPr="00E672BE">
        <w:rPr>
          <w:rFonts w:eastAsia="Times New Roman" w:cs="Times New Roman"/>
          <w:color w:val="000000" w:themeColor="text1"/>
          <w:szCs w:val="24"/>
          <w:vertAlign w:val="superscript"/>
        </w:rPr>
        <w:t xml:space="preserve"> </w:t>
      </w:r>
      <w:r w:rsidRPr="00E672BE">
        <w:rPr>
          <w:rFonts w:eastAsia="Times New Roman" w:cs="Times New Roman"/>
          <w:color w:val="000000" w:themeColor="text1"/>
          <w:szCs w:val="24"/>
        </w:rPr>
        <w:t>Laura Myhill</w:t>
      </w:r>
      <w:r w:rsidRPr="00E672BE">
        <w:rPr>
          <w:rFonts w:eastAsia="Times New Roman" w:cs="Times New Roman"/>
          <w:color w:val="000000" w:themeColor="text1"/>
          <w:szCs w:val="24"/>
          <w:vertAlign w:val="superscript"/>
        </w:rPr>
        <w:t>1</w:t>
      </w:r>
      <w:r w:rsidRPr="00E672BE">
        <w:rPr>
          <w:rFonts w:eastAsia="Times New Roman" w:cs="Times New Roman"/>
          <w:color w:val="000000" w:themeColor="text1"/>
          <w:szCs w:val="24"/>
        </w:rPr>
        <w:t>, Andrew Cassidy</w:t>
      </w:r>
      <w:r w:rsidRPr="00E672BE">
        <w:rPr>
          <w:rFonts w:eastAsia="Times New Roman" w:cs="Times New Roman"/>
          <w:color w:val="000000" w:themeColor="text1"/>
          <w:szCs w:val="24"/>
          <w:vertAlign w:val="superscript"/>
        </w:rPr>
        <w:t>1</w:t>
      </w:r>
      <w:r w:rsidRPr="00E672BE">
        <w:rPr>
          <w:rFonts w:eastAsia="Times New Roman" w:cs="Times New Roman"/>
          <w:color w:val="000000" w:themeColor="text1"/>
          <w:szCs w:val="24"/>
        </w:rPr>
        <w:t>, Darren Plant</w:t>
      </w:r>
      <w:r w:rsidRPr="00E672BE">
        <w:rPr>
          <w:rFonts w:eastAsia="Times New Roman" w:cs="Times New Roman"/>
          <w:color w:val="000000" w:themeColor="text1"/>
          <w:szCs w:val="24"/>
          <w:vertAlign w:val="superscript"/>
        </w:rPr>
        <w:t>2</w:t>
      </w:r>
      <w:r w:rsidRPr="00E672BE">
        <w:rPr>
          <w:rFonts w:eastAsia="Times New Roman" w:cs="Times New Roman"/>
          <w:color w:val="000000" w:themeColor="text1"/>
          <w:szCs w:val="24"/>
        </w:rPr>
        <w:t>, Helen Plant</w:t>
      </w:r>
      <w:r w:rsidRPr="00E672BE">
        <w:rPr>
          <w:rFonts w:eastAsia="Times New Roman" w:cs="Times New Roman"/>
          <w:color w:val="000000" w:themeColor="text1"/>
          <w:szCs w:val="24"/>
          <w:vertAlign w:val="superscript"/>
        </w:rPr>
        <w:t>2</w:t>
      </w:r>
      <w:r w:rsidRPr="00E672BE">
        <w:rPr>
          <w:rFonts w:eastAsia="Times New Roman" w:cs="Times New Roman"/>
          <w:color w:val="000000" w:themeColor="text1"/>
          <w:szCs w:val="24"/>
        </w:rPr>
        <w:t xml:space="preserve">, </w:t>
      </w:r>
      <w:r w:rsidRPr="00E672BE">
        <w:rPr>
          <w:rFonts w:eastAsia="Times New Roman" w:cs="Times New Roman"/>
          <w:szCs w:val="24"/>
        </w:rPr>
        <w:t>Roger Clark</w:t>
      </w:r>
      <w:r w:rsidRPr="00E672BE">
        <w:rPr>
          <w:rFonts w:eastAsia="Times New Roman" w:cs="Times New Roman"/>
          <w:szCs w:val="24"/>
          <w:vertAlign w:val="superscript"/>
        </w:rPr>
        <w:t>2</w:t>
      </w:r>
      <w:r w:rsidRPr="00E672BE">
        <w:rPr>
          <w:rFonts w:eastAsia="Times New Roman" w:cs="Times New Roman"/>
          <w:szCs w:val="24"/>
        </w:rPr>
        <w:t xml:space="preserve">, Darren </w:t>
      </w:r>
      <w:r w:rsidR="006E7D90" w:rsidRPr="00E672BE">
        <w:rPr>
          <w:rFonts w:eastAsia="Times New Roman" w:cs="Times New Roman"/>
          <w:szCs w:val="24"/>
        </w:rPr>
        <w:t xml:space="preserve">A. N. </w:t>
      </w:r>
      <w:r w:rsidRPr="00E672BE">
        <w:rPr>
          <w:rFonts w:eastAsia="Times New Roman" w:cs="Times New Roman"/>
          <w:color w:val="000000" w:themeColor="text1"/>
          <w:szCs w:val="24"/>
        </w:rPr>
        <w:t>Cook</w:t>
      </w:r>
      <w:r w:rsidRPr="00E672BE">
        <w:rPr>
          <w:rFonts w:eastAsia="Times New Roman" w:cs="Times New Roman"/>
          <w:color w:val="000000" w:themeColor="text1"/>
          <w:szCs w:val="24"/>
          <w:vertAlign w:val="superscript"/>
        </w:rPr>
        <w:t>1</w:t>
      </w:r>
      <w:r w:rsidRPr="00E672BE">
        <w:rPr>
          <w:rFonts w:eastAsia="Times New Roman" w:cs="Times New Roman"/>
          <w:color w:val="000000" w:themeColor="text1"/>
          <w:szCs w:val="24"/>
        </w:rPr>
        <w:t>, Andrew Steven</w:t>
      </w:r>
      <w:r w:rsidRPr="00E672BE">
        <w:rPr>
          <w:rFonts w:eastAsia="Times New Roman" w:cs="Times New Roman"/>
          <w:color w:val="000000" w:themeColor="text1"/>
          <w:szCs w:val="24"/>
          <w:vertAlign w:val="superscript"/>
        </w:rPr>
        <w:t>1</w:t>
      </w:r>
      <w:r w:rsidRPr="00E672BE">
        <w:rPr>
          <w:rFonts w:eastAsia="Times New Roman" w:cs="Times New Roman"/>
          <w:color w:val="000000" w:themeColor="text1"/>
          <w:szCs w:val="24"/>
        </w:rPr>
        <w:t>,</w:t>
      </w:r>
      <w:r w:rsidR="006E7D90" w:rsidRPr="00E672BE">
        <w:rPr>
          <w:rFonts w:eastAsia="Times New Roman" w:cs="Times New Roman"/>
          <w:color w:val="000000" w:themeColor="text1"/>
          <w:szCs w:val="24"/>
        </w:rPr>
        <w:t xml:space="preserve"> John Archer</w:t>
      </w:r>
      <w:r w:rsidR="006E7D90" w:rsidRPr="00E672BE">
        <w:rPr>
          <w:rFonts w:eastAsia="Times New Roman" w:cs="Times New Roman"/>
          <w:color w:val="000000" w:themeColor="text1"/>
          <w:szCs w:val="24"/>
          <w:vertAlign w:val="superscript"/>
        </w:rPr>
        <w:t>1</w:t>
      </w:r>
      <w:r w:rsidR="006E7D90" w:rsidRPr="00E672BE">
        <w:rPr>
          <w:rFonts w:eastAsia="Times New Roman" w:cs="Times New Roman"/>
          <w:color w:val="000000" w:themeColor="text1"/>
          <w:szCs w:val="24"/>
        </w:rPr>
        <w:t>,</w:t>
      </w:r>
      <w:r w:rsidRPr="00E672BE">
        <w:rPr>
          <w:rFonts w:eastAsia="Times New Roman" w:cs="Times New Roman"/>
          <w:color w:val="000000" w:themeColor="text1"/>
          <w:szCs w:val="24"/>
        </w:rPr>
        <w:t xml:space="preserve"> </w:t>
      </w:r>
      <w:r w:rsidR="00AC0A44" w:rsidRPr="00E672BE">
        <w:rPr>
          <w:rFonts w:eastAsia="Times New Roman" w:cs="Times New Roman"/>
          <w:color w:val="000000" w:themeColor="text1"/>
          <w:szCs w:val="24"/>
        </w:rPr>
        <w:t>Paul McGillan</w:t>
      </w:r>
      <w:r w:rsidR="00AC0A44" w:rsidRPr="00E672BE">
        <w:rPr>
          <w:rFonts w:eastAsia="Times New Roman" w:cs="Times New Roman"/>
          <w:color w:val="000000" w:themeColor="text1"/>
          <w:szCs w:val="24"/>
          <w:vertAlign w:val="superscript"/>
        </w:rPr>
        <w:t>3</w:t>
      </w:r>
      <w:r w:rsidR="00AC0A44" w:rsidRPr="00E672BE">
        <w:rPr>
          <w:rFonts w:eastAsia="Times New Roman" w:cs="Times New Roman"/>
          <w:color w:val="000000" w:themeColor="text1"/>
          <w:szCs w:val="24"/>
        </w:rPr>
        <w:t xml:space="preserve">, </w:t>
      </w:r>
      <w:r w:rsidR="00AC0A44" w:rsidRPr="00E672BE">
        <w:rPr>
          <w:rFonts w:cs="Times New Roman"/>
          <w:szCs w:val="24"/>
        </w:rPr>
        <w:t>Sitthivut Charoensutthivarakul</w:t>
      </w:r>
      <w:r w:rsidR="00AC0A44" w:rsidRPr="00E672BE">
        <w:rPr>
          <w:rFonts w:cs="Times New Roman"/>
          <w:szCs w:val="24"/>
          <w:vertAlign w:val="superscript"/>
        </w:rPr>
        <w:t>1</w:t>
      </w:r>
      <w:r w:rsidR="00AC0A44" w:rsidRPr="00E672BE">
        <w:rPr>
          <w:rFonts w:cs="Times New Roman"/>
          <w:szCs w:val="24"/>
        </w:rPr>
        <w:t xml:space="preserve">, </w:t>
      </w:r>
      <w:r w:rsidR="00B31127" w:rsidRPr="00E672BE">
        <w:rPr>
          <w:rFonts w:cs="Times New Roman"/>
          <w:szCs w:val="24"/>
        </w:rPr>
        <w:t>Jaclyn Bibby</w:t>
      </w:r>
      <w:r w:rsidR="00B31127" w:rsidRPr="00E672BE">
        <w:rPr>
          <w:rFonts w:cs="Times New Roman"/>
          <w:szCs w:val="24"/>
          <w:vertAlign w:val="superscript"/>
        </w:rPr>
        <w:t>1</w:t>
      </w:r>
      <w:r w:rsidR="00B31127" w:rsidRPr="00E672BE">
        <w:rPr>
          <w:rFonts w:cs="Times New Roman"/>
          <w:szCs w:val="24"/>
        </w:rPr>
        <w:t xml:space="preserve">, </w:t>
      </w:r>
      <w:r w:rsidRPr="00E672BE">
        <w:rPr>
          <w:rFonts w:eastAsia="Times New Roman" w:cs="Times New Roman"/>
          <w:color w:val="000000" w:themeColor="text1"/>
          <w:szCs w:val="24"/>
        </w:rPr>
        <w:t>Raman Sharma</w:t>
      </w:r>
      <w:r w:rsidRPr="00E672BE">
        <w:rPr>
          <w:rFonts w:eastAsia="Times New Roman" w:cs="Times New Roman"/>
          <w:color w:val="000000" w:themeColor="text1"/>
          <w:szCs w:val="24"/>
          <w:vertAlign w:val="superscript"/>
        </w:rPr>
        <w:t>1</w:t>
      </w:r>
      <w:r w:rsidRPr="00E672BE">
        <w:rPr>
          <w:rFonts w:eastAsia="Times New Roman" w:cs="Times New Roman"/>
          <w:color w:val="000000" w:themeColor="text1"/>
          <w:szCs w:val="24"/>
        </w:rPr>
        <w:t>, Gemma</w:t>
      </w:r>
      <w:r w:rsidR="003A7F03" w:rsidRPr="00E672BE">
        <w:rPr>
          <w:rFonts w:eastAsia="Times New Roman" w:cs="Times New Roman"/>
          <w:color w:val="000000" w:themeColor="text1"/>
          <w:szCs w:val="24"/>
        </w:rPr>
        <w:t xml:space="preserve"> L.</w:t>
      </w:r>
      <w:r w:rsidRPr="00E672BE">
        <w:rPr>
          <w:rFonts w:eastAsia="Times New Roman" w:cs="Times New Roman"/>
          <w:color w:val="000000" w:themeColor="text1"/>
          <w:szCs w:val="24"/>
        </w:rPr>
        <w:t xml:space="preserve"> Nixon</w:t>
      </w:r>
      <w:r w:rsidRPr="00E672BE">
        <w:rPr>
          <w:rFonts w:eastAsia="Times New Roman" w:cs="Times New Roman"/>
          <w:color w:val="000000" w:themeColor="text1"/>
          <w:szCs w:val="24"/>
          <w:vertAlign w:val="superscript"/>
        </w:rPr>
        <w:t>3</w:t>
      </w:r>
      <w:r w:rsidRPr="00E672BE">
        <w:rPr>
          <w:rFonts w:eastAsia="Times New Roman" w:cs="Times New Roman"/>
          <w:color w:val="000000" w:themeColor="text1"/>
          <w:szCs w:val="24"/>
        </w:rPr>
        <w:t>,</w:t>
      </w:r>
      <w:r w:rsidR="003906CB" w:rsidRPr="00E672BE">
        <w:rPr>
          <w:rFonts w:eastAsia="Times New Roman" w:cs="Times New Roman"/>
          <w:color w:val="000000" w:themeColor="text1"/>
          <w:szCs w:val="24"/>
        </w:rPr>
        <w:t xml:space="preserve"> Barton </w:t>
      </w:r>
      <w:r w:rsidR="005637BD" w:rsidRPr="00E672BE">
        <w:rPr>
          <w:rFonts w:eastAsia="Times New Roman" w:cs="Times New Roman"/>
          <w:color w:val="000000" w:themeColor="text1"/>
          <w:szCs w:val="24"/>
        </w:rPr>
        <w:t xml:space="preserve">E. </w:t>
      </w:r>
      <w:r w:rsidR="003906CB" w:rsidRPr="00E672BE">
        <w:rPr>
          <w:rFonts w:eastAsia="Times New Roman" w:cs="Times New Roman"/>
          <w:color w:val="000000" w:themeColor="text1"/>
          <w:szCs w:val="24"/>
        </w:rPr>
        <w:t>Slatko</w:t>
      </w:r>
      <w:r w:rsidR="003906CB" w:rsidRPr="00E672BE">
        <w:rPr>
          <w:rFonts w:eastAsia="Times New Roman" w:cs="Times New Roman"/>
          <w:color w:val="000000" w:themeColor="text1"/>
          <w:szCs w:val="24"/>
          <w:vertAlign w:val="superscript"/>
        </w:rPr>
        <w:t>5</w:t>
      </w:r>
      <w:r w:rsidR="003906CB" w:rsidRPr="00E672BE">
        <w:rPr>
          <w:rFonts w:eastAsia="Times New Roman" w:cs="Times New Roman"/>
          <w:color w:val="000000" w:themeColor="text1"/>
          <w:szCs w:val="24"/>
        </w:rPr>
        <w:t>,</w:t>
      </w:r>
      <w:r w:rsidR="00150DB9" w:rsidRPr="00E672BE">
        <w:rPr>
          <w:rFonts w:eastAsia="Times New Roman" w:cs="Times New Roman"/>
          <w:color w:val="000000" w:themeColor="text1"/>
          <w:szCs w:val="24"/>
        </w:rPr>
        <w:t xml:space="preserve"> </w:t>
      </w:r>
      <w:r w:rsidR="00150DB9" w:rsidRPr="00E672BE">
        <w:rPr>
          <w:color w:val="000000"/>
          <w:shd w:val="clear" w:color="auto" w:fill="FFFFFF"/>
        </w:rPr>
        <w:t>Lindsey Cantin</w:t>
      </w:r>
      <w:r w:rsidR="00150DB9" w:rsidRPr="00E672BE">
        <w:rPr>
          <w:color w:val="000000"/>
          <w:shd w:val="clear" w:color="auto" w:fill="FFFFFF"/>
          <w:vertAlign w:val="superscript"/>
        </w:rPr>
        <w:t>5</w:t>
      </w:r>
      <w:r w:rsidR="00150DB9" w:rsidRPr="00E672BE">
        <w:rPr>
          <w:color w:val="000000"/>
          <w:shd w:val="clear" w:color="auto" w:fill="FFFFFF"/>
        </w:rPr>
        <w:t xml:space="preserve">, </w:t>
      </w:r>
      <w:r w:rsidR="00C1449F" w:rsidRPr="00E672BE">
        <w:rPr>
          <w:color w:val="000000"/>
          <w:shd w:val="clear" w:color="auto" w:fill="FFFFFF"/>
        </w:rPr>
        <w:t>Bo Wu</w:t>
      </w:r>
      <w:r w:rsidR="00C1449F" w:rsidRPr="00E672BE">
        <w:rPr>
          <w:color w:val="000000"/>
          <w:shd w:val="clear" w:color="auto" w:fill="FFFFFF"/>
          <w:vertAlign w:val="superscript"/>
        </w:rPr>
        <w:t>5</w:t>
      </w:r>
      <w:r w:rsidR="00C1449F" w:rsidRPr="00E672BE">
        <w:rPr>
          <w:color w:val="000000"/>
          <w:shd w:val="clear" w:color="auto" w:fill="FFFFFF"/>
        </w:rPr>
        <w:t xml:space="preserve">, </w:t>
      </w:r>
      <w:r w:rsidR="00953C0B" w:rsidRPr="00E672BE">
        <w:rPr>
          <w:rFonts w:eastAsia="Times New Roman" w:cs="Times New Roman"/>
          <w:color w:val="000000" w:themeColor="text1"/>
          <w:szCs w:val="24"/>
        </w:rPr>
        <w:t>Joseph Turner</w:t>
      </w:r>
      <w:r w:rsidR="00953C0B" w:rsidRPr="00E672BE">
        <w:rPr>
          <w:rFonts w:eastAsia="Times New Roman" w:cs="Times New Roman"/>
          <w:color w:val="000000" w:themeColor="text1"/>
          <w:szCs w:val="24"/>
          <w:vertAlign w:val="superscript"/>
        </w:rPr>
        <w:t>1</w:t>
      </w:r>
      <w:r w:rsidR="00953C0B" w:rsidRPr="00E672BE">
        <w:rPr>
          <w:rFonts w:eastAsia="Times New Roman" w:cs="Times New Roman"/>
          <w:color w:val="000000" w:themeColor="text1"/>
          <w:szCs w:val="24"/>
        </w:rPr>
        <w:t>,</w:t>
      </w:r>
      <w:r w:rsidRPr="00E672BE">
        <w:rPr>
          <w:rFonts w:eastAsia="Times New Roman" w:cs="Times New Roman"/>
          <w:color w:val="000000" w:themeColor="text1"/>
          <w:szCs w:val="24"/>
        </w:rPr>
        <w:t xml:space="preserve"> </w:t>
      </w:r>
      <w:r w:rsidR="002622C8" w:rsidRPr="00E672BE">
        <w:rPr>
          <w:rFonts w:eastAsia="Times New Roman" w:cs="Times New Roman"/>
          <w:color w:val="000000" w:themeColor="text1"/>
          <w:szCs w:val="24"/>
        </w:rPr>
        <w:t>Louise Ford</w:t>
      </w:r>
      <w:r w:rsidR="002622C8" w:rsidRPr="00E672BE">
        <w:rPr>
          <w:rFonts w:eastAsia="Times New Roman" w:cs="Times New Roman"/>
          <w:color w:val="000000" w:themeColor="text1"/>
          <w:szCs w:val="24"/>
          <w:vertAlign w:val="superscript"/>
        </w:rPr>
        <w:t>1</w:t>
      </w:r>
      <w:r w:rsidR="002622C8" w:rsidRPr="00E672BE">
        <w:rPr>
          <w:rFonts w:eastAsia="Times New Roman" w:cs="Times New Roman"/>
          <w:color w:val="000000" w:themeColor="text1"/>
          <w:szCs w:val="24"/>
        </w:rPr>
        <w:t xml:space="preserve">, </w:t>
      </w:r>
      <w:r w:rsidRPr="00E672BE">
        <w:rPr>
          <w:rFonts w:eastAsia="Times New Roman" w:cs="Times New Roman"/>
          <w:color w:val="000000" w:themeColor="text1"/>
          <w:szCs w:val="24"/>
        </w:rPr>
        <w:t>Kirsty Rich</w:t>
      </w:r>
      <w:r w:rsidRPr="00E672BE">
        <w:rPr>
          <w:rFonts w:eastAsia="Times New Roman" w:cs="Times New Roman"/>
          <w:color w:val="000000" w:themeColor="text1"/>
          <w:szCs w:val="24"/>
          <w:vertAlign w:val="superscript"/>
        </w:rPr>
        <w:t>2</w:t>
      </w:r>
      <w:r w:rsidRPr="00E672BE">
        <w:rPr>
          <w:rFonts w:eastAsia="Times New Roman" w:cs="Times New Roman"/>
          <w:color w:val="000000" w:themeColor="text1"/>
          <w:szCs w:val="24"/>
        </w:rPr>
        <w:t>, Mark Wigglesworth</w:t>
      </w:r>
      <w:r w:rsidRPr="00E672BE">
        <w:rPr>
          <w:rFonts w:eastAsia="Times New Roman" w:cs="Times New Roman"/>
          <w:color w:val="000000" w:themeColor="text1"/>
          <w:szCs w:val="24"/>
          <w:vertAlign w:val="superscript"/>
        </w:rPr>
        <w:t>2</w:t>
      </w:r>
      <w:r w:rsidRPr="00E672BE">
        <w:rPr>
          <w:rFonts w:eastAsia="Times New Roman" w:cs="Times New Roman"/>
          <w:color w:val="000000" w:themeColor="text1"/>
          <w:szCs w:val="24"/>
        </w:rPr>
        <w:t>,</w:t>
      </w:r>
      <w:r w:rsidR="00953C0B" w:rsidRPr="00E672BE">
        <w:rPr>
          <w:rFonts w:eastAsia="Times New Roman" w:cs="Times New Roman"/>
          <w:color w:val="000000" w:themeColor="text1"/>
          <w:szCs w:val="24"/>
        </w:rPr>
        <w:t xml:space="preserve"> </w:t>
      </w:r>
      <w:r w:rsidRPr="00E672BE">
        <w:rPr>
          <w:rFonts w:eastAsia="Times New Roman" w:cs="Times New Roman"/>
          <w:color w:val="000000" w:themeColor="text1"/>
          <w:szCs w:val="24"/>
        </w:rPr>
        <w:t xml:space="preserve">Neil </w:t>
      </w:r>
      <w:r w:rsidR="003A7F03" w:rsidRPr="00E672BE">
        <w:rPr>
          <w:rFonts w:eastAsia="Times New Roman" w:cs="Times New Roman"/>
          <w:color w:val="000000" w:themeColor="text1"/>
          <w:szCs w:val="24"/>
        </w:rPr>
        <w:t xml:space="preserve">G. </w:t>
      </w:r>
      <w:r w:rsidRPr="00E672BE">
        <w:rPr>
          <w:rFonts w:eastAsia="Times New Roman" w:cs="Times New Roman"/>
          <w:color w:val="000000" w:themeColor="text1"/>
          <w:szCs w:val="24"/>
        </w:rPr>
        <w:t>Berry</w:t>
      </w:r>
      <w:r w:rsidRPr="00E672BE">
        <w:rPr>
          <w:rFonts w:eastAsia="Times New Roman" w:cs="Times New Roman"/>
          <w:color w:val="000000" w:themeColor="text1"/>
          <w:szCs w:val="24"/>
          <w:vertAlign w:val="superscript"/>
        </w:rPr>
        <w:t>3</w:t>
      </w:r>
      <w:r w:rsidRPr="00E672BE">
        <w:rPr>
          <w:rFonts w:eastAsia="Times New Roman" w:cs="Times New Roman"/>
          <w:color w:val="000000" w:themeColor="text1"/>
          <w:szCs w:val="24"/>
        </w:rPr>
        <w:t>,</w:t>
      </w:r>
      <w:r w:rsidRPr="00E672BE">
        <w:rPr>
          <w:rFonts w:eastAsia="Times New Roman" w:cs="Times New Roman"/>
          <w:color w:val="000000" w:themeColor="text1"/>
          <w:szCs w:val="24"/>
          <w:vertAlign w:val="superscript"/>
        </w:rPr>
        <w:t xml:space="preserve"> </w:t>
      </w:r>
      <w:r w:rsidRPr="00E672BE">
        <w:rPr>
          <w:rFonts w:eastAsia="Times New Roman" w:cs="Times New Roman"/>
          <w:color w:val="000000" w:themeColor="text1"/>
          <w:szCs w:val="24"/>
        </w:rPr>
        <w:t>Paul</w:t>
      </w:r>
      <w:r w:rsidR="003A7F03" w:rsidRPr="00E672BE">
        <w:rPr>
          <w:rFonts w:eastAsia="Times New Roman" w:cs="Times New Roman"/>
          <w:color w:val="000000" w:themeColor="text1"/>
          <w:szCs w:val="24"/>
        </w:rPr>
        <w:t xml:space="preserve"> M. </w:t>
      </w:r>
      <w:r w:rsidRPr="00E672BE">
        <w:rPr>
          <w:rFonts w:eastAsia="Times New Roman" w:cs="Times New Roman"/>
          <w:color w:val="000000" w:themeColor="text1"/>
          <w:szCs w:val="24"/>
        </w:rPr>
        <w:t>O’Neill</w:t>
      </w:r>
      <w:r w:rsidRPr="00E672BE">
        <w:rPr>
          <w:rFonts w:eastAsia="Times New Roman" w:cs="Times New Roman"/>
          <w:color w:val="000000" w:themeColor="text1"/>
          <w:szCs w:val="24"/>
          <w:vertAlign w:val="superscript"/>
        </w:rPr>
        <w:t>3</w:t>
      </w:r>
      <w:r w:rsidR="00EC4FBC" w:rsidRPr="00E672BE">
        <w:rPr>
          <w:rFonts w:eastAsia="Times New Roman" w:cs="Times New Roman"/>
          <w:color w:val="000000" w:themeColor="text1"/>
          <w:szCs w:val="24"/>
          <w:vertAlign w:val="superscript"/>
        </w:rPr>
        <w:t>*</w:t>
      </w:r>
      <w:r w:rsidRPr="00E672BE">
        <w:rPr>
          <w:rFonts w:eastAsia="Times New Roman" w:cs="Times New Roman"/>
          <w:color w:val="000000" w:themeColor="text1"/>
          <w:szCs w:val="24"/>
        </w:rPr>
        <w:t>,</w:t>
      </w:r>
      <w:r w:rsidRPr="00E672BE">
        <w:rPr>
          <w:rFonts w:eastAsia="Times New Roman" w:cs="Times New Roman"/>
          <w:color w:val="000000" w:themeColor="text1"/>
          <w:szCs w:val="24"/>
          <w:vertAlign w:val="superscript"/>
        </w:rPr>
        <w:t xml:space="preserve"> </w:t>
      </w:r>
      <w:r w:rsidRPr="00E672BE">
        <w:rPr>
          <w:rFonts w:eastAsia="Times New Roman" w:cs="Times New Roman"/>
          <w:color w:val="000000" w:themeColor="text1"/>
          <w:szCs w:val="24"/>
        </w:rPr>
        <w:t>Mark J. Taylor</w:t>
      </w:r>
      <w:r w:rsidRPr="00E672BE">
        <w:rPr>
          <w:rFonts w:eastAsia="Times New Roman" w:cs="Times New Roman"/>
          <w:color w:val="000000" w:themeColor="text1"/>
          <w:szCs w:val="24"/>
          <w:vertAlign w:val="superscript"/>
        </w:rPr>
        <w:t>1</w:t>
      </w:r>
      <w:r w:rsidRPr="00E672BE">
        <w:rPr>
          <w:rFonts w:eastAsia="Times New Roman" w:cs="Times New Roman"/>
          <w:color w:val="000000" w:themeColor="text1"/>
          <w:szCs w:val="24"/>
        </w:rPr>
        <w:t xml:space="preserve"> and Stephen A. Ward</w:t>
      </w:r>
      <w:r w:rsidRPr="00E672BE">
        <w:rPr>
          <w:rFonts w:eastAsia="Times New Roman" w:cs="Times New Roman"/>
          <w:color w:val="000000" w:themeColor="text1"/>
          <w:szCs w:val="24"/>
          <w:vertAlign w:val="superscript"/>
        </w:rPr>
        <w:t>1</w:t>
      </w:r>
      <w:r w:rsidR="00EC4FBC" w:rsidRPr="00E672BE">
        <w:rPr>
          <w:rFonts w:eastAsia="Times New Roman" w:cs="Times New Roman"/>
          <w:color w:val="000000" w:themeColor="text1"/>
          <w:szCs w:val="24"/>
          <w:vertAlign w:val="superscript"/>
        </w:rPr>
        <w:t>*</w:t>
      </w:r>
    </w:p>
    <w:p w:rsidR="00963BBC" w:rsidRPr="00E672BE" w:rsidRDefault="00963BBC" w:rsidP="001965E5">
      <w:pPr>
        <w:spacing w:after="0"/>
        <w:rPr>
          <w:rFonts w:cs="Times New Roman"/>
          <w:color w:val="000000" w:themeColor="text1"/>
          <w:szCs w:val="24"/>
          <w:vertAlign w:val="superscript"/>
        </w:rPr>
      </w:pPr>
    </w:p>
    <w:p w:rsidR="00963BBC" w:rsidRPr="00E672BE" w:rsidRDefault="00963BBC" w:rsidP="001965E5">
      <w:pPr>
        <w:spacing w:after="0"/>
        <w:rPr>
          <w:rFonts w:cs="Times New Roman"/>
          <w:color w:val="000000" w:themeColor="text1"/>
          <w:szCs w:val="24"/>
          <w:lang w:val="en-US"/>
        </w:rPr>
      </w:pPr>
      <w:r w:rsidRPr="00E672BE">
        <w:rPr>
          <w:rFonts w:cs="Times New Roman"/>
          <w:color w:val="000000" w:themeColor="text1"/>
          <w:szCs w:val="24"/>
          <w:vertAlign w:val="superscript"/>
          <w:lang w:val="en-US"/>
        </w:rPr>
        <w:t>1</w:t>
      </w:r>
      <w:r w:rsidR="00B824FC" w:rsidRPr="00E672BE">
        <w:rPr>
          <w:rFonts w:cs="Times New Roman"/>
          <w:color w:val="000000" w:themeColor="text1"/>
          <w:szCs w:val="24"/>
          <w:lang w:val="en-US"/>
        </w:rPr>
        <w:t>Centre for Drugs and Diagnostics, D</w:t>
      </w:r>
      <w:r w:rsidRPr="00E672BE">
        <w:rPr>
          <w:rFonts w:cs="Times New Roman"/>
          <w:color w:val="000000" w:themeColor="text1"/>
          <w:szCs w:val="24"/>
          <w:lang w:val="en-US"/>
        </w:rPr>
        <w:t xml:space="preserve">epartment of Parasitology, Liverpool School of Tropical Medicine, Pembroke Place, Liverpool, L3 5QA, UK; </w:t>
      </w:r>
      <w:r w:rsidRPr="00E672BE">
        <w:rPr>
          <w:rFonts w:cs="Times New Roman"/>
          <w:color w:val="000000" w:themeColor="text1"/>
          <w:szCs w:val="24"/>
          <w:vertAlign w:val="superscript"/>
          <w:lang w:val="en-US"/>
        </w:rPr>
        <w:t>2</w:t>
      </w:r>
      <w:r w:rsidR="00F14279" w:rsidRPr="00E672BE">
        <w:t xml:space="preserve"> </w:t>
      </w:r>
      <w:r w:rsidR="008B7FB4" w:rsidRPr="00E672BE">
        <w:t xml:space="preserve">Hit Discovery, </w:t>
      </w:r>
      <w:r w:rsidR="00F14279" w:rsidRPr="00E672BE">
        <w:t xml:space="preserve">Discovery Sciences, IMED Biotech Unit, AstraZeneca, </w:t>
      </w:r>
      <w:r w:rsidR="008B7FB4" w:rsidRPr="00E672BE">
        <w:t>Macclesfield</w:t>
      </w:r>
      <w:r w:rsidR="00F14279" w:rsidRPr="00E672BE">
        <w:t>, UK</w:t>
      </w:r>
      <w:r w:rsidRPr="00E672BE">
        <w:rPr>
          <w:rFonts w:cs="Times New Roman"/>
          <w:color w:val="000000" w:themeColor="text1"/>
          <w:szCs w:val="24"/>
          <w:lang w:val="en-US"/>
        </w:rPr>
        <w:t>;</w:t>
      </w:r>
      <w:r w:rsidRPr="00E672BE">
        <w:rPr>
          <w:rFonts w:cs="Times New Roman"/>
          <w:color w:val="000000" w:themeColor="text1"/>
          <w:szCs w:val="24"/>
        </w:rPr>
        <w:t xml:space="preserve"> </w:t>
      </w:r>
      <w:r w:rsidRPr="00E672BE">
        <w:rPr>
          <w:rFonts w:cs="Times New Roman"/>
          <w:color w:val="000000" w:themeColor="text1"/>
          <w:szCs w:val="24"/>
          <w:vertAlign w:val="superscript"/>
          <w:lang w:val="en-US"/>
        </w:rPr>
        <w:t>3</w:t>
      </w:r>
      <w:r w:rsidRPr="00E672BE">
        <w:rPr>
          <w:rFonts w:cs="Times New Roman"/>
          <w:color w:val="000000" w:themeColor="text1"/>
          <w:szCs w:val="24"/>
        </w:rPr>
        <w:t>Department of Chemistry, University of Liverpool, Liverpool, L69 7ZD, UK</w:t>
      </w:r>
      <w:r w:rsidR="000D540D" w:rsidRPr="00E672BE">
        <w:rPr>
          <w:rFonts w:cs="Times New Roman"/>
          <w:color w:val="000000" w:themeColor="text1"/>
          <w:szCs w:val="24"/>
        </w:rPr>
        <w:t xml:space="preserve">; </w:t>
      </w:r>
      <w:r w:rsidR="000D540D" w:rsidRPr="00E672BE">
        <w:rPr>
          <w:rFonts w:cs="Times New Roman"/>
          <w:color w:val="000000" w:themeColor="text1"/>
          <w:szCs w:val="24"/>
          <w:vertAlign w:val="superscript"/>
        </w:rPr>
        <w:t>4</w:t>
      </w:r>
      <w:r w:rsidR="008B7FB4" w:rsidRPr="00E672BE">
        <w:t xml:space="preserve"> </w:t>
      </w:r>
      <w:r w:rsidR="00974D82" w:rsidRPr="00E672BE">
        <w:t>Hit Discovery</w:t>
      </w:r>
      <w:r w:rsidR="008B7FB4" w:rsidRPr="00E672BE">
        <w:t>, Discovery Sciences, IMED Biotech Unit, AstraZeneca, Gothenburg</w:t>
      </w:r>
      <w:r w:rsidR="000D540D" w:rsidRPr="00E672BE">
        <w:rPr>
          <w:rFonts w:cs="Times New Roman"/>
          <w:szCs w:val="24"/>
        </w:rPr>
        <w:t>, Sweden</w:t>
      </w:r>
      <w:r w:rsidR="003906CB" w:rsidRPr="00E672BE">
        <w:rPr>
          <w:rFonts w:cs="Times New Roman"/>
          <w:szCs w:val="24"/>
        </w:rPr>
        <w:t xml:space="preserve">; </w:t>
      </w:r>
      <w:r w:rsidR="000336E7" w:rsidRPr="00E672BE">
        <w:rPr>
          <w:rFonts w:eastAsia="Times New Roman" w:cs="Times New Roman"/>
          <w:color w:val="000000" w:themeColor="text1"/>
          <w:szCs w:val="24"/>
          <w:vertAlign w:val="superscript"/>
        </w:rPr>
        <w:t xml:space="preserve">5 </w:t>
      </w:r>
      <w:r w:rsidR="000336E7" w:rsidRPr="00E672BE">
        <w:rPr>
          <w:rFonts w:cs="Times New Roman"/>
          <w:szCs w:val="24"/>
        </w:rPr>
        <w:t>Genome Biology Division, New England Biolabs, Inc., Ipswich, MA, USA</w:t>
      </w:r>
    </w:p>
    <w:p w:rsidR="00963BBC" w:rsidRPr="00E672BE" w:rsidRDefault="00963BBC" w:rsidP="001965E5">
      <w:pPr>
        <w:rPr>
          <w:rFonts w:cs="Times New Roman"/>
          <w:b/>
          <w:szCs w:val="24"/>
          <w:lang w:val="en"/>
        </w:rPr>
      </w:pPr>
    </w:p>
    <w:p w:rsidR="00080A2D" w:rsidRPr="00E672BE" w:rsidRDefault="00080A2D" w:rsidP="00080A2D">
      <w:pPr>
        <w:rPr>
          <w:rFonts w:cs="Times New Roman"/>
          <w:szCs w:val="24"/>
          <w:lang w:val="en"/>
        </w:rPr>
      </w:pPr>
      <w:r w:rsidRPr="00E672BE">
        <w:rPr>
          <w:rFonts w:cs="Times New Roman"/>
          <w:szCs w:val="24"/>
          <w:lang w:val="en"/>
        </w:rPr>
        <w:t>*Corresponding authors</w:t>
      </w:r>
    </w:p>
    <w:p w:rsidR="00080A2D" w:rsidRPr="00E672BE" w:rsidRDefault="00080A2D" w:rsidP="00080A2D">
      <w:pPr>
        <w:rPr>
          <w:rStyle w:val="Hyperlink"/>
          <w:rFonts w:cs="Arial"/>
          <w:noProof/>
          <w:lang w:val="en-US"/>
        </w:rPr>
      </w:pPr>
      <w:r w:rsidRPr="00E672BE">
        <w:rPr>
          <w:rFonts w:cs="Times New Roman"/>
          <w:szCs w:val="24"/>
          <w:lang w:val="en"/>
        </w:rPr>
        <w:t xml:space="preserve">Corresponding author email addresses: </w:t>
      </w:r>
      <w:hyperlink r:id="rId8" w:history="1">
        <w:r w:rsidRPr="00E672BE">
          <w:rPr>
            <w:rStyle w:val="Hyperlink"/>
            <w:rFonts w:cs="Times New Roman"/>
            <w:szCs w:val="24"/>
            <w:lang w:val="en"/>
          </w:rPr>
          <w:t>Steve.Ward@lstmed.ac.uk</w:t>
        </w:r>
      </w:hyperlink>
      <w:r w:rsidRPr="00E672BE">
        <w:rPr>
          <w:rFonts w:cs="Times New Roman"/>
          <w:szCs w:val="24"/>
          <w:lang w:val="en"/>
        </w:rPr>
        <w:t xml:space="preserve">, </w:t>
      </w:r>
      <w:hyperlink r:id="rId9" w:history="1">
        <w:r w:rsidRPr="00E672BE">
          <w:rPr>
            <w:rStyle w:val="Hyperlink"/>
            <w:rFonts w:cs="Arial"/>
            <w:noProof/>
            <w:lang w:val="en-US"/>
          </w:rPr>
          <w:t>P.M.Oneill01@liverpool.ac.uk</w:t>
        </w:r>
      </w:hyperlink>
      <w:r w:rsidRPr="00E672BE">
        <w:rPr>
          <w:rStyle w:val="Hyperlink"/>
          <w:rFonts w:cs="Arial"/>
          <w:noProof/>
          <w:lang w:val="en-US"/>
        </w:rPr>
        <w:t xml:space="preserve"> </w:t>
      </w:r>
    </w:p>
    <w:p w:rsidR="00E6637B" w:rsidRPr="00E672BE" w:rsidRDefault="00E6637B" w:rsidP="00D10DE1">
      <w:pPr>
        <w:rPr>
          <w:b/>
          <w:lang w:val="en-US"/>
        </w:rPr>
      </w:pPr>
      <w:r w:rsidRPr="00E672BE">
        <w:rPr>
          <w:b/>
          <w:lang w:val="en-US"/>
        </w:rPr>
        <w:t>Abstract</w:t>
      </w:r>
    </w:p>
    <w:p w:rsidR="00BA1846" w:rsidRPr="00E672BE" w:rsidRDefault="006B0B9D" w:rsidP="00D10DE1">
      <w:pPr>
        <w:rPr>
          <w:lang w:val="en-US"/>
        </w:rPr>
      </w:pPr>
      <w:r w:rsidRPr="00E672BE">
        <w:rPr>
          <w:lang w:val="en-US"/>
        </w:rPr>
        <w:t xml:space="preserve"> </w:t>
      </w:r>
      <w:r w:rsidR="00D60A7E" w:rsidRPr="00E672BE">
        <w:rPr>
          <w:lang w:val="en-US"/>
        </w:rPr>
        <w:t xml:space="preserve"> </w:t>
      </w:r>
    </w:p>
    <w:p w:rsidR="007C5421" w:rsidRPr="00E672BE" w:rsidRDefault="00BA1846" w:rsidP="00D10DE1">
      <w:pPr>
        <w:rPr>
          <w:rFonts w:cs="Times New Roman"/>
          <w:lang w:val="en-US"/>
        </w:rPr>
      </w:pPr>
      <w:r w:rsidRPr="00E672BE">
        <w:rPr>
          <w:rFonts w:eastAsia="Calibri" w:cs="Times New Roman"/>
        </w:rPr>
        <w:lastRenderedPageBreak/>
        <w:t xml:space="preserve">Nematodes causing lymphatic filariasis and onchocerciasis rely on their bacterial endosymbiont, </w:t>
      </w:r>
      <w:r w:rsidRPr="00E672BE">
        <w:rPr>
          <w:rFonts w:eastAsia="Calibri" w:cs="Times New Roman"/>
          <w:i/>
        </w:rPr>
        <w:t>Wolbachia,</w:t>
      </w:r>
      <w:r w:rsidRPr="00E672BE">
        <w:rPr>
          <w:rFonts w:eastAsia="Calibri" w:cs="Times New Roman"/>
        </w:rPr>
        <w:t xml:space="preserve"> for survival and fecundity, making </w:t>
      </w:r>
      <w:r w:rsidRPr="00E672BE">
        <w:rPr>
          <w:rFonts w:eastAsia="Calibri" w:cs="Times New Roman"/>
          <w:i/>
        </w:rPr>
        <w:t>Wolbachia</w:t>
      </w:r>
      <w:r w:rsidRPr="00E672BE">
        <w:rPr>
          <w:rFonts w:eastAsia="Calibri" w:cs="Times New Roman"/>
        </w:rPr>
        <w:t xml:space="preserve"> a promising therapeutic target. Here we perform a high-throughput screen of AstraZeneca’s 1.3 million in house compound library and identify 5 novel chemotypes with faster in vitro kill rates (&lt; 2 days) than existing anti-</w:t>
      </w:r>
      <w:r w:rsidRPr="00E672BE">
        <w:rPr>
          <w:rFonts w:eastAsia="Calibri" w:cs="Times New Roman"/>
          <w:i/>
        </w:rPr>
        <w:t>Wolbachia</w:t>
      </w:r>
      <w:r w:rsidRPr="00E672BE">
        <w:rPr>
          <w:rFonts w:eastAsia="Calibri" w:cs="Times New Roman"/>
        </w:rPr>
        <w:t xml:space="preserve"> drugs that cure onchocerciasis and lymphatic filariasis. This industrial scale anthelmintic neglected</w:t>
      </w:r>
      <w:r w:rsidR="00E672BE" w:rsidRPr="00E672BE">
        <w:rPr>
          <w:rFonts w:eastAsia="Calibri" w:cs="Times New Roman"/>
        </w:rPr>
        <w:t xml:space="preserve"> </w:t>
      </w:r>
      <w:r w:rsidRPr="00E672BE">
        <w:rPr>
          <w:rFonts w:eastAsia="Calibri" w:cs="Times New Roman"/>
        </w:rPr>
        <w:t>tropical disease (NTD) screening campaign is the result of a partnership between the Anti-</w:t>
      </w:r>
      <w:r w:rsidRPr="00E672BE">
        <w:rPr>
          <w:rFonts w:eastAsia="Calibri" w:cs="Times New Roman"/>
          <w:i/>
        </w:rPr>
        <w:t>Wolbachia</w:t>
      </w:r>
      <w:r w:rsidRPr="00E672BE">
        <w:rPr>
          <w:rFonts w:eastAsia="Calibri" w:cs="Times New Roman"/>
        </w:rPr>
        <w:t xml:space="preserve"> consortium (A∙WOL) and AstraZeneca. The campaign was informed throughout by rational </w:t>
      </w:r>
      <w:r w:rsidR="003201DC" w:rsidRPr="00E672BE">
        <w:rPr>
          <w:rFonts w:eastAsia="Calibri" w:cs="Times New Roman"/>
        </w:rPr>
        <w:t>prioritisation</w:t>
      </w:r>
      <w:r w:rsidRPr="00E672BE">
        <w:rPr>
          <w:rFonts w:eastAsia="Calibri" w:cs="Times New Roman"/>
        </w:rPr>
        <w:t xml:space="preserve"> and triage of compounds using cheminformatics to balance chemical diversity and drug like properties reducing the chance of attrition from the outset. Ongoing development of these multiple chemotypes, all with superior time-kill kinetics than registered antibiotics with anti-</w:t>
      </w:r>
      <w:r w:rsidRPr="00E672BE">
        <w:rPr>
          <w:rFonts w:eastAsia="Calibri" w:cs="Times New Roman"/>
          <w:i/>
        </w:rPr>
        <w:t>Wolbachia</w:t>
      </w:r>
      <w:r w:rsidRPr="00E672BE">
        <w:rPr>
          <w:rFonts w:eastAsia="Calibri" w:cs="Times New Roman"/>
        </w:rPr>
        <w:t xml:space="preserve"> activity, has the potential to improve upon the current therapeutic options and deliver improved, safer and more selective macrofilaricidal drugs.</w:t>
      </w:r>
    </w:p>
    <w:p w:rsidR="007C5421" w:rsidRPr="00E672BE" w:rsidRDefault="007C5421" w:rsidP="007C5421">
      <w:pPr>
        <w:rPr>
          <w:rFonts w:cs="Times New Roman"/>
          <w:szCs w:val="24"/>
          <w:lang w:val="en-US"/>
        </w:rPr>
      </w:pPr>
    </w:p>
    <w:p w:rsidR="001A3AD2" w:rsidRPr="00E672BE" w:rsidRDefault="00E672BE" w:rsidP="00047833">
      <w:pPr>
        <w:pStyle w:val="Heading2"/>
      </w:pPr>
      <w:r w:rsidRPr="00E672BE">
        <w:t>Introduction</w:t>
      </w:r>
    </w:p>
    <w:p w:rsidR="00BA0594" w:rsidRPr="00E672BE" w:rsidRDefault="00F977B5" w:rsidP="00953C0B">
      <w:r w:rsidRPr="00E672BE">
        <w:t>Large-scale mass drug administration</w:t>
      </w:r>
      <w:r w:rsidR="00D429E1" w:rsidRPr="00E672BE">
        <w:t xml:space="preserve"> (MDA)</w:t>
      </w:r>
      <w:r w:rsidRPr="00E672BE">
        <w:t xml:space="preserve"> programmes aimed at the control and elimination of </w:t>
      </w:r>
      <w:r w:rsidR="00F00F97" w:rsidRPr="00E672BE">
        <w:t xml:space="preserve">the debilitating neglected tropical diseases (NTDs) </w:t>
      </w:r>
      <w:r w:rsidRPr="00E672BE">
        <w:t xml:space="preserve">onchocerciasis and lymphatic filariasis are hampered by the lack of a drug which can safely kill the adult stages of the </w:t>
      </w:r>
      <w:r w:rsidR="00131925" w:rsidRPr="00E672BE">
        <w:t xml:space="preserve">nematode </w:t>
      </w:r>
      <w:r w:rsidRPr="00E672BE">
        <w:t>parasites.</w:t>
      </w:r>
      <w:r w:rsidR="00F00F97" w:rsidRPr="00E672BE">
        <w:t xml:space="preserve"> The filarial nematodes which cause these diseases include </w:t>
      </w:r>
      <w:proofErr w:type="spellStart"/>
      <w:r w:rsidR="00F00F97" w:rsidRPr="00E672BE">
        <w:rPr>
          <w:rFonts w:cs="Calibri"/>
          <w:i/>
          <w:color w:val="000000"/>
          <w:szCs w:val="24"/>
          <w:lang w:eastAsia="en-GB"/>
        </w:rPr>
        <w:t>Wuchereria</w:t>
      </w:r>
      <w:proofErr w:type="spellEnd"/>
      <w:r w:rsidR="00F00F97" w:rsidRPr="00E672BE">
        <w:rPr>
          <w:rFonts w:cs="Calibri"/>
          <w:i/>
          <w:color w:val="000000"/>
          <w:szCs w:val="24"/>
          <w:lang w:eastAsia="en-GB"/>
        </w:rPr>
        <w:t xml:space="preserve"> </w:t>
      </w:r>
      <w:proofErr w:type="spellStart"/>
      <w:r w:rsidR="00F00F97" w:rsidRPr="00E672BE">
        <w:rPr>
          <w:rFonts w:cs="Calibri"/>
          <w:i/>
          <w:color w:val="000000"/>
          <w:szCs w:val="24"/>
          <w:lang w:eastAsia="en-GB"/>
        </w:rPr>
        <w:t>bancrofti</w:t>
      </w:r>
      <w:proofErr w:type="spellEnd"/>
      <w:r w:rsidR="00F00F97" w:rsidRPr="00E672BE">
        <w:t xml:space="preserve">, </w:t>
      </w:r>
      <w:r w:rsidR="00F00F97" w:rsidRPr="00E672BE">
        <w:rPr>
          <w:rFonts w:cs="Calibri"/>
          <w:i/>
          <w:color w:val="000000"/>
          <w:szCs w:val="24"/>
          <w:lang w:eastAsia="en-GB"/>
        </w:rPr>
        <w:t>Brugia malayi</w:t>
      </w:r>
      <w:r w:rsidR="00F00F97" w:rsidRPr="00E672BE">
        <w:rPr>
          <w:rFonts w:cs="Calibri"/>
          <w:color w:val="000000"/>
          <w:szCs w:val="24"/>
          <w:lang w:eastAsia="en-GB"/>
        </w:rPr>
        <w:t xml:space="preserve"> and </w:t>
      </w:r>
      <w:r w:rsidR="00F00F97" w:rsidRPr="00E672BE">
        <w:rPr>
          <w:rFonts w:cs="Calibri"/>
          <w:i/>
          <w:color w:val="000000"/>
          <w:szCs w:val="24"/>
          <w:lang w:eastAsia="en-GB"/>
        </w:rPr>
        <w:t xml:space="preserve">Brugia </w:t>
      </w:r>
      <w:proofErr w:type="spellStart"/>
      <w:r w:rsidR="00F00F97" w:rsidRPr="00E672BE">
        <w:rPr>
          <w:rFonts w:cs="Calibri"/>
          <w:i/>
          <w:color w:val="000000"/>
          <w:szCs w:val="24"/>
          <w:lang w:eastAsia="en-GB"/>
        </w:rPr>
        <w:t>timori</w:t>
      </w:r>
      <w:proofErr w:type="spellEnd"/>
      <w:r w:rsidR="00F00F97" w:rsidRPr="00E672BE">
        <w:rPr>
          <w:rFonts w:cs="Calibri"/>
          <w:color w:val="000000"/>
          <w:szCs w:val="24"/>
          <w:lang w:eastAsia="en-GB"/>
        </w:rPr>
        <w:t xml:space="preserve"> </w:t>
      </w:r>
      <w:r w:rsidR="00F00F97" w:rsidRPr="00E672BE">
        <w:t xml:space="preserve">for </w:t>
      </w:r>
      <w:r w:rsidR="006054C4" w:rsidRPr="00E672BE">
        <w:t>lymphatic filariasis</w:t>
      </w:r>
      <w:r w:rsidR="00F00F97" w:rsidRPr="00E672BE">
        <w:t xml:space="preserve"> whilst </w:t>
      </w:r>
      <w:r w:rsidR="00F00F97" w:rsidRPr="00E672BE">
        <w:rPr>
          <w:i/>
          <w:lang w:eastAsia="en-GB"/>
        </w:rPr>
        <w:t xml:space="preserve">Onchocerca volvulus </w:t>
      </w:r>
      <w:r w:rsidR="00F00F97" w:rsidRPr="00E672BE">
        <w:t>causes onchocerciasis</w:t>
      </w:r>
      <w:r w:rsidR="009403D5" w:rsidRPr="00E672BE">
        <w:t xml:space="preserve"> </w:t>
      </w:r>
      <w:r w:rsidR="009403D5" w:rsidRPr="00E672BE">
        <w:fldChar w:fldCharType="begin" w:fldLock="1"/>
      </w:r>
      <w:r w:rsidR="009403D5" w:rsidRPr="00E672BE">
        <w:instrText>ADDIN CSL_CITATION {"citationItems":[{"id":"ITEM-1","itemData":{"DOI":"10.1017/S0031182013001108","ISBN":"0031-1820","ISSN":"1469-8161","PMID":"23866958","abstract":"Anti-Wolbachia therapy delivers safe macrofilaricidal activity with superior therapeutic outcomes compared to all standard anti-filarial treatments, with the added benefit of substantial improvements in clinical pathology. These outcomes can be achieved, in principle, with existing registered drugs, e.g. doxycycline, that are affordable, available to endemic communities and have well known, albeit population-limiting, safety profiles. The key barriers to using doxycycline as an mass drug administration (MDA) strategy for widespread community-based control are the logistics of a relatively lengthy course of treatment (4-6 weeks) and contraindications in children under eight years and pregnancy. Therefore, the primary goal of the anti-Wolbachia (A·WOL) consortium is to find drugs and regimens that reduce the period of treatment from weeks to days (7 days or less), and to find drugs which would be safe in excluded target populations (pregnancy and children). A secondary goal is to refine regimens of existing antibiotics suitable for a more restricted use, prior to the availability of a regimen that is compatible with MDA usage. For example, for use in the event of the emergence of drug-resistance, in individuals with high loiasis co-infection and at risk of severe adverse events (SAE) to ivermectin, or in post-MDA 'endgame scenarios', where test and treat strategies become more cost effective and deliverable.","author":[{"dropping-particle":"","family":"Taylor","given":"Mark J.","non-dropping-particle":"","parse-names":false,"suffix":""},{"dropping-particle":"","family":"Hoerauf","given":"Achim","non-dropping-particle":"","parse-names":false,"suffix":""},{"dropping-particle":"","family":"Townson","given":"Simon","non-dropping-particle":"","parse-names":false,"suffix":""},{"dropping-particle":"","family":"Slatko","given":"Barton E.","non-dropping-particle":"","parse-names":false,"suffix":""},{"dropping-particle":"","family":"Ward","given":"Stephen A.","non-dropping-particle":"","parse-names":false,"suffix":""}],"container-title":"Parasitology","id":"ITEM-1","issue":"01","issued":{"date-parts":[["2014","1","18"]]},"page":"119-27","publisher":"Cambridge University Press","title":"Anti-Wolbachia drug discovery and development: safe macrofilaricides for onchocerciasis and lymphatic filariasis.","type":"article-journal","volume":"141"},"uris":["http://www.mendeley.com/documents/?uuid=c29139e7-407c-4277-8de8-d285d584f40f"]},{"id":"ITEM-2","itemData":{"DOI":"10.1039/c4md00011k","ISBN":"2040-2503\\n2040-2511","ISSN":"2040-2503","abstract":"Neglected and tropical diseases affect a large proportion of the world's population and impose a huge economic and health burden on developing countries. Despite this, there is a dearth of safe, effective, suitable medications for treatment of these diseases, largely as a result of an underinvestment in developing new drugs against these diseases by the majority of research-based pharmaceutical companies. In the past 12 years, the situation has begun to improve with the emergence of public-private product development partnerships (PDPs), which foster a collaborative approach to drug discovery and have established strong drug development pipelines for neglected and tropical diseases. Some large pharmaceutical companies have also now established dedicated research sites for developing world diseases and are working closely with PDPs on drug development activities. However, drug discovery in this field is still hampered by a lack of sufficient funding and technological investment, and there is a shortage of the tools, assays, and well-validated targets needed to ensure strong drug development pipelines in the future. The availability of high-quality chemically diverse compound libraries to enable lead discovery remains one of the critical bottlenecks. The pharmaceutical industry has much that it can share in terms of drug discovery capacity, know-how, and expertise, and in some cases has been moving towards new paradigms of collaborative pre-competitive research with the PDPs and partners. The future of drug discovery for neglected and tropical diseases will depend on the ability of those working in the area to collaborate together and will require sustained resourcing and focus. © 2014 the Partner Organisations.","author":[{"dropping-particle":"","family":"Burrows","given":"Jeremy N.","non-dropping-particle":"","parse-names":false,"suffix":""},{"dropping-particle":"","family":"Elliott","given":"Richard L.","non-dropping-particle":"","parse-names":false,"suffix":""},{"dropping-particle":"","family":"Kaneko","given":"Takushi","non-dropping-particle":"","parse-names":false,"suffix":""},{"dropping-particle":"","family":"Mowbray","given":"Charles E.","non-dropping-particle":"","parse-names":false,"suffix":""},{"dropping-particle":"","family":"Waterson","given":"David","non-dropping-particle":"","parse-names":false,"suffix":""},{"dropping-particle":"","family":"Murray","given":"C. J.","non-dropping-particle":"","parse-names":false,"suffix":""},{"dropping-particle":"","family":"Vos","given":"T.","non-dropping-particle":"","parse-names":false,"suffix":""},{"dropping-particle":"","family":"Lozano","given":"R.","non-dropping-particle":"","parse-names":false,"suffix":""},{"dropping-particle":"","family":"Elliott","given":"Richard L.","non-dropping-particle":"","parse-names":false,"suffix":""},{"dropping-particle":"","family":"Spangenberg","given":"T.","non-dropping-particle":"","parse-names":false,"suffix":""},{"dropping-particle":"","family":"Burrows","given":"Jeremy N.","non-dropping-particle":"","parse-names":false,"suffix":""},{"dropping-particle":"","family":"Kowalczyk","given":"P.","non-dropping-particle":"","parse-names":false,"suffix":""},{"dropping-particle":"","family":"McDonald","given":"S.","non-dropping-particle":"","parse-names":false,"suffix":""},{"dropping-particle":"","family":"Wells","given":"T. N. C.","non-dropping-particle":"","parse-names":false,"suffix":""},{"dropping-particle":"","family":"Willis","given":"P.","non-dropping-particle":"","parse-names":false,"suffix":""},{"dropping-particle":"","family":"Payne","given":"D. J.","non-dropping-particle":"","parse-names":false,"suffix":""},{"dropping-particle":"","family":"Gwynn","given":"M. N.","non-dropping-particle":"","parse-names":false,"suffix":""},{"dropping-particle":"","family":"Holmes","given":"D. J.","non-dropping-particle":"","parse-names":false,"suffix":""},{"dropping-particle":"","family":"Pompliano","given":"D. L.","non-dropping-particle":"","parse-names":false,"suffix":""},{"dropping-particle":"","family":"Butera","given":"J. A.","non-dropping-particle":"","parse-names":false,"suffix":""},{"dropping-particle":"","family":"Alvar","given":"J.","non-dropping-particle":"","parse-names":false,"suffix":""},{"dropping-particle":"","family":"Velez","given":"I. D.","non-dropping-particle":"","parse-names":false,"suffix":""},{"dropping-particle":"","family":"Bern","given":"C.","non-dropping-particle":"","parse-names":false,"suffix":""},{"dropping-particle":"","family":"Herrero","given":"M.","non-dropping-particle":"","parse-names":false,"suffix":""},{"dropping-particle":"","family":"Desjeux","given":"P.","non-dropping-particle":"","parse-names":false,"suffix":""},{"dropping-particle":"","family":"Cano","given":"J.","non-dropping-particle":"","parse-names":false,"suffix":""},{"dropping-particle":"","family":"Jannin","given":"J.","non-dropping-particle":"","parse-names":false,"suffix":""},{"dropping-particle":"den","family":"Boer","given":"M.","non-dropping-particle":"","parse-names":false,"suffix":""},{"dropping-particle":"","family":"Anthony","given":"M. P.","non-dropping-particle":"","parse-names":false,"suffix":""},{"dropping-particle":"","family":"Burrows","given":"Jeremy N.","non-dropping-particle":"","parse-names":false,"suffix":""},{"dropping-particle":"","family":"Duparc","given":"S.","non-dropping-particle":"","parse-names":false,"suffix":""},{"dropping-particle":"","family":"Moehrle","given":"J. J.","non-dropping-particle":"","parse-names":false,"suffix":""},{"dropping-particle":"","family":"Wells","given":"T. N. C.","non-dropping-particle":"","parse-names":false,"suffix":""},{"dropping-particle":"","family":"Dondorp","given":"A. M.","non-dropping-particle":"","parse-names":false,"suffix":""},{"dropping-particle":"","family":"Yeung","given":"S.","non-dropping-particle":"","parse-names":false,"suffix":""},{"dropping-particle":"","family":"White","given":"L.","non-dropping-particle":"","parse-names":false,"suffix":""},{"dropping-particle":"","family":"Nguon","given":"C.","non-dropping-particle":"","parse-names":false,"suffix":""},{"dropping-particle":"","family":"Day","given":"N. P. J.","non-dropping-particle":"","parse-names":false,"suffix":""},{"dropping-particle":"","family":"Socheat","given":"D.","non-dropping-particle":"","parse-names":false,"suffix":""},{"dropping-particle":"von","family":"Seidlein","given":"L.","non-dropping-particle":"","parse-names":false,"suffix":""},{"dropping-particle":"","family":"Rottmann","given":"M.","non-dropping-particle":"","parse-names":false,"suffix":""},{"dropping-particle":"","family":"McNamara","given":"C.","non-dropping-particle":"","parse-names":false,"suffix":""},{"dropping-particle":"","family":"Yeung","given":"B. K. S.","non-dropping-particle":"","parse-names":false,"suffix":""},{"dropping-particle":"","family":"Lee","given":"M. C. S.","non-dropping-particle":"","parse-names":false,"suffix":""},{"dropping-particle":"","family":"Russell","given":"B.","non-dropping-particle":"","parse-names":false,"suffix":""},{"dropping-particle":"","family":"Seitz","given":"P.","non-dropping-particle":"","parse-names":false,"suffix":""},{"dropping-particle":"","family":"Plouffe","given":"D. M.","non-dropping-particle":"","parse-names":false,"suffix":""},{"dropping-particle":"","family":"Younis","given":"Y.","non-dropping-particle":"","parse-names":false,"suffix":""},{"dropping-particle":"","family":"Douelle","given":"F.","non-dropping-particle":"","parse-names":false,"suffix":""},{"dropping-particle":"","family":"Feng","given":"T. S.","non-dropping-particle":"","parse-names":false,"suffix":""},{"dropping-particle":"","family":"Cabrera","given":"D. Gonzalez","non-dropping-particle":"","parse-names":false,"suffix":""},{"dropping-particle":"Le","family":"Manach","given":"C.","non-dropping-particle":"","parse-names":false,"suffix":""},{"dropping-particle":"","family":"Nchinda","given":"A. T.","non-dropping-particle":"","parse-names":false,"suffix":""},{"dropping-particle":"","family":"Duffy","given":"S.","non-dropping-particle":"","parse-names":false,"suffix":""},{"dropping-particle":"","family":"White","given":"K. L.","non-dropping-particle":"","parse-names":false,"suffix":""},{"dropping-particle":"","family":"Shackleford","given":"D. M.","non-dropping-particle":"","parse-names":false,"suffix":""},{"dropping-particle":"","family":"Morizzi","given":"J.","non-dropping-particle":"","parse-names":false,"suffix":""},{"dropping-particle":"","family":"Mannila","given":"J.","non-dropping-particle":"","parse-names":false,"suffix":""},{"dropping-particle":"","family":"Katneni","given":"K.","non-dropping-particle":"","parse-names":false,"suffix":""},{"dropping-particle":"","family":"Bhamidipati","given":"R.","non-dropping-particle":"","parse-names":false,"suffix":""},{"dropping-particle":"","family":"Zabiulla","given":"K. M.","non-dropping-particle":"","parse-names":false,"suffix":""},{"dropping-particle":"","family":"Joseph","given":"J. T.","non-dropping-particle":"","parse-names":false,"suffix":""},{"dropping-particle":"","family":"Bashyam","given":"S.","non-dropping-particle":"","parse-names":false,"suffix":""},{"dropping-particle":"","family":"Waterson","given":"David","non-dropping-particle":"","parse-names":false,"suffix":""},{"dropping-particle":"","family":"Witty","given":"M. J.","non-dropping-particle":"","parse-names":false,"suffix":""},{"dropping-particle":"","family":"Hardick","given":"D.","non-dropping-particle":"","parse-names":false,"suffix":""},{"dropping-particle":"","family":"Wittlin","given":"S.","non-dropping-particle":"","parse-names":false,"suffix":""},{"dropping-particle":"","family":"Avery","given":"V.","non-dropping-particle":"","parse-names":false,"suffix":""},{"dropping-particle":"","family":"Charman","given":"S. A.","non-dropping-particle":"","parse-names":false,"suffix":""},{"dropping-particle":"","family":"Chibale","given":"K.","non-dropping-particle":"","parse-names":false,"suffix":""},{"dropping-particle":"","family":"Coteron","given":"J. M.","non-dropping-particle":"","parse-names":false,"suffix":""},{"dropping-particle":"","family":"Marco","given":"M.","non-dropping-particle":"","parse-names":false,"suffix":""},{"dropping-particle":"","family":"Esquivias","given":"J.","non-dropping-particle":"","parse-names":false,"suffix":""},{"dropping-particle":"","family":"Deng","given":"X.","non-dropping-particle":"","parse-names":false,"suffix":""},{"dropping-particle":"","family":"White","given":"K. L.","non-dropping-particle":"","parse-names":false,"suffix":""},{"dropping-particle":"","family":"White","given":"J.","non-dropping-particle":"","parse-names":false,"suffix":""},{"dropping-particle":"","family":"Koltun","given":"M.","non-dropping-particle":"","parse-names":false,"suffix":""},{"dropping-particle":"El","family":"Mazouni","given":"F.","non-dropping-particle":"","parse-names":false,"suffix":""},{"dropping-particle":"","family":"Kokkonda","given":"S.","non-dropping-particle":"","parse-names":false,"suffix":""},{"dropping-particle":"","family":"Katneni","given":"K.","non-dropping-particle":"","parse-names":false,"suffix":""},{"dropping-particle":"","family":"Bhamidipati","given":"R.","non-dropping-particle":"","parse-names":false,"suffix":""},{"dropping-particle":"","family":"Shackleford","given":"D. M.","non-dropping-particle":"","parse-names":false,"suffix":""},{"dropping-particle":"","family":"Angulo-Barturen","given":"I.","non-dropping-particle":"","parse-names":false,"suffix":""},{"dropping-particle":"","family":"Ferrer","given":"S. B.","non-dropping-particle":"","parse-names":false,"suffix":""},{"dropping-particle":"","family":"Jiménez-Díaz","given":"M. B.","non-dropping-particle":"","parse-names":false,"suffix":""},{"dropping-particle":"","family":"Gamo","given":"F.-J. J.","non-dropping-particle":"","parse-names":false,"suffix":""},{"dropping-particle":"","family":"Goldsmith","given":"E. J.","non-dropping-particle":"","parse-names":false,"suffix":""},{"dropping-particle":"","family":"Charman","given":"W. N.","non-dropping-particle":"","parse-names":false,"suffix":""},{"dropping-particle":"","family":"Bathurst","given":"I.","non-dropping-particle":"","parse-names":false,"suffix":""},{"dropping-particle":"","family":"Floyd","given":"D.","non-dropping-particle":"","parse-names":false,"suffix":""},{"dropping-particle":"","family":"Matthews","given":"D.","non-dropping-particle":"","parse-names":false,"suffix":""},{"dropping-particle":"","family":"Burrows","given":"Jeremy N.","non-dropping-particle":"","parse-names":false,"suffix":""},{"dropping-particle":"","family":"Rathod","given":"P. K.","non-dropping-particle":"","parse-names":false,"suffix":""},{"dropping-particle":"","family":"Charman","given":"S. A.","non-dropping-particle":"","parse-names":false,"suffix":""},{"dropping-particle":"","family":"Phillips","given":"M. A.","non-dropping-particle":"","parse-names":false,"suffix":""},{"dropping-particle":"","family":"Burrows","given":"Jeremy N.","non-dropping-particle":"","parse-names":false,"suffix":""},{"dropping-particle":"","family":"Leroy","given":"D.","non-dropping-particle":"","parse-names":false,"suffix":""},{"dropping-particle":"","family":"Lotharius","given":"J.","non-dropping-particle":"","parse-names":false,"suffix":""},{"dropping-particle":"","family":"Waterson","given":"David","non-dropping-particle":"","parse-names":false,"suffix":""},{"dropping-particle":"","family":"Burrows","given":"Jeremy N.","non-dropping-particle":"","parse-names":false,"suffix":""},{"dropping-particle":"","family":"Chibale","given":"K.","non-dropping-particle":"","parse-names":false,"suffix":""},{"dropping-particle":"","family":"Wells","given":"T. N. C.","non-dropping-particle":"","parse-names":false,"suffix":""},{"dropping-particle":"","family":"Delves","given":"M.","non-dropping-particle":"","parse-names":false,"suffix":""},{"dropping-particle":"","family":"Plouffe","given":"D. M.","non-dropping-particle":"","parse-names":false,"suffix":""},{"dropping-particle":"","family":"Scheurer","given":"C.","non-dropping-particle":"","parse-names":false,"suffix":""},{"dropping-particle":"","family":"Meister","given":"S.","non-dropping-particle":"","parse-names":false,"suffix":""},{"dropping-particle":"","family":"Wittlin","given":"S.","non-dropping-particle":"","parse-names":false,"suffix":""},{"dropping-particle":"","family":"Winzeler","given":"E. A.","non-dropping-particle":"","parse-names":false,"suffix":""},{"dropping-particle":"","family":"Sinden","given":"R. E.","non-dropping-particle":"","parse-names":false,"suffix":""},{"dropping-particle":"","family":"Leroy","given":"D.","non-dropping-particle":"","parse-names":false,"suffix":""},{"dropping-particle":"","family":"Wells","given":"T. N. C.","non-dropping-particle":"","parse-names":false,"suffix":""},{"dropping-particle":"","family":"Burrows","given":"Jeremy N.","non-dropping-particle":"","parse-names":false,"suffix":""},{"dropping-particle":"","family":"Baird","given":"J. K.","non-dropping-particle":"","parse-names":false,"suffix":""},{"dropping-particle":"","family":"Sanz","given":"L. M.","non-dropping-particle":"","parse-names":false,"suffix":""},{"dropping-particle":"","family":"Crespo","given":"B.","non-dropping-particle":"","parse-names":false,"suffix":""},{"dropping-particle":"","family":"De-Cozar","given":"C.","non-dropping-particle":"","parse-names":false,"suffix":""},{"dropping-particle":"","family":"Ding","given":"X. C.","non-dropping-particle":"","parse-names":false,"suffix":""},{"dropping-particle":"","family":"Llergo","given":"J. L.","non-dropping-particle":"","parse-names":false,"suffix":""},{"dropping-particle":"","family":"Burrows","given":"Jeremy N.","non-dropping-particle":"","parse-names":false,"suffix":""},{"dropping-particle":"","family":"Garcia-Bustos","given":"J. F.","non-dropping-particle":"","parse-names":false,"suffix":""},{"dropping-particle":"","family":"Gamo","given":"F.-J. J.","non-dropping-particle":"","parse-names":false,"suffix":""},{"dropping-particle":"","family":"Winnen","given":"M.","non-dropping-particle":"","parse-names":false,"suffix":""},{"dropping-particle":"","family":"Plaisier","given":"A. P.","non-dropping-particle":"","parse-names":false,"suffix":""},{"dropping-particle":"","family":"Alley","given":"E. S.","non-dropping-particle":"","parse-names":false,"suffix":""},{"dropping-particle":"","family":"Nagelkerke","given":"N. J. D.","non-dropping-particle":"","parse-names":false,"suffix":""},{"dropping-particle":"van","family":"Oortmarssen","given":"G.","non-dropping-particle":"","parse-names":false,"suffix":""},{"dropping-particle":"","family":"Boatin","given":"B. A.","non-dropping-particle":"","parse-names":false,"suffix":""},{"dropping-particle":"","family":"Habbema","given":"J. D. F.","non-dropping-particle":"","parse-names":false,"suffix":""},{"dropping-particle":"","family":"Taylor","given":"M. J.","non-dropping-particle":"","parse-names":false,"suffix":""},{"dropping-particle":"","family":"Hoerauf","given":"A.","non-dropping-particle":"","parse-names":false,"suffix":""},{"dropping-particle":"","family":"Townson","given":"S.","non-dropping-particle":"","parse-names":false,"suffix":""},{"dropping-particle":"","family":"Slatko","given":"B. E.","non-dropping-particle":"","parse-names":false,"suffix":""},{"dropping-particle":"","family":"Ward","given":"S. A.","non-dropping-particle":"","parse-names":false,"suffix":""},{"dropping-particle":"","family":"Johnston","given":"K. L.","non-dropping-particle":"","parse-names":false,"suffix":""},{"dropping-particle":"","family":"Ford","given":"L.","non-dropping-particle":"","parse-names":false,"suffix":""},{"dropping-particle":"","family":"Taylor","given":"M. J.","non-dropping-particle":"","parse-names":false,"suffix":""},{"dropping-particle":"","family":"Jones","given":"D.","non-dropping-particle":"","parse-names":false,"suffix":""},{"dropping-particle":"","family":"Gler","given":"M. T.","non-dropping-particle":"","parse-names":false,"suffix":""},{"dropping-particle":"","family":"Skripconoka","given":"V.","non-dropping-particle":"","parse-names":false,"suffix":""},{"dropping-particle":"","family":"Sanchez-Garavito","given":"E.","non-dropping-particle":"","parse-names":false,"suffix":""},{"dropping-particle":"","family":"Xiao","given":"H.","non-dropping-particle":"","parse-names":false,"suffix":""},{"dropping-particle":"","family":"Cabrera-Rivero","given":"J. L.","non-dropping-particle":"","parse-names":false,"suffix":""},{"dropping-particle":"","family":"Vargas-Vasquez","given":"D. E.","non-dropping-particle":"","parse-names":false,"suffix":""},{"dropping-particle":"","family":"Gao","given":"M.","non-dropping-particle":"","parse-names":false,"suffix":""},{"dropping-particle":"","family":"Awad","given":"M.","non-dropping-particle":"","parse-names":false,"suffix":""},{"dropping-particle":"","family":"Park","given":"S. K.","non-dropping-particle":"","parse-names":false,"suffix":""},{"dropping-particle":"","family":"Shim","given":"T. S.","non-dropping-particle":"","parse-names":false,"suffix":""},{"dropping-particle":"","family":"Suh","given":"G. Y.","non-dropping-particle":"","parse-names":false,"suffix":""},{"dropping-particle":"","family":"Danilovits","given":"M.","non-dropping-particle":"","parse-names":false,"suffix":""},{"dropping-particle":"","family":"Ogata","given":"H.","non-dropping-particle":"","parse-names":false,"suffix":""},{"dropping-particle":"","family":"Kurve","given":"A.","non-dropping-particle":"","parse-names":false,"suffix":""},{"dropping-particle":"","family":"Chang","given":"J.","non-dropping-particle":"","parse-names":false,"suffix":""},{"dropping-particle":"","family":"Suzuki","given":"K.","non-dropping-particle":"","parse-names":false,"suffix":""},{"dropping-particle":"","family":"Tupasi","given":"T.","non-dropping-particle":"","parse-names":false,"suffix":""},{"dropping-particle":"","family":"Koh","given":"W. J.","non-dropping-particle":"","parse-names":false,"suffix":""},{"dropping-particle":"","family":"Seaworth","given":"B.","non-dropping-particle":"","parse-names":false,"suffix":""},{"dropping-particle":"","family":"Geiter","given":"L. J.","non-dropping-particle":"","parse-names":false,"suffix":""},{"dropping-particle":"","family":"Wells","given":"C. D.","non-dropping-particle":"","parse-names":false,"suffix":""},{"dropping-particle":"","family":"Singh","given":"R.","non-dropping-particle":"","parse-names":false,"suffix":""},{"dropping-particle":"","family":"Manjunatha","given":"U.","non-dropping-particle":"","parse-names":false,"suffix":""},{"dropping-particle":"","family":"Boshoff","given":"H. I. M.","non-dropping-particle":"","parse-names":false,"suffix":""},{"dropping-particle":"","family":"Ha","given":"Y. H.","non-dropping-particle":"","parse-names":false,"suffix":""},{"dropping-particle":"","family":"Niyomrattanakit","given":"P.","non-dropping-particle":"","parse-names":false,"suffix":""},{"dropping-particle":"","family":"Ledwidge","given":"R.","non-dropping-particle":"","parse-names":false,"suffix":""},{"dropping-particle":"","family":"Dowd","given":"C. S.","non-dropping-particle":"","parse-names":false,"suffix":""},{"dropping-particle":"","family":"Lee","given":"I. Y.","non-dropping-particle":"","parse-names":false,"suffix":""},{"dropping-particle":"","family":"Kim","given":"P.","non-dropping-particle":"","parse-names":false,"suffix":""},{"dropping-particle":"","family":"Zhang","given":"L.","non-dropping-particle":"","parse-names":false,"suffix":""},{"dropping-particle":"","family":"Kang","given":"S.","non-dropping-particle":"","parse-names":false,"suffix":""},{"dropping-particle":"","family":"Keller","given":"T. H.","non-dropping-particle":"","parse-names":false,"suffix":""},{"dropping-particle":"","family":"Jiricek","given":"J.","non-dropping-particle":"","parse-names":false,"suffix":""},{"dropping-particle":"","family":"Barry","given":"C. E.","non-dropping-particle":"","parse-names":false,"suffix":""},{"dropping-particle":"","family":"Diacon","given":"A. H.","non-dropping-particle":"","parse-names":false,"suffix":""},{"dropping-particle":"","family":"Dawson","given":"R.","non-dropping-particle":"","parse-names":false,"suffix":""},{"dropping-particle":"von","family":"Groote-Bidlingmaier","given":"F.","non-dropping-particle":"","parse-names":false,"suffix":""},{"dropping-particle":"","family":"Symons","given":"G.","non-dropping-particle":"","parse-names":false,"suffix":""},{"dropping-particle":"","family":"Venter","given":"A.","non-dropping-particle":"","parse-names":false,"suffix":""},{"dropping-particle":"","family":"Donald","given":"P. R.","non-dropping-particle":"","parse-names":false,"suffix":""},{"dropping-particle":"van","family":"Niekerk","given":"C.","non-dropping-particle":"","parse-names":false,"suffix":""},{"dropping-particle":"","family":"Everitt","given":"D.","non-dropping-particle":"","parse-names":false,"suffix":""},{"dropping-particle":"","family":"Winter","given":"H.","non-dropping-particle":"","parse-names":false,"suffix":""},{"dropping-particle":"","family":"Becker","given":"P.","non-dropping-particle":"","parse-names":false,"suffix":""},{"dropping-particle":"","family":"Mendel","given":"C. M.","non-dropping-particle":"","parse-names":false,"suffix":""},{"dropping-particle":"","family":"Spigelman","given":"M. K.","non-dropping-particle":"","parse-names":false,"suffix":""},{"dropping-particle":"","family":"Williams","given":"K. N.","non-dropping-particle":"","parse-names":false,"suffix":""},{"dropping-particle":"","family":"Stover","given":"C. K.","non-dropping-particle":"","parse-names":false,"suffix":""},{"dropping-particle":"","family":"Zhu","given":"T.","non-dropping-particle":"","parse-names":false,"suffix":""},{"dropping-particle":"","family":"Tasneen","given":"R.","non-dropping-particle":"","parse-names":false,"suffix":""},{"dropping-particle":"","family":"Tyagi","given":"S.","non-dropping-particle":"","parse-names":false,"suffix":""},{"dropping-particle":"","family":"Grosset","given":"J. H.","non-dropping-particle":"","parse-names":false,"suffix":""},{"dropping-particle":"","family":"Nuermberger","given":"E.","non-dropping-particle":"","parse-names":false,"suffix":""},{"dropping-particle":"","family":"Altaf","given":"M.","non-dropping-particle":"","parse-names":false,"suffix":""},{"dropping-particle":"","family":"Miller","given":"C. H.","non-dropping-particle":"","parse-names":false,"suffix":""},{"dropping-particle":"","family":"Bellows","given":"D. S.","non-dropping-particle":"","parse-names":false,"suffix":""},{"dropping-particle":"","family":"O'Toole","given":"R.","non-dropping-particle":"","parse-names":false,"suffix":""},{"dropping-particle":"V.","family":"Pichugin","given":"A.","non-dropping-particle":"","parse-names":false,"suffix":""},{"dropping-particle":"","family":"Yan","given":"B. S.","non-dropping-particle":"","parse-names":false,"suffix":""},{"dropping-particle":"","family":"Sloutsky","given":"A.","non-dropping-particle":"","parse-names":false,"suffix":""},{"dropping-particle":"","family":"Kobzik","given":"L.","non-dropping-particle":"","parse-names":false,"suffix":""},{"dropping-particle":"","family":"Kramnik","given":"I.","non-dropping-particle":"","parse-names":false,"suffix":""}],"container-title":"MedChemComm","id":"ITEM-2","issue":"6","issued":{"date-parts":[["2014"]]},"page":"688","publisher":"The Royal Society of Chemistry","title":"The role of modern drug discovery in the fight against neglected and tropical diseases","type":"article-journal","volume":"5"},"uris":["http://www.mendeley.com/documents/?uuid=bd59c767-2e15-43ab-af8a-4bd7bce80fa2"]}],"mendeley":{"formattedCitation":"&lt;sup&gt;1,2&lt;/sup&gt;","plainTextFormattedCitation":"1,2","previouslyFormattedCitation":"&lt;sup&gt;1,2&lt;/sup&gt;"},"properties":{"noteIndex":0},"schema":"https://github.com/citation-style-language/schema/raw/master/csl-citation.json"}</w:instrText>
      </w:r>
      <w:r w:rsidR="009403D5" w:rsidRPr="00E672BE">
        <w:fldChar w:fldCharType="separate"/>
      </w:r>
      <w:r w:rsidR="009403D5" w:rsidRPr="00E672BE">
        <w:rPr>
          <w:noProof/>
          <w:vertAlign w:val="superscript"/>
        </w:rPr>
        <w:t>1,2</w:t>
      </w:r>
      <w:r w:rsidR="009403D5" w:rsidRPr="00E672BE">
        <w:fldChar w:fldCharType="end"/>
      </w:r>
      <w:r w:rsidR="00F00F97" w:rsidRPr="00E672BE">
        <w:t>. These diseases afflict 157 million people worldwide</w:t>
      </w:r>
      <w:r w:rsidRPr="00E672BE">
        <w:t xml:space="preserve"> </w:t>
      </w:r>
      <w:r w:rsidR="009403D5" w:rsidRPr="00E672BE">
        <w:t xml:space="preserve">and </w:t>
      </w:r>
      <w:r w:rsidR="009403D5" w:rsidRPr="00E672BE">
        <w:rPr>
          <w:rFonts w:cs="Times New Roman"/>
          <w:szCs w:val="24"/>
        </w:rPr>
        <w:t xml:space="preserve">collectively are responsible for the loss of 3.3 million disability adjusted life years (DALYs) from the World’s poorest communities </w:t>
      </w:r>
      <w:r w:rsidR="009403D5" w:rsidRPr="00E672BE">
        <w:rPr>
          <w:rFonts w:cs="Times New Roman"/>
          <w:szCs w:val="24"/>
        </w:rPr>
        <w:fldChar w:fldCharType="begin" w:fldLock="1"/>
      </w:r>
      <w:r w:rsidR="00556B2F" w:rsidRPr="00E672BE">
        <w:rPr>
          <w:rFonts w:cs="Times New Roman"/>
          <w:szCs w:val="24"/>
        </w:rPr>
        <w:instrText>ADDIN CSL_CITATION {"citationItems":[{"id":"ITEM-1","itemData":{"DOI":"10.1186/1741-7015-8-67","ISBN":"0028-4793","ISSN":"0028-4793","PMID":"21034473","author":[{"dropping-particle":"","family":"Hotez","given":"P.J.","non-dropping-particle":"","parse-names":false,"suffix":""},{"dropping-particle":"","family":"Molyneux","given":"D.H.","non-dropping-particle":"","parse-names":false,"suffix":""},{"dropping-particle":"","family":"Fenwick","given":"A.","non-dropping-particle":"","parse-names":false,"suffix":""},{"dropping-particle":"","family":"Kumaresan","given":"J.","non-dropping-particle":"","parse-names":false,"suffix":""},{"dropping-particle":"","family":"Sachs","given":"S.E.","non-dropping-particle":"","parse-names":false,"suffix":""},{"dropping-particle":"","family":"Sachs","given":"J.D.","non-dropping-particle":"","parse-names":false,"suffix":""},{"dropping-particle":"","family":"Savioli","given":"L","non-dropping-particle":"","parse-names":false,"suffix":""}],"container-title":"New England Journal of Medicine","id":"ITEM-1","issue":"10","issued":{"date-parts":[["2007"]]},"page":"1018-1027","title":"Control of neglected tropical diseases","type":"article-journal","volume":"357"},"uris":["http://www.mendeley.com/documents/?uuid=1bb29bee-b273-4826-988d-0c4d9baf8acb"]},{"id":"ITEM-2","itemData":{"DOI":"10.1016/S0140-6736(16)30171-4","ISBN":"0140-6736","ISSN":"1474547X","PMID":"27639954","abstract":"The concept of neglected tropical diseases (NTDs) emerged more than a decade ago and has been recognised as a valid way to categorise diseases that affect the poorest individuals. Substantial progress in control and elimination has been achieved and policy momentum has been generated through continued bilateral, philanthropic, and non-governmental development organisation (NGDO) support, and donations of drugs from pharmaceutical companies. WHO has defined a Roadmap to reach 2020 targets, which was endorsed by member states in a World Health Assembly Resolution in 2013. NTDs have been included within the Sustainable Development Goal targets and are a crucial component of universal health coverage, conceptualised as “leaving no one behind”. WHO reported that more than 1 billion people in 88 countries have benefited from preventive chemotherapy in 2014. The research agenda has defined the need for affordable products (diagnostics, drugs and insecticides). However challenges such as insecurity and weak health systems continue to prevail in the poorest countries, inhibiting progress in scaling up and also in achieving Roadmap goals.","author":[{"dropping-particle":"","family":"Molyneux","given":"David H.","non-dropping-particle":"","parse-names":false,"suffix":""},{"dropping-particle":"","family":"Savioli","given":"Lorenzo","non-dropping-particle":"","parse-names":false,"suffix":""},{"dropping-particle":"","family":"Engels","given":"Dirk","non-dropping-particle":"","parse-names":false,"suffix":""}],"container-title":"The Lancet","id":"ITEM-2","issue":"10066","issued":{"date-parts":[["2017"]]},"page":"312-325","publisher":"Elsevier Ltd","title":"Neglected tropical diseases: progress towards addressing the chronic pandemic","type":"article-journal","volume":"389"},"uris":["http://www.mendeley.com/documents/?uuid=33a2699d-0f64-4570-b740-4c3d5b53837f"]}],"mendeley":{"formattedCitation":"&lt;sup&gt;3,4&lt;/sup&gt;","plainTextFormattedCitation":"3,4","previouslyFormattedCitation":"&lt;sup&gt;3,4&lt;/sup&gt;"},"properties":{"noteIndex":0},"schema":"https://github.com/citation-style-language/schema/raw/master/csl-citation.json"}</w:instrText>
      </w:r>
      <w:r w:rsidR="009403D5" w:rsidRPr="00E672BE">
        <w:rPr>
          <w:rFonts w:cs="Times New Roman"/>
          <w:szCs w:val="24"/>
        </w:rPr>
        <w:fldChar w:fldCharType="separate"/>
      </w:r>
      <w:r w:rsidR="009403D5" w:rsidRPr="00E672BE">
        <w:rPr>
          <w:rFonts w:cs="Times New Roman"/>
          <w:noProof/>
          <w:szCs w:val="24"/>
          <w:vertAlign w:val="superscript"/>
        </w:rPr>
        <w:t>3,4</w:t>
      </w:r>
      <w:r w:rsidR="009403D5" w:rsidRPr="00E672BE">
        <w:rPr>
          <w:rFonts w:cs="Times New Roman"/>
          <w:szCs w:val="24"/>
        </w:rPr>
        <w:fldChar w:fldCharType="end"/>
      </w:r>
      <w:r w:rsidR="009403D5" w:rsidRPr="00E672BE">
        <w:rPr>
          <w:rFonts w:cs="Times New Roman"/>
          <w:szCs w:val="24"/>
        </w:rPr>
        <w:t xml:space="preserve">. </w:t>
      </w:r>
      <w:r w:rsidRPr="00E672BE">
        <w:t>Triple combinations of existing anthelminthic</w:t>
      </w:r>
      <w:r w:rsidR="00D429E1" w:rsidRPr="00E672BE">
        <w:t xml:space="preserve"> MDA</w:t>
      </w:r>
      <w:r w:rsidRPr="00E672BE">
        <w:t xml:space="preserve"> drugs, </w:t>
      </w:r>
      <w:r w:rsidR="00D429E1" w:rsidRPr="00E672BE">
        <w:t>(</w:t>
      </w:r>
      <w:r w:rsidRPr="00E672BE">
        <w:t xml:space="preserve">ivermectin, diethylcarbamazine </w:t>
      </w:r>
      <w:r w:rsidR="007279D3" w:rsidRPr="00E672BE">
        <w:t xml:space="preserve">(DEC) </w:t>
      </w:r>
      <w:r w:rsidRPr="00E672BE">
        <w:t>and albendazole</w:t>
      </w:r>
      <w:r w:rsidR="00D429E1" w:rsidRPr="00E672BE">
        <w:t>)</w:t>
      </w:r>
      <w:r w:rsidRPr="00E672BE">
        <w:t xml:space="preserve"> </w:t>
      </w:r>
      <w:r w:rsidR="00D429E1" w:rsidRPr="00E672BE">
        <w:t xml:space="preserve">have </w:t>
      </w:r>
      <w:r w:rsidR="00D429E1" w:rsidRPr="00E672BE">
        <w:lastRenderedPageBreak/>
        <w:t>been shown to be</w:t>
      </w:r>
      <w:r w:rsidRPr="00E672BE">
        <w:t xml:space="preserve"> superior to existing</w:t>
      </w:r>
      <w:r w:rsidR="000416E1" w:rsidRPr="00E672BE">
        <w:t xml:space="preserve"> regimens for lymphatic filariasis</w:t>
      </w:r>
      <w:r w:rsidR="00BA0594" w:rsidRPr="00E672BE">
        <w:t xml:space="preserve"> in </w:t>
      </w:r>
      <w:r w:rsidR="00953C0B" w:rsidRPr="00E672BE">
        <w:t xml:space="preserve">a </w:t>
      </w:r>
      <w:r w:rsidR="00BA0594" w:rsidRPr="00E672BE">
        <w:t>phase II trial</w:t>
      </w:r>
      <w:r w:rsidR="00AD4300" w:rsidRPr="00E672BE">
        <w:fldChar w:fldCharType="begin" w:fldLock="1"/>
      </w:r>
      <w:r w:rsidR="007C7B71" w:rsidRPr="00E672BE">
        <w:instrText>ADDIN CSL_CITATION {"citationItems":[{"id":"ITEM-1","itemData":{"DOI":"10.1093/cid/civ882","ISSN":"1058-4838","PMID":"26486704","abstract":"BACKGROUND Available treatments for lymphatic filariasis (LF) are limited in their longterm clearance of microfilaria from the blood. The safety and efficacy of a single-dose triple-drug therapy of the antifilarial drugs diethylcarbamazine (DEC), ivermectin (IVM), and albendazole (ALB) for LF are unknown. METHODS We performed a pilot study to test the efficacy, safety, and pharmacokinetics of single-dose DEC, IVM, and ALB in Wuchereria bancrofti-infected Papua New Guineans. Adults were randomized into 2 treatment arms, DEC 6 mg/kg + ALB 400 mg (N = 12) or DEC 6 mg/kg + ALB 400 mg + IVM 200 μg/kg (N = 12), and monitored for microfilaria, parasite antigenemia, adverse events (AEs), and serum drug levels. RESULTS Triple-drug therapy induced &gt;2-log reductions in microfilaria levels at 36 and 168 hours after treatment compared with approximately 1-log reduction with 2 drugs. All 12 individuals who received 3 drugs were microfilaria negative 1 year after treatment, whereas 11 of 12 individuals in the 2-drug regimen were microfilaria positive. In 6 participants followed 2 years after treatment, those who received 3 drugs remained microfilaria negative. AEs, particularly fever, myalgias, pruritus, and proteinuria/hematuria, occurred in 83% vs 50% of those receiving triple-drug compared to 2-drug treatment respectively (P = .021); all resolved within 7 days after treatment. No serious AEs were observed in either group. There was no significant effect of IVM on DEC or ALB drug levels. CONCLUSIONS Triple-drug therapy is safe and more effective than DEC + ALB for Bancroftian filariasis and has the potential to accelerate elimination of lymphatic filariasis. CLINICAL TRIALS REGISTRATION NCT01975441.","author":[{"dropping-particle":"","family":"Thomsen","given":"Edward K","non-dropping-particle":"","parse-names":false,"suffix":""},{"dropping-particle":"","family":"Sanuku","given":"Nelly","non-dropping-particle":"","parse-names":false,"suffix":""},{"dropping-particle":"","family":"Baea","given":"Manasseh","non-dropping-particle":"","parse-names":false,"suffix":""},{"dropping-particle":"","family":"Satofan","given":"Samson","non-dropping-particle":"","parse-names":false,"suffix":""},{"dropping-particle":"","family":"Maki","given":"Elit","non-dropping-particle":"","parse-names":false,"suffix":""},{"dropping-particle":"","family":"Lombore","given":"Bart","non-dropping-particle":"","parse-names":false,"suffix":""},{"dropping-particle":"","family":"Schmidt","given":"Mark S","non-dropping-particle":"","parse-names":false,"suffix":""},{"dropping-particle":"","family":"Siba","given":"Peter M","non-dropping-particle":"","parse-names":false,"suffix":""},{"dropping-particle":"","family":"Weil","given":"Gary J","non-dropping-particle":"","parse-names":false,"suffix":""},{"dropping-particle":"","family":"Kazura","given":"James W","non-dropping-particle":"","parse-names":false,"suffix":""},{"dropping-particle":"","family":"Fleckenstein","given":"Lawrence L","non-dropping-particle":"","parse-names":false,"suffix":""},{"dropping-particle":"","family":"King","given":"Christopher L","non-dropping-particle":"","parse-names":false,"suffix":""}],"container-title":"Clinical Infectious Diseases","id":"ITEM-1","issue":"3","issued":{"date-parts":[["2015","2","1"]]},"page":"1-8","publisher":"Oxford University Press","title":"Efficacy, Safety, and Pharmacokinetics of Co-Administered Diethylcarbamazine, Albendazole, and Ivermectin for the Treatment of Bancroftian Filariasis","type":"article-journal","volume":"62"},"uris":["http://www.mendeley.com/documents/?uuid=5dcb01ec-8680-4e1d-a2ca-5c83eb0c293f"]}],"mendeley":{"formattedCitation":"&lt;sup&gt;5&lt;/sup&gt;","plainTextFormattedCitation":"5","previouslyFormattedCitation":"&lt;sup&gt;5&lt;/sup&gt;"},"properties":{"noteIndex":0},"schema":"https://github.com/citation-style-language/schema/raw/master/csl-citation.json"}</w:instrText>
      </w:r>
      <w:r w:rsidR="00AD4300" w:rsidRPr="00E672BE">
        <w:fldChar w:fldCharType="separate"/>
      </w:r>
      <w:r w:rsidR="009403D5" w:rsidRPr="00E672BE">
        <w:rPr>
          <w:noProof/>
          <w:vertAlign w:val="superscript"/>
        </w:rPr>
        <w:t>5</w:t>
      </w:r>
      <w:r w:rsidR="00AD4300" w:rsidRPr="00E672BE">
        <w:fldChar w:fldCharType="end"/>
      </w:r>
      <w:r w:rsidR="000416E1" w:rsidRPr="00E672BE">
        <w:t>, but there are serious concerns in using these combinations for onchocerciasis and for lymphatic filariasis in are</w:t>
      </w:r>
      <w:r w:rsidR="003D1E0F" w:rsidRPr="00E672BE">
        <w:t>as of s</w:t>
      </w:r>
      <w:r w:rsidR="000416E1" w:rsidRPr="00E672BE">
        <w:t>ub</w:t>
      </w:r>
      <w:r w:rsidR="003D1E0F" w:rsidRPr="00E672BE">
        <w:t>-S</w:t>
      </w:r>
      <w:r w:rsidR="000416E1" w:rsidRPr="00E672BE">
        <w:t xml:space="preserve">aharan Africa co-endemic for </w:t>
      </w:r>
      <w:r w:rsidR="000416E1" w:rsidRPr="00E672BE">
        <w:rPr>
          <w:i/>
        </w:rPr>
        <w:t xml:space="preserve">Loa </w:t>
      </w:r>
      <w:proofErr w:type="spellStart"/>
      <w:r w:rsidR="000416E1" w:rsidRPr="00E672BE">
        <w:rPr>
          <w:i/>
        </w:rPr>
        <w:t>loa</w:t>
      </w:r>
      <w:proofErr w:type="spellEnd"/>
      <w:r w:rsidR="00953C0B" w:rsidRPr="00E672BE">
        <w:t>. Concerns are</w:t>
      </w:r>
      <w:r w:rsidR="000416E1" w:rsidRPr="00E672BE">
        <w:t xml:space="preserve"> due to severe adverse events</w:t>
      </w:r>
      <w:r w:rsidR="00953C0B" w:rsidRPr="00E672BE">
        <w:t xml:space="preserve"> (SAE)</w:t>
      </w:r>
      <w:r w:rsidR="000416E1" w:rsidRPr="00E672BE">
        <w:t xml:space="preserve"> induced by rapid killing of </w:t>
      </w:r>
      <w:r w:rsidR="00967DDB" w:rsidRPr="00E672BE">
        <w:rPr>
          <w:i/>
        </w:rPr>
        <w:t xml:space="preserve">Onchocerca volvulus </w:t>
      </w:r>
      <w:r w:rsidR="000416E1" w:rsidRPr="00E672BE">
        <w:t>microfilariae in ocular</w:t>
      </w:r>
      <w:r w:rsidR="00D429E1" w:rsidRPr="00E672BE">
        <w:t xml:space="preserve"> tissues</w:t>
      </w:r>
      <w:r w:rsidR="00953C0B" w:rsidRPr="00E672BE">
        <w:t xml:space="preserve"> and</w:t>
      </w:r>
      <w:r w:rsidR="000416E1" w:rsidRPr="00E672BE">
        <w:t xml:space="preserve"> </w:t>
      </w:r>
      <w:proofErr w:type="spellStart"/>
      <w:r w:rsidR="000416E1" w:rsidRPr="00E672BE">
        <w:t>Mazzotti</w:t>
      </w:r>
      <w:proofErr w:type="spellEnd"/>
      <w:r w:rsidR="000416E1" w:rsidRPr="00E672BE">
        <w:t xml:space="preserve"> reactions in the skin</w:t>
      </w:r>
      <w:r w:rsidR="00953C0B" w:rsidRPr="00E672BE">
        <w:t xml:space="preserve"> with DEC</w:t>
      </w:r>
      <w:r w:rsidR="002024AF" w:rsidRPr="00E672BE">
        <w:fldChar w:fldCharType="begin" w:fldLock="1"/>
      </w:r>
      <w:r w:rsidR="007C7B71" w:rsidRPr="00E672BE">
        <w:instrText>ADDIN CSL_CITATION {"citationItems":[{"id":"ITEM-1","itemData":{"DOI":"10.1371/journal.pntd.0005163","ISSN":"1935-2735","author":[{"dropping-particle":"","family":"Fischer","given":"Peter U.","non-dropping-particle":"","parse-names":false,"suffix":""},{"dropping-particle":"","family":"King","given":"Christopher L.","non-dropping-particle":"","parse-names":false,"suffix":""},{"dropping-particle":"","family":"Jacobson","given":"Julie A.","non-dropping-particle":"","parse-names":false,"suffix":""},{"dropping-particle":"","family":"Weil","given":"Gary J.","non-dropping-particle":"","parse-names":false,"suffix":""}],"container-title":"PLOS Neglected Tropical Diseases","editor":[{"dropping-particle":"","family":"Geary","given":"Timothy G.","non-dropping-particle":"","parse-names":false,"suffix":""}],"id":"ITEM-1","issue":"1","issued":{"date-parts":[["2017","1","5"]]},"page":"e0005163","publisher":"Public Library of Science","title":"Potential Value of Triple Drug Therapy with Ivermectin, Diethylcarbamazine, and Albendazole (IDA) to Accelerate Elimination of Lymphatic Filariasis and Onchocerciasis in Africa","type":"article-journal","volume":"11"},"uris":["http://www.mendeley.com/documents/?uuid=8d4017ea-0056-3dc1-aed2-ab8edd273fdd"]}],"mendeley":{"formattedCitation":"&lt;sup&gt;6&lt;/sup&gt;","plainTextFormattedCitation":"6","previouslyFormattedCitation":"&lt;sup&gt;6&lt;/sup&gt;"},"properties":{"noteIndex":0},"schema":"https://github.com/citation-style-language/schema/raw/master/csl-citation.json"}</w:instrText>
      </w:r>
      <w:r w:rsidR="002024AF" w:rsidRPr="00E672BE">
        <w:fldChar w:fldCharType="separate"/>
      </w:r>
      <w:r w:rsidR="009403D5" w:rsidRPr="00E672BE">
        <w:rPr>
          <w:noProof/>
          <w:vertAlign w:val="superscript"/>
        </w:rPr>
        <w:t>6</w:t>
      </w:r>
      <w:r w:rsidR="002024AF" w:rsidRPr="00E672BE">
        <w:fldChar w:fldCharType="end"/>
      </w:r>
      <w:r w:rsidR="00D429E1" w:rsidRPr="00E672BE">
        <w:t xml:space="preserve"> and fatal encephalopathy in Loiasis</w:t>
      </w:r>
      <w:r w:rsidR="00953C0B" w:rsidRPr="00E672BE">
        <w:t xml:space="preserve"> following ivermectin</w:t>
      </w:r>
      <w:r w:rsidR="003C02B7" w:rsidRPr="00E672BE">
        <w:t>,</w:t>
      </w:r>
      <w:r w:rsidR="00251E4E" w:rsidRPr="00E672BE">
        <w:t xml:space="preserve"> </w:t>
      </w:r>
      <w:r w:rsidR="00781EC5" w:rsidRPr="00E672BE">
        <w:t xml:space="preserve">prompting </w:t>
      </w:r>
      <w:r w:rsidR="00251E4E" w:rsidRPr="00E672BE">
        <w:t>the need for pre-screening procedures in at risk communities</w:t>
      </w:r>
      <w:r w:rsidR="002024AF" w:rsidRPr="00E672BE">
        <w:fldChar w:fldCharType="begin" w:fldLock="1"/>
      </w:r>
      <w:r w:rsidR="007C7B71" w:rsidRPr="00E672BE">
        <w:instrText>ADDIN CSL_CITATION {"citationItems":[{"id":"ITEM-1","itemData":{"DOI":"10.1056/NEJMoa1705026","ISSN":"0028-4793","PMID":"29116890","abstract":"BackgroundImplementation of an ivermectin-based community treatment strategy for the elimination of onchocerciasis or lymphatic filariasis has been delayed in Central Africa because of the occurrence of serious adverse events, including death, in persons with high levels of circulating Loa loa microfilariae. The LoaScope, a field-friendly diagnostic tool to quantify L. loa microfilariae in peripheral blood, enables rapid, point-of-care identification of persons at risk for serious adverse events. MethodsA test-and-not-treat strategy was used in the approach to ivermectin treatment in the Okola health district in Cameroon, where the distribution of ivermectin was halted in 1999 after the occurrence of fatal events related to L. loa infection. The LoaScope was used to identify persons with an L. loa microfilarial density greater than 20,000 microfilariae per milliliter of blood, who were considered to be at risk for serious adverse events, and exclude them from ivermectin distribution. Active surveillance f...","author":[{"dropping-particle":"","family":"Kamgno","given":"Joseph","non-dropping-particle":"","parse-names":false,"suffix":""},{"dropping-particle":"","family":"Pion","given":"Sébastien D.","non-dropping-particle":"","parse-names":false,"suffix":""},{"dropping-particle":"","family":"Chesnais","given":"Cédric B.","non-dropping-particle":"","parse-names":false,"suffix":""},{"dropping-particle":"","family":"Bakalar","given":"Matthew H.","non-dropping-particle":"","parse-names":false,"suffix":""},{"dropping-particle":"V.","family":"D’Ambrosio","given":"Michael","non-dropping-particle":"","parse-names":false,"suffix":""},{"dropping-particle":"","family":"Mackenzie","given":"Charles D.","non-dropping-particle":"","parse-names":false,"suffix":""},{"dropping-particle":"","family":"Nana-Djeunga","given":"Hugues C.","non-dropping-particle":"","parse-names":false,"suffix":""},{"dropping-particle":"","family":"Gounoue-Kamkumo","given":"Raceline","non-dropping-particle":"","parse-names":false,"suffix":""},{"dropping-particle":"","family":"Njitchouang","given":"Guy-Roger","non-dropping-particle":"","parse-names":false,"suffix":""},{"dropping-particle":"","family":"Nwane","given":"Philippe","non-dropping-particle":"","parse-names":false,"suffix":""},{"dropping-particle":"","family":"Tchatchueng-Mbouga","given":"Jules B.","non-dropping-particle":"","parse-names":false,"suffix":""},{"dropping-particle":"","family":"Wanji","given":"Samuel","non-dropping-particle":"","parse-names":false,"suffix":""},{"dropping-particle":"","family":"Stolk","given":"Wilma A.","non-dropping-particle":"","parse-names":false,"suffix":""},{"dropping-particle":"","family":"Fletcher","given":"Daniel A.","non-dropping-particle":"","parse-names":false,"suffix":""},{"dropping-particle":"","family":"Klion","given":"Amy D.","non-dropping-particle":"","parse-names":false,"suffix":""},{"dropping-particle":"","family":"Nutman","given":"Thomas B.","non-dropping-particle":"","parse-names":false,"suffix":""},{"dropping-particle":"","family":"Boussinesq","given":"Michel","non-dropping-particle":"","parse-names":false,"suffix":""}],"container-title":"New England Journal of Medicine","id":"ITEM-1","issued":{"date-parts":[["2017"]]},"page":"NEJMoa1705026","title":"A Test-and-Not-Treat Strategy for Onchocerciasis in &lt;i&gt;Loa loa&lt;/i&gt; –Endemic Areas","type":"article-journal"},"uris":["http://www.mendeley.com/documents/?uuid=a14cff0c-cb16-47c5-ab4a-941bf5e27415"]}],"mendeley":{"formattedCitation":"&lt;sup&gt;7&lt;/sup&gt;","plainTextFormattedCitation":"7","previouslyFormattedCitation":"&lt;sup&gt;7&lt;/sup&gt;"},"properties":{"noteIndex":0},"schema":"https://github.com/citation-style-language/schema/raw/master/csl-citation.json"}</w:instrText>
      </w:r>
      <w:r w:rsidR="002024AF" w:rsidRPr="00E672BE">
        <w:fldChar w:fldCharType="separate"/>
      </w:r>
      <w:r w:rsidR="009403D5" w:rsidRPr="00E672BE">
        <w:rPr>
          <w:noProof/>
          <w:vertAlign w:val="superscript"/>
        </w:rPr>
        <w:t>7</w:t>
      </w:r>
      <w:r w:rsidR="002024AF" w:rsidRPr="00E672BE">
        <w:fldChar w:fldCharType="end"/>
      </w:r>
      <w:r w:rsidR="000416E1" w:rsidRPr="00E672BE">
        <w:t xml:space="preserve">. </w:t>
      </w:r>
      <w:r w:rsidR="00D429E1" w:rsidRPr="00E672BE">
        <w:t xml:space="preserve">Fear of </w:t>
      </w:r>
      <w:r w:rsidR="000416E1" w:rsidRPr="00E672BE">
        <w:t xml:space="preserve">SAE </w:t>
      </w:r>
      <w:r w:rsidR="00D429E1" w:rsidRPr="00E672BE">
        <w:t xml:space="preserve">in these communities </w:t>
      </w:r>
      <w:r w:rsidR="000416E1" w:rsidRPr="00E672BE">
        <w:t>are</w:t>
      </w:r>
      <w:r w:rsidR="00D429E1" w:rsidRPr="00E672BE">
        <w:t xml:space="preserve"> thought to contribute to poor-adherence to MDA in </w:t>
      </w:r>
      <w:r w:rsidR="00470F2C" w:rsidRPr="00E672BE">
        <w:t xml:space="preserve">regions </w:t>
      </w:r>
      <w:r w:rsidR="00D429E1" w:rsidRPr="00E672BE">
        <w:t xml:space="preserve">with </w:t>
      </w:r>
      <w:r w:rsidR="00470F2C" w:rsidRPr="00E672BE">
        <w:t xml:space="preserve">prior </w:t>
      </w:r>
      <w:r w:rsidR="00D429E1" w:rsidRPr="00E672BE">
        <w:t>experience of SAE</w:t>
      </w:r>
      <w:r w:rsidR="007279D3" w:rsidRPr="00E672BE">
        <w:fldChar w:fldCharType="begin" w:fldLock="1"/>
      </w:r>
      <w:r w:rsidR="007C7B71" w:rsidRPr="00E672BE">
        <w:instrText>ADDIN CSL_CITATION {"citationItems":[{"id":"ITEM-1","itemData":{"DOI":"10.1186/s13071-015-1283-6","ISSN":"17563305","PMID":"26715524","abstract":"BACKGROUND: Onchocerciasis control for years has been based on mass drug administration (MDA) with ivermectin (IVM). Adherence to IVM repeated treatment has recently been shown to be a confounding factor for onchocerciasis elimination precisely in rain forest areas where transmission continues and Loa loa co-exists with Onchocerca volvulus. In this study, participants' oral declarations were used as proxy to determine the relationship between adherence to IVM treatment and parasitological indicators of onchocerciasis in the rain forest area of Cameroon with more than a decade of MDA. METHODS: Participants were recruited based on their IVM intake profile with the aid of a semi-structured questionnaire. Parasitological examinations (skin sniping and nodule palpation) were done on eligible candidates. Parasitological indicators were calculated and correlated to IVM intake profile. RESULTS: Of 2,364 people examined, 15.5% had never taken IVM. The majority (40.4%) had taken the drug 1-3 times while only 18% had taken &gt;/= 7 times. Mf and nodule prevalence rates were still high at 47%, 95% CI [44.9-49.0%] and 36.4%, 95% CI [34.4-38.3%] respectively. There was a treatment-dependent reduction in microfilaria prevalence (rs =-0.986, P = 0.01) and intensity (rs =-0.96, P = 0.01). The highest mf prevalence (59.7%) was found in the zero treatment group and the lowest (33.9%) in the &gt;/= 7 times treatment group (OR = 2.8; 95% CI [2.09-3.74]; P &lt; 0.001). Adults with &gt;/= 7 times IVM intake were 2.99 times more likely to have individuals with no microfilaria compared to the zero treatment group (OR = 2.99; 95% CI [2.19-4.08], P &lt; 0.0001). There was no clear correlation between treatment and nodule prevalence and intensity. CONCLUSION: Adherence to ivermectin treatment is not adequate in this rain forest area where L. loa co-exists with O. volvulus. The prevalence and intensity of onchocerciasis remained high in individuals with zero IVM intake after more than a decade of MDA. Our findings show that using parasitological indicators, reduction in prevalence is IVM intake-dependent and that participants' oral declaration of treatment adherence could be relied upon for impact studies. The findings are discussed in the context of challenges for the elimination of onchocerciasis in this rain forest area.","author":[{"dropping-particle":"","family":"Wanji","given":"Samuel","non-dropping-particle":"","parse-names":false,"suffix":""},{"dropping-particle":"","family":"Kengne-Ouafo","given":"Jonas A.","non-dropping-particle":"","parse-names":false,"suffix":""},{"dropping-particle":"","family":"Esum","given":"Mathias E.","non-dropping-particle":"","parse-names":false,"suffix":""},{"dropping-particle":"","family":"Chounna","given":"Patrick W.N.","non-dropping-particle":"","parse-names":false,"suffix":""},{"dropping-particle":"","family":"Adzemye","given":"Bridget F.","non-dropping-particle":"","parse-names":false,"suffix":""},{"dropping-particle":"","family":"Eyong","given":"Joan E.E.","non-dropping-particle":"","parse-names":false,"suffix":""},{"dropping-particle":"","family":"Jato","given":"Isaac","non-dropping-particle":"","parse-names":false,"suffix":""},{"dropping-particle":"","family":"Datchoua-Poutcheu","given":"Fabrice R.","non-dropping-particle":"","parse-names":false,"suffix":""},{"dropping-particle":"","family":"Abong","given":"Raphael A.","non-dropping-particle":"","parse-names":false,"suffix":""},{"dropping-particle":"","family":"Enyong","given":"Peter","non-dropping-particle":"","parse-names":false,"suffix":""},{"dropping-particle":"","family":"Taylor","given":"David W.","non-dropping-particle":"","parse-names":false,"suffix":""}],"container-title":"Parasites and Vectors","id":"ITEM-1","issue":"1","issued":{"date-parts":[["2015"]]},"page":"1-16","publisher":"Parasites &amp; Vectors","title":"Relationship between oral declaration on adherence to ivermectin treatment and parasitological indicators of onchocerciasis in an area of persistent transmission despite a decade of mass drug administration in Cameroon","type":"article-journal","volume":"8"},"uris":["http://www.mendeley.com/documents/?uuid=ef6a1322-a051-4d19-877c-33ef7ca6eaba"]},{"id":"ITEM-2","itemData":{"DOI":"10.1371/journal.pntd.0004905","ISBN":"1935-2727","ISSN":"19352735","PMID":"27529622","abstract":"Community Directed Treatment with ivermectin is the cornerstone of current efforts to eliminate onchocerciasis. However recent studies suggest there are foci where long-term annual distribution of the drug alone has failed to ensure elimination thresholds are reached. It is important to achieve high levels of compliance in order to obtain elimination targets. An epidemiological and entomological evaluation conducted in the western region of Cameroon in 2011 revealed that two health districts remained with a high prevalence of infection, despite long-term distribution of ivermectin since 1996. This paper explores potential factors that may have contributed to the non-interruption of transmission, focusing on ivermectin treatment compliance and the importance of systematic non-compliance within the population. Methodology/Principal findings A mixed methods approach was used, including a population-based survey to assess treatment compliance and factors associated and qualitative assessments including focus group discussions and in-depth interviews with key programme stakeholders and drug distributors. Compliance was reported at 71.2% (95%CI: 61.7–79.2%;n = 853/1198). The key factors related to compliance in the most recent round related to either programmatic and delivery issues, primarily absenteeism at the time of the campaign or alternatively individual determinants. An individual’s experience of side effects in the past was strongly associated with non-compliance to ivermectin. Other factors included ethnicity, how long lived in the village and age. There was a high percentage of reported systematic non-compliance at 7.4% (95% CI: 4.3–12.3%; n = 86/1165), higher amongst females. This group may be important in facilitating the sustainment of on-going transmission. Conclusions/Significance Efforts to reduce the number of systematic non-compliers and non-compliance in certain groups may be important in ensuring the interruption of transmission in the study area. However, in areas with high pre-control force of transmission, as in these districts, annual distribution with ivermectin, even if sustaining high levels of compliance, may still be inadequate to achieve elimination. Further studies are required to better understand the transmission dynamics and focus of on-going transmission in the study districts.","author":[{"dropping-particle":"","family":"Senyonjo","given":"Laura","non-dropping-particle":"","parse-names":false,"suffix":""},{"dropping-particle":"","family":"Oye","given":"Joseph","non-dropping-particle":"","parse-names":false,"suffix":""},{"dropping-particle":"","family":"Bakajika","given":"Didier","non-dropping-particle":"","parse-names":false,"suffix":""},{"dropping-particle":"","family":"Biholong","given":"Benjamin","non-dropping-particle":"","parse-names":false,"suffix":""},{"dropping-particle":"","family":"Tekle","given":"Afework","non-dropping-particle":"","parse-names":false,"suffix":""},{"dropping-particle":"","family":"Boakye","given":"Daniel","non-dropping-particle":"","parse-names":false,"suffix":""},{"dropping-particle":"","family":"Schmidt","given":"Elena","non-dropping-particle":"","parse-names":false,"suffix":""},{"dropping-particle":"","family":"Elhassan","given":"Elizabeth","non-dropping-particle":"","parse-names":false,"suffix":""}],"container-title":"PLoS Neglected Tropical Diseases","id":"ITEM-2","issue":"8","issued":{"date-parts":[["2016"]]},"page":"1-16","title":"Factors Associated with Ivermectin Non-Compliance and Its Potential Role in Sustaining Onchocerca volvulus Transmission in the West Region of Cameroon","type":"article-journal","volume":"10"},"uris":["http://www.mendeley.com/documents/?uuid=a5988c23-6bb7-4736-aad1-e9eecf87b31a"]}],"mendeley":{"formattedCitation":"&lt;sup&gt;8,9&lt;/sup&gt;","plainTextFormattedCitation":"8,9","previouslyFormattedCitation":"&lt;sup&gt;8,9&lt;/sup&gt;"},"properties":{"noteIndex":0},"schema":"https://github.com/citation-style-language/schema/raw/master/csl-citation.json"}</w:instrText>
      </w:r>
      <w:r w:rsidR="007279D3" w:rsidRPr="00E672BE">
        <w:fldChar w:fldCharType="separate"/>
      </w:r>
      <w:r w:rsidR="009403D5" w:rsidRPr="00E672BE">
        <w:rPr>
          <w:noProof/>
          <w:vertAlign w:val="superscript"/>
        </w:rPr>
        <w:t>8,9</w:t>
      </w:r>
      <w:r w:rsidR="007279D3" w:rsidRPr="00E672BE">
        <w:fldChar w:fldCharType="end"/>
      </w:r>
      <w:r w:rsidR="00D429E1" w:rsidRPr="00E672BE">
        <w:t xml:space="preserve">. </w:t>
      </w:r>
    </w:p>
    <w:p w:rsidR="008055E1" w:rsidRPr="00E672BE" w:rsidRDefault="00D429E1" w:rsidP="00953C0B">
      <w:pPr>
        <w:ind w:firstLine="720"/>
      </w:pPr>
      <w:r w:rsidRPr="00E672BE">
        <w:t>An alternative treatment strategy, which avoi</w:t>
      </w:r>
      <w:r w:rsidR="003C02B7" w:rsidRPr="00E672BE">
        <w:t>ds the risk of adverse events related to</w:t>
      </w:r>
      <w:r w:rsidRPr="00E672BE">
        <w:t xml:space="preserve"> direct acting </w:t>
      </w:r>
      <w:r w:rsidR="00BA0594" w:rsidRPr="00E672BE">
        <w:t>anti-filarial drugs</w:t>
      </w:r>
      <w:r w:rsidR="003C02B7" w:rsidRPr="00E672BE">
        <w:t>,</w:t>
      </w:r>
      <w:r w:rsidR="00BA0594" w:rsidRPr="00E672BE">
        <w:t xml:space="preserve"> </w:t>
      </w:r>
      <w:r w:rsidR="003C02B7" w:rsidRPr="00E672BE">
        <w:t xml:space="preserve">is to </w:t>
      </w:r>
      <w:r w:rsidR="00BA0594" w:rsidRPr="00E672BE">
        <w:t xml:space="preserve">target the </w:t>
      </w:r>
      <w:r w:rsidR="00CB5408" w:rsidRPr="00E672BE">
        <w:rPr>
          <w:i/>
        </w:rPr>
        <w:t>Wolbachia</w:t>
      </w:r>
      <w:r w:rsidR="00BA0594" w:rsidRPr="00E672BE">
        <w:t xml:space="preserve"> </w:t>
      </w:r>
      <w:r w:rsidR="009403D5" w:rsidRPr="00E672BE">
        <w:t xml:space="preserve">bacterial </w:t>
      </w:r>
      <w:r w:rsidR="00BA0594" w:rsidRPr="00E672BE">
        <w:t>endosymbiont of</w:t>
      </w:r>
      <w:r w:rsidR="00131925" w:rsidRPr="00E672BE">
        <w:t xml:space="preserve"> the nematodes which cause onchocerciasis</w:t>
      </w:r>
      <w:r w:rsidR="00BA0594" w:rsidRPr="00E672BE">
        <w:t xml:space="preserve"> and </w:t>
      </w:r>
      <w:r w:rsidR="00BC1693" w:rsidRPr="00E672BE">
        <w:t>lymphatic filariasis</w:t>
      </w:r>
      <w:r w:rsidR="00BE40E1" w:rsidRPr="00E672BE">
        <w:t xml:space="preserve"> as it is vital for the nematodes</w:t>
      </w:r>
      <w:r w:rsidR="003201DC" w:rsidRPr="00E672BE">
        <w:t>’</w:t>
      </w:r>
      <w:r w:rsidR="00BE40E1" w:rsidRPr="00E672BE">
        <w:t xml:space="preserve"> survival and fecundity</w:t>
      </w:r>
      <w:r w:rsidR="007279D3" w:rsidRPr="00E672BE">
        <w:fldChar w:fldCharType="begin" w:fldLock="1"/>
      </w:r>
      <w:r w:rsidR="009403D5" w:rsidRPr="00E672BE">
        <w:instrText>ADDIN CSL_CITATION {"citationItems":[{"id":"ITEM-1","itemData":{"DOI":"10.1017/S0031182013001108","ISBN":"0031-1820","ISSN":"1469-8161","PMID":"23866958","abstract":"Anti-Wolbachia therapy delivers safe macrofilaricidal activity with superior therapeutic outcomes compared to all standard anti-filarial treatments, with the added benefit of substantial improvements in clinical pathology. These outcomes can be achieved, in principle, with existing registered drugs, e.g. doxycycline, that are affordable, available to endemic communities and have well known, albeit population-limiting, safety profiles. The key barriers to using doxycycline as an mass drug administration (MDA) strategy for widespread community-based control are the logistics of a relatively lengthy course of treatment (4-6 weeks) and contraindications in children under eight years and pregnancy. Therefore, the primary goal of the anti-Wolbachia (A·WOL) consortium is to find drugs and regimens that reduce the period of treatment from weeks to days (7 days or less), and to find drugs which would be safe in excluded target populations (pregnancy and children). A secondary goal is to refine regimens of existing antibiotics suitable for a more restricted use, prior to the availability of a regimen that is compatible with MDA usage. For example, for use in the event of the emergence of drug-resistance, in individuals with high loiasis co-infection and at risk of severe adverse events (SAE) to ivermectin, or in post-MDA 'endgame scenarios', where test and treat strategies become more cost effective and deliverable.","author":[{"dropping-particle":"","family":"Taylor","given":"Mark J.","non-dropping-particle":"","parse-names":false,"suffix":""},{"dropping-particle":"","family":"Hoerauf","given":"Achim","non-dropping-particle":"","parse-names":false,"suffix":""},{"dropping-particle":"","family":"Townson","given":"Simon","non-dropping-particle":"","parse-names":false,"suffix":""},{"dropping-particle":"","family":"Slatko","given":"Barton E.","non-dropping-particle":"","parse-names":false,"suffix":""},{"dropping-particle":"","family":"Ward","given":"Stephen A.","non-dropping-particle":"","parse-names":false,"suffix":""}],"container-title":"Parasitology","id":"ITEM-1","issue":"01","issued":{"date-parts":[["2014","1","18"]]},"page":"119-27","publisher":"Cambridge University Press","title":"Anti-Wolbachia drug discovery and development: safe macrofilaricides for onchocerciasis and lymphatic filariasis.","type":"article-journal","volume":"141"},"uris":["http://www.mendeley.com/documents/?uuid=c29139e7-407c-4277-8de8-d285d584f40f"]}],"mendeley":{"formattedCitation":"&lt;sup&gt;1&lt;/sup&gt;","plainTextFormattedCitation":"1","previouslyFormattedCitation":"&lt;sup&gt;1&lt;/sup&gt;"},"properties":{"noteIndex":0},"schema":"https://github.com/citation-style-language/schema/raw/master/csl-citation.json"}</w:instrText>
      </w:r>
      <w:r w:rsidR="007279D3" w:rsidRPr="00E672BE">
        <w:fldChar w:fldCharType="separate"/>
      </w:r>
      <w:r w:rsidR="009403D5" w:rsidRPr="00E672BE">
        <w:rPr>
          <w:noProof/>
          <w:vertAlign w:val="superscript"/>
        </w:rPr>
        <w:t>1</w:t>
      </w:r>
      <w:r w:rsidR="007279D3" w:rsidRPr="00E672BE">
        <w:fldChar w:fldCharType="end"/>
      </w:r>
      <w:r w:rsidR="00BA0594" w:rsidRPr="00E672BE">
        <w:rPr>
          <w:rFonts w:cs="Times New Roman"/>
          <w:szCs w:val="24"/>
        </w:rPr>
        <w:t xml:space="preserve">. Proof-of-concept field trials with </w:t>
      </w:r>
      <w:r w:rsidR="006269FE" w:rsidRPr="00E672BE">
        <w:rPr>
          <w:rFonts w:cs="Times New Roman"/>
          <w:szCs w:val="24"/>
        </w:rPr>
        <w:t xml:space="preserve">the antibiotic </w:t>
      </w:r>
      <w:r w:rsidR="00BA0594" w:rsidRPr="00E672BE">
        <w:rPr>
          <w:rFonts w:cs="Times New Roman"/>
          <w:szCs w:val="24"/>
        </w:rPr>
        <w:t>doxycycline for 4-6 weeks, prove</w:t>
      </w:r>
      <w:r w:rsidR="00BE40E1" w:rsidRPr="00E672BE">
        <w:rPr>
          <w:rFonts w:cs="Times New Roman"/>
          <w:szCs w:val="24"/>
        </w:rPr>
        <w:t>s</w:t>
      </w:r>
      <w:r w:rsidR="00BA0594" w:rsidRPr="00E672BE">
        <w:rPr>
          <w:rFonts w:cs="Times New Roman"/>
          <w:szCs w:val="24"/>
        </w:rPr>
        <w:t xml:space="preserve"> the value of this endosymbiont as a </w:t>
      </w:r>
      <w:r w:rsidR="00781EC5" w:rsidRPr="00E672BE">
        <w:rPr>
          <w:rFonts w:cs="Times New Roman"/>
          <w:szCs w:val="24"/>
        </w:rPr>
        <w:t>therapeutic</w:t>
      </w:r>
      <w:r w:rsidR="00BA0594" w:rsidRPr="00E672BE">
        <w:rPr>
          <w:rFonts w:cs="Times New Roman"/>
          <w:szCs w:val="24"/>
        </w:rPr>
        <w:t xml:space="preserve"> target</w:t>
      </w:r>
      <w:r w:rsidR="00B4284E" w:rsidRPr="00E672BE">
        <w:rPr>
          <w:rFonts w:cs="Times New Roman"/>
          <w:szCs w:val="24"/>
        </w:rPr>
        <w:fldChar w:fldCharType="begin" w:fldLock="1"/>
      </w:r>
      <w:r w:rsidR="00957134" w:rsidRPr="00E672BE">
        <w:rPr>
          <w:rFonts w:cs="Times New Roman"/>
          <w:szCs w:val="24"/>
        </w:rPr>
        <w:instrText>ADDIN CSL_CITATION {"citationItems":[{"id":"ITEM-1","itemData":{"DOI":"10.1007/s00430-007-0062-1","ISBN":"0300-8584","ISSN":"03008584","PMID":"17999080","abstract":"In a randomized, placebo-controlled trial in Ghana, 67 onchocerciasis patients received 200-mg/day doxycycline for 4-6 weeks, followed by ivermectin (IVM) after 6 months. After 6-27 months, efficacy was evaluated by onchocercoma histology, PCR and microfilariae determination. Administration of doxycycline resulted in endobacteria depletion and female worm sterilization. The 6-week treatment was macrofilaricidal, with &gt;60% of the female worms found dead, despite the presence of new, Wolbachia-containing worms acquired after the administration of doxycycline. Doxycycline may be developed as second-line drug for onchocerciasis, to be administered in areas without transmission, in foci with IVM resistance and in areas with Loa co-infections.","author":[{"dropping-particle":"","family":"Hoerauf","given":"Achim","non-dropping-particle":"","parse-names":false,"suffix":""},{"dropping-particle":"","family":"Specht","given":"Sabine","non-dropping-particle":"","parse-names":false,"suffix":""},{"dropping-particle":"","family":"Büttner","given":"Marcelle","non-dropping-particle":"","parse-names":false,"suffix":""},{"dropping-particle":"","family":"Pfarr","given":"Kenneth","non-dropping-particle":"","parse-names":false,"suffix":""},{"dropping-particle":"","family":"Mand","given":"Sabine","non-dropping-particle":"","parse-names":false,"suffix":""},{"dropping-particle":"","family":"Fimmers","given":"Rolf","non-dropping-particle":"","parse-names":false,"suffix":""},{"dropping-particle":"","family":"Marfo-Debrekyei","given":"Yeboah","non-dropping-particle":"","parse-names":false,"suffix":""},{"dropping-particle":"","family":"Konadu","given":"Peter","non-dropping-particle":"","parse-names":false,"suffix":""},{"dropping-particle":"","family":"Debrah","given":"Alexander Yaw","non-dropping-particle":"","parse-names":false,"suffix":""},{"dropping-particle":"","family":"Bandi","given":"Claudio","non-dropping-particle":"","parse-names":false,"suffix":""},{"dropping-particle":"","family":"Brattig","given":"Norbert","non-dropping-particle":"","parse-names":false,"suffix":""},{"dropping-particle":"","family":"Albers","given":"Anna","non-dropping-particle":"","parse-names":false,"suffix":""},{"dropping-particle":"","family":"Larbi","given":"John","non-dropping-particle":"","parse-names":false,"suffix":""},{"dropping-particle":"","family":"Batsa","given":"Linda","non-dropping-particle":"","parse-names":false,"suffix":""},{"dropping-particle":"","family":"Taylor","given":"Mark J.","non-dropping-particle":"","parse-names":false,"suffix":""},{"dropping-particle":"","family":"Adjei","given":"Ohene","non-dropping-particle":"","parse-names":false,"suffix":""},{"dropping-particle":"","family":"Büttner","given":"Dietrich W.","non-dropping-particle":"","parse-names":false,"suffix":""}],"container-title":"Medical Microbiology and Immunology","id":"ITEM-1","issue":"3","issued":{"date-parts":[["2008","9","13"]]},"page":"295-311","publisher":"Springer-Verlag","title":"Wolbachia endobacteria depletion by doxycycline as antifilarial therapy has macrofilaricidal activity in onchocerciasis: A randomized placebo-controlled study","type":"article-journal","volume":"197"},"uris":["http://www.mendeley.com/documents/?uuid=3a6aa6b6-6fcf-43d0-b2d4-b15b2f1949dd"]},{"id":"ITEM-2","itemData":{"DOI":"10.1371/journal.pntd.0000660","ISBN":"1935-2727","ISSN":"1935-2735","PMID":"20405054","abstract":"BACKGROUND: The risk of severe adverse events following treatment of onchocerciasis with ivermectin in areas co-endemic with loiasis currently compromises the development of control programmes and the treatment of co-infected individuals. We therefore assessed whether doxycycline treatment could be used without subsequent ivermectin administration to effectively deliver sustained effects on Onchocerca volvulus microfilaridermia and adult viability. Furthermore we assessed the safety of doxycycline treatment prior to ivermectin administration in a subset of onchocerciasis individuals co-infected with low to moderate intensities of Loa loa microfilaraemia.\\n\\nMETHODS: A double-blind, randomized, field trial was conducted of 6 weeks of doxycycline (200 mg/day) alone, doxycycline in combination with ivermectin (150 microg/kg) at +4 months or placebo matching doxycycline + ivermectin at +4 months in 150 individuals infected with Onchocerca volvulus. A further 22 individuals infected with O. volvulus and low to moderate intensities of Loa loa infection were administered with a course of 6 weeks doxycycline with ivermectin at +4 months. Treatment efficacy was determined at 4, 12 and 21 months after the start of doxycycline treatment together with the frequency and severity of adverse events.\\n\\nRESULTS: One hundred and four (60.5%) participants completed all treatment allocations and follow up assessments over the 21-month trial period. At 12 months, doxycycline/ivermectin treated individuals had lower levels of microfilaridermia and higher frequency of amicrofilaridermia compared with ivermectin or doxycycline only groups. At 21 months, microfilaridermia in doxycycline/ivermectin and doxycycline only groups was significantly reduced compared to the ivermectin only group. 89% of the doxycycline/ivermectin group and 67% of the doxycycline only group were amicrofilaridermic, compared with 21% in the ivermectin only group. O. volvulus from doxycycline groups were depleted of Wolbachia and all embryonic stages in utero. Notably, the viability of female adult worms was significantly reduced in doxycycline treated groups and the macrofilaricidal and sterilising activity was unaffected by the addition of ivermectin. Treatment with doxycycline was well tolerated and the incidence of adverse event to doxycycline or ivermectin did not significantly deviate between treatment groups.\\n\\nCONCLUSIONS: A six-week course of doxycycline delivers macrofilaricidal and sterilizin…","author":[{"dropping-particle":"","family":"Turner","given":"Joseph D.","non-dropping-particle":"","parse-names":false,"suffix":""},{"dropping-particle":"","family":"Tendongfor","given":"Nicholas","non-dropping-particle":"","parse-names":false,"suffix":""},{"dropping-particle":"","family":"Esum","given":"Mathias","non-dropping-particle":"","parse-names":false,"suffix":""},{"dropping-particle":"","family":"Johnston","given":"Kelly L.","non-dropping-particle":"","parse-names":false,"suffix":""},{"dropping-particle":"","family":"Stuart Langley","given":"R.","non-dropping-particle":"","parse-names":false,"suffix":""},{"dropping-particle":"","family":"Ford","given":"Louise","non-dropping-particle":"","parse-names":false,"suffix":""},{"dropping-particle":"","family":"Faragher","given":"Brian","non-dropping-particle":"","parse-names":false,"suffix":""},{"dropping-particle":"","family":"Specht","given":"Sabine","non-dropping-particle":"","parse-names":false,"suffix":""},{"dropping-particle":"","family":"Mand","given":"Sabine","non-dropping-particle":"","parse-names":false,"suffix":""},{"dropping-particle":"","family":"Hoerauf","given":"Achim","non-dropping-particle":"","parse-names":false,"suffix":""},{"dropping-particle":"","family":"Enyong","given":"Peter","non-dropping-particle":"","parse-names":false,"suffix":""},{"dropping-particle":"","family":"Wanji","given":"Samuel","non-dropping-particle":"","parse-names":false,"suffix":""},{"dropping-particle":"","family":"Taylor","given":"Mark J.","non-dropping-particle":"","parse-names":false,"suffix":""}],"container-title":"PLoS Neglected Tropical Diseases","id":"ITEM-2","issue":"4","issued":{"date-parts":[["2010"]]},"title":"Macrofilaricidal activity after doxycycline only treatment of Onchocerca volvulus in an area of Loa loa co-endemicity: A randomized controlled trial","type":"article-journal","volume":"4"},"uris":["http://www.mendeley.com/documents/?uuid=a871f657-8f8f-4bf7-bb49-f0dc0fd6704e"]},{"id":"ITEM-3","itemData":{"DOI":"10.1016/S0140-6736(05)66591-9","ISBN":"1474-547X (Electronic)","ISSN":"01406736","PMID":"15964448","abstract":"BACKGROUND\\nWolbachia endosymbionts of filarial nematodes are vital for larval development and adult-worm fertility and viability. This essential dependency on the bacterium for survival of the parasites has provided a new approach to treat filariasis with antibiotics. We used this strategy to investigate the effects of doxycycline treatment on the major cause of lymphatic filariasis, Wuchereria bancrofti. \\n\\nMETHODS\\nWe undertook a double-blind, randomised, placebo-controlled field trial of doxycycline (200 mg per day) for 8 weeks in 72 individuals infected with W bancrofti from Kimang'a village, Pangani, Tanzania. Participants were randomly assigned by block randomisation to receive capsules of doxycycline (n=34) or placebo (n=38). We assessed treatment efficacy by monitoring microfilaraemia, antigenaemia, and ultrasound detection of adult worms. Follow-up assessments were done at 5, 8, 11, and 14 months after the start of treatment. Analysis was per protocol. \\n\\nFINDINGS\\nOne person from the doxycycline group died from HIV infection. Five (doxycycline) and 11 (placebo) individuals were absent at the time of ultrasound analysis. Doxycycline treatment almost completely eliminated microfilaraemia at 8–14 months' follow-up (for all timepoints p&lt;0·001). Ultrasonography detected adult worms in only six (22%) of 27 individuals treated with doxycycline compared with 24 (88%) of 27 with placebo at 14 months after the start of treatment (p&lt;0·0001). At the same timepoint, filarial antigenaemia in the doxycycline group fell to about half of that before treatment (p=0·015). Adverse events were few and mild. \\n\\nINTERPRETATION\\nAn 8-week course of doxycycline is a safe and well-tolerated treatment for lymphatic filariasis with significant activity against adult worms and microfilaraemia.","author":[{"dropping-particle":"","family":"Taylor","given":"Mark J","non-dropping-particle":"","parse-names":false,"suffix":""},{"dropping-particle":"","family":"Makunde","given":"Williams H","non-dropping-particle":"","parse-names":false,"suffix":""},{"dropping-particle":"","family":"McGarry","given":"Helen F","non-dropping-particle":"","parse-names":false,"suffix":""},{"dropping-particle":"","family":"Turner","given":"Joseph D","non-dropping-particle":"","parse-names":false,"suffix":""},{"dropping-particle":"","family":"Mand","given":"Sabine","non-dropping-particle":"","parse-names":false,"suffix":""},{"dropping-particle":"","family":"Hoerauf","given":"Achim","non-dropping-particle":"","parse-names":false,"suffix":""}],"container-title":"The Lancet","id":"ITEM-3","issue":"9477","issued":{"date-parts":[["2005"]]},"page":"2116-2121","title":"Macrofilaricidal activity after doxycycline treatment of Wuchereria bancrofti: a double-blind, randomised placebo-controlled trial","type":"article-journal","volume":"365"},"uris":["http://www.mendeley.com/documents/?uuid=35458fd0-d7d0-3de2-9bb7-a58537bf9ce6"]},{"id":"ITEM-4","itemData":{"DOI":"10.1093/cid/ciu1152","ISBN":"1537-6591 (Electronic)\\r1058-4838 (Linking)","ISSN":"15376591","PMID":"25537873","abstract":"BACKGROUND:  Onchocerca volvulus and lymphatic filariae, causing river blindness and elephantiasis, depend on endosymbiotic Wolbachia bacteria for growth, development, fertility, and survival. Clinical trials have shown that doxycycline treatment eliminates Wolbachia, causing long-term sterilization of adult female filariae and effecting potent macrofilaricidal activity. The continual reinfection by drug-naive worms that occurs in these trial settings dilutes observable anti-Wolbachia and antifilarial effects, making it difficult to estimate therapeutic efficacy and compare different doxycycline regimens, evaluated at different times after treatment.\\n\\nMETHODS:  A meta-analytical modeling framework is developed to link all usable data collected from clinical trials measuring the Wolbachia status and viability of individual female adult worms collected at various times after treatment with 4, 5, or 6 weeks of daily 100 or 200 mg oral doxycycline. The framework is used to estimate efficacy parameters that are not directly measurable as trial outcomes.\\n\\nRESULTS:  The estimated efficacy of doxycycline (the maximum proportional reduction in the percentage of adult female O. volvulus positive for Wolbachia) is 91%-94% on average, irrespective of the treatment regimen. Efficacy is &gt;95% in the majority of trial participants. The life span of Wolbachia-depleted worms is reduced by 70%-80%, from approximately 10 years to 2-3 years.\\n\\nCONCLUSIONS:  The efficacy parameters are pertinent to the prospects of using doxycycline on a \"test and treat\" basis for onchocerciasis control and confirm doxycycline as a potent macrofilaricidal therapy. The modeling approach is more generally relevant to the design and evaluation of clinical trials for antifilarial drugs conducted in endemic settings.","author":[{"dropping-particle":"","family":"Walker","given":"Martin","non-dropping-particle":"","parse-names":false,"suffix":""},{"dropping-particle":"","family":"Specht","given":"Sabine","non-dropping-particle":"","parse-names":false,"suffix":""},{"dropping-particle":"","family":"Churcher","given":"Thomas S.","non-dropping-particle":"","parse-names":false,"suffix":""},{"dropping-particle":"","family":"Hoerauf","given":"Achim","non-dropping-particle":"","parse-names":false,"suffix":""},{"dropping-particle":"","family":"Taylor","given":"Mark J.","non-dropping-particle":"","parse-names":false,"suffix":""},{"dropping-particle":"","family":"Basáñez","given":"María Gloria","non-dropping-particle":"","parse-names":false,"suffix":""}],"container-title":"Clinical Infectious Diseases","id":"ITEM-4","issue":"8","issued":{"date-parts":[["2015"]]},"page":"1199-1207","title":"Therapeutic efficacy and macrofilaricidal activity of doxycycline for the treatment of river blindness","type":"article-journal","volume":"60"},"uris":["http://www.mendeley.com/documents/?uuid=eb791f3d-75fb-4b4f-869c-a35f00405d0b"]},{"id":"ITEM-5","itemData":{"DOI":"10.1111/j.1365-3156.2007.01949.x","ISSN":"13602276","author":[{"dropping-particle":"","family":"Debrah","given":"Alexander Yaw","non-dropping-particle":"","parse-names":false,"suffix":""},{"dropping-particle":"","family":"Mand","given":"Sabine","non-dropping-particle":"","parse-names":false,"suffix":""},{"dropping-particle":"","family":"Marfo-Debrekyei","given":"Yeboah","non-dropping-particle":"","parse-names":false,"suffix":""},{"dropping-particle":"","family":"Batsa","given":"Linda","non-dropping-particle":"","parse-names":false,"suffix":""},{"dropping-particle":"","family":"Pfarr","given":"Kenneth","non-dropping-particle":"","parse-names":false,"suffix":""},{"dropping-particle":"","family":"Buttner","given":"Marcelle","non-dropping-particle":"","parse-names":false,"suffix":""},{"dropping-particle":"","family":"Adjei","given":"Ohene","non-dropping-particle":"","parse-names":false,"suffix":""},{"dropping-particle":"","family":"Buttner","given":"Dietrich","non-dropping-particle":"","parse-names":false,"suffix":""},{"dropping-particle":"","family":"Hoerauf","given":"Achim","non-dropping-particle":"","parse-names":false,"suffix":""}],"container-title":"Tropical Medicine &amp; International Health","id":"ITEM-5","issue":"12","issued":{"date-parts":[["2007","12","7"]]},"page":"1433-1441","publisher":"Wiley/Blackwell (10.1111)","title":"Macrofilaricidal effect of 4 weeks of treatment with doxycycline on Wuchereria bancrofti","type":"article-journal","volume":"12"},"uris":["http://www.mendeley.com/documents/?uuid=257b2287-46c5-3353-8287-0e06a662e9b5"]},{"id":"ITEM-6","itemData":{"DOI":"10.1155/2011/201617","ISBN":"4922828715675","ISSN":"20900023","PMID":"21687646","abstract":"Infection with the filarial nematode Wuchereria bancrofti can lead to lymphedema, hydrocele, and elephantiasis. Since adult worms cause pathology in lymphatic filariasis (LF), it is imperative to discover macrofilaricidal drugs for the treatment of the infection. Endosymbiotic Wolbachia in filariae have emerged as a new target for antibiotics which can lead to macrofilaricidal effects. In Ghana, a pilot study was carried out with 39 LF-infected men; 12 were treated with 200 mg doxycycline/day for 4 weeks, 16 were treated with a combination of 200 mg doxycycline/day + 10 mg/kg/day rifampicin for 2 weeks, and 11 patients received placebo. Patients were monitored for Wolbachia and microfilaria loads, antigenaemia, and filarial dance sign (FDS). Both 4-week doxycycline and the 2-week combination treatment reduced Wolbachia load significantly. At 18 months posttreatment, four-week doxycycline resulted in 100% adult worm loss, and the 2-week combination treatment resulted in a 50% adult worm loss. In conclusion, this pilot study with a combination of 2-week doxycycline and rifampicin demonstrates moderate macrofilaricidal activity against W. bancrofti.","author":[{"dropping-particle":"","family":"Debrah","given":"Alexander Yaw","non-dropping-particle":"","parse-names":false,"suffix":""},{"dropping-particle":"","family":"Mand","given":"Sabine","non-dropping-particle":"","parse-names":false,"suffix":""},{"dropping-particle":"","family":"Marfo-Debrekyei","given":"Yeboah","non-dropping-particle":"","parse-names":false,"suffix":""},{"dropping-particle":"","family":"Batsa","given":"Linda","non-dropping-particle":"","parse-names":false,"suffix":""},{"dropping-particle":"","family":"Albers","given":"Anna","non-dropping-particle":"","parse-names":false,"suffix":""},{"dropping-particle":"","family":"Specht","given":"Sabine","non-dropping-particle":"","parse-names":false,"suffix":""},{"dropping-particle":"","family":"Klarmann","given":"Ute","non-dropping-particle":"","parse-names":false,"suffix":""},{"dropping-particle":"","family":"Pfarr","given":"Kenneth","non-dropping-particle":"","parse-names":false,"suffix":""},{"dropping-particle":"","family":"Adjei","given":"Ohene","non-dropping-particle":"","parse-names":false,"suffix":""},{"dropping-particle":"","family":"Hoerauf","given":"Achim","non-dropping-particle":"","parse-names":false,"suffix":""},{"dropping-particle":"","family":"Debrah","given":"Alexander Yaw","non-dropping-particle":"","parse-names":false,"suffix":""},{"dropping-particle":"","family":"Mand","given":"Sabine","non-dropping-particle":"","parse-names":false,"suffix":""},{"dropping-particle":"","family":"Marfo-Debrekyei","given":"Yeboah","non-dropping-particle":"","parse-names":false,"suffix":""},{"dropping-particle":"","family":"Batsa","given":"Linda","non-dropping-particle":"","parse-names":false,"suffix":""},{"dropping-particle":"","family":"Albers","given":"Anna","non-dropping-particle":"","parse-names":false,"suffix":""},{"dropping-particle":"","family":"Specht","given":"Sabine","non-dropping-particle":"","parse-names":false,"suffix":""},{"dropping-particle":"","family":"Klarmann","given":"Ute","non-dropping-particle":"","parse-names":false,"suffix":""},{"dropping-particle":"","family":"Pfarr","given":"Kenneth","non-dropping-particle":"","parse-names":false,"suffix":""},{"dropping-particle":"","family":"Adjei","given":"Ohene","non-dropping-particle":"","parse-names":false,"suffix":""}],"container-title":"Journal of Parasitology Research","id":"ITEM-6","issued":{"date-parts":[["2011"]]},"page":"1-9","publisher":"Hindawi Publishing Corporation","title":"Macrofilaricidal activity in Wuchereria bancrofti after 2 weeks treatment with a combination of rifampicin plus doxycycline","type":"article-journal","volume":"2011"},"uris":["http://www.mendeley.com/documents/?uuid=0c4c25d3-8f19-4978-a117-d24664c18dd4"]},{"id":"ITEM-7","itemData":{"DOI":"10.1093/cid/civ363","ISSN":"1537-6591","PMID":"25948064","abstract":"BACKGROUND Ivermectin (IVM) has been the drug of choice for the treatment of onchocerciasis. However, there have been reports of persistent microfilaridermia in individuals from an endemic area in Ghana after many rounds of IVM, raising concerns of suboptimal response or even the emergence of drug resistance. Because it is considered risky to continue relying only on IVM to combat this phenomenon, we assessed the effect of targeting the Onchocerca volvulus Wolbachia endosymbionts with doxycycline for these individuals with suboptimal response. METHODS One hundred sixty-seven patients, most of them with multiple rounds of IVM, were recruited in areas with IVM suboptimal response and treated with 100 mg/day doxycycline for 6 weeks. Three and 12 months after doxycycline treatment, patients took part in standard IVM treatment. RESULTS At 20 months after treatment, 80% of living female worms from the placebo group were Wolbachia positive, whereas only 5.1% in the doxycycline-treated group contained bacteria. Consistent with interruption of embryogenesis, none of the nodules removed from doxycycline-treated patients contained microfilariae, and 97% of those patients were without microfilaridermia, in contrast to placebo patients who remained at pretreatment levels (P &lt; .001). Moreover, a significantly enhanced number of dead worms were observed after doxycycline. CONCLUSIONS Targeting the Wolbachia in O. volvulus is effective in clearing microfilariae in the skin of onchocerciasis patients with persistent microfilaridermia and in enhanced killing of adult worms after repeated standard IVM treatment. Strategies can now be developed that include doxycycline to control onchocerciasis in areas where infections persist despite the frequent use of IVM. CLINICAL TRIALS REGISTRATION ISRCTN 66649839.","author":[{"dropping-particle":"","family":"Debrah","given":"Alexander Yaw","non-dropping-particle":"","parse-names":false,"suffix":""},{"dropping-particle":"","family":"Specht","given":"Sabine","non-dropping-particle":"","parse-names":false,"suffix":""},{"dropping-particle":"","family":"Klarmann-Schulz","given":"Ute","non-dropping-particle":"","parse-names":false,"suffix":""},{"dropping-particle":"","family":"Batsa","given":"Linda","non-dropping-particle":"","parse-names":false,"suffix":""},{"dropping-particle":"","family":"Mand","given":"Sabine","non-dropping-particle":"","parse-names":false,"suffix":""},{"dropping-particle":"","family":"Marfo-Debrekyei","given":"Yeboah","non-dropping-particle":"","parse-names":false,"suffix":""},{"dropping-particle":"","family":"Fimmers","given":"Rolf","non-dropping-particle":"","parse-names":false,"suffix":""},{"dropping-particle":"","family":"Dubben","given":"Bettina","non-dropping-particle":"","parse-names":false,"suffix":""},{"dropping-particle":"","family":"Kwarteng","given":"Alexander","non-dropping-particle":"","parse-names":false,"suffix":""},{"dropping-particle":"","family":"Osei-Atweneboana","given":"Mike","non-dropping-particle":"","parse-names":false,"suffix":""},{"dropping-particle":"","family":"Boakye","given":"Daniel","non-dropping-particle":"","parse-names":false,"suffix":""},{"dropping-particle":"","family":"Ricchiuto","given":"Arcangelo","non-dropping-particle":"","parse-names":false,"suffix":""},{"dropping-particle":"","family":"Büttner","given":"Marcelle","non-dropping-particle":"","parse-names":false,"suffix":""},{"dropping-particle":"","family":"Adjei","given":"Ohene","non-dropping-particle":"","parse-names":false,"suffix":""},{"dropping-particle":"","family":"Mackenzie","given":"Charles D","non-dropping-particle":"","parse-names":false,"suffix":""},{"dropping-particle":"","family":"Hoerauf","given":"Achim","non-dropping-particle":"","parse-names":false,"suffix":""}],"container-title":"Clinical infectious diseases : an official publication of the Infectious Diseases Society of America","id":"ITEM-7","issue":"4","issued":{"date-parts":[["2015","8","15"]]},"page":"517-26","publisher":"Oxford University Press","title":"Doxycycline Leads to Sterility and Enhanced Killing of Female Onchocerca volvulus Worms in an Area With Persistent Microfilaridermia After Repeated Ivermectin Treatment: A Randomized, Placebo-Controlled, Double-Blind Trial.","type":"article-journal","volume":"61"},"uris":["http://www.mendeley.com/documents/?uuid=033b154f-39bf-3b2b-a184-056bdb252ccf"]}],"mendeley":{"formattedCitation":"&lt;sup&gt;10–16&lt;/sup&gt;","plainTextFormattedCitation":"10–16","previouslyFormattedCitation":"&lt;sup&gt;10–16&lt;/sup&gt;"},"properties":{"noteIndex":0},"schema":"https://github.com/citation-style-language/schema/raw/master/csl-citation.json"}</w:instrText>
      </w:r>
      <w:r w:rsidR="00B4284E" w:rsidRPr="00E672BE">
        <w:rPr>
          <w:rFonts w:cs="Times New Roman"/>
          <w:szCs w:val="24"/>
        </w:rPr>
        <w:fldChar w:fldCharType="separate"/>
      </w:r>
      <w:r w:rsidR="007C7B71" w:rsidRPr="00E672BE">
        <w:rPr>
          <w:rFonts w:cs="Times New Roman"/>
          <w:noProof/>
          <w:szCs w:val="24"/>
          <w:vertAlign w:val="superscript"/>
        </w:rPr>
        <w:t>10–16</w:t>
      </w:r>
      <w:r w:rsidR="00B4284E" w:rsidRPr="00E672BE">
        <w:rPr>
          <w:rFonts w:cs="Times New Roman"/>
          <w:szCs w:val="24"/>
        </w:rPr>
        <w:fldChar w:fldCharType="end"/>
      </w:r>
      <w:r w:rsidR="00BA0594" w:rsidRPr="00E672BE">
        <w:rPr>
          <w:rFonts w:cs="Times New Roman"/>
          <w:szCs w:val="24"/>
        </w:rPr>
        <w:t xml:space="preserve">. </w:t>
      </w:r>
      <w:r w:rsidR="00BE40E1" w:rsidRPr="00E672BE">
        <w:rPr>
          <w:rFonts w:cs="Times New Roman"/>
          <w:szCs w:val="24"/>
        </w:rPr>
        <w:t>D</w:t>
      </w:r>
      <w:r w:rsidR="009403D5" w:rsidRPr="00E672BE">
        <w:rPr>
          <w:rFonts w:cs="Times New Roman"/>
          <w:szCs w:val="24"/>
        </w:rPr>
        <w:t xml:space="preserve">epletion of this </w:t>
      </w:r>
      <w:r w:rsidR="00BE40E1" w:rsidRPr="00E672BE">
        <w:rPr>
          <w:rFonts w:cs="Times New Roman"/>
          <w:szCs w:val="24"/>
        </w:rPr>
        <w:t xml:space="preserve">endosymbiotic </w:t>
      </w:r>
      <w:r w:rsidR="009403D5" w:rsidRPr="00E672BE">
        <w:rPr>
          <w:rFonts w:cs="Times New Roman"/>
          <w:szCs w:val="24"/>
        </w:rPr>
        <w:t xml:space="preserve">bacteria </w:t>
      </w:r>
      <w:r w:rsidR="00BE40E1" w:rsidRPr="00E672BE">
        <w:rPr>
          <w:rFonts w:cs="Times New Roman"/>
          <w:szCs w:val="24"/>
        </w:rPr>
        <w:t xml:space="preserve">was confirmed in these trials and </w:t>
      </w:r>
      <w:r w:rsidR="009403D5" w:rsidRPr="00E672BE">
        <w:rPr>
          <w:rFonts w:cs="Times New Roman"/>
          <w:szCs w:val="24"/>
        </w:rPr>
        <w:t>result</w:t>
      </w:r>
      <w:r w:rsidR="00BE40E1" w:rsidRPr="00E672BE">
        <w:rPr>
          <w:rFonts w:cs="Times New Roman"/>
          <w:szCs w:val="24"/>
        </w:rPr>
        <w:t>ed</w:t>
      </w:r>
      <w:r w:rsidR="009403D5" w:rsidRPr="00E672BE">
        <w:rPr>
          <w:rFonts w:cs="Times New Roman"/>
          <w:szCs w:val="24"/>
        </w:rPr>
        <w:t xml:space="preserve"> in </w:t>
      </w:r>
      <w:r w:rsidR="00BE40E1" w:rsidRPr="00E672BE">
        <w:rPr>
          <w:rFonts w:cs="Times New Roman"/>
          <w:szCs w:val="24"/>
        </w:rPr>
        <w:t xml:space="preserve">the </w:t>
      </w:r>
      <w:r w:rsidR="00BA0594" w:rsidRPr="00E672BE">
        <w:rPr>
          <w:rFonts w:cs="Times New Roman"/>
          <w:szCs w:val="24"/>
        </w:rPr>
        <w:t>permanent sterilisation of the adult worms</w:t>
      </w:r>
      <w:r w:rsidR="00E14546" w:rsidRPr="00E672BE">
        <w:rPr>
          <w:rFonts w:cs="Times New Roman"/>
          <w:szCs w:val="24"/>
        </w:rPr>
        <w:t>,</w:t>
      </w:r>
      <w:r w:rsidR="00BA0594" w:rsidRPr="00E672BE">
        <w:rPr>
          <w:rFonts w:cs="Times New Roman"/>
          <w:szCs w:val="24"/>
        </w:rPr>
        <w:t xml:space="preserve"> block</w:t>
      </w:r>
      <w:r w:rsidR="00E14546" w:rsidRPr="00E672BE">
        <w:rPr>
          <w:rFonts w:cs="Times New Roman"/>
          <w:szCs w:val="24"/>
        </w:rPr>
        <w:t>ing</w:t>
      </w:r>
      <w:r w:rsidR="00BA0594" w:rsidRPr="00E672BE">
        <w:rPr>
          <w:rFonts w:cs="Times New Roman"/>
          <w:szCs w:val="24"/>
        </w:rPr>
        <w:t xml:space="preserve"> parasite transmission</w:t>
      </w:r>
      <w:r w:rsidR="00E14546" w:rsidRPr="00E672BE">
        <w:rPr>
          <w:rFonts w:cs="Times New Roman"/>
          <w:szCs w:val="24"/>
        </w:rPr>
        <w:t>,</w:t>
      </w:r>
      <w:r w:rsidR="00BA0594" w:rsidRPr="00E672BE">
        <w:rPr>
          <w:rFonts w:cs="Times New Roman"/>
          <w:szCs w:val="24"/>
        </w:rPr>
        <w:t xml:space="preserve"> followed by a slow innocuous death of the adult worm </w:t>
      </w:r>
      <w:r w:rsidR="005407D5" w:rsidRPr="00E672BE">
        <w:rPr>
          <w:rFonts w:cs="Times New Roman"/>
          <w:szCs w:val="24"/>
        </w:rPr>
        <w:t xml:space="preserve">over </w:t>
      </w:r>
      <w:r w:rsidR="00BA0594" w:rsidRPr="00E672BE">
        <w:rPr>
          <w:rFonts w:cs="Times New Roman"/>
          <w:szCs w:val="24"/>
        </w:rPr>
        <w:t>12-24 months. However, t</w:t>
      </w:r>
      <w:r w:rsidR="00967DDB" w:rsidRPr="00E672BE">
        <w:rPr>
          <w:rFonts w:cs="Times New Roman"/>
          <w:szCs w:val="24"/>
        </w:rPr>
        <w:t xml:space="preserve">he duration of treatment with </w:t>
      </w:r>
      <w:r w:rsidR="00BA0594" w:rsidRPr="00E672BE">
        <w:rPr>
          <w:rFonts w:cs="Times New Roman"/>
          <w:szCs w:val="24"/>
        </w:rPr>
        <w:t>tetracycline</w:t>
      </w:r>
      <w:r w:rsidR="00967DDB" w:rsidRPr="00E672BE">
        <w:rPr>
          <w:rFonts w:cs="Times New Roman"/>
          <w:szCs w:val="24"/>
        </w:rPr>
        <w:t>s</w:t>
      </w:r>
      <w:r w:rsidR="00BA0594" w:rsidRPr="00E672BE">
        <w:rPr>
          <w:rFonts w:cs="Times New Roman"/>
          <w:szCs w:val="24"/>
        </w:rPr>
        <w:t xml:space="preserve"> and contraindications in children and women of child-bearing age are barriers to the widespread scale-up of this approach. The A∙WOL consortium was established to identify novel chemical starting points with anti-</w:t>
      </w:r>
      <w:r w:rsidR="00CB5408" w:rsidRPr="00E672BE">
        <w:rPr>
          <w:rFonts w:cs="Times New Roman"/>
          <w:i/>
          <w:szCs w:val="24"/>
        </w:rPr>
        <w:t>Wolbachia</w:t>
      </w:r>
      <w:r w:rsidR="00BA0594" w:rsidRPr="00E672BE">
        <w:rPr>
          <w:rFonts w:cs="Times New Roman"/>
          <w:szCs w:val="24"/>
        </w:rPr>
        <w:t xml:space="preserve"> activity that could deliver shorter treatment regimens for these disabling filarial diseases</w:t>
      </w:r>
      <w:r w:rsidR="00BA0594" w:rsidRPr="00E672BE">
        <w:rPr>
          <w:rFonts w:cs="Times New Roman"/>
          <w:szCs w:val="24"/>
        </w:rPr>
        <w:fldChar w:fldCharType="begin" w:fldLock="1"/>
      </w:r>
      <w:r w:rsidR="00957134" w:rsidRPr="00E672BE">
        <w:rPr>
          <w:rFonts w:cs="Times New Roman"/>
          <w:szCs w:val="24"/>
        </w:rPr>
        <w:instrText>ADDIN CSL_CITATION {"citationItems":[{"id":"ITEM-1","itemData":{"DOI":"10.1039/c4md00011k","ISBN":"2040-2503\\n2040-2511","ISSN":"2040-2503","abstract":"Neglected and tropical diseases affect a large proportion of the world's population and impose a huge economic and health burden on developing countries. Despite this, there is a dearth of safe, effective, suitable medications for treatment of these diseases, largely as a result of an underinvestment in developing new drugs against these diseases by the majority of research-based pharmaceutical companies. In the past 12 years, the situation has begun to improve with the emergence of public-private product development partnerships (PDPs), which foster a collaborative approach to drug discovery and have established strong drug development pipelines for neglected and tropical diseases. Some large pharmaceutical companies have also now established dedicated research sites for developing world diseases and are working closely with PDPs on drug development activities. However, drug discovery in this field is still hampered by a lack of sufficient funding and technological investment, and there is a shortage of the tools, assays, and well-validated targets needed to ensure strong drug development pipelines in the future. The availability of high-quality chemically diverse compound libraries to enable lead discovery remains one of the critical bottlenecks. The pharmaceutical industry has much that it can share in terms of drug discovery capacity, know-how, and expertise, and in some cases has been moving towards new paradigms of collaborative pre-competitive research with the PDPs and partners. The future of drug discovery for neglected and tropical diseases will depend on the ability of those working in the area to collaborate together and will require sustained resourcing and focus. © 2014 the Partner Organisations.","author":[{"dropping-particle":"","family":"Burrows","given":"Jeremy N.","non-dropping-particle":"","parse-names":false,"suffix":""},{"dropping-particle":"","family":"Elliott","given":"Richard L.","non-dropping-particle":"","parse-names":false,"suffix":""},{"dropping-particle":"","family":"Kaneko","given":"Takushi","non-dropping-particle":"","parse-names":false,"suffix":""},{"dropping-particle":"","family":"Mowbray","given":"Charles E.","non-dropping-particle":"","parse-names":false,"suffix":""},{"dropping-particle":"","family":"Waterson","given":"David","non-dropping-particle":"","parse-names":false,"suffix":""},{"dropping-particle":"","family":"Murray","given":"C. J.","non-dropping-particle":"","parse-names":false,"suffix":""},{"dropping-particle":"","family":"Vos","given":"T.","non-dropping-particle":"","parse-names":false,"suffix":""},{"dropping-particle":"","family":"Lozano","given":"R.","non-dropping-particle":"","parse-names":false,"suffix":""},{"dropping-particle":"","family":"Elliott","given":"Richard L.","non-dropping-particle":"","parse-names":false,"suffix":""},{"dropping-particle":"","family":"Spangenberg","given":"T.","non-dropping-particle":"","parse-names":false,"suffix":""},{"dropping-particle":"","family":"Burrows","given":"Jeremy N.","non-dropping-particle":"","parse-names":false,"suffix":""},{"dropping-particle":"","family":"Kowalczyk","given":"P.","non-dropping-particle":"","parse-names":false,"suffix":""},{"dropping-particle":"","family":"McDonald","given":"S.","non-dropping-particle":"","parse-names":false,"suffix":""},{"dropping-particle":"","family":"Wells","given":"T. N. C.","non-dropping-particle":"","parse-names":false,"suffix":""},{"dropping-particle":"","family":"Willis","given":"P.","non-dropping-particle":"","parse-names":false,"suffix":""},{"dropping-particle":"","family":"Payne","given":"D. J.","non-dropping-particle":"","parse-names":false,"suffix":""},{"dropping-particle":"","family":"Gwynn","given":"M. N.","non-dropping-particle":"","parse-names":false,"suffix":""},{"dropping-particle":"","family":"Holmes","given":"D. J.","non-dropping-particle":"","parse-names":false,"suffix":""},{"dropping-particle":"","family":"Pompliano","given":"D. L.","non-dropping-particle":"","parse-names":false,"suffix":""},{"dropping-particle":"","family":"Butera","given":"J. A.","non-dropping-particle":"","parse-names":false,"suffix":""},{"dropping-particle":"","family":"Alvar","given":"J.","non-dropping-particle":"","parse-names":false,"suffix":""},{"dropping-particle":"","family":"Velez","given":"I. D.","non-dropping-particle":"","parse-names":false,"suffix":""},{"dropping-particle":"","family":"Bern","given":"C.","non-dropping-particle":"","parse-names":false,"suffix":""},{"dropping-particle":"","family":"Herrero","given":"M.","non-dropping-particle":"","parse-names":false,"suffix":""},{"dropping-particle":"","family":"Desjeux","given":"P.","non-dropping-particle":"","parse-names":false,"suffix":""},{"dropping-particle":"","family":"Cano","given":"J.","non-dropping-particle":"","parse-names":false,"suffix":""},{"dropping-particle":"","family":"Jannin","given":"J.","non-dropping-particle":"","parse-names":false,"suffix":""},{"dropping-particle":"den","family":"Boer","given":"M.","non-dropping-particle":"","parse-names":false,"suffix":""},{"dropping-particle":"","family":"Anthony","given":"M. P.","non-dropping-particle":"","parse-names":false,"suffix":""},{"dropping-particle":"","family":"Burrows","given":"Jeremy N.","non-dropping-particle":"","parse-names":false,"suffix":""},{"dropping-particle":"","family":"Duparc","given":"S.","non-dropping-particle":"","parse-names":false,"suffix":""},{"dropping-particle":"","family":"Moehrle","given":"J. J.","non-dropping-particle":"","parse-names":false,"suffix":""},{"dropping-particle":"","family":"Wells","given":"T. N. C.","non-dropping-particle":"","parse-names":false,"suffix":""},{"dropping-particle":"","family":"Dondorp","given":"A. M.","non-dropping-particle":"","parse-names":false,"suffix":""},{"dropping-particle":"","family":"Yeung","given":"S.","non-dropping-particle":"","parse-names":false,"suffix":""},{"dropping-particle":"","family":"White","given":"L.","non-dropping-particle":"","parse-names":false,"suffix":""},{"dropping-particle":"","family":"Nguon","given":"C.","non-dropping-particle":"","parse-names":false,"suffix":""},{"dropping-particle":"","family":"Day","given":"N. P. J.","non-dropping-particle":"","parse-names":false,"suffix":""},{"dropping-particle":"","family":"Socheat","given":"D.","non-dropping-particle":"","parse-names":false,"suffix":""},{"dropping-particle":"von","family":"Seidlein","given":"L.","non-dropping-particle":"","parse-names":false,"suffix":""},{"dropping-particle":"","family":"Rottmann","given":"M.","non-dropping-particle":"","parse-names":false,"suffix":""},{"dropping-particle":"","family":"McNamara","given":"C.","non-dropping-particle":"","parse-names":false,"suffix":""},{"dropping-particle":"","family":"Yeung","given":"B. K. S.","non-dropping-particle":"","parse-names":false,"suffix":""},{"dropping-particle":"","family":"Lee","given":"M. C. S.","non-dropping-particle":"","parse-names":false,"suffix":""},{"dropping-particle":"","family":"Russell","given":"B.","non-dropping-particle":"","parse-names":false,"suffix":""},{"dropping-particle":"","family":"Seitz","given":"P.","non-dropping-particle":"","parse-names":false,"suffix":""},{"dropping-particle":"","family":"Plouffe","given":"D. M.","non-dropping-particle":"","parse-names":false,"suffix":""},{"dropping-particle":"","family":"Younis","given":"Y.","non-dropping-particle":"","parse-names":false,"suffix":""},{"dropping-particle":"","family":"Douelle","given":"F.","non-dropping-particle":"","parse-names":false,"suffix":""},{"dropping-particle":"","family":"Feng","given":"T. S.","non-dropping-particle":"","parse-names":false,"suffix":""},{"dropping-particle":"","family":"Cabrera","given":"D. Gonzalez","non-dropping-particle":"","parse-names":false,"suffix":""},{"dropping-particle":"Le","family":"Manach","given":"C.","non-dropping-particle":"","parse-names":false,"suffix":""},{"dropping-particle":"","family":"Nchinda","given":"A. T.","non-dropping-particle":"","parse-names":false,"suffix":""},{"dropping-particle":"","family":"Duffy","given":"S.","non-dropping-particle":"","parse-names":false,"suffix":""},{"dropping-particle":"","family":"White","given":"K. L.","non-dropping-particle":"","parse-names":false,"suffix":""},{"dropping-particle":"","family":"Shackleford","given":"D. M.","non-dropping-particle":"","parse-names":false,"suffix":""},{"dropping-particle":"","family":"Morizzi","given":"J.","non-dropping-particle":"","parse-names":false,"suffix":""},{"dropping-particle":"","family":"Mannila","given":"J.","non-dropping-particle":"","parse-names":false,"suffix":""},{"dropping-particle":"","family":"Katneni","given":"K.","non-dropping-particle":"","parse-names":false,"suffix":""},{"dropping-particle":"","family":"Bhamidipati","given":"R.","non-dropping-particle":"","parse-names":false,"suffix":""},{"dropping-particle":"","family":"Zabiulla","given":"K. M.","non-dropping-particle":"","parse-names":false,"suffix":""},{"dropping-particle":"","family":"Joseph","given":"J. T.","non-dropping-particle":"","parse-names":false,"suffix":""},{"dropping-particle":"","family":"Bashyam","given":"S.","non-dropping-particle":"","parse-names":false,"suffix":""},{"dropping-particle":"","family":"Waterson","given":"David","non-dropping-particle":"","parse-names":false,"suffix":""},{"dropping-particle":"","family":"Witty","given":"M. J.","non-dropping-particle":"","parse-names":false,"suffix":""},{"dropping-particle":"","family":"Hardick","given":"D.","non-dropping-particle":"","parse-names":false,"suffix":""},{"dropping-particle":"","family":"Wittlin","given":"S.","non-dropping-particle":"","parse-names":false,"suffix":""},{"dropping-particle":"","family":"Avery","given":"V.","non-dropping-particle":"","parse-names":false,"suffix":""},{"dropping-particle":"","family":"Charman","given":"S. A.","non-dropping-particle":"","parse-names":false,"suffix":""},{"dropping-particle":"","family":"Chibale","given":"K.","non-dropping-particle":"","parse-names":false,"suffix":""},{"dropping-particle":"","family":"Coteron","given":"J. M.","non-dropping-particle":"","parse-names":false,"suffix":""},{"dropping-particle":"","family":"Marco","given":"M.","non-dropping-particle":"","parse-names":false,"suffix":""},{"dropping-particle":"","family":"Esquivias","given":"J.","non-dropping-particle":"","parse-names":false,"suffix":""},{"dropping-particle":"","family":"Deng","given":"X.","non-dropping-particle":"","parse-names":false,"suffix":""},{"dropping-particle":"","family":"White","given":"K. L.","non-dropping-particle":"","parse-names":false,"suffix":""},{"dropping-particle":"","family":"White","given":"J.","non-dropping-particle":"","parse-names":false,"suffix":""},{"dropping-particle":"","family":"Koltun","given":"M.","non-dropping-particle":"","parse-names":false,"suffix":""},{"dropping-particle":"El","family":"Mazouni","given":"F.","non-dropping-particle":"","parse-names":false,"suffix":""},{"dropping-particle":"","family":"Kokkonda","given":"S.","non-dropping-particle":"","parse-names":false,"suffix":""},{"dropping-particle":"","family":"Katneni","given":"K.","non-dropping-particle":"","parse-names":false,"suffix":""},{"dropping-particle":"","family":"Bhamidipati","given":"R.","non-dropping-particle":"","parse-names":false,"suffix":""},{"dropping-particle":"","family":"Shackleford","given":"D. M.","non-dropping-particle":"","parse-names":false,"suffix":""},{"dropping-particle":"","family":"Angulo-Barturen","given":"I.","non-dropping-particle":"","parse-names":false,"suffix":""},{"dropping-particle":"","family":"Ferrer","given":"S. B.","non-dropping-particle":"","parse-names":false,"suffix":""},{"dropping-particle":"","family":"Jiménez-Díaz","given":"M. B.","non-dropping-particle":"","parse-names":false,"suffix":""},{"dropping-particle":"","family":"Gamo","given":"F.-J. J.","non-dropping-particle":"","parse-names":false,"suffix":""},{"dropping-particle":"","family":"Goldsmith","given":"E. J.","non-dropping-particle":"","parse-names":false,"suffix":""},{"dropping-particle":"","family":"Charman","given":"W. N.","non-dropping-particle":"","parse-names":false,"suffix":""},{"dropping-particle":"","family":"Bathurst","given":"I.","non-dropping-particle":"","parse-names":false,"suffix":""},{"dropping-particle":"","family":"Floyd","given":"D.","non-dropping-particle":"","parse-names":false,"suffix":""},{"dropping-particle":"","family":"Matthews","given":"D.","non-dropping-particle":"","parse-names":false,"suffix":""},{"dropping-particle":"","family":"Burrows","given":"Jeremy N.","non-dropping-particle":"","parse-names":false,"suffix":""},{"dropping-particle":"","family":"Rathod","given":"P. K.","non-dropping-particle":"","parse-names":false,"suffix":""},{"dropping-particle":"","family":"Charman","given":"S. A.","non-dropping-particle":"","parse-names":false,"suffix":""},{"dropping-particle":"","family":"Phillips","given":"M. A.","non-dropping-particle":"","parse-names":false,"suffix":""},{"dropping-particle":"","family":"Burrows","given":"Jeremy N.","non-dropping-particle":"","parse-names":false,"suffix":""},{"dropping-particle":"","family":"Leroy","given":"D.","non-dropping-particle":"","parse-names":false,"suffix":""},{"dropping-particle":"","family":"Lotharius","given":"J.","non-dropping-particle":"","parse-names":false,"suffix":""},{"dropping-particle":"","family":"Waterson","given":"David","non-dropping-particle":"","parse-names":false,"suffix":""},{"dropping-particle":"","family":"Burrows","given":"Jeremy N.","non-dropping-particle":"","parse-names":false,"suffix":""},{"dropping-particle":"","family":"Chibale","given":"K.","non-dropping-particle":"","parse-names":false,"suffix":""},{"dropping-particle":"","family":"Wells","given":"T. N. C.","non-dropping-particle":"","parse-names":false,"suffix":""},{"dropping-particle":"","family":"Delves","given":"M.","non-dropping-particle":"","parse-names":false,"suffix":""},{"dropping-particle":"","family":"Plouffe","given":"D. M.","non-dropping-particle":"","parse-names":false,"suffix":""},{"dropping-particle":"","family":"Scheurer","given":"C.","non-dropping-particle":"","parse-names":false,"suffix":""},{"dropping-particle":"","family":"Meister","given":"S.","non-dropping-particle":"","parse-names":false,"suffix":""},{"dropping-particle":"","family":"Wittlin","given":"S.","non-dropping-particle":"","parse-names":false,"suffix":""},{"dropping-particle":"","family":"Winzeler","given":"E. A.","non-dropping-particle":"","parse-names":false,"suffix":""},{"dropping-particle":"","family":"Sinden","given":"R. E.","non-dropping-particle":"","parse-names":false,"suffix":""},{"dropping-particle":"","family":"Leroy","given":"D.","non-dropping-particle":"","parse-names":false,"suffix":""},{"dropping-particle":"","family":"Wells","given":"T. N. C.","non-dropping-particle":"","parse-names":false,"suffix":""},{"dropping-particle":"","family":"Burrows","given":"Jeremy N.","non-dropping-particle":"","parse-names":false,"suffix":""},{"dropping-particle":"","family":"Baird","given":"J. K.","non-dropping-particle":"","parse-names":false,"suffix":""},{"dropping-particle":"","family":"Sanz","given":"L. M.","non-dropping-particle":"","parse-names":false,"suffix":""},{"dropping-particle":"","family":"Crespo","given":"B.","non-dropping-particle":"","parse-names":false,"suffix":""},{"dropping-particle":"","family":"De-Cozar","given":"C.","non-dropping-particle":"","parse-names":false,"suffix":""},{"dropping-particle":"","family":"Ding","given":"X. C.","non-dropping-particle":"","parse-names":false,"suffix":""},{"dropping-particle":"","family":"Llergo","given":"J. L.","non-dropping-particle":"","parse-names":false,"suffix":""},{"dropping-particle":"","family":"Burrows","given":"Jeremy N.","non-dropping-particle":"","parse-names":false,"suffix":""},{"dropping-particle":"","family":"Garcia-Bustos","given":"J. F.","non-dropping-particle":"","parse-names":false,"suffix":""},{"dropping-particle":"","family":"Gamo","given":"F.-J. J.","non-dropping-particle":"","parse-names":false,"suffix":""},{"dropping-particle":"","family":"Winnen","given":"M.","non-dropping-particle":"","parse-names":false,"suffix":""},{"dropping-particle":"","family":"Plaisier","given":"A. P.","non-dropping-particle":"","parse-names":false,"suffix":""},{"dropping-particle":"","family":"Alley","given":"E. S.","non-dropping-particle":"","parse-names":false,"suffix":""},{"dropping-particle":"","family":"Nagelkerke","given":"N. J. D.","non-dropping-particle":"","parse-names":false,"suffix":""},{"dropping-particle":"van","family":"Oortmarssen","given":"G.","non-dropping-particle":"","parse-names":false,"suffix":""},{"dropping-particle":"","family":"Boatin","given":"B. A.","non-dropping-particle":"","parse-names":false,"suffix":""},{"dropping-particle":"","family":"Habbema","given":"J. D. F.","non-dropping-particle":"","parse-names":false,"suffix":""},{"dropping-particle":"","family":"Taylor","given":"M. J.","non-dropping-particle":"","parse-names":false,"suffix":""},{"dropping-particle":"","family":"Hoerauf","given":"A.","non-dropping-particle":"","parse-names":false,"suffix":""},{"dropping-particle":"","family":"Townson","given":"S.","non-dropping-particle":"","parse-names":false,"suffix":""},{"dropping-particle":"","family":"Slatko","given":"B. E.","non-dropping-particle":"","parse-names":false,"suffix":""},{"dropping-particle":"","family":"Ward","given":"S. A.","non-dropping-particle":"","parse-names":false,"suffix":""},{"dropping-particle":"","family":"Johnston","given":"K. L.","non-dropping-particle":"","parse-names":false,"suffix":""},{"dropping-particle":"","family":"Ford","given":"L.","non-dropping-particle":"","parse-names":false,"suffix":""},{"dropping-particle":"","family":"Taylor","given":"M. J.","non-dropping-particle":"","parse-names":false,"suffix":""},{"dropping-particle":"","family":"Jones","given":"D.","non-dropping-particle":"","parse-names":false,"suffix":""},{"dropping-particle":"","family":"Gler","given":"M. T.","non-dropping-particle":"","parse-names":false,"suffix":""},{"dropping-particle":"","family":"Skripconoka","given":"V.","non-dropping-particle":"","parse-names":false,"suffix":""},{"dropping-particle":"","family":"Sanchez-Garavito","given":"E.","non-dropping-particle":"","parse-names":false,"suffix":""},{"dropping-particle":"","family":"Xiao","given":"H.","non-dropping-particle":"","parse-names":false,"suffix":""},{"dropping-particle":"","family":"Cabrera-Rivero","given":"J. L.","non-dropping-particle":"","parse-names":false,"suffix":""},{"dropping-particle":"","family":"Vargas-Vasquez","given":"D. E.","non-dropping-particle":"","parse-names":false,"suffix":""},{"dropping-particle":"","family":"Gao","given":"M.","non-dropping-particle":"","parse-names":false,"suffix":""},{"dropping-particle":"","family":"Awad","given":"M.","non-dropping-particle":"","parse-names":false,"suffix":""},{"dropping-particle":"","family":"Park","given":"S. K.","non-dropping-particle":"","parse-names":false,"suffix":""},{"dropping-particle":"","family":"Shim","given":"T. S.","non-dropping-particle":"","parse-names":false,"suffix":""},{"dropping-particle":"","family":"Suh","given":"G. Y.","non-dropping-particle":"","parse-names":false,"suffix":""},{"dropping-particle":"","family":"Danilovits","given":"M.","non-dropping-particle":"","parse-names":false,"suffix":""},{"dropping-particle":"","family":"Ogata","given":"H.","non-dropping-particle":"","parse-names":false,"suffix":""},{"dropping-particle":"","family":"Kurve","given":"A.","non-dropping-particle":"","parse-names":false,"suffix":""},{"dropping-particle":"","family":"Chang","given":"J.","non-dropping-particle":"","parse-names":false,"suffix":""},{"dropping-particle":"","family":"Suzuki","given":"K.","non-dropping-particle":"","parse-names":false,"suffix":""},{"dropping-particle":"","family":"Tupasi","given":"T.","non-dropping-particle":"","parse-names":false,"suffix":""},{"dropping-particle":"","family":"Koh","given":"W. J.","non-dropping-particle":"","parse-names":false,"suffix":""},{"dropping-particle":"","family":"Seaworth","given":"B.","non-dropping-particle":"","parse-names":false,"suffix":""},{"dropping-particle":"","family":"Geiter","given":"L. J.","non-dropping-particle":"","parse-names":false,"suffix":""},{"dropping-particle":"","family":"Wells","given":"C. D.","non-dropping-particle":"","parse-names":false,"suffix":""},{"dropping-particle":"","family":"Singh","given":"R.","non-dropping-particle":"","parse-names":false,"suffix":""},{"dropping-particle":"","family":"Manjunatha","given":"U.","non-dropping-particle":"","parse-names":false,"suffix":""},{"dropping-particle":"","family":"Boshoff","given":"H. I. M.","non-dropping-particle":"","parse-names":false,"suffix":""},{"dropping-particle":"","family":"Ha","given":"Y. H.","non-dropping-particle":"","parse-names":false,"suffix":""},{"dropping-particle":"","family":"Niyomrattanakit","given":"P.","non-dropping-particle":"","parse-names":false,"suffix":""},{"dropping-particle":"","family":"Ledwidge","given":"R.","non-dropping-particle":"","parse-names":false,"suffix":""},{"dropping-particle":"","family":"Dowd","given":"C. S.","non-dropping-particle":"","parse-names":false,"suffix":""},{"dropping-particle":"","family":"Lee","given":"I. Y.","non-dropping-particle":"","parse-names":false,"suffix":""},{"dropping-particle":"","family":"Kim","given":"P.","non-dropping-particle":"","parse-names":false,"suffix":""},{"dropping-particle":"","family":"Zhang","given":"L.","non-dropping-particle":"","parse-names":false,"suffix":""},{"dropping-particle":"","family":"Kang","given":"S.","non-dropping-particle":"","parse-names":false,"suffix":""},{"dropping-particle":"","family":"Keller","given":"T. H.","non-dropping-particle":"","parse-names":false,"suffix":""},{"dropping-particle":"","family":"Jiricek","given":"J.","non-dropping-particle":"","parse-names":false,"suffix":""},{"dropping-particle":"","family":"Barry","given":"C. E.","non-dropping-particle":"","parse-names":false,"suffix":""},{"dropping-particle":"","family":"Diacon","given":"A. H.","non-dropping-particle":"","parse-names":false,"suffix":""},{"dropping-particle":"","family":"Dawson","given":"R.","non-dropping-particle":"","parse-names":false,"suffix":""},{"dropping-particle":"von","family":"Groote-Bidlingmaier","given":"F.","non-dropping-particle":"","parse-names":false,"suffix":""},{"dropping-particle":"","family":"Symons","given":"G.","non-dropping-particle":"","parse-names":false,"suffix":""},{"dropping-particle":"","family":"Venter","given":"A.","non-dropping-particle":"","parse-names":false,"suffix":""},{"dropping-particle":"","family":"Donald","given":"P. R.","non-dropping-particle":"","parse-names":false,"suffix":""},{"dropping-particle":"van","family":"Niekerk","given":"C.","non-dropping-particle":"","parse-names":false,"suffix":""},{"dropping-particle":"","family":"Everitt","given":"D.","non-dropping-particle":"","parse-names":false,"suffix":""},{"dropping-particle":"","family":"Winter","given":"H.","non-dropping-particle":"","parse-names":false,"suffix":""},{"dropping-particle":"","family":"Becker","given":"P.","non-dropping-particle":"","parse-names":false,"suffix":""},{"dropping-particle":"","family":"Mendel","given":"C. M.","non-dropping-particle":"","parse-names":false,"suffix":""},{"dropping-particle":"","family":"Spigelman","given":"M. K.","non-dropping-particle":"","parse-names":false,"suffix":""},{"dropping-particle":"","family":"Williams","given":"K. N.","non-dropping-particle":"","parse-names":false,"suffix":""},{"dropping-particle":"","family":"Stover","given":"C. K.","non-dropping-particle":"","parse-names":false,"suffix":""},{"dropping-particle":"","family":"Zhu","given":"T.","non-dropping-particle":"","parse-names":false,"suffix":""},{"dropping-particle":"","family":"Tasneen","given":"R.","non-dropping-particle":"","parse-names":false,"suffix":""},{"dropping-particle":"","family":"Tyagi","given":"S.","non-dropping-particle":"","parse-names":false,"suffix":""},{"dropping-particle":"","family":"Grosset","given":"J. H.","non-dropping-particle":"","parse-names":false,"suffix":""},{"dropping-particle":"","family":"Nuermberger","given":"E.","non-dropping-particle":"","parse-names":false,"suffix":""},{"dropping-particle":"","family":"Altaf","given":"M.","non-dropping-particle":"","parse-names":false,"suffix":""},{"dropping-particle":"","family":"Miller","given":"C. H.","non-dropping-particle":"","parse-names":false,"suffix":""},{"dropping-particle":"","family":"Bellows","given":"D. S.","non-dropping-particle":"","parse-names":false,"suffix":""},{"dropping-particle":"","family":"O'Toole","given":"R.","non-dropping-particle":"","parse-names":false,"suffix":""},{"dropping-particle":"V.","family":"Pichugin","given":"A.","non-dropping-particle":"","parse-names":false,"suffix":""},{"dropping-particle":"","family":"Yan","given":"B. S.","non-dropping-particle":"","parse-names":false,"suffix":""},{"dropping-particle":"","family":"Sloutsky","given":"A.","non-dropping-particle":"","parse-names":false,"suffix":""},{"dropping-particle":"","family":"Kobzik","given":"L.","non-dropping-particle":"","parse-names":false,"suffix":""},{"dropping-particle":"","family":"Kramnik","given":"I.","non-dropping-particle":"","parse-names":false,"suffix":""}],"container-title":"MedChemComm","id":"ITEM-1","issue":"6","issued":{"date-parts":[["2014"]]},"page":"688","publisher":"The Royal Society of Chemistry","title":"The role of modern drug discovery in the fight against neglected and tropical diseases","type":"article-journal","volume":"5"},"uris":["http://www.mendeley.com/documents/?uuid=bd59c767-2e15-43ab-af8a-4bd7bce80fa2"]},{"id":"ITEM-2","itemData":{"DOI":"10.1177/1087057113511270","ISBN":"1087-0571","ISSN":"10870571","PMID":"24241712","abstract":"Neglected tropical diseases (NTDs) are a group of 17 diseases that typically affect poor people in tropical countries. Each has been neglected for decades in terms of funding, research, and policy, but the recent grouping of them into one unit, which can be targeted using integrated control measures, together with increased advocacy has helped to place them on the global health agenda. The World Health Organization has set ambitious goals to control or eliminate 10 NTDs by 2020 and launched a roadmap in January 2012 to guide this global plan. The result of the launch meeting, which brought together representatives from the pharmaceutical industry, donors, and politicians, was the London Declaration: a series of commitments to provide more drugs, research, and funds to achieve the 2020 goals. Drug discovery and development for these diseases are extremely challenging, and this article highlights these challenges in the context of the London Declaration, before focusing on an example of a drug discovery and development program for the NTDs onchocerciasis and lymphatic filariasis (the anti-Wolbachia consortium, A·WOL).","author":[{"dropping-particle":"","family":"Johnston","given":"Kelly L.","non-dropping-particle":"","parse-names":false,"suffix":""},{"dropping-particle":"","family":"Ford","given":"Louise","non-dropping-particle":"","parse-names":false,"suffix":""},{"dropping-particle":"","family":"Taylor","given":"Mark J. MJ","non-dropping-particle":"","parse-names":false,"suffix":""}],"container-title":"Journal of Biomolecular Screening","id":"ITEM-2","issue":"3","issued":{"date-parts":[["2014"]]},"page":"335-343","title":"Overcoming the Challenges of Drug Discovery for Neglected Tropical Diseases: The A· WOL Experience","type":"article-journal","volume":"19"},"uris":["http://www.mendeley.com/documents/?uuid=9f773516-0ea6-4ba6-8bf6-c88e56190233"]},{"id":"ITEM-3","itemData":{"DOI":"10.1017/S0031182013001108","ISBN":"0031-1820","ISSN":"1469-8161","PMID":"23866958","abstract":"Anti-Wolbachia therapy delivers safe macrofilaricidal activity with superior therapeutic outcomes compared to all standard anti-filarial treatments, with the added benefit of substantial improvements in clinical pathology. These outcomes can be achieved, in principle, with existing registered drugs, e.g. doxycycline, that are affordable, available to endemic communities and have well known, albeit population-limiting, safety profiles. The key barriers to using doxycycline as an mass drug administration (MDA) strategy for widespread community-based control are the logistics of a relatively lengthy course of treatment (4-6 weeks) and contraindications in children under eight years and pregnancy. Therefore, the primary goal of the anti-Wolbachia (A·WOL) consortium is to find drugs and regimens that reduce the period of treatment from weeks to days (7 days or less), and to find drugs which would be safe in excluded target populations (pregnancy and children). A secondary goal is to refine regimens of existing antibiotics suitable for a more restricted use, prior to the availability of a regimen that is compatible with MDA usage. For example, for use in the event of the emergence of drug-resistance, in individuals with high loiasis co-infection and at risk of severe adverse events (SAE) to ivermectin, or in post-MDA 'endgame scenarios', where test and treat strategies become more cost effective and deliverable.","author":[{"dropping-particle":"","family":"Taylor","given":"Mark J.","non-dropping-particle":"","parse-names":false,"suffix":""},{"dropping-particle":"","family":"Hoerauf","given":"Achim","non-dropping-particle":"","parse-names":false,"suffix":""},{"dropping-particle":"","family":"Townson","given":"Simon","non-dropping-particle":"","parse-names":false,"suffix":""},{"dropping-particle":"","family":"Slatko","given":"Barton E.","non-dropping-particle":"","parse-names":false,"suffix":""},{"dropping-particle":"","family":"Ward","given":"Stephen A.","non-dropping-particle":"","parse-names":false,"suffix":""}],"container-title":"Parasitology","id":"ITEM-3","issue":"01","issued":{"date-parts":[["2014","1","18"]]},"page":"119-27","publisher":"Cambridge University Press","title":"Anti-Wolbachia drug discovery and development: safe macrofilaricides for onchocerciasis and lymphatic filariasis.","type":"article-journal","volume":"141"},"uris":["http://www.mendeley.com/documents/?uuid=c29139e7-407c-4277-8de8-d285d584f40f"]}],"mendeley":{"formattedCitation":"&lt;sup&gt;1,2,17&lt;/sup&gt;","plainTextFormattedCitation":"1,2,17","previouslyFormattedCitation":"&lt;sup&gt;1,2,17&lt;/sup&gt;"},"properties":{"noteIndex":0},"schema":"https://github.com/citation-style-language/schema/raw/master/csl-citation.json"}</w:instrText>
      </w:r>
      <w:r w:rsidR="00BA0594" w:rsidRPr="00E672BE">
        <w:rPr>
          <w:rFonts w:cs="Times New Roman"/>
          <w:szCs w:val="24"/>
        </w:rPr>
        <w:fldChar w:fldCharType="separate"/>
      </w:r>
      <w:r w:rsidR="007C7B71" w:rsidRPr="00E672BE">
        <w:rPr>
          <w:rFonts w:cs="Times New Roman"/>
          <w:noProof/>
          <w:szCs w:val="24"/>
          <w:vertAlign w:val="superscript"/>
        </w:rPr>
        <w:t>1,2,17</w:t>
      </w:r>
      <w:r w:rsidR="00BA0594" w:rsidRPr="00E672BE">
        <w:rPr>
          <w:rFonts w:cs="Times New Roman"/>
          <w:szCs w:val="24"/>
        </w:rPr>
        <w:fldChar w:fldCharType="end"/>
      </w:r>
      <w:r w:rsidR="00BA0594" w:rsidRPr="00E672BE">
        <w:rPr>
          <w:rFonts w:cs="Times New Roman"/>
          <w:szCs w:val="24"/>
        </w:rPr>
        <w:t>.</w:t>
      </w:r>
      <w:r w:rsidR="00BA0594" w:rsidRPr="00E672BE">
        <w:t xml:space="preserve"> </w:t>
      </w:r>
    </w:p>
    <w:p w:rsidR="001A3AD2" w:rsidRPr="00E672BE" w:rsidRDefault="001A3AD2" w:rsidP="001965E5">
      <w:pPr>
        <w:spacing w:before="120"/>
        <w:rPr>
          <w:rFonts w:cs="Times New Roman"/>
          <w:color w:val="000000"/>
          <w:szCs w:val="24"/>
        </w:rPr>
      </w:pPr>
      <w:r w:rsidRPr="00E672BE">
        <w:rPr>
          <w:rFonts w:cs="Times New Roman"/>
          <w:szCs w:val="24"/>
        </w:rPr>
        <w:tab/>
        <w:t>The A∙WOL consortium</w:t>
      </w:r>
      <w:r w:rsidR="00C77CA6" w:rsidRPr="00E672BE">
        <w:rPr>
          <w:rFonts w:cs="Times New Roman"/>
          <w:szCs w:val="24"/>
        </w:rPr>
        <w:t xml:space="preserve"> </w:t>
      </w:r>
      <w:r w:rsidR="000A3DBC" w:rsidRPr="00E672BE">
        <w:rPr>
          <w:rFonts w:cs="Times New Roman"/>
          <w:szCs w:val="24"/>
        </w:rPr>
        <w:t xml:space="preserve">have </w:t>
      </w:r>
      <w:r w:rsidRPr="00E672BE">
        <w:rPr>
          <w:rFonts w:cs="Times New Roman"/>
          <w:szCs w:val="24"/>
        </w:rPr>
        <w:t xml:space="preserve">developed </w:t>
      </w:r>
      <w:r w:rsidR="003F4164" w:rsidRPr="00E672BE">
        <w:rPr>
          <w:rFonts w:cs="Times New Roman"/>
          <w:szCs w:val="24"/>
        </w:rPr>
        <w:t xml:space="preserve">and successfully utilised </w:t>
      </w:r>
      <w:r w:rsidR="00735E6C" w:rsidRPr="00E672BE">
        <w:rPr>
          <w:rFonts w:cs="Times New Roman"/>
          <w:szCs w:val="24"/>
        </w:rPr>
        <w:t xml:space="preserve">a </w:t>
      </w:r>
      <w:r w:rsidR="00BC1693" w:rsidRPr="00E672BE">
        <w:rPr>
          <w:rFonts w:cs="Times New Roman"/>
          <w:szCs w:val="24"/>
        </w:rPr>
        <w:t xml:space="preserve">fully validated </w:t>
      </w:r>
      <w:r w:rsidR="00735E6C" w:rsidRPr="00E672BE">
        <w:rPr>
          <w:rFonts w:cs="Times New Roman"/>
          <w:szCs w:val="24"/>
        </w:rPr>
        <w:t>whole cell screening assay using</w:t>
      </w:r>
      <w:r w:rsidRPr="00E672BE">
        <w:rPr>
          <w:rFonts w:cs="Times New Roman"/>
          <w:szCs w:val="24"/>
        </w:rPr>
        <w:t xml:space="preserve"> </w:t>
      </w:r>
      <w:r w:rsidR="009518DB" w:rsidRPr="00E672BE">
        <w:rPr>
          <w:rFonts w:cs="Times New Roman"/>
          <w:szCs w:val="24"/>
        </w:rPr>
        <w:t xml:space="preserve">an </w:t>
      </w:r>
      <w:r w:rsidRPr="00E672BE">
        <w:rPr>
          <w:rFonts w:cs="Times New Roman"/>
          <w:szCs w:val="24"/>
        </w:rPr>
        <w:t xml:space="preserve">insect cell line stably infected with </w:t>
      </w:r>
      <w:r w:rsidR="00CB5408" w:rsidRPr="00E672BE">
        <w:rPr>
          <w:rFonts w:cs="Times New Roman"/>
          <w:i/>
          <w:szCs w:val="24"/>
        </w:rPr>
        <w:t>Wolbachia</w:t>
      </w:r>
      <w:r w:rsidR="00D1278A" w:rsidRPr="00E672BE">
        <w:rPr>
          <w:rFonts w:cs="Times New Roman"/>
          <w:szCs w:val="24"/>
        </w:rPr>
        <w:t>, C6/36 (</w:t>
      </w:r>
      <w:r w:rsidR="00D1278A" w:rsidRPr="00E672BE">
        <w:rPr>
          <w:rFonts w:cs="Times New Roman"/>
          <w:i/>
          <w:szCs w:val="24"/>
        </w:rPr>
        <w:t>w</w:t>
      </w:r>
      <w:r w:rsidR="00D1278A" w:rsidRPr="00E672BE">
        <w:rPr>
          <w:rFonts w:cs="Times New Roman"/>
          <w:szCs w:val="24"/>
        </w:rPr>
        <w:t>AlbB)</w:t>
      </w:r>
      <w:r w:rsidR="002131DE" w:rsidRPr="00E672BE">
        <w:rPr>
          <w:rFonts w:cs="Times New Roman"/>
          <w:szCs w:val="24"/>
        </w:rPr>
        <w:fldChar w:fldCharType="begin" w:fldLock="1"/>
      </w:r>
      <w:r w:rsidR="00957134" w:rsidRPr="00E672BE">
        <w:rPr>
          <w:rFonts w:cs="Times New Roman"/>
          <w:szCs w:val="24"/>
        </w:rPr>
        <w:instrText>ADDIN CSL_CITATION {"citationItems":[{"id":"ITEM-1","itemData":{"DOI":"10.1177/1087057114551518","ISSN":"1087-0571","author":[{"dropping-particle":"","family":"Clare","given":"R. H.","non-dropping-particle":"","parse-names":false,"suffix":""},{"dropping-particle":"","family":"Cook","given":"D. a. N.","non-dropping-particle":"","parse-names":false,"suffix":""},{"dropping-particle":"","family":"Johnston","given":"K. L.","non-dropping-particle":"","parse-names":false,"suffix":""},{"dropping-particle":"","family":"Ford","given":"L.","non-dropping-particle":"","parse-names":false,"suffix":""},{"dropping-particle":"","family":"Ward","given":"S. a.","non-dropping-particle":"","parse-names":false,"suffix":""},{"dropping-particle":"","family":"Taylor","given":"M. J.","non-dropping-particle":"","parse-names":false,"suffix":""}],"container-title":"Journal of Biomolecular Screening","id":"ITEM-1","issue":"1","issued":{"date-parts":[["2014"]]},"page":"64-69","title":"Development and Validation of a High-Throughput Anti-Wolbachia Whole-Cell Screen: A Route to Macrofilaricidal Drugs against Onchocerciasis and Lymphatic Filariasis","type":"article-journal","volume":"20"},"uris":["http://www.mendeley.com/documents/?uuid=230a217b-b00a-485b-ac01-fc40cc8c7e2a"]},{"id":"ITEM-2","itemData":{"abstract":"Lymphatic filariasis and onchocerciasis are two important neglected tropical diseases (NTDs) that cause severe disability. Control efforts are hindered by the lack of a safe macrofilaricidal drug. Targeting the Wolbachia bacterial endosymbionts in these parasites with doxycycline leads to a macrofilaricidal outcome, but protracted treatment regimens and contraindications restrict its widespread implementation. The Anti-Wolbachia consortium aims to develop improved anti-Wolbachia drugs to overcome these barriers. We describe the first screening of a large, diverse compound library against Wolbachia. This whole-organism screen, streamlined to reduce bottlenecks, produced a hit rate of 0.5%. Chemoinformatic analysis of the top 50 hits led to the identification of six structurally diverse chemotypes, the disclosure of which could offer interesting avenues of investigation to other researchers active in this field. An example of hit-to-lead optimization is described to further demonstrate the potential of developing these high-quality hit series as safe, efficacious, and selective anti-Wolbachia macrofilaricides.","author":[{"dropping-particle":"","family":"Johnston","given":"Kelly L","non-dropping-particle":"","parse-names":false,"suffix":""},{"dropping-particle":"","family":"Cook","given":"Darren A N","non-dropping-particle":"","parse-names":false,"suffix":""},{"dropping-particle":"","family":"Berry","given":"Neil G","non-dropping-particle":"","parse-names":false,"suffix":""},{"dropping-particle":"","family":"Hong","given":"W David","non-dropping-particle":"","parse-names":false,"suffix":""},{"dropping-particle":"","family":"Clare","given":"Rachel H","non-dropping-particle":"","parse-names":false,"suffix":""},{"dropping-particle":"","family":"Goddard","given":"Megan","non-dropping-particle":"","parse-names":false,"suffix":""},{"dropping-particle":"","family":"Ford","given":"Louise","non-dropping-particle":"","parse-names":false,"suffix":""},{"dropping-particle":"","family":"Nixon","given":"Gemma L","non-dropping-particle":"","parse-names":false,"suffix":""},{"dropping-particle":"","family":"Neill","given":"Paul M O","non-dropping-particle":"","parse-names":false,"suffix":""},{"dropping-particle":"","family":"Ward","given":"Stephen A","non-dropping-particle":"","parse-names":false,"suffix":""},{"dropping-particle":"","family":"Taylor","given":"Mark J","non-dropping-particle":"","parse-names":false,"suffix":""}],"container-title":"Science Advances","id":"ITEM-2","issue":"September","issued":{"date-parts":[["2017"]]},"page":"1-11","title":"Identification and prioritization of novel anti- Wolbachia chemotypes from screening a 10,000-compound diversity library","type":"article-journal","volume":"36"},"uris":["http://www.mendeley.com/documents/?uuid=f7d5b03b-9b6f-4951-9edd-928474e1707a"]},{"id":"ITEM-3","itemData":{"DOI":"10.1016/j.ijpddr.2014.09.001","ISSN":"22113207","abstract":"Lymphatic filariasis and onchocerciasis are debilitating diseases caused by parasitic filarial nematodes infecting around 150 million people throughout the tropics with more than 1.5 billion at risk. As with other neglected tropical diseases, classical drug-discovery and development is lacking and a 50year programme of macrofilaricidal discovery failed to deliver a drug which can be used as a public health tool. Recently, antibiotic targeting of filarial Wolbachia, an essential bacterial symbiont, has provided a novel drug treatment for filariasis with macrofilaricidal activity, although the current gold-standard, doxycycline, is unsuitable for use in mass drug administration (MDA). The anti-Wolbachia (A·WOL) Consortium aims to identify novel anti-Wolbachia drugs, compounds or combinations that are suitable for use in MDA. Development of a Wolbachia cell-based assay has enabled the screening of the approved human drug-pharmacopoeia (</w:instrText>
      </w:r>
      <w:r w:rsidR="00957134" w:rsidRPr="00E672BE">
        <w:rPr>
          <w:rFonts w:ascii="Cambria Math" w:hAnsi="Cambria Math" w:cs="Cambria Math"/>
          <w:szCs w:val="24"/>
        </w:rPr>
        <w:instrText>∼</w:instrText>
      </w:r>
      <w:r w:rsidR="00957134" w:rsidRPr="00E672BE">
        <w:rPr>
          <w:rFonts w:cs="Times New Roman"/>
          <w:szCs w:val="24"/>
        </w:rPr>
        <w:instrText>2600 drugs) for a potential repurposing. This screening strategy has revealed that approved drugs from various classes show significant bacterial load reduction equal to or superior to the gold-standard doxycycline, with 69 orally available hits from different drug categories being identified. Based on our defined hit criteria, 15 compounds were then selectively screened in a Litomosoides sigmodontis mouse model, 4 of which were active. These came from the tetracycline, fluoroquinolone and rifamycin classes. This strategy of repurposing approved drugs is a promising development in the goal of finding a novel treatment against filariasis and could also be a strategy applicable for other neglected tropical diseases.","author":[{"dropping-particle":"","family":"Johnston","given":"Kelly L.","non-dropping-particle":"","parse-names":false,"suffix":""},{"dropping-particle":"","family":"Ford","given":"Louise","non-dropping-particle":"","parse-names":false,"suffix":""},{"dropping-particle":"","family":"Umareddy","given":"Indira","non-dropping-particle":"","parse-names":false,"suffix":""},{"dropping-particle":"","family":"Townson","given":"Simon","non-dropping-particle":"","parse-names":false,"suffix":""},{"dropping-particle":"","family":"Specht","given":"Sabine","non-dropping-particle":"","parse-names":false,"suffix":""},{"dropping-particle":"","family":"Pfarr","given":"Kenneth","non-dropping-particle":"","parse-names":false,"suffix":""},{"dropping-particle":"","family":"Hoerauf","given":"Achim","non-dropping-particle":"","parse-names":false,"suffix":""},{"dropping-particle":"","family":"Altmeyer","given":"Ralf","non-dropping-particle":"","parse-names":false,"suffix":""},{"dropping-particle":"","family":"Taylor","given":"Mark J.","non-dropping-particle":"","parse-names":false,"suffix":""}],"container-title":"International Journal for Parasitology: Drugs and Drug Resistance","id":"ITEM-3","issue":"3","issued":{"date-parts":[["2014"]]},"page":"278-286","title":"Repurposing of approved drugs from the human pharmacopoeia to target Wolbachia endosymbionts of onchocerciasis and lymphatic filariasis","type":"article-journal","volume":"4"},"uris":["http://www.mendeley.com/documents/?uuid=1dccc745-20fb-3dd1-9465-533d77712c8a"]}],"mendeley":{"formattedCitation":"&lt;sup&gt;18–20&lt;/sup&gt;","plainTextFormattedCitation":"18–20","previouslyFormattedCitation":"&lt;sup&gt;18–20&lt;/sup&gt;"},"properties":{"noteIndex":0},"schema":"https://github.com/citation-style-language/schema/raw/master/csl-citation.json"}</w:instrText>
      </w:r>
      <w:r w:rsidR="002131DE" w:rsidRPr="00E672BE">
        <w:rPr>
          <w:rFonts w:cs="Times New Roman"/>
          <w:szCs w:val="24"/>
        </w:rPr>
        <w:fldChar w:fldCharType="separate"/>
      </w:r>
      <w:r w:rsidR="007C7B71" w:rsidRPr="00E672BE">
        <w:rPr>
          <w:rFonts w:cs="Times New Roman"/>
          <w:noProof/>
          <w:szCs w:val="24"/>
          <w:vertAlign w:val="superscript"/>
        </w:rPr>
        <w:t>18–20</w:t>
      </w:r>
      <w:r w:rsidR="002131DE" w:rsidRPr="00E672BE">
        <w:rPr>
          <w:rFonts w:cs="Times New Roman"/>
          <w:szCs w:val="24"/>
        </w:rPr>
        <w:fldChar w:fldCharType="end"/>
      </w:r>
      <w:r w:rsidRPr="00E672BE">
        <w:rPr>
          <w:rFonts w:cs="Times New Roman"/>
          <w:color w:val="000000"/>
          <w:szCs w:val="24"/>
        </w:rPr>
        <w:t>.</w:t>
      </w:r>
      <w:r w:rsidR="0009031A" w:rsidRPr="00E672BE">
        <w:rPr>
          <w:rFonts w:cs="Times New Roman"/>
          <w:color w:val="000000"/>
          <w:szCs w:val="24"/>
        </w:rPr>
        <w:t xml:space="preserve"> </w:t>
      </w:r>
      <w:r w:rsidR="006B3224" w:rsidRPr="00E672BE">
        <w:rPr>
          <w:rFonts w:cs="Times New Roman"/>
          <w:color w:val="000000"/>
          <w:szCs w:val="24"/>
        </w:rPr>
        <w:t>To</w:t>
      </w:r>
      <w:r w:rsidR="0009031A" w:rsidRPr="00E672BE">
        <w:rPr>
          <w:rFonts w:cs="Times New Roman"/>
          <w:color w:val="000000"/>
          <w:szCs w:val="24"/>
        </w:rPr>
        <w:t xml:space="preserve"> </w:t>
      </w:r>
      <w:r w:rsidR="00BC1693" w:rsidRPr="00E672BE">
        <w:rPr>
          <w:rFonts w:cs="Times New Roman"/>
          <w:color w:val="000000"/>
          <w:szCs w:val="24"/>
        </w:rPr>
        <w:t xml:space="preserve">facilitate </w:t>
      </w:r>
      <w:r w:rsidR="007132B2" w:rsidRPr="00E672BE">
        <w:rPr>
          <w:rFonts w:cs="Times New Roman"/>
          <w:color w:val="000000"/>
          <w:szCs w:val="24"/>
        </w:rPr>
        <w:t xml:space="preserve">the </w:t>
      </w:r>
      <w:r w:rsidR="002529D4" w:rsidRPr="00E672BE">
        <w:rPr>
          <w:rFonts w:cs="Times New Roman"/>
          <w:color w:val="000000"/>
          <w:szCs w:val="24"/>
        </w:rPr>
        <w:t xml:space="preserve">massive </w:t>
      </w:r>
      <w:r w:rsidR="007132B2" w:rsidRPr="00E672BE">
        <w:rPr>
          <w:rFonts w:cs="Times New Roman"/>
          <w:color w:val="000000"/>
          <w:szCs w:val="24"/>
        </w:rPr>
        <w:t xml:space="preserve">scale up </w:t>
      </w:r>
      <w:r w:rsidR="00BE40E1" w:rsidRPr="00E672BE">
        <w:rPr>
          <w:rFonts w:cs="Times New Roman"/>
          <w:color w:val="000000"/>
          <w:szCs w:val="24"/>
        </w:rPr>
        <w:t xml:space="preserve">of this screen </w:t>
      </w:r>
      <w:r w:rsidR="00C27191" w:rsidRPr="00E672BE">
        <w:rPr>
          <w:rFonts w:cs="Times New Roman"/>
          <w:color w:val="000000"/>
          <w:szCs w:val="24"/>
        </w:rPr>
        <w:t xml:space="preserve">from a capacity to screen thousands of compounds </w:t>
      </w:r>
      <w:r w:rsidR="007132B2" w:rsidRPr="00E672BE">
        <w:rPr>
          <w:rFonts w:cs="Times New Roman"/>
          <w:color w:val="000000"/>
          <w:szCs w:val="24"/>
        </w:rPr>
        <w:t xml:space="preserve">to an </w:t>
      </w:r>
      <w:r w:rsidR="0009031A" w:rsidRPr="00E672BE">
        <w:rPr>
          <w:rFonts w:cs="Times New Roman"/>
          <w:color w:val="000000"/>
          <w:szCs w:val="24"/>
        </w:rPr>
        <w:t xml:space="preserve">industrial </w:t>
      </w:r>
      <w:r w:rsidR="007132B2" w:rsidRPr="00E672BE">
        <w:rPr>
          <w:rFonts w:cs="Times New Roman"/>
          <w:color w:val="000000"/>
          <w:szCs w:val="24"/>
        </w:rPr>
        <w:t xml:space="preserve">standard </w:t>
      </w:r>
      <w:r w:rsidR="0009031A" w:rsidRPr="00E672BE">
        <w:rPr>
          <w:rFonts w:cs="Times New Roman"/>
          <w:color w:val="000000"/>
          <w:szCs w:val="24"/>
        </w:rPr>
        <w:t>high-throughput screen</w:t>
      </w:r>
      <w:r w:rsidR="00472A0E" w:rsidRPr="00E672BE">
        <w:rPr>
          <w:rFonts w:cs="Times New Roman"/>
          <w:color w:val="000000"/>
          <w:szCs w:val="24"/>
        </w:rPr>
        <w:t xml:space="preserve"> (HTS)</w:t>
      </w:r>
      <w:r w:rsidR="00C27191" w:rsidRPr="00E672BE">
        <w:rPr>
          <w:rFonts w:cs="Times New Roman"/>
          <w:color w:val="000000"/>
          <w:szCs w:val="24"/>
        </w:rPr>
        <w:t xml:space="preserve"> capable of screening millions of compounds</w:t>
      </w:r>
      <w:r w:rsidR="0009031A" w:rsidRPr="00E672BE">
        <w:rPr>
          <w:rFonts w:cs="Times New Roman"/>
          <w:color w:val="000000"/>
          <w:szCs w:val="24"/>
        </w:rPr>
        <w:t xml:space="preserve">, </w:t>
      </w:r>
      <w:r w:rsidR="0009031A" w:rsidRPr="00E672BE">
        <w:rPr>
          <w:rFonts w:cs="Times New Roman"/>
          <w:szCs w:val="24"/>
        </w:rPr>
        <w:t>A∙WOL partnered with AstraZeneca's Global High</w:t>
      </w:r>
      <w:r w:rsidR="00472A0E" w:rsidRPr="00E672BE">
        <w:rPr>
          <w:rFonts w:cs="Times New Roman"/>
          <w:szCs w:val="24"/>
        </w:rPr>
        <w:t>-</w:t>
      </w:r>
      <w:r w:rsidR="0009031A" w:rsidRPr="00E672BE">
        <w:rPr>
          <w:rFonts w:cs="Times New Roman"/>
          <w:szCs w:val="24"/>
        </w:rPr>
        <w:lastRenderedPageBreak/>
        <w:t>Throughput Screening (HTS) Centre</w:t>
      </w:r>
      <w:r w:rsidR="00C27191" w:rsidRPr="00E672BE">
        <w:rPr>
          <w:rFonts w:cs="Times New Roman"/>
          <w:szCs w:val="24"/>
        </w:rPr>
        <w:t xml:space="preserve">. </w:t>
      </w:r>
      <w:bookmarkStart w:id="1" w:name="_Hlk529366875"/>
      <w:r w:rsidR="00C27191" w:rsidRPr="00E672BE">
        <w:rPr>
          <w:rFonts w:cs="Times New Roman"/>
          <w:szCs w:val="24"/>
        </w:rPr>
        <w:t>This collaboration</w:t>
      </w:r>
      <w:r w:rsidR="00472A0E" w:rsidRPr="00E672BE">
        <w:rPr>
          <w:rFonts w:cs="Times New Roman"/>
          <w:szCs w:val="24"/>
        </w:rPr>
        <w:t xml:space="preserve"> establish</w:t>
      </w:r>
      <w:r w:rsidR="00C27191" w:rsidRPr="00E672BE">
        <w:rPr>
          <w:rFonts w:cs="Times New Roman"/>
          <w:szCs w:val="24"/>
        </w:rPr>
        <w:t>ed</w:t>
      </w:r>
      <w:r w:rsidR="00472A0E" w:rsidRPr="00E672BE">
        <w:rPr>
          <w:rFonts w:cs="Times New Roman"/>
          <w:szCs w:val="24"/>
        </w:rPr>
        <w:t xml:space="preserve"> </w:t>
      </w:r>
      <w:r w:rsidR="000157FA" w:rsidRPr="00E672BE">
        <w:rPr>
          <w:rFonts w:cs="Times New Roman"/>
          <w:szCs w:val="24"/>
        </w:rPr>
        <w:t>an</w:t>
      </w:r>
      <w:r w:rsidR="00472A0E" w:rsidRPr="00E672BE">
        <w:rPr>
          <w:rFonts w:cs="Times New Roman"/>
          <w:szCs w:val="24"/>
        </w:rPr>
        <w:t xml:space="preserve"> </w:t>
      </w:r>
      <w:r w:rsidR="00C27191" w:rsidRPr="00E672BE">
        <w:rPr>
          <w:rFonts w:cs="Times New Roman"/>
          <w:szCs w:val="24"/>
        </w:rPr>
        <w:t xml:space="preserve">industrial scale </w:t>
      </w:r>
      <w:r w:rsidR="00472A0E" w:rsidRPr="00E672BE">
        <w:rPr>
          <w:lang w:val="en-US"/>
        </w:rPr>
        <w:t>anthelmintic HTS</w:t>
      </w:r>
      <w:r w:rsidR="00BC1693" w:rsidRPr="00E672BE">
        <w:rPr>
          <w:rFonts w:cs="Times New Roman"/>
          <w:szCs w:val="24"/>
        </w:rPr>
        <w:t xml:space="preserve"> </w:t>
      </w:r>
      <w:r w:rsidR="00472A0E" w:rsidRPr="00E672BE">
        <w:rPr>
          <w:rFonts w:cs="Times New Roman"/>
          <w:szCs w:val="24"/>
        </w:rPr>
        <w:t xml:space="preserve">for neglected tropical diseases </w:t>
      </w:r>
      <w:r w:rsidR="00BC1693" w:rsidRPr="00E672BE">
        <w:rPr>
          <w:rFonts w:cs="Times New Roman"/>
          <w:szCs w:val="24"/>
        </w:rPr>
        <w:t>in their facility</w:t>
      </w:r>
      <w:r w:rsidR="006271CC" w:rsidRPr="00E672BE">
        <w:rPr>
          <w:rFonts w:cs="Times New Roman"/>
          <w:szCs w:val="24"/>
        </w:rPr>
        <w:t xml:space="preserve"> </w:t>
      </w:r>
      <w:r w:rsidR="00C27191" w:rsidRPr="00E672BE">
        <w:rPr>
          <w:rFonts w:cs="Times New Roman"/>
          <w:szCs w:val="24"/>
        </w:rPr>
        <w:t>which had the capacity to</w:t>
      </w:r>
      <w:r w:rsidR="006054C4" w:rsidRPr="00E672BE">
        <w:rPr>
          <w:rFonts w:cs="Times New Roman"/>
          <w:szCs w:val="24"/>
        </w:rPr>
        <w:t xml:space="preserve"> </w:t>
      </w:r>
      <w:r w:rsidR="006271CC" w:rsidRPr="00E672BE">
        <w:rPr>
          <w:rFonts w:cs="Times New Roman"/>
          <w:szCs w:val="24"/>
        </w:rPr>
        <w:t xml:space="preserve">screen the entire </w:t>
      </w:r>
      <w:r w:rsidR="00D743BC" w:rsidRPr="00E672BE">
        <w:rPr>
          <w:rFonts w:cs="Times New Roman"/>
          <w:szCs w:val="24"/>
        </w:rPr>
        <w:t>A</w:t>
      </w:r>
      <w:r w:rsidR="008334E8" w:rsidRPr="00E672BE">
        <w:rPr>
          <w:rFonts w:cs="Times New Roman"/>
          <w:szCs w:val="24"/>
        </w:rPr>
        <w:t>stra</w:t>
      </w:r>
      <w:r w:rsidR="00D743BC" w:rsidRPr="00E672BE">
        <w:rPr>
          <w:rFonts w:cs="Times New Roman"/>
          <w:szCs w:val="24"/>
        </w:rPr>
        <w:t>Z</w:t>
      </w:r>
      <w:r w:rsidR="008334E8" w:rsidRPr="00E672BE">
        <w:rPr>
          <w:rFonts w:cs="Times New Roman"/>
          <w:szCs w:val="24"/>
        </w:rPr>
        <w:t>eneca</w:t>
      </w:r>
      <w:r w:rsidR="00D743BC" w:rsidRPr="00E672BE">
        <w:rPr>
          <w:rFonts w:cs="Times New Roman"/>
          <w:szCs w:val="24"/>
        </w:rPr>
        <w:t xml:space="preserve"> </w:t>
      </w:r>
      <w:r w:rsidR="00C27191" w:rsidRPr="00E672BE">
        <w:rPr>
          <w:rFonts w:cs="Times New Roman"/>
          <w:szCs w:val="24"/>
        </w:rPr>
        <w:t xml:space="preserve">1.3 million </w:t>
      </w:r>
      <w:r w:rsidR="00D743BC" w:rsidRPr="00E672BE">
        <w:rPr>
          <w:rFonts w:cs="Times New Roman"/>
          <w:szCs w:val="24"/>
        </w:rPr>
        <w:t>compound collection</w:t>
      </w:r>
      <w:r w:rsidR="003005F7" w:rsidRPr="00E672BE">
        <w:rPr>
          <w:rFonts w:cs="Times New Roman"/>
          <w:szCs w:val="24"/>
        </w:rPr>
        <w:t>.</w:t>
      </w:r>
      <w:bookmarkEnd w:id="1"/>
    </w:p>
    <w:p w:rsidR="00DE5796" w:rsidRPr="00E672BE" w:rsidRDefault="001A3608" w:rsidP="001A3608">
      <w:pPr>
        <w:pStyle w:val="Heading2"/>
      </w:pPr>
      <w:r w:rsidRPr="00E672BE">
        <w:t xml:space="preserve">Results </w:t>
      </w:r>
    </w:p>
    <w:p w:rsidR="00DE5796" w:rsidRPr="00E672BE" w:rsidRDefault="00047833" w:rsidP="0081482A">
      <w:pPr>
        <w:pStyle w:val="Heading3"/>
        <w:ind w:left="0"/>
      </w:pPr>
      <w:r w:rsidRPr="00E672BE">
        <w:t>O</w:t>
      </w:r>
      <w:r w:rsidR="00DE5796" w:rsidRPr="00E672BE">
        <w:t>verview</w:t>
      </w:r>
      <w:r w:rsidR="00382757" w:rsidRPr="00E672BE">
        <w:t xml:space="preserve"> of </w:t>
      </w:r>
      <w:r w:rsidRPr="00E672BE">
        <w:t xml:space="preserve">the primary </w:t>
      </w:r>
      <w:r w:rsidR="00382757" w:rsidRPr="00E672BE">
        <w:t>high-t</w:t>
      </w:r>
      <w:r w:rsidR="0048284E" w:rsidRPr="00E672BE">
        <w:t>hrough</w:t>
      </w:r>
      <w:r w:rsidR="00382757" w:rsidRPr="00E672BE">
        <w:t>put s</w:t>
      </w:r>
      <w:r w:rsidR="0048284E" w:rsidRPr="00E672BE">
        <w:t>creen (HTS)</w:t>
      </w:r>
    </w:p>
    <w:p w:rsidR="00E966B5" w:rsidRPr="00E672BE" w:rsidRDefault="009F6EE8" w:rsidP="0081482A">
      <w:pPr>
        <w:spacing w:before="120"/>
        <w:rPr>
          <w:rFonts w:cs="Times New Roman"/>
          <w:szCs w:val="24"/>
        </w:rPr>
      </w:pPr>
      <w:r w:rsidRPr="00E672BE">
        <w:rPr>
          <w:rFonts w:cs="Times New Roman"/>
          <w:szCs w:val="24"/>
        </w:rPr>
        <w:t xml:space="preserve">This </w:t>
      </w:r>
      <w:r w:rsidR="0048284E" w:rsidRPr="00E672BE">
        <w:rPr>
          <w:rFonts w:cs="Times New Roman"/>
          <w:szCs w:val="24"/>
        </w:rPr>
        <w:t>screen incorporated a</w:t>
      </w:r>
      <w:r w:rsidRPr="00E672BE">
        <w:rPr>
          <w:rFonts w:cs="Times New Roman"/>
          <w:szCs w:val="24"/>
        </w:rPr>
        <w:t xml:space="preserve"> </w:t>
      </w:r>
      <w:r w:rsidR="004F34FE" w:rsidRPr="00E672BE">
        <w:rPr>
          <w:rFonts w:cs="Times New Roman"/>
          <w:szCs w:val="24"/>
        </w:rPr>
        <w:t>3-part</w:t>
      </w:r>
      <w:r w:rsidR="0048284E" w:rsidRPr="00E672BE">
        <w:rPr>
          <w:rFonts w:cs="Times New Roman"/>
          <w:szCs w:val="24"/>
        </w:rPr>
        <w:t xml:space="preserve"> assay </w:t>
      </w:r>
      <w:r w:rsidR="00E966B5" w:rsidRPr="00E672BE">
        <w:rPr>
          <w:rFonts w:cs="Times New Roman"/>
          <w:szCs w:val="24"/>
        </w:rPr>
        <w:t>summarised in Figure 1</w:t>
      </w:r>
      <w:r w:rsidRPr="00E672BE">
        <w:rPr>
          <w:rFonts w:cs="Times New Roman"/>
          <w:szCs w:val="24"/>
        </w:rPr>
        <w:t xml:space="preserve">. </w:t>
      </w:r>
      <w:r w:rsidR="00974B78" w:rsidRPr="00E672BE">
        <w:rPr>
          <w:rFonts w:cs="Times New Roman"/>
          <w:szCs w:val="24"/>
        </w:rPr>
        <w:t>Initially</w:t>
      </w:r>
      <w:r w:rsidR="00E71119" w:rsidRPr="00E672BE">
        <w:rPr>
          <w:rFonts w:cs="Times New Roman"/>
          <w:szCs w:val="24"/>
        </w:rPr>
        <w:t xml:space="preserve"> C6/36 (</w:t>
      </w:r>
      <w:r w:rsidR="00E71119" w:rsidRPr="00E672BE">
        <w:rPr>
          <w:rFonts w:cs="Times New Roman"/>
          <w:i/>
          <w:szCs w:val="24"/>
        </w:rPr>
        <w:t>w</w:t>
      </w:r>
      <w:r w:rsidR="00E71119" w:rsidRPr="00E672BE">
        <w:rPr>
          <w:rFonts w:cs="Times New Roman"/>
          <w:szCs w:val="24"/>
        </w:rPr>
        <w:t xml:space="preserve">AlbB) cells (insect </w:t>
      </w:r>
      <w:r w:rsidRPr="00E672BE">
        <w:rPr>
          <w:rFonts w:cs="Times New Roman"/>
          <w:szCs w:val="24"/>
        </w:rPr>
        <w:t>cells</w:t>
      </w:r>
      <w:r w:rsidR="00E71119" w:rsidRPr="00E672BE">
        <w:rPr>
          <w:rFonts w:cs="Times New Roman"/>
          <w:szCs w:val="24"/>
        </w:rPr>
        <w:t xml:space="preserve"> stably infected</w:t>
      </w:r>
      <w:r w:rsidRPr="00E672BE">
        <w:rPr>
          <w:rFonts w:cs="Times New Roman"/>
          <w:szCs w:val="24"/>
        </w:rPr>
        <w:t xml:space="preserve"> </w:t>
      </w:r>
      <w:r w:rsidR="00E71119" w:rsidRPr="00E672BE">
        <w:rPr>
          <w:rFonts w:cs="Times New Roman"/>
          <w:szCs w:val="24"/>
        </w:rPr>
        <w:t xml:space="preserve">with the </w:t>
      </w:r>
      <w:r w:rsidR="00CB5408" w:rsidRPr="00E672BE">
        <w:rPr>
          <w:rFonts w:cs="Times New Roman"/>
          <w:i/>
          <w:szCs w:val="24"/>
        </w:rPr>
        <w:t>Wolbachia</w:t>
      </w:r>
      <w:r w:rsidR="00E71119" w:rsidRPr="00E672BE">
        <w:rPr>
          <w:rFonts w:cs="Times New Roman"/>
          <w:szCs w:val="24"/>
        </w:rPr>
        <w:t xml:space="preserve"> target) </w:t>
      </w:r>
      <w:r w:rsidRPr="00E672BE">
        <w:rPr>
          <w:rFonts w:cs="Times New Roman"/>
          <w:szCs w:val="24"/>
        </w:rPr>
        <w:t xml:space="preserve">from a single cryopreserved batch </w:t>
      </w:r>
      <w:r w:rsidR="003D3706" w:rsidRPr="00E672BE">
        <w:rPr>
          <w:rFonts w:cs="Times New Roman"/>
          <w:szCs w:val="24"/>
        </w:rPr>
        <w:t>w</w:t>
      </w:r>
      <w:r w:rsidRPr="00E672BE">
        <w:rPr>
          <w:rFonts w:cs="Times New Roman"/>
          <w:szCs w:val="24"/>
        </w:rPr>
        <w:t xml:space="preserve">ere recovered </w:t>
      </w:r>
      <w:r w:rsidR="00974B78" w:rsidRPr="00E672BE">
        <w:rPr>
          <w:rFonts w:cs="Times New Roman"/>
          <w:szCs w:val="24"/>
        </w:rPr>
        <w:t xml:space="preserve">over </w:t>
      </w:r>
      <w:r w:rsidR="0048284E" w:rsidRPr="00E672BE">
        <w:rPr>
          <w:rFonts w:cs="Times New Roman"/>
          <w:szCs w:val="24"/>
        </w:rPr>
        <w:t xml:space="preserve">7 days </w:t>
      </w:r>
      <w:r w:rsidR="00974B78" w:rsidRPr="00E672BE">
        <w:rPr>
          <w:rFonts w:cs="Times New Roman"/>
          <w:szCs w:val="24"/>
        </w:rPr>
        <w:t xml:space="preserve">prior to </w:t>
      </w:r>
      <w:r w:rsidRPr="00E672BE">
        <w:rPr>
          <w:rFonts w:cs="Times New Roman"/>
          <w:szCs w:val="24"/>
        </w:rPr>
        <w:t xml:space="preserve">plating into </w:t>
      </w:r>
      <w:r w:rsidR="00CB7B84" w:rsidRPr="00E672BE">
        <w:rPr>
          <w:rFonts w:cs="Times New Roman"/>
          <w:szCs w:val="24"/>
        </w:rPr>
        <w:t xml:space="preserve">384 well </w:t>
      </w:r>
      <w:r w:rsidRPr="00E672BE">
        <w:rPr>
          <w:rFonts w:cs="Times New Roman"/>
          <w:szCs w:val="24"/>
        </w:rPr>
        <w:t xml:space="preserve">assay ready plates </w:t>
      </w:r>
      <w:r w:rsidR="00974B78" w:rsidRPr="00E672BE">
        <w:rPr>
          <w:rFonts w:cs="Times New Roman"/>
          <w:szCs w:val="24"/>
        </w:rPr>
        <w:t>(</w:t>
      </w:r>
      <w:r w:rsidRPr="00E672BE">
        <w:rPr>
          <w:rFonts w:cs="Times New Roman"/>
          <w:szCs w:val="24"/>
        </w:rPr>
        <w:t xml:space="preserve">containing the </w:t>
      </w:r>
      <w:r w:rsidR="00974B78" w:rsidRPr="00E672BE">
        <w:rPr>
          <w:rFonts w:cs="Times New Roman"/>
          <w:szCs w:val="24"/>
        </w:rPr>
        <w:t xml:space="preserve">test </w:t>
      </w:r>
      <w:r w:rsidRPr="00E672BE">
        <w:rPr>
          <w:rFonts w:cs="Times New Roman"/>
          <w:szCs w:val="24"/>
        </w:rPr>
        <w:t>compounds</w:t>
      </w:r>
      <w:r w:rsidR="00974B78" w:rsidRPr="00E672BE">
        <w:rPr>
          <w:rFonts w:cs="Times New Roman"/>
          <w:szCs w:val="24"/>
        </w:rPr>
        <w:t>)</w:t>
      </w:r>
      <w:r w:rsidR="006938A6" w:rsidRPr="00E672BE">
        <w:rPr>
          <w:rFonts w:cs="Times New Roman"/>
          <w:szCs w:val="24"/>
        </w:rPr>
        <w:t>,</w:t>
      </w:r>
      <w:r w:rsidRPr="00E672BE">
        <w:rPr>
          <w:rFonts w:cs="Times New Roman"/>
          <w:szCs w:val="24"/>
        </w:rPr>
        <w:t xml:space="preserve"> using a semi-automated process </w:t>
      </w:r>
      <w:r w:rsidR="000A3DBC" w:rsidRPr="00E672BE">
        <w:rPr>
          <w:rFonts w:cs="Times New Roman"/>
          <w:szCs w:val="24"/>
        </w:rPr>
        <w:t xml:space="preserve">allowing for </w:t>
      </w:r>
      <w:r w:rsidR="00974B78" w:rsidRPr="00E672BE">
        <w:rPr>
          <w:rFonts w:cs="Times New Roman"/>
          <w:szCs w:val="24"/>
        </w:rPr>
        <w:t xml:space="preserve">daily batches of </w:t>
      </w:r>
      <w:r w:rsidR="00CB7B84" w:rsidRPr="00E672BE">
        <w:rPr>
          <w:rFonts w:cs="Times New Roman"/>
          <w:szCs w:val="24"/>
        </w:rPr>
        <w:t>~150 plate</w:t>
      </w:r>
      <w:r w:rsidR="007A6399" w:rsidRPr="00E672BE">
        <w:rPr>
          <w:rFonts w:cs="Times New Roman"/>
          <w:szCs w:val="24"/>
        </w:rPr>
        <w:t>s,</w:t>
      </w:r>
      <w:r w:rsidR="00CB7B84" w:rsidRPr="00E672BE">
        <w:rPr>
          <w:rFonts w:cs="Times New Roman"/>
          <w:szCs w:val="24"/>
        </w:rPr>
        <w:t xml:space="preserve"> set up 4 days </w:t>
      </w:r>
      <w:r w:rsidR="00A76170" w:rsidRPr="00E672BE">
        <w:rPr>
          <w:rFonts w:cs="Times New Roman"/>
          <w:szCs w:val="24"/>
        </w:rPr>
        <w:t>per</w:t>
      </w:r>
      <w:r w:rsidR="00CB7B84" w:rsidRPr="00E672BE">
        <w:rPr>
          <w:rFonts w:cs="Times New Roman"/>
          <w:szCs w:val="24"/>
        </w:rPr>
        <w:t xml:space="preserve"> week for </w:t>
      </w:r>
      <w:r w:rsidR="008010C3" w:rsidRPr="00E672BE">
        <w:rPr>
          <w:rFonts w:cs="Times New Roman"/>
          <w:szCs w:val="24"/>
        </w:rPr>
        <w:t>8 weeks</w:t>
      </w:r>
      <w:r w:rsidR="00EB2F9C" w:rsidRPr="00E672BE">
        <w:rPr>
          <w:rFonts w:cs="Times New Roman"/>
          <w:szCs w:val="24"/>
        </w:rPr>
        <w:t xml:space="preserve">. </w:t>
      </w:r>
      <w:r w:rsidR="00974B78" w:rsidRPr="00E672BE">
        <w:rPr>
          <w:rFonts w:cs="Times New Roman"/>
          <w:szCs w:val="24"/>
        </w:rPr>
        <w:t>A</w:t>
      </w:r>
      <w:r w:rsidR="00EB2F9C" w:rsidRPr="00E672BE">
        <w:rPr>
          <w:rFonts w:cs="Times New Roman"/>
          <w:szCs w:val="24"/>
        </w:rPr>
        <w:t xml:space="preserve">fter a </w:t>
      </w:r>
      <w:proofErr w:type="gramStart"/>
      <w:r w:rsidR="00EB2F9C" w:rsidRPr="00E672BE">
        <w:rPr>
          <w:rFonts w:cs="Times New Roman"/>
          <w:szCs w:val="24"/>
        </w:rPr>
        <w:t xml:space="preserve">7 </w:t>
      </w:r>
      <w:r w:rsidR="00F92B6C" w:rsidRPr="00E672BE">
        <w:rPr>
          <w:rFonts w:cs="Times New Roman"/>
          <w:szCs w:val="24"/>
        </w:rPr>
        <w:t>day</w:t>
      </w:r>
      <w:proofErr w:type="gramEnd"/>
      <w:r w:rsidR="00F92B6C" w:rsidRPr="00E672BE">
        <w:rPr>
          <w:rFonts w:cs="Times New Roman"/>
          <w:szCs w:val="24"/>
        </w:rPr>
        <w:t xml:space="preserve"> incubation </w:t>
      </w:r>
      <w:r w:rsidR="00974B78" w:rsidRPr="00E672BE">
        <w:rPr>
          <w:rFonts w:cs="Times New Roman"/>
          <w:szCs w:val="24"/>
        </w:rPr>
        <w:t xml:space="preserve">period </w:t>
      </w:r>
      <w:r w:rsidR="00F92B6C" w:rsidRPr="00E672BE">
        <w:rPr>
          <w:rFonts w:cs="Times New Roman"/>
          <w:szCs w:val="24"/>
        </w:rPr>
        <w:t xml:space="preserve">with the </w:t>
      </w:r>
      <w:r w:rsidR="00974B78" w:rsidRPr="00E672BE">
        <w:rPr>
          <w:rFonts w:cs="Times New Roman"/>
          <w:szCs w:val="24"/>
        </w:rPr>
        <w:t xml:space="preserve">test </w:t>
      </w:r>
      <w:r w:rsidR="00F92B6C" w:rsidRPr="00E672BE">
        <w:rPr>
          <w:rFonts w:cs="Times New Roman"/>
          <w:szCs w:val="24"/>
        </w:rPr>
        <w:t>compounds the plates were</w:t>
      </w:r>
      <w:r w:rsidRPr="00E672BE">
        <w:rPr>
          <w:rFonts w:cs="Times New Roman"/>
          <w:szCs w:val="24"/>
        </w:rPr>
        <w:t xml:space="preserve"> mov</w:t>
      </w:r>
      <w:r w:rsidR="00A76170" w:rsidRPr="00E672BE">
        <w:rPr>
          <w:rFonts w:cs="Times New Roman"/>
          <w:szCs w:val="24"/>
        </w:rPr>
        <w:t>ed</w:t>
      </w:r>
      <w:r w:rsidRPr="00E672BE">
        <w:rPr>
          <w:rFonts w:cs="Times New Roman"/>
          <w:szCs w:val="24"/>
        </w:rPr>
        <w:t xml:space="preserve"> into the </w:t>
      </w:r>
      <w:r w:rsidR="00974B78" w:rsidRPr="00E672BE">
        <w:rPr>
          <w:rFonts w:cs="Times New Roman"/>
          <w:szCs w:val="24"/>
        </w:rPr>
        <w:t xml:space="preserve">second </w:t>
      </w:r>
      <w:r w:rsidRPr="00E672BE">
        <w:rPr>
          <w:rFonts w:cs="Times New Roman"/>
          <w:szCs w:val="24"/>
        </w:rPr>
        <w:t>fully autom</w:t>
      </w:r>
      <w:r w:rsidR="00AB7CF9" w:rsidRPr="00E672BE">
        <w:rPr>
          <w:rFonts w:cs="Times New Roman"/>
          <w:szCs w:val="24"/>
        </w:rPr>
        <w:t xml:space="preserve">ated </w:t>
      </w:r>
      <w:r w:rsidR="008010C3" w:rsidRPr="00E672BE">
        <w:rPr>
          <w:rFonts w:cs="Times New Roman"/>
          <w:szCs w:val="24"/>
        </w:rPr>
        <w:t>stage</w:t>
      </w:r>
      <w:r w:rsidR="00AB7CF9" w:rsidRPr="00E672BE">
        <w:rPr>
          <w:rFonts w:cs="Times New Roman"/>
          <w:szCs w:val="24"/>
        </w:rPr>
        <w:t xml:space="preserve"> </w:t>
      </w:r>
      <w:r w:rsidR="00E966B5" w:rsidRPr="00E672BE">
        <w:rPr>
          <w:rFonts w:cs="Times New Roman"/>
          <w:szCs w:val="24"/>
        </w:rPr>
        <w:t xml:space="preserve">(using the Agilent </w:t>
      </w:r>
      <w:r w:rsidR="004F34FE" w:rsidRPr="00E672BE">
        <w:rPr>
          <w:rFonts w:cs="Times New Roman"/>
          <w:szCs w:val="24"/>
        </w:rPr>
        <w:t>Technologies</w:t>
      </w:r>
      <w:r w:rsidR="00E966B5" w:rsidRPr="00E672BE">
        <w:rPr>
          <w:rFonts w:cs="Times New Roman"/>
          <w:szCs w:val="24"/>
        </w:rPr>
        <w:t xml:space="preserve"> BioCel system) </w:t>
      </w:r>
      <w:r w:rsidR="00974B78" w:rsidRPr="00E672BE">
        <w:rPr>
          <w:rFonts w:cs="Times New Roman"/>
          <w:szCs w:val="24"/>
        </w:rPr>
        <w:t xml:space="preserve">involving </w:t>
      </w:r>
      <w:r w:rsidR="00E966B5" w:rsidRPr="00E672BE">
        <w:rPr>
          <w:rFonts w:cs="Times New Roman"/>
          <w:szCs w:val="24"/>
        </w:rPr>
        <w:t xml:space="preserve">formaldehyde </w:t>
      </w:r>
      <w:r w:rsidR="00AB7CF9" w:rsidRPr="00E672BE">
        <w:rPr>
          <w:rFonts w:cs="Times New Roman"/>
          <w:szCs w:val="24"/>
        </w:rPr>
        <w:t>fixation</w:t>
      </w:r>
      <w:r w:rsidRPr="00E672BE">
        <w:rPr>
          <w:rFonts w:cs="Times New Roman"/>
          <w:szCs w:val="24"/>
        </w:rPr>
        <w:t>, DNA staining of the</w:t>
      </w:r>
      <w:r w:rsidR="00E966B5" w:rsidRPr="00E672BE">
        <w:rPr>
          <w:rFonts w:cs="Times New Roman"/>
          <w:szCs w:val="24"/>
        </w:rPr>
        <w:t xml:space="preserve"> insect</w:t>
      </w:r>
      <w:r w:rsidRPr="00E672BE">
        <w:rPr>
          <w:rFonts w:cs="Times New Roman"/>
          <w:szCs w:val="24"/>
        </w:rPr>
        <w:t xml:space="preserve"> cell nucle</w:t>
      </w:r>
      <w:r w:rsidR="0048284E" w:rsidRPr="00E672BE">
        <w:rPr>
          <w:rFonts w:cs="Times New Roman"/>
          <w:szCs w:val="24"/>
        </w:rPr>
        <w:t>i</w:t>
      </w:r>
      <w:r w:rsidRPr="00E672BE">
        <w:rPr>
          <w:rFonts w:cs="Times New Roman"/>
          <w:szCs w:val="24"/>
        </w:rPr>
        <w:t xml:space="preserve"> (</w:t>
      </w:r>
      <w:r w:rsidR="00302FFD" w:rsidRPr="00E672BE">
        <w:rPr>
          <w:rFonts w:cs="Times New Roman"/>
          <w:szCs w:val="24"/>
        </w:rPr>
        <w:t>Hoechst</w:t>
      </w:r>
      <w:r w:rsidRPr="00E672BE">
        <w:rPr>
          <w:rFonts w:cs="Times New Roman"/>
          <w:szCs w:val="24"/>
        </w:rPr>
        <w:t xml:space="preserve">) </w:t>
      </w:r>
      <w:r w:rsidR="007A6399" w:rsidRPr="00E672BE">
        <w:rPr>
          <w:rFonts w:cs="Times New Roman"/>
          <w:szCs w:val="24"/>
        </w:rPr>
        <w:t xml:space="preserve">for toxicity analysis </w:t>
      </w:r>
      <w:r w:rsidRPr="00E672BE">
        <w:rPr>
          <w:rFonts w:cs="Times New Roman"/>
          <w:szCs w:val="24"/>
        </w:rPr>
        <w:t xml:space="preserve">and antibody staining specific to the intracellular </w:t>
      </w:r>
      <w:r w:rsidR="00CB5408" w:rsidRPr="00E672BE">
        <w:rPr>
          <w:rFonts w:cs="Times New Roman"/>
          <w:i/>
          <w:szCs w:val="24"/>
        </w:rPr>
        <w:t>Wolbachia</w:t>
      </w:r>
      <w:r w:rsidRPr="00E672BE">
        <w:rPr>
          <w:rFonts w:cs="Times New Roman"/>
          <w:szCs w:val="24"/>
        </w:rPr>
        <w:t xml:space="preserve"> (</w:t>
      </w:r>
      <w:r w:rsidRPr="00E672BE">
        <w:rPr>
          <w:rFonts w:cs="Times New Roman"/>
          <w:i/>
          <w:szCs w:val="24"/>
        </w:rPr>
        <w:t>w</w:t>
      </w:r>
      <w:r w:rsidRPr="00E672BE">
        <w:rPr>
          <w:rFonts w:cs="Times New Roman"/>
          <w:szCs w:val="24"/>
        </w:rPr>
        <w:t>BmPAL primary antibody and far-red secondary antibody)</w:t>
      </w:r>
      <w:r w:rsidR="00CB7B84" w:rsidRPr="00E672BE">
        <w:rPr>
          <w:rFonts w:cs="Times New Roman"/>
          <w:szCs w:val="24"/>
        </w:rPr>
        <w:t xml:space="preserve">. </w:t>
      </w:r>
      <w:r w:rsidR="00F92B6C" w:rsidRPr="00E672BE">
        <w:rPr>
          <w:rFonts w:cs="Times New Roman"/>
          <w:szCs w:val="24"/>
        </w:rPr>
        <w:t>In the final stage t</w:t>
      </w:r>
      <w:r w:rsidRPr="00E672BE">
        <w:rPr>
          <w:rFonts w:cs="Times New Roman"/>
          <w:szCs w:val="24"/>
        </w:rPr>
        <w:t>he fixed and stained plates</w:t>
      </w:r>
      <w:r w:rsidR="00CB7B84" w:rsidRPr="00E672BE">
        <w:rPr>
          <w:rFonts w:cs="Times New Roman"/>
          <w:szCs w:val="24"/>
        </w:rPr>
        <w:t xml:space="preserve"> from stage 2</w:t>
      </w:r>
      <w:r w:rsidRPr="00E672BE">
        <w:rPr>
          <w:rFonts w:cs="Times New Roman"/>
          <w:szCs w:val="24"/>
        </w:rPr>
        <w:t xml:space="preserve"> </w:t>
      </w:r>
      <w:r w:rsidR="00F92B6C" w:rsidRPr="00E672BE">
        <w:rPr>
          <w:rFonts w:cs="Times New Roman"/>
          <w:szCs w:val="24"/>
        </w:rPr>
        <w:t>were processed through</w:t>
      </w:r>
      <w:r w:rsidR="00CB7B84" w:rsidRPr="00E672BE">
        <w:rPr>
          <w:rFonts w:cs="Times New Roman"/>
          <w:szCs w:val="24"/>
        </w:rPr>
        <w:t xml:space="preserve"> automated </w:t>
      </w:r>
      <w:r w:rsidRPr="00E672BE">
        <w:rPr>
          <w:rFonts w:cs="Times New Roman"/>
          <w:szCs w:val="24"/>
        </w:rPr>
        <w:t xml:space="preserve">data acquisition </w:t>
      </w:r>
      <w:r w:rsidR="00CB7B84" w:rsidRPr="00E672BE">
        <w:rPr>
          <w:rFonts w:cs="Times New Roman"/>
          <w:szCs w:val="24"/>
        </w:rPr>
        <w:t>(</w:t>
      </w:r>
      <w:r w:rsidR="00E966B5" w:rsidRPr="00E672BE">
        <w:rPr>
          <w:rFonts w:cs="Times New Roman"/>
          <w:szCs w:val="24"/>
        </w:rPr>
        <w:t xml:space="preserve">High Res </w:t>
      </w:r>
      <w:proofErr w:type="spellStart"/>
      <w:r w:rsidR="00D27329" w:rsidRPr="00E672BE">
        <w:rPr>
          <w:rFonts w:cs="Times New Roman"/>
          <w:szCs w:val="24"/>
        </w:rPr>
        <w:t>Bios</w:t>
      </w:r>
      <w:r w:rsidR="004F34FE" w:rsidRPr="00E672BE">
        <w:rPr>
          <w:rFonts w:cs="Times New Roman"/>
          <w:szCs w:val="24"/>
        </w:rPr>
        <w:t>olutions</w:t>
      </w:r>
      <w:proofErr w:type="spellEnd"/>
      <w:r w:rsidR="00E966B5" w:rsidRPr="00E672BE">
        <w:rPr>
          <w:rFonts w:cs="Times New Roman"/>
          <w:szCs w:val="24"/>
        </w:rPr>
        <w:t xml:space="preserve"> system</w:t>
      </w:r>
      <w:r w:rsidR="00974B78" w:rsidRPr="00E672BE">
        <w:rPr>
          <w:rFonts w:cs="Times New Roman"/>
          <w:szCs w:val="24"/>
        </w:rPr>
        <w:t>,</w:t>
      </w:r>
      <w:r w:rsidR="00E966B5" w:rsidRPr="00E672BE">
        <w:rPr>
          <w:rFonts w:cs="Times New Roman"/>
          <w:szCs w:val="24"/>
        </w:rPr>
        <w:t xml:space="preserve"> incorporating </w:t>
      </w:r>
      <w:r w:rsidR="00CB7B84" w:rsidRPr="00E672BE">
        <w:rPr>
          <w:rFonts w:cs="Times New Roman"/>
          <w:szCs w:val="24"/>
        </w:rPr>
        <w:t>EnVision™ and acumen®</w:t>
      </w:r>
      <w:r w:rsidR="00E966B5" w:rsidRPr="00E672BE">
        <w:rPr>
          <w:rFonts w:cs="Times New Roman"/>
          <w:szCs w:val="24"/>
        </w:rPr>
        <w:t xml:space="preserve"> </w:t>
      </w:r>
      <w:r w:rsidR="00B70A66" w:rsidRPr="00E672BE">
        <w:rPr>
          <w:rFonts w:cs="Times New Roman"/>
          <w:szCs w:val="24"/>
        </w:rPr>
        <w:t xml:space="preserve">plate </w:t>
      </w:r>
      <w:r w:rsidR="00E966B5" w:rsidRPr="00E672BE">
        <w:rPr>
          <w:rFonts w:cs="Times New Roman"/>
          <w:szCs w:val="24"/>
        </w:rPr>
        <w:t>readers</w:t>
      </w:r>
      <w:r w:rsidR="00CB7B84" w:rsidRPr="00E672BE">
        <w:rPr>
          <w:rFonts w:cs="Times New Roman"/>
          <w:szCs w:val="24"/>
        </w:rPr>
        <w:t>)</w:t>
      </w:r>
      <w:r w:rsidR="00974B78" w:rsidRPr="00E672BE">
        <w:rPr>
          <w:rFonts w:cs="Times New Roman"/>
          <w:szCs w:val="24"/>
        </w:rPr>
        <w:t xml:space="preserve">. </w:t>
      </w:r>
      <w:r w:rsidR="00672B0A" w:rsidRPr="00E672BE">
        <w:rPr>
          <w:rFonts w:cs="Times New Roman"/>
          <w:szCs w:val="24"/>
        </w:rPr>
        <w:t>This industry standard</w:t>
      </w:r>
      <w:r w:rsidR="00E44C7A" w:rsidRPr="00E672BE">
        <w:rPr>
          <w:rFonts w:cs="Times New Roman"/>
          <w:szCs w:val="24"/>
        </w:rPr>
        <w:t>ised</w:t>
      </w:r>
      <w:r w:rsidR="00672B0A" w:rsidRPr="00E672BE">
        <w:rPr>
          <w:rFonts w:cs="Times New Roman"/>
          <w:szCs w:val="24"/>
        </w:rPr>
        <w:t xml:space="preserve"> assay was then used to screen AstraZeneca’s full library of 1.3 million compounds within 10 weeks.</w:t>
      </w:r>
      <w:r w:rsidR="00CB7B84" w:rsidRPr="00E672BE">
        <w:rPr>
          <w:rFonts w:cs="Times New Roman"/>
          <w:szCs w:val="24"/>
        </w:rPr>
        <w:t xml:space="preserve"> </w:t>
      </w:r>
      <w:r w:rsidR="00990960" w:rsidRPr="00E672BE">
        <w:rPr>
          <w:rFonts w:cs="Times New Roman"/>
          <w:szCs w:val="24"/>
        </w:rPr>
        <w:t xml:space="preserve">In total this HTS included 30 x </w:t>
      </w:r>
      <w:proofErr w:type="gramStart"/>
      <w:r w:rsidR="00990960" w:rsidRPr="00E672BE">
        <w:rPr>
          <w:rFonts w:cs="Times New Roman"/>
          <w:szCs w:val="24"/>
        </w:rPr>
        <w:t>3 week</w:t>
      </w:r>
      <w:proofErr w:type="gramEnd"/>
      <w:r w:rsidR="00990960" w:rsidRPr="00E672BE">
        <w:rPr>
          <w:rFonts w:cs="Times New Roman"/>
          <w:szCs w:val="24"/>
        </w:rPr>
        <w:t xml:space="preserve"> assays covering </w:t>
      </w:r>
      <w:r w:rsidR="00A76170" w:rsidRPr="00E672BE">
        <w:rPr>
          <w:rFonts w:cs="Times New Roman"/>
          <w:szCs w:val="24"/>
        </w:rPr>
        <w:t>3</w:t>
      </w:r>
      <w:r w:rsidR="004F02FF" w:rsidRPr="00E672BE">
        <w:rPr>
          <w:rFonts w:cs="Times New Roman"/>
          <w:szCs w:val="24"/>
        </w:rPr>
        <w:t>,</w:t>
      </w:r>
      <w:r w:rsidR="00A76170" w:rsidRPr="00E672BE">
        <w:rPr>
          <w:rFonts w:cs="Times New Roman"/>
          <w:szCs w:val="24"/>
        </w:rPr>
        <w:t>835 x</w:t>
      </w:r>
      <w:r w:rsidR="00990960" w:rsidRPr="00E672BE">
        <w:rPr>
          <w:rFonts w:cs="Times New Roman"/>
          <w:szCs w:val="24"/>
        </w:rPr>
        <w:t xml:space="preserve"> 384-well plates.</w:t>
      </w:r>
      <w:r w:rsidR="00EB2F9C" w:rsidRPr="00E672BE">
        <w:rPr>
          <w:rFonts w:cs="Times New Roman"/>
          <w:szCs w:val="24"/>
        </w:rPr>
        <w:t xml:space="preserve"> </w:t>
      </w:r>
      <w:r w:rsidR="00990960" w:rsidRPr="00E672BE">
        <w:rPr>
          <w:rFonts w:cs="Times New Roman"/>
          <w:szCs w:val="24"/>
        </w:rPr>
        <w:t xml:space="preserve">This </w:t>
      </w:r>
      <w:r w:rsidR="00E966B5" w:rsidRPr="00E672BE">
        <w:rPr>
          <w:rFonts w:cs="Times New Roman"/>
          <w:szCs w:val="24"/>
        </w:rPr>
        <w:t xml:space="preserve">primary </w:t>
      </w:r>
      <w:r w:rsidR="00990960" w:rsidRPr="00E672BE">
        <w:rPr>
          <w:rFonts w:cs="Times New Roman"/>
          <w:szCs w:val="24"/>
        </w:rPr>
        <w:t xml:space="preserve">HTS </w:t>
      </w:r>
      <w:r w:rsidR="00974B78" w:rsidRPr="00E672BE">
        <w:rPr>
          <w:rFonts w:cs="Times New Roman"/>
          <w:szCs w:val="24"/>
        </w:rPr>
        <w:t>generated</w:t>
      </w:r>
      <w:r w:rsidR="00990960" w:rsidRPr="00E672BE">
        <w:rPr>
          <w:rFonts w:cs="Times New Roman"/>
          <w:szCs w:val="24"/>
        </w:rPr>
        <w:t xml:space="preserve"> </w:t>
      </w:r>
      <w:r w:rsidR="00A76170" w:rsidRPr="00E672BE">
        <w:rPr>
          <w:rFonts w:cs="Times New Roman"/>
          <w:szCs w:val="24"/>
        </w:rPr>
        <w:t>20</w:t>
      </w:r>
      <w:r w:rsidR="00DC7210" w:rsidRPr="00E672BE">
        <w:rPr>
          <w:rFonts w:cs="Times New Roman"/>
          <w:szCs w:val="24"/>
        </w:rPr>
        <w:t>,</w:t>
      </w:r>
      <w:r w:rsidR="00A76170" w:rsidRPr="00E672BE">
        <w:rPr>
          <w:rFonts w:cs="Times New Roman"/>
          <w:szCs w:val="24"/>
        </w:rPr>
        <w:t>255</w:t>
      </w:r>
      <w:r w:rsidR="00990960" w:rsidRPr="00E672BE">
        <w:rPr>
          <w:rFonts w:cs="Times New Roman"/>
          <w:szCs w:val="24"/>
        </w:rPr>
        <w:t xml:space="preserve"> hits</w:t>
      </w:r>
      <w:r w:rsidR="00E966B5" w:rsidRPr="00E672BE">
        <w:rPr>
          <w:rFonts w:cs="Times New Roman"/>
          <w:szCs w:val="24"/>
        </w:rPr>
        <w:t xml:space="preserve"> </w:t>
      </w:r>
      <w:r w:rsidR="00974B78" w:rsidRPr="00E672BE">
        <w:rPr>
          <w:rFonts w:cs="Times New Roman"/>
          <w:szCs w:val="24"/>
        </w:rPr>
        <w:t>defined as</w:t>
      </w:r>
      <w:r w:rsidR="000A3DBC" w:rsidRPr="00E672BE">
        <w:rPr>
          <w:rFonts w:cs="Times New Roman"/>
          <w:szCs w:val="24"/>
        </w:rPr>
        <w:t xml:space="preserve"> greater than 80% reduction in </w:t>
      </w:r>
      <w:r w:rsidR="00CB5408" w:rsidRPr="00E672BE">
        <w:rPr>
          <w:rFonts w:cs="Times New Roman"/>
          <w:i/>
          <w:szCs w:val="24"/>
        </w:rPr>
        <w:t>Wolbachia</w:t>
      </w:r>
      <w:r w:rsidR="000A3DBC" w:rsidRPr="00E672BE">
        <w:rPr>
          <w:rFonts w:cs="Times New Roman"/>
          <w:szCs w:val="24"/>
        </w:rPr>
        <w:t xml:space="preserve"> with less than 60% toxicity to the host insect cell (eliminat</w:t>
      </w:r>
      <w:r w:rsidR="00BE7815" w:rsidRPr="00E672BE">
        <w:rPr>
          <w:rFonts w:cs="Times New Roman"/>
          <w:szCs w:val="24"/>
        </w:rPr>
        <w:t>ing</w:t>
      </w:r>
      <w:r w:rsidR="000A3DBC" w:rsidRPr="00E672BE">
        <w:rPr>
          <w:rFonts w:cs="Times New Roman"/>
          <w:szCs w:val="24"/>
        </w:rPr>
        <w:t xml:space="preserve"> false positives).</w:t>
      </w:r>
      <w:r w:rsidR="00974B78" w:rsidRPr="00E672BE">
        <w:rPr>
          <w:rFonts w:cs="Times New Roman"/>
          <w:szCs w:val="24"/>
        </w:rPr>
        <w:t xml:space="preserve"> This represents </w:t>
      </w:r>
      <w:r w:rsidR="00E966B5" w:rsidRPr="00E672BE">
        <w:rPr>
          <w:rFonts w:cs="Times New Roman"/>
          <w:szCs w:val="24"/>
        </w:rPr>
        <w:t xml:space="preserve">an overall hit rate of </w:t>
      </w:r>
      <w:r w:rsidR="006D563B" w:rsidRPr="00E672BE">
        <w:rPr>
          <w:rFonts w:cs="Times New Roman"/>
          <w:szCs w:val="24"/>
        </w:rPr>
        <w:t>1.5</w:t>
      </w:r>
      <w:r w:rsidR="00AF02ED" w:rsidRPr="00E672BE">
        <w:rPr>
          <w:rFonts w:cs="Times New Roman"/>
          <w:szCs w:val="24"/>
        </w:rPr>
        <w:t>6</w:t>
      </w:r>
      <w:r w:rsidR="006D563B" w:rsidRPr="00E672BE">
        <w:rPr>
          <w:rFonts w:cs="Times New Roman"/>
          <w:szCs w:val="24"/>
        </w:rPr>
        <w:t>%</w:t>
      </w:r>
      <w:r w:rsidR="00E966B5" w:rsidRPr="00E672BE">
        <w:rPr>
          <w:rFonts w:cs="Times New Roman"/>
          <w:szCs w:val="24"/>
        </w:rPr>
        <w:t>.</w:t>
      </w:r>
      <w:r w:rsidR="00990960" w:rsidRPr="00E672BE">
        <w:rPr>
          <w:rFonts w:cs="Times New Roman"/>
          <w:szCs w:val="24"/>
        </w:rPr>
        <w:t xml:space="preserve"> </w:t>
      </w:r>
      <w:r w:rsidR="006D563B" w:rsidRPr="00E672BE">
        <w:rPr>
          <w:rFonts w:cs="Times New Roman"/>
          <w:szCs w:val="24"/>
        </w:rPr>
        <w:t xml:space="preserve">These compounds are </w:t>
      </w:r>
      <w:r w:rsidR="00974B78" w:rsidRPr="00E672BE">
        <w:rPr>
          <w:rFonts w:cs="Times New Roman"/>
          <w:szCs w:val="24"/>
        </w:rPr>
        <w:t xml:space="preserve">depicted </w:t>
      </w:r>
      <w:r w:rsidR="006D563B" w:rsidRPr="00E672BE">
        <w:rPr>
          <w:rFonts w:cs="Times New Roman"/>
          <w:szCs w:val="24"/>
        </w:rPr>
        <w:t xml:space="preserve">in chemical space in Figure 2 (black </w:t>
      </w:r>
      <w:r w:rsidR="00D33DD7" w:rsidRPr="00E672BE">
        <w:rPr>
          <w:rFonts w:cs="Times New Roman"/>
          <w:szCs w:val="24"/>
        </w:rPr>
        <w:t>points</w:t>
      </w:r>
      <w:r w:rsidR="006D563B" w:rsidRPr="00E672BE">
        <w:rPr>
          <w:rFonts w:cs="Times New Roman"/>
          <w:szCs w:val="24"/>
        </w:rPr>
        <w:t>)</w:t>
      </w:r>
      <w:r w:rsidR="006D563B" w:rsidRPr="00E672BE">
        <w:rPr>
          <w:rFonts w:cs="Times New Roman"/>
          <w:szCs w:val="24"/>
        </w:rPr>
        <w:fldChar w:fldCharType="begin" w:fldLock="1"/>
      </w:r>
      <w:r w:rsidR="00957134" w:rsidRPr="00E672BE">
        <w:rPr>
          <w:rFonts w:cs="Times New Roman"/>
          <w:szCs w:val="24"/>
        </w:rPr>
        <w:instrText>ADDIN CSL_CITATION {"citationItems":[{"id":"ITEM-1","itemData":{"DOI":"10.1021/cc0000388","ISBN":"1520-4766 (Print)\\r1520-4766 (Linking)","ISSN":"15204766","PMID":"11300855","abstract":"Combinatorial chemistry needs focused molecular diversity applied to the druglike chemical space (drugspace). A drugspace map can be obtained by systematically applying the same conventions when examining the chemical space, in a manner similar to the Mercator convention in geography: Rules are equivalent to dimensions (e.g., longitude and latitude), while structures are equivalent to objects (e.g., cities and countries). Selected rules include size, lipophilicity, polarizability, charge, flexibility, rigidity, and hydrogen bond capacity. For these, extreme values were set, e.g., maximum molecular weight 1500, calculated negative logarithm of the octanol/water partition between -10 and 20, and up to 30 nonterminal rotatable bonds. Only S, N, O, P, and halogens were considered as elements besides C and H. Selected objects include a set of \"satellite\" structures and a set of representative drugs (\"core\" structures). Satellites, intentionally placed outside drugspace, have extreme values in one or several of the desired properties, while containing druglike chemical fragments. ChemGPS (chemical global positioning system) is a tool that combines these predefined rules and objects to provide a global drugspace map. The ChemGPS drugspace map coordinates are t-scores extracted via principal component analysis (PCA) from 72 descriptors that evaluate the above-mentioned rules on a total set of 423 satellite and core structures. Global ChemGPS scores describe well the latent structures extracted with PCA for a set of 8599 monocarboxylates, a set of 45 heteroaromatic compounds, and for 87 alpha-amino acids. ChemGPS positions novel structures in drugspace via PCA-score prediction, providing a unique mapping device for the druglike chemical space. ChemGPS scores are comparable across a large number of chemicals and do not change as new structures are predicted, making this tool a well-suited reference system for comparing multiple libraries and for keeping track of previously explored regions of the chemical space.","author":[{"dropping-particle":"","family":"Oprea","given":"Tudor I.","non-dropping-particle":"","parse-names":false,"suffix":""},{"dropping-particle":"","family":"Gottfries","given":"Johan","non-dropping-particle":"","parse-names":false,"suffix":""}],"container-title":"Journal of Combinatorial Chemistry","id":"ITEM-1","issue":"2","issued":{"date-parts":[["2001"]]},"page":"157-166","title":"Chemography: The art of navigating in chemical space","type":"article-journal","volume":"3"},"uris":["http://www.mendeley.com/documents/?uuid=3ded5b1c-b535-44e9-9b97-bbdb7d21d5d7"]}],"mendeley":{"formattedCitation":"&lt;sup&gt;21&lt;/sup&gt;","plainTextFormattedCitation":"21","previouslyFormattedCitation":"&lt;sup&gt;21&lt;/sup&gt;"},"properties":{"noteIndex":0},"schema":"https://github.com/citation-style-language/schema/raw/master/csl-citation.json"}</w:instrText>
      </w:r>
      <w:r w:rsidR="006D563B" w:rsidRPr="00E672BE">
        <w:rPr>
          <w:rFonts w:cs="Times New Roman"/>
          <w:szCs w:val="24"/>
        </w:rPr>
        <w:fldChar w:fldCharType="separate"/>
      </w:r>
      <w:r w:rsidR="007C7B71" w:rsidRPr="00E672BE">
        <w:rPr>
          <w:rFonts w:cs="Times New Roman"/>
          <w:noProof/>
          <w:szCs w:val="24"/>
          <w:vertAlign w:val="superscript"/>
        </w:rPr>
        <w:t>21</w:t>
      </w:r>
      <w:r w:rsidR="006D563B" w:rsidRPr="00E672BE">
        <w:rPr>
          <w:rFonts w:cs="Times New Roman"/>
          <w:szCs w:val="24"/>
        </w:rPr>
        <w:fldChar w:fldCharType="end"/>
      </w:r>
      <w:r w:rsidR="006D563B" w:rsidRPr="00E672BE">
        <w:rPr>
          <w:rFonts w:cs="Times New Roman"/>
          <w:szCs w:val="24"/>
        </w:rPr>
        <w:t>.</w:t>
      </w:r>
    </w:p>
    <w:p w:rsidR="00F75FA9" w:rsidRPr="00E672BE" w:rsidRDefault="00990960">
      <w:pPr>
        <w:spacing w:before="120"/>
        <w:ind w:firstLine="720"/>
        <w:rPr>
          <w:rFonts w:cs="Times New Roman"/>
          <w:szCs w:val="24"/>
        </w:rPr>
      </w:pPr>
      <w:r w:rsidRPr="00E672BE">
        <w:rPr>
          <w:rFonts w:cs="Times New Roman"/>
          <w:szCs w:val="24"/>
        </w:rPr>
        <w:t>Chemoinformatic</w:t>
      </w:r>
      <w:r w:rsidR="000D540D" w:rsidRPr="00E672BE">
        <w:rPr>
          <w:rFonts w:cs="Times New Roman"/>
          <w:szCs w:val="24"/>
        </w:rPr>
        <w:t xml:space="preserve"> analysis</w:t>
      </w:r>
      <w:r w:rsidRPr="00E672BE">
        <w:rPr>
          <w:rFonts w:cs="Times New Roman"/>
          <w:szCs w:val="24"/>
        </w:rPr>
        <w:t xml:space="preserve"> </w:t>
      </w:r>
      <w:r w:rsidR="00A0084B" w:rsidRPr="00E672BE">
        <w:rPr>
          <w:rFonts w:cs="Times New Roman"/>
          <w:szCs w:val="24"/>
        </w:rPr>
        <w:t>of</w:t>
      </w:r>
      <w:r w:rsidR="006D563B" w:rsidRPr="00E672BE">
        <w:rPr>
          <w:rFonts w:cs="Times New Roman"/>
          <w:szCs w:val="24"/>
        </w:rPr>
        <w:t xml:space="preserve"> </w:t>
      </w:r>
      <w:r w:rsidRPr="00E672BE">
        <w:rPr>
          <w:rFonts w:cs="Times New Roman"/>
          <w:szCs w:val="24"/>
        </w:rPr>
        <w:t xml:space="preserve">the </w:t>
      </w:r>
      <w:r w:rsidR="0085208C" w:rsidRPr="00E672BE">
        <w:rPr>
          <w:rFonts w:cs="Times New Roman"/>
          <w:szCs w:val="24"/>
        </w:rPr>
        <w:t xml:space="preserve">primary </w:t>
      </w:r>
      <w:r w:rsidR="00672B0A" w:rsidRPr="00E672BE">
        <w:rPr>
          <w:rFonts w:cs="Times New Roman"/>
          <w:szCs w:val="24"/>
        </w:rPr>
        <w:t>hits</w:t>
      </w:r>
      <w:r w:rsidR="00A0084B" w:rsidRPr="00E672BE">
        <w:rPr>
          <w:rFonts w:cs="Times New Roman"/>
          <w:szCs w:val="24"/>
        </w:rPr>
        <w:t xml:space="preserve"> was used</w:t>
      </w:r>
      <w:r w:rsidRPr="00E672BE">
        <w:rPr>
          <w:rFonts w:cs="Times New Roman"/>
          <w:szCs w:val="24"/>
        </w:rPr>
        <w:t xml:space="preserve"> to identify the best </w:t>
      </w:r>
      <w:r w:rsidR="00AB7CF9" w:rsidRPr="00E672BE">
        <w:rPr>
          <w:rFonts w:cs="Times New Roman"/>
          <w:szCs w:val="24"/>
        </w:rPr>
        <w:t>~</w:t>
      </w:r>
      <w:r w:rsidRPr="00E672BE">
        <w:rPr>
          <w:rFonts w:cs="Times New Roman"/>
          <w:szCs w:val="24"/>
        </w:rPr>
        <w:t xml:space="preserve">6,000 </w:t>
      </w:r>
      <w:r w:rsidR="006D563B" w:rsidRPr="00E672BE">
        <w:rPr>
          <w:rFonts w:cs="Times New Roman"/>
          <w:szCs w:val="24"/>
        </w:rPr>
        <w:t xml:space="preserve">compounds </w:t>
      </w:r>
      <w:r w:rsidR="00733488" w:rsidRPr="00E672BE">
        <w:rPr>
          <w:rFonts w:cs="Times New Roman"/>
          <w:szCs w:val="24"/>
        </w:rPr>
        <w:t xml:space="preserve">for </w:t>
      </w:r>
      <w:r w:rsidRPr="00E672BE">
        <w:rPr>
          <w:rFonts w:cs="Times New Roman"/>
          <w:szCs w:val="24"/>
        </w:rPr>
        <w:t xml:space="preserve">further </w:t>
      </w:r>
      <w:r w:rsidR="00733488" w:rsidRPr="00E672BE">
        <w:rPr>
          <w:rFonts w:cs="Times New Roman"/>
          <w:szCs w:val="24"/>
        </w:rPr>
        <w:t xml:space="preserve">evaluation </w:t>
      </w:r>
      <w:r w:rsidRPr="00E672BE">
        <w:rPr>
          <w:rFonts w:cs="Times New Roman"/>
          <w:szCs w:val="24"/>
        </w:rPr>
        <w:t xml:space="preserve">in a </w:t>
      </w:r>
      <w:r w:rsidR="00F85F5B" w:rsidRPr="00E672BE">
        <w:rPr>
          <w:rFonts w:cs="Times New Roman"/>
          <w:szCs w:val="24"/>
        </w:rPr>
        <w:t xml:space="preserve">secondary </w:t>
      </w:r>
      <w:r w:rsidRPr="00E672BE">
        <w:rPr>
          <w:rFonts w:cs="Times New Roman"/>
          <w:szCs w:val="24"/>
        </w:rPr>
        <w:t xml:space="preserve">concentration response screen </w:t>
      </w:r>
      <w:r w:rsidR="00F85F5B" w:rsidRPr="00E672BE">
        <w:rPr>
          <w:rFonts w:cs="Times New Roman"/>
          <w:szCs w:val="24"/>
        </w:rPr>
        <w:t>using</w:t>
      </w:r>
      <w:r w:rsidRPr="00E672BE">
        <w:rPr>
          <w:rFonts w:cs="Times New Roman"/>
          <w:szCs w:val="24"/>
        </w:rPr>
        <w:t xml:space="preserve"> the </w:t>
      </w:r>
      <w:r w:rsidRPr="00E672BE">
        <w:rPr>
          <w:rFonts w:cs="Times New Roman"/>
          <w:szCs w:val="24"/>
        </w:rPr>
        <w:lastRenderedPageBreak/>
        <w:t xml:space="preserve">same </w:t>
      </w:r>
      <w:r w:rsidR="00053FD4" w:rsidRPr="00E672BE">
        <w:rPr>
          <w:rFonts w:cs="Times New Roman"/>
          <w:szCs w:val="24"/>
        </w:rPr>
        <w:t xml:space="preserve">HTS </w:t>
      </w:r>
      <w:r w:rsidRPr="00E672BE">
        <w:rPr>
          <w:rFonts w:cs="Times New Roman"/>
          <w:szCs w:val="24"/>
        </w:rPr>
        <w:t xml:space="preserve">assay. </w:t>
      </w:r>
      <w:r w:rsidR="00672B0A" w:rsidRPr="00E672BE">
        <w:rPr>
          <w:rFonts w:cs="Times New Roman"/>
          <w:szCs w:val="24"/>
        </w:rPr>
        <w:t>K</w:t>
      </w:r>
      <w:r w:rsidRPr="00E672BE">
        <w:rPr>
          <w:rFonts w:cs="Times New Roman"/>
          <w:szCs w:val="24"/>
        </w:rPr>
        <w:t xml:space="preserve">nown </w:t>
      </w:r>
      <w:r w:rsidR="00302FFD" w:rsidRPr="00E672BE">
        <w:rPr>
          <w:rFonts w:cs="Times New Roman"/>
          <w:szCs w:val="24"/>
        </w:rPr>
        <w:t>antibacterials</w:t>
      </w:r>
      <w:r w:rsidRPr="00E672BE">
        <w:rPr>
          <w:rFonts w:cs="Times New Roman"/>
          <w:szCs w:val="24"/>
        </w:rPr>
        <w:t xml:space="preserve">, </w:t>
      </w:r>
      <w:r w:rsidR="001A3608" w:rsidRPr="00E672BE">
        <w:rPr>
          <w:rFonts w:cs="Times New Roman"/>
          <w:szCs w:val="24"/>
        </w:rPr>
        <w:t>Pan Assay Interference Compounds (</w:t>
      </w:r>
      <w:r w:rsidRPr="00E672BE">
        <w:rPr>
          <w:rFonts w:cs="Times New Roman"/>
          <w:szCs w:val="24"/>
        </w:rPr>
        <w:t>PAINS</w:t>
      </w:r>
      <w:r w:rsidR="001A3608" w:rsidRPr="00E672BE">
        <w:rPr>
          <w:rFonts w:cs="Times New Roman"/>
          <w:szCs w:val="24"/>
        </w:rPr>
        <w:t>)</w:t>
      </w:r>
      <w:r w:rsidRPr="00E672BE">
        <w:rPr>
          <w:rFonts w:cs="Times New Roman"/>
          <w:szCs w:val="24"/>
        </w:rPr>
        <w:t>, frequent hitters, known toxic</w:t>
      </w:r>
      <w:r w:rsidR="00733488" w:rsidRPr="00E672BE">
        <w:rPr>
          <w:rFonts w:cs="Times New Roman"/>
          <w:szCs w:val="24"/>
        </w:rPr>
        <w:t xml:space="preserve"> compounds</w:t>
      </w:r>
      <w:r w:rsidRPr="00E672BE">
        <w:rPr>
          <w:rFonts w:cs="Times New Roman"/>
          <w:szCs w:val="24"/>
        </w:rPr>
        <w:t xml:space="preserve">, </w:t>
      </w:r>
      <w:r w:rsidR="00733488" w:rsidRPr="00E672BE">
        <w:rPr>
          <w:rFonts w:cs="Times New Roman"/>
          <w:szCs w:val="24"/>
        </w:rPr>
        <w:t xml:space="preserve">compounds with an </w:t>
      </w:r>
      <w:r w:rsidRPr="00E672BE">
        <w:rPr>
          <w:rFonts w:cs="Times New Roman"/>
          <w:szCs w:val="24"/>
        </w:rPr>
        <w:t>explosive risk, genotox</w:t>
      </w:r>
      <w:r w:rsidR="00302FFD" w:rsidRPr="00E672BE">
        <w:rPr>
          <w:rFonts w:cs="Times New Roman"/>
          <w:szCs w:val="24"/>
        </w:rPr>
        <w:t>ic</w:t>
      </w:r>
      <w:r w:rsidR="00733488" w:rsidRPr="00E672BE">
        <w:rPr>
          <w:rFonts w:cs="Times New Roman"/>
          <w:szCs w:val="24"/>
        </w:rPr>
        <w:t xml:space="preserve"> compounds</w:t>
      </w:r>
      <w:r w:rsidRPr="00E672BE">
        <w:rPr>
          <w:rFonts w:cs="Times New Roman"/>
          <w:szCs w:val="24"/>
        </w:rPr>
        <w:t xml:space="preserve">, reactive metabolites and </w:t>
      </w:r>
      <w:r w:rsidR="00733488" w:rsidRPr="00E672BE">
        <w:rPr>
          <w:rFonts w:cs="Times New Roman"/>
          <w:szCs w:val="24"/>
        </w:rPr>
        <w:t xml:space="preserve">hits with </w:t>
      </w:r>
      <w:r w:rsidRPr="00E672BE">
        <w:rPr>
          <w:rFonts w:cs="Times New Roman"/>
          <w:szCs w:val="24"/>
        </w:rPr>
        <w:t>unwanted chemical groups</w:t>
      </w:r>
      <w:r w:rsidR="00733488" w:rsidRPr="00E672BE">
        <w:rPr>
          <w:rFonts w:cs="Times New Roman"/>
          <w:szCs w:val="24"/>
        </w:rPr>
        <w:t xml:space="preserve"> were filtered o</w:t>
      </w:r>
      <w:r w:rsidR="000A3DBC" w:rsidRPr="00E672BE">
        <w:rPr>
          <w:rFonts w:cs="Times New Roman"/>
          <w:szCs w:val="24"/>
        </w:rPr>
        <w:t>u</w:t>
      </w:r>
      <w:r w:rsidR="00733488" w:rsidRPr="00E672BE">
        <w:rPr>
          <w:rFonts w:cs="Times New Roman"/>
          <w:szCs w:val="24"/>
        </w:rPr>
        <w:t>t of the hit set</w:t>
      </w:r>
      <w:r w:rsidR="00A71DF7" w:rsidRPr="00E672BE">
        <w:rPr>
          <w:rFonts w:cs="Times New Roman"/>
          <w:szCs w:val="24"/>
        </w:rPr>
        <w:fldChar w:fldCharType="begin" w:fldLock="1"/>
      </w:r>
      <w:r w:rsidR="00957134" w:rsidRPr="00E672BE">
        <w:rPr>
          <w:rFonts w:cs="Times New Roman"/>
          <w:szCs w:val="24"/>
        </w:rPr>
        <w:instrText>ADDIN CSL_CITATION {"citationItems":[{"id":"ITEM-1","itemData":{"DOI":"10.1016/S1359-6446(97)01083-0","ISSN":"13596446","abstract":"An important component of the successful highthroughput screening (HTS) strategy in drug discovery is the ability to assess HTS structure-activity data, and to distinguish between promising drug leads and the many useless false positives that can plague screening efforts. The author discusses simple chemistry guidelines for the evaluation of ‘positives’ in biochemical screens, with the aim of selecting stable, non-covalent binders (ligands) and eliminating protein-reactive compounds (reagents) from consideration as drug leads at an early stage.","author":[{"dropping-particle":"","family":"Rishton","given":"Gilbert M.","non-dropping-particle":"","parse-names":false,"suffix":""}],"container-title":"Drug Discovery Today","id":"ITEM-1","issue":"9","issued":{"date-parts":[["1997"]]},"page":"382-384","publisher":"Elsevier Current Trends","title":"Reactive compounds and in vitro false positives in HTS","type":"article-journal","volume":"2"},"uris":["http://www.mendeley.com/documents/?uuid=b7f8080c-936d-3e51-9c7b-a84deccc1ba6"]},{"id":"ITEM-2","itemData":{"DOI":"10.1021/ci990423o","ISBN":"0095-2338 (Print)","ISSN":"00952338","PMID":"10529988","abstract":"Bringing new medicines to the market depends on the rapid discovery of new and effective drugs, often initiated through the biological testing of many thousands of compounds in high-throughput screening (HTS). Mixing compounds together into pools for screening is one way to accelerate this process and reduce costs. This paper contains both theoretical and experimental data which suggest that careful selection of compounds to be pooled together is necessary in order to reduce the risk of reactivity between compounds within the pools.","author":[{"dropping-particle":"","family":"Hann","given":"Mike","non-dropping-particle":"","parse-names":false,"suffix":""},{"dropping-particle":"","family":"Hudson","given":"Brian","non-dropping-particle":"","parse-names":false,"suffix":""},{"dropping-particle":"","family":"Lewell","given":"Xiao","non-dropping-particle":"","parse-names":false,"suffix":""},{"dropping-particle":"","family":"Lifely","given":"Rob","non-dropping-particle":"","parse-names":false,"suffix":""},{"dropping-particle":"","family":"Miller","given":"Luke","non-dropping-particle":"","parse-names":false,"suffix":""},{"dropping-particle":"","family":"Ramsden","given":"Nigel","non-dropping-particle":"","parse-names":false,"suffix":""}],"container-title":"Journal of Chemical Information and Computer Sciences","id":"ITEM-2","issue":"5","issued":{"date-parts":[["1999"]]},"page":"897-902","publisher":"American Chemical Society","title":"Strategic pooling of compounds for high-throughput screening","type":"article-journal","volume":"39"},"uris":["http://www.mendeley.com/documents/?uuid=ff9e8c31-d185-364e-9d39-793898855a1b"]},{"id":"ITEM-3","itemData":{"ISSN":"0920-654X","PMID":"10756480","abstract":"The process of compound selection and prioritization is crucial for both combinatorial chemistry (CBC) and high throughput screening (HTS). Compound libraries have to be screened for unwanted chemical structures, as well as for unwanted chemical properties. Property extrema can be eliminated by using property filters, in accordance with their actual distribution. Property distribution was examined in the following compound databases: MACCS-II Drug Data Report (MDDR), Current Patents Fast-alert, Comprehensive Medicinal Chemistry, Physician Desk Reference, New Chemical Entities, and the Available Chemical Directory (ACD). The ACDF and MDDRF subsets were created by removing reactive functionalities from the ACD and MDDR databases, respectively. The ACDF subset was further filtered by keeping only molecules with a 'drug-like' score [Ajay et al., J. Med. Chem., 41 (1998) 3314; Sadowski and Kubinyi, J. Med. Chem., 41 (1998) 3325] below 0.8. The following properties were examined: molecular weight (MW), the calculated octanol/water partition coefficient (CLOGP), the number of rotatable (RTB) and rigid bonds (RGB), the number of rings (RNG), and the number of hydrogen bond donors (HDO) and acceptors (HAC). Of these, MW and CLOGP follow a Gaussian distribution, whereas all other descriptors have an asymmetric (truncated Gaussian) distribution. Four out of five compounds in ACDF and MDDRF pass the 'rule of 5' test, a probability scheme that estimates oral absorption proposed by Lipinski et al. [Adv. Drug Deliv. Rev., 23 (1997) 3]. Because property distributions of HDO, HAC, MW and CLOGP (used in the 'rule of 5' test) do not differ significantly between these datasets, the 'rule of 5' does not distinguish 'drugs' from 'nondrugs'. Therefore, Pareto analyses were performed to examine skewed distributions in all compound collections. Seventy percent of the 'drug-like' compounds were found between the following limits: 0 &lt; or = HDO &lt; or = 2, 2 &lt; or = HAC &lt; or = 9, 2 &lt; or = RTB &lt; or = 8, and 1 &lt; or = RNG &lt; or = 4, respectively. The number of launched drugs in MDDR having 0 &lt; or = HDO &lt; or = 2 is 4.8 times higher than the number of drugs having 3 &lt; or = HDO &lt; or = 5. Skewed distributions can be exploited to focus on the 'drug-like space': 62.68% of ACDF ('nondrug-like') compounds have 0 &lt; or = RNG &lt; or = 2, and RGB &lt; or = 17, while 28.88% of ACDF compounds have 3 &lt; or = RNG &lt; or = 13, and 18 &lt; or = RGB &lt; or = 56. By contrast, 61.22% of MDDRF compounds have RNG &gt; or = 3,…","author":[{"dropping-particle":"","family":"Oprea","given":"T I","non-dropping-particle":"","parse-names":false,"suffix":""}],"container-title":"Journal of computer-aided molecular design","id":"ITEM-3","issue":"3","issued":{"date-parts":[["2000","3"]]},"page":"251-64","title":"Property distribution of drug-related chemical databases.","type":"article-journal","volume":"14"},"uris":["http://www.mendeley.com/documents/?uuid=073b3e29-2bb5-35e9-a087-81066a27f5de"]},{"id":"ITEM-4","itemData":{"DOI":"10.1002/med.10041","ISSN":"0198-6325","author":[{"dropping-particle":"","family":"Muegge","given":"Ingo","non-dropping-particle":"","parse-names":false,"suffix":""}],"container-title":"Medicinal Research Reviews","id":"ITEM-4","issue":"3","issued":{"date-parts":[["2003","5"]]},"page":"302-321","publisher":"Wiley Subscription Services, Inc., A Wiley Company","title":"Selection criteria for drug-like compounds","type":"article-journal","volume":"23"},"uris":["http://www.mendeley.com/documents/?uuid=fa523bd6-1724-49ee-a515-c12c34cd738f"]},{"id":"ITEM-5","itemData":{"DOI":"10.1021/jm901137j","ISSN":"0022-2623","abstract":"This report describes a number of substructural features which can help to identify compounds that appear as frequent hitters (promiscuous compounds) in many biochemical high throughput screens. The compounds identified by such substructural features are not recognized by filters commonly used to identify reactive compounds. Even though these substructural features were identified using only one assay detection technology, such compounds have been reported to be active from many different assays. In fact, these compounds are increasingly prevalent in the literature as potential starting points for further exploration, whereas they may not be.","author":[{"dropping-particle":"","family":"Baell","given":"Jonathan B.","non-dropping-particle":"","parse-names":false,"suffix":""},{"dropping-particle":"","family":"Holloway","given":"Georgina A.","non-dropping-particle":"","parse-names":false,"suffix":""}],"container-title":"Journal of Medicinal Chemistry","id":"ITEM-5","issue":"7","issued":{"date-parts":[["2010","4","8"]]},"page":"2719-2740","publisher":"American Chemical Society","title":"New Substructure Filters for Removal of Pan Assay Interference Compounds (PAINS) from Screening Libraries and for Their Exclusion in Bioassays","type":"article-journal","volume":"53"},"uris":["http://www.mendeley.com/documents/?uuid=f3335dc8-eef1-3c29-887d-841dc908582e"]}],"mendeley":{"formattedCitation":"&lt;sup&gt;22–26&lt;/sup&gt;","plainTextFormattedCitation":"22–26","previouslyFormattedCitation":"&lt;sup&gt;22–26&lt;/sup&gt;"},"properties":{"noteIndex":0},"schema":"https://github.com/citation-style-language/schema/raw/master/csl-citation.json"}</w:instrText>
      </w:r>
      <w:r w:rsidR="00A71DF7" w:rsidRPr="00E672BE">
        <w:rPr>
          <w:rFonts w:cs="Times New Roman"/>
          <w:szCs w:val="24"/>
        </w:rPr>
        <w:fldChar w:fldCharType="separate"/>
      </w:r>
      <w:r w:rsidR="007C7B71" w:rsidRPr="00E672BE">
        <w:rPr>
          <w:rFonts w:cs="Times New Roman"/>
          <w:noProof/>
          <w:szCs w:val="24"/>
          <w:vertAlign w:val="superscript"/>
        </w:rPr>
        <w:t>22–26</w:t>
      </w:r>
      <w:r w:rsidR="00A71DF7" w:rsidRPr="00E672BE">
        <w:rPr>
          <w:rFonts w:cs="Times New Roman"/>
          <w:szCs w:val="24"/>
        </w:rPr>
        <w:fldChar w:fldCharType="end"/>
      </w:r>
      <w:r w:rsidRPr="00E672BE">
        <w:rPr>
          <w:rFonts w:cs="Times New Roman"/>
          <w:szCs w:val="24"/>
        </w:rPr>
        <w:t>.</w:t>
      </w:r>
      <w:r w:rsidR="00F85F5B" w:rsidRPr="00E672BE">
        <w:rPr>
          <w:rFonts w:cs="Times New Roman"/>
          <w:szCs w:val="24"/>
        </w:rPr>
        <w:t xml:space="preserve"> The </w:t>
      </w:r>
      <w:r w:rsidR="00733488" w:rsidRPr="00E672BE">
        <w:rPr>
          <w:rFonts w:cs="Times New Roman"/>
          <w:szCs w:val="24"/>
        </w:rPr>
        <w:t xml:space="preserve">filtering rationale was </w:t>
      </w:r>
      <w:r w:rsidR="00F85F5B" w:rsidRPr="00E672BE">
        <w:rPr>
          <w:rFonts w:cs="Times New Roman"/>
          <w:szCs w:val="24"/>
        </w:rPr>
        <w:t>based on prior knowledge and experience from both the AstraZeneca and A</w:t>
      </w:r>
      <w:r w:rsidR="00D97973" w:rsidRPr="00E672BE">
        <w:rPr>
          <w:rFonts w:cs="Times New Roman"/>
          <w:szCs w:val="24"/>
        </w:rPr>
        <w:t>·</w:t>
      </w:r>
      <w:r w:rsidR="00F85F5B" w:rsidRPr="00E672BE">
        <w:rPr>
          <w:rFonts w:cs="Times New Roman"/>
          <w:szCs w:val="24"/>
        </w:rPr>
        <w:t xml:space="preserve">WOL </w:t>
      </w:r>
      <w:r w:rsidR="00D97973" w:rsidRPr="00E672BE">
        <w:rPr>
          <w:rFonts w:cs="Times New Roman"/>
          <w:szCs w:val="24"/>
        </w:rPr>
        <w:t xml:space="preserve">chemistry </w:t>
      </w:r>
      <w:r w:rsidR="00733488" w:rsidRPr="00E672BE">
        <w:rPr>
          <w:rFonts w:cs="Times New Roman"/>
          <w:szCs w:val="24"/>
        </w:rPr>
        <w:t>teams</w:t>
      </w:r>
      <w:r w:rsidR="00F85F5B" w:rsidRPr="00E672BE">
        <w:rPr>
          <w:rFonts w:cs="Times New Roman"/>
          <w:szCs w:val="24"/>
        </w:rPr>
        <w:t>.</w:t>
      </w:r>
      <w:r w:rsidRPr="00E672BE">
        <w:rPr>
          <w:rFonts w:cs="Times New Roman"/>
          <w:szCs w:val="24"/>
        </w:rPr>
        <w:t xml:space="preserve"> </w:t>
      </w:r>
      <w:r w:rsidR="00D97973" w:rsidRPr="00E672BE">
        <w:rPr>
          <w:rFonts w:cs="Times New Roman"/>
          <w:szCs w:val="24"/>
        </w:rPr>
        <w:t>T</w:t>
      </w:r>
      <w:r w:rsidR="001A0F39" w:rsidRPr="00E672BE">
        <w:rPr>
          <w:rFonts w:cs="Times New Roman"/>
          <w:szCs w:val="24"/>
        </w:rPr>
        <w:t xml:space="preserve">he final </w:t>
      </w:r>
      <w:r w:rsidR="00D460A6" w:rsidRPr="00E672BE">
        <w:rPr>
          <w:rFonts w:cs="Times New Roman"/>
          <w:szCs w:val="24"/>
        </w:rPr>
        <w:t>selection was</w:t>
      </w:r>
      <w:r w:rsidR="00302FFD" w:rsidRPr="00E672BE">
        <w:rPr>
          <w:rFonts w:cs="Times New Roman"/>
          <w:szCs w:val="24"/>
        </w:rPr>
        <w:t xml:space="preserve"> </w:t>
      </w:r>
      <w:r w:rsidR="00733488" w:rsidRPr="00E672BE">
        <w:rPr>
          <w:rFonts w:cs="Times New Roman"/>
          <w:szCs w:val="24"/>
        </w:rPr>
        <w:t xml:space="preserve">further </w:t>
      </w:r>
      <w:r w:rsidR="00A0084B" w:rsidRPr="00E672BE">
        <w:rPr>
          <w:rFonts w:cs="Times New Roman"/>
          <w:szCs w:val="24"/>
        </w:rPr>
        <w:t xml:space="preserve">triaged </w:t>
      </w:r>
      <w:r w:rsidR="00302FFD" w:rsidRPr="00E672BE">
        <w:rPr>
          <w:rFonts w:cs="Times New Roman"/>
          <w:szCs w:val="24"/>
        </w:rPr>
        <w:t xml:space="preserve">based on </w:t>
      </w:r>
      <w:r w:rsidR="006F03AD" w:rsidRPr="00E672BE">
        <w:rPr>
          <w:rFonts w:cs="Times New Roman"/>
          <w:szCs w:val="24"/>
        </w:rPr>
        <w:t>a</w:t>
      </w:r>
      <w:r w:rsidR="00D97973" w:rsidRPr="00E672BE">
        <w:rPr>
          <w:rFonts w:cs="Times New Roman"/>
          <w:szCs w:val="24"/>
        </w:rPr>
        <w:t xml:space="preserve"> balance of molecular weight, predicted logD, solubility, intrinsic clearance (models for human microsomes and rat hepatocytes) and chemotype diversity</w:t>
      </w:r>
      <w:r w:rsidR="00B968C2" w:rsidRPr="00E672BE">
        <w:rPr>
          <w:rFonts w:cs="Times New Roman"/>
          <w:szCs w:val="24"/>
        </w:rPr>
        <w:t xml:space="preserve"> (details of compound selection, ranking and diversity assessment of the ~6000 compounds are provided in </w:t>
      </w:r>
      <w:r w:rsidR="00CF3EEB" w:rsidRPr="00E672BE">
        <w:rPr>
          <w:rFonts w:eastAsia="Times New Roman" w:cs="Times New Roman"/>
          <w:bCs/>
          <w:szCs w:val="24"/>
        </w:rPr>
        <w:t>Supplementary</w:t>
      </w:r>
      <w:r w:rsidR="003F268F" w:rsidRPr="00E672BE">
        <w:rPr>
          <w:rFonts w:eastAsia="Times New Roman" w:cs="Times New Roman"/>
          <w:bCs/>
          <w:szCs w:val="24"/>
        </w:rPr>
        <w:t xml:space="preserve"> Table</w:t>
      </w:r>
      <w:r w:rsidR="001D6647" w:rsidRPr="00E672BE">
        <w:rPr>
          <w:rFonts w:eastAsia="Times New Roman" w:cs="Times New Roman"/>
          <w:bCs/>
          <w:szCs w:val="24"/>
        </w:rPr>
        <w:t>s</w:t>
      </w:r>
      <w:r w:rsidR="00311CA3" w:rsidRPr="00E672BE">
        <w:rPr>
          <w:rFonts w:cs="Times New Roman"/>
          <w:szCs w:val="24"/>
        </w:rPr>
        <w:t xml:space="preserve"> </w:t>
      </w:r>
      <w:r w:rsidR="000A3DBC" w:rsidRPr="00E672BE">
        <w:rPr>
          <w:rFonts w:cs="Times New Roman"/>
          <w:szCs w:val="24"/>
        </w:rPr>
        <w:t>1</w:t>
      </w:r>
      <w:r w:rsidR="001D6647" w:rsidRPr="00E672BE">
        <w:rPr>
          <w:rFonts w:cs="Times New Roman"/>
          <w:szCs w:val="24"/>
        </w:rPr>
        <w:t xml:space="preserve"> and 2</w:t>
      </w:r>
      <w:r w:rsidR="00B968C2" w:rsidRPr="00E672BE">
        <w:rPr>
          <w:rFonts w:cs="Times New Roman"/>
          <w:szCs w:val="24"/>
        </w:rPr>
        <w:t>)</w:t>
      </w:r>
      <w:r w:rsidR="00D97973" w:rsidRPr="00E672BE">
        <w:rPr>
          <w:rFonts w:cs="Times New Roman"/>
          <w:szCs w:val="24"/>
        </w:rPr>
        <w:t>.</w:t>
      </w:r>
      <w:r w:rsidRPr="00E672BE">
        <w:rPr>
          <w:rFonts w:cs="Times New Roman"/>
          <w:szCs w:val="24"/>
        </w:rPr>
        <w:t xml:space="preserve"> </w:t>
      </w:r>
      <w:r w:rsidR="0085208C" w:rsidRPr="00E672BE">
        <w:rPr>
          <w:rFonts w:cs="Times New Roman"/>
          <w:szCs w:val="24"/>
        </w:rPr>
        <w:t xml:space="preserve">A wide range of pIC50s was obtained from these ~6,000 </w:t>
      </w:r>
      <w:r w:rsidR="003644AB" w:rsidRPr="00E672BE">
        <w:rPr>
          <w:rFonts w:cs="Times New Roman"/>
          <w:szCs w:val="24"/>
        </w:rPr>
        <w:t>concentration</w:t>
      </w:r>
      <w:r w:rsidR="00D4155E" w:rsidRPr="00E672BE">
        <w:rPr>
          <w:rFonts w:cs="Times New Roman"/>
          <w:szCs w:val="24"/>
        </w:rPr>
        <w:t xml:space="preserve"> response experiments</w:t>
      </w:r>
      <w:r w:rsidR="0085208C" w:rsidRPr="00E672BE">
        <w:rPr>
          <w:rFonts w:cs="Times New Roman"/>
          <w:szCs w:val="24"/>
        </w:rPr>
        <w:t>,</w:t>
      </w:r>
      <w:r w:rsidR="001965E5" w:rsidRPr="00E672BE">
        <w:rPr>
          <w:rFonts w:cs="Times New Roman"/>
          <w:szCs w:val="24"/>
        </w:rPr>
        <w:t xml:space="preserve"> with </w:t>
      </w:r>
      <w:r w:rsidR="00BF2518" w:rsidRPr="00E672BE">
        <w:rPr>
          <w:rFonts w:cs="Times New Roman"/>
          <w:szCs w:val="24"/>
        </w:rPr>
        <w:t>990</w:t>
      </w:r>
      <w:r w:rsidR="009813EF" w:rsidRPr="00E672BE">
        <w:rPr>
          <w:rFonts w:cs="Times New Roman"/>
          <w:szCs w:val="24"/>
        </w:rPr>
        <w:t xml:space="preserve"> compounds </w:t>
      </w:r>
      <w:r w:rsidR="00D4155E" w:rsidRPr="00E672BE">
        <w:rPr>
          <w:rFonts w:cs="Times New Roman"/>
          <w:szCs w:val="24"/>
        </w:rPr>
        <w:t xml:space="preserve">showing a </w:t>
      </w:r>
      <w:r w:rsidR="009813EF" w:rsidRPr="00E672BE">
        <w:rPr>
          <w:rFonts w:cs="Times New Roman"/>
          <w:szCs w:val="24"/>
        </w:rPr>
        <w:t xml:space="preserve">pIC50 </w:t>
      </w:r>
      <w:r w:rsidR="00BF2518" w:rsidRPr="00E672BE">
        <w:rPr>
          <w:rFonts w:cs="Times New Roman"/>
          <w:szCs w:val="24"/>
        </w:rPr>
        <w:t xml:space="preserve">greater </w:t>
      </w:r>
      <w:r w:rsidR="001965E5" w:rsidRPr="00E672BE">
        <w:rPr>
          <w:rFonts w:cs="Times New Roman"/>
          <w:szCs w:val="24"/>
        </w:rPr>
        <w:t xml:space="preserve">than </w:t>
      </w:r>
      <w:r w:rsidR="00BF2518" w:rsidRPr="00E672BE">
        <w:rPr>
          <w:rFonts w:cs="Times New Roman"/>
          <w:szCs w:val="24"/>
        </w:rPr>
        <w:t>6</w:t>
      </w:r>
      <w:r w:rsidR="00D97973" w:rsidRPr="00E672BE">
        <w:rPr>
          <w:rFonts w:cs="Times New Roman"/>
          <w:szCs w:val="24"/>
        </w:rPr>
        <w:t xml:space="preserve"> </w:t>
      </w:r>
      <w:r w:rsidR="009813EF" w:rsidRPr="00E672BE">
        <w:rPr>
          <w:rFonts w:cs="Times New Roman"/>
          <w:szCs w:val="24"/>
        </w:rPr>
        <w:t>(</w:t>
      </w:r>
      <w:r w:rsidR="00A62C74" w:rsidRPr="00E672BE">
        <w:rPr>
          <w:rFonts w:cs="Times New Roman"/>
          <w:szCs w:val="24"/>
        </w:rPr>
        <w:t>i.e. &lt;</w:t>
      </w:r>
      <w:r w:rsidR="00BF2518" w:rsidRPr="00E672BE">
        <w:rPr>
          <w:rFonts w:cs="Times New Roman"/>
          <w:szCs w:val="24"/>
        </w:rPr>
        <w:t xml:space="preserve"> 1</w:t>
      </w:r>
      <w:r w:rsidR="00F57087" w:rsidRPr="00E672BE">
        <w:rPr>
          <w:rFonts w:cs="Times New Roman"/>
          <w:szCs w:val="24"/>
        </w:rPr>
        <w:t xml:space="preserve"> </w:t>
      </w:r>
      <w:r w:rsidR="009813EF" w:rsidRPr="00E672BE">
        <w:rPr>
          <w:rFonts w:cs="Times New Roman"/>
          <w:szCs w:val="24"/>
        </w:rPr>
        <w:t>µM</w:t>
      </w:r>
      <w:r w:rsidR="000D540D" w:rsidRPr="00E672BE">
        <w:rPr>
          <w:rFonts w:cs="Times New Roman"/>
          <w:szCs w:val="24"/>
        </w:rPr>
        <w:t xml:space="preserve"> IC50</w:t>
      </w:r>
      <w:r w:rsidR="009813EF" w:rsidRPr="00E672BE">
        <w:rPr>
          <w:rFonts w:cs="Times New Roman"/>
          <w:szCs w:val="24"/>
        </w:rPr>
        <w:t xml:space="preserve">) </w:t>
      </w:r>
      <w:r w:rsidR="00D97973" w:rsidRPr="00E672BE">
        <w:rPr>
          <w:rFonts w:cs="Times New Roman"/>
          <w:szCs w:val="24"/>
        </w:rPr>
        <w:t xml:space="preserve">against the </w:t>
      </w:r>
      <w:r w:rsidR="00CB5408" w:rsidRPr="00E672BE">
        <w:rPr>
          <w:rFonts w:cs="Times New Roman"/>
          <w:i/>
          <w:szCs w:val="24"/>
        </w:rPr>
        <w:t>Wolbachia</w:t>
      </w:r>
      <w:r w:rsidR="00D97973" w:rsidRPr="00E672BE">
        <w:rPr>
          <w:rFonts w:cs="Times New Roman"/>
          <w:szCs w:val="24"/>
        </w:rPr>
        <w:t xml:space="preserve"> target</w:t>
      </w:r>
      <w:r w:rsidR="001965E5" w:rsidRPr="00E672BE">
        <w:rPr>
          <w:rFonts w:cs="Times New Roman"/>
          <w:szCs w:val="24"/>
        </w:rPr>
        <w:t xml:space="preserve">. </w:t>
      </w:r>
      <w:r w:rsidR="0024262B" w:rsidRPr="00E672BE">
        <w:rPr>
          <w:rFonts w:cs="Times New Roman"/>
          <w:szCs w:val="24"/>
        </w:rPr>
        <w:t xml:space="preserve">In parallel these ~6,000 </w:t>
      </w:r>
      <w:r w:rsidR="00165322" w:rsidRPr="00E672BE">
        <w:rPr>
          <w:rFonts w:cs="Times New Roman"/>
          <w:szCs w:val="24"/>
        </w:rPr>
        <w:t xml:space="preserve">compounds </w:t>
      </w:r>
      <w:r w:rsidR="0024262B" w:rsidRPr="00E672BE">
        <w:rPr>
          <w:rFonts w:cs="Times New Roman"/>
          <w:szCs w:val="24"/>
        </w:rPr>
        <w:t xml:space="preserve">were also analysed for activity in a mammalian cell viability counter-screen to flag potential mammalian toxicity </w:t>
      </w:r>
      <w:r w:rsidR="00666910" w:rsidRPr="00E672BE">
        <w:rPr>
          <w:rFonts w:cs="Times New Roman"/>
          <w:szCs w:val="24"/>
        </w:rPr>
        <w:t>liabilities</w:t>
      </w:r>
      <w:r w:rsidR="0024262B" w:rsidRPr="00E672BE">
        <w:rPr>
          <w:rFonts w:cs="Times New Roman"/>
          <w:szCs w:val="24"/>
        </w:rPr>
        <w:t>.</w:t>
      </w:r>
      <w:r w:rsidR="00C27191" w:rsidRPr="00E672BE">
        <w:rPr>
          <w:rFonts w:cs="Times New Roman"/>
          <w:szCs w:val="24"/>
        </w:rPr>
        <w:t xml:space="preserve"> </w:t>
      </w:r>
    </w:p>
    <w:p w:rsidR="00DE5796" w:rsidRPr="00E672BE" w:rsidRDefault="00DE5796" w:rsidP="0081482A">
      <w:pPr>
        <w:pStyle w:val="Heading3"/>
        <w:ind w:left="0"/>
      </w:pPr>
      <w:r w:rsidRPr="00E672BE">
        <w:t>HTS hit triaging</w:t>
      </w:r>
      <w:r w:rsidR="00047833" w:rsidRPr="00E672BE">
        <w:t>: secondary and tertiary screening</w:t>
      </w:r>
    </w:p>
    <w:p w:rsidR="00D97973" w:rsidRPr="00E672BE" w:rsidRDefault="00F85F5B" w:rsidP="00D97973">
      <w:pPr>
        <w:rPr>
          <w:rFonts w:eastAsia="Times New Roman" w:cs="Times New Roman"/>
          <w:bCs/>
          <w:szCs w:val="24"/>
        </w:rPr>
      </w:pPr>
      <w:bookmarkStart w:id="2" w:name="_Hlk508869490"/>
      <w:r w:rsidRPr="00E672BE">
        <w:rPr>
          <w:rFonts w:cs="Times New Roman"/>
          <w:szCs w:val="24"/>
        </w:rPr>
        <w:t xml:space="preserve">The ~6,000 compounds tested in the secondary </w:t>
      </w:r>
      <w:r w:rsidR="00234304" w:rsidRPr="00E672BE">
        <w:rPr>
          <w:rFonts w:cs="Times New Roman"/>
          <w:szCs w:val="24"/>
        </w:rPr>
        <w:t xml:space="preserve">concentration </w:t>
      </w:r>
      <w:r w:rsidRPr="00E672BE">
        <w:rPr>
          <w:rFonts w:cs="Times New Roman"/>
          <w:szCs w:val="24"/>
        </w:rPr>
        <w:t xml:space="preserve">response screen were clustered based on their </w:t>
      </w:r>
      <w:r w:rsidR="001C4CD3" w:rsidRPr="00E672BE">
        <w:rPr>
          <w:rFonts w:cs="Times New Roman"/>
          <w:szCs w:val="24"/>
        </w:rPr>
        <w:t>chemical structures represented by</w:t>
      </w:r>
      <w:r w:rsidR="001C4CD3" w:rsidRPr="00E672BE">
        <w:t xml:space="preserve"> </w:t>
      </w:r>
      <w:r w:rsidRPr="00E672BE">
        <w:rPr>
          <w:rFonts w:cs="Times New Roman"/>
          <w:szCs w:val="24"/>
        </w:rPr>
        <w:t>ECFP6 fingerprints</w:t>
      </w:r>
      <w:r w:rsidR="00A71DF7" w:rsidRPr="00E672BE">
        <w:rPr>
          <w:rFonts w:cs="Times New Roman"/>
          <w:szCs w:val="24"/>
        </w:rPr>
        <w:fldChar w:fldCharType="begin" w:fldLock="1"/>
      </w:r>
      <w:r w:rsidR="00957134" w:rsidRPr="00E672BE">
        <w:rPr>
          <w:rFonts w:cs="Times New Roman"/>
          <w:szCs w:val="24"/>
        </w:rPr>
        <w:instrText>ADDIN CSL_CITATION {"citationItems":[{"id":"ITEM-1","itemData":{"DOI":"10.1021/ci100050t","ISSN":"1549-9596","abstract":"Extended-connectivity fingerprints (ECFPs) are a novel class of topological fingerprints for molecular characterization. Historically, topological fingerprints were developed for substructure and similarity searching. ECFPs were developed specifically for structure−activity modeling. ECFPs are circular fingerprints with a number of useful qualities: they can be very rapidly calculated; they are not predefined and can represent an essentially infinite number of different molecular features (including stereochemical information); their features represent the presence of particular substructures, allowing easier interpretation of analysis results; and the ECFP algorithm can be tailored to generate different types of circular fingerprints, optimized for different uses. While the use of ECFPs has been widely adopted and validated, a description of their implementation has not previously been presented in the literature.","author":[{"dropping-particle":"","family":"Rogers","given":"David","non-dropping-particle":"","parse-names":false,"suffix":""},{"dropping-particle":"","family":"Hahn","given":"Mathew","non-dropping-particle":"","parse-names":false,"suffix":""}],"container-title":"Journal of Chemical Information and Modeling","id":"ITEM-1","issue":"5","issued":{"date-parts":[["2010","5","24"]]},"page":"742-754","publisher":" American Chemical Society","title":"Extended-Connectivity Fingerprints","type":"article-journal","volume":"50"},"uris":["http://www.mendeley.com/documents/?uuid=53687dfb-4ef7-33a6-8277-c51f4ce87e1d"]}],"mendeley":{"formattedCitation":"&lt;sup&gt;27&lt;/sup&gt;","plainTextFormattedCitation":"27","previouslyFormattedCitation":"&lt;sup&gt;27&lt;/sup&gt;"},"properties":{"noteIndex":0},"schema":"https://github.com/citation-style-language/schema/raw/master/csl-citation.json"}</w:instrText>
      </w:r>
      <w:r w:rsidR="00A71DF7" w:rsidRPr="00E672BE">
        <w:rPr>
          <w:rFonts w:cs="Times New Roman"/>
          <w:szCs w:val="24"/>
        </w:rPr>
        <w:fldChar w:fldCharType="separate"/>
      </w:r>
      <w:r w:rsidR="007C7B71" w:rsidRPr="00E672BE">
        <w:rPr>
          <w:rFonts w:cs="Times New Roman"/>
          <w:noProof/>
          <w:szCs w:val="24"/>
          <w:vertAlign w:val="superscript"/>
        </w:rPr>
        <w:t>27</w:t>
      </w:r>
      <w:r w:rsidR="00A71DF7" w:rsidRPr="00E672BE">
        <w:rPr>
          <w:rFonts w:cs="Times New Roman"/>
          <w:szCs w:val="24"/>
        </w:rPr>
        <w:fldChar w:fldCharType="end"/>
      </w:r>
      <w:r w:rsidR="000642C9" w:rsidRPr="00E672BE">
        <w:rPr>
          <w:rFonts w:cs="Times New Roman"/>
          <w:szCs w:val="24"/>
        </w:rPr>
        <w:t>, with</w:t>
      </w:r>
      <w:r w:rsidR="00CE45D8" w:rsidRPr="00E672BE">
        <w:rPr>
          <w:rFonts w:cs="Times New Roman"/>
          <w:szCs w:val="24"/>
        </w:rPr>
        <w:t xml:space="preserve"> clusters </w:t>
      </w:r>
      <w:r w:rsidR="00D460A6" w:rsidRPr="00E672BE">
        <w:rPr>
          <w:rFonts w:cs="Times New Roman"/>
          <w:szCs w:val="24"/>
        </w:rPr>
        <w:t xml:space="preserve">of </w:t>
      </w:r>
      <w:r w:rsidR="000642C9" w:rsidRPr="00E672BE">
        <w:rPr>
          <w:rFonts w:cs="Times New Roman"/>
          <w:szCs w:val="24"/>
        </w:rPr>
        <w:t>&lt;</w:t>
      </w:r>
      <w:r w:rsidR="00C27191" w:rsidRPr="00E672BE">
        <w:rPr>
          <w:rFonts w:cs="Times New Roman"/>
          <w:szCs w:val="24"/>
        </w:rPr>
        <w:t xml:space="preserve"> </w:t>
      </w:r>
      <w:r w:rsidR="00BE7815" w:rsidRPr="00E672BE">
        <w:rPr>
          <w:rFonts w:cs="Times New Roman"/>
          <w:szCs w:val="24"/>
        </w:rPr>
        <w:t>3</w:t>
      </w:r>
      <w:r w:rsidR="00CE45D8" w:rsidRPr="00E672BE">
        <w:rPr>
          <w:rFonts w:cs="Times New Roman"/>
          <w:szCs w:val="24"/>
        </w:rPr>
        <w:t xml:space="preserve"> </w:t>
      </w:r>
      <w:r w:rsidR="00D460A6" w:rsidRPr="00E672BE">
        <w:rPr>
          <w:rFonts w:cs="Times New Roman"/>
          <w:szCs w:val="24"/>
        </w:rPr>
        <w:t xml:space="preserve">compounds </w:t>
      </w:r>
      <w:r w:rsidRPr="00E672BE">
        <w:rPr>
          <w:rFonts w:cs="Times New Roman"/>
          <w:szCs w:val="24"/>
        </w:rPr>
        <w:t>removed. The remaining clusters were prioritised based on</w:t>
      </w:r>
      <w:r w:rsidR="00D97973" w:rsidRPr="00E672BE">
        <w:rPr>
          <w:rFonts w:cs="Times New Roman"/>
          <w:szCs w:val="24"/>
        </w:rPr>
        <w:t xml:space="preserve"> manual assessment of </w:t>
      </w:r>
      <w:r w:rsidR="00D97973" w:rsidRPr="00E672BE">
        <w:rPr>
          <w:rFonts w:eastAsia="Times New Roman" w:cs="Times New Roman"/>
          <w:bCs/>
          <w:szCs w:val="24"/>
        </w:rPr>
        <w:t>anti-</w:t>
      </w:r>
      <w:r w:rsidR="00CB5408" w:rsidRPr="00E672BE">
        <w:rPr>
          <w:rFonts w:eastAsia="Times New Roman" w:cs="Times New Roman"/>
          <w:bCs/>
          <w:i/>
          <w:szCs w:val="24"/>
        </w:rPr>
        <w:t>Wolbachia</w:t>
      </w:r>
      <w:r w:rsidR="00D97973" w:rsidRPr="00E672BE">
        <w:rPr>
          <w:rFonts w:eastAsia="Times New Roman" w:cs="Times New Roman"/>
          <w:bCs/>
          <w:szCs w:val="24"/>
        </w:rPr>
        <w:t xml:space="preserve"> activity, mammalian toxicity, cluster size and chemical structure</w:t>
      </w:r>
      <w:r w:rsidR="00666910" w:rsidRPr="00E672BE">
        <w:rPr>
          <w:rFonts w:eastAsia="Times New Roman" w:cs="Times New Roman"/>
          <w:bCs/>
          <w:szCs w:val="24"/>
        </w:rPr>
        <w:t>,</w:t>
      </w:r>
      <w:r w:rsidR="00D97973" w:rsidRPr="00E672BE">
        <w:rPr>
          <w:rFonts w:eastAsia="Times New Roman" w:cs="Times New Roman"/>
          <w:bCs/>
          <w:szCs w:val="24"/>
        </w:rPr>
        <w:t xml:space="preserve"> as well as </w:t>
      </w:r>
      <w:r w:rsidR="007107F6" w:rsidRPr="00E672BE">
        <w:rPr>
          <w:rFonts w:eastAsia="Times New Roman" w:cs="Times New Roman"/>
          <w:bCs/>
          <w:szCs w:val="24"/>
        </w:rPr>
        <w:t xml:space="preserve">the </w:t>
      </w:r>
      <w:r w:rsidR="00D97973" w:rsidRPr="00E672BE">
        <w:rPr>
          <w:rFonts w:eastAsia="Times New Roman" w:cs="Times New Roman"/>
          <w:bCs/>
          <w:szCs w:val="24"/>
        </w:rPr>
        <w:t>measured compound purity.</w:t>
      </w:r>
      <w:r w:rsidR="00014FB8" w:rsidRPr="00E672BE">
        <w:rPr>
          <w:rFonts w:eastAsia="Times New Roman" w:cs="Times New Roman"/>
          <w:bCs/>
          <w:szCs w:val="24"/>
        </w:rPr>
        <w:t xml:space="preserve"> This </w:t>
      </w:r>
      <w:r w:rsidR="007107F6" w:rsidRPr="00E672BE">
        <w:rPr>
          <w:rFonts w:eastAsia="Times New Roman" w:cs="Times New Roman"/>
          <w:bCs/>
          <w:szCs w:val="24"/>
        </w:rPr>
        <w:t>process delivered</w:t>
      </w:r>
      <w:r w:rsidR="00014FB8" w:rsidRPr="00E672BE">
        <w:rPr>
          <w:rFonts w:eastAsia="Times New Roman" w:cs="Times New Roman"/>
          <w:bCs/>
          <w:szCs w:val="24"/>
        </w:rPr>
        <w:t xml:space="preserve"> 5</w:t>
      </w:r>
      <w:r w:rsidR="00FC1683" w:rsidRPr="00E672BE">
        <w:rPr>
          <w:rFonts w:eastAsia="Times New Roman" w:cs="Times New Roman"/>
          <w:bCs/>
          <w:szCs w:val="24"/>
        </w:rPr>
        <w:t>7</w:t>
      </w:r>
      <w:r w:rsidR="00014FB8" w:rsidRPr="00E672BE">
        <w:rPr>
          <w:rFonts w:eastAsia="Times New Roman" w:cs="Times New Roman"/>
          <w:bCs/>
          <w:szCs w:val="24"/>
        </w:rPr>
        <w:t xml:space="preserve"> </w:t>
      </w:r>
      <w:r w:rsidR="00CE45D8" w:rsidRPr="00E672BE">
        <w:rPr>
          <w:rFonts w:eastAsia="Times New Roman" w:cs="Times New Roman"/>
          <w:bCs/>
          <w:szCs w:val="24"/>
        </w:rPr>
        <w:t xml:space="preserve">prioritised </w:t>
      </w:r>
      <w:r w:rsidR="00014FB8" w:rsidRPr="00E672BE">
        <w:rPr>
          <w:rFonts w:eastAsia="Times New Roman" w:cs="Times New Roman"/>
          <w:bCs/>
          <w:szCs w:val="24"/>
        </w:rPr>
        <w:t xml:space="preserve">clusters containing 3-19 representatives </w:t>
      </w:r>
      <w:r w:rsidR="007107F6" w:rsidRPr="00E672BE">
        <w:rPr>
          <w:rFonts w:eastAsia="Times New Roman" w:cs="Times New Roman"/>
          <w:bCs/>
          <w:szCs w:val="24"/>
        </w:rPr>
        <w:t xml:space="preserve">and </w:t>
      </w:r>
      <w:r w:rsidR="00014FB8" w:rsidRPr="00E672BE">
        <w:rPr>
          <w:rFonts w:eastAsia="Times New Roman" w:cs="Times New Roman"/>
          <w:bCs/>
          <w:szCs w:val="24"/>
        </w:rPr>
        <w:t xml:space="preserve">covering </w:t>
      </w:r>
      <w:r w:rsidR="007107F6" w:rsidRPr="00E672BE">
        <w:rPr>
          <w:rFonts w:eastAsia="Times New Roman" w:cs="Times New Roman"/>
          <w:bCs/>
          <w:szCs w:val="24"/>
        </w:rPr>
        <w:t>a</w:t>
      </w:r>
      <w:r w:rsidR="00014FB8" w:rsidRPr="00E672BE">
        <w:rPr>
          <w:rFonts w:eastAsia="Times New Roman" w:cs="Times New Roman"/>
          <w:bCs/>
          <w:szCs w:val="24"/>
        </w:rPr>
        <w:t xml:space="preserve"> total </w:t>
      </w:r>
      <w:r w:rsidR="007107F6" w:rsidRPr="00E672BE">
        <w:rPr>
          <w:rFonts w:eastAsia="Times New Roman" w:cs="Times New Roman"/>
          <w:bCs/>
          <w:szCs w:val="24"/>
        </w:rPr>
        <w:t xml:space="preserve">of </w:t>
      </w:r>
      <w:r w:rsidR="00014FB8" w:rsidRPr="00E672BE">
        <w:rPr>
          <w:rFonts w:eastAsia="Times New Roman" w:cs="Times New Roman"/>
          <w:bCs/>
          <w:szCs w:val="24"/>
        </w:rPr>
        <w:t>360 compounds</w:t>
      </w:r>
      <w:bookmarkEnd w:id="2"/>
      <w:r w:rsidR="00014FB8" w:rsidRPr="00E672BE">
        <w:rPr>
          <w:rFonts w:eastAsia="Times New Roman" w:cs="Times New Roman"/>
          <w:bCs/>
          <w:szCs w:val="24"/>
        </w:rPr>
        <w:t>.</w:t>
      </w:r>
      <w:r w:rsidR="00CC1276" w:rsidRPr="00E672BE">
        <w:rPr>
          <w:rFonts w:eastAsia="Times New Roman" w:cs="Times New Roman"/>
          <w:bCs/>
          <w:szCs w:val="24"/>
        </w:rPr>
        <w:t xml:space="preserve"> Figure 2 </w:t>
      </w:r>
      <w:r w:rsidR="007107F6" w:rsidRPr="00E672BE">
        <w:rPr>
          <w:rFonts w:eastAsia="Times New Roman" w:cs="Times New Roman"/>
          <w:bCs/>
          <w:szCs w:val="24"/>
        </w:rPr>
        <w:t xml:space="preserve">represents </w:t>
      </w:r>
      <w:r w:rsidR="00CC1276" w:rsidRPr="00E672BE">
        <w:rPr>
          <w:rFonts w:eastAsia="Times New Roman" w:cs="Times New Roman"/>
          <w:bCs/>
          <w:szCs w:val="24"/>
        </w:rPr>
        <w:t xml:space="preserve">the </w:t>
      </w:r>
      <w:r w:rsidR="00865516" w:rsidRPr="00E672BE">
        <w:rPr>
          <w:rFonts w:eastAsia="Times New Roman" w:cs="Times New Roman"/>
          <w:bCs/>
          <w:szCs w:val="24"/>
        </w:rPr>
        <w:t>chemical space covered by these compounds (orange spheres)</w:t>
      </w:r>
      <w:r w:rsidR="00CC1276" w:rsidRPr="00E672BE">
        <w:rPr>
          <w:rFonts w:eastAsia="Times New Roman" w:cs="Times New Roman"/>
          <w:bCs/>
          <w:szCs w:val="24"/>
        </w:rPr>
        <w:t xml:space="preserve">. </w:t>
      </w:r>
      <w:r w:rsidR="00014FB8" w:rsidRPr="00E672BE">
        <w:rPr>
          <w:rFonts w:eastAsia="Times New Roman" w:cs="Times New Roman"/>
          <w:bCs/>
          <w:szCs w:val="24"/>
        </w:rPr>
        <w:t xml:space="preserve"> </w:t>
      </w:r>
      <w:r w:rsidR="008D01D0" w:rsidRPr="00E672BE">
        <w:rPr>
          <w:rFonts w:eastAsia="Times New Roman" w:cs="Times New Roman"/>
          <w:bCs/>
          <w:szCs w:val="24"/>
        </w:rPr>
        <w:t xml:space="preserve">The </w:t>
      </w:r>
      <w:r w:rsidR="00047833" w:rsidRPr="00E672BE">
        <w:rPr>
          <w:rFonts w:eastAsia="Times New Roman" w:cs="Times New Roman"/>
          <w:bCs/>
          <w:szCs w:val="24"/>
        </w:rPr>
        <w:t xml:space="preserve">tertiary </w:t>
      </w:r>
      <w:r w:rsidR="0036784E" w:rsidRPr="00E672BE">
        <w:rPr>
          <w:rFonts w:eastAsia="Times New Roman" w:cs="Times New Roman"/>
          <w:bCs/>
          <w:szCs w:val="24"/>
        </w:rPr>
        <w:t>prioritisation was carried out in a</w:t>
      </w:r>
      <w:r w:rsidR="00715B3B" w:rsidRPr="00E672BE">
        <w:rPr>
          <w:rFonts w:eastAsia="Times New Roman" w:cs="Times New Roman"/>
          <w:bCs/>
          <w:szCs w:val="24"/>
        </w:rPr>
        <w:t xml:space="preserve"> </w:t>
      </w:r>
      <w:r w:rsidR="0036784E" w:rsidRPr="00E672BE">
        <w:rPr>
          <w:rFonts w:eastAsia="Times New Roman" w:cs="Times New Roman"/>
          <w:bCs/>
          <w:i/>
          <w:szCs w:val="24"/>
        </w:rPr>
        <w:t>Brugia malayi</w:t>
      </w:r>
      <w:r w:rsidR="0036784E" w:rsidRPr="00E672BE">
        <w:rPr>
          <w:rFonts w:eastAsia="Times New Roman" w:cs="Times New Roman"/>
          <w:bCs/>
          <w:szCs w:val="24"/>
        </w:rPr>
        <w:t xml:space="preserve"> microfilariae</w:t>
      </w:r>
      <w:r w:rsidR="00715B3B" w:rsidRPr="00E672BE">
        <w:rPr>
          <w:rFonts w:eastAsia="Times New Roman" w:cs="Times New Roman"/>
          <w:bCs/>
          <w:szCs w:val="24"/>
        </w:rPr>
        <w:t xml:space="preserve"> (Mf) </w:t>
      </w:r>
      <w:r w:rsidR="00715B3B" w:rsidRPr="00E672BE">
        <w:rPr>
          <w:rFonts w:eastAsia="Times New Roman" w:cs="Times New Roman"/>
          <w:bCs/>
          <w:i/>
          <w:szCs w:val="24"/>
        </w:rPr>
        <w:t>in vitro</w:t>
      </w:r>
      <w:r w:rsidR="00715B3B" w:rsidRPr="00E672BE">
        <w:rPr>
          <w:rFonts w:eastAsia="Times New Roman" w:cs="Times New Roman"/>
          <w:bCs/>
          <w:szCs w:val="24"/>
        </w:rPr>
        <w:t xml:space="preserve"> assay</w:t>
      </w:r>
      <w:r w:rsidR="00C27191" w:rsidRPr="00E672BE">
        <w:rPr>
          <w:rFonts w:eastAsia="Times New Roman" w:cs="Times New Roman"/>
          <w:bCs/>
          <w:szCs w:val="24"/>
        </w:rPr>
        <w:t xml:space="preserve"> </w:t>
      </w:r>
      <w:proofErr w:type="gramStart"/>
      <w:r w:rsidR="00C27191" w:rsidRPr="00E672BE">
        <w:rPr>
          <w:rFonts w:eastAsia="Times New Roman" w:cs="Times New Roman"/>
          <w:bCs/>
          <w:szCs w:val="24"/>
        </w:rPr>
        <w:t>in order to</w:t>
      </w:r>
      <w:proofErr w:type="gramEnd"/>
      <w:r w:rsidR="00C27191" w:rsidRPr="00E672BE">
        <w:rPr>
          <w:rFonts w:eastAsia="Times New Roman" w:cs="Times New Roman"/>
          <w:bCs/>
          <w:szCs w:val="24"/>
        </w:rPr>
        <w:t xml:space="preserve"> assess the activity against the </w:t>
      </w:r>
      <w:r w:rsidR="00CB5408" w:rsidRPr="00E672BE">
        <w:rPr>
          <w:rFonts w:eastAsia="Times New Roman" w:cs="Times New Roman"/>
          <w:bCs/>
          <w:i/>
          <w:szCs w:val="24"/>
        </w:rPr>
        <w:t>Wolbachia</w:t>
      </w:r>
      <w:r w:rsidR="00C27191" w:rsidRPr="00E672BE">
        <w:rPr>
          <w:rFonts w:eastAsia="Times New Roman" w:cs="Times New Roman"/>
          <w:bCs/>
          <w:szCs w:val="24"/>
        </w:rPr>
        <w:t xml:space="preserve"> within a </w:t>
      </w:r>
      <w:r w:rsidR="006054C4" w:rsidRPr="00E672BE">
        <w:rPr>
          <w:rFonts w:eastAsia="Times New Roman" w:cs="Times New Roman"/>
          <w:bCs/>
          <w:szCs w:val="24"/>
        </w:rPr>
        <w:t xml:space="preserve">human filarial </w:t>
      </w:r>
      <w:r w:rsidR="00C27191" w:rsidRPr="00E672BE">
        <w:rPr>
          <w:rFonts w:eastAsia="Times New Roman" w:cs="Times New Roman"/>
          <w:bCs/>
          <w:szCs w:val="24"/>
        </w:rPr>
        <w:t>nematode</w:t>
      </w:r>
      <w:r w:rsidR="006054C4" w:rsidRPr="00E672BE">
        <w:rPr>
          <w:rFonts w:eastAsia="Times New Roman" w:cs="Times New Roman"/>
          <w:bCs/>
          <w:szCs w:val="24"/>
        </w:rPr>
        <w:t>,</w:t>
      </w:r>
      <w:r w:rsidR="00412C8B" w:rsidRPr="00E672BE">
        <w:rPr>
          <w:rFonts w:eastAsia="Times New Roman" w:cs="Times New Roman"/>
          <w:bCs/>
          <w:szCs w:val="24"/>
        </w:rPr>
        <w:t xml:space="preserve"> </w:t>
      </w:r>
      <w:r w:rsidR="00C27191" w:rsidRPr="00E672BE">
        <w:rPr>
          <w:rFonts w:eastAsia="Times New Roman" w:cs="Times New Roman"/>
          <w:bCs/>
          <w:szCs w:val="24"/>
        </w:rPr>
        <w:t xml:space="preserve">thus reducing attrition from </w:t>
      </w:r>
      <w:r w:rsidR="00412C8B" w:rsidRPr="00E672BE">
        <w:rPr>
          <w:rFonts w:eastAsia="Times New Roman" w:cs="Times New Roman"/>
          <w:bCs/>
          <w:szCs w:val="24"/>
        </w:rPr>
        <w:t xml:space="preserve">issues such as </w:t>
      </w:r>
      <w:r w:rsidR="00C27191" w:rsidRPr="00E672BE">
        <w:rPr>
          <w:rFonts w:eastAsia="Times New Roman" w:cs="Times New Roman"/>
          <w:bCs/>
          <w:szCs w:val="24"/>
        </w:rPr>
        <w:t xml:space="preserve">specificity to insect </w:t>
      </w:r>
      <w:r w:rsidR="00CB5408" w:rsidRPr="00E672BE">
        <w:rPr>
          <w:rFonts w:eastAsia="Times New Roman" w:cs="Times New Roman"/>
          <w:bCs/>
          <w:i/>
          <w:szCs w:val="24"/>
        </w:rPr>
        <w:t>Wolbachia</w:t>
      </w:r>
      <w:r w:rsidR="00412C8B" w:rsidRPr="00E672BE">
        <w:rPr>
          <w:rFonts w:eastAsia="Times New Roman" w:cs="Times New Roman"/>
          <w:bCs/>
          <w:szCs w:val="24"/>
        </w:rPr>
        <w:t>,</w:t>
      </w:r>
      <w:r w:rsidR="00C27191" w:rsidRPr="00E672BE">
        <w:rPr>
          <w:rFonts w:eastAsia="Times New Roman" w:cs="Times New Roman"/>
          <w:bCs/>
          <w:szCs w:val="24"/>
        </w:rPr>
        <w:t xml:space="preserve"> </w:t>
      </w:r>
      <w:r w:rsidR="0013676D" w:rsidRPr="00E672BE">
        <w:rPr>
          <w:rFonts w:eastAsia="Times New Roman" w:cs="Times New Roman"/>
          <w:bCs/>
          <w:szCs w:val="24"/>
        </w:rPr>
        <w:t xml:space="preserve">indirect </w:t>
      </w:r>
      <w:r w:rsidR="00C27191" w:rsidRPr="00E672BE">
        <w:rPr>
          <w:rFonts w:eastAsia="Times New Roman" w:cs="Times New Roman"/>
          <w:bCs/>
          <w:szCs w:val="24"/>
        </w:rPr>
        <w:t xml:space="preserve">insect cell </w:t>
      </w:r>
      <w:r w:rsidR="0013676D" w:rsidRPr="00E672BE">
        <w:rPr>
          <w:rFonts w:eastAsia="Times New Roman" w:cs="Times New Roman"/>
          <w:bCs/>
          <w:szCs w:val="24"/>
        </w:rPr>
        <w:t>activity</w:t>
      </w:r>
      <w:r w:rsidR="00412C8B" w:rsidRPr="00E672BE">
        <w:rPr>
          <w:rFonts w:eastAsia="Times New Roman" w:cs="Times New Roman"/>
          <w:bCs/>
          <w:szCs w:val="24"/>
        </w:rPr>
        <w:t xml:space="preserve"> or </w:t>
      </w:r>
      <w:r w:rsidR="006054C4" w:rsidRPr="00E672BE">
        <w:rPr>
          <w:rFonts w:eastAsia="Times New Roman" w:cs="Times New Roman"/>
          <w:bCs/>
          <w:szCs w:val="24"/>
        </w:rPr>
        <w:t>barriers to drug penetration into nematodes</w:t>
      </w:r>
      <w:r w:rsidR="0036784E" w:rsidRPr="00E672BE">
        <w:rPr>
          <w:rFonts w:eastAsia="Times New Roman" w:cs="Times New Roman"/>
          <w:bCs/>
          <w:szCs w:val="24"/>
        </w:rPr>
        <w:t>. T</w:t>
      </w:r>
      <w:r w:rsidR="00014FB8" w:rsidRPr="00E672BE">
        <w:rPr>
          <w:rFonts w:eastAsia="Times New Roman" w:cs="Times New Roman"/>
          <w:bCs/>
          <w:szCs w:val="24"/>
        </w:rPr>
        <w:t xml:space="preserve">he 2 most potent representatives </w:t>
      </w:r>
      <w:r w:rsidR="007107F6" w:rsidRPr="00E672BE">
        <w:rPr>
          <w:rFonts w:eastAsia="Times New Roman" w:cs="Times New Roman"/>
          <w:bCs/>
          <w:szCs w:val="24"/>
        </w:rPr>
        <w:t xml:space="preserve">were selected </w:t>
      </w:r>
      <w:r w:rsidR="00014FB8" w:rsidRPr="00E672BE">
        <w:rPr>
          <w:rFonts w:eastAsia="Times New Roman" w:cs="Times New Roman"/>
          <w:bCs/>
          <w:szCs w:val="24"/>
        </w:rPr>
        <w:t>from each of t</w:t>
      </w:r>
      <w:r w:rsidR="00FC1683" w:rsidRPr="00E672BE">
        <w:rPr>
          <w:rFonts w:eastAsia="Times New Roman" w:cs="Times New Roman"/>
          <w:bCs/>
          <w:szCs w:val="24"/>
        </w:rPr>
        <w:t>he 57</w:t>
      </w:r>
      <w:r w:rsidR="00014FB8" w:rsidRPr="00E672BE">
        <w:rPr>
          <w:rFonts w:eastAsia="Times New Roman" w:cs="Times New Roman"/>
          <w:bCs/>
          <w:szCs w:val="24"/>
        </w:rPr>
        <w:t xml:space="preserve"> clusters</w:t>
      </w:r>
      <w:r w:rsidR="007107F6" w:rsidRPr="00E672BE">
        <w:rPr>
          <w:rFonts w:eastAsia="Times New Roman" w:cs="Times New Roman"/>
          <w:bCs/>
          <w:szCs w:val="24"/>
        </w:rPr>
        <w:t xml:space="preserve"> for </w:t>
      </w:r>
      <w:r w:rsidR="007107F6" w:rsidRPr="00E672BE">
        <w:rPr>
          <w:rFonts w:eastAsia="Times New Roman" w:cs="Times New Roman"/>
          <w:bCs/>
          <w:szCs w:val="24"/>
        </w:rPr>
        <w:lastRenderedPageBreak/>
        <w:t>analysis</w:t>
      </w:r>
      <w:r w:rsidR="00014FB8" w:rsidRPr="00E672BE">
        <w:rPr>
          <w:rFonts w:eastAsia="Times New Roman" w:cs="Times New Roman"/>
          <w:bCs/>
          <w:szCs w:val="24"/>
        </w:rPr>
        <w:t xml:space="preserve">.  </w:t>
      </w:r>
      <w:r w:rsidR="000A3DBC" w:rsidRPr="00E672BE">
        <w:rPr>
          <w:rFonts w:eastAsia="Times New Roman" w:cs="Times New Roman"/>
          <w:bCs/>
          <w:szCs w:val="24"/>
        </w:rPr>
        <w:t>From the 113</w:t>
      </w:r>
      <w:r w:rsidR="004446F4" w:rsidRPr="00E672BE">
        <w:rPr>
          <w:rFonts w:eastAsia="Times New Roman" w:cs="Times New Roman"/>
          <w:bCs/>
          <w:szCs w:val="24"/>
        </w:rPr>
        <w:t xml:space="preserve"> </w:t>
      </w:r>
      <w:r w:rsidR="000A3DBC" w:rsidRPr="00E672BE">
        <w:rPr>
          <w:rFonts w:eastAsia="Times New Roman" w:cs="Times New Roman"/>
          <w:bCs/>
          <w:szCs w:val="24"/>
        </w:rPr>
        <w:t xml:space="preserve">available </w:t>
      </w:r>
      <w:r w:rsidR="004446F4" w:rsidRPr="00E672BE">
        <w:rPr>
          <w:rFonts w:eastAsia="Times New Roman" w:cs="Times New Roman"/>
          <w:bCs/>
          <w:szCs w:val="24"/>
        </w:rPr>
        <w:t xml:space="preserve">representative compounds tested </w:t>
      </w:r>
      <w:r w:rsidR="005B2939" w:rsidRPr="00E672BE">
        <w:rPr>
          <w:rFonts w:eastAsia="Times New Roman" w:cs="Times New Roman"/>
          <w:bCs/>
          <w:szCs w:val="24"/>
        </w:rPr>
        <w:t>at 5</w:t>
      </w:r>
      <w:r w:rsidR="00C168F5" w:rsidRPr="00E672BE">
        <w:rPr>
          <w:rFonts w:eastAsia="Times New Roman" w:cs="Times New Roman"/>
          <w:bCs/>
          <w:szCs w:val="24"/>
        </w:rPr>
        <w:t xml:space="preserve"> </w:t>
      </w:r>
      <w:r w:rsidR="005B2939" w:rsidRPr="00E672BE">
        <w:rPr>
          <w:rFonts w:eastAsia="Times New Roman" w:cs="Times New Roman"/>
          <w:bCs/>
          <w:szCs w:val="24"/>
        </w:rPr>
        <w:t xml:space="preserve">µM, </w:t>
      </w:r>
      <w:r w:rsidR="004446F4" w:rsidRPr="00E672BE">
        <w:rPr>
          <w:rFonts w:eastAsia="Times New Roman" w:cs="Times New Roman"/>
          <w:bCs/>
          <w:szCs w:val="24"/>
        </w:rPr>
        <w:t xml:space="preserve">85 </w:t>
      </w:r>
      <w:r w:rsidR="005B2939" w:rsidRPr="00E672BE">
        <w:rPr>
          <w:rFonts w:eastAsia="Times New Roman" w:cs="Times New Roman"/>
          <w:bCs/>
          <w:szCs w:val="24"/>
        </w:rPr>
        <w:t xml:space="preserve">showed less than 50% </w:t>
      </w:r>
      <w:r w:rsidR="00CB5408" w:rsidRPr="00E672BE">
        <w:rPr>
          <w:rFonts w:eastAsia="Times New Roman" w:cs="Times New Roman"/>
          <w:bCs/>
          <w:i/>
          <w:szCs w:val="24"/>
        </w:rPr>
        <w:t>Wolbachia</w:t>
      </w:r>
      <w:r w:rsidR="00715B3B" w:rsidRPr="00E672BE">
        <w:rPr>
          <w:rFonts w:eastAsia="Times New Roman" w:cs="Times New Roman"/>
          <w:bCs/>
          <w:szCs w:val="24"/>
        </w:rPr>
        <w:t xml:space="preserve"> </w:t>
      </w:r>
      <w:r w:rsidR="005B2939" w:rsidRPr="00E672BE">
        <w:rPr>
          <w:rFonts w:eastAsia="Times New Roman" w:cs="Times New Roman"/>
          <w:bCs/>
          <w:szCs w:val="24"/>
        </w:rPr>
        <w:t xml:space="preserve">reduction </w:t>
      </w:r>
      <w:r w:rsidR="00386CC1" w:rsidRPr="00E672BE">
        <w:rPr>
          <w:rFonts w:eastAsia="Times New Roman" w:cs="Times New Roman"/>
          <w:bCs/>
          <w:szCs w:val="24"/>
        </w:rPr>
        <w:t>(</w:t>
      </w:r>
      <w:r w:rsidR="005B2939" w:rsidRPr="00E672BE">
        <w:rPr>
          <w:rFonts w:eastAsia="Times New Roman" w:cs="Times New Roman"/>
          <w:bCs/>
          <w:szCs w:val="24"/>
        </w:rPr>
        <w:t>normalised to the doxycycline control</w:t>
      </w:r>
      <w:r w:rsidR="00386CC1" w:rsidRPr="00E672BE">
        <w:rPr>
          <w:rFonts w:eastAsia="Times New Roman" w:cs="Times New Roman"/>
          <w:bCs/>
          <w:szCs w:val="24"/>
        </w:rPr>
        <w:t>)</w:t>
      </w:r>
      <w:r w:rsidR="005B2939" w:rsidRPr="00E672BE">
        <w:rPr>
          <w:rFonts w:eastAsia="Times New Roman" w:cs="Times New Roman"/>
          <w:bCs/>
          <w:szCs w:val="24"/>
        </w:rPr>
        <w:t xml:space="preserve">. 11 compounds had between 50-80% </w:t>
      </w:r>
      <w:r w:rsidR="00CB5408" w:rsidRPr="00E672BE">
        <w:rPr>
          <w:rFonts w:eastAsia="Times New Roman" w:cs="Times New Roman"/>
          <w:bCs/>
          <w:i/>
          <w:szCs w:val="24"/>
        </w:rPr>
        <w:t>Wolbachia</w:t>
      </w:r>
      <w:r w:rsidR="005B2939" w:rsidRPr="00E672BE">
        <w:rPr>
          <w:rFonts w:eastAsia="Times New Roman" w:cs="Times New Roman"/>
          <w:bCs/>
          <w:szCs w:val="24"/>
        </w:rPr>
        <w:t xml:space="preserve"> </w:t>
      </w:r>
      <w:r w:rsidR="00386CC1" w:rsidRPr="00E672BE">
        <w:rPr>
          <w:rFonts w:eastAsia="Times New Roman" w:cs="Times New Roman"/>
          <w:bCs/>
          <w:szCs w:val="24"/>
        </w:rPr>
        <w:t xml:space="preserve">reduction </w:t>
      </w:r>
      <w:r w:rsidR="005B2939" w:rsidRPr="00E672BE">
        <w:rPr>
          <w:rFonts w:eastAsia="Times New Roman" w:cs="Times New Roman"/>
          <w:bCs/>
          <w:szCs w:val="24"/>
        </w:rPr>
        <w:t>while 1</w:t>
      </w:r>
      <w:r w:rsidR="000A3DBC" w:rsidRPr="00E672BE">
        <w:rPr>
          <w:rFonts w:eastAsia="Times New Roman" w:cs="Times New Roman"/>
          <w:bCs/>
          <w:szCs w:val="24"/>
        </w:rPr>
        <w:t>7</w:t>
      </w:r>
      <w:r w:rsidR="005B2939" w:rsidRPr="00E672BE">
        <w:rPr>
          <w:rFonts w:eastAsia="Times New Roman" w:cs="Times New Roman"/>
          <w:bCs/>
          <w:szCs w:val="24"/>
        </w:rPr>
        <w:t xml:space="preserve"> compounds </w:t>
      </w:r>
      <w:r w:rsidR="0010389D" w:rsidRPr="00E672BE">
        <w:rPr>
          <w:rFonts w:eastAsia="Times New Roman" w:cs="Times New Roman"/>
          <w:bCs/>
          <w:szCs w:val="24"/>
        </w:rPr>
        <w:t xml:space="preserve">had &gt;80% </w:t>
      </w:r>
      <w:r w:rsidR="00CB5408" w:rsidRPr="00E672BE">
        <w:rPr>
          <w:rFonts w:eastAsia="Times New Roman" w:cs="Times New Roman"/>
          <w:bCs/>
          <w:i/>
          <w:szCs w:val="24"/>
        </w:rPr>
        <w:t>Wolbachia</w:t>
      </w:r>
      <w:r w:rsidR="005B2939" w:rsidRPr="00E672BE">
        <w:rPr>
          <w:rFonts w:eastAsia="Times New Roman" w:cs="Times New Roman"/>
          <w:bCs/>
          <w:i/>
          <w:szCs w:val="24"/>
        </w:rPr>
        <w:t xml:space="preserve"> </w:t>
      </w:r>
      <w:r w:rsidR="00386CC1" w:rsidRPr="00E672BE">
        <w:rPr>
          <w:rFonts w:eastAsia="Times New Roman" w:cs="Times New Roman"/>
          <w:bCs/>
          <w:szCs w:val="24"/>
        </w:rPr>
        <w:t>reduction</w:t>
      </w:r>
      <w:r w:rsidR="00865516" w:rsidRPr="00E672BE">
        <w:rPr>
          <w:rFonts w:eastAsia="Times New Roman" w:cs="Times New Roman"/>
          <w:bCs/>
          <w:szCs w:val="24"/>
        </w:rPr>
        <w:t xml:space="preserve">. </w:t>
      </w:r>
      <w:r w:rsidR="00865516" w:rsidRPr="00E672BE">
        <w:rPr>
          <w:rFonts w:cs="Times New Roman"/>
          <w:szCs w:val="24"/>
        </w:rPr>
        <w:t>It is noteworthy that the confirmed hits spanned a large proportion of the chemical space covered by the</w:t>
      </w:r>
      <w:r w:rsidR="00151614" w:rsidRPr="00E672BE">
        <w:rPr>
          <w:rFonts w:cs="Times New Roman"/>
          <w:szCs w:val="24"/>
        </w:rPr>
        <w:t xml:space="preserve"> original</w:t>
      </w:r>
      <w:r w:rsidR="00865516" w:rsidRPr="00E672BE">
        <w:rPr>
          <w:rFonts w:cs="Times New Roman"/>
          <w:szCs w:val="24"/>
        </w:rPr>
        <w:t xml:space="preserve"> ~6000 compounds</w:t>
      </w:r>
      <w:r w:rsidR="00110193" w:rsidRPr="00E672BE">
        <w:rPr>
          <w:rFonts w:cs="Times New Roman"/>
          <w:szCs w:val="24"/>
        </w:rPr>
        <w:t xml:space="preserve"> </w:t>
      </w:r>
      <w:r w:rsidR="00110193" w:rsidRPr="00E672BE">
        <w:rPr>
          <w:rFonts w:eastAsia="Times New Roman" w:cs="Times New Roman"/>
          <w:bCs/>
          <w:szCs w:val="24"/>
        </w:rPr>
        <w:t>(Figure 2)</w:t>
      </w:r>
      <w:r w:rsidR="00715B3B" w:rsidRPr="00E672BE">
        <w:rPr>
          <w:rFonts w:eastAsia="Times New Roman" w:cs="Times New Roman"/>
          <w:bCs/>
          <w:szCs w:val="24"/>
        </w:rPr>
        <w:t>.</w:t>
      </w:r>
      <w:r w:rsidR="0013676D" w:rsidRPr="00E672BE">
        <w:rPr>
          <w:rFonts w:eastAsia="Times New Roman" w:cs="Times New Roman"/>
          <w:bCs/>
          <w:szCs w:val="24"/>
        </w:rPr>
        <w:t xml:space="preserve"> This diversity reduces the risk of attrition by aiming for differential targets.</w:t>
      </w:r>
    </w:p>
    <w:p w:rsidR="00EB2F9C" w:rsidRPr="00E672BE" w:rsidRDefault="00EB2F9C" w:rsidP="001965E5">
      <w:pPr>
        <w:rPr>
          <w:rFonts w:cs="Times New Roman"/>
          <w:b/>
          <w:szCs w:val="24"/>
        </w:rPr>
      </w:pPr>
    </w:p>
    <w:p w:rsidR="00DE5796" w:rsidRPr="00E672BE" w:rsidRDefault="00DE09AE" w:rsidP="0081482A">
      <w:pPr>
        <w:pStyle w:val="Heading3"/>
        <w:ind w:left="0"/>
      </w:pPr>
      <w:r w:rsidRPr="00E672BE">
        <w:t xml:space="preserve">Discovery of 5 fast acting </w:t>
      </w:r>
      <w:r w:rsidR="00DE5796" w:rsidRPr="00E672BE">
        <w:t>chemical starting points</w:t>
      </w:r>
    </w:p>
    <w:p w:rsidR="00A023B3" w:rsidRPr="00E672BE" w:rsidRDefault="00A023B3" w:rsidP="001965E5">
      <w:pPr>
        <w:rPr>
          <w:rFonts w:cs="Times New Roman"/>
          <w:szCs w:val="24"/>
        </w:rPr>
      </w:pPr>
      <w:r w:rsidRPr="00E672BE">
        <w:rPr>
          <w:rFonts w:cs="Times New Roman"/>
          <w:szCs w:val="24"/>
        </w:rPr>
        <w:t>Based on the anti-</w:t>
      </w:r>
      <w:r w:rsidR="00CB5408" w:rsidRPr="00E672BE">
        <w:rPr>
          <w:rFonts w:cs="Times New Roman"/>
          <w:i/>
          <w:szCs w:val="24"/>
        </w:rPr>
        <w:t>Wolbachia</w:t>
      </w:r>
      <w:r w:rsidRPr="00E672BE">
        <w:rPr>
          <w:rFonts w:cs="Times New Roman"/>
          <w:szCs w:val="24"/>
        </w:rPr>
        <w:t xml:space="preserve"> potency </w:t>
      </w:r>
      <w:r w:rsidR="00715B3B" w:rsidRPr="00E672BE">
        <w:rPr>
          <w:rFonts w:cs="Times New Roman"/>
          <w:szCs w:val="24"/>
        </w:rPr>
        <w:t>(</w:t>
      </w:r>
      <w:r w:rsidRPr="00E672BE">
        <w:rPr>
          <w:rFonts w:cs="Times New Roman"/>
          <w:szCs w:val="24"/>
        </w:rPr>
        <w:t>cell and Mf</w:t>
      </w:r>
      <w:r w:rsidR="00715B3B" w:rsidRPr="00E672BE">
        <w:rPr>
          <w:rFonts w:cs="Times New Roman"/>
          <w:szCs w:val="24"/>
        </w:rPr>
        <w:t xml:space="preserve">) </w:t>
      </w:r>
      <w:r w:rsidR="0010389D" w:rsidRPr="00E672BE">
        <w:rPr>
          <w:rFonts w:cs="Times New Roman"/>
          <w:szCs w:val="24"/>
        </w:rPr>
        <w:t>and</w:t>
      </w:r>
      <w:r w:rsidRPr="00E672BE">
        <w:rPr>
          <w:rFonts w:cs="Times New Roman"/>
          <w:szCs w:val="24"/>
        </w:rPr>
        <w:t xml:space="preserve"> </w:t>
      </w:r>
      <w:r w:rsidRPr="00E672BE">
        <w:rPr>
          <w:rFonts w:cs="Times New Roman"/>
          <w:i/>
          <w:szCs w:val="24"/>
        </w:rPr>
        <w:t>in silico</w:t>
      </w:r>
      <w:r w:rsidRPr="00E672BE">
        <w:rPr>
          <w:rFonts w:cs="Times New Roman"/>
          <w:szCs w:val="24"/>
        </w:rPr>
        <w:t xml:space="preserve"> predictions of </w:t>
      </w:r>
      <w:r w:rsidR="006D686E" w:rsidRPr="00E672BE">
        <w:rPr>
          <w:rFonts w:cs="Times New Roman"/>
          <w:szCs w:val="24"/>
        </w:rPr>
        <w:t>Drug Metabolism and Pharmacokinetic (</w:t>
      </w:r>
      <w:r w:rsidRPr="00E672BE">
        <w:rPr>
          <w:rFonts w:cs="Times New Roman"/>
          <w:szCs w:val="24"/>
        </w:rPr>
        <w:t>DMPK</w:t>
      </w:r>
      <w:r w:rsidR="006D686E" w:rsidRPr="00E672BE">
        <w:rPr>
          <w:rFonts w:cs="Times New Roman"/>
          <w:szCs w:val="24"/>
        </w:rPr>
        <w:t>)</w:t>
      </w:r>
      <w:r w:rsidRPr="00E672BE">
        <w:rPr>
          <w:rFonts w:cs="Times New Roman"/>
          <w:szCs w:val="24"/>
        </w:rPr>
        <w:t xml:space="preserve"> properties, 18 compounds </w:t>
      </w:r>
      <w:r w:rsidR="00490908" w:rsidRPr="00E672BE">
        <w:rPr>
          <w:rFonts w:cs="Times New Roman"/>
          <w:szCs w:val="24"/>
        </w:rPr>
        <w:t>from</w:t>
      </w:r>
      <w:r w:rsidRPr="00E672BE">
        <w:rPr>
          <w:rFonts w:cs="Times New Roman"/>
          <w:szCs w:val="24"/>
        </w:rPr>
        <w:t xml:space="preserve"> 9 distinct clusters (</w:t>
      </w:r>
      <w:r w:rsidR="00BE7815" w:rsidRPr="00E672BE">
        <w:rPr>
          <w:rFonts w:cs="Times New Roman"/>
          <w:szCs w:val="24"/>
        </w:rPr>
        <w:t>2</w:t>
      </w:r>
      <w:r w:rsidRPr="00E672BE">
        <w:rPr>
          <w:rFonts w:cs="Times New Roman"/>
          <w:szCs w:val="24"/>
        </w:rPr>
        <w:t xml:space="preserve"> compounds in each cluster) were selected as the final hits</w:t>
      </w:r>
      <w:r w:rsidR="00151614" w:rsidRPr="00E672BE">
        <w:rPr>
          <w:rFonts w:cs="Times New Roman"/>
          <w:szCs w:val="24"/>
        </w:rPr>
        <w:t xml:space="preserve"> for onward evaluation</w:t>
      </w:r>
      <w:r w:rsidRPr="00E672BE">
        <w:rPr>
          <w:rFonts w:cs="Times New Roman"/>
          <w:szCs w:val="24"/>
        </w:rPr>
        <w:t xml:space="preserve"> from this campaign</w:t>
      </w:r>
      <w:r w:rsidR="00B9162A" w:rsidRPr="00E672BE">
        <w:rPr>
          <w:rFonts w:cs="Times New Roman"/>
          <w:szCs w:val="24"/>
        </w:rPr>
        <w:t xml:space="preserve"> (</w:t>
      </w:r>
      <w:r w:rsidR="00CF3EEB" w:rsidRPr="00E672BE">
        <w:rPr>
          <w:rFonts w:eastAsia="Times New Roman" w:cs="Times New Roman"/>
          <w:bCs/>
          <w:szCs w:val="24"/>
        </w:rPr>
        <w:t>Supplementary</w:t>
      </w:r>
      <w:r w:rsidR="003F268F" w:rsidRPr="00E672BE">
        <w:rPr>
          <w:rFonts w:eastAsia="Times New Roman" w:cs="Times New Roman"/>
          <w:bCs/>
          <w:szCs w:val="24"/>
        </w:rPr>
        <w:t xml:space="preserve"> Table</w:t>
      </w:r>
      <w:r w:rsidR="00B9162A" w:rsidRPr="00E672BE">
        <w:rPr>
          <w:rFonts w:cs="Times New Roman"/>
          <w:szCs w:val="24"/>
        </w:rPr>
        <w:t xml:space="preserve"> </w:t>
      </w:r>
      <w:r w:rsidR="00656041" w:rsidRPr="00E672BE">
        <w:rPr>
          <w:rFonts w:cs="Times New Roman"/>
          <w:szCs w:val="24"/>
        </w:rPr>
        <w:t>3</w:t>
      </w:r>
      <w:r w:rsidR="00B9162A" w:rsidRPr="00E672BE">
        <w:rPr>
          <w:rFonts w:cs="Times New Roman"/>
          <w:szCs w:val="24"/>
        </w:rPr>
        <w:t>)</w:t>
      </w:r>
      <w:r w:rsidRPr="00E672BE">
        <w:rPr>
          <w:rFonts w:cs="Times New Roman"/>
          <w:szCs w:val="24"/>
        </w:rPr>
        <w:t xml:space="preserve">.  The criteria for compound selection </w:t>
      </w:r>
      <w:r w:rsidR="00B52D38" w:rsidRPr="00E672BE">
        <w:rPr>
          <w:rFonts w:cs="Times New Roman"/>
          <w:szCs w:val="24"/>
        </w:rPr>
        <w:t xml:space="preserve">were </w:t>
      </w:r>
      <w:r w:rsidRPr="00E672BE">
        <w:rPr>
          <w:rFonts w:cs="Times New Roman"/>
          <w:szCs w:val="24"/>
        </w:rPr>
        <w:t xml:space="preserve">based on a selection score </w:t>
      </w:r>
      <w:r w:rsidR="00516D7C" w:rsidRPr="00E672BE">
        <w:rPr>
          <w:rFonts w:cs="Times New Roman"/>
          <w:szCs w:val="24"/>
        </w:rPr>
        <w:t>(</w:t>
      </w:r>
      <w:r w:rsidRPr="00E672BE">
        <w:rPr>
          <w:rFonts w:cs="Times New Roman"/>
          <w:szCs w:val="24"/>
        </w:rPr>
        <w:t xml:space="preserve">derived according to </w:t>
      </w:r>
      <w:r w:rsidR="00CF3EEB" w:rsidRPr="00E672BE">
        <w:rPr>
          <w:rFonts w:eastAsia="Times New Roman" w:cs="Times New Roman"/>
          <w:bCs/>
          <w:szCs w:val="24"/>
        </w:rPr>
        <w:t>Supplementary</w:t>
      </w:r>
      <w:r w:rsidR="003F268F" w:rsidRPr="00E672BE">
        <w:rPr>
          <w:rFonts w:eastAsia="Times New Roman" w:cs="Times New Roman"/>
          <w:bCs/>
          <w:szCs w:val="24"/>
        </w:rPr>
        <w:t xml:space="preserve"> Table</w:t>
      </w:r>
      <w:r w:rsidRPr="00E672BE">
        <w:rPr>
          <w:rFonts w:cs="Times New Roman"/>
          <w:szCs w:val="24"/>
        </w:rPr>
        <w:t xml:space="preserve"> </w:t>
      </w:r>
      <w:r w:rsidR="00656041" w:rsidRPr="00E672BE">
        <w:rPr>
          <w:rFonts w:cs="Times New Roman"/>
          <w:szCs w:val="24"/>
        </w:rPr>
        <w:t>4</w:t>
      </w:r>
      <w:r w:rsidR="00516D7C" w:rsidRPr="00E672BE">
        <w:rPr>
          <w:rFonts w:cs="Times New Roman"/>
          <w:szCs w:val="24"/>
        </w:rPr>
        <w:t>)</w:t>
      </w:r>
      <w:r w:rsidR="003727A0" w:rsidRPr="00E672BE">
        <w:rPr>
          <w:rFonts w:cs="Times New Roman"/>
          <w:szCs w:val="24"/>
        </w:rPr>
        <w:t xml:space="preserve"> </w:t>
      </w:r>
      <w:r w:rsidR="002E379F" w:rsidRPr="00E672BE">
        <w:rPr>
          <w:rFonts w:cs="Times New Roman"/>
          <w:szCs w:val="24"/>
        </w:rPr>
        <w:t>with the resultant hits</w:t>
      </w:r>
      <w:r w:rsidR="003727A0" w:rsidRPr="00E672BE">
        <w:rPr>
          <w:rFonts w:cs="Times New Roman"/>
          <w:szCs w:val="24"/>
        </w:rPr>
        <w:t xml:space="preserve"> illustrated in chemical space in Figure 3</w:t>
      </w:r>
      <w:r w:rsidRPr="00E672BE">
        <w:rPr>
          <w:rFonts w:cs="Times New Roman"/>
          <w:szCs w:val="24"/>
        </w:rPr>
        <w:t xml:space="preserve">.  </w:t>
      </w:r>
      <w:r w:rsidR="00F42ADF" w:rsidRPr="00E672BE">
        <w:rPr>
          <w:rFonts w:cs="Times New Roman"/>
          <w:szCs w:val="24"/>
        </w:rPr>
        <w:t>We employed a simple ligand-efficiency metric, ligand efficiency-dependent lipophilicity index (LELP</w:t>
      </w:r>
      <w:r w:rsidR="00516D7C" w:rsidRPr="00E672BE">
        <w:rPr>
          <w:rFonts w:cs="Times New Roman"/>
          <w:szCs w:val="24"/>
        </w:rPr>
        <w:fldChar w:fldCharType="begin" w:fldLock="1"/>
      </w:r>
      <w:r w:rsidR="00957134" w:rsidRPr="00E672BE">
        <w:rPr>
          <w:rFonts w:cs="Times New Roman"/>
          <w:szCs w:val="24"/>
        </w:rPr>
        <w:instrText>ADDIN CSL_CITATION {"citationItems":[{"id":"ITEM-1","itemData":{"DOI":"10.1021/jm201388p","ISSN":"0022-2623","abstract":"Lipophilic efficiency indices such as LLE and LELP were suggested to support balanced optimization of potency and ADMET profile. Here we investigated the performance of LLE and LELP on multiple data sets representing different stages of drug discovery including fragment and HTS hits and leads, development candidates, phase II compounds, and launched drugs. Analyzing their impact on ADME and safety properties and binding thermodynamics, we found that both LLE and LELP help identifying better quality compounds. LLE is sensible for the development stages but does not prefer fragment-type hits, while LELP has an advantage for this class of compounds and discriminates preferred starting points effectively. Both LLE and LELP have significant impact on ADME and safety profiles; however, LELP outperforms LLE in risk assessment at least on the present data set. On the basis of the results reported here, monitoring lipophilic efficiency metrics could contribute significantly to compound quality and might improve th...","author":[{"dropping-particle":"","family":"Tarcsay","given":"Ákos","non-dropping-particle":"","parse-names":false,"suffix":""},{"dropping-particle":"","family":"Nyíri","given":"Kinga","non-dropping-particle":"","parse-names":false,"suffix":""},{"dropping-particle":"","family":"Keserű","given":"György M.","non-dropping-particle":"","parse-names":false,"suffix":""}],"container-title":"Journal of Medicinal Chemistry","id":"ITEM-1","issue":"3","issued":{"date-parts":[["2012","2","9"]]},"page":"1252-1260","publisher":"American Chemical Society","title":"Impact of Lipophilic Efficiency on Compound Quality","type":"article-journal","volume":"55"},"uris":["http://www.mendeley.com/documents/?uuid=4be6d311-845d-30a5-996c-b2a661b6e4f7"]}],"mendeley":{"formattedCitation":"&lt;sup&gt;28&lt;/sup&gt;","plainTextFormattedCitation":"28","previouslyFormattedCitation":"&lt;sup&gt;28&lt;/sup&gt;"},"properties":{"noteIndex":0},"schema":"https://github.com/citation-style-language/schema/raw/master/csl-citation.json"}</w:instrText>
      </w:r>
      <w:r w:rsidR="00516D7C" w:rsidRPr="00E672BE">
        <w:rPr>
          <w:rFonts w:cs="Times New Roman"/>
          <w:szCs w:val="24"/>
        </w:rPr>
        <w:fldChar w:fldCharType="separate"/>
      </w:r>
      <w:r w:rsidR="007C7B71" w:rsidRPr="00E672BE">
        <w:rPr>
          <w:rFonts w:cs="Times New Roman"/>
          <w:noProof/>
          <w:szCs w:val="24"/>
          <w:vertAlign w:val="superscript"/>
        </w:rPr>
        <w:t>28</w:t>
      </w:r>
      <w:r w:rsidR="00516D7C" w:rsidRPr="00E672BE">
        <w:rPr>
          <w:rFonts w:cs="Times New Roman"/>
          <w:szCs w:val="24"/>
        </w:rPr>
        <w:fldChar w:fldCharType="end"/>
      </w:r>
      <w:r w:rsidR="00F42ADF" w:rsidRPr="00E672BE">
        <w:rPr>
          <w:rFonts w:cs="Times New Roman"/>
          <w:szCs w:val="24"/>
        </w:rPr>
        <w:t xml:space="preserve">), to aid in the </w:t>
      </w:r>
      <w:r w:rsidR="00FF6199" w:rsidRPr="00E672BE">
        <w:rPr>
          <w:rFonts w:cs="Times New Roman"/>
          <w:szCs w:val="24"/>
        </w:rPr>
        <w:t>prioritisation of the clusters</w:t>
      </w:r>
      <w:r w:rsidR="007321D4" w:rsidRPr="00E672BE">
        <w:rPr>
          <w:rFonts w:cs="Times New Roman"/>
          <w:szCs w:val="24"/>
        </w:rPr>
        <w:t xml:space="preserve"> balancing potency with lipophilicity</w:t>
      </w:r>
      <w:r w:rsidR="00FF6199" w:rsidRPr="00E672BE">
        <w:rPr>
          <w:rFonts w:cs="Times New Roman"/>
          <w:szCs w:val="24"/>
        </w:rPr>
        <w:t xml:space="preserve">. </w:t>
      </w:r>
      <w:r w:rsidR="00F42ADF" w:rsidRPr="00E672BE">
        <w:rPr>
          <w:rFonts w:cs="Times New Roman"/>
          <w:szCs w:val="24"/>
        </w:rPr>
        <w:t xml:space="preserve"> </w:t>
      </w:r>
      <w:r w:rsidRPr="00E672BE">
        <w:rPr>
          <w:rFonts w:cs="Times New Roman"/>
          <w:szCs w:val="24"/>
        </w:rPr>
        <w:t xml:space="preserve">Notably, the calculated </w:t>
      </w:r>
      <w:r w:rsidR="00FF6199" w:rsidRPr="00E672BE">
        <w:rPr>
          <w:rFonts w:cs="Times New Roman"/>
          <w:szCs w:val="24"/>
        </w:rPr>
        <w:t xml:space="preserve">LELP </w:t>
      </w:r>
      <w:r w:rsidRPr="00E672BE">
        <w:rPr>
          <w:rFonts w:cs="Times New Roman"/>
          <w:szCs w:val="24"/>
        </w:rPr>
        <w:t>for each of the highest scoring hits</w:t>
      </w:r>
      <w:r w:rsidR="00FF6199" w:rsidRPr="00E672BE">
        <w:rPr>
          <w:rFonts w:cs="Times New Roman"/>
          <w:szCs w:val="24"/>
        </w:rPr>
        <w:t xml:space="preserve"> in each cluster</w:t>
      </w:r>
      <w:r w:rsidRPr="00E672BE">
        <w:rPr>
          <w:rFonts w:cs="Times New Roman"/>
          <w:szCs w:val="24"/>
        </w:rPr>
        <w:t xml:space="preserve"> is in the desirable range</w:t>
      </w:r>
      <w:r w:rsidR="00FF6199" w:rsidRPr="00E672BE">
        <w:rPr>
          <w:rFonts w:cs="Times New Roman"/>
          <w:szCs w:val="24"/>
        </w:rPr>
        <w:t xml:space="preserve"> (≤10)</w:t>
      </w:r>
      <w:r w:rsidRPr="00E672BE">
        <w:rPr>
          <w:rFonts w:cs="Times New Roman"/>
          <w:szCs w:val="24"/>
        </w:rPr>
        <w:t xml:space="preserve"> </w:t>
      </w:r>
      <w:r w:rsidR="009A5371" w:rsidRPr="00E672BE">
        <w:rPr>
          <w:rFonts w:cs="Times New Roman"/>
          <w:szCs w:val="24"/>
        </w:rPr>
        <w:t xml:space="preserve">further </w:t>
      </w:r>
      <w:r w:rsidRPr="00E672BE">
        <w:rPr>
          <w:rFonts w:cs="Times New Roman"/>
          <w:szCs w:val="24"/>
        </w:rPr>
        <w:t>confirming the quality of the hit</w:t>
      </w:r>
      <w:r w:rsidR="007321D4" w:rsidRPr="00E672BE">
        <w:rPr>
          <w:rFonts w:cs="Times New Roman"/>
          <w:szCs w:val="24"/>
        </w:rPr>
        <w:t xml:space="preserve"> serie</w:t>
      </w:r>
      <w:r w:rsidR="00964D86" w:rsidRPr="00E672BE">
        <w:rPr>
          <w:rFonts w:cs="Times New Roman"/>
          <w:szCs w:val="24"/>
        </w:rPr>
        <w:t>s</w:t>
      </w:r>
      <w:r w:rsidRPr="00E672BE">
        <w:rPr>
          <w:rFonts w:cs="Times New Roman"/>
          <w:szCs w:val="24"/>
        </w:rPr>
        <w:t xml:space="preserve"> </w:t>
      </w:r>
      <w:r w:rsidR="007321D4" w:rsidRPr="00E672BE">
        <w:rPr>
          <w:rFonts w:cs="Times New Roman"/>
          <w:szCs w:val="24"/>
        </w:rPr>
        <w:t>identified</w:t>
      </w:r>
      <w:r w:rsidRPr="00E672BE">
        <w:rPr>
          <w:rFonts w:cs="Times New Roman"/>
          <w:szCs w:val="24"/>
        </w:rPr>
        <w:t>.</w:t>
      </w:r>
      <w:r w:rsidR="0013676D" w:rsidRPr="00E672BE">
        <w:rPr>
          <w:rFonts w:cs="Times New Roman"/>
          <w:szCs w:val="24"/>
        </w:rPr>
        <w:t xml:space="preserve"> </w:t>
      </w:r>
    </w:p>
    <w:p w:rsidR="00144ACC" w:rsidRPr="00E672BE" w:rsidRDefault="00144ACC" w:rsidP="00144ACC">
      <w:pPr>
        <w:rPr>
          <w:rFonts w:cs="Times New Roman"/>
          <w:szCs w:val="24"/>
        </w:rPr>
      </w:pPr>
      <w:r w:rsidRPr="00E672BE">
        <w:rPr>
          <w:rFonts w:cs="Times New Roman"/>
          <w:szCs w:val="24"/>
        </w:rPr>
        <w:t xml:space="preserve">To further validate the hit molecules from these </w:t>
      </w:r>
      <w:r w:rsidR="00BE7815" w:rsidRPr="00E672BE">
        <w:rPr>
          <w:rFonts w:cs="Times New Roman"/>
          <w:szCs w:val="24"/>
        </w:rPr>
        <w:t>9</w:t>
      </w:r>
      <w:r w:rsidRPr="00E672BE">
        <w:rPr>
          <w:rFonts w:cs="Times New Roman"/>
          <w:szCs w:val="24"/>
        </w:rPr>
        <w:t xml:space="preserve"> clusters, samples were sourced either from </w:t>
      </w:r>
      <w:r w:rsidR="00490908" w:rsidRPr="00E672BE">
        <w:rPr>
          <w:rFonts w:cs="Times New Roman"/>
          <w:szCs w:val="24"/>
        </w:rPr>
        <w:t xml:space="preserve">the </w:t>
      </w:r>
      <w:r w:rsidRPr="00E672BE">
        <w:rPr>
          <w:rFonts w:cs="Times New Roman"/>
          <w:szCs w:val="24"/>
        </w:rPr>
        <w:t xml:space="preserve">AstraZeneca compound inventory or </w:t>
      </w:r>
      <w:r w:rsidR="00490908" w:rsidRPr="00E672BE">
        <w:rPr>
          <w:rFonts w:cs="Times New Roman"/>
          <w:szCs w:val="24"/>
        </w:rPr>
        <w:t xml:space="preserve">through </w:t>
      </w:r>
      <w:r w:rsidRPr="00E672BE">
        <w:rPr>
          <w:rFonts w:cs="Times New Roman"/>
          <w:szCs w:val="24"/>
        </w:rPr>
        <w:t>re</w:t>
      </w:r>
      <w:r w:rsidR="00490908" w:rsidRPr="00E672BE">
        <w:rPr>
          <w:rFonts w:cs="Times New Roman"/>
          <w:szCs w:val="24"/>
        </w:rPr>
        <w:t>-</w:t>
      </w:r>
      <w:r w:rsidRPr="00E672BE">
        <w:rPr>
          <w:rFonts w:cs="Times New Roman"/>
          <w:szCs w:val="24"/>
        </w:rPr>
        <w:t xml:space="preserve">synthesis. All </w:t>
      </w:r>
      <w:r w:rsidR="00BE7815" w:rsidRPr="00E672BE">
        <w:rPr>
          <w:rFonts w:cs="Times New Roman"/>
          <w:szCs w:val="24"/>
        </w:rPr>
        <w:t>18</w:t>
      </w:r>
      <w:r w:rsidRPr="00E672BE">
        <w:rPr>
          <w:rFonts w:cs="Times New Roman"/>
          <w:szCs w:val="24"/>
        </w:rPr>
        <w:t xml:space="preserve"> samples were characterised by </w:t>
      </w:r>
      <w:r w:rsidR="00C9756F" w:rsidRPr="00E672BE">
        <w:rPr>
          <w:rFonts w:cs="Times New Roman"/>
          <w:szCs w:val="24"/>
        </w:rPr>
        <w:t>Nuclear Magnetic Resonance (</w:t>
      </w:r>
      <w:r w:rsidRPr="00E672BE">
        <w:rPr>
          <w:rFonts w:cs="Times New Roman"/>
          <w:szCs w:val="24"/>
        </w:rPr>
        <w:t>NMR</w:t>
      </w:r>
      <w:r w:rsidR="00C9756F" w:rsidRPr="00E672BE">
        <w:rPr>
          <w:rFonts w:cs="Times New Roman"/>
          <w:szCs w:val="24"/>
        </w:rPr>
        <w:t>)</w:t>
      </w:r>
      <w:r w:rsidRPr="00E672BE">
        <w:rPr>
          <w:rFonts w:cs="Times New Roman"/>
          <w:szCs w:val="24"/>
        </w:rPr>
        <w:t xml:space="preserve"> and mass spectroscopy to confirm their chemical structures an</w:t>
      </w:r>
      <w:r w:rsidR="00516D7C" w:rsidRPr="00E672BE">
        <w:rPr>
          <w:rFonts w:cs="Times New Roman"/>
          <w:szCs w:val="24"/>
        </w:rPr>
        <w:t>d by HP</w:t>
      </w:r>
      <w:r w:rsidR="00C9756F" w:rsidRPr="00E672BE">
        <w:rPr>
          <w:rFonts w:cs="Times New Roman"/>
          <w:szCs w:val="24"/>
        </w:rPr>
        <w:t>L</w:t>
      </w:r>
      <w:r w:rsidR="00516D7C" w:rsidRPr="00E672BE">
        <w:rPr>
          <w:rFonts w:cs="Times New Roman"/>
          <w:szCs w:val="24"/>
        </w:rPr>
        <w:t xml:space="preserve">C/LCMS </w:t>
      </w:r>
      <w:r w:rsidR="000A3DBC" w:rsidRPr="00E672BE">
        <w:rPr>
          <w:rFonts w:cs="Times New Roman"/>
          <w:szCs w:val="24"/>
        </w:rPr>
        <w:t xml:space="preserve">to </w:t>
      </w:r>
      <w:r w:rsidR="00490908" w:rsidRPr="00E672BE">
        <w:rPr>
          <w:rFonts w:cs="Times New Roman"/>
          <w:szCs w:val="24"/>
        </w:rPr>
        <w:t xml:space="preserve">establish </w:t>
      </w:r>
      <w:r w:rsidR="00516D7C" w:rsidRPr="00E672BE">
        <w:rPr>
          <w:rFonts w:cs="Times New Roman"/>
          <w:szCs w:val="24"/>
        </w:rPr>
        <w:t>their purity</w:t>
      </w:r>
      <w:r w:rsidRPr="00E672BE">
        <w:rPr>
          <w:rFonts w:cs="Times New Roman"/>
          <w:szCs w:val="24"/>
        </w:rPr>
        <w:t xml:space="preserve"> (</w:t>
      </w:r>
      <w:bookmarkStart w:id="3" w:name="_Hlk529447835"/>
      <w:r w:rsidR="00CF3EEB" w:rsidRPr="00E672BE">
        <w:rPr>
          <w:rFonts w:eastAsia="Times New Roman" w:cs="Times New Roman"/>
          <w:bCs/>
          <w:szCs w:val="24"/>
        </w:rPr>
        <w:t>Supplementary</w:t>
      </w:r>
      <w:bookmarkEnd w:id="3"/>
      <w:r w:rsidR="003F268F" w:rsidRPr="00E672BE">
        <w:rPr>
          <w:rFonts w:eastAsia="Times New Roman" w:cs="Times New Roman"/>
          <w:bCs/>
          <w:szCs w:val="24"/>
        </w:rPr>
        <w:t xml:space="preserve"> Table</w:t>
      </w:r>
      <w:r w:rsidR="00516D7C" w:rsidRPr="00E672BE">
        <w:rPr>
          <w:rFonts w:cs="Times New Roman"/>
          <w:szCs w:val="24"/>
        </w:rPr>
        <w:t xml:space="preserve"> </w:t>
      </w:r>
      <w:r w:rsidR="00656041" w:rsidRPr="00E672BE">
        <w:rPr>
          <w:rFonts w:cs="Times New Roman"/>
          <w:szCs w:val="24"/>
        </w:rPr>
        <w:t>5</w:t>
      </w:r>
      <w:r w:rsidR="00EC4FBC" w:rsidRPr="00E672BE">
        <w:rPr>
          <w:rFonts w:cs="Times New Roman"/>
          <w:szCs w:val="24"/>
        </w:rPr>
        <w:t xml:space="preserve"> and </w:t>
      </w:r>
      <w:proofErr w:type="gramStart"/>
      <w:r w:rsidR="00CF3EEB" w:rsidRPr="00E672BE">
        <w:rPr>
          <w:rFonts w:eastAsia="Times New Roman" w:cs="Times New Roman"/>
          <w:bCs/>
          <w:szCs w:val="24"/>
        </w:rPr>
        <w:t>Supplementary</w:t>
      </w:r>
      <w:r w:rsidR="00EC4FBC" w:rsidRPr="00E672BE">
        <w:rPr>
          <w:rFonts w:cs="Times New Roman"/>
          <w:szCs w:val="24"/>
        </w:rPr>
        <w:t xml:space="preserve"> </w:t>
      </w:r>
      <w:r w:rsidR="00BF5FD6" w:rsidRPr="00E672BE">
        <w:rPr>
          <w:rFonts w:cs="Times New Roman"/>
          <w:szCs w:val="24"/>
        </w:rPr>
        <w:t xml:space="preserve"> Data</w:t>
      </w:r>
      <w:proofErr w:type="gramEnd"/>
      <w:r w:rsidR="00BF5FD6" w:rsidRPr="00E672BE">
        <w:rPr>
          <w:rFonts w:cs="Times New Roman"/>
          <w:szCs w:val="24"/>
        </w:rPr>
        <w:t xml:space="preserve"> 1</w:t>
      </w:r>
      <w:r w:rsidR="00553F88" w:rsidRPr="00E672BE">
        <w:rPr>
          <w:rFonts w:cs="Times New Roman"/>
          <w:szCs w:val="24"/>
        </w:rPr>
        <w:t>).</w:t>
      </w:r>
      <w:r w:rsidRPr="00E672BE">
        <w:rPr>
          <w:rFonts w:cs="Times New Roman"/>
          <w:szCs w:val="24"/>
        </w:rPr>
        <w:t xml:space="preserve"> These samples were also subject to</w:t>
      </w:r>
      <w:r w:rsidR="00490908" w:rsidRPr="00E672BE">
        <w:rPr>
          <w:rFonts w:cs="Times New Roman"/>
          <w:szCs w:val="24"/>
        </w:rPr>
        <w:t xml:space="preserve"> confirmatory</w:t>
      </w:r>
      <w:r w:rsidRPr="00E672BE">
        <w:rPr>
          <w:rFonts w:cs="Times New Roman"/>
          <w:szCs w:val="24"/>
        </w:rPr>
        <w:t xml:space="preserve"> </w:t>
      </w:r>
      <w:r w:rsidR="00490908" w:rsidRPr="00E672BE">
        <w:rPr>
          <w:rFonts w:cs="Times New Roman"/>
          <w:szCs w:val="24"/>
        </w:rPr>
        <w:t>re-</w:t>
      </w:r>
      <w:r w:rsidRPr="00E672BE">
        <w:rPr>
          <w:rFonts w:cs="Times New Roman"/>
          <w:szCs w:val="24"/>
        </w:rPr>
        <w:t xml:space="preserve">assessment in both </w:t>
      </w:r>
      <w:r w:rsidR="00490908" w:rsidRPr="00E672BE">
        <w:rPr>
          <w:rFonts w:cs="Times New Roman"/>
          <w:szCs w:val="24"/>
        </w:rPr>
        <w:t xml:space="preserve">the </w:t>
      </w:r>
      <w:r w:rsidRPr="00E672BE">
        <w:rPr>
          <w:rFonts w:cs="Times New Roman"/>
          <w:szCs w:val="24"/>
        </w:rPr>
        <w:t xml:space="preserve">insect cell </w:t>
      </w:r>
      <w:r w:rsidR="00490908" w:rsidRPr="00E672BE">
        <w:rPr>
          <w:rFonts w:cs="Times New Roman"/>
          <w:szCs w:val="24"/>
        </w:rPr>
        <w:t xml:space="preserve">screen </w:t>
      </w:r>
      <w:r w:rsidRPr="00E672BE">
        <w:rPr>
          <w:rFonts w:cs="Times New Roman"/>
          <w:szCs w:val="24"/>
        </w:rPr>
        <w:t>and Mf</w:t>
      </w:r>
      <w:r w:rsidR="00516D7C" w:rsidRPr="00E672BE">
        <w:rPr>
          <w:rFonts w:cs="Times New Roman"/>
          <w:szCs w:val="24"/>
        </w:rPr>
        <w:t xml:space="preserve"> </w:t>
      </w:r>
      <w:r w:rsidRPr="00E672BE">
        <w:rPr>
          <w:rFonts w:cs="Times New Roman"/>
          <w:szCs w:val="24"/>
        </w:rPr>
        <w:t>assays for anti-</w:t>
      </w:r>
      <w:r w:rsidR="00CB5408" w:rsidRPr="00E672BE">
        <w:rPr>
          <w:rFonts w:cs="Times New Roman"/>
          <w:i/>
          <w:szCs w:val="24"/>
        </w:rPr>
        <w:t>Wolbachia</w:t>
      </w:r>
      <w:r w:rsidRPr="00E672BE">
        <w:rPr>
          <w:rFonts w:cs="Times New Roman"/>
          <w:szCs w:val="24"/>
        </w:rPr>
        <w:t xml:space="preserve"> potency</w:t>
      </w:r>
      <w:r w:rsidR="00490908" w:rsidRPr="00E672BE">
        <w:rPr>
          <w:rFonts w:cs="Times New Roman"/>
          <w:szCs w:val="24"/>
        </w:rPr>
        <w:t xml:space="preserve"> alongside</w:t>
      </w:r>
      <w:r w:rsidRPr="00E672BE">
        <w:rPr>
          <w:rFonts w:cs="Times New Roman"/>
          <w:szCs w:val="24"/>
        </w:rPr>
        <w:t xml:space="preserve"> </w:t>
      </w:r>
      <w:r w:rsidRPr="00E672BE">
        <w:rPr>
          <w:rFonts w:cs="Times New Roman"/>
          <w:szCs w:val="24"/>
        </w:rPr>
        <w:lastRenderedPageBreak/>
        <w:t xml:space="preserve">confirmation </w:t>
      </w:r>
      <w:r w:rsidR="00490908" w:rsidRPr="00E672BE">
        <w:rPr>
          <w:rFonts w:cs="Times New Roman"/>
          <w:szCs w:val="24"/>
        </w:rPr>
        <w:t xml:space="preserve">of </w:t>
      </w:r>
      <w:r w:rsidRPr="00E672BE">
        <w:rPr>
          <w:rFonts w:cs="Times New Roman"/>
          <w:szCs w:val="24"/>
        </w:rPr>
        <w:t>DMPK properties (LogD</w:t>
      </w:r>
      <w:r w:rsidRPr="00E672BE">
        <w:rPr>
          <w:rFonts w:cs="Times New Roman"/>
          <w:szCs w:val="24"/>
          <w:vertAlign w:val="subscript"/>
        </w:rPr>
        <w:t>7.4</w:t>
      </w:r>
      <w:r w:rsidRPr="00E672BE">
        <w:rPr>
          <w:rFonts w:cs="Times New Roman"/>
          <w:szCs w:val="24"/>
        </w:rPr>
        <w:t>, aqueous solubility in pH7.4 PBS, human microsomal turnover, rat hepatocyte turnover and human plasma protein binding) (</w:t>
      </w:r>
      <w:r w:rsidR="003F268F" w:rsidRPr="00E672BE">
        <w:rPr>
          <w:rFonts w:cs="Times New Roman"/>
          <w:szCs w:val="24"/>
        </w:rPr>
        <w:t>F</w:t>
      </w:r>
      <w:r w:rsidR="00516D7C" w:rsidRPr="00E672BE">
        <w:rPr>
          <w:rFonts w:cs="Times New Roman"/>
          <w:szCs w:val="24"/>
        </w:rPr>
        <w:t xml:space="preserve">igure </w:t>
      </w:r>
      <w:r w:rsidR="00487099" w:rsidRPr="00E672BE">
        <w:rPr>
          <w:rFonts w:cs="Times New Roman"/>
          <w:szCs w:val="24"/>
        </w:rPr>
        <w:t xml:space="preserve">4, </w:t>
      </w:r>
      <w:r w:rsidR="00CF3EEB" w:rsidRPr="00E672BE">
        <w:rPr>
          <w:rFonts w:eastAsia="Times New Roman" w:cs="Times New Roman"/>
          <w:bCs/>
          <w:szCs w:val="24"/>
        </w:rPr>
        <w:t>Supplementary</w:t>
      </w:r>
      <w:r w:rsidR="003F268F" w:rsidRPr="00E672BE">
        <w:rPr>
          <w:rFonts w:eastAsia="Times New Roman" w:cs="Times New Roman"/>
          <w:bCs/>
          <w:szCs w:val="24"/>
        </w:rPr>
        <w:t xml:space="preserve"> F</w:t>
      </w:r>
      <w:r w:rsidR="00487099" w:rsidRPr="00E672BE">
        <w:rPr>
          <w:rFonts w:cs="Times New Roman"/>
          <w:szCs w:val="24"/>
        </w:rPr>
        <w:t xml:space="preserve">igure </w:t>
      </w:r>
      <w:r w:rsidR="000A3DBC" w:rsidRPr="00E672BE">
        <w:rPr>
          <w:rFonts w:cs="Times New Roman"/>
          <w:szCs w:val="24"/>
        </w:rPr>
        <w:t>1</w:t>
      </w:r>
      <w:r w:rsidR="00487099" w:rsidRPr="00E672BE">
        <w:rPr>
          <w:rFonts w:cs="Times New Roman"/>
          <w:szCs w:val="24"/>
        </w:rPr>
        <w:t xml:space="preserve"> </w:t>
      </w:r>
      <w:r w:rsidR="00516D7C" w:rsidRPr="00E672BE">
        <w:rPr>
          <w:rFonts w:cs="Times New Roman"/>
          <w:szCs w:val="24"/>
        </w:rPr>
        <w:t xml:space="preserve">and </w:t>
      </w:r>
      <w:r w:rsidR="00CF3EEB" w:rsidRPr="00E672BE">
        <w:rPr>
          <w:rFonts w:eastAsia="Times New Roman" w:cs="Times New Roman"/>
          <w:bCs/>
          <w:szCs w:val="24"/>
        </w:rPr>
        <w:t>Supplementary</w:t>
      </w:r>
      <w:r w:rsidR="003F268F" w:rsidRPr="00E672BE">
        <w:rPr>
          <w:rFonts w:eastAsia="Times New Roman" w:cs="Times New Roman"/>
          <w:bCs/>
          <w:szCs w:val="24"/>
        </w:rPr>
        <w:t xml:space="preserve"> Table</w:t>
      </w:r>
      <w:r w:rsidR="00516D7C" w:rsidRPr="00E672BE">
        <w:rPr>
          <w:rFonts w:cs="Times New Roman"/>
          <w:szCs w:val="24"/>
        </w:rPr>
        <w:t xml:space="preserve"> 4</w:t>
      </w:r>
      <w:r w:rsidRPr="00E672BE">
        <w:rPr>
          <w:rFonts w:cs="Times New Roman"/>
          <w:szCs w:val="24"/>
        </w:rPr>
        <w:t xml:space="preserve">.) </w:t>
      </w:r>
    </w:p>
    <w:p w:rsidR="003E399D" w:rsidRPr="00E672BE" w:rsidRDefault="00B86213" w:rsidP="007F7E8E">
      <w:pPr>
        <w:ind w:firstLine="720"/>
        <w:rPr>
          <w:rFonts w:cs="Times New Roman"/>
          <w:szCs w:val="24"/>
        </w:rPr>
      </w:pPr>
      <w:r w:rsidRPr="00E672BE">
        <w:rPr>
          <w:rFonts w:cs="Times New Roman"/>
          <w:szCs w:val="24"/>
        </w:rPr>
        <w:t xml:space="preserve">Based on these </w:t>
      </w:r>
      <w:r w:rsidRPr="00E672BE">
        <w:rPr>
          <w:rFonts w:cs="Times New Roman"/>
          <w:i/>
          <w:szCs w:val="24"/>
        </w:rPr>
        <w:t>in vitro</w:t>
      </w:r>
      <w:r w:rsidRPr="00E672BE">
        <w:rPr>
          <w:rFonts w:cs="Times New Roman"/>
          <w:szCs w:val="24"/>
        </w:rPr>
        <w:t xml:space="preserve"> assessments and further </w:t>
      </w:r>
      <w:r w:rsidR="003727A0" w:rsidRPr="00E672BE">
        <w:rPr>
          <w:rFonts w:cs="Times New Roman"/>
          <w:szCs w:val="24"/>
        </w:rPr>
        <w:t>scrutiny</w:t>
      </w:r>
      <w:r w:rsidRPr="00E672BE">
        <w:rPr>
          <w:rFonts w:cs="Times New Roman"/>
          <w:szCs w:val="24"/>
        </w:rPr>
        <w:t xml:space="preserve"> by A·WOL and AstraZeneca, the </w:t>
      </w:r>
      <w:r w:rsidR="000A3DBC" w:rsidRPr="00E672BE">
        <w:rPr>
          <w:rFonts w:cs="Times New Roman"/>
          <w:szCs w:val="24"/>
        </w:rPr>
        <w:t xml:space="preserve">9 </w:t>
      </w:r>
      <w:r w:rsidRPr="00E672BE">
        <w:rPr>
          <w:rFonts w:cs="Times New Roman"/>
          <w:szCs w:val="24"/>
        </w:rPr>
        <w:t xml:space="preserve">hit series were </w:t>
      </w:r>
      <w:r w:rsidR="00342F27" w:rsidRPr="00E672BE">
        <w:rPr>
          <w:rFonts w:cs="Times New Roman"/>
          <w:szCs w:val="24"/>
        </w:rPr>
        <w:t xml:space="preserve">placed </w:t>
      </w:r>
      <w:r w:rsidRPr="00E672BE">
        <w:rPr>
          <w:rFonts w:cs="Times New Roman"/>
          <w:szCs w:val="24"/>
        </w:rPr>
        <w:t xml:space="preserve">into </w:t>
      </w:r>
      <w:r w:rsidR="006D686E" w:rsidRPr="00E672BE">
        <w:rPr>
          <w:rFonts w:cs="Times New Roman"/>
          <w:szCs w:val="24"/>
        </w:rPr>
        <w:t>3</w:t>
      </w:r>
      <w:r w:rsidRPr="00E672BE">
        <w:rPr>
          <w:rFonts w:cs="Times New Roman"/>
          <w:szCs w:val="24"/>
        </w:rPr>
        <w:t xml:space="preserve"> categories, with each category containing </w:t>
      </w:r>
      <w:r w:rsidR="00964D86" w:rsidRPr="00E672BE">
        <w:rPr>
          <w:rFonts w:cs="Times New Roman"/>
          <w:szCs w:val="24"/>
        </w:rPr>
        <w:t>representatives</w:t>
      </w:r>
      <w:r w:rsidRPr="00E672BE">
        <w:rPr>
          <w:rFonts w:cs="Times New Roman"/>
          <w:szCs w:val="24"/>
        </w:rPr>
        <w:t xml:space="preserve"> that have</w:t>
      </w:r>
      <w:r w:rsidR="00964D86" w:rsidRPr="00E672BE">
        <w:rPr>
          <w:rFonts w:cs="Times New Roman"/>
          <w:szCs w:val="24"/>
        </w:rPr>
        <w:t xml:space="preserve"> a</w:t>
      </w:r>
      <w:r w:rsidRPr="00E672BE">
        <w:rPr>
          <w:rFonts w:cs="Times New Roman"/>
          <w:szCs w:val="24"/>
        </w:rPr>
        <w:t xml:space="preserve"> similar balance between potency and DMPK properties. (</w:t>
      </w:r>
      <w:r w:rsidR="00B9162A" w:rsidRPr="00E672BE">
        <w:rPr>
          <w:rFonts w:cs="Times New Roman"/>
          <w:szCs w:val="24"/>
        </w:rPr>
        <w:t>Figure 4</w:t>
      </w:r>
      <w:r w:rsidR="00487099" w:rsidRPr="00E672BE">
        <w:rPr>
          <w:rFonts w:cs="Times New Roman"/>
          <w:szCs w:val="24"/>
        </w:rPr>
        <w:t xml:space="preserve">, Category 3 hits are included in </w:t>
      </w:r>
      <w:r w:rsidR="00CF3EEB" w:rsidRPr="00E672BE">
        <w:rPr>
          <w:rFonts w:eastAsia="Times New Roman" w:cs="Times New Roman"/>
          <w:bCs/>
          <w:szCs w:val="24"/>
        </w:rPr>
        <w:t>Supplementary</w:t>
      </w:r>
      <w:r w:rsidR="003F268F" w:rsidRPr="00E672BE">
        <w:rPr>
          <w:rFonts w:eastAsia="Times New Roman" w:cs="Times New Roman"/>
          <w:bCs/>
          <w:szCs w:val="24"/>
        </w:rPr>
        <w:t xml:space="preserve"> F</w:t>
      </w:r>
      <w:r w:rsidR="00487099" w:rsidRPr="00E672BE">
        <w:rPr>
          <w:rFonts w:cs="Times New Roman"/>
          <w:szCs w:val="24"/>
        </w:rPr>
        <w:t xml:space="preserve">igure </w:t>
      </w:r>
      <w:r w:rsidR="000A3DBC" w:rsidRPr="00E672BE">
        <w:rPr>
          <w:rFonts w:cs="Times New Roman"/>
          <w:szCs w:val="24"/>
        </w:rPr>
        <w:t>1</w:t>
      </w:r>
      <w:r w:rsidRPr="00E672BE">
        <w:rPr>
          <w:rFonts w:cs="Times New Roman"/>
          <w:szCs w:val="24"/>
        </w:rPr>
        <w:t xml:space="preserve">). </w:t>
      </w:r>
      <w:r w:rsidR="00964D86" w:rsidRPr="00E672BE">
        <w:rPr>
          <w:rFonts w:cs="Times New Roman"/>
          <w:szCs w:val="24"/>
        </w:rPr>
        <w:t>From</w:t>
      </w:r>
      <w:r w:rsidR="00715918" w:rsidRPr="00E672BE">
        <w:rPr>
          <w:rFonts w:cs="Times New Roman"/>
          <w:szCs w:val="24"/>
        </w:rPr>
        <w:t xml:space="preserve"> </w:t>
      </w:r>
      <w:r w:rsidR="00964D86" w:rsidRPr="00E672BE">
        <w:rPr>
          <w:rFonts w:cs="Times New Roman"/>
          <w:szCs w:val="24"/>
        </w:rPr>
        <w:t xml:space="preserve">previous hit to lead optimisation studies </w:t>
      </w:r>
      <w:r w:rsidR="00100DA2" w:rsidRPr="00E672BE">
        <w:rPr>
          <w:rFonts w:cs="Times New Roman"/>
          <w:szCs w:val="24"/>
        </w:rPr>
        <w:t>strong</w:t>
      </w:r>
      <w:r w:rsidR="00925A28" w:rsidRPr="00E672BE">
        <w:rPr>
          <w:rFonts w:cs="Times New Roman"/>
          <w:szCs w:val="24"/>
        </w:rPr>
        <w:t xml:space="preserve"> potency in the </w:t>
      </w:r>
      <w:r w:rsidR="00957134" w:rsidRPr="00E672BE">
        <w:rPr>
          <w:rFonts w:cs="Times New Roman"/>
          <w:i/>
          <w:szCs w:val="24"/>
        </w:rPr>
        <w:t>in vitro</w:t>
      </w:r>
      <w:r w:rsidR="00964D86" w:rsidRPr="00E672BE">
        <w:rPr>
          <w:rFonts w:cs="Times New Roman"/>
          <w:szCs w:val="24"/>
        </w:rPr>
        <w:t xml:space="preserve"> assay</w:t>
      </w:r>
      <w:r w:rsidR="00F04CDE" w:rsidRPr="00E672BE">
        <w:rPr>
          <w:rFonts w:cs="Times New Roman"/>
          <w:szCs w:val="24"/>
        </w:rPr>
        <w:t>s</w:t>
      </w:r>
      <w:r w:rsidR="00964D86" w:rsidRPr="00E672BE">
        <w:rPr>
          <w:rFonts w:cs="Times New Roman"/>
          <w:szCs w:val="24"/>
        </w:rPr>
        <w:t xml:space="preserve"> was</w:t>
      </w:r>
      <w:r w:rsidR="00A12D65" w:rsidRPr="00E672BE">
        <w:rPr>
          <w:rFonts w:cs="Times New Roman"/>
          <w:szCs w:val="24"/>
        </w:rPr>
        <w:t xml:space="preserve"> found to be</w:t>
      </w:r>
      <w:r w:rsidR="00964D86" w:rsidRPr="00E672BE">
        <w:rPr>
          <w:rFonts w:cs="Times New Roman"/>
          <w:szCs w:val="24"/>
        </w:rPr>
        <w:t xml:space="preserve"> a reliable indicator of the potential of a chemotype to translate to</w:t>
      </w:r>
      <w:r w:rsidR="002812E8" w:rsidRPr="00E672BE">
        <w:rPr>
          <w:rFonts w:cs="Times New Roman"/>
          <w:szCs w:val="24"/>
        </w:rPr>
        <w:t xml:space="preserve"> acceptable</w:t>
      </w:r>
      <w:r w:rsidR="00964D86" w:rsidRPr="00E672BE">
        <w:rPr>
          <w:rFonts w:cs="Times New Roman"/>
          <w:szCs w:val="24"/>
        </w:rPr>
        <w:t xml:space="preserve"> </w:t>
      </w:r>
      <w:r w:rsidR="00964D86" w:rsidRPr="00E672BE">
        <w:rPr>
          <w:rFonts w:cs="Times New Roman"/>
          <w:i/>
          <w:szCs w:val="24"/>
        </w:rPr>
        <w:t>in vivo</w:t>
      </w:r>
      <w:r w:rsidR="00964D86" w:rsidRPr="00E672BE">
        <w:rPr>
          <w:rFonts w:cs="Times New Roman"/>
          <w:szCs w:val="24"/>
        </w:rPr>
        <w:t xml:space="preserve"> potency in the </w:t>
      </w:r>
      <w:r w:rsidR="00925A28" w:rsidRPr="00E672BE">
        <w:rPr>
          <w:rFonts w:cs="Times New Roman"/>
          <w:szCs w:val="24"/>
        </w:rPr>
        <w:t xml:space="preserve">adult </w:t>
      </w:r>
      <w:r w:rsidR="00925A28" w:rsidRPr="00E672BE">
        <w:rPr>
          <w:rFonts w:cs="Times New Roman"/>
          <w:i/>
          <w:szCs w:val="24"/>
        </w:rPr>
        <w:t>Brugia malayi</w:t>
      </w:r>
      <w:r w:rsidR="00964D86" w:rsidRPr="00E672BE">
        <w:rPr>
          <w:rFonts w:cs="Times New Roman"/>
          <w:szCs w:val="24"/>
        </w:rPr>
        <w:t xml:space="preserve"> </w:t>
      </w:r>
      <w:r w:rsidR="00925A28" w:rsidRPr="00E672BE">
        <w:rPr>
          <w:rFonts w:cs="Times New Roman"/>
          <w:szCs w:val="24"/>
        </w:rPr>
        <w:t xml:space="preserve">mouse </w:t>
      </w:r>
      <w:r w:rsidR="00964D86" w:rsidRPr="00E672BE">
        <w:rPr>
          <w:rFonts w:cs="Times New Roman"/>
          <w:szCs w:val="24"/>
        </w:rPr>
        <w:t>model</w:t>
      </w:r>
      <w:r w:rsidR="00957134" w:rsidRPr="00E672BE">
        <w:rPr>
          <w:rFonts w:cs="Times New Roman"/>
          <w:szCs w:val="24"/>
        </w:rPr>
        <w:fldChar w:fldCharType="begin" w:fldLock="1"/>
      </w:r>
      <w:r w:rsidR="00556B2F" w:rsidRPr="00E672BE">
        <w:rPr>
          <w:rFonts w:cs="Times New Roman"/>
          <w:szCs w:val="24"/>
        </w:rPr>
        <w:instrText>ADDIN CSL_CITATION {"citationItems":[{"id":"ITEM-1","itemData":{"DOI":"10.1038/s41598-017-00322-5","ISBN":"4159801700322","ISSN":"20452322","PMID":"28303006","abstract":"1 Lymphatic filariasis (LF) and onchocerciasis are priority neglected tropical diseases targeted for elimination. The only safe drug treatment with substantial curative activity against the filarial nematodes responsible for LF (Brugia malayi, Wuchereria bancrofti) or onchocerciasis (Onchocerca volvulus) is doxycycline. The target of doxycycline is the essential endosymbiont, Wolbachia. Four to six weeks doxycycline therapy achieves &gt;90% depletion of Wolbachia in worm tissues leading to blockade of embryogenesis, adult sterility and premature death 18–24 months post-treatment. Long treatment length and contraindications in children and pregnancy are obstacles to implementing doxycycline as a public health strategy. Here we determine, via preclinical infection models of Brugia malayi or Onchocerca ochengi that elevated exposures of orally-administered rifampicin can lead to Wolbachia depletions from filariae more rapidly than those achieved by doxycycline. Dose escalation of rifampicin achieves &gt;90% Wolbachia depletion in time periods of 7 days in B. malayi and 14 days in O. ochengi. Using pharmacokinetic-pharmacodynamic modelling and mouse-human bridging analysis, we conclude that clinically relevant dose elevations of rifampicin, which have recently been determined as safe in humans, could be administered as short courses to filariasis target populations with potential to reduce anti-Wolbachia curative therapy times to between one and two weeks. Lymphatic Filariasis (LF) and onchocerciasis are vector-borne diseases that endure as public health problems despite the efforts of sustained elimination programmes 1–3 . LF remains wide-spread throughout the tropics, affecting 120 million individuals with 1.1 billion at risk of infection 4 . It is symptomatically characterised by lym-phoedema, hydrocele and elephantiasis and is the second leading cause of global disability 5 . Onchocerciasis is endemic in much of Sub-Saharan Africa, as well as more limited foci in Brazil, Venezuela and The Yemen with 37 million infected 6, 7 . Onchocerciasis is the cause of skin disease and, in its most severe presentation, a sclerosing ocular keratitis (river blindness) which affects 0.8 million individuals and is the second most prevalent cause of infection-related preventable blindness 7–9 . LF and onchocerciasis are both targeted for elimination as public health problems 10, 11 . The current strategy of elimination is mass drug administration (MDA) with anti-filarial","author":[{"dropping-particle":"","family":"Aljayyoussi","given":"Ghaith","non-dropping-particle":"","parse-names":false,"suffix":""},{"dropping-particle":"","family":"Tyrer","given":"Hayley E","non-dropping-particle":"","parse-names":false,"suffix":""},{"dropping-particle":"","family":"Ford","given":"Louise","non-dropping-particle":"","parse-names":false,"suffix":""},{"dropping-particle":"","family":"Sjoberg","given":"Hanna","non-dropping-particle":"","parse-names":false,"suffix":""},{"dropping-particle":"","family":"Pionnier","given":"Nicolas","non-dropping-particle":"","parse-names":false,"suffix":""},{"dropping-particle":"","family":"Waterhouse","given":"David","non-dropping-particle":"","parse-names":false,"suffix":""},{"dropping-particle":"","family":"Davies","given":"Jill","non-dropping-particle":"","parse-names":false,"suffix":""},{"dropping-particle":"","family":"Gamble","given":"Joanne","non-dropping-particle":"","parse-names":false,"suffix":""},{"dropping-particle":"","family":"Metugene","given":"Haelly","non-dropping-particle":"","parse-names":false,"suffix":""},{"dropping-particle":"","family":"Cook","given":"Darren A.N.","non-dropping-particle":"","parse-names":false,"suffix":""},{"dropping-particle":"","family":"Steven","given":"Andrew","non-dropping-particle":"","parse-names":false,"suffix":""},{"dropping-particle":"","family":"Sharma","given":"Raman","non-dropping-particle":"","parse-names":false,"suffix":""},{"dropping-particle":"","family":"Guimaraes","given":"Ana F","non-dropping-particle":"","parse-names":false,"suffix":""},{"dropping-particle":"","family":"Clare","given":"Rachel H","non-dropping-particle":"","parse-names":false,"suffix":""},{"dropping-particle":"","family":"Cassidy","given":"Andrew","non-dropping-particle":"","parse-names":false,"suffix":""},{"dropping-particle":"","family":"Johnston","given":"Kelly L","non-dropping-particle":"","parse-names":false,"suffix":""},{"dropping-particle":"","family":"Myhill","given":"Laura","non-dropping-particle":"","parse-names":false,"suffix":""},{"dropping-particle":"","family":"Hayward","given":"Laura","non-dropping-particle":"","parse-names":false,"suffix":""},{"dropping-particle":"","family":"Wanji","given":"Samuel","non-dropping-particle":"","parse-names":false,"suffix":""},{"dropping-particle":"","family":"Turner","given":"Joseph D","non-dropping-particle":"","parse-names":false,"suffix":""},{"dropping-particle":"","family":"Taylor","given":"Mark J","non-dropping-particle":"","parse-names":false,"suffix":""},{"dropping-particle":"","family":"Ward","given":"Stephen A","non-dropping-particle":"","parse-names":false,"suffix":""}],"container-title":"Scientific Reports","id":"ITEM-1","issue":"1","issued":{"date-parts":[["2017"]]},"page":"210","title":"Short-course, high-dose rifampicin achieves Wolbachia depletion predictive of curative outcomes in preclinical models of lymphatic filariasis and onchocerciasis","type":"article-journal","volume":"7"},"uris":["http://www.mendeley.com/documents/?uuid=9a9e4318-5817-3dcd-a041-439534a6467e"]},{"id":"ITEM-2","itemData":{"DOI":"10.1038/srep23458","ISSN":"2045-2322","PMID":"26996237","abstract":"Lymphatic filariasis and onchocerciasis are parasitic helminth diseases, which cause severe morbidities such as elephantiasis, skin disease and blindness, presenting a major public health burden in endemic communities. The anti-Wolbachia consortium (A·WOL: http://www.a-wol.com/) has identified a number of registered antibiotics that target the endosymbiotic bacterium, Wolbachia, delivering macrofilaricidal activity. Here we use pharmacokinetics/pharmacodynamics (PK/PD) analysis to rationally develop an anti-Wolbachia chemotherapy by linking drug exposure to pharmacological effect. We compare the pharmacokinetics and anti-Wolbachia efficacy in a murine Brugia malayi model of minocycline versus doxycycline. Doxycycline exhibits superior PK in comparison to minocycline resulting in a 3-fold greater exposure in SCID mice. Monte-Carlo simulations confirmed that a bi-daily 25-40 mg/Kg regimen is bioequivalent to a clinically effective 100-200 mg/day dose for these tetracyclines. Pharmacodynamic studies showed that minocycline depletes Wolbachia more effectively than doxycycline (99.51% vs. 90.35%) after 28 day 25 mg/Kg bid regimens with a more potent block in microfilarial production. PK/PD analysis predicts that minocycline would be expected to be 1.7 fold more effective than doxycycline in man despite lower exposure in our infection models. Our findings warrant onward clinical investigations to examine the clinical efficacy of minocycline treatment regimens against lymphatic filariasis and onchocerciasis.","author":[{"dropping-particle":"","family":"Sharma","given":"Raman","non-dropping-particle":"","parse-names":false,"suffix":""},{"dropping-particle":"","family":"Jayoussi","given":"Ghaith","non-dropping-particle":"Al","parse-names":false,"suffix":""},{"dropping-particle":"","family":"Tyrer","given":"Hayley E","non-dropping-particle":"","parse-names":false,"suffix":""},{"dropping-particle":"","family":"Gamble","given":"Joanne","non-dropping-particle":"","parse-names":false,"suffix":""},{"dropping-particle":"","family":"Hayward","given":"Laura","non-dropping-particle":"","parse-names":false,"suffix":""},{"dropping-particle":"","family":"Guimaraes","given":"Ana F","non-dropping-particle":"","parse-names":false,"suffix":""},{"dropping-particle":"","family":"Davies","given":"Jill","non-dropping-particle":"","parse-names":false,"suffix":""},{"dropping-particle":"","family":"Waterhouse","given":"David","non-dropping-particle":"","parse-names":false,"suffix":""},{"dropping-particle":"","family":"Cook","given":"Darren A N","non-dropping-particle":"","parse-names":false,"suffix":""},{"dropping-particle":"","family":"Myhill","given":"Laura J","non-dropping-particle":"","parse-names":false,"suffix":""},{"dropping-particle":"","family":"Clare","given":"Rachel H","non-dropping-particle":"","parse-names":false,"suffix":""},{"dropping-particle":"","family":"Cassidy","given":"Andrew","non-dropping-particle":"","parse-names":false,"suffix":""},{"dropping-particle":"","family":"Steven","given":"Andrew","non-dropping-particle":"","parse-names":false,"suffix":""},{"dropping-particle":"","family":"Johnston","given":"Kelly L","non-dropping-particle":"","parse-names":false,"suffix":""},{"dropping-particle":"","family":"Ford","given":"Louise","non-dropping-particle":"","parse-names":false,"suffix":""},{"dropping-particle":"","family":"Turner","given":"Joseph D","non-dropping-particle":"","parse-names":false,"suffix":""},{"dropping-particle":"","family":"Ward","given":"Stephen A","non-dropping-particle":"","parse-names":false,"suffix":""},{"dropping-particle":"","family":"Taylor","given":"Mark J","non-dropping-particle":"","parse-names":false,"suffix":""}],"container-title":"Scientific reports","id":"ITEM-2","issued":{"date-parts":[["2016"]]},"page":"23458","publisher":"Nature Publishing Group","title":"Minocycline as a re-purposed anti-Wolbachia macrofilaricide: superiority compared with doxycycline regimens in a murine infection model of human lymphatic filariasis.","type":"article-journal","volume":"6"},"uris":["http://www.mendeley.com/documents/?uuid=68eb49a2-dfd6-35dc-a915-f570a7f19171"]}],"mendeley":{"formattedCitation":"&lt;sup&gt;29,30&lt;/sup&gt;","plainTextFormattedCitation":"29,30","previouslyFormattedCitation":"&lt;sup&gt;29,30&lt;/sup&gt;"},"properties":{"noteIndex":0},"schema":"https://github.com/citation-style-language/schema/raw/master/csl-citation.json"}</w:instrText>
      </w:r>
      <w:r w:rsidR="00957134" w:rsidRPr="00E672BE">
        <w:rPr>
          <w:rFonts w:cs="Times New Roman"/>
          <w:szCs w:val="24"/>
        </w:rPr>
        <w:fldChar w:fldCharType="separate"/>
      </w:r>
      <w:r w:rsidR="00957134" w:rsidRPr="00E672BE">
        <w:rPr>
          <w:rFonts w:cs="Times New Roman"/>
          <w:noProof/>
          <w:szCs w:val="24"/>
          <w:vertAlign w:val="superscript"/>
        </w:rPr>
        <w:t>29,30</w:t>
      </w:r>
      <w:r w:rsidR="00957134" w:rsidRPr="00E672BE">
        <w:rPr>
          <w:rFonts w:cs="Times New Roman"/>
          <w:szCs w:val="24"/>
        </w:rPr>
        <w:fldChar w:fldCharType="end"/>
      </w:r>
      <w:r w:rsidR="00964D86" w:rsidRPr="00E672BE">
        <w:rPr>
          <w:rFonts w:cs="Times New Roman"/>
          <w:szCs w:val="24"/>
        </w:rPr>
        <w:t xml:space="preserve">. Thus, </w:t>
      </w:r>
      <w:r w:rsidR="00AA1E3B" w:rsidRPr="00E672BE">
        <w:rPr>
          <w:rFonts w:cs="Times New Roman"/>
          <w:szCs w:val="24"/>
        </w:rPr>
        <w:t xml:space="preserve">this parameter was used as a key component for the following </w:t>
      </w:r>
      <w:r w:rsidR="00964D86" w:rsidRPr="00E672BE">
        <w:rPr>
          <w:rFonts w:cs="Times New Roman"/>
          <w:szCs w:val="24"/>
        </w:rPr>
        <w:t xml:space="preserve">categorisation. </w:t>
      </w:r>
      <w:r w:rsidRPr="00E672BE">
        <w:rPr>
          <w:rFonts w:cs="Times New Roman"/>
          <w:szCs w:val="24"/>
        </w:rPr>
        <w:t xml:space="preserve"> C</w:t>
      </w:r>
      <w:r w:rsidR="00C27C2C" w:rsidRPr="00E672BE">
        <w:rPr>
          <w:rFonts w:cs="Times New Roman"/>
          <w:szCs w:val="24"/>
        </w:rPr>
        <w:t>luster 1, 2 and 3</w:t>
      </w:r>
      <w:r w:rsidRPr="00E672BE">
        <w:rPr>
          <w:rFonts w:cs="Times New Roman"/>
          <w:szCs w:val="24"/>
        </w:rPr>
        <w:t xml:space="preserve"> were placed in</w:t>
      </w:r>
      <w:r w:rsidR="00BF2CBE" w:rsidRPr="00E672BE">
        <w:rPr>
          <w:rFonts w:cs="Times New Roman"/>
          <w:szCs w:val="24"/>
        </w:rPr>
        <w:t>to</w:t>
      </w:r>
      <w:r w:rsidRPr="00E672BE">
        <w:rPr>
          <w:rFonts w:cs="Times New Roman"/>
          <w:szCs w:val="24"/>
        </w:rPr>
        <w:t xml:space="preserve"> Category 1</w:t>
      </w:r>
      <w:r w:rsidR="0029571C" w:rsidRPr="00E672BE">
        <w:rPr>
          <w:rFonts w:cs="Times New Roman"/>
          <w:szCs w:val="24"/>
        </w:rPr>
        <w:t xml:space="preserve"> (</w:t>
      </w:r>
      <w:r w:rsidR="004F1F5E" w:rsidRPr="00E672BE">
        <w:rPr>
          <w:rFonts w:cs="Times New Roman"/>
          <w:szCs w:val="24"/>
        </w:rPr>
        <w:t>Figure 4</w:t>
      </w:r>
      <w:r w:rsidR="0029571C" w:rsidRPr="00E672BE">
        <w:rPr>
          <w:rFonts w:cs="Times New Roman"/>
          <w:szCs w:val="24"/>
        </w:rPr>
        <w:t>)</w:t>
      </w:r>
      <w:r w:rsidRPr="00E672BE">
        <w:rPr>
          <w:rFonts w:cs="Times New Roman"/>
          <w:szCs w:val="24"/>
        </w:rPr>
        <w:t>, with</w:t>
      </w:r>
      <w:r w:rsidR="00C27C2C" w:rsidRPr="00E672BE">
        <w:t xml:space="preserve"> </w:t>
      </w:r>
      <w:r w:rsidR="00C27C2C" w:rsidRPr="00E672BE">
        <w:rPr>
          <w:rFonts w:cs="Times New Roman"/>
          <w:szCs w:val="24"/>
        </w:rPr>
        <w:t>all representatives expressing good potency in the Mf assay</w:t>
      </w:r>
      <w:r w:rsidR="00933605" w:rsidRPr="00E672BE">
        <w:rPr>
          <w:rFonts w:cs="Times New Roman"/>
          <w:szCs w:val="24"/>
        </w:rPr>
        <w:t>,</w:t>
      </w:r>
      <w:r w:rsidR="00100DA2" w:rsidRPr="00E672BE">
        <w:rPr>
          <w:rFonts w:cs="Times New Roman"/>
          <w:szCs w:val="24"/>
        </w:rPr>
        <w:t xml:space="preserve"> superior to</w:t>
      </w:r>
      <w:r w:rsidR="00C27C2C" w:rsidRPr="00E672BE">
        <w:rPr>
          <w:rFonts w:cs="Times New Roman"/>
          <w:szCs w:val="24"/>
        </w:rPr>
        <w:t xml:space="preserve"> doxycycline in the same assay (EC</w:t>
      </w:r>
      <w:r w:rsidR="00C27C2C" w:rsidRPr="00E672BE">
        <w:rPr>
          <w:rFonts w:cs="Times New Roman"/>
          <w:szCs w:val="24"/>
          <w:vertAlign w:val="subscript"/>
        </w:rPr>
        <w:t>50</w:t>
      </w:r>
      <w:r w:rsidR="00C27C2C" w:rsidRPr="00E672BE">
        <w:rPr>
          <w:rFonts w:cs="Times New Roman"/>
          <w:szCs w:val="24"/>
        </w:rPr>
        <w:t xml:space="preserve"> = 250 nM). In terms of DMPK properties, </w:t>
      </w:r>
      <w:r w:rsidR="008A38DD" w:rsidRPr="00E672BE">
        <w:rPr>
          <w:rFonts w:cs="Times New Roman"/>
          <w:szCs w:val="24"/>
        </w:rPr>
        <w:t>all</w:t>
      </w:r>
      <w:r w:rsidR="00C27C2C" w:rsidRPr="00E672BE">
        <w:rPr>
          <w:rFonts w:cs="Times New Roman"/>
          <w:szCs w:val="24"/>
        </w:rPr>
        <w:t xml:space="preserve"> Category 1 hit series have </w:t>
      </w:r>
      <w:r w:rsidR="0090020E" w:rsidRPr="00E672BE">
        <w:rPr>
          <w:rFonts w:cs="Times New Roman"/>
          <w:szCs w:val="24"/>
        </w:rPr>
        <w:t xml:space="preserve">good </w:t>
      </w:r>
      <w:r w:rsidRPr="00E672BE">
        <w:rPr>
          <w:rFonts w:cs="Times New Roman"/>
          <w:szCs w:val="24"/>
        </w:rPr>
        <w:t>physio</w:t>
      </w:r>
      <w:r w:rsidR="00C27C2C" w:rsidRPr="00E672BE">
        <w:rPr>
          <w:rFonts w:cs="Times New Roman"/>
          <w:szCs w:val="24"/>
        </w:rPr>
        <w:t>chemical properties</w:t>
      </w:r>
      <w:r w:rsidR="0090020E" w:rsidRPr="00E672BE">
        <w:rPr>
          <w:rFonts w:cs="Times New Roman"/>
          <w:szCs w:val="24"/>
        </w:rPr>
        <w:t xml:space="preserve">, i.e. aqueous </w:t>
      </w:r>
      <w:r w:rsidR="00C14486" w:rsidRPr="00E672BE">
        <w:rPr>
          <w:rFonts w:cs="Times New Roman"/>
          <w:szCs w:val="24"/>
        </w:rPr>
        <w:t>solubility, but less than optimal</w:t>
      </w:r>
      <w:r w:rsidRPr="00E672BE">
        <w:rPr>
          <w:rFonts w:cs="Times New Roman"/>
          <w:szCs w:val="24"/>
        </w:rPr>
        <w:t xml:space="preserve"> met</w:t>
      </w:r>
      <w:r w:rsidR="00C27C2C" w:rsidRPr="00E672BE">
        <w:rPr>
          <w:rFonts w:cs="Times New Roman"/>
          <w:szCs w:val="24"/>
        </w:rPr>
        <w:t>abolic stability</w:t>
      </w:r>
      <w:r w:rsidRPr="00E672BE">
        <w:rPr>
          <w:rFonts w:cs="Times New Roman"/>
          <w:szCs w:val="24"/>
        </w:rPr>
        <w:t xml:space="preserve">. </w:t>
      </w:r>
      <w:r w:rsidR="003E399D" w:rsidRPr="00E672BE">
        <w:rPr>
          <w:rFonts w:cs="Times New Roman"/>
          <w:szCs w:val="24"/>
        </w:rPr>
        <w:t xml:space="preserve">The balance of key properties for representative hits 1A-3A is depicted in radar plots (Figure </w:t>
      </w:r>
      <w:r w:rsidR="00B9162A" w:rsidRPr="00E672BE">
        <w:rPr>
          <w:rFonts w:cs="Times New Roman"/>
          <w:szCs w:val="24"/>
        </w:rPr>
        <w:t>4</w:t>
      </w:r>
      <w:r w:rsidR="003E399D" w:rsidRPr="00E672BE">
        <w:rPr>
          <w:rFonts w:cs="Times New Roman"/>
          <w:szCs w:val="24"/>
        </w:rPr>
        <w:t>, desirable zone in shaded grey) and this representation identifies the</w:t>
      </w:r>
      <w:r w:rsidR="00100DA2" w:rsidRPr="00E672BE">
        <w:rPr>
          <w:rFonts w:cs="Times New Roman"/>
          <w:szCs w:val="24"/>
        </w:rPr>
        <w:t xml:space="preserve"> potential</w:t>
      </w:r>
      <w:r w:rsidR="003E399D" w:rsidRPr="00E672BE">
        <w:rPr>
          <w:rFonts w:cs="Times New Roman"/>
          <w:szCs w:val="24"/>
        </w:rPr>
        <w:t xml:space="preserve"> metabolic (rat hep</w:t>
      </w:r>
      <w:r w:rsidR="004F34FE" w:rsidRPr="00E672BE">
        <w:rPr>
          <w:rFonts w:cs="Times New Roman"/>
          <w:szCs w:val="24"/>
        </w:rPr>
        <w:t>atocytes</w:t>
      </w:r>
      <w:r w:rsidR="003E399D" w:rsidRPr="00E672BE">
        <w:rPr>
          <w:rFonts w:cs="Times New Roman"/>
          <w:szCs w:val="24"/>
        </w:rPr>
        <w:t xml:space="preserve"> or human mic</w:t>
      </w:r>
      <w:r w:rsidR="004F34FE" w:rsidRPr="00E672BE">
        <w:rPr>
          <w:rFonts w:cs="Times New Roman"/>
          <w:szCs w:val="24"/>
        </w:rPr>
        <w:t>ro</w:t>
      </w:r>
      <w:r w:rsidR="003E399D" w:rsidRPr="00E672BE">
        <w:rPr>
          <w:rFonts w:cs="Times New Roman"/>
          <w:szCs w:val="24"/>
        </w:rPr>
        <w:t>s</w:t>
      </w:r>
      <w:r w:rsidR="004F34FE" w:rsidRPr="00E672BE">
        <w:rPr>
          <w:rFonts w:cs="Times New Roman"/>
          <w:szCs w:val="24"/>
        </w:rPr>
        <w:t>ome</w:t>
      </w:r>
      <w:r w:rsidR="003E399D" w:rsidRPr="00E672BE">
        <w:rPr>
          <w:rFonts w:cs="Times New Roman"/>
          <w:szCs w:val="24"/>
        </w:rPr>
        <w:t>) liabilities that need to be addressed moving forward</w:t>
      </w:r>
      <w:r w:rsidR="000E456D" w:rsidRPr="00E672BE">
        <w:rPr>
          <w:rFonts w:cs="Times New Roman"/>
          <w:szCs w:val="24"/>
        </w:rPr>
        <w:t>.</w:t>
      </w:r>
    </w:p>
    <w:p w:rsidR="0005760C" w:rsidRPr="00E672BE" w:rsidRDefault="00B86213" w:rsidP="00495EED">
      <w:pPr>
        <w:ind w:firstLine="720"/>
        <w:rPr>
          <w:rFonts w:cs="Times New Roman"/>
          <w:szCs w:val="24"/>
        </w:rPr>
      </w:pPr>
      <w:r w:rsidRPr="00E672BE">
        <w:rPr>
          <w:rFonts w:cs="Times New Roman"/>
          <w:szCs w:val="24"/>
        </w:rPr>
        <w:t xml:space="preserve">Category 2 includes Cluster </w:t>
      </w:r>
      <w:r w:rsidR="00BB3BA0" w:rsidRPr="00E672BE">
        <w:rPr>
          <w:rFonts w:cs="Times New Roman"/>
          <w:szCs w:val="24"/>
        </w:rPr>
        <w:t>4, 5 and 6</w:t>
      </w:r>
      <w:r w:rsidR="00933605" w:rsidRPr="00E672BE">
        <w:rPr>
          <w:rFonts w:cs="Times New Roman"/>
          <w:szCs w:val="24"/>
        </w:rPr>
        <w:t xml:space="preserve"> (Figure 4)</w:t>
      </w:r>
      <w:r w:rsidRPr="00E672BE">
        <w:rPr>
          <w:rFonts w:cs="Times New Roman"/>
          <w:szCs w:val="24"/>
        </w:rPr>
        <w:t xml:space="preserve">. </w:t>
      </w:r>
      <w:r w:rsidR="00E9693D" w:rsidRPr="00E672BE">
        <w:rPr>
          <w:rFonts w:cs="Times New Roman"/>
          <w:szCs w:val="24"/>
        </w:rPr>
        <w:t xml:space="preserve">Representative </w:t>
      </w:r>
      <w:r w:rsidR="00925A28" w:rsidRPr="00E672BE">
        <w:rPr>
          <w:rFonts w:cs="Times New Roman"/>
          <w:szCs w:val="24"/>
        </w:rPr>
        <w:t>pyrrolidinyl</w:t>
      </w:r>
      <w:r w:rsidR="00DA6290" w:rsidRPr="00E672BE">
        <w:rPr>
          <w:rFonts w:cs="Times New Roman"/>
          <w:szCs w:val="24"/>
        </w:rPr>
        <w:t xml:space="preserve"> </w:t>
      </w:r>
      <w:proofErr w:type="spellStart"/>
      <w:r w:rsidR="00175D04" w:rsidRPr="00E672BE">
        <w:rPr>
          <w:rFonts w:cs="Times New Roman"/>
          <w:szCs w:val="24"/>
        </w:rPr>
        <w:t>thiazole</w:t>
      </w:r>
      <w:proofErr w:type="spellEnd"/>
      <w:r w:rsidR="00175D04" w:rsidRPr="00E672BE">
        <w:rPr>
          <w:rFonts w:cs="Times New Roman"/>
          <w:szCs w:val="24"/>
        </w:rPr>
        <w:t xml:space="preserve"> </w:t>
      </w:r>
      <w:r w:rsidR="00E9693D" w:rsidRPr="00E672BE">
        <w:rPr>
          <w:rFonts w:cs="Times New Roman"/>
          <w:szCs w:val="24"/>
        </w:rPr>
        <w:t>hit 4A (Cluste</w:t>
      </w:r>
      <w:r w:rsidR="00187C6B" w:rsidRPr="00E672BE">
        <w:rPr>
          <w:rFonts w:cs="Times New Roman"/>
          <w:szCs w:val="24"/>
        </w:rPr>
        <w:t xml:space="preserve">r 4) has strong insect cell </w:t>
      </w:r>
      <w:r w:rsidR="00BF2CBE" w:rsidRPr="00E672BE">
        <w:rPr>
          <w:rFonts w:cs="Times New Roman"/>
          <w:szCs w:val="24"/>
        </w:rPr>
        <w:t xml:space="preserve">screen </w:t>
      </w:r>
      <w:r w:rsidR="00187C6B" w:rsidRPr="00E672BE">
        <w:rPr>
          <w:rFonts w:cs="Times New Roman"/>
          <w:szCs w:val="24"/>
        </w:rPr>
        <w:t xml:space="preserve">activity and good </w:t>
      </w:r>
      <w:r w:rsidR="00187C6B" w:rsidRPr="00E672BE">
        <w:rPr>
          <w:rFonts w:cs="Times New Roman"/>
          <w:i/>
          <w:szCs w:val="24"/>
        </w:rPr>
        <w:t>in vitro</w:t>
      </w:r>
      <w:r w:rsidR="00187C6B" w:rsidRPr="00E672BE">
        <w:rPr>
          <w:rFonts w:cs="Times New Roman"/>
          <w:szCs w:val="24"/>
        </w:rPr>
        <w:t xml:space="preserve"> Mf potency</w:t>
      </w:r>
      <w:r w:rsidR="00E9693D" w:rsidRPr="00E672BE">
        <w:rPr>
          <w:rFonts w:cs="Times New Roman"/>
          <w:szCs w:val="24"/>
        </w:rPr>
        <w:t xml:space="preserve">.  Solubility is also excellent for this </w:t>
      </w:r>
      <w:r w:rsidR="00713E6B" w:rsidRPr="00E672BE">
        <w:rPr>
          <w:rFonts w:cs="Times New Roman"/>
          <w:szCs w:val="24"/>
        </w:rPr>
        <w:t>molecule;</w:t>
      </w:r>
      <w:r w:rsidR="00175D04" w:rsidRPr="00E672BE">
        <w:rPr>
          <w:rFonts w:cs="Times New Roman"/>
          <w:szCs w:val="24"/>
        </w:rPr>
        <w:t xml:space="preserve"> </w:t>
      </w:r>
      <w:r w:rsidR="00713E6B" w:rsidRPr="00E672BE">
        <w:rPr>
          <w:rFonts w:cs="Times New Roman"/>
          <w:szCs w:val="24"/>
        </w:rPr>
        <w:t>h</w:t>
      </w:r>
      <w:r w:rsidR="00E9693D" w:rsidRPr="00E672BE">
        <w:rPr>
          <w:rFonts w:cs="Times New Roman"/>
          <w:szCs w:val="24"/>
        </w:rPr>
        <w:t xml:space="preserve">owever, the human microsomal stability is </w:t>
      </w:r>
      <w:proofErr w:type="gramStart"/>
      <w:r w:rsidR="00E9693D" w:rsidRPr="00E672BE">
        <w:rPr>
          <w:rFonts w:cs="Times New Roman"/>
          <w:szCs w:val="24"/>
        </w:rPr>
        <w:t>poor</w:t>
      </w:r>
      <w:proofErr w:type="gramEnd"/>
      <w:r w:rsidR="00E9693D" w:rsidRPr="00E672BE">
        <w:rPr>
          <w:rFonts w:cs="Times New Roman"/>
          <w:szCs w:val="24"/>
        </w:rPr>
        <w:t xml:space="preserve"> and this feature should be </w:t>
      </w:r>
      <w:r w:rsidR="005521D3" w:rsidRPr="00E672BE">
        <w:rPr>
          <w:rFonts w:cs="Times New Roman"/>
          <w:szCs w:val="24"/>
        </w:rPr>
        <w:t>targeted in</w:t>
      </w:r>
      <w:r w:rsidR="00E9693D" w:rsidRPr="00E672BE">
        <w:rPr>
          <w:rFonts w:cs="Times New Roman"/>
          <w:szCs w:val="24"/>
        </w:rPr>
        <w:t xml:space="preserve"> optimisation studies</w:t>
      </w:r>
      <w:r w:rsidR="00713E6B" w:rsidRPr="00E672BE">
        <w:rPr>
          <w:rFonts w:cs="Times New Roman"/>
          <w:szCs w:val="24"/>
        </w:rPr>
        <w:t xml:space="preserve"> following identification of the metabolic weak-spots through metabolite profiling studies</w:t>
      </w:r>
      <w:r w:rsidR="00E9693D" w:rsidRPr="00E672BE">
        <w:rPr>
          <w:rFonts w:cs="Times New Roman"/>
          <w:szCs w:val="24"/>
        </w:rPr>
        <w:t xml:space="preserve">. Representative </w:t>
      </w:r>
      <w:r w:rsidR="00175D04" w:rsidRPr="00E672BE">
        <w:rPr>
          <w:rFonts w:cs="Times New Roman"/>
          <w:szCs w:val="24"/>
        </w:rPr>
        <w:t xml:space="preserve">imidazole carboxamide </w:t>
      </w:r>
      <w:r w:rsidR="00E9693D" w:rsidRPr="00E672BE">
        <w:rPr>
          <w:rFonts w:cs="Times New Roman"/>
          <w:szCs w:val="24"/>
        </w:rPr>
        <w:t xml:space="preserve">5A (Cluster 5) has comparatively good Mf </w:t>
      </w:r>
      <w:r w:rsidR="00E9693D" w:rsidRPr="00E672BE">
        <w:rPr>
          <w:rFonts w:cs="Times New Roman"/>
          <w:i/>
          <w:szCs w:val="24"/>
        </w:rPr>
        <w:t>in vitro</w:t>
      </w:r>
      <w:r w:rsidR="00E9693D" w:rsidRPr="00E672BE">
        <w:rPr>
          <w:rFonts w:cs="Times New Roman"/>
          <w:szCs w:val="24"/>
        </w:rPr>
        <w:t xml:space="preserve"> potency with lower solubility and moderate metabolic stability</w:t>
      </w:r>
      <w:r w:rsidR="00DA6290" w:rsidRPr="00E672BE">
        <w:rPr>
          <w:rFonts w:cs="Times New Roman"/>
          <w:szCs w:val="24"/>
        </w:rPr>
        <w:t xml:space="preserve">. </w:t>
      </w:r>
      <w:r w:rsidR="00E9693D" w:rsidRPr="00E672BE">
        <w:rPr>
          <w:rFonts w:cs="Times New Roman"/>
          <w:szCs w:val="24"/>
        </w:rPr>
        <w:t xml:space="preserve">Medicinal chemistry </w:t>
      </w:r>
      <w:r w:rsidR="001546EF" w:rsidRPr="00E672BE">
        <w:rPr>
          <w:rFonts w:cs="Times New Roman"/>
          <w:szCs w:val="24"/>
        </w:rPr>
        <w:t xml:space="preserve">optimisation </w:t>
      </w:r>
      <w:r w:rsidR="00E9693D" w:rsidRPr="00E672BE">
        <w:rPr>
          <w:rFonts w:cs="Times New Roman"/>
          <w:szCs w:val="24"/>
        </w:rPr>
        <w:t>should focus on manipulation of one or both aromatic ring systems in this hit series</w:t>
      </w:r>
      <w:r w:rsidR="00175D04" w:rsidRPr="00E672BE">
        <w:rPr>
          <w:rFonts w:cs="Times New Roman"/>
          <w:szCs w:val="24"/>
        </w:rPr>
        <w:t xml:space="preserve"> to block P450 </w:t>
      </w:r>
      <w:r w:rsidR="00175D04" w:rsidRPr="00E672BE">
        <w:rPr>
          <w:rFonts w:cs="Times New Roman"/>
          <w:szCs w:val="24"/>
        </w:rPr>
        <w:lastRenderedPageBreak/>
        <w:t xml:space="preserve">hydroxylation </w:t>
      </w:r>
      <w:r w:rsidR="00A12D65" w:rsidRPr="00E672BE">
        <w:rPr>
          <w:rFonts w:cs="Times New Roman"/>
          <w:szCs w:val="24"/>
        </w:rPr>
        <w:t>and should aim to</w:t>
      </w:r>
      <w:r w:rsidR="00175D04" w:rsidRPr="00E672BE">
        <w:rPr>
          <w:rFonts w:cs="Times New Roman"/>
          <w:szCs w:val="24"/>
        </w:rPr>
        <w:t xml:space="preserve"> reduce P450 interactions</w:t>
      </w:r>
      <w:r w:rsidR="00187C6B" w:rsidRPr="00E672BE">
        <w:rPr>
          <w:rFonts w:cs="Times New Roman"/>
          <w:szCs w:val="24"/>
        </w:rPr>
        <w:t xml:space="preserve"> by </w:t>
      </w:r>
      <w:r w:rsidR="00F54469" w:rsidRPr="00E672BE">
        <w:rPr>
          <w:rFonts w:cs="Times New Roman"/>
          <w:szCs w:val="24"/>
        </w:rPr>
        <w:t>lowering</w:t>
      </w:r>
      <w:r w:rsidR="00187C6B" w:rsidRPr="00E672BE">
        <w:rPr>
          <w:rFonts w:cs="Times New Roman"/>
          <w:szCs w:val="24"/>
        </w:rPr>
        <w:t xml:space="preserve"> the overall lipophilicity</w:t>
      </w:r>
      <w:r w:rsidR="00A12D65" w:rsidRPr="00E672BE">
        <w:rPr>
          <w:rFonts w:cs="Times New Roman"/>
          <w:szCs w:val="24"/>
        </w:rPr>
        <w:t>.</w:t>
      </w:r>
      <w:r w:rsidR="00187C6B" w:rsidRPr="00E672BE">
        <w:rPr>
          <w:rFonts w:cs="Times New Roman"/>
          <w:szCs w:val="24"/>
        </w:rPr>
        <w:t xml:space="preserve"> </w:t>
      </w:r>
      <w:r w:rsidR="00DA6290" w:rsidRPr="00E672BE">
        <w:rPr>
          <w:rFonts w:cs="Times New Roman"/>
          <w:szCs w:val="24"/>
        </w:rPr>
        <w:t>Radar plot analysis of 5A shows that this starting point has an excellent balance of all round properties that map onto the target feature set for hit prioritisation.</w:t>
      </w:r>
      <w:r w:rsidR="00B9162A" w:rsidRPr="00E672BE">
        <w:rPr>
          <w:rFonts w:cs="Times New Roman"/>
          <w:szCs w:val="24"/>
        </w:rPr>
        <w:t xml:space="preserve"> </w:t>
      </w:r>
      <w:r w:rsidR="00E9693D" w:rsidRPr="00E672BE">
        <w:rPr>
          <w:rFonts w:cs="Times New Roman"/>
          <w:szCs w:val="24"/>
        </w:rPr>
        <w:t xml:space="preserve">Whilst cluster hit 6A has lower potency than </w:t>
      </w:r>
      <w:r w:rsidR="001546EF" w:rsidRPr="00E672BE">
        <w:rPr>
          <w:rFonts w:cs="Times New Roman"/>
          <w:szCs w:val="24"/>
        </w:rPr>
        <w:t xml:space="preserve">representatives </w:t>
      </w:r>
      <w:r w:rsidR="00E9693D" w:rsidRPr="00E672BE">
        <w:rPr>
          <w:rFonts w:cs="Times New Roman"/>
          <w:szCs w:val="24"/>
        </w:rPr>
        <w:t xml:space="preserve">4A or 5A, it does express very good </w:t>
      </w:r>
      <w:r w:rsidR="001546EF" w:rsidRPr="00E672BE">
        <w:rPr>
          <w:rFonts w:cs="Times New Roman"/>
          <w:i/>
          <w:szCs w:val="24"/>
        </w:rPr>
        <w:t>in vitro</w:t>
      </w:r>
      <w:r w:rsidR="001546EF" w:rsidRPr="00E672BE">
        <w:rPr>
          <w:rFonts w:cs="Times New Roman"/>
          <w:szCs w:val="24"/>
        </w:rPr>
        <w:t xml:space="preserve"> </w:t>
      </w:r>
      <w:r w:rsidR="00E9693D" w:rsidRPr="00E672BE">
        <w:rPr>
          <w:rFonts w:cs="Times New Roman"/>
          <w:szCs w:val="24"/>
        </w:rPr>
        <w:t xml:space="preserve">human </w:t>
      </w:r>
      <w:r w:rsidR="00187C6B" w:rsidRPr="00E672BE">
        <w:rPr>
          <w:rFonts w:cs="Times New Roman"/>
          <w:szCs w:val="24"/>
        </w:rPr>
        <w:t>microsomal</w:t>
      </w:r>
      <w:r w:rsidR="00E9693D" w:rsidRPr="00E672BE">
        <w:rPr>
          <w:rFonts w:cs="Times New Roman"/>
          <w:szCs w:val="24"/>
        </w:rPr>
        <w:t xml:space="preserve"> stability and acceptable solubility</w:t>
      </w:r>
      <w:r w:rsidR="00487099" w:rsidRPr="00E672BE">
        <w:rPr>
          <w:rFonts w:cs="Times New Roman"/>
          <w:szCs w:val="24"/>
        </w:rPr>
        <w:t xml:space="preserve"> (Figure 4)</w:t>
      </w:r>
      <w:r w:rsidR="00E9693D" w:rsidRPr="00E672BE">
        <w:rPr>
          <w:rFonts w:cs="Times New Roman"/>
          <w:szCs w:val="24"/>
        </w:rPr>
        <w:t>.  These features should enable</w:t>
      </w:r>
      <w:r w:rsidR="00550C81" w:rsidRPr="00E672BE">
        <w:rPr>
          <w:rFonts w:cs="Times New Roman"/>
          <w:szCs w:val="24"/>
        </w:rPr>
        <w:t xml:space="preserve"> a focused h</w:t>
      </w:r>
      <w:r w:rsidR="00187C6B" w:rsidRPr="00E672BE">
        <w:rPr>
          <w:rFonts w:cs="Times New Roman"/>
          <w:szCs w:val="24"/>
        </w:rPr>
        <w:t>it to lead optimisation</w:t>
      </w:r>
      <w:r w:rsidR="00550C81" w:rsidRPr="00E672BE">
        <w:rPr>
          <w:rFonts w:cs="Times New Roman"/>
          <w:szCs w:val="24"/>
        </w:rPr>
        <w:t xml:space="preserve"> on potency enhancement through expanding SAR around both the aromatic ring on the western side</w:t>
      </w:r>
      <w:r w:rsidR="00DA6290" w:rsidRPr="00E672BE">
        <w:rPr>
          <w:rFonts w:cs="Times New Roman"/>
          <w:szCs w:val="24"/>
        </w:rPr>
        <w:t xml:space="preserve"> of the molecule</w:t>
      </w:r>
      <w:r w:rsidR="00550C81" w:rsidRPr="00E672BE">
        <w:rPr>
          <w:rFonts w:cs="Times New Roman"/>
          <w:szCs w:val="24"/>
        </w:rPr>
        <w:t xml:space="preserve"> as well as </w:t>
      </w:r>
      <w:r w:rsidR="00495EED" w:rsidRPr="00E672BE">
        <w:rPr>
          <w:rFonts w:cs="Times New Roman"/>
          <w:szCs w:val="24"/>
        </w:rPr>
        <w:t>functionalisation</w:t>
      </w:r>
      <w:r w:rsidR="00550C81" w:rsidRPr="00E672BE">
        <w:rPr>
          <w:rFonts w:cs="Times New Roman"/>
          <w:szCs w:val="24"/>
        </w:rPr>
        <w:t xml:space="preserve"> of the</w:t>
      </w:r>
      <w:r w:rsidR="00495EED" w:rsidRPr="00E672BE">
        <w:rPr>
          <w:rFonts w:cs="Times New Roman"/>
          <w:szCs w:val="24"/>
        </w:rPr>
        <w:t xml:space="preserve"> 5,6,7,8-tetrahydro-4H-thiazolo[5,4-</w:t>
      </w:r>
      <w:proofErr w:type="gramStart"/>
      <w:r w:rsidR="00495EED" w:rsidRPr="00E672BE">
        <w:rPr>
          <w:rFonts w:cs="Times New Roman"/>
          <w:szCs w:val="24"/>
        </w:rPr>
        <w:t>c]azepin</w:t>
      </w:r>
      <w:proofErr w:type="gramEnd"/>
      <w:r w:rsidR="00495EED" w:rsidRPr="00E672BE">
        <w:rPr>
          <w:rFonts w:cs="Times New Roman"/>
          <w:szCs w:val="24"/>
        </w:rPr>
        <w:t xml:space="preserve">-4-one ring system. </w:t>
      </w:r>
    </w:p>
    <w:p w:rsidR="00487099" w:rsidRPr="00E672BE" w:rsidRDefault="0005760C" w:rsidP="007F7E8E">
      <w:pPr>
        <w:ind w:firstLine="720"/>
        <w:rPr>
          <w:rFonts w:cs="Times New Roman"/>
          <w:szCs w:val="24"/>
        </w:rPr>
      </w:pPr>
      <w:r w:rsidRPr="00E672BE">
        <w:rPr>
          <w:rFonts w:cs="Times New Roman"/>
          <w:szCs w:val="24"/>
        </w:rPr>
        <w:t>The three remai</w:t>
      </w:r>
      <w:r w:rsidR="00187C6B" w:rsidRPr="00E672BE">
        <w:rPr>
          <w:rFonts w:cs="Times New Roman"/>
          <w:szCs w:val="24"/>
        </w:rPr>
        <w:t>ning clusters 7, 8 and 9 have</w:t>
      </w:r>
      <w:r w:rsidRPr="00E672BE">
        <w:rPr>
          <w:rFonts w:cs="Times New Roman"/>
          <w:szCs w:val="24"/>
        </w:rPr>
        <w:t xml:space="preserve"> </w:t>
      </w:r>
      <w:r w:rsidRPr="00E672BE">
        <w:rPr>
          <w:rFonts w:cs="Times New Roman"/>
          <w:i/>
          <w:szCs w:val="24"/>
        </w:rPr>
        <w:t>in vitro</w:t>
      </w:r>
      <w:r w:rsidRPr="00E672BE">
        <w:rPr>
          <w:rFonts w:cs="Times New Roman"/>
          <w:szCs w:val="24"/>
        </w:rPr>
        <w:t xml:space="preserve"> </w:t>
      </w:r>
      <w:r w:rsidR="00187C6B" w:rsidRPr="00E672BE">
        <w:rPr>
          <w:rFonts w:cs="Times New Roman"/>
          <w:szCs w:val="24"/>
        </w:rPr>
        <w:t xml:space="preserve">Mf </w:t>
      </w:r>
      <w:r w:rsidRPr="00E672BE">
        <w:rPr>
          <w:rFonts w:cs="Times New Roman"/>
          <w:szCs w:val="24"/>
        </w:rPr>
        <w:t xml:space="preserve">potency in the </w:t>
      </w:r>
      <w:r w:rsidR="001546EF" w:rsidRPr="00E672BE">
        <w:rPr>
          <w:rFonts w:cs="Times New Roman"/>
          <w:szCs w:val="24"/>
        </w:rPr>
        <w:t>range</w:t>
      </w:r>
      <w:r w:rsidRPr="00E672BE">
        <w:rPr>
          <w:rFonts w:cs="Times New Roman"/>
          <w:szCs w:val="24"/>
        </w:rPr>
        <w:t xml:space="preserve"> 1</w:t>
      </w:r>
      <w:r w:rsidR="00187C6B" w:rsidRPr="00E672BE">
        <w:rPr>
          <w:rFonts w:cs="Times New Roman"/>
          <w:szCs w:val="24"/>
        </w:rPr>
        <w:t xml:space="preserve"> </w:t>
      </w:r>
      <w:r w:rsidR="009C269B" w:rsidRPr="00E672BE">
        <w:rPr>
          <w:rFonts w:cs="Times New Roman"/>
          <w:szCs w:val="24"/>
        </w:rPr>
        <w:t>–</w:t>
      </w:r>
      <w:r w:rsidR="00187C6B" w:rsidRPr="00E672BE">
        <w:rPr>
          <w:rFonts w:cs="Times New Roman"/>
          <w:szCs w:val="24"/>
        </w:rPr>
        <w:t xml:space="preserve"> 5</w:t>
      </w:r>
      <w:r w:rsidR="00E065D6" w:rsidRPr="00E672BE">
        <w:rPr>
          <w:rFonts w:cs="Times New Roman"/>
          <w:szCs w:val="24"/>
        </w:rPr>
        <w:t xml:space="preserve"> </w:t>
      </w:r>
      <w:r w:rsidR="00187C6B" w:rsidRPr="00E672BE">
        <w:rPr>
          <w:rFonts w:cs="Times New Roman"/>
          <w:szCs w:val="24"/>
        </w:rPr>
        <w:t>µ</w:t>
      </w:r>
      <w:r w:rsidRPr="00E672BE">
        <w:rPr>
          <w:rFonts w:cs="Times New Roman"/>
          <w:szCs w:val="24"/>
        </w:rPr>
        <w:t>M</w:t>
      </w:r>
      <w:r w:rsidR="00487099" w:rsidRPr="00E672BE">
        <w:rPr>
          <w:rFonts w:cs="Times New Roman"/>
          <w:szCs w:val="24"/>
        </w:rPr>
        <w:t xml:space="preserve"> (</w:t>
      </w:r>
      <w:r w:rsidR="00CF3EEB" w:rsidRPr="00E672BE">
        <w:rPr>
          <w:rFonts w:eastAsia="Times New Roman" w:cs="Times New Roman"/>
          <w:bCs/>
          <w:szCs w:val="24"/>
        </w:rPr>
        <w:t>Supplementary</w:t>
      </w:r>
      <w:r w:rsidR="003F268F" w:rsidRPr="00E672BE">
        <w:rPr>
          <w:rFonts w:eastAsia="Times New Roman" w:cs="Times New Roman"/>
          <w:bCs/>
          <w:szCs w:val="24"/>
        </w:rPr>
        <w:t xml:space="preserve"> F</w:t>
      </w:r>
      <w:r w:rsidR="00487099" w:rsidRPr="00E672BE">
        <w:rPr>
          <w:rFonts w:cs="Times New Roman"/>
          <w:szCs w:val="24"/>
        </w:rPr>
        <w:t xml:space="preserve">igure </w:t>
      </w:r>
      <w:r w:rsidR="000A3DBC" w:rsidRPr="00E672BE">
        <w:rPr>
          <w:rFonts w:cs="Times New Roman"/>
          <w:szCs w:val="24"/>
        </w:rPr>
        <w:t>1</w:t>
      </w:r>
      <w:r w:rsidR="004F1F5E" w:rsidRPr="00E672BE">
        <w:rPr>
          <w:rFonts w:cs="Times New Roman"/>
          <w:szCs w:val="24"/>
        </w:rPr>
        <w:t xml:space="preserve"> and </w:t>
      </w:r>
      <w:r w:rsidR="00CF3EEB" w:rsidRPr="00E672BE">
        <w:rPr>
          <w:rFonts w:eastAsia="Times New Roman" w:cs="Times New Roman"/>
          <w:bCs/>
          <w:szCs w:val="24"/>
        </w:rPr>
        <w:t>Supplementary</w:t>
      </w:r>
      <w:r w:rsidR="004F1F5E" w:rsidRPr="00E672BE">
        <w:rPr>
          <w:rFonts w:cs="Times New Roman"/>
          <w:szCs w:val="24"/>
        </w:rPr>
        <w:t xml:space="preserve"> Table 2</w:t>
      </w:r>
      <w:r w:rsidR="00487099" w:rsidRPr="00E672BE">
        <w:rPr>
          <w:rFonts w:cs="Times New Roman"/>
          <w:szCs w:val="24"/>
        </w:rPr>
        <w:t>).</w:t>
      </w:r>
      <w:r w:rsidRPr="00E672BE">
        <w:rPr>
          <w:rFonts w:cs="Times New Roman"/>
          <w:szCs w:val="24"/>
        </w:rPr>
        <w:t xml:space="preserve"> </w:t>
      </w:r>
      <w:proofErr w:type="spellStart"/>
      <w:r w:rsidR="00175D04" w:rsidRPr="00E672BE">
        <w:rPr>
          <w:rFonts w:cs="Times New Roman"/>
          <w:szCs w:val="24"/>
        </w:rPr>
        <w:t>Pyrazole</w:t>
      </w:r>
      <w:proofErr w:type="spellEnd"/>
      <w:r w:rsidR="00175D04" w:rsidRPr="00E672BE">
        <w:rPr>
          <w:rFonts w:cs="Times New Roman"/>
          <w:szCs w:val="24"/>
        </w:rPr>
        <w:t xml:space="preserve"> </w:t>
      </w:r>
      <w:r w:rsidRPr="00E672BE">
        <w:rPr>
          <w:rFonts w:cs="Times New Roman"/>
          <w:szCs w:val="24"/>
        </w:rPr>
        <w:t xml:space="preserve">7A has good measured solubility and high </w:t>
      </w:r>
      <w:r w:rsidRPr="00E672BE">
        <w:rPr>
          <w:rFonts w:cs="Times New Roman"/>
          <w:i/>
          <w:szCs w:val="24"/>
        </w:rPr>
        <w:t>in vitro</w:t>
      </w:r>
      <w:r w:rsidRPr="00E672BE">
        <w:rPr>
          <w:rFonts w:cs="Times New Roman"/>
          <w:szCs w:val="24"/>
        </w:rPr>
        <w:t xml:space="preserve"> metabolic stability making potency driven optimisation a primary focus in the hit to lead optimisation of this </w:t>
      </w:r>
      <w:r w:rsidR="000F3675" w:rsidRPr="00E672BE">
        <w:rPr>
          <w:rFonts w:cs="Times New Roman"/>
          <w:szCs w:val="24"/>
        </w:rPr>
        <w:t>c</w:t>
      </w:r>
      <w:r w:rsidRPr="00E672BE">
        <w:rPr>
          <w:rFonts w:cs="Times New Roman"/>
          <w:szCs w:val="24"/>
        </w:rPr>
        <w:t xml:space="preserve">hemotype.  </w:t>
      </w:r>
      <w:r w:rsidR="00175D04" w:rsidRPr="00E672BE">
        <w:rPr>
          <w:rFonts w:cs="Times New Roman"/>
          <w:szCs w:val="24"/>
        </w:rPr>
        <w:t>Hit to lead o</w:t>
      </w:r>
      <w:r w:rsidRPr="00E672BE">
        <w:rPr>
          <w:rFonts w:cs="Times New Roman"/>
          <w:szCs w:val="24"/>
        </w:rPr>
        <w:t xml:space="preserve">ptimisation of </w:t>
      </w:r>
      <w:r w:rsidR="001546EF" w:rsidRPr="00E672BE">
        <w:rPr>
          <w:rFonts w:cs="Times New Roman"/>
          <w:szCs w:val="24"/>
        </w:rPr>
        <w:t xml:space="preserve">both </w:t>
      </w:r>
      <w:r w:rsidRPr="00E672BE">
        <w:rPr>
          <w:rFonts w:cs="Times New Roman"/>
          <w:szCs w:val="24"/>
        </w:rPr>
        <w:t>8A and 9A will likely be more challenging and will require multiparameter optimisation of Mf potency, solubility and microsomal stability.</w:t>
      </w:r>
    </w:p>
    <w:p w:rsidR="0069658F" w:rsidRPr="00E672BE" w:rsidRDefault="00504C71" w:rsidP="007F7E8E">
      <w:pPr>
        <w:ind w:firstLine="720"/>
        <w:rPr>
          <w:rFonts w:cs="Times New Roman"/>
          <w:szCs w:val="24"/>
        </w:rPr>
      </w:pPr>
      <w:bookmarkStart w:id="4" w:name="_Hlk529447109"/>
      <w:r w:rsidRPr="00E672BE">
        <w:rPr>
          <w:rFonts w:cs="Times New Roman"/>
          <w:szCs w:val="24"/>
        </w:rPr>
        <w:t xml:space="preserve">To compare the dynamics of the </w:t>
      </w:r>
      <w:r w:rsidRPr="00E672BE">
        <w:rPr>
          <w:rFonts w:cs="Times New Roman"/>
          <w:i/>
          <w:szCs w:val="24"/>
        </w:rPr>
        <w:t>in vitro</w:t>
      </w:r>
      <w:r w:rsidRPr="00E672BE">
        <w:rPr>
          <w:rFonts w:cs="Times New Roman"/>
          <w:szCs w:val="24"/>
        </w:rPr>
        <w:t xml:space="preserve"> phenotype of our hits with </w:t>
      </w:r>
      <w:r w:rsidR="00CA48A3" w:rsidRPr="00E672BE">
        <w:rPr>
          <w:rFonts w:cs="Times New Roman"/>
          <w:szCs w:val="24"/>
        </w:rPr>
        <w:t>exis</w:t>
      </w:r>
      <w:r w:rsidR="00F24CB8" w:rsidRPr="00E672BE">
        <w:rPr>
          <w:rFonts w:cs="Times New Roman"/>
          <w:szCs w:val="24"/>
        </w:rPr>
        <w:t xml:space="preserve">ting </w:t>
      </w:r>
      <w:r w:rsidR="00CA48A3" w:rsidRPr="00E672BE">
        <w:rPr>
          <w:rFonts w:cs="Times New Roman"/>
          <w:szCs w:val="24"/>
        </w:rPr>
        <w:t>anti-</w:t>
      </w:r>
      <w:r w:rsidR="00CB5408" w:rsidRPr="00E672BE">
        <w:rPr>
          <w:rFonts w:cs="Times New Roman"/>
          <w:i/>
          <w:szCs w:val="24"/>
        </w:rPr>
        <w:t>Wolbachia</w:t>
      </w:r>
      <w:r w:rsidRPr="00E672BE">
        <w:rPr>
          <w:rFonts w:cs="Times New Roman"/>
          <w:szCs w:val="24"/>
        </w:rPr>
        <w:t xml:space="preserve"> </w:t>
      </w:r>
      <w:r w:rsidR="00933605" w:rsidRPr="00E672BE">
        <w:rPr>
          <w:rFonts w:cs="Times New Roman"/>
          <w:szCs w:val="24"/>
        </w:rPr>
        <w:t>therapies</w:t>
      </w:r>
      <w:r w:rsidRPr="00E672BE">
        <w:rPr>
          <w:rFonts w:cs="Times New Roman"/>
          <w:szCs w:val="24"/>
        </w:rPr>
        <w:t xml:space="preserve">, we employed a timed wash-out strategy (Figure </w:t>
      </w:r>
      <w:r w:rsidR="007E2F0F" w:rsidRPr="00E672BE">
        <w:rPr>
          <w:rFonts w:cs="Times New Roman"/>
          <w:szCs w:val="24"/>
        </w:rPr>
        <w:t>5</w:t>
      </w:r>
      <w:r w:rsidR="0044633D" w:rsidRPr="00E672BE">
        <w:rPr>
          <w:rFonts w:cs="Times New Roman"/>
          <w:szCs w:val="24"/>
        </w:rPr>
        <w:t xml:space="preserve">) </w:t>
      </w:r>
      <w:r w:rsidR="003C7383" w:rsidRPr="00E672BE">
        <w:rPr>
          <w:rFonts w:cs="Times New Roman"/>
          <w:szCs w:val="24"/>
        </w:rPr>
        <w:t>at 10x EC</w:t>
      </w:r>
      <w:r w:rsidR="003C7383" w:rsidRPr="00E672BE">
        <w:rPr>
          <w:rFonts w:cs="Times New Roman"/>
          <w:szCs w:val="24"/>
          <w:vertAlign w:val="subscript"/>
        </w:rPr>
        <w:t>50</w:t>
      </w:r>
      <w:r w:rsidR="003C7383" w:rsidRPr="00E672BE">
        <w:rPr>
          <w:rFonts w:cs="Times New Roman"/>
          <w:szCs w:val="24"/>
        </w:rPr>
        <w:t xml:space="preserve"> </w:t>
      </w:r>
      <w:r w:rsidR="0044633D" w:rsidRPr="00E672BE">
        <w:rPr>
          <w:rFonts w:cs="Times New Roman"/>
          <w:szCs w:val="24"/>
        </w:rPr>
        <w:t>to establish the time</w:t>
      </w:r>
      <w:r w:rsidR="001A3608" w:rsidRPr="00E672BE">
        <w:rPr>
          <w:rFonts w:cs="Times New Roman"/>
          <w:szCs w:val="24"/>
        </w:rPr>
        <w:t>-</w:t>
      </w:r>
      <w:r w:rsidRPr="00E672BE">
        <w:rPr>
          <w:rFonts w:cs="Times New Roman"/>
          <w:szCs w:val="24"/>
        </w:rPr>
        <w:t xml:space="preserve">kill kinetics of </w:t>
      </w:r>
      <w:r w:rsidR="00BF2CBE" w:rsidRPr="00E672BE">
        <w:rPr>
          <w:rFonts w:cs="Times New Roman"/>
          <w:szCs w:val="24"/>
        </w:rPr>
        <w:t xml:space="preserve">the </w:t>
      </w:r>
      <w:r w:rsidRPr="00E672BE">
        <w:rPr>
          <w:rFonts w:cs="Times New Roman"/>
          <w:szCs w:val="24"/>
        </w:rPr>
        <w:t>selected chemotypes</w:t>
      </w:r>
      <w:r w:rsidR="007E2F0F" w:rsidRPr="00E672BE">
        <w:rPr>
          <w:rFonts w:cs="Times New Roman"/>
          <w:szCs w:val="24"/>
        </w:rPr>
        <w:t xml:space="preserve"> (1A to 5A)</w:t>
      </w:r>
      <w:r w:rsidR="00910D1A" w:rsidRPr="00E672BE">
        <w:rPr>
          <w:rFonts w:cs="Times New Roman"/>
          <w:szCs w:val="24"/>
        </w:rPr>
        <w:t>, using 5 replicates per compound</w:t>
      </w:r>
      <w:r w:rsidRPr="00E672BE">
        <w:rPr>
          <w:rFonts w:cs="Times New Roman"/>
          <w:szCs w:val="24"/>
        </w:rPr>
        <w:t>.</w:t>
      </w:r>
      <w:bookmarkEnd w:id="4"/>
      <w:r w:rsidRPr="00E672BE">
        <w:rPr>
          <w:rFonts w:cs="Times New Roman"/>
          <w:szCs w:val="24"/>
        </w:rPr>
        <w:t xml:space="preserve"> Time</w:t>
      </w:r>
      <w:r w:rsidR="001A3608" w:rsidRPr="00E672BE">
        <w:rPr>
          <w:rFonts w:cs="Times New Roman"/>
          <w:szCs w:val="24"/>
        </w:rPr>
        <w:t>-</w:t>
      </w:r>
      <w:r w:rsidRPr="00E672BE">
        <w:rPr>
          <w:rFonts w:cs="Times New Roman"/>
          <w:szCs w:val="24"/>
        </w:rPr>
        <w:t xml:space="preserve">kill kinetics </w:t>
      </w:r>
      <w:r w:rsidR="00CA48A3" w:rsidRPr="00E672BE">
        <w:rPr>
          <w:rFonts w:cs="Times New Roman"/>
          <w:szCs w:val="24"/>
        </w:rPr>
        <w:t xml:space="preserve">of </w:t>
      </w:r>
      <w:r w:rsidRPr="00E672BE">
        <w:rPr>
          <w:rFonts w:cs="Times New Roman"/>
          <w:szCs w:val="24"/>
        </w:rPr>
        <w:t>tetracyclines</w:t>
      </w:r>
      <w:r w:rsidR="009D3A43" w:rsidRPr="00E672BE">
        <w:rPr>
          <w:rFonts w:cs="Times New Roman"/>
          <w:szCs w:val="24"/>
        </w:rPr>
        <w:t xml:space="preserve"> (doxycycline</w:t>
      </w:r>
      <w:r w:rsidR="003C7383" w:rsidRPr="00E672BE">
        <w:rPr>
          <w:rFonts w:cs="Times New Roman"/>
          <w:szCs w:val="24"/>
        </w:rPr>
        <w:t xml:space="preserve"> </w:t>
      </w:r>
      <w:r w:rsidR="000C7C22" w:rsidRPr="00E672BE">
        <w:rPr>
          <w:rFonts w:cs="Times New Roman"/>
          <w:szCs w:val="24"/>
        </w:rPr>
        <w:t>1.21µM</w:t>
      </w:r>
      <w:r w:rsidR="009D3A43" w:rsidRPr="00E672BE">
        <w:rPr>
          <w:rFonts w:cs="Times New Roman"/>
          <w:szCs w:val="24"/>
        </w:rPr>
        <w:t xml:space="preserve"> and minocycline</w:t>
      </w:r>
      <w:r w:rsidR="000C7C22" w:rsidRPr="00E672BE">
        <w:rPr>
          <w:rFonts w:cs="Times New Roman"/>
          <w:szCs w:val="24"/>
        </w:rPr>
        <w:t xml:space="preserve"> </w:t>
      </w:r>
      <w:r w:rsidR="00D40053" w:rsidRPr="00E672BE">
        <w:rPr>
          <w:rFonts w:cs="Times New Roman"/>
          <w:szCs w:val="24"/>
        </w:rPr>
        <w:t>0.9µM</w:t>
      </w:r>
      <w:r w:rsidR="009D3A43" w:rsidRPr="00E672BE">
        <w:rPr>
          <w:rFonts w:cs="Times New Roman"/>
          <w:szCs w:val="24"/>
        </w:rPr>
        <w:t>)</w:t>
      </w:r>
      <w:r w:rsidRPr="00E672BE">
        <w:rPr>
          <w:rFonts w:cs="Times New Roman"/>
          <w:szCs w:val="24"/>
        </w:rPr>
        <w:t xml:space="preserve"> </w:t>
      </w:r>
      <w:r w:rsidR="001F70D0" w:rsidRPr="00E672BE">
        <w:rPr>
          <w:rFonts w:cs="Times New Roman"/>
          <w:szCs w:val="24"/>
        </w:rPr>
        <w:t>and rifampicin</w:t>
      </w:r>
      <w:r w:rsidR="00CA48A3" w:rsidRPr="00E672BE">
        <w:rPr>
          <w:rFonts w:cs="Times New Roman"/>
          <w:szCs w:val="24"/>
        </w:rPr>
        <w:t xml:space="preserve"> </w:t>
      </w:r>
      <w:r w:rsidR="00D40053" w:rsidRPr="00E672BE">
        <w:rPr>
          <w:rFonts w:cs="Times New Roman"/>
          <w:szCs w:val="24"/>
        </w:rPr>
        <w:t xml:space="preserve">(0.2µM) </w:t>
      </w:r>
      <w:r w:rsidR="00151614" w:rsidRPr="00E672BE">
        <w:rPr>
          <w:rFonts w:cs="Times New Roman"/>
          <w:szCs w:val="24"/>
        </w:rPr>
        <w:t>indicated that i</w:t>
      </w:r>
      <w:r w:rsidR="00D460A6" w:rsidRPr="00E672BE">
        <w:rPr>
          <w:rFonts w:cs="Times New Roman"/>
          <w:szCs w:val="24"/>
        </w:rPr>
        <w:t>t</w:t>
      </w:r>
      <w:r w:rsidR="00151614" w:rsidRPr="00E672BE">
        <w:rPr>
          <w:rFonts w:cs="Times New Roman"/>
          <w:szCs w:val="24"/>
        </w:rPr>
        <w:t xml:space="preserve"> takes </w:t>
      </w:r>
      <w:r w:rsidRPr="00E672BE">
        <w:rPr>
          <w:rFonts w:cs="Times New Roman"/>
          <w:szCs w:val="24"/>
        </w:rPr>
        <w:t>&gt;</w:t>
      </w:r>
      <w:r w:rsidR="009D3A43" w:rsidRPr="00E672BE">
        <w:rPr>
          <w:rFonts w:cs="Times New Roman"/>
          <w:szCs w:val="24"/>
        </w:rPr>
        <w:t>2</w:t>
      </w:r>
      <w:r w:rsidR="001F70D0" w:rsidRPr="00E672BE">
        <w:rPr>
          <w:rFonts w:cs="Times New Roman"/>
          <w:szCs w:val="24"/>
        </w:rPr>
        <w:t xml:space="preserve"> days to achieve a</w:t>
      </w:r>
      <w:r w:rsidRPr="00E672BE">
        <w:rPr>
          <w:rFonts w:cs="Times New Roman"/>
          <w:szCs w:val="24"/>
        </w:rPr>
        <w:t xml:space="preserve"> </w:t>
      </w:r>
      <w:r w:rsidR="0013676D" w:rsidRPr="00E672BE">
        <w:rPr>
          <w:rFonts w:cs="Times New Roman"/>
          <w:szCs w:val="24"/>
        </w:rPr>
        <w:t xml:space="preserve">maximal </w:t>
      </w:r>
      <w:r w:rsidR="00CB5408" w:rsidRPr="00E672BE">
        <w:rPr>
          <w:rFonts w:cs="Times New Roman"/>
          <w:i/>
          <w:szCs w:val="24"/>
        </w:rPr>
        <w:t>Wolbachia</w:t>
      </w:r>
      <w:r w:rsidR="003C7383" w:rsidRPr="00E672BE">
        <w:rPr>
          <w:rFonts w:cs="Times New Roman"/>
          <w:i/>
          <w:szCs w:val="24"/>
        </w:rPr>
        <w:t xml:space="preserve"> </w:t>
      </w:r>
      <w:r w:rsidR="0013676D" w:rsidRPr="00E672BE">
        <w:rPr>
          <w:rFonts w:cs="Times New Roman"/>
          <w:szCs w:val="24"/>
        </w:rPr>
        <w:t>reduction in this assay (</w:t>
      </w:r>
      <w:r w:rsidR="009D3A43" w:rsidRPr="00E672BE">
        <w:rPr>
          <w:rFonts w:cs="Times New Roman"/>
          <w:szCs w:val="24"/>
        </w:rPr>
        <w:t>7</w:t>
      </w:r>
      <w:r w:rsidRPr="00E672BE">
        <w:rPr>
          <w:rFonts w:cs="Times New Roman"/>
          <w:szCs w:val="24"/>
        </w:rPr>
        <w:t>0</w:t>
      </w:r>
      <w:r w:rsidR="003C7383" w:rsidRPr="00E672BE">
        <w:rPr>
          <w:rFonts w:cs="Times New Roman"/>
          <w:szCs w:val="24"/>
        </w:rPr>
        <w:t>-90</w:t>
      </w:r>
      <w:r w:rsidRPr="00E672BE">
        <w:rPr>
          <w:rFonts w:cs="Times New Roman"/>
          <w:szCs w:val="24"/>
        </w:rPr>
        <w:t xml:space="preserve">% </w:t>
      </w:r>
      <w:r w:rsidR="003C7383" w:rsidRPr="00E672BE">
        <w:rPr>
          <w:rFonts w:cs="Times New Roman"/>
          <w:szCs w:val="24"/>
        </w:rPr>
        <w:t xml:space="preserve">when </w:t>
      </w:r>
      <w:r w:rsidR="005A3D45" w:rsidRPr="00E672BE">
        <w:rPr>
          <w:rFonts w:cs="Times New Roman"/>
          <w:szCs w:val="24"/>
        </w:rPr>
        <w:t>normalised to vehicle control)</w:t>
      </w:r>
      <w:r w:rsidR="009D3A43" w:rsidRPr="00E672BE">
        <w:rPr>
          <w:rFonts w:cs="Times New Roman"/>
          <w:szCs w:val="24"/>
        </w:rPr>
        <w:t xml:space="preserve">. </w:t>
      </w:r>
      <w:r w:rsidRPr="00E672BE">
        <w:rPr>
          <w:rFonts w:cs="Times New Roman"/>
          <w:szCs w:val="24"/>
        </w:rPr>
        <w:t xml:space="preserve">In contrast, </w:t>
      </w:r>
      <w:r w:rsidR="007E7948" w:rsidRPr="00E672BE">
        <w:rPr>
          <w:rFonts w:cs="Times New Roman"/>
          <w:szCs w:val="24"/>
        </w:rPr>
        <w:t xml:space="preserve">all hit </w:t>
      </w:r>
      <w:r w:rsidRPr="00E672BE">
        <w:rPr>
          <w:rFonts w:cs="Times New Roman"/>
          <w:szCs w:val="24"/>
        </w:rPr>
        <w:t xml:space="preserve">chemotypes </w:t>
      </w:r>
      <w:r w:rsidR="00473511" w:rsidRPr="00E672BE">
        <w:rPr>
          <w:rFonts w:cs="Times New Roman"/>
          <w:szCs w:val="24"/>
        </w:rPr>
        <w:t>(</w:t>
      </w:r>
      <w:r w:rsidR="009D3A43" w:rsidRPr="00E672BE">
        <w:rPr>
          <w:rFonts w:cs="Times New Roman"/>
          <w:szCs w:val="24"/>
        </w:rPr>
        <w:t>1A to 5A</w:t>
      </w:r>
      <w:r w:rsidRPr="00E672BE">
        <w:rPr>
          <w:rFonts w:cs="Times New Roman"/>
          <w:szCs w:val="24"/>
        </w:rPr>
        <w:t xml:space="preserve">) demonstrated </w:t>
      </w:r>
      <w:r w:rsidR="003C7383" w:rsidRPr="00E672BE">
        <w:rPr>
          <w:rFonts w:cs="Times New Roman"/>
          <w:szCs w:val="24"/>
        </w:rPr>
        <w:t>this maximal activity (</w:t>
      </w:r>
      <w:r w:rsidR="007E7948" w:rsidRPr="00E672BE">
        <w:rPr>
          <w:rFonts w:cs="Times New Roman"/>
          <w:szCs w:val="24"/>
        </w:rPr>
        <w:t>&gt;</w:t>
      </w:r>
      <w:r w:rsidR="009D3A43" w:rsidRPr="00E672BE">
        <w:rPr>
          <w:rFonts w:cs="Times New Roman"/>
          <w:szCs w:val="24"/>
        </w:rPr>
        <w:t xml:space="preserve"> 7</w:t>
      </w:r>
      <w:r w:rsidRPr="00E672BE">
        <w:rPr>
          <w:rFonts w:cs="Times New Roman"/>
          <w:szCs w:val="24"/>
        </w:rPr>
        <w:t xml:space="preserve">0% </w:t>
      </w:r>
      <w:r w:rsidR="00CB5408" w:rsidRPr="00E672BE">
        <w:rPr>
          <w:rFonts w:cs="Times New Roman"/>
          <w:i/>
          <w:szCs w:val="24"/>
        </w:rPr>
        <w:t>Wolbachia</w:t>
      </w:r>
      <w:r w:rsidR="00473511" w:rsidRPr="00E672BE">
        <w:rPr>
          <w:rFonts w:cs="Times New Roman"/>
          <w:szCs w:val="24"/>
        </w:rPr>
        <w:t xml:space="preserve"> reduction</w:t>
      </w:r>
      <w:r w:rsidR="003C7383" w:rsidRPr="00E672BE">
        <w:rPr>
          <w:rFonts w:cs="Times New Roman"/>
          <w:szCs w:val="24"/>
        </w:rPr>
        <w:t>)</w:t>
      </w:r>
      <w:r w:rsidR="00473511" w:rsidRPr="00E672BE">
        <w:rPr>
          <w:rFonts w:cs="Times New Roman"/>
          <w:szCs w:val="24"/>
        </w:rPr>
        <w:t xml:space="preserve"> </w:t>
      </w:r>
      <w:r w:rsidR="002B6293" w:rsidRPr="00E672BE">
        <w:rPr>
          <w:rFonts w:cs="Times New Roman"/>
          <w:szCs w:val="24"/>
        </w:rPr>
        <w:t xml:space="preserve">after </w:t>
      </w:r>
      <w:r w:rsidR="0013676D" w:rsidRPr="00E672BE">
        <w:rPr>
          <w:rFonts w:cs="Times New Roman"/>
          <w:szCs w:val="24"/>
        </w:rPr>
        <w:t xml:space="preserve">just </w:t>
      </w:r>
      <w:r w:rsidRPr="00E672BE">
        <w:rPr>
          <w:rFonts w:cs="Times New Roman"/>
          <w:szCs w:val="24"/>
        </w:rPr>
        <w:t>2 days</w:t>
      </w:r>
      <w:r w:rsidR="002B6293" w:rsidRPr="00E672BE">
        <w:rPr>
          <w:rFonts w:cs="Times New Roman"/>
          <w:szCs w:val="24"/>
        </w:rPr>
        <w:t xml:space="preserve"> exposure</w:t>
      </w:r>
      <w:r w:rsidR="000C7C22" w:rsidRPr="00E672BE">
        <w:rPr>
          <w:rFonts w:cs="Times New Roman"/>
          <w:szCs w:val="24"/>
        </w:rPr>
        <w:t xml:space="preserve"> (</w:t>
      </w:r>
      <w:bookmarkStart w:id="5" w:name="_Hlk529792962"/>
      <w:r w:rsidR="003F0DF5" w:rsidRPr="00E672BE">
        <w:rPr>
          <w:rFonts w:cs="Times New Roman"/>
          <w:szCs w:val="24"/>
        </w:rPr>
        <w:t>ranging from 1.61µM to 2.96µM</w:t>
      </w:r>
      <w:bookmarkEnd w:id="5"/>
      <w:r w:rsidR="000C7C22" w:rsidRPr="00E672BE">
        <w:rPr>
          <w:rFonts w:cs="Times New Roman"/>
          <w:szCs w:val="24"/>
        </w:rPr>
        <w:t>)</w:t>
      </w:r>
      <w:r w:rsidR="007E7948" w:rsidRPr="00E672BE">
        <w:rPr>
          <w:rFonts w:cs="Times New Roman"/>
          <w:szCs w:val="24"/>
        </w:rPr>
        <w:t>.</w:t>
      </w:r>
      <w:r w:rsidRPr="00E672BE">
        <w:rPr>
          <w:rFonts w:cs="Times New Roman"/>
          <w:szCs w:val="24"/>
        </w:rPr>
        <w:t xml:space="preserve"> </w:t>
      </w:r>
      <w:r w:rsidR="003C7383" w:rsidRPr="00E672BE">
        <w:rPr>
          <w:rFonts w:cs="Times New Roman"/>
          <w:szCs w:val="24"/>
        </w:rPr>
        <w:t xml:space="preserve">Even more strikingly, </w:t>
      </w:r>
      <w:r w:rsidR="003C7383" w:rsidRPr="00E672BE">
        <w:rPr>
          <w:rFonts w:cs="Times New Roman"/>
        </w:rPr>
        <w:t>a</w:t>
      </w:r>
      <w:r w:rsidR="007E7948" w:rsidRPr="00E672BE">
        <w:rPr>
          <w:rFonts w:cs="Times New Roman"/>
        </w:rPr>
        <w:t>fter</w:t>
      </w:r>
      <w:r w:rsidR="0069658F" w:rsidRPr="00E672BE">
        <w:rPr>
          <w:rFonts w:cs="Times New Roman"/>
        </w:rPr>
        <w:t xml:space="preserve"> just a single day of exposure, </w:t>
      </w:r>
      <w:r w:rsidR="00931A46" w:rsidRPr="00E672BE">
        <w:rPr>
          <w:rFonts w:cs="Times New Roman"/>
        </w:rPr>
        <w:t>doxycycline is</w:t>
      </w:r>
      <w:r w:rsidR="007E7948" w:rsidRPr="00E672BE">
        <w:rPr>
          <w:rFonts w:cs="Times New Roman"/>
        </w:rPr>
        <w:t xml:space="preserve"> inactive</w:t>
      </w:r>
      <w:r w:rsidR="0069658F" w:rsidRPr="00E672BE">
        <w:rPr>
          <w:rFonts w:cs="Times New Roman"/>
        </w:rPr>
        <w:t xml:space="preserve"> (9% </w:t>
      </w:r>
      <w:r w:rsidR="00CB5408" w:rsidRPr="00E672BE">
        <w:rPr>
          <w:rFonts w:cs="Times New Roman"/>
          <w:i/>
        </w:rPr>
        <w:t>Wolbachia</w:t>
      </w:r>
      <w:r w:rsidR="0069658F" w:rsidRPr="00E672BE">
        <w:rPr>
          <w:rFonts w:cs="Times New Roman"/>
        </w:rPr>
        <w:t xml:space="preserve"> reduction),</w:t>
      </w:r>
      <w:r w:rsidR="007E7948" w:rsidRPr="00E672BE">
        <w:rPr>
          <w:rFonts w:cs="Times New Roman"/>
        </w:rPr>
        <w:t xml:space="preserve"> yet</w:t>
      </w:r>
      <w:r w:rsidR="0069658F" w:rsidRPr="00E672BE">
        <w:rPr>
          <w:rFonts w:cs="Times New Roman"/>
        </w:rPr>
        <w:t xml:space="preserve"> chemotype 3A </w:t>
      </w:r>
      <w:r w:rsidR="007E7948" w:rsidRPr="00E672BE">
        <w:rPr>
          <w:rFonts w:cs="Times New Roman"/>
        </w:rPr>
        <w:t xml:space="preserve">showed a </w:t>
      </w:r>
      <w:r w:rsidR="0069658F" w:rsidRPr="00E672BE">
        <w:rPr>
          <w:rFonts w:cs="Times New Roman"/>
        </w:rPr>
        <w:t>4</w:t>
      </w:r>
      <w:r w:rsidR="00931A46" w:rsidRPr="00E672BE">
        <w:rPr>
          <w:rFonts w:cs="Times New Roman"/>
        </w:rPr>
        <w:t>2</w:t>
      </w:r>
      <w:r w:rsidR="0069658F" w:rsidRPr="00E672BE">
        <w:rPr>
          <w:rFonts w:cs="Times New Roman"/>
        </w:rPr>
        <w:t>%</w:t>
      </w:r>
      <w:r w:rsidR="007E7948" w:rsidRPr="00E672BE">
        <w:rPr>
          <w:rFonts w:cs="Times New Roman"/>
        </w:rPr>
        <w:t xml:space="preserve"> reduction and c</w:t>
      </w:r>
      <w:r w:rsidR="0069658F" w:rsidRPr="00E672BE">
        <w:rPr>
          <w:rFonts w:cs="Times New Roman"/>
        </w:rPr>
        <w:t xml:space="preserve">hemotypes 1A, 2A, 4A and 5A </w:t>
      </w:r>
      <w:r w:rsidR="007E7948" w:rsidRPr="00E672BE">
        <w:rPr>
          <w:rFonts w:cs="Times New Roman"/>
        </w:rPr>
        <w:t xml:space="preserve">achieved </w:t>
      </w:r>
      <w:r w:rsidR="00CB5408" w:rsidRPr="00E672BE">
        <w:rPr>
          <w:rFonts w:cs="Times New Roman"/>
          <w:i/>
        </w:rPr>
        <w:t>Wolbachia</w:t>
      </w:r>
      <w:r w:rsidR="00151614" w:rsidRPr="00E672BE">
        <w:rPr>
          <w:rFonts w:cs="Times New Roman"/>
          <w:i/>
        </w:rPr>
        <w:t xml:space="preserve"> </w:t>
      </w:r>
      <w:r w:rsidR="007E7948" w:rsidRPr="00E672BE">
        <w:rPr>
          <w:rFonts w:cs="Times New Roman"/>
        </w:rPr>
        <w:t xml:space="preserve">reductions of </w:t>
      </w:r>
      <w:r w:rsidR="00F73D80" w:rsidRPr="00E672BE">
        <w:rPr>
          <w:rFonts w:cs="Times New Roman"/>
        </w:rPr>
        <w:t>57 – 67%</w:t>
      </w:r>
      <w:r w:rsidR="007E7948" w:rsidRPr="00E672BE">
        <w:rPr>
          <w:rFonts w:cs="Times New Roman"/>
        </w:rPr>
        <w:t>.</w:t>
      </w:r>
      <w:r w:rsidR="003C7383" w:rsidRPr="00E672BE">
        <w:rPr>
          <w:rFonts w:cs="Times New Roman"/>
        </w:rPr>
        <w:t xml:space="preserve"> This data presents a dramatic temporal shift in the exposure time of </w:t>
      </w:r>
      <w:r w:rsidR="003C7383" w:rsidRPr="00E672BE">
        <w:rPr>
          <w:rFonts w:cs="Times New Roman"/>
        </w:rPr>
        <w:lastRenderedPageBreak/>
        <w:t xml:space="preserve">less than 2 days to achieve a maximal </w:t>
      </w:r>
      <w:r w:rsidR="00CB5408" w:rsidRPr="00E672BE">
        <w:rPr>
          <w:rFonts w:cs="Times New Roman"/>
          <w:i/>
        </w:rPr>
        <w:t>Wolbachia</w:t>
      </w:r>
      <w:r w:rsidR="003C7383" w:rsidRPr="00E672BE">
        <w:rPr>
          <w:rFonts w:cs="Times New Roman"/>
        </w:rPr>
        <w:t xml:space="preserve"> reduction for these chemotypes compared to greater than 4 days for known POC anti-</w:t>
      </w:r>
      <w:r w:rsidR="00CB5408" w:rsidRPr="00E672BE">
        <w:rPr>
          <w:rFonts w:cs="Times New Roman"/>
          <w:i/>
        </w:rPr>
        <w:t>Wolbachia</w:t>
      </w:r>
      <w:r w:rsidR="003C7383" w:rsidRPr="00E672BE">
        <w:rPr>
          <w:rFonts w:cs="Times New Roman"/>
          <w:i/>
        </w:rPr>
        <w:t xml:space="preserve"> </w:t>
      </w:r>
      <w:r w:rsidR="003C7383" w:rsidRPr="00E672BE">
        <w:rPr>
          <w:rFonts w:cs="Times New Roman"/>
        </w:rPr>
        <w:t>drugs.</w:t>
      </w:r>
    </w:p>
    <w:p w:rsidR="00504C71" w:rsidRPr="00E672BE" w:rsidRDefault="00504C71" w:rsidP="007F7E8E">
      <w:pPr>
        <w:ind w:firstLine="720"/>
        <w:rPr>
          <w:rFonts w:cs="Times New Roman"/>
          <w:szCs w:val="24"/>
        </w:rPr>
      </w:pPr>
      <w:r w:rsidRPr="00E672BE">
        <w:rPr>
          <w:rFonts w:cs="Times New Roman"/>
          <w:szCs w:val="24"/>
        </w:rPr>
        <w:t xml:space="preserve">The data indicates that </w:t>
      </w:r>
      <w:proofErr w:type="gramStart"/>
      <w:r w:rsidRPr="00E672BE">
        <w:rPr>
          <w:rFonts w:cs="Times New Roman"/>
          <w:szCs w:val="24"/>
        </w:rPr>
        <w:t>these small drug</w:t>
      </w:r>
      <w:proofErr w:type="gramEnd"/>
      <w:r w:rsidRPr="00E672BE">
        <w:rPr>
          <w:rFonts w:cs="Times New Roman"/>
          <w:szCs w:val="24"/>
        </w:rPr>
        <w:t xml:space="preserve"> like chemotypes mediate </w:t>
      </w:r>
      <w:r w:rsidR="00CB5408" w:rsidRPr="00E672BE">
        <w:rPr>
          <w:rFonts w:cs="Times New Roman"/>
          <w:i/>
          <w:szCs w:val="24"/>
        </w:rPr>
        <w:t>Wolbachia</w:t>
      </w:r>
      <w:r w:rsidR="003D5D3F" w:rsidRPr="00E672BE">
        <w:rPr>
          <w:rFonts w:cs="Times New Roman"/>
          <w:i/>
          <w:szCs w:val="24"/>
        </w:rPr>
        <w:t xml:space="preserve"> </w:t>
      </w:r>
      <w:r w:rsidR="001931B5" w:rsidRPr="00E672BE">
        <w:rPr>
          <w:rFonts w:cs="Times New Roman"/>
          <w:szCs w:val="24"/>
        </w:rPr>
        <w:t>depletion</w:t>
      </w:r>
      <w:r w:rsidRPr="00E672BE">
        <w:rPr>
          <w:rFonts w:cs="Times New Roman"/>
          <w:szCs w:val="24"/>
        </w:rPr>
        <w:t xml:space="preserve"> </w:t>
      </w:r>
      <w:r w:rsidR="007E7948" w:rsidRPr="00E672BE">
        <w:rPr>
          <w:rFonts w:cs="Times New Roman"/>
          <w:szCs w:val="24"/>
        </w:rPr>
        <w:t xml:space="preserve">much more rapidly than </w:t>
      </w:r>
      <w:r w:rsidR="00721B98" w:rsidRPr="00E672BE">
        <w:rPr>
          <w:rFonts w:cs="Times New Roman"/>
          <w:szCs w:val="24"/>
        </w:rPr>
        <w:t xml:space="preserve">all </w:t>
      </w:r>
      <w:r w:rsidR="007E7948" w:rsidRPr="00E672BE">
        <w:rPr>
          <w:rFonts w:cs="Times New Roman"/>
          <w:szCs w:val="24"/>
        </w:rPr>
        <w:t>existing anti-</w:t>
      </w:r>
      <w:r w:rsidR="00CB5408" w:rsidRPr="00E672BE">
        <w:rPr>
          <w:rFonts w:cs="Times New Roman"/>
          <w:i/>
          <w:szCs w:val="24"/>
        </w:rPr>
        <w:t>Wolbachia</w:t>
      </w:r>
      <w:r w:rsidR="007E7948" w:rsidRPr="00E672BE">
        <w:rPr>
          <w:rFonts w:cs="Times New Roman"/>
          <w:szCs w:val="24"/>
        </w:rPr>
        <w:t xml:space="preserve"> drugs</w:t>
      </w:r>
      <w:r w:rsidR="00002E74" w:rsidRPr="00E672BE">
        <w:rPr>
          <w:rFonts w:cs="Times New Roman"/>
          <w:szCs w:val="24"/>
        </w:rPr>
        <w:t>.</w:t>
      </w:r>
      <w:r w:rsidRPr="00E672BE">
        <w:rPr>
          <w:rFonts w:cs="Times New Roman"/>
          <w:szCs w:val="24"/>
        </w:rPr>
        <w:t xml:space="preserve"> </w:t>
      </w:r>
      <w:r w:rsidR="00B17AEF" w:rsidRPr="00E672BE">
        <w:rPr>
          <w:rFonts w:cs="Times New Roman"/>
          <w:szCs w:val="24"/>
        </w:rPr>
        <w:t>Optimisation and further development</w:t>
      </w:r>
      <w:r w:rsidRPr="00E672BE">
        <w:rPr>
          <w:rFonts w:cs="Times New Roman"/>
          <w:szCs w:val="24"/>
        </w:rPr>
        <w:t xml:space="preserve"> of </w:t>
      </w:r>
      <w:r w:rsidR="00721B98" w:rsidRPr="00E672BE">
        <w:rPr>
          <w:rFonts w:cs="Times New Roman"/>
          <w:szCs w:val="24"/>
        </w:rPr>
        <w:t xml:space="preserve">any one of </w:t>
      </w:r>
      <w:r w:rsidRPr="00E672BE">
        <w:rPr>
          <w:rFonts w:cs="Times New Roman"/>
          <w:szCs w:val="24"/>
        </w:rPr>
        <w:t xml:space="preserve">these </w:t>
      </w:r>
      <w:r w:rsidR="00721B98" w:rsidRPr="00E672BE">
        <w:rPr>
          <w:rFonts w:cs="Times New Roman"/>
          <w:szCs w:val="24"/>
        </w:rPr>
        <w:t xml:space="preserve">5 </w:t>
      </w:r>
      <w:r w:rsidRPr="00E672BE">
        <w:rPr>
          <w:rFonts w:cs="Times New Roman"/>
          <w:szCs w:val="24"/>
        </w:rPr>
        <w:t>chemotypes has the potential to</w:t>
      </w:r>
      <w:r w:rsidR="00687567" w:rsidRPr="00E672BE">
        <w:rPr>
          <w:rFonts w:cs="Times New Roman"/>
          <w:szCs w:val="24"/>
        </w:rPr>
        <w:t xml:space="preserve"> deliver molecules that could</w:t>
      </w:r>
      <w:r w:rsidRPr="00E672BE">
        <w:rPr>
          <w:rFonts w:cs="Times New Roman"/>
          <w:szCs w:val="24"/>
        </w:rPr>
        <w:t xml:space="preserve"> </w:t>
      </w:r>
      <w:r w:rsidR="007E7948" w:rsidRPr="00E672BE">
        <w:rPr>
          <w:rFonts w:cs="Times New Roman"/>
          <w:szCs w:val="24"/>
        </w:rPr>
        <w:t>radically reduce treatment timeframe</w:t>
      </w:r>
      <w:r w:rsidR="00112447" w:rsidRPr="00E672BE">
        <w:rPr>
          <w:rFonts w:cs="Times New Roman"/>
          <w:szCs w:val="24"/>
        </w:rPr>
        <w:t>s</w:t>
      </w:r>
      <w:r w:rsidR="007E7948" w:rsidRPr="00E672BE">
        <w:rPr>
          <w:rFonts w:cs="Times New Roman"/>
          <w:szCs w:val="24"/>
        </w:rPr>
        <w:t xml:space="preserve"> </w:t>
      </w:r>
      <w:r w:rsidR="00721B98" w:rsidRPr="00E672BE">
        <w:rPr>
          <w:rFonts w:cs="Times New Roman"/>
          <w:szCs w:val="24"/>
        </w:rPr>
        <w:t xml:space="preserve">which </w:t>
      </w:r>
      <w:r w:rsidR="00002E74" w:rsidRPr="00E672BE">
        <w:rPr>
          <w:rFonts w:cs="Times New Roman"/>
          <w:szCs w:val="24"/>
        </w:rPr>
        <w:t xml:space="preserve">is one of the major limitations of the current policy drug, doxycycline (4 – 6 weeks regimens) for the treatment of onchocerciasis and lymphatic filariasis. </w:t>
      </w:r>
      <w:r w:rsidR="00721B98" w:rsidRPr="00E672BE">
        <w:rPr>
          <w:rFonts w:cs="Times New Roman"/>
          <w:szCs w:val="24"/>
        </w:rPr>
        <w:t xml:space="preserve">Furthermore </w:t>
      </w:r>
      <w:r w:rsidR="00002E74" w:rsidRPr="00E672BE">
        <w:rPr>
          <w:rFonts w:cs="Times New Roman"/>
          <w:szCs w:val="24"/>
        </w:rPr>
        <w:t>it is accepted that time-kill kinetics is a fixed characteristic of a specific mechanism of drug action</w:t>
      </w:r>
      <w:r w:rsidR="005A3D45" w:rsidRPr="00E672BE">
        <w:rPr>
          <w:rFonts w:cs="Times New Roman"/>
          <w:szCs w:val="24"/>
        </w:rPr>
        <w:fldChar w:fldCharType="begin" w:fldLock="1"/>
      </w:r>
      <w:r w:rsidR="00556B2F" w:rsidRPr="00E672BE">
        <w:rPr>
          <w:rFonts w:cs="Times New Roman"/>
          <w:szCs w:val="24"/>
        </w:rPr>
        <w:instrText>ADDIN CSL_CITATION {"citationItems":[{"id":"ITEM-1","itemData":{"DOI":"10.1371/journal.pone.0030949","ISBN":"1932-6203 (Electronic) 1932-6203 (Linking)","ISSN":"19326203","PMID":"22383983","abstract":"Chemotherapy is still the cornerstone for malaria control. Developing drugs against Plasmodium parasites and monitoring their efficacy requires methods to accurately determine the parasite killing rate in response to treatment. Commonly used techniques essentially measure metabolic activity as a proxy for parasite viability. However, these approaches are susceptible to artefacts, as viability and metabolism are two parameters that are coupled during the parasite life cycle but can be differentially affected in response to drug actions. Moreover, traditional techniques do not allow to measure the speed-of-action of compounds on parasite viability, which is an essential efficacy determinant. We present here a comprehensive methodology to measure in vitro the direct effect of antimalarial compounds over the parasite viability, which is based on limiting serial dilution of treated parasites and re-growth monitoring. This methodology allows to precisely determine the killing rate of antimalarial compounds, which can be quantified by the parasite reduction ratio and parasite clearance time, which are key mode-of-action parameters. Importantly, we demonstrate that this technique readily permits to determine compound killing activities that might be otherwise missed by traditional, metabolism-based techniques. The analysis of a large set of antimalarial drugs reveals that this viability-based assay allows to discriminate compounds based on their antimalarial mode-of-action. This approach has been adapted to perform medium throughput screening, facilitating the identification of fast-acting antimalarial compounds, which are crucially needed for the control and possibly the eradication of malaria.","author":[{"dropping-particle":"","family":"Sanz","given":"Laura M","non-dropping-particle":"","parse-names":false,"suffix":""},{"dropping-particle":"","family":"Crespo","given":"Benigno","non-dropping-particle":"","parse-names":false,"suffix":""},{"dropping-particle":"","family":"De-Cózar","given":"Cristina","non-dropping-particle":"","parse-names":false,"suffix":""},{"dropping-particle":"","family":"Ding","given":"Xavier C","non-dropping-particle":"","parse-names":false,"suffix":""},{"dropping-particle":"","family":"Llergo","given":"Jose L","non-dropping-particle":"","parse-names":false,"suffix":""},{"dropping-particle":"","family":"Burrows","given":"Jeremy N","non-dropping-particle":"","parse-names":false,"suffix":""},{"dropping-particle":"","family":"García-Bustos","given":"Jose F","non-dropping-particle":"","parse-names":false,"suffix":""},{"dropping-particle":"","family":"Gamo","given":"Francisco Javier","non-dropping-particle":"","parse-names":false,"suffix":""}],"container-title":"PLoS ONE","id":"ITEM-1","issue":"2","issued":{"date-parts":[["2012"]]},"title":"P. falciparum in vitro killing rates allow to discriminate between different antimalarial mode-of-action","type":"article-journal","volume":"7"},"uris":["http://www.mendeley.com/documents/?uuid=efa78752-9ec0-4d1b-9d2a-64b13598cee5"]}],"mendeley":{"formattedCitation":"&lt;sup&gt;31&lt;/sup&gt;","plainTextFormattedCitation":"31","previouslyFormattedCitation":"&lt;sup&gt;31&lt;/sup&gt;"},"properties":{"noteIndex":0},"schema":"https://github.com/citation-style-language/schema/raw/master/csl-citation.json"}</w:instrText>
      </w:r>
      <w:r w:rsidR="005A3D45" w:rsidRPr="00E672BE">
        <w:rPr>
          <w:rFonts w:cs="Times New Roman"/>
          <w:szCs w:val="24"/>
        </w:rPr>
        <w:fldChar w:fldCharType="separate"/>
      </w:r>
      <w:r w:rsidR="00957134" w:rsidRPr="00E672BE">
        <w:rPr>
          <w:rFonts w:cs="Times New Roman"/>
          <w:noProof/>
          <w:szCs w:val="24"/>
          <w:vertAlign w:val="superscript"/>
        </w:rPr>
        <w:t>31</w:t>
      </w:r>
      <w:r w:rsidR="005A3D45" w:rsidRPr="00E672BE">
        <w:rPr>
          <w:rFonts w:cs="Times New Roman"/>
          <w:szCs w:val="24"/>
        </w:rPr>
        <w:fldChar w:fldCharType="end"/>
      </w:r>
      <w:r w:rsidR="00002E74" w:rsidRPr="00E672BE">
        <w:rPr>
          <w:rFonts w:cs="Times New Roman"/>
          <w:szCs w:val="24"/>
        </w:rPr>
        <w:t xml:space="preserve"> and this data suggested these fast-acting hit chemotypes have different modes of action from those known anti-</w:t>
      </w:r>
      <w:r w:rsidR="00CB5408" w:rsidRPr="00E672BE">
        <w:rPr>
          <w:rFonts w:cs="Times New Roman"/>
          <w:i/>
          <w:szCs w:val="24"/>
        </w:rPr>
        <w:t>Wolbachia</w:t>
      </w:r>
      <w:r w:rsidR="00002E74" w:rsidRPr="00E672BE">
        <w:rPr>
          <w:rFonts w:cs="Times New Roman"/>
          <w:szCs w:val="24"/>
        </w:rPr>
        <w:t xml:space="preserve"> drugs. </w:t>
      </w:r>
    </w:p>
    <w:p w:rsidR="00504C71" w:rsidRPr="00E672BE" w:rsidRDefault="00504C71" w:rsidP="000F3675">
      <w:pPr>
        <w:ind w:firstLine="720"/>
        <w:rPr>
          <w:rFonts w:cs="Times New Roman"/>
          <w:szCs w:val="24"/>
        </w:rPr>
      </w:pPr>
    </w:p>
    <w:p w:rsidR="00DE5796" w:rsidRPr="00E672BE" w:rsidRDefault="00DE5796" w:rsidP="001965E5">
      <w:pPr>
        <w:rPr>
          <w:rFonts w:cs="Times New Roman"/>
          <w:b/>
          <w:szCs w:val="24"/>
        </w:rPr>
      </w:pPr>
      <w:r w:rsidRPr="00E672BE">
        <w:rPr>
          <w:rFonts w:cs="Times New Roman"/>
          <w:b/>
          <w:szCs w:val="24"/>
        </w:rPr>
        <w:t>Discussion</w:t>
      </w:r>
    </w:p>
    <w:p w:rsidR="001F70D0" w:rsidRPr="00E672BE" w:rsidRDefault="00C948D4" w:rsidP="007F48FD">
      <w:pPr>
        <w:rPr>
          <w:rFonts w:cs="Times New Roman"/>
          <w:szCs w:val="24"/>
        </w:rPr>
      </w:pPr>
      <w:bookmarkStart w:id="6" w:name="_Hlk529366224"/>
      <w:r w:rsidRPr="00E672BE">
        <w:rPr>
          <w:rFonts w:cs="Times New Roman"/>
          <w:szCs w:val="24"/>
        </w:rPr>
        <w:t>Th</w:t>
      </w:r>
      <w:r w:rsidR="00151614" w:rsidRPr="00E672BE">
        <w:rPr>
          <w:rFonts w:cs="Times New Roman"/>
          <w:szCs w:val="24"/>
        </w:rPr>
        <w:t xml:space="preserve">e opportunity to access industry scale screening has delivered </w:t>
      </w:r>
      <w:r w:rsidR="00E3345E" w:rsidRPr="00E672BE">
        <w:rPr>
          <w:rFonts w:cs="Times New Roman"/>
          <w:szCs w:val="24"/>
        </w:rPr>
        <w:t>an enhanced</w:t>
      </w:r>
      <w:r w:rsidR="00151614" w:rsidRPr="00E672BE">
        <w:rPr>
          <w:rFonts w:cs="Times New Roman"/>
          <w:szCs w:val="24"/>
        </w:rPr>
        <w:t xml:space="preserve"> portfolio of anti-</w:t>
      </w:r>
      <w:r w:rsidR="00CB5408" w:rsidRPr="00E672BE">
        <w:rPr>
          <w:rFonts w:cs="Times New Roman"/>
          <w:i/>
          <w:szCs w:val="24"/>
        </w:rPr>
        <w:t>Wolbachia</w:t>
      </w:r>
      <w:r w:rsidR="00151614" w:rsidRPr="00E672BE">
        <w:rPr>
          <w:rFonts w:cs="Times New Roman"/>
          <w:szCs w:val="24"/>
        </w:rPr>
        <w:t xml:space="preserve"> chemotypes</w:t>
      </w:r>
      <w:r w:rsidRPr="00E672BE">
        <w:rPr>
          <w:rFonts w:cs="Times New Roman"/>
          <w:szCs w:val="24"/>
        </w:rPr>
        <w:t xml:space="preserve"> </w:t>
      </w:r>
      <w:r w:rsidR="00E3345E" w:rsidRPr="00E672BE">
        <w:rPr>
          <w:rFonts w:cs="Times New Roman"/>
          <w:szCs w:val="24"/>
        </w:rPr>
        <w:t xml:space="preserve">and identified </w:t>
      </w:r>
      <w:r w:rsidR="00BE7815" w:rsidRPr="00E672BE">
        <w:rPr>
          <w:rFonts w:cs="Times New Roman"/>
          <w:szCs w:val="24"/>
        </w:rPr>
        <w:t>9</w:t>
      </w:r>
      <w:r w:rsidR="00142040" w:rsidRPr="00E672BE">
        <w:rPr>
          <w:rFonts w:cs="Times New Roman"/>
          <w:szCs w:val="24"/>
        </w:rPr>
        <w:t xml:space="preserve"> </w:t>
      </w:r>
      <w:r w:rsidRPr="00E672BE">
        <w:rPr>
          <w:rFonts w:cs="Times New Roman"/>
          <w:szCs w:val="24"/>
        </w:rPr>
        <w:t xml:space="preserve">distinct </w:t>
      </w:r>
      <w:r w:rsidR="00D2425F" w:rsidRPr="00E672BE">
        <w:rPr>
          <w:rFonts w:cs="Times New Roman"/>
          <w:szCs w:val="24"/>
        </w:rPr>
        <w:t>chemical entities</w:t>
      </w:r>
      <w:r w:rsidRPr="00E672BE">
        <w:rPr>
          <w:rFonts w:cs="Times New Roman"/>
          <w:szCs w:val="24"/>
        </w:rPr>
        <w:t xml:space="preserve"> </w:t>
      </w:r>
      <w:r w:rsidR="00142040" w:rsidRPr="00E672BE">
        <w:rPr>
          <w:rFonts w:cs="Times New Roman"/>
          <w:szCs w:val="24"/>
        </w:rPr>
        <w:t>that represent excellent</w:t>
      </w:r>
      <w:r w:rsidRPr="00E672BE">
        <w:rPr>
          <w:rFonts w:cs="Times New Roman"/>
          <w:szCs w:val="24"/>
        </w:rPr>
        <w:t xml:space="preserve"> </w:t>
      </w:r>
      <w:r w:rsidR="009C0259" w:rsidRPr="00E672BE">
        <w:rPr>
          <w:rFonts w:cs="Times New Roman"/>
          <w:szCs w:val="24"/>
        </w:rPr>
        <w:t xml:space="preserve">starting points for </w:t>
      </w:r>
      <w:r w:rsidR="00142040" w:rsidRPr="00E672BE">
        <w:rPr>
          <w:rFonts w:cs="Times New Roman"/>
          <w:szCs w:val="24"/>
        </w:rPr>
        <w:t>the discovery of novel drugs for the</w:t>
      </w:r>
      <w:r w:rsidRPr="00E672BE">
        <w:rPr>
          <w:rFonts w:cs="Times New Roman"/>
          <w:szCs w:val="24"/>
        </w:rPr>
        <w:t xml:space="preserve"> debilitating filarial diseases onchocerciasis and </w:t>
      </w:r>
      <w:r w:rsidR="00151614" w:rsidRPr="00E672BE">
        <w:rPr>
          <w:rFonts w:cs="Times New Roman"/>
          <w:szCs w:val="24"/>
        </w:rPr>
        <w:t>lymphatic filariasis</w:t>
      </w:r>
      <w:r w:rsidRPr="00E672BE">
        <w:rPr>
          <w:rFonts w:cs="Times New Roman"/>
          <w:szCs w:val="24"/>
        </w:rPr>
        <w:t>.</w:t>
      </w:r>
      <w:bookmarkEnd w:id="6"/>
      <w:r w:rsidRPr="00E672BE">
        <w:rPr>
          <w:rFonts w:cs="Times New Roman"/>
          <w:szCs w:val="24"/>
        </w:rPr>
        <w:t xml:space="preserve"> </w:t>
      </w:r>
      <w:r w:rsidR="00142040" w:rsidRPr="00E672BE">
        <w:rPr>
          <w:rFonts w:cs="Times New Roman"/>
          <w:szCs w:val="24"/>
        </w:rPr>
        <w:t>Our goals were</w:t>
      </w:r>
      <w:r w:rsidRPr="00E672BE">
        <w:rPr>
          <w:rFonts w:cs="Times New Roman"/>
          <w:szCs w:val="24"/>
        </w:rPr>
        <w:t xml:space="preserve"> achieved th</w:t>
      </w:r>
      <w:r w:rsidR="00B05E5A" w:rsidRPr="00E672BE">
        <w:rPr>
          <w:rFonts w:cs="Times New Roman"/>
          <w:szCs w:val="24"/>
        </w:rPr>
        <w:t>r</w:t>
      </w:r>
      <w:r w:rsidRPr="00E672BE">
        <w:rPr>
          <w:rFonts w:cs="Times New Roman"/>
          <w:szCs w:val="24"/>
        </w:rPr>
        <w:t xml:space="preserve">ough a highly collaborative and multidisciplinary process </w:t>
      </w:r>
      <w:r w:rsidR="00151614" w:rsidRPr="00E672BE">
        <w:rPr>
          <w:rFonts w:cs="Times New Roman"/>
          <w:szCs w:val="24"/>
        </w:rPr>
        <w:t>synergistically building on the domain expertise complementarity of the</w:t>
      </w:r>
      <w:r w:rsidR="00542A24" w:rsidRPr="00E672BE">
        <w:rPr>
          <w:rFonts w:cs="Times New Roman"/>
          <w:szCs w:val="24"/>
        </w:rPr>
        <w:t xml:space="preserve"> </w:t>
      </w:r>
      <w:r w:rsidRPr="00E672BE">
        <w:rPr>
          <w:rFonts w:cs="Times New Roman"/>
          <w:szCs w:val="24"/>
        </w:rPr>
        <w:t>academic and pharmaceutical groups</w:t>
      </w:r>
      <w:r w:rsidR="00151614" w:rsidRPr="00E672BE">
        <w:rPr>
          <w:rFonts w:cs="Times New Roman"/>
          <w:szCs w:val="24"/>
        </w:rPr>
        <w:t>. Working in partnership</w:t>
      </w:r>
      <w:r w:rsidR="00F94438" w:rsidRPr="00E672BE">
        <w:rPr>
          <w:rFonts w:cs="Times New Roman"/>
          <w:szCs w:val="24"/>
        </w:rPr>
        <w:t xml:space="preserve"> </w:t>
      </w:r>
      <w:r w:rsidR="001F2F2A" w:rsidRPr="00E672BE">
        <w:rPr>
          <w:rFonts w:cs="Times New Roman"/>
          <w:szCs w:val="24"/>
        </w:rPr>
        <w:t xml:space="preserve">a </w:t>
      </w:r>
      <w:r w:rsidR="00151614" w:rsidRPr="00E672BE">
        <w:rPr>
          <w:rFonts w:cs="Times New Roman"/>
          <w:szCs w:val="24"/>
        </w:rPr>
        <w:t>workflow from assay validation, primary screen, to cheminformatic driven chemotype prioritisation</w:t>
      </w:r>
      <w:r w:rsidR="000A5FE4" w:rsidRPr="00E672BE">
        <w:rPr>
          <w:rFonts w:cs="Times New Roman"/>
          <w:szCs w:val="24"/>
        </w:rPr>
        <w:t xml:space="preserve"> was achieved within </w:t>
      </w:r>
      <w:r w:rsidR="003005F7" w:rsidRPr="00E672BE">
        <w:rPr>
          <w:rFonts w:cs="Times New Roman"/>
          <w:szCs w:val="24"/>
        </w:rPr>
        <w:t xml:space="preserve">6 </w:t>
      </w:r>
      <w:r w:rsidR="000A5FE4" w:rsidRPr="00E672BE">
        <w:rPr>
          <w:rFonts w:cs="Times New Roman"/>
          <w:szCs w:val="24"/>
        </w:rPr>
        <w:t>months</w:t>
      </w:r>
      <w:r w:rsidR="00151614" w:rsidRPr="00E672BE">
        <w:rPr>
          <w:rFonts w:cs="Times New Roman"/>
          <w:szCs w:val="24"/>
        </w:rPr>
        <w:t xml:space="preserve"> </w:t>
      </w:r>
      <w:r w:rsidR="00BB0D07" w:rsidRPr="00E672BE">
        <w:rPr>
          <w:rFonts w:cs="Times New Roman"/>
          <w:szCs w:val="24"/>
        </w:rPr>
        <w:t xml:space="preserve">(Figure </w:t>
      </w:r>
      <w:r w:rsidR="001F70D0" w:rsidRPr="00E672BE">
        <w:rPr>
          <w:rFonts w:cs="Times New Roman"/>
          <w:szCs w:val="24"/>
        </w:rPr>
        <w:t>2</w:t>
      </w:r>
      <w:r w:rsidR="00BB0D07" w:rsidRPr="00E672BE">
        <w:rPr>
          <w:rFonts w:cs="Times New Roman"/>
          <w:szCs w:val="24"/>
        </w:rPr>
        <w:t>)</w:t>
      </w:r>
      <w:r w:rsidR="001417F9" w:rsidRPr="00E672BE">
        <w:rPr>
          <w:rFonts w:cs="Times New Roman"/>
          <w:szCs w:val="24"/>
        </w:rPr>
        <w:t>. The key component to the success of this work was the development of a robust mode</w:t>
      </w:r>
      <w:r w:rsidR="00542A24" w:rsidRPr="00E672BE">
        <w:rPr>
          <w:rFonts w:cs="Times New Roman"/>
          <w:szCs w:val="24"/>
        </w:rPr>
        <w:t xml:space="preserve">l cell </w:t>
      </w:r>
      <w:r w:rsidR="000A5FE4" w:rsidRPr="00E672BE">
        <w:rPr>
          <w:rFonts w:cs="Times New Roman"/>
          <w:szCs w:val="24"/>
        </w:rPr>
        <w:t xml:space="preserve">based </w:t>
      </w:r>
      <w:r w:rsidR="00542A24" w:rsidRPr="00E672BE">
        <w:rPr>
          <w:rFonts w:cs="Times New Roman"/>
          <w:szCs w:val="24"/>
        </w:rPr>
        <w:t>HTS</w:t>
      </w:r>
      <w:r w:rsidR="000A5FE4" w:rsidRPr="00E672BE">
        <w:rPr>
          <w:rFonts w:cs="Times New Roman"/>
          <w:szCs w:val="24"/>
        </w:rPr>
        <w:t>,</w:t>
      </w:r>
      <w:r w:rsidR="00542A24" w:rsidRPr="00E672BE">
        <w:rPr>
          <w:rFonts w:cs="Times New Roman"/>
          <w:szCs w:val="24"/>
        </w:rPr>
        <w:t xml:space="preserve"> which through</w:t>
      </w:r>
      <w:r w:rsidR="001417F9" w:rsidRPr="00E672BE">
        <w:rPr>
          <w:rFonts w:cs="Times New Roman"/>
          <w:szCs w:val="24"/>
        </w:rPr>
        <w:t xml:space="preserve"> </w:t>
      </w:r>
      <w:r w:rsidR="00142040" w:rsidRPr="00E672BE">
        <w:rPr>
          <w:rFonts w:cs="Times New Roman"/>
          <w:szCs w:val="24"/>
        </w:rPr>
        <w:t xml:space="preserve">a </w:t>
      </w:r>
      <w:proofErr w:type="gramStart"/>
      <w:r w:rsidR="006D686E" w:rsidRPr="00E672BE">
        <w:rPr>
          <w:rFonts w:cs="Times New Roman"/>
          <w:szCs w:val="24"/>
        </w:rPr>
        <w:t>2</w:t>
      </w:r>
      <w:r w:rsidR="001417F9" w:rsidRPr="00E672BE">
        <w:rPr>
          <w:rFonts w:cs="Times New Roman"/>
          <w:szCs w:val="24"/>
        </w:rPr>
        <w:t xml:space="preserve"> month</w:t>
      </w:r>
      <w:proofErr w:type="gramEnd"/>
      <w:r w:rsidR="001417F9" w:rsidRPr="00E672BE">
        <w:rPr>
          <w:rFonts w:cs="Times New Roman"/>
          <w:szCs w:val="24"/>
        </w:rPr>
        <w:t xml:space="preserve"> screening timeframe maintained </w:t>
      </w:r>
      <w:r w:rsidR="00B05E5A" w:rsidRPr="00E672BE">
        <w:rPr>
          <w:rFonts w:cs="Times New Roman"/>
          <w:szCs w:val="24"/>
        </w:rPr>
        <w:t xml:space="preserve">an average </w:t>
      </w:r>
      <w:r w:rsidR="001417F9" w:rsidRPr="00E672BE">
        <w:rPr>
          <w:rFonts w:cs="Times New Roman"/>
          <w:szCs w:val="24"/>
        </w:rPr>
        <w:t>robust Z</w:t>
      </w:r>
      <w:r w:rsidR="00364DB0" w:rsidRPr="00E672BE">
        <w:rPr>
          <w:rFonts w:cs="Times New Roman"/>
          <w:szCs w:val="24"/>
        </w:rPr>
        <w:t>′</w:t>
      </w:r>
      <w:r w:rsidR="001417F9" w:rsidRPr="00E672BE">
        <w:rPr>
          <w:rFonts w:cs="Times New Roman"/>
          <w:szCs w:val="24"/>
        </w:rPr>
        <w:t xml:space="preserve"> </w:t>
      </w:r>
      <w:r w:rsidR="00B05E5A" w:rsidRPr="00E672BE">
        <w:rPr>
          <w:rFonts w:cs="Times New Roman"/>
          <w:szCs w:val="24"/>
        </w:rPr>
        <w:t>of</w:t>
      </w:r>
      <w:r w:rsidR="001417F9" w:rsidRPr="00E672BE">
        <w:rPr>
          <w:rFonts w:cs="Times New Roman"/>
          <w:szCs w:val="24"/>
        </w:rPr>
        <w:t xml:space="preserve"> 0</w:t>
      </w:r>
      <w:r w:rsidR="00B05E5A" w:rsidRPr="00E672BE">
        <w:rPr>
          <w:rFonts w:cs="Times New Roman"/>
          <w:szCs w:val="24"/>
        </w:rPr>
        <w:t xml:space="preserve">.72 (0.06 standard deviation (SD) and 8.38% coefficient of variation (CV)) </w:t>
      </w:r>
      <w:r w:rsidR="001417F9" w:rsidRPr="00E672BE">
        <w:rPr>
          <w:rFonts w:cs="Times New Roman"/>
          <w:szCs w:val="24"/>
        </w:rPr>
        <w:t xml:space="preserve">and </w:t>
      </w:r>
      <w:r w:rsidR="00B05E5A" w:rsidRPr="00E672BE">
        <w:rPr>
          <w:rFonts w:cs="Times New Roman"/>
          <w:szCs w:val="24"/>
        </w:rPr>
        <w:t xml:space="preserve">average </w:t>
      </w:r>
      <w:r w:rsidR="001417F9" w:rsidRPr="00E672BE">
        <w:rPr>
          <w:rFonts w:cs="Times New Roman"/>
          <w:szCs w:val="24"/>
        </w:rPr>
        <w:t xml:space="preserve">signal to background noise </w:t>
      </w:r>
      <w:r w:rsidR="00B05E5A" w:rsidRPr="00E672BE">
        <w:rPr>
          <w:rFonts w:cs="Times New Roman"/>
          <w:szCs w:val="24"/>
        </w:rPr>
        <w:t xml:space="preserve">of 22.54 </w:t>
      </w:r>
      <w:r w:rsidR="00B05E5A" w:rsidRPr="00E672BE">
        <w:rPr>
          <w:rFonts w:cs="Times New Roman"/>
          <w:szCs w:val="24"/>
        </w:rPr>
        <w:lastRenderedPageBreak/>
        <w:t>(2.77 SD and 12.27% CV)</w:t>
      </w:r>
      <w:r w:rsidR="00BB0D07" w:rsidRPr="00E672BE">
        <w:rPr>
          <w:rFonts w:cs="Times New Roman"/>
          <w:szCs w:val="24"/>
        </w:rPr>
        <w:t xml:space="preserve"> (</w:t>
      </w:r>
      <w:r w:rsidR="00CF3EEB" w:rsidRPr="00E672BE">
        <w:rPr>
          <w:rFonts w:cs="Times New Roman"/>
          <w:szCs w:val="24"/>
        </w:rPr>
        <w:t>Supplementary</w:t>
      </w:r>
      <w:r w:rsidR="00A24A26" w:rsidRPr="00E672BE">
        <w:rPr>
          <w:rFonts w:cs="Times New Roman"/>
          <w:szCs w:val="24"/>
        </w:rPr>
        <w:t xml:space="preserve"> Figure </w:t>
      </w:r>
      <w:r w:rsidR="000A3DBC" w:rsidRPr="00E672BE">
        <w:rPr>
          <w:rFonts w:cs="Times New Roman"/>
          <w:szCs w:val="24"/>
        </w:rPr>
        <w:t>2</w:t>
      </w:r>
      <w:r w:rsidR="00A24A26" w:rsidRPr="00E672BE">
        <w:rPr>
          <w:rFonts w:cs="Times New Roman"/>
          <w:szCs w:val="24"/>
        </w:rPr>
        <w:t>)</w:t>
      </w:r>
      <w:r w:rsidR="00542A24" w:rsidRPr="00E672BE">
        <w:rPr>
          <w:rFonts w:cs="Times New Roman"/>
          <w:szCs w:val="24"/>
        </w:rPr>
        <w:t xml:space="preserve">. </w:t>
      </w:r>
      <w:r w:rsidR="007E7948" w:rsidRPr="00E672BE">
        <w:rPr>
          <w:rFonts w:cs="Times New Roman"/>
          <w:szCs w:val="24"/>
        </w:rPr>
        <w:t>T</w:t>
      </w:r>
      <w:r w:rsidR="00542A24" w:rsidRPr="00E672BE">
        <w:rPr>
          <w:rFonts w:cs="Times New Roman"/>
          <w:szCs w:val="24"/>
        </w:rPr>
        <w:t xml:space="preserve">he primary </w:t>
      </w:r>
      <w:r w:rsidR="001417F9" w:rsidRPr="00E672BE">
        <w:rPr>
          <w:rFonts w:cs="Times New Roman"/>
          <w:szCs w:val="24"/>
        </w:rPr>
        <w:t xml:space="preserve">screening of ~1.3 million compounds in </w:t>
      </w:r>
      <w:r w:rsidR="00B876F4" w:rsidRPr="00E672BE">
        <w:rPr>
          <w:rFonts w:cs="Times New Roman"/>
          <w:szCs w:val="24"/>
        </w:rPr>
        <w:t>2</w:t>
      </w:r>
      <w:r w:rsidR="001417F9" w:rsidRPr="00E672BE">
        <w:rPr>
          <w:rFonts w:cs="Times New Roman"/>
          <w:szCs w:val="24"/>
        </w:rPr>
        <w:t xml:space="preserve"> months </w:t>
      </w:r>
      <w:r w:rsidR="007E7948" w:rsidRPr="00E672BE">
        <w:rPr>
          <w:rFonts w:cs="Times New Roman"/>
          <w:szCs w:val="24"/>
        </w:rPr>
        <w:t xml:space="preserve">represents a </w:t>
      </w:r>
      <w:r w:rsidR="00542A24" w:rsidRPr="00E672BE">
        <w:rPr>
          <w:rFonts w:cs="Times New Roman"/>
          <w:szCs w:val="24"/>
        </w:rPr>
        <w:t>&gt;</w:t>
      </w:r>
      <w:r w:rsidR="00986A7B" w:rsidRPr="00E672BE">
        <w:rPr>
          <w:rFonts w:cs="Times New Roman"/>
          <w:szCs w:val="24"/>
        </w:rPr>
        <w:t xml:space="preserve"> </w:t>
      </w:r>
      <w:r w:rsidR="00F65DAC" w:rsidRPr="00E672BE">
        <w:rPr>
          <w:rFonts w:cs="Times New Roman"/>
          <w:szCs w:val="24"/>
        </w:rPr>
        <w:t xml:space="preserve">25 </w:t>
      </w:r>
      <w:r w:rsidR="00986A7B" w:rsidRPr="00E672BE">
        <w:rPr>
          <w:rFonts w:cs="Times New Roman"/>
          <w:szCs w:val="24"/>
        </w:rPr>
        <w:t>fold increase</w:t>
      </w:r>
      <w:r w:rsidR="007E7948" w:rsidRPr="00E672BE">
        <w:rPr>
          <w:rFonts w:cs="Times New Roman"/>
          <w:szCs w:val="24"/>
        </w:rPr>
        <w:t xml:space="preserve"> in throughput</w:t>
      </w:r>
      <w:r w:rsidR="000A5FE4" w:rsidRPr="00E672BE">
        <w:rPr>
          <w:rFonts w:cs="Times New Roman"/>
          <w:szCs w:val="24"/>
        </w:rPr>
        <w:t xml:space="preserve"> compared to previous screens</w:t>
      </w:r>
      <w:r w:rsidR="00F65DAC" w:rsidRPr="00E672BE">
        <w:rPr>
          <w:rFonts w:cs="Times New Roman"/>
          <w:szCs w:val="24"/>
        </w:rPr>
        <w:t xml:space="preserve"> (25,000 to ~650,000 compounds per month) </w:t>
      </w:r>
      <w:r w:rsidR="00986A7B" w:rsidRPr="00E672BE">
        <w:rPr>
          <w:rFonts w:cs="Times New Roman"/>
          <w:szCs w:val="24"/>
        </w:rPr>
        <w:fldChar w:fldCharType="begin" w:fldLock="1"/>
      </w:r>
      <w:r w:rsidR="00957134" w:rsidRPr="00E672BE">
        <w:rPr>
          <w:rFonts w:cs="Times New Roman"/>
          <w:szCs w:val="24"/>
        </w:rPr>
        <w:instrText>ADDIN CSL_CITATION {"citationItems":[{"id":"ITEM-1","itemData":{"DOI":"10.1177/1087057114551518","ISSN":"1087-0571","author":[{"dropping-particle":"","family":"Clare","given":"R. H.","non-dropping-particle":"","parse-names":false,"suffix":""},{"dropping-particle":"","family":"Cook","given":"D. a. N.","non-dropping-particle":"","parse-names":false,"suffix":""},{"dropping-particle":"","family":"Johnston","given":"K. L.","non-dropping-particle":"","parse-names":false,"suffix":""},{"dropping-particle":"","family":"Ford","given":"L.","non-dropping-particle":"","parse-names":false,"suffix":""},{"dropping-particle":"","family":"Ward","given":"S. a.","non-dropping-particle":"","parse-names":false,"suffix":""},{"dropping-particle":"","family":"Taylor","given":"M. J.","non-dropping-particle":"","parse-names":false,"suffix":""}],"container-title":"Journal of Biomolecular Screening","id":"ITEM-1","issue":"1","issued":{"date-parts":[["2014"]]},"page":"64-69","title":"Development and Validation of a High-Throughput Anti-Wolbachia Whole-Cell Screen: A Route to Macrofilaricidal Drugs against Onchocerciasis and Lymphatic Filariasis","type":"article-journal","volume":"20"},"uris":["http://www.mendeley.com/documents/?uuid=230a217b-b00a-485b-ac01-fc40cc8c7e2a"]}],"mendeley":{"formattedCitation":"&lt;sup&gt;18&lt;/sup&gt;","plainTextFormattedCitation":"18","previouslyFormattedCitation":"&lt;sup&gt;18&lt;/sup&gt;"},"properties":{"noteIndex":0},"schema":"https://github.com/citation-style-language/schema/raw/master/csl-citation.json"}</w:instrText>
      </w:r>
      <w:r w:rsidR="00986A7B" w:rsidRPr="00E672BE">
        <w:rPr>
          <w:rFonts w:cs="Times New Roman"/>
          <w:szCs w:val="24"/>
        </w:rPr>
        <w:fldChar w:fldCharType="separate"/>
      </w:r>
      <w:r w:rsidR="007C7B71" w:rsidRPr="00E672BE">
        <w:rPr>
          <w:rFonts w:cs="Times New Roman"/>
          <w:noProof/>
          <w:szCs w:val="24"/>
          <w:vertAlign w:val="superscript"/>
        </w:rPr>
        <w:t>18</w:t>
      </w:r>
      <w:r w:rsidR="00986A7B" w:rsidRPr="00E672BE">
        <w:rPr>
          <w:rFonts w:cs="Times New Roman"/>
          <w:szCs w:val="24"/>
        </w:rPr>
        <w:fldChar w:fldCharType="end"/>
      </w:r>
      <w:r w:rsidR="00986A7B" w:rsidRPr="00E672BE">
        <w:rPr>
          <w:rFonts w:cs="Times New Roman"/>
          <w:szCs w:val="24"/>
        </w:rPr>
        <w:t xml:space="preserve">. </w:t>
      </w:r>
      <w:r w:rsidR="00F65DAC" w:rsidRPr="00E672BE">
        <w:rPr>
          <w:rFonts w:cs="Times New Roman"/>
          <w:szCs w:val="24"/>
        </w:rPr>
        <w:t>To put this in real terms, running the previous screens</w:t>
      </w:r>
      <w:r w:rsidR="00B82DAE" w:rsidRPr="00E672BE">
        <w:rPr>
          <w:rFonts w:cs="Times New Roman"/>
          <w:szCs w:val="24"/>
        </w:rPr>
        <w:t xml:space="preserve">, even at </w:t>
      </w:r>
      <w:r w:rsidR="00F65DAC" w:rsidRPr="00E672BE">
        <w:rPr>
          <w:rFonts w:cs="Times New Roman"/>
          <w:szCs w:val="24"/>
        </w:rPr>
        <w:t>full capacity</w:t>
      </w:r>
      <w:r w:rsidR="00B82DAE" w:rsidRPr="00E672BE">
        <w:rPr>
          <w:rFonts w:cs="Times New Roman"/>
          <w:szCs w:val="24"/>
        </w:rPr>
        <w:t xml:space="preserve">, it </w:t>
      </w:r>
      <w:r w:rsidR="00F65DAC" w:rsidRPr="00E672BE">
        <w:rPr>
          <w:rFonts w:cs="Times New Roman"/>
          <w:szCs w:val="24"/>
        </w:rPr>
        <w:t>would take</w:t>
      </w:r>
      <w:r w:rsidR="00B82DAE" w:rsidRPr="00E672BE">
        <w:rPr>
          <w:rFonts w:cs="Times New Roman"/>
          <w:szCs w:val="24"/>
        </w:rPr>
        <w:t xml:space="preserve"> over 4 years to complete the 1.3 million compounds described in this work.</w:t>
      </w:r>
      <w:r w:rsidR="00F65DAC" w:rsidRPr="00E672BE">
        <w:rPr>
          <w:rFonts w:cs="Times New Roman"/>
          <w:szCs w:val="24"/>
        </w:rPr>
        <w:t xml:space="preserve"> </w:t>
      </w:r>
      <w:r w:rsidR="00142040" w:rsidRPr="00E672BE">
        <w:rPr>
          <w:rFonts w:cs="Times New Roman"/>
          <w:szCs w:val="24"/>
        </w:rPr>
        <w:t>To date, our campaign</w:t>
      </w:r>
      <w:r w:rsidR="00986A7B" w:rsidRPr="00E672BE">
        <w:rPr>
          <w:rFonts w:cs="Times New Roman"/>
          <w:szCs w:val="24"/>
        </w:rPr>
        <w:t xml:space="preserve"> is the hig</w:t>
      </w:r>
      <w:r w:rsidR="00B05E5A" w:rsidRPr="00E672BE">
        <w:rPr>
          <w:rFonts w:cs="Times New Roman"/>
          <w:szCs w:val="24"/>
        </w:rPr>
        <w:t xml:space="preserve">hest throughput screen </w:t>
      </w:r>
      <w:r w:rsidR="007E7948" w:rsidRPr="00E672BE">
        <w:rPr>
          <w:rFonts w:cs="Times New Roman"/>
          <w:szCs w:val="24"/>
        </w:rPr>
        <w:t xml:space="preserve">applied to </w:t>
      </w:r>
      <w:r w:rsidR="00B876F4" w:rsidRPr="00E672BE">
        <w:rPr>
          <w:rFonts w:cs="Times New Roman"/>
          <w:szCs w:val="24"/>
        </w:rPr>
        <w:t>ant</w:t>
      </w:r>
      <w:r w:rsidR="007E7948" w:rsidRPr="00E672BE">
        <w:rPr>
          <w:rFonts w:cs="Times New Roman"/>
          <w:szCs w:val="24"/>
        </w:rPr>
        <w:t>helminthic</w:t>
      </w:r>
      <w:r w:rsidR="00A400E5" w:rsidRPr="00E672BE">
        <w:rPr>
          <w:rFonts w:cs="Times New Roman"/>
          <w:szCs w:val="24"/>
        </w:rPr>
        <w:t xml:space="preserve"> NTD</w:t>
      </w:r>
      <w:r w:rsidR="007E7948" w:rsidRPr="00E672BE">
        <w:rPr>
          <w:rFonts w:cs="Times New Roman"/>
          <w:szCs w:val="24"/>
        </w:rPr>
        <w:t xml:space="preserve"> drug discovery</w:t>
      </w:r>
      <w:r w:rsidR="000A5FE4" w:rsidRPr="00E672BE">
        <w:rPr>
          <w:rFonts w:cs="Times New Roman"/>
          <w:szCs w:val="24"/>
        </w:rPr>
        <w:t xml:space="preserve"> ever undertaken</w:t>
      </w:r>
      <w:r w:rsidR="00A472B6" w:rsidRPr="00E672BE">
        <w:rPr>
          <w:rFonts w:cs="Times New Roman"/>
          <w:szCs w:val="24"/>
        </w:rPr>
        <w:t>, progressing not only the capacity from thousands to millions of compounds, but also increasing the number of hits and chemotypes by the same magnitude</w:t>
      </w:r>
      <w:r w:rsidR="00986A7B" w:rsidRPr="00E672BE">
        <w:rPr>
          <w:rFonts w:cs="Times New Roman"/>
          <w:szCs w:val="24"/>
        </w:rPr>
        <w:t>.</w:t>
      </w:r>
    </w:p>
    <w:p w:rsidR="00DA6290" w:rsidRPr="00E672BE" w:rsidRDefault="001946E9" w:rsidP="001F70D0">
      <w:pPr>
        <w:ind w:firstLine="720"/>
        <w:rPr>
          <w:rFonts w:cs="Times New Roman"/>
          <w:szCs w:val="24"/>
        </w:rPr>
      </w:pPr>
      <w:r w:rsidRPr="00E672BE">
        <w:rPr>
          <w:rFonts w:cs="Times New Roman"/>
          <w:szCs w:val="24"/>
        </w:rPr>
        <w:t xml:space="preserve">The </w:t>
      </w:r>
      <w:r w:rsidR="000A3DBC" w:rsidRPr="00E672BE">
        <w:rPr>
          <w:rFonts w:cs="Times New Roman"/>
          <w:szCs w:val="24"/>
        </w:rPr>
        <w:t>9</w:t>
      </w:r>
      <w:r w:rsidRPr="00E672BE">
        <w:rPr>
          <w:rFonts w:cs="Times New Roman"/>
          <w:szCs w:val="24"/>
        </w:rPr>
        <w:t xml:space="preserve"> hit series identif</w:t>
      </w:r>
      <w:r w:rsidR="00142040" w:rsidRPr="00E672BE">
        <w:rPr>
          <w:rFonts w:cs="Times New Roman"/>
          <w:szCs w:val="24"/>
        </w:rPr>
        <w:t xml:space="preserve">ied </w:t>
      </w:r>
      <w:r w:rsidRPr="00E672BE">
        <w:rPr>
          <w:rFonts w:cs="Times New Roman"/>
          <w:szCs w:val="24"/>
        </w:rPr>
        <w:t>in this campaign are not only new anti-</w:t>
      </w:r>
      <w:r w:rsidR="00CB5408" w:rsidRPr="00E672BE">
        <w:rPr>
          <w:rFonts w:cs="Times New Roman"/>
          <w:i/>
          <w:szCs w:val="24"/>
        </w:rPr>
        <w:t>Wolbachia</w:t>
      </w:r>
      <w:r w:rsidRPr="00E672BE">
        <w:rPr>
          <w:rFonts w:cs="Times New Roman"/>
          <w:szCs w:val="24"/>
        </w:rPr>
        <w:t xml:space="preserve"> chemotypes, but also novel antibacterial</w:t>
      </w:r>
      <w:r w:rsidR="00142040" w:rsidRPr="00E672BE">
        <w:rPr>
          <w:rFonts w:cs="Times New Roman"/>
          <w:szCs w:val="24"/>
        </w:rPr>
        <w:t xml:space="preserve"> chemotypes</w:t>
      </w:r>
      <w:r w:rsidR="009D619D" w:rsidRPr="00E672BE">
        <w:rPr>
          <w:rFonts w:cs="Times New Roman"/>
          <w:szCs w:val="24"/>
        </w:rPr>
        <w:t>.</w:t>
      </w:r>
      <w:r w:rsidRPr="00E672BE">
        <w:rPr>
          <w:rFonts w:cs="Times New Roman"/>
          <w:szCs w:val="24"/>
        </w:rPr>
        <w:t xml:space="preserve"> </w:t>
      </w:r>
      <w:r w:rsidR="000F3675" w:rsidRPr="00E672BE">
        <w:rPr>
          <w:rFonts w:cs="Times New Roman"/>
          <w:szCs w:val="24"/>
        </w:rPr>
        <w:t xml:space="preserve">The only series </w:t>
      </w:r>
      <w:r w:rsidR="00DA6290" w:rsidRPr="00E672BE">
        <w:rPr>
          <w:rFonts w:cs="Times New Roman"/>
          <w:szCs w:val="24"/>
        </w:rPr>
        <w:t>to appear</w:t>
      </w:r>
      <w:r w:rsidR="000F3675" w:rsidRPr="00E672BE">
        <w:rPr>
          <w:rFonts w:cs="Times New Roman"/>
          <w:szCs w:val="24"/>
        </w:rPr>
        <w:t xml:space="preserve"> in the literature is Cluster 1</w:t>
      </w:r>
      <w:r w:rsidR="00DA6290" w:rsidRPr="00E672BE">
        <w:rPr>
          <w:rFonts w:cs="Times New Roman"/>
          <w:szCs w:val="24"/>
        </w:rPr>
        <w:t>;</w:t>
      </w:r>
      <w:r w:rsidR="000F3675" w:rsidRPr="00E672BE">
        <w:rPr>
          <w:rFonts w:cs="Times New Roman"/>
          <w:szCs w:val="24"/>
        </w:rPr>
        <w:t xml:space="preserve"> </w:t>
      </w:r>
      <w:r w:rsidR="00BD1067" w:rsidRPr="00E672BE">
        <w:rPr>
          <w:rFonts w:cs="Times New Roman"/>
          <w:szCs w:val="24"/>
        </w:rPr>
        <w:t>4-piperidino</w:t>
      </w:r>
      <w:r w:rsidR="00DA6290" w:rsidRPr="00E672BE">
        <w:rPr>
          <w:rFonts w:cs="Times New Roman"/>
          <w:szCs w:val="24"/>
        </w:rPr>
        <w:t xml:space="preserve"> </w:t>
      </w:r>
      <w:r w:rsidR="00BD1067" w:rsidRPr="00E672BE">
        <w:rPr>
          <w:rFonts w:cs="Times New Roman"/>
          <w:szCs w:val="24"/>
        </w:rPr>
        <w:t>pyrimidine</w:t>
      </w:r>
      <w:r w:rsidR="00DA6290" w:rsidRPr="00E672BE">
        <w:rPr>
          <w:rFonts w:cs="Times New Roman"/>
          <w:szCs w:val="24"/>
        </w:rPr>
        <w:t>s</w:t>
      </w:r>
      <w:r w:rsidR="007E7948" w:rsidRPr="00E672BE">
        <w:rPr>
          <w:rFonts w:cs="Times New Roman"/>
          <w:szCs w:val="24"/>
        </w:rPr>
        <w:t>,</w:t>
      </w:r>
      <w:r w:rsidR="002E2771" w:rsidRPr="00E672BE">
        <w:rPr>
          <w:rFonts w:cs="Times New Roman"/>
          <w:szCs w:val="24"/>
        </w:rPr>
        <w:t xml:space="preserve"> which</w:t>
      </w:r>
      <w:r w:rsidR="00BD1067" w:rsidRPr="00E672BE">
        <w:rPr>
          <w:rFonts w:cs="Times New Roman"/>
          <w:szCs w:val="24"/>
        </w:rPr>
        <w:t xml:space="preserve"> </w:t>
      </w:r>
      <w:r w:rsidR="003E399D" w:rsidRPr="00E672BE">
        <w:rPr>
          <w:rFonts w:cs="Times New Roman"/>
          <w:szCs w:val="24"/>
        </w:rPr>
        <w:t>are</w:t>
      </w:r>
      <w:r w:rsidR="00BD1067" w:rsidRPr="00E672BE">
        <w:rPr>
          <w:rFonts w:cs="Times New Roman"/>
          <w:szCs w:val="24"/>
        </w:rPr>
        <w:t xml:space="preserve"> selective inhibitors of 2,3-oxidosqualene cyclase-lanosterol synthase in the cholesterol biosynthesis pathway</w:t>
      </w:r>
      <w:r w:rsidR="00F1294A" w:rsidRPr="00E672BE">
        <w:rPr>
          <w:rFonts w:cs="Times New Roman"/>
          <w:szCs w:val="24"/>
        </w:rPr>
        <w:fldChar w:fldCharType="begin" w:fldLock="1"/>
      </w:r>
      <w:r w:rsidR="00556B2F" w:rsidRPr="00E672BE">
        <w:rPr>
          <w:rFonts w:cs="Times New Roman"/>
          <w:szCs w:val="24"/>
        </w:rPr>
        <w:instrText>ADDIN CSL_CITATION {"citationItems":[{"id":"ITEM-1","itemData":{"DOI":"10.1021/jm000139k","ISSN":"00222623","PMID":"11150166","abstract":"A novel series of 4-piperidinopyridines and 4-piperidinopyrimidines showed potent and selective inhibition of rat 2,3-oxidosqualene cyclase-lanosterol synthase (OSC) (e.g. 26 IC(50) rat = 398 +/- 25 nM, human = 112 +/- 25 nM) and gave selective oral inhibition of rat cholesterol biosynthesis (26 ED(80) = 1.2 +/- 0.3 mg/kg, n = 5; HMGCoA reductase inhibitor simvastatin ED(80) = 1.2 +/- 0.3 mg/kg, n = 5). The piperidinopyrimidine OSC inhibitors have a significantly lower pK(a) than the corresponding pyridine or the previously reported quinuclidine OSC inhibitor series. This indicates that other novel OSC inhibitors may be found in analogues of this series across a broader pK(a) range (6.0-9.0). These series may yield novel hypocholesterolemic agents for the treatment of cardiovascular disease.","author":[{"dropping-particle":"","family":"Brown","given":"G. R.","non-dropping-particle":"","parse-names":false,"suffix":""},{"dropping-particle":"","family":"Hollinshead","given":"D. M.","non-dropping-particle":"","parse-names":false,"suffix":""},{"dropping-particle":"","family":"Stokes","given":"E. S E","non-dropping-particle":"","parse-names":false,"suffix":""},{"dropping-particle":"","family":"Waterson","given":"D.","non-dropping-particle":"","parse-names":false,"suffix":""},{"dropping-particle":"","family":"Clarke","given":"D. S.","non-dropping-particle":"","parse-names":false,"suffix":""},{"dropping-particle":"","family":"Foubister","given":"A. J.","non-dropping-particle":"","parse-names":false,"suffix":""},{"dropping-particle":"","family":"Glossop","given":"S. C.","non-dropping-particle":"","parse-names":false,"suffix":""},{"dropping-particle":"","family":"McTaggart","given":"F.","non-dropping-particle":"","parse-names":false,"suffix":""},{"dropping-particle":"","family":"Mirrlees","given":"D. J.","non-dropping-particle":"","parse-names":false,"suffix":""},{"dropping-particle":"","family":"Smith","given":"G. J.","non-dropping-particle":"","parse-names":false,"suffix":""},{"dropping-particle":"","family":"Wood","given":"R.","non-dropping-particle":"","parse-names":false,"suffix":""}],"container-title":"Journal of Medicinal Chemistry","id":"ITEM-1","issue":"26","issued":{"date-parts":[["2000"]]},"note":"From Duplicate 1 (A novel series of 4-piperidinopyridine and 4-piperidinopyrimidine inhibitors of 2,3-oxidosqualene cyclase-lanosterol synthase - Brown, G. R.; Hollinshead, D. M.; Stokes, E. S E; Waterson, D.; Clarke, D. S.; Foubister, A. J.; Glossop, S. C.; McTaggart, F.; Mirrlees, D. J.; Smith, G. J.; Wood, R.)\n\npaper from DAvid Hong relating to the cluster 30/242 from Az\n\nFrom Duplicate 2 (A novel series of 4-piperidinopyridine and 4-piperidinopyrimidine inhibitors of 2,3-oxidosqualene cyclase-lanosterol synthase - Brown, G. R.; Hollinshead, D. M.; Stokes, E. S E; Waterson, D.; Clarke, D. S.; Foubister, A. J.; Glossop, S. C.; McTaggart, F.; Mirrlees, D. J.; Smith, G. J.; Wood, R.)\n\nFrom Duplicate 1 (A novel series of 4-piperidinopyridine and 4-piperidinopyrimidine inhibitors of 2,3-oxidosqualene cyclase-lanosterol synthase - Brown, G. R.; Hollinshead, D. M.; Stokes, E. S E; Waterson, D.; Clarke, D. S.; Foubister, A. J.; Glossop, S. C.; McTaggart, F.; Mirrlees, D. J.; Smith, G. J.; Wood, R.)\n\nFrom Duplicate 1 (A novel series of 4-piperidinopyridine and 4-piperidinopyrimidine inhibitors of 2,3-oxidosqualene cyclase-lanosterol synthase - Brown, G. R.; Hollinshead, D. M.; Stokes, E. S E; Waterson, D.; Clarke, D. S.; Foubister, A. J.; Glossop, S. C.; McTaggart, F.; Mirrlees, D. J.; Smith, G. J.; Wood, R.)\n\nFrom Duplicate 1 (A novel series of 4-piperidinopyridine and 4-piperidinopyrimidine inhibitors of 2,3-oxidosqualene cyclase-lanosterol synthase - Brown, G. R.; Hollinshead, D. M.; Stokes, E. S E; Waterson, D.; Clarke, D. S.; Foubister, A. J.; Glossop, S. C.; McTaggart, F.; Mirrlees, D. J.; Smith, G. J.; Wood, R.)\n\nFrom Duplicate 1 (A novel series of 4-piperidinopyridine and 4-piperidinopyrimidine inhibitors of 2,3-oxidosqualene cyclase-lanosterol synthase - Brown, G. R.; Hollinshead, D. M.; Stokes, E. S E; Waterson, D.; Clarke, D. S.; Foubister, A. J.; Glossop, S. C.; McTaggart, F.; Mirrlees, D. J.; Smith, G. J.; Wood, R.)\n\nFrom Duplicate 1 (A novel series of 4-piperidinopyridine and 4-piperidinopyrimidine inhibitors of 2,3-oxidosqualene cyclase-lanosterol synthase - Brown, G. R.; Hollinshead, D. M.; Stokes, E. S E; Waterson, D.; Clarke, D. S.; Foubister, A. J.; Glossop, S. C.; McTaggart, F.; Mirrlees, D. J.; Smith, G. J.; Wood, R.)\n\npaper from DAvid Hong relating to the cluster 30/242 from Az\n\nFrom Duplicate 2 (A novel series of 4-piperidinopyridine and 4-piperidinopyrimidine inhibitors of 2,3-oxidosqualene cyclase-lanosterol synthase - Brown, G. R.; Hollinshead, D. M.; Stokes, E. S E; Waterson, D.; Clarke, D. S.; Foubister, A. J.; Glossop, S. C.; McTaggart, F.; Mirrlees, D. J.; Smith, G. J.; Wood, R.)\n\npaper from DAvid Hong relating to the cluster 30/242 from Az \n\nAZ paper includes one of our structures\n\nFrom Duplicate 2 (A novel series of 4-piperidinopyridine and 4-piperidinopyrimidine inhibitors of 2,3-oxidosqualene cyclase-lanosterol synthase - Brown, G. R.; Hollinshead, D. M.; Stokes, E. S E; Waterson, D.; Clarke, D. S.; Foubister, A. J.; Glossop, S. C.; McTaggart, F.; Mirrlees, D. J.; Smith, G. J.; Wood, R.)\n\npaper from DAvid Hong relating to the cluster 30/242 from Az\n\nFrom Duplicate 2 (A novel series of 4-piperidinopyridine and 4-piperidinopyrimidine inhibitors of 2,3-oxidosqualene cyclase-lanosterol synthase - Brown, G. R.; Hollinshead, D. M.; Stokes, E. S E; Waterson, D.; Clarke, D. S.; Foubister, A. J.; Glossop, S. C.; McTaggart, F.; Mirrlees, D. J.; Smith, G. J.; Wood, R.)\n\npaper from DAvid Hong relating to the cluster 30/242 from Az\n\nFrom Duplicate 3 (A novel series of 4-piperidinopyridine and 4-piperidinopyrimidine inhibitors of 2,3-oxidosqualene cyclase-lanosterol synthase - Brown, G. R.; Hollinshead, D. M.; Stokes, E. S E; Waterson, D.; Clarke, D. S.; Foubister, A. J.; Glossop, S. C.; McTaggart, F.; Mirrlees, D. J.; Smith, G. J.; Wood, R.)\n\npaper from DAvid Hong relating to the cluster 30/242 from Az \n\nAZ paper includes one of our structures\n\nFrom Duplicate 2 (A novel series of 4-piperidinopyridine and 4-piperidinopyrimidine inhibitors of 2,3-oxidosqualene cyclase-lanosterol synthase - Brown, G. R.; Hollinshead, D. M.; Stokes, E. S E; Waterson, D.; Clarke, D. S.; Foubister, A. J.; Glossop, S. C.; McTaggart, F.; Mirrlees, D. J.; Smith, G. J.; Wood, R.)\n\npaper from DAvid Hong relating to the cluster 30/242 from Az","page":"4964-4972","title":"A novel series of 4-piperidinopyridine and 4-piperidinopyrimidine inhibitors of 2,3-oxidosqualene cyclase-lanosterol synthase","type":"article-journal","volume":"43"},"uris":["http://www.mendeley.com/documents/?uuid=33163c49-c6ed-4087-a14f-0df346210d7d"]}],"mendeley":{"formattedCitation":"&lt;sup&gt;32&lt;/sup&gt;","plainTextFormattedCitation":"32","previouslyFormattedCitation":"&lt;sup&gt;32&lt;/sup&gt;"},"properties":{"noteIndex":0},"schema":"https://github.com/citation-style-language/schema/raw/master/csl-citation.json"}</w:instrText>
      </w:r>
      <w:r w:rsidR="00F1294A" w:rsidRPr="00E672BE">
        <w:rPr>
          <w:rFonts w:cs="Times New Roman"/>
          <w:szCs w:val="24"/>
        </w:rPr>
        <w:fldChar w:fldCharType="separate"/>
      </w:r>
      <w:r w:rsidR="00957134" w:rsidRPr="00E672BE">
        <w:rPr>
          <w:rFonts w:cs="Times New Roman"/>
          <w:noProof/>
          <w:szCs w:val="24"/>
          <w:vertAlign w:val="superscript"/>
        </w:rPr>
        <w:t>32</w:t>
      </w:r>
      <w:r w:rsidR="00F1294A" w:rsidRPr="00E672BE">
        <w:rPr>
          <w:rFonts w:cs="Times New Roman"/>
          <w:szCs w:val="24"/>
        </w:rPr>
        <w:fldChar w:fldCharType="end"/>
      </w:r>
      <w:r w:rsidR="00487099" w:rsidRPr="00E672BE">
        <w:rPr>
          <w:rFonts w:cs="Times New Roman"/>
          <w:szCs w:val="24"/>
        </w:rPr>
        <w:t>.</w:t>
      </w:r>
      <w:r w:rsidR="00DA6290" w:rsidRPr="00E672BE">
        <w:rPr>
          <w:rFonts w:cs="Times New Roman"/>
          <w:szCs w:val="24"/>
        </w:rPr>
        <w:t xml:space="preserve"> </w:t>
      </w:r>
      <w:r w:rsidR="00A400E5" w:rsidRPr="00E672BE">
        <w:rPr>
          <w:rFonts w:cs="Times New Roman"/>
          <w:szCs w:val="24"/>
        </w:rPr>
        <w:t xml:space="preserve">Intriguingly </w:t>
      </w:r>
      <w:r w:rsidR="00CB5408" w:rsidRPr="00E672BE">
        <w:rPr>
          <w:rFonts w:cs="Times New Roman"/>
          <w:i/>
          <w:szCs w:val="24"/>
        </w:rPr>
        <w:t>Wolbachia</w:t>
      </w:r>
      <w:r w:rsidR="00A400E5" w:rsidRPr="00E672BE">
        <w:rPr>
          <w:rFonts w:cs="Times New Roman"/>
          <w:szCs w:val="24"/>
        </w:rPr>
        <w:t xml:space="preserve"> are known to perturb cholesterol homeostasis in infected host cells</w:t>
      </w:r>
      <w:r w:rsidR="008B03E7" w:rsidRPr="00E672BE">
        <w:rPr>
          <w:rFonts w:cs="Times New Roman"/>
          <w:szCs w:val="24"/>
        </w:rPr>
        <w:fldChar w:fldCharType="begin" w:fldLock="1"/>
      </w:r>
      <w:r w:rsidR="00556B2F" w:rsidRPr="00E672BE">
        <w:rPr>
          <w:rFonts w:cs="Times New Roman"/>
          <w:szCs w:val="24"/>
        </w:rPr>
        <w:instrText>ADDIN CSL_CITATION {"citationItems":[{"id":"ITEM-1","itemData":{"DOI":"10.1038/s41467-017-00610-8","ISSN":"20411723","abstract":"Wolbachia are intracellular maternally inherited bacteria that can spread through insect populations and block virus transmission by mosquitoes, providing an important approach to dengue control. To better understand the mechanisms of virus inhibition, we here perform proteomic quantification of the effects of Wolbachia in Aedes aegypti mosquito cells and midgut. Perturbations are observed in vesicular trafficking, lipid metabolism and in the endoplasmic reticulum that could impact viral entry and replication. Wolbachia-infected cells display a differential cholesterol profile, including elevated levels of esterified cholesterol, that is consistent with perturbed intracellular cholesterol trafficking. Cyclodextrins have been shown to reverse lipid accumulation defects in cells with disrupted cholesterol homeostasis. Treatment of Wolbachia-infected Ae. aegypti cells with 2-hydroxypropyl-β-cyclodextrin restores dengue replication in Wolbachia-carrying cells, suggesting dengue is inhibited in Wolbachia-infected cells by localised cholesterol accumulation. These results demonstrate parallels between the cellular Wolbachia viral inhibition phenotype and lipid storage genetic disorders. \n                        Wolbachia infection of mosquitoes can block dengue virus infection and is tested in field trials, but the mechanism of action is unclear. Using proteomics, Geoghegan et al. here identify effects of Wolbachia on cholesterol homeostasis and dengue virus replication in Aedes aegypti.","author":[{"dropping-particle":"","family":"Geoghegan","given":"Vincent","non-dropping-particle":"","parse-names":false,"suffix":""},{"dropping-particle":"","family":"Stainton","given":"Kirsty","non-dropping-particle":"","parse-names":false,"suffix":""},{"dropping-particle":"","family":"Rainey","given":"Stephanie M.","non-dropping-particle":"","parse-names":false,"suffix":""},{"dropping-particle":"","family":"Ant","given":"Thomas H.","non-dropping-particle":"","parse-names":false,"suffix":""},{"dropping-particle":"","family":"Dowle","given":"Adam A.","non-dropping-particle":"","parse-names":false,"suffix":""},{"dropping-particle":"","family":"Larson","given":"Tony","non-dropping-particle":"","parse-names":false,"suffix":""},{"dropping-particle":"","family":"Hester","given":"Svenja","non-dropping-particle":"","parse-names":false,"suffix":""},{"dropping-particle":"","family":"Charles","given":"Philip D.","non-dropping-particle":"","parse-names":false,"suffix":""},{"dropping-particle":"","family":"Thomas","given":"Benjamin","non-dropping-particle":"","parse-names":false,"suffix":""},{"dropping-particle":"","family":"Sinkins","given":"Steven P.","non-dropping-particle":"","parse-names":false,"suffix":""}],"container-title":"Nature Communications","id":"ITEM-1","issue":"1","issued":{"date-parts":[["2017"]]},"publisher":"Springer US","title":"Perturbed cholesterol and vesicular trafficking associated with dengue blocking in Wolbachia-infected Aedes aegypti cells","type":"article-journal","volume":"8"},"uris":["http://www.mendeley.com/documents/?uuid=3971654f-5f82-449d-939a-98bc624c844c"]}],"mendeley":{"formattedCitation":"&lt;sup&gt;33&lt;/sup&gt;","plainTextFormattedCitation":"33","previouslyFormattedCitation":"&lt;sup&gt;33&lt;/sup&gt;"},"properties":{"noteIndex":0},"schema":"https://github.com/citation-style-language/schema/raw/master/csl-citation.json"}</w:instrText>
      </w:r>
      <w:r w:rsidR="008B03E7" w:rsidRPr="00E672BE">
        <w:rPr>
          <w:rFonts w:cs="Times New Roman"/>
          <w:szCs w:val="24"/>
        </w:rPr>
        <w:fldChar w:fldCharType="separate"/>
      </w:r>
      <w:r w:rsidR="00957134" w:rsidRPr="00E672BE">
        <w:rPr>
          <w:rFonts w:cs="Times New Roman"/>
          <w:noProof/>
          <w:szCs w:val="24"/>
          <w:vertAlign w:val="superscript"/>
        </w:rPr>
        <w:t>33</w:t>
      </w:r>
      <w:r w:rsidR="008B03E7" w:rsidRPr="00E672BE">
        <w:rPr>
          <w:rFonts w:cs="Times New Roman"/>
          <w:szCs w:val="24"/>
        </w:rPr>
        <w:fldChar w:fldCharType="end"/>
      </w:r>
      <w:r w:rsidR="00A400E5" w:rsidRPr="00E672BE">
        <w:rPr>
          <w:rFonts w:cs="Times New Roman"/>
          <w:szCs w:val="24"/>
        </w:rPr>
        <w:t>.</w:t>
      </w:r>
    </w:p>
    <w:p w:rsidR="00EB2F9C" w:rsidRPr="00E672BE" w:rsidRDefault="00DA6290" w:rsidP="0044633D">
      <w:pPr>
        <w:rPr>
          <w:rFonts w:cs="Times New Roman"/>
          <w:szCs w:val="24"/>
          <w:lang w:val="en-US"/>
        </w:rPr>
      </w:pPr>
      <w:r w:rsidRPr="00E672BE">
        <w:rPr>
          <w:rFonts w:cs="Times New Roman"/>
          <w:szCs w:val="24"/>
          <w:lang w:val="en-US"/>
        </w:rPr>
        <w:tab/>
        <w:t xml:space="preserve">In conclusion, we have described </w:t>
      </w:r>
      <w:r w:rsidR="001F70D0" w:rsidRPr="00E672BE">
        <w:rPr>
          <w:rFonts w:cs="Times New Roman"/>
          <w:szCs w:val="24"/>
          <w:lang w:val="en-US"/>
        </w:rPr>
        <w:t>the first industrial scale</w:t>
      </w:r>
      <w:r w:rsidRPr="00E672BE">
        <w:rPr>
          <w:rFonts w:cs="Times New Roman"/>
          <w:szCs w:val="24"/>
          <w:lang w:val="en-US"/>
        </w:rPr>
        <w:t xml:space="preserve"> </w:t>
      </w:r>
      <w:r w:rsidR="00BC3276" w:rsidRPr="00E672BE">
        <w:rPr>
          <w:rFonts w:cs="Times New Roman"/>
          <w:szCs w:val="24"/>
          <w:lang w:val="en-US"/>
        </w:rPr>
        <w:t>anthelmintic</w:t>
      </w:r>
      <w:r w:rsidR="00D01241" w:rsidRPr="00E672BE">
        <w:rPr>
          <w:rFonts w:cs="Times New Roman"/>
          <w:szCs w:val="24"/>
          <w:lang w:val="en-US"/>
        </w:rPr>
        <w:t xml:space="preserve"> NTD</w:t>
      </w:r>
      <w:r w:rsidRPr="00E672BE">
        <w:rPr>
          <w:rFonts w:cs="Times New Roman"/>
          <w:szCs w:val="24"/>
          <w:lang w:val="en-US"/>
        </w:rPr>
        <w:t xml:space="preserve"> HTS </w:t>
      </w:r>
      <w:r w:rsidR="003E399D" w:rsidRPr="00E672BE">
        <w:rPr>
          <w:rFonts w:cs="Times New Roman"/>
          <w:szCs w:val="24"/>
          <w:lang w:val="en-US"/>
        </w:rPr>
        <w:t>campaign</w:t>
      </w:r>
      <w:r w:rsidR="001F70D0" w:rsidRPr="00E672BE">
        <w:rPr>
          <w:rFonts w:cs="Times New Roman"/>
          <w:szCs w:val="24"/>
          <w:lang w:val="en-US"/>
        </w:rPr>
        <w:t xml:space="preserve">, </w:t>
      </w:r>
      <w:r w:rsidR="000A5FE4" w:rsidRPr="00E672BE">
        <w:rPr>
          <w:rFonts w:cs="Times New Roman"/>
          <w:szCs w:val="24"/>
          <w:lang w:val="en-US"/>
        </w:rPr>
        <w:t xml:space="preserve">a primary </w:t>
      </w:r>
      <w:r w:rsidR="001A2F82" w:rsidRPr="00E672BE">
        <w:rPr>
          <w:rFonts w:cs="Times New Roman"/>
          <w:szCs w:val="24"/>
          <w:lang w:val="en-US"/>
        </w:rPr>
        <w:t xml:space="preserve">assessment </w:t>
      </w:r>
      <w:r w:rsidR="000A5FE4" w:rsidRPr="00E672BE">
        <w:rPr>
          <w:rFonts w:cs="Times New Roman"/>
          <w:szCs w:val="24"/>
          <w:lang w:val="en-US"/>
        </w:rPr>
        <w:t>of a 1.3</w:t>
      </w:r>
      <w:r w:rsidR="00DA7623" w:rsidRPr="00E672BE">
        <w:rPr>
          <w:rFonts w:cs="Times New Roman"/>
          <w:szCs w:val="24"/>
          <w:lang w:val="en-US"/>
        </w:rPr>
        <w:t xml:space="preserve"> </w:t>
      </w:r>
      <w:r w:rsidR="000A5FE4" w:rsidRPr="00E672BE">
        <w:rPr>
          <w:rFonts w:cs="Times New Roman"/>
          <w:szCs w:val="24"/>
          <w:lang w:val="en-US"/>
        </w:rPr>
        <w:t>m</w:t>
      </w:r>
      <w:r w:rsidR="00DA7623" w:rsidRPr="00E672BE">
        <w:rPr>
          <w:rFonts w:cs="Times New Roman"/>
          <w:szCs w:val="24"/>
          <w:lang w:val="en-US"/>
        </w:rPr>
        <w:t>illion</w:t>
      </w:r>
      <w:r w:rsidR="000A5FE4" w:rsidRPr="00E672BE">
        <w:rPr>
          <w:rFonts w:cs="Times New Roman"/>
          <w:szCs w:val="24"/>
          <w:lang w:val="en-US"/>
        </w:rPr>
        <w:t xml:space="preserve"> compound library, a secondary </w:t>
      </w:r>
      <w:r w:rsidR="00234304" w:rsidRPr="00E672BE">
        <w:rPr>
          <w:rFonts w:cs="Times New Roman"/>
          <w:szCs w:val="24"/>
        </w:rPr>
        <w:t>concentration</w:t>
      </w:r>
      <w:r w:rsidR="00234304" w:rsidRPr="00E672BE">
        <w:rPr>
          <w:rFonts w:cs="Times New Roman"/>
          <w:szCs w:val="24"/>
          <w:lang w:val="en-US"/>
        </w:rPr>
        <w:t xml:space="preserve"> </w:t>
      </w:r>
      <w:r w:rsidR="000A5FE4" w:rsidRPr="00E672BE">
        <w:rPr>
          <w:rFonts w:cs="Times New Roman"/>
          <w:szCs w:val="24"/>
          <w:lang w:val="en-US"/>
        </w:rPr>
        <w:t xml:space="preserve">response screen of ~6000 compounds, and cheminformatic </w:t>
      </w:r>
      <w:proofErr w:type="spellStart"/>
      <w:r w:rsidR="002B4A06" w:rsidRPr="00E672BE">
        <w:rPr>
          <w:rFonts w:cs="Times New Roman"/>
          <w:szCs w:val="24"/>
          <w:lang w:val="en-US"/>
        </w:rPr>
        <w:t>prioritisation</w:t>
      </w:r>
      <w:proofErr w:type="spellEnd"/>
      <w:r w:rsidR="002B4A06" w:rsidRPr="00E672BE">
        <w:rPr>
          <w:rFonts w:cs="Times New Roman"/>
          <w:szCs w:val="24"/>
          <w:lang w:val="en-US"/>
        </w:rPr>
        <w:t xml:space="preserve"> </w:t>
      </w:r>
      <w:r w:rsidR="000A5FE4" w:rsidRPr="00E672BE">
        <w:rPr>
          <w:rFonts w:cs="Times New Roman"/>
          <w:szCs w:val="24"/>
          <w:lang w:val="en-US"/>
        </w:rPr>
        <w:t>and time</w:t>
      </w:r>
      <w:r w:rsidR="00E23A25" w:rsidRPr="00E672BE">
        <w:rPr>
          <w:rFonts w:cs="Times New Roman"/>
          <w:szCs w:val="24"/>
          <w:lang w:val="en-US"/>
        </w:rPr>
        <w:t>-</w:t>
      </w:r>
      <w:r w:rsidR="000A5FE4" w:rsidRPr="00E672BE">
        <w:rPr>
          <w:rFonts w:cs="Times New Roman"/>
          <w:szCs w:val="24"/>
          <w:lang w:val="en-US"/>
        </w:rPr>
        <w:t xml:space="preserve">kill analysis to deliver a </w:t>
      </w:r>
      <w:proofErr w:type="spellStart"/>
      <w:r w:rsidR="002B4A06" w:rsidRPr="00E672BE">
        <w:rPr>
          <w:rFonts w:cs="Times New Roman"/>
          <w:szCs w:val="24"/>
          <w:lang w:val="en-US"/>
        </w:rPr>
        <w:t>prioritised</w:t>
      </w:r>
      <w:proofErr w:type="spellEnd"/>
      <w:r w:rsidR="002B4A06" w:rsidRPr="00E672BE">
        <w:rPr>
          <w:rFonts w:cs="Times New Roman"/>
          <w:szCs w:val="24"/>
          <w:lang w:val="en-US"/>
        </w:rPr>
        <w:t xml:space="preserve"> </w:t>
      </w:r>
      <w:r w:rsidR="000A5FE4" w:rsidRPr="00E672BE">
        <w:rPr>
          <w:rFonts w:cs="Times New Roman"/>
          <w:szCs w:val="24"/>
          <w:lang w:val="en-US"/>
        </w:rPr>
        <w:t xml:space="preserve">set of </w:t>
      </w:r>
      <w:r w:rsidRPr="00E672BE">
        <w:rPr>
          <w:rFonts w:cs="Times New Roman"/>
          <w:szCs w:val="24"/>
          <w:lang w:val="en-US"/>
        </w:rPr>
        <w:t xml:space="preserve">high-quality starting points for hit to lead </w:t>
      </w:r>
      <w:proofErr w:type="spellStart"/>
      <w:r w:rsidR="002B4A06" w:rsidRPr="00E672BE">
        <w:rPr>
          <w:rFonts w:cs="Times New Roman"/>
          <w:szCs w:val="24"/>
          <w:lang w:val="en-US"/>
        </w:rPr>
        <w:t>optimisation</w:t>
      </w:r>
      <w:proofErr w:type="spellEnd"/>
      <w:r w:rsidR="002B4A06" w:rsidRPr="00E672BE">
        <w:rPr>
          <w:rFonts w:cs="Times New Roman"/>
          <w:szCs w:val="24"/>
          <w:lang w:val="en-US"/>
        </w:rPr>
        <w:t xml:space="preserve"> </w:t>
      </w:r>
      <w:r w:rsidRPr="00E672BE">
        <w:rPr>
          <w:rFonts w:cs="Times New Roman"/>
          <w:szCs w:val="24"/>
          <w:lang w:val="en-US"/>
        </w:rPr>
        <w:t xml:space="preserve">efforts. The profiles of </w:t>
      </w:r>
      <w:r w:rsidR="00BE7815" w:rsidRPr="00E672BE">
        <w:rPr>
          <w:rFonts w:cs="Times New Roman"/>
          <w:szCs w:val="24"/>
          <w:lang w:val="en-US"/>
        </w:rPr>
        <w:t>9</w:t>
      </w:r>
      <w:r w:rsidRPr="00E672BE">
        <w:rPr>
          <w:rFonts w:cs="Times New Roman"/>
          <w:szCs w:val="24"/>
          <w:lang w:val="en-US"/>
        </w:rPr>
        <w:t xml:space="preserve"> </w:t>
      </w:r>
      <w:proofErr w:type="spellStart"/>
      <w:r w:rsidR="000A5FE4" w:rsidRPr="00E672BE">
        <w:rPr>
          <w:rFonts w:cs="Times New Roman"/>
          <w:szCs w:val="24"/>
          <w:lang w:val="en-US"/>
        </w:rPr>
        <w:t>prioritised</w:t>
      </w:r>
      <w:proofErr w:type="spellEnd"/>
      <w:r w:rsidR="000A5FE4" w:rsidRPr="00E672BE">
        <w:rPr>
          <w:rFonts w:cs="Times New Roman"/>
          <w:szCs w:val="24"/>
          <w:lang w:val="en-US"/>
        </w:rPr>
        <w:t xml:space="preserve"> </w:t>
      </w:r>
      <w:r w:rsidRPr="00E672BE">
        <w:rPr>
          <w:rFonts w:cs="Times New Roman"/>
          <w:szCs w:val="24"/>
          <w:lang w:val="en-US"/>
        </w:rPr>
        <w:t>hit</w:t>
      </w:r>
      <w:r w:rsidR="00BE7815" w:rsidRPr="00E672BE">
        <w:rPr>
          <w:rFonts w:cs="Times New Roman"/>
          <w:szCs w:val="24"/>
          <w:lang w:val="en-US"/>
        </w:rPr>
        <w:t xml:space="preserve"> chemotypes</w:t>
      </w:r>
      <w:r w:rsidRPr="00E672BE">
        <w:rPr>
          <w:rFonts w:cs="Times New Roman"/>
          <w:szCs w:val="24"/>
          <w:lang w:val="en-US"/>
        </w:rPr>
        <w:t xml:space="preserve"> are described, with measured potency, physicochemical properties and DMPK analysis </w:t>
      </w:r>
      <w:r w:rsidR="000A5FE4" w:rsidRPr="00E672BE">
        <w:rPr>
          <w:rFonts w:cs="Times New Roman"/>
          <w:szCs w:val="24"/>
          <w:lang w:val="en-US"/>
        </w:rPr>
        <w:t xml:space="preserve">together with an </w:t>
      </w:r>
      <w:r w:rsidRPr="00E672BE">
        <w:rPr>
          <w:rFonts w:cs="Times New Roman"/>
          <w:szCs w:val="24"/>
          <w:lang w:val="en-US"/>
        </w:rPr>
        <w:t>assessment of the key areas of focus for</w:t>
      </w:r>
      <w:r w:rsidR="000A5FE4" w:rsidRPr="00E672BE">
        <w:rPr>
          <w:rFonts w:cs="Times New Roman"/>
          <w:szCs w:val="24"/>
          <w:lang w:val="en-US"/>
        </w:rPr>
        <w:t xml:space="preserve"> onward</w:t>
      </w:r>
      <w:r w:rsidRPr="00E672BE">
        <w:rPr>
          <w:rFonts w:cs="Times New Roman"/>
          <w:szCs w:val="24"/>
          <w:lang w:val="en-US"/>
        </w:rPr>
        <w:t xml:space="preserve"> medicinal chemistry </w:t>
      </w:r>
      <w:proofErr w:type="spellStart"/>
      <w:r w:rsidR="002B4A06" w:rsidRPr="00E672BE">
        <w:rPr>
          <w:rFonts w:cs="Times New Roman"/>
          <w:szCs w:val="24"/>
          <w:lang w:val="en-US"/>
        </w:rPr>
        <w:t>optimisation</w:t>
      </w:r>
      <w:proofErr w:type="spellEnd"/>
      <w:r w:rsidR="002B4A06" w:rsidRPr="00E672BE">
        <w:rPr>
          <w:rFonts w:cs="Times New Roman"/>
          <w:szCs w:val="24"/>
          <w:lang w:val="en-US"/>
        </w:rPr>
        <w:t xml:space="preserve"> </w:t>
      </w:r>
      <w:r w:rsidRPr="00E672BE">
        <w:rPr>
          <w:rFonts w:cs="Times New Roman"/>
          <w:szCs w:val="24"/>
          <w:lang w:val="en-US"/>
        </w:rPr>
        <w:t xml:space="preserve">studies. </w:t>
      </w:r>
      <w:r w:rsidRPr="00E672BE">
        <w:rPr>
          <w:rFonts w:cs="Times New Roman"/>
          <w:i/>
          <w:szCs w:val="24"/>
          <w:lang w:val="en-US"/>
        </w:rPr>
        <w:t>In vitro</w:t>
      </w:r>
      <w:r w:rsidRPr="00E672BE">
        <w:rPr>
          <w:rFonts w:cs="Times New Roman"/>
          <w:szCs w:val="24"/>
          <w:lang w:val="en-US"/>
        </w:rPr>
        <w:t xml:space="preserve"> analysis of killing kinetics indicates that these</w:t>
      </w:r>
      <w:r w:rsidR="001A2F82" w:rsidRPr="00E672BE">
        <w:rPr>
          <w:rFonts w:cs="Times New Roman"/>
          <w:szCs w:val="24"/>
          <w:lang w:val="en-US"/>
        </w:rPr>
        <w:t xml:space="preserve"> fast-acting</w:t>
      </w:r>
      <w:r w:rsidRPr="00E672BE">
        <w:rPr>
          <w:rFonts w:cs="Times New Roman"/>
          <w:szCs w:val="24"/>
          <w:lang w:val="en-US"/>
        </w:rPr>
        <w:t xml:space="preserve"> antibacterial agents have mechanism</w:t>
      </w:r>
      <w:r w:rsidR="001A2F82" w:rsidRPr="00E672BE">
        <w:rPr>
          <w:rFonts w:cs="Times New Roman"/>
          <w:szCs w:val="24"/>
          <w:lang w:val="en-US"/>
        </w:rPr>
        <w:t>s</w:t>
      </w:r>
      <w:r w:rsidRPr="00E672BE">
        <w:rPr>
          <w:rFonts w:cs="Times New Roman"/>
          <w:szCs w:val="24"/>
          <w:lang w:val="en-US"/>
        </w:rPr>
        <w:t xml:space="preserve"> of action </w:t>
      </w:r>
      <w:r w:rsidR="001A2F82" w:rsidRPr="00E672BE">
        <w:rPr>
          <w:rFonts w:cs="Times New Roman"/>
          <w:szCs w:val="24"/>
          <w:lang w:val="en-US"/>
        </w:rPr>
        <w:t xml:space="preserve">different from </w:t>
      </w:r>
      <w:r w:rsidR="002E2771" w:rsidRPr="00E672BE">
        <w:rPr>
          <w:rFonts w:cs="Times New Roman"/>
          <w:szCs w:val="24"/>
          <w:lang w:val="en-US"/>
        </w:rPr>
        <w:t>any</w:t>
      </w:r>
      <w:r w:rsidRPr="00E672BE">
        <w:rPr>
          <w:rFonts w:cs="Times New Roman"/>
          <w:szCs w:val="24"/>
          <w:lang w:val="en-US"/>
        </w:rPr>
        <w:t xml:space="preserve"> established</w:t>
      </w:r>
      <w:r w:rsidR="001B363B" w:rsidRPr="00E672BE">
        <w:rPr>
          <w:rFonts w:cs="Times New Roman"/>
          <w:szCs w:val="24"/>
          <w:lang w:val="en-US"/>
        </w:rPr>
        <w:t xml:space="preserve"> anti-</w:t>
      </w:r>
      <w:r w:rsidR="00CB5408" w:rsidRPr="00E672BE">
        <w:rPr>
          <w:rFonts w:cs="Times New Roman"/>
          <w:i/>
          <w:szCs w:val="24"/>
          <w:lang w:val="en-US"/>
        </w:rPr>
        <w:t>Wolbachia</w:t>
      </w:r>
      <w:r w:rsidRPr="00E672BE">
        <w:rPr>
          <w:rFonts w:cs="Times New Roman"/>
          <w:szCs w:val="24"/>
          <w:lang w:val="en-US"/>
        </w:rPr>
        <w:t xml:space="preserve"> </w:t>
      </w:r>
      <w:r w:rsidR="003F4280" w:rsidRPr="00E672BE">
        <w:rPr>
          <w:rFonts w:cs="Times New Roman"/>
          <w:szCs w:val="24"/>
          <w:lang w:val="en-US"/>
        </w:rPr>
        <w:t xml:space="preserve">drugs </w:t>
      </w:r>
      <w:r w:rsidR="00F16B73" w:rsidRPr="00E672BE">
        <w:rPr>
          <w:rFonts w:cs="Times New Roman"/>
          <w:szCs w:val="24"/>
          <w:lang w:val="en-US"/>
        </w:rPr>
        <w:t>which</w:t>
      </w:r>
      <w:r w:rsidR="003F4280" w:rsidRPr="00E672BE">
        <w:rPr>
          <w:rFonts w:cs="Times New Roman"/>
          <w:szCs w:val="24"/>
          <w:lang w:val="en-US"/>
        </w:rPr>
        <w:t xml:space="preserve"> </w:t>
      </w:r>
      <w:r w:rsidR="003479BD" w:rsidRPr="00E672BE">
        <w:rPr>
          <w:rFonts w:cs="Times New Roman"/>
          <w:szCs w:val="24"/>
          <w:lang w:val="en-US"/>
        </w:rPr>
        <w:t xml:space="preserve">inhibit </w:t>
      </w:r>
      <w:r w:rsidRPr="00E672BE">
        <w:rPr>
          <w:rFonts w:cs="Times New Roman"/>
          <w:szCs w:val="24"/>
          <w:lang w:val="en-US"/>
        </w:rPr>
        <w:t>protein synthesis</w:t>
      </w:r>
      <w:r w:rsidR="003479BD" w:rsidRPr="00E672BE">
        <w:rPr>
          <w:rFonts w:cs="Times New Roman"/>
          <w:szCs w:val="24"/>
          <w:lang w:val="en-US"/>
        </w:rPr>
        <w:t>.</w:t>
      </w:r>
      <w:r w:rsidR="00EB2F9C" w:rsidRPr="00E672BE">
        <w:rPr>
          <w:rFonts w:cs="Times New Roman"/>
          <w:szCs w:val="24"/>
          <w:lang w:val="en-US"/>
        </w:rPr>
        <w:t xml:space="preserve"> </w:t>
      </w:r>
      <w:bookmarkStart w:id="7" w:name="_Hlk529357546"/>
      <w:r w:rsidR="003479BD" w:rsidRPr="00E672BE">
        <w:rPr>
          <w:rFonts w:cs="Times New Roman"/>
          <w:szCs w:val="24"/>
          <w:lang w:val="en-US"/>
        </w:rPr>
        <w:t>Target</w:t>
      </w:r>
      <w:r w:rsidR="00EB2F9C" w:rsidRPr="00E672BE">
        <w:rPr>
          <w:rFonts w:cs="Times New Roman"/>
          <w:szCs w:val="24"/>
          <w:lang w:val="en-US"/>
        </w:rPr>
        <w:t xml:space="preserve"> identification studies </w:t>
      </w:r>
      <w:r w:rsidR="003479BD" w:rsidRPr="00E672BE">
        <w:rPr>
          <w:rFonts w:cs="Times New Roman"/>
          <w:szCs w:val="24"/>
          <w:lang w:val="en-US"/>
        </w:rPr>
        <w:t xml:space="preserve">of these fast-acting hits </w:t>
      </w:r>
      <w:r w:rsidR="00EF7C3F" w:rsidRPr="00E672BE">
        <w:rPr>
          <w:rFonts w:cs="Times New Roman"/>
          <w:szCs w:val="24"/>
          <w:lang w:val="en-US"/>
        </w:rPr>
        <w:t>should</w:t>
      </w:r>
      <w:r w:rsidR="00EB2F9C" w:rsidRPr="00E672BE">
        <w:rPr>
          <w:rFonts w:cs="Times New Roman"/>
          <w:szCs w:val="24"/>
          <w:lang w:val="en-US"/>
        </w:rPr>
        <w:t xml:space="preserve"> reveal </w:t>
      </w:r>
      <w:r w:rsidR="00984609" w:rsidRPr="00E672BE">
        <w:rPr>
          <w:rFonts w:cs="Times New Roman"/>
          <w:szCs w:val="24"/>
          <w:lang w:val="en-US"/>
        </w:rPr>
        <w:t xml:space="preserve">unexplored </w:t>
      </w:r>
      <w:r w:rsidR="00EB2F9C" w:rsidRPr="00E672BE">
        <w:rPr>
          <w:rFonts w:cs="Times New Roman"/>
          <w:szCs w:val="24"/>
          <w:lang w:val="en-US"/>
        </w:rPr>
        <w:t xml:space="preserve">targets for </w:t>
      </w:r>
      <w:r w:rsidR="00F16B73" w:rsidRPr="00E672BE">
        <w:rPr>
          <w:rFonts w:cs="Times New Roman"/>
          <w:szCs w:val="24"/>
          <w:lang w:val="en-US"/>
        </w:rPr>
        <w:t xml:space="preserve">not only the treatment of filarial disease but also </w:t>
      </w:r>
      <w:r w:rsidR="00EB2F9C" w:rsidRPr="00E672BE">
        <w:rPr>
          <w:rFonts w:cs="Times New Roman"/>
          <w:szCs w:val="24"/>
          <w:lang w:val="en-US"/>
        </w:rPr>
        <w:t>generic antibacterial discovery.</w:t>
      </w:r>
      <w:bookmarkEnd w:id="7"/>
      <w:r w:rsidRPr="00E672BE">
        <w:rPr>
          <w:rFonts w:cs="Times New Roman"/>
          <w:szCs w:val="24"/>
          <w:lang w:val="en-US"/>
        </w:rPr>
        <w:t xml:space="preserve"> </w:t>
      </w:r>
    </w:p>
    <w:p w:rsidR="00080A2D" w:rsidRPr="00E672BE" w:rsidRDefault="00080A2D" w:rsidP="00080A2D">
      <w:pPr>
        <w:pStyle w:val="Heading2"/>
        <w:rPr>
          <w:lang w:val="en"/>
        </w:rPr>
      </w:pPr>
      <w:r w:rsidRPr="00E672BE">
        <w:rPr>
          <w:lang w:val="en"/>
        </w:rPr>
        <w:lastRenderedPageBreak/>
        <w:t>Methods</w:t>
      </w:r>
    </w:p>
    <w:p w:rsidR="00080A2D" w:rsidRPr="00E672BE" w:rsidRDefault="00080A2D" w:rsidP="00080A2D">
      <w:pPr>
        <w:pStyle w:val="Heading3"/>
      </w:pPr>
      <w:r w:rsidRPr="00E672BE">
        <w:t xml:space="preserve">Cell culture </w:t>
      </w:r>
    </w:p>
    <w:p w:rsidR="00080A2D" w:rsidRPr="00E672BE" w:rsidRDefault="00DB144E" w:rsidP="00DB144E">
      <w:pPr>
        <w:autoSpaceDE w:val="0"/>
        <w:autoSpaceDN w:val="0"/>
        <w:adjustRightInd w:val="0"/>
        <w:spacing w:after="0"/>
      </w:pPr>
      <w:r w:rsidRPr="00E672BE">
        <w:t xml:space="preserve">The </w:t>
      </w:r>
      <w:r w:rsidR="00080A2D" w:rsidRPr="00E672BE">
        <w:t>mosquito (</w:t>
      </w:r>
      <w:r w:rsidR="00080A2D" w:rsidRPr="00E672BE">
        <w:rPr>
          <w:i/>
        </w:rPr>
        <w:t>Aedes albopictus</w:t>
      </w:r>
      <w:r w:rsidR="00080A2D" w:rsidRPr="00E672BE">
        <w:t xml:space="preserve">) derived </w:t>
      </w:r>
      <w:r w:rsidR="00080A2D" w:rsidRPr="00E672BE">
        <w:rPr>
          <w:szCs w:val="24"/>
        </w:rPr>
        <w:t xml:space="preserve">cell </w:t>
      </w:r>
      <w:r w:rsidR="00080A2D" w:rsidRPr="00E672BE">
        <w:rPr>
          <w:rFonts w:cs="Times New Roman"/>
          <w:szCs w:val="24"/>
        </w:rPr>
        <w:t>line</w:t>
      </w:r>
      <w:r w:rsidRPr="00E672BE">
        <w:t xml:space="preserve"> C6/36</w:t>
      </w:r>
      <w:r w:rsidR="00080A2D" w:rsidRPr="00E672BE">
        <w:rPr>
          <w:rFonts w:cs="Times New Roman"/>
          <w:szCs w:val="24"/>
        </w:rPr>
        <w:t xml:space="preserve"> </w:t>
      </w:r>
      <w:r w:rsidR="00D018EB" w:rsidRPr="00E672BE">
        <w:rPr>
          <w:rFonts w:cs="Times New Roman"/>
          <w:szCs w:val="24"/>
        </w:rPr>
        <w:t>(</w:t>
      </w:r>
      <w:r w:rsidR="00FE3EFA" w:rsidRPr="00E672BE">
        <w:rPr>
          <w:rFonts w:eastAsia="Times New Roman" w:cs="Times New Roman"/>
          <w:szCs w:val="24"/>
          <w:lang w:eastAsia="en-GB"/>
        </w:rPr>
        <w:t>ATCC</w:t>
      </w:r>
      <w:r w:rsidR="00FE3EFA" w:rsidRPr="00E672BE">
        <w:rPr>
          <w:rFonts w:eastAsia="Times New Roman" w:cs="Times New Roman"/>
          <w:szCs w:val="24"/>
          <w:vertAlign w:val="superscript"/>
          <w:lang w:eastAsia="en-GB"/>
        </w:rPr>
        <w:t>®</w:t>
      </w:r>
      <w:r w:rsidR="00D018EB" w:rsidRPr="00E672BE">
        <w:rPr>
          <w:rFonts w:cs="Times New Roman"/>
          <w:color w:val="333333"/>
          <w:spacing w:val="-2"/>
          <w:szCs w:val="24"/>
          <w:shd w:val="clear" w:color="auto" w:fill="FDFDFD"/>
        </w:rPr>
        <w:t xml:space="preserve"> CRL 1660)</w:t>
      </w:r>
      <w:r w:rsidRPr="00E672BE">
        <w:rPr>
          <w:color w:val="333333"/>
          <w:spacing w:val="-2"/>
          <w:shd w:val="clear" w:color="auto" w:fill="FDFDFD"/>
        </w:rPr>
        <w:t>,</w:t>
      </w:r>
      <w:r w:rsidR="00D018EB" w:rsidRPr="00E672BE">
        <w:rPr>
          <w:rFonts w:ascii="Helvetica" w:hAnsi="Helvetica"/>
          <w:color w:val="333333"/>
          <w:spacing w:val="-2"/>
          <w:szCs w:val="24"/>
          <w:shd w:val="clear" w:color="auto" w:fill="FDFDFD"/>
        </w:rPr>
        <w:t xml:space="preserve"> </w:t>
      </w:r>
      <w:r w:rsidR="00080A2D" w:rsidRPr="00E672BE">
        <w:rPr>
          <w:szCs w:val="24"/>
        </w:rPr>
        <w:t>stably</w:t>
      </w:r>
      <w:r w:rsidR="00080A2D" w:rsidRPr="00E672BE">
        <w:t xml:space="preserve"> infected with </w:t>
      </w:r>
      <w:r w:rsidR="00CB5408" w:rsidRPr="00E672BE">
        <w:rPr>
          <w:i/>
        </w:rPr>
        <w:t>Wolbachia</w:t>
      </w:r>
      <w:r w:rsidR="00080A2D" w:rsidRPr="00E672BE">
        <w:rPr>
          <w:i/>
        </w:rPr>
        <w:t xml:space="preserve"> pipientis</w:t>
      </w:r>
      <w:r w:rsidR="00080A2D" w:rsidRPr="00E672BE">
        <w:t xml:space="preserve"> </w:t>
      </w:r>
      <w:r w:rsidR="00080A2D" w:rsidRPr="00E672BE">
        <w:rPr>
          <w:i/>
        </w:rPr>
        <w:t>w</w:t>
      </w:r>
      <w:r w:rsidR="00080A2D" w:rsidRPr="00E672BE">
        <w:t>AlbB</w:t>
      </w:r>
      <w:r w:rsidRPr="00E672BE">
        <w:t xml:space="preserve"> (C6/36(</w:t>
      </w:r>
      <w:r w:rsidRPr="00E672BE">
        <w:rPr>
          <w:i/>
        </w:rPr>
        <w:t>w</w:t>
      </w:r>
      <w:r w:rsidRPr="00E672BE">
        <w:t xml:space="preserve">AlbB)), </w:t>
      </w:r>
      <w:r w:rsidRPr="00E672BE">
        <w:rPr>
          <w:rFonts w:cs="Times New Roman"/>
          <w:szCs w:val="24"/>
        </w:rPr>
        <w:t xml:space="preserve">was maintained in Leibovitz L15 medium containing 2 </w:t>
      </w:r>
      <w:proofErr w:type="spellStart"/>
      <w:r w:rsidRPr="00E672BE">
        <w:rPr>
          <w:rFonts w:cs="Times New Roman"/>
          <w:szCs w:val="24"/>
        </w:rPr>
        <w:t>mM</w:t>
      </w:r>
      <w:proofErr w:type="spellEnd"/>
      <w:r w:rsidRPr="00E672BE">
        <w:rPr>
          <w:rFonts w:cs="Times New Roman"/>
          <w:szCs w:val="24"/>
        </w:rPr>
        <w:t xml:space="preserve"> L-glutamine, 1% nonessential amino acids, 2% tryptose phosphate broth and 20% heat-inactivated </w:t>
      </w:r>
      <w:proofErr w:type="spellStart"/>
      <w:r w:rsidRPr="00E672BE">
        <w:rPr>
          <w:rFonts w:cs="Times New Roman"/>
          <w:szCs w:val="24"/>
        </w:rPr>
        <w:t>fetal</w:t>
      </w:r>
      <w:proofErr w:type="spellEnd"/>
      <w:r w:rsidRPr="00E672BE">
        <w:rPr>
          <w:rFonts w:cs="Times New Roman"/>
          <w:szCs w:val="24"/>
        </w:rPr>
        <w:t xml:space="preserve"> bovine serum</w:t>
      </w:r>
      <w:r w:rsidR="00B70029" w:rsidRPr="00E672BE">
        <w:rPr>
          <w:rFonts w:cs="Times New Roman"/>
          <w:szCs w:val="24"/>
        </w:rPr>
        <w:t xml:space="preserve"> (FBS)</w:t>
      </w:r>
      <w:r w:rsidRPr="00E672BE">
        <w:rPr>
          <w:rFonts w:cs="Times New Roman"/>
          <w:szCs w:val="24"/>
        </w:rPr>
        <w:t xml:space="preserve"> at 26°C</w:t>
      </w:r>
      <w:r w:rsidR="004F4A7A" w:rsidRPr="00E672BE">
        <w:rPr>
          <w:rFonts w:cs="Times New Roman"/>
          <w:szCs w:val="24"/>
          <w:vertAlign w:val="superscript"/>
        </w:rPr>
        <w:t>18</w:t>
      </w:r>
      <w:r w:rsidR="00080A2D" w:rsidRPr="00E672BE">
        <w:rPr>
          <w:rFonts w:cs="Times New Roman"/>
          <w:szCs w:val="24"/>
        </w:rPr>
        <w:t>. This screen exclusively used cells from the large scale</w:t>
      </w:r>
      <w:r w:rsidR="00080A2D" w:rsidRPr="00E672BE">
        <w:t xml:space="preserve"> cryopreserved batch produced as part of this campaign by culturing the cells at scale before cryopreservation (90% FBS and 10% DMSO). This produced a cell bank of 190 x 1ml cryovials containing 3 x 10</w:t>
      </w:r>
      <w:r w:rsidR="00080A2D" w:rsidRPr="00E672BE">
        <w:rPr>
          <w:vertAlign w:val="superscript"/>
        </w:rPr>
        <w:t>7</w:t>
      </w:r>
      <w:r w:rsidR="00080A2D" w:rsidRPr="00E672BE">
        <w:t xml:space="preserve"> cells per vial.</w:t>
      </w:r>
    </w:p>
    <w:p w:rsidR="00080A2D" w:rsidRPr="00E672BE" w:rsidRDefault="00080A2D" w:rsidP="00DB144E">
      <w:pPr>
        <w:autoSpaceDE w:val="0"/>
        <w:autoSpaceDN w:val="0"/>
        <w:adjustRightInd w:val="0"/>
        <w:jc w:val="both"/>
        <w:rPr>
          <w:rFonts w:cs="Times New Roman"/>
          <w:szCs w:val="24"/>
        </w:rPr>
      </w:pPr>
      <w:r w:rsidRPr="00E672BE">
        <w:rPr>
          <w:rFonts w:cs="Times New Roman"/>
          <w:szCs w:val="24"/>
          <w:lang w:val="en-US"/>
        </w:rPr>
        <w:t>The human monocytic THP-1 cell line (</w:t>
      </w:r>
      <w:r w:rsidRPr="00E672BE">
        <w:rPr>
          <w:rFonts w:eastAsia="Times New Roman" w:cs="Times New Roman"/>
          <w:szCs w:val="24"/>
          <w:lang w:eastAsia="en-GB"/>
        </w:rPr>
        <w:t>ATCC</w:t>
      </w:r>
      <w:r w:rsidRPr="00E672BE">
        <w:rPr>
          <w:rFonts w:eastAsia="Times New Roman" w:cs="Times New Roman"/>
          <w:szCs w:val="24"/>
          <w:vertAlign w:val="superscript"/>
          <w:lang w:eastAsia="en-GB"/>
        </w:rPr>
        <w:t>®</w:t>
      </w:r>
      <w:r w:rsidRPr="00E672BE">
        <w:rPr>
          <w:rFonts w:eastAsia="Times New Roman" w:cs="Times New Roman"/>
          <w:szCs w:val="24"/>
          <w:lang w:eastAsia="en-GB"/>
        </w:rPr>
        <w:t xml:space="preserve"> </w:t>
      </w:r>
      <w:r w:rsidRPr="00E672BE">
        <w:rPr>
          <w:rFonts w:cs="Times New Roman"/>
          <w:szCs w:val="24"/>
          <w:lang w:val="en-US"/>
        </w:rPr>
        <w:t>TIB-202) used for mammalian cytotoxicity evaluation was</w:t>
      </w:r>
      <w:r w:rsidRPr="00E672BE">
        <w:rPr>
          <w:rFonts w:cs="Times New Roman"/>
          <w:szCs w:val="24"/>
        </w:rPr>
        <w:t xml:space="preserve"> routinely cultured in</w:t>
      </w:r>
      <w:r w:rsidRPr="00E672BE">
        <w:rPr>
          <w:rFonts w:cs="Times New Roman"/>
          <w:szCs w:val="24"/>
          <w:vertAlign w:val="superscript"/>
        </w:rPr>
        <w:t xml:space="preserve"> </w:t>
      </w:r>
      <w:r w:rsidRPr="00E672BE">
        <w:rPr>
          <w:rFonts w:cs="Times New Roman"/>
          <w:szCs w:val="24"/>
        </w:rPr>
        <w:t xml:space="preserve">roller bottles. Growth media consisted of RPMI 1640 </w:t>
      </w:r>
      <w:r w:rsidRPr="00E672BE">
        <w:rPr>
          <w:rFonts w:cs="Times New Roman"/>
          <w:szCs w:val="24"/>
          <w:lang w:val="en-US"/>
        </w:rPr>
        <w:t xml:space="preserve">supplemented with 10% FBS and 2 </w:t>
      </w:r>
      <w:proofErr w:type="spellStart"/>
      <w:r w:rsidRPr="00E672BE">
        <w:rPr>
          <w:rFonts w:cs="Times New Roman"/>
          <w:szCs w:val="24"/>
          <w:lang w:val="en-US"/>
        </w:rPr>
        <w:t>mM</w:t>
      </w:r>
      <w:proofErr w:type="spellEnd"/>
      <w:r w:rsidRPr="00E672BE">
        <w:rPr>
          <w:rFonts w:cs="Times New Roman"/>
          <w:szCs w:val="24"/>
          <w:lang w:val="en-US"/>
        </w:rPr>
        <w:t xml:space="preserve"> L-glutamine. </w:t>
      </w:r>
      <w:r w:rsidRPr="00E672BE">
        <w:rPr>
          <w:rFonts w:cs="Times New Roman"/>
          <w:szCs w:val="24"/>
        </w:rPr>
        <w:t xml:space="preserve">Cells were maintained at </w:t>
      </w:r>
      <w:r w:rsidRPr="00E672BE">
        <w:rPr>
          <w:rFonts w:cs="Times New Roman"/>
          <w:szCs w:val="24"/>
          <w:lang w:val="en-US"/>
        </w:rPr>
        <w:t>37</w:t>
      </w:r>
      <w:r w:rsidRPr="00E672BE">
        <w:rPr>
          <w:rFonts w:cs="Times New Roman"/>
          <w:szCs w:val="24"/>
          <w:vertAlign w:val="superscript"/>
          <w:lang w:val="en-US"/>
        </w:rPr>
        <w:t>o</w:t>
      </w:r>
      <w:r w:rsidRPr="00E672BE">
        <w:rPr>
          <w:rFonts w:cs="Times New Roman"/>
          <w:szCs w:val="24"/>
          <w:lang w:val="en-US"/>
        </w:rPr>
        <w:t>C with 95% humidity in 5% CO</w:t>
      </w:r>
      <w:r w:rsidRPr="00E672BE">
        <w:rPr>
          <w:rFonts w:cs="Times New Roman"/>
          <w:szCs w:val="24"/>
          <w:vertAlign w:val="subscript"/>
          <w:lang w:val="en-US"/>
        </w:rPr>
        <w:t>2</w:t>
      </w:r>
      <w:r w:rsidRPr="00E672BE">
        <w:rPr>
          <w:rFonts w:cs="Times New Roman"/>
          <w:szCs w:val="24"/>
        </w:rPr>
        <w:t xml:space="preserve"> in a shaking incubator. They were passaged every 2-3 days to ensure confluency did not exceed 1.5 x 10</w:t>
      </w:r>
      <w:r w:rsidRPr="00E672BE">
        <w:rPr>
          <w:rFonts w:cs="Times New Roman"/>
          <w:szCs w:val="24"/>
          <w:vertAlign w:val="superscript"/>
        </w:rPr>
        <w:t>6</w:t>
      </w:r>
      <w:r w:rsidRPr="00E672BE">
        <w:rPr>
          <w:rFonts w:cs="Times New Roman"/>
          <w:szCs w:val="24"/>
        </w:rPr>
        <w:t xml:space="preserve"> cells/ml. </w:t>
      </w:r>
    </w:p>
    <w:p w:rsidR="00D517E4" w:rsidRPr="00E672BE" w:rsidRDefault="00D517E4" w:rsidP="00080A2D">
      <w:pPr>
        <w:pStyle w:val="Heading3"/>
      </w:pPr>
    </w:p>
    <w:p w:rsidR="00080A2D" w:rsidRPr="00E672BE" w:rsidRDefault="00080A2D" w:rsidP="00080A2D">
      <w:pPr>
        <w:pStyle w:val="Heading3"/>
      </w:pPr>
      <w:r w:rsidRPr="00E672BE">
        <w:t>Mammalian cell viability counter-screen</w:t>
      </w:r>
    </w:p>
    <w:p w:rsidR="00080A2D" w:rsidRPr="00E672BE" w:rsidRDefault="00080A2D" w:rsidP="00080A2D">
      <w:pPr>
        <w:rPr>
          <w:rFonts w:cs="Times New Roman"/>
          <w:szCs w:val="24"/>
          <w:lang w:val="en-US"/>
        </w:rPr>
      </w:pPr>
      <w:r w:rsidRPr="00E672BE">
        <w:rPr>
          <w:rFonts w:cs="Times New Roman"/>
          <w:szCs w:val="24"/>
        </w:rPr>
        <w:t xml:space="preserve">All compounds selected for secondary IC50 screen were tested in parallel for mammalian cell viability using the </w:t>
      </w:r>
      <w:proofErr w:type="spellStart"/>
      <w:r w:rsidRPr="00E672BE">
        <w:rPr>
          <w:rFonts w:cs="Times New Roman"/>
          <w:kern w:val="36"/>
          <w:szCs w:val="24"/>
          <w:lang w:val="en"/>
        </w:rPr>
        <w:t>CellTiter</w:t>
      </w:r>
      <w:proofErr w:type="spellEnd"/>
      <w:r w:rsidRPr="00E672BE">
        <w:rPr>
          <w:rFonts w:cs="Times New Roman"/>
          <w:kern w:val="36"/>
          <w:szCs w:val="24"/>
          <w:lang w:val="en"/>
        </w:rPr>
        <w:t>-Blue® Cell Viability Assay</w:t>
      </w:r>
      <w:r w:rsidRPr="00E672BE">
        <w:rPr>
          <w:rFonts w:cs="Times New Roman"/>
          <w:b/>
          <w:i/>
          <w:szCs w:val="24"/>
        </w:rPr>
        <w:t>.</w:t>
      </w:r>
      <w:r w:rsidRPr="00E672BE">
        <w:rPr>
          <w:rFonts w:cs="Times New Roman"/>
          <w:szCs w:val="24"/>
        </w:rPr>
        <w:t xml:space="preserve"> THP1 cells </w:t>
      </w:r>
      <w:r w:rsidRPr="00E672BE">
        <w:rPr>
          <w:rFonts w:eastAsia="Times New Roman" w:cs="Times New Roman"/>
          <w:szCs w:val="24"/>
          <w:lang w:eastAsia="en-GB"/>
        </w:rPr>
        <w:t>were removed from culture and</w:t>
      </w:r>
      <w:r w:rsidRPr="00E672BE">
        <w:rPr>
          <w:rFonts w:cs="Times New Roman"/>
          <w:szCs w:val="24"/>
        </w:rPr>
        <w:t xml:space="preserve"> plated at </w:t>
      </w:r>
      <w:r w:rsidRPr="00E672BE">
        <w:rPr>
          <w:rFonts w:eastAsia="Times New Roman" w:cs="Times New Roman"/>
          <w:szCs w:val="24"/>
          <w:lang w:eastAsia="en-GB"/>
        </w:rPr>
        <w:t>1×10</w:t>
      </w:r>
      <w:r w:rsidRPr="00E672BE">
        <w:rPr>
          <w:rFonts w:eastAsia="Times New Roman" w:cs="Times New Roman"/>
          <w:szCs w:val="24"/>
          <w:vertAlign w:val="superscript"/>
          <w:lang w:eastAsia="en-GB"/>
        </w:rPr>
        <w:t xml:space="preserve">4 </w:t>
      </w:r>
      <w:r w:rsidRPr="00E672BE">
        <w:rPr>
          <w:rFonts w:cs="Times New Roman"/>
          <w:szCs w:val="24"/>
        </w:rPr>
        <w:t>cells/well</w:t>
      </w:r>
      <w:r w:rsidR="004C3782" w:rsidRPr="00E672BE">
        <w:rPr>
          <w:rFonts w:cs="Times New Roman"/>
          <w:szCs w:val="24"/>
        </w:rPr>
        <w:t xml:space="preserve"> (40µl)</w:t>
      </w:r>
      <w:r w:rsidRPr="00E672BE">
        <w:rPr>
          <w:rFonts w:cs="Times New Roman"/>
          <w:szCs w:val="24"/>
        </w:rPr>
        <w:t xml:space="preserve"> into 384 well assay ready plates and </w:t>
      </w:r>
      <w:proofErr w:type="spellStart"/>
      <w:r w:rsidRPr="00E672BE">
        <w:rPr>
          <w:rFonts w:cs="Times New Roman"/>
          <w:szCs w:val="24"/>
        </w:rPr>
        <w:t>incuba</w:t>
      </w:r>
      <w:proofErr w:type="spellEnd"/>
      <w:r w:rsidRPr="00E672BE">
        <w:rPr>
          <w:rFonts w:cs="Times New Roman"/>
          <w:szCs w:val="24"/>
          <w:lang w:val="en-US"/>
        </w:rPr>
        <w:t xml:space="preserve">ted at 37°C, 5% </w:t>
      </w:r>
      <w:r w:rsidRPr="00E672BE">
        <w:rPr>
          <w:rFonts w:cs="Times New Roman"/>
          <w:szCs w:val="24"/>
        </w:rPr>
        <w:t>CO</w:t>
      </w:r>
      <w:r w:rsidRPr="00E672BE">
        <w:rPr>
          <w:rFonts w:cs="Times New Roman"/>
          <w:szCs w:val="24"/>
          <w:vertAlign w:val="subscript"/>
          <w:lang w:val="en-US"/>
        </w:rPr>
        <w:t xml:space="preserve">2 </w:t>
      </w:r>
      <w:r w:rsidRPr="00E672BE">
        <w:rPr>
          <w:rFonts w:cs="Times New Roman"/>
          <w:szCs w:val="24"/>
          <w:lang w:val="en-US"/>
        </w:rPr>
        <w:t xml:space="preserve">for 48 hours at 95% humidity. After the addition of </w:t>
      </w:r>
      <w:proofErr w:type="spellStart"/>
      <w:r w:rsidRPr="00E672BE">
        <w:rPr>
          <w:rFonts w:cs="Times New Roman"/>
          <w:szCs w:val="24"/>
          <w:lang w:val="en-US"/>
        </w:rPr>
        <w:t>CellTiter</w:t>
      </w:r>
      <w:proofErr w:type="spellEnd"/>
      <w:r w:rsidRPr="00E672BE">
        <w:rPr>
          <w:rFonts w:cs="Times New Roman"/>
          <w:szCs w:val="24"/>
          <w:lang w:val="en-US"/>
        </w:rPr>
        <w:t xml:space="preserve">-Blue Viability reagent (8µl of a 1:6 dilution) the assay plates were incubated for a further 2 hours before </w:t>
      </w:r>
      <w:r w:rsidRPr="00E672BE">
        <w:rPr>
          <w:rFonts w:cs="Times New Roman"/>
          <w:szCs w:val="24"/>
        </w:rPr>
        <w:t xml:space="preserve">fluorescence </w:t>
      </w:r>
      <w:r w:rsidRPr="00E672BE">
        <w:rPr>
          <w:rFonts w:cs="Times New Roman"/>
          <w:szCs w:val="24"/>
          <w:lang w:val="en-US"/>
        </w:rPr>
        <w:t xml:space="preserve">detected using </w:t>
      </w:r>
      <w:r w:rsidRPr="00E672BE">
        <w:rPr>
          <w:rFonts w:cs="Times New Roman"/>
          <w:szCs w:val="24"/>
        </w:rPr>
        <w:t>a PerkinElmer EnVision™ plate reader</w:t>
      </w:r>
      <w:r w:rsidRPr="00E672BE">
        <w:rPr>
          <w:rFonts w:cs="Times New Roman"/>
          <w:szCs w:val="24"/>
          <w:lang w:val="en-US"/>
        </w:rPr>
        <w:t>.</w:t>
      </w:r>
    </w:p>
    <w:p w:rsidR="00751FD1" w:rsidRPr="00E672BE" w:rsidRDefault="00CB5408" w:rsidP="00751FD1">
      <w:pPr>
        <w:pStyle w:val="Heading3"/>
      </w:pPr>
      <w:bookmarkStart w:id="8" w:name="_Toc529528978"/>
      <w:bookmarkStart w:id="9" w:name="_Hlk529794629"/>
      <w:r w:rsidRPr="00E672BE">
        <w:rPr>
          <w:i/>
        </w:rPr>
        <w:lastRenderedPageBreak/>
        <w:t>Wolbachia</w:t>
      </w:r>
      <w:r w:rsidR="00751FD1" w:rsidRPr="00E672BE">
        <w:t xml:space="preserve"> specific primary antibody production</w:t>
      </w:r>
      <w:bookmarkEnd w:id="8"/>
    </w:p>
    <w:p w:rsidR="00751FD1" w:rsidRPr="00E672BE" w:rsidRDefault="00751FD1" w:rsidP="00751FD1">
      <w:r w:rsidRPr="00E672BE">
        <w:t xml:space="preserve">The antibody was made by Covance® by immunising five specific pathogen-free rabbits with </w:t>
      </w:r>
      <w:r w:rsidR="00CB5408" w:rsidRPr="00E672BE">
        <w:rPr>
          <w:i/>
        </w:rPr>
        <w:t>Wolbachia</w:t>
      </w:r>
      <w:r w:rsidRPr="00E672BE">
        <w:t xml:space="preserve"> peptidoglycan associated lipoprotein from </w:t>
      </w:r>
      <w:r w:rsidRPr="00E672BE">
        <w:rPr>
          <w:i/>
        </w:rPr>
        <w:t xml:space="preserve">B. malayi </w:t>
      </w:r>
      <w:r w:rsidRPr="00E672BE">
        <w:t>(</w:t>
      </w:r>
      <w:r w:rsidRPr="00E672BE">
        <w:rPr>
          <w:i/>
        </w:rPr>
        <w:t>w</w:t>
      </w:r>
      <w:r w:rsidRPr="00E672BE">
        <w:t>BmPAL) produced and donated by New England BioLabs</w:t>
      </w:r>
      <w:r w:rsidRPr="00E672BE">
        <w:rPr>
          <w:vertAlign w:val="superscript"/>
        </w:rPr>
        <w:t>34</w:t>
      </w:r>
      <w:r w:rsidRPr="00E672BE">
        <w:t>. The antiser</w:t>
      </w:r>
      <w:r w:rsidR="000C469A" w:rsidRPr="00E672BE">
        <w:t>um</w:t>
      </w:r>
      <w:r w:rsidRPr="00E672BE">
        <w:t xml:space="preserve"> was obtained and the anti-</w:t>
      </w:r>
      <w:r w:rsidRPr="00E672BE">
        <w:rPr>
          <w:i/>
        </w:rPr>
        <w:t>w</w:t>
      </w:r>
      <w:r w:rsidRPr="00E672BE">
        <w:t>BmPAL antibody purified by affinity column chromatography. From this we gained 350ml of antibody.</w:t>
      </w:r>
    </w:p>
    <w:bookmarkEnd w:id="9"/>
    <w:p w:rsidR="00080A2D" w:rsidRPr="00E672BE" w:rsidRDefault="00080A2D" w:rsidP="00080A2D">
      <w:pPr>
        <w:pStyle w:val="Heading3"/>
      </w:pPr>
      <w:r w:rsidRPr="00E672BE">
        <w:t>Primary HTS and secondary IC50 screen assay set up</w:t>
      </w:r>
    </w:p>
    <w:p w:rsidR="00080A2D" w:rsidRPr="00E672BE" w:rsidRDefault="00080A2D" w:rsidP="00080A2D">
      <w:pPr>
        <w:pStyle w:val="NormalWeb"/>
        <w:spacing w:line="480" w:lineRule="auto"/>
      </w:pPr>
      <w:r w:rsidRPr="00E672BE">
        <w:t>On day 0, a single cryovial was recovered and the cells washed before being transferred to a T225cm</w:t>
      </w:r>
      <w:r w:rsidRPr="00E672BE">
        <w:rPr>
          <w:vertAlign w:val="superscript"/>
        </w:rPr>
        <w:t>2</w:t>
      </w:r>
      <w:r w:rsidRPr="00E672BE">
        <w:t xml:space="preserve"> flask. After a </w:t>
      </w:r>
      <w:proofErr w:type="gramStart"/>
      <w:r w:rsidRPr="00E672BE">
        <w:t>7 day</w:t>
      </w:r>
      <w:proofErr w:type="gramEnd"/>
      <w:r w:rsidRPr="00E672BE">
        <w:t xml:space="preserve"> recovery </w:t>
      </w:r>
      <w:r w:rsidR="00CB5408" w:rsidRPr="00E672BE">
        <w:rPr>
          <w:i/>
        </w:rPr>
        <w:t>Wolbachia</w:t>
      </w:r>
      <w:r w:rsidRPr="00E672BE">
        <w:t xml:space="preserve"> infection level (quality control) was checked by SYTO®11 </w:t>
      </w:r>
      <w:r w:rsidR="00656604" w:rsidRPr="00E672BE">
        <w:t xml:space="preserve">DNA </w:t>
      </w:r>
      <w:r w:rsidRPr="00E672BE">
        <w:t xml:space="preserve">staining </w:t>
      </w:r>
      <w:r w:rsidR="00656604" w:rsidRPr="00E672BE">
        <w:t xml:space="preserve">of both the host cell nuclei and intracellular </w:t>
      </w:r>
      <w:r w:rsidR="00656604" w:rsidRPr="00E672BE">
        <w:rPr>
          <w:i/>
        </w:rPr>
        <w:t>Wolbachia</w:t>
      </w:r>
      <w:r w:rsidR="00656604" w:rsidRPr="00E672BE">
        <w:t>. The end-point read out from</w:t>
      </w:r>
      <w:r w:rsidRPr="00E672BE">
        <w:t xml:space="preserve"> the Operetta® </w:t>
      </w:r>
      <w:r w:rsidR="00656604" w:rsidRPr="00E672BE">
        <w:t xml:space="preserve">high content imaging system </w:t>
      </w:r>
      <w:r w:rsidRPr="00E672BE">
        <w:t>(Perkin Elmer)</w:t>
      </w:r>
      <w:r w:rsidR="00656604" w:rsidRPr="00E672BE">
        <w:t xml:space="preserve"> </w:t>
      </w:r>
      <w:r w:rsidR="00B21807" w:rsidRPr="00E672BE">
        <w:t xml:space="preserve">was the percentage of cells infected with </w:t>
      </w:r>
      <w:r w:rsidR="00B21807" w:rsidRPr="00E672BE">
        <w:rPr>
          <w:i/>
        </w:rPr>
        <w:t>Wolbachia</w:t>
      </w:r>
      <w:r w:rsidR="00B21807" w:rsidRPr="00E672BE">
        <w:t>. This was obtained from cytoplasm texture analysis by</w:t>
      </w:r>
      <w:r w:rsidR="00656604" w:rsidRPr="00E672BE">
        <w:t xml:space="preserve"> the associated Harmony® software</w:t>
      </w:r>
      <w:r w:rsidRPr="00E672BE">
        <w:fldChar w:fldCharType="begin" w:fldLock="1"/>
      </w:r>
      <w:r w:rsidRPr="00E672BE">
        <w:instrText>ADDIN CSL_CITATION {"citationItems":[{"id":"ITEM-1","itemData":{"DOI":"10.1177/1087057114551518","ISSN":"1087-0571","author":[{"dropping-particle":"","family":"Clare","given":"R. H.","non-dropping-particle":"","parse-names":false,"suffix":""},{"dropping-particle":"","family":"Cook","given":"D. a. N.","non-dropping-particle":"","parse-names":false,"suffix":""},{"dropping-particle":"","family":"Johnston","given":"K. L.","non-dropping-particle":"","parse-names":false,"suffix":""},{"dropping-particle":"","family":"Ford","given":"L.","non-dropping-particle":"","parse-names":false,"suffix":""},{"dropping-particle":"","family":"Ward","given":"S. a.","non-dropping-particle":"","parse-names":false,"suffix":""},{"dropping-particle":"","family":"Taylor","given":"M. J.","non-dropping-particle":"","parse-names":false,"suffix":""}],"container-title":"Journal of Biomolecular Screening","id":"ITEM-1","issue":"1","issued":{"date-parts":[["2014"]]},"page":"64-69","title":"Development and Validation of a High-Throughput Anti-Wolbachia Whole-Cell Screen: A Route to Macrofilaricidal Drugs against Onchocerciasis and Lymphatic Filariasis","type":"article-journal","volume":"20"},"uris":["http://www.mendeley.com/documents/?uuid=230a217b-b00a-485b-ac01-fc40cc8c7e2a"]}],"mendeley":{"formattedCitation":"&lt;sup&gt;18&lt;/sup&gt;","plainTextFormattedCitation":"18","previouslyFormattedCitation":"&lt;sup&gt;18&lt;/sup&gt;"},"properties":{"noteIndex":0},"schema":"https://github.com/citation-style-language/schema/raw/master/csl-citation.json"}</w:instrText>
      </w:r>
      <w:r w:rsidRPr="00E672BE">
        <w:fldChar w:fldCharType="separate"/>
      </w:r>
      <w:r w:rsidRPr="00E672BE">
        <w:rPr>
          <w:noProof/>
          <w:vertAlign w:val="superscript"/>
        </w:rPr>
        <w:t>18</w:t>
      </w:r>
      <w:r w:rsidRPr="00E672BE">
        <w:fldChar w:fldCharType="end"/>
      </w:r>
      <w:r w:rsidRPr="00E672BE">
        <w:t xml:space="preserve">. Cells with a greater than 50% of the population infected with </w:t>
      </w:r>
      <w:r w:rsidR="00CB5408" w:rsidRPr="00E672BE">
        <w:rPr>
          <w:i/>
        </w:rPr>
        <w:t>Wolbachia</w:t>
      </w:r>
      <w:r w:rsidRPr="00E672BE">
        <w:t xml:space="preserve"> were classed as having a good </w:t>
      </w:r>
      <w:r w:rsidR="00CB5408" w:rsidRPr="00E672BE">
        <w:rPr>
          <w:i/>
        </w:rPr>
        <w:t>Wolbachia</w:t>
      </w:r>
      <w:r w:rsidRPr="00E672BE">
        <w:t xml:space="preserve"> level and therefore used for screening through addition of 2,000 cell</w:t>
      </w:r>
      <w:r w:rsidR="00FE3EFA" w:rsidRPr="00E672BE">
        <w:t>s</w:t>
      </w:r>
      <w:r w:rsidRPr="00E672BE">
        <w:t xml:space="preserve"> per well into assay ready 384 well plates containing the test compounds. This resulted in a final screening concentration of 10 µM. Each plate included on-board controls; vehicle/DMSO</w:t>
      </w:r>
      <w:r w:rsidRPr="00E672BE">
        <w:rPr>
          <w:bCs/>
        </w:rPr>
        <w:t xml:space="preserve"> (Total/Maximum </w:t>
      </w:r>
      <w:r w:rsidR="00CB5408" w:rsidRPr="00E672BE">
        <w:rPr>
          <w:bCs/>
          <w:i/>
        </w:rPr>
        <w:t>Wolbachia</w:t>
      </w:r>
      <w:r w:rsidRPr="00E672BE">
        <w:rPr>
          <w:bCs/>
        </w:rPr>
        <w:t xml:space="preserve"> signal) or </w:t>
      </w:r>
      <w:r w:rsidRPr="00E672BE">
        <w:t>doxycycline 5 µM (</w:t>
      </w:r>
      <w:r w:rsidRPr="00E672BE">
        <w:rPr>
          <w:bCs/>
        </w:rPr>
        <w:t xml:space="preserve">Null/Minimum </w:t>
      </w:r>
      <w:r w:rsidR="00CB5408" w:rsidRPr="00E672BE">
        <w:rPr>
          <w:bCs/>
          <w:i/>
        </w:rPr>
        <w:t>Wolbachia</w:t>
      </w:r>
      <w:r w:rsidRPr="00E672BE">
        <w:rPr>
          <w:bCs/>
        </w:rPr>
        <w:t xml:space="preserve"> signal)</w:t>
      </w:r>
      <w:r w:rsidRPr="00E672BE">
        <w:t xml:space="preserve">, resulting in single shot screening of 352 compounds per plate for the primary screen. </w:t>
      </w:r>
      <w:r w:rsidRPr="00E672BE">
        <w:rPr>
          <w:bCs/>
        </w:rPr>
        <w:t xml:space="preserve">The secondary IC50 screening plates were prepared in a similar way containing 36 compounds in a </w:t>
      </w:r>
      <w:r w:rsidR="00FE3EFA" w:rsidRPr="00E672BE">
        <w:rPr>
          <w:bCs/>
        </w:rPr>
        <w:t>10-point</w:t>
      </w:r>
      <w:r w:rsidRPr="00E672BE">
        <w:rPr>
          <w:bCs/>
        </w:rPr>
        <w:t xml:space="preserve"> </w:t>
      </w:r>
      <w:r w:rsidRPr="00E672BE">
        <w:t>concentration</w:t>
      </w:r>
      <w:r w:rsidRPr="00E672BE">
        <w:rPr>
          <w:rStyle w:val="CommentReference"/>
          <w:rFonts w:eastAsiaTheme="minorEastAsia" w:cstheme="minorBidi"/>
          <w:lang w:eastAsia="en-US"/>
        </w:rPr>
        <w:t xml:space="preserve"> </w:t>
      </w:r>
      <w:r w:rsidRPr="00E672BE">
        <w:rPr>
          <w:bCs/>
        </w:rPr>
        <w:t xml:space="preserve">range from 30 µM to 1.5 nM (1 in 3 serial dilution) in a serpentine pattern. Quality control (QC) plates were also created including full </w:t>
      </w:r>
      <w:r w:rsidRPr="00E672BE">
        <w:t>columns of the following controls;</w:t>
      </w:r>
      <w:r w:rsidRPr="00E672BE">
        <w:rPr>
          <w:bCs/>
        </w:rPr>
        <w:t xml:space="preserve"> DMSO (Total/Max), </w:t>
      </w:r>
      <w:r w:rsidRPr="00E672BE">
        <w:t xml:space="preserve">5 </w:t>
      </w:r>
      <w:proofErr w:type="spellStart"/>
      <w:r w:rsidRPr="00E672BE">
        <w:t>μM</w:t>
      </w:r>
      <w:proofErr w:type="spellEnd"/>
      <w:r w:rsidRPr="00E672BE">
        <w:t xml:space="preserve"> doxycycline (Null/Min) as well as 50 nM doxycycline (Reference/Medium </w:t>
      </w:r>
      <w:r w:rsidR="00CB5408" w:rsidRPr="00E672BE">
        <w:rPr>
          <w:i/>
        </w:rPr>
        <w:t>Wolbachia</w:t>
      </w:r>
      <w:r w:rsidRPr="00E672BE">
        <w:t xml:space="preserve"> signal)</w:t>
      </w:r>
      <w:r w:rsidRPr="00E672BE">
        <w:rPr>
          <w:bCs/>
        </w:rPr>
        <w:t xml:space="preserve">. </w:t>
      </w:r>
      <w:r w:rsidRPr="00E672BE">
        <w:t xml:space="preserve">Daily batches contained ~150 compound plates in </w:t>
      </w:r>
      <w:r w:rsidRPr="00E672BE">
        <w:lastRenderedPageBreak/>
        <w:t>addition to the QC plates. Each compound plate was foil sealed before incubation for 7 days at 26</w:t>
      </w:r>
      <w:r w:rsidRPr="00E672BE">
        <w:rPr>
          <w:vertAlign w:val="superscript"/>
        </w:rPr>
        <w:t>o</w:t>
      </w:r>
      <w:r w:rsidRPr="00E672BE">
        <w:t xml:space="preserve"> C, 95% humidity and atmospheric air.</w:t>
      </w:r>
      <w:r w:rsidRPr="00E672BE">
        <w:rPr>
          <w:color w:val="0070C0"/>
        </w:rPr>
        <w:t xml:space="preserve"> </w:t>
      </w:r>
    </w:p>
    <w:p w:rsidR="00080A2D" w:rsidRPr="00E672BE" w:rsidRDefault="00080A2D" w:rsidP="00080A2D">
      <w:pPr>
        <w:pStyle w:val="Heading3"/>
      </w:pPr>
      <w:r w:rsidRPr="00E672BE">
        <w:t>Anti-</w:t>
      </w:r>
      <w:r w:rsidR="00CB5408" w:rsidRPr="00E672BE">
        <w:rPr>
          <w:i/>
        </w:rPr>
        <w:t>Wolbachia</w:t>
      </w:r>
      <w:r w:rsidRPr="00E672BE">
        <w:t xml:space="preserve"> and cytotoxicity HTS results characterization</w:t>
      </w:r>
    </w:p>
    <w:p w:rsidR="00080A2D" w:rsidRPr="00E672BE" w:rsidRDefault="00080A2D" w:rsidP="00080A2D">
      <w:pPr>
        <w:pStyle w:val="NormalWeb"/>
        <w:spacing w:line="480" w:lineRule="auto"/>
      </w:pPr>
      <w:r w:rsidRPr="00E672BE">
        <w:t>After 7 days of drug incubation, the plates were loaded into the fully automated BioCel system which performed</w:t>
      </w:r>
      <w:r w:rsidR="002B2A02" w:rsidRPr="00E672BE">
        <w:t xml:space="preserve"> the following additions</w:t>
      </w:r>
      <w:r w:rsidRPr="00E672BE">
        <w:t xml:space="preserve">; fixation and DNA staining (1.8% formaldehyde + 0.6 µg/ml Hoechst 33342, 20 min), </w:t>
      </w:r>
      <w:proofErr w:type="spellStart"/>
      <w:r w:rsidRPr="00E672BE">
        <w:t>permeabilisation</w:t>
      </w:r>
      <w:proofErr w:type="spellEnd"/>
      <w:r w:rsidRPr="00E672BE">
        <w:t xml:space="preserve"> (80 </w:t>
      </w:r>
      <w:proofErr w:type="spellStart"/>
      <w:r w:rsidRPr="00E672BE">
        <w:t>μl</w:t>
      </w:r>
      <w:proofErr w:type="spellEnd"/>
      <w:r w:rsidRPr="00E672BE">
        <w:t xml:space="preserve"> of PBS + 0.25% Triton-X 100, 30 min), blocking (PBS + 6% BSA, 40 min), overnight incubation in the </w:t>
      </w:r>
      <w:r w:rsidR="00CB5408" w:rsidRPr="00E672BE">
        <w:rPr>
          <w:i/>
        </w:rPr>
        <w:t>Wolbachia</w:t>
      </w:r>
      <w:r w:rsidRPr="00E672BE">
        <w:t xml:space="preserve"> specific anti-</w:t>
      </w:r>
      <w:r w:rsidRPr="00E672BE">
        <w:rPr>
          <w:i/>
        </w:rPr>
        <w:t>w</w:t>
      </w:r>
      <w:r w:rsidRPr="00E672BE">
        <w:t>BmPAL primary antibody</w:t>
      </w:r>
      <w:r w:rsidRPr="00E672BE">
        <w:fldChar w:fldCharType="begin" w:fldLock="1"/>
      </w:r>
      <w:r w:rsidRPr="00E672BE">
        <w:instrText>ADDIN CSL_CITATION {"citationItems":[{"id":"ITEM-1","itemData":{"DOI":"10.1074/jbc.M901528200","ISBN":"0021-9258 (Print)\\r0021-9258 (Linking)","ISSN":"00219258","PMID":"19458089","abstract":"Wolbachia endosymbiotic bacteria have been implicated in the inflammatory pathogenesis of filariasis. Inflammation induced by Brugia malayi female worm extract (BMFE) is dependent on Toll-like receptors 2 and 6 (TLR2/6) with only a partial requirement for TLR1. Removal of Wolbachia, lipids, or proteins eliminates all inflammatory activity. Wolbachia bacteria contain the lipoprotein biosynthesis genes Ltg and LspA but not Lnt, suggesting Wolbachia proteins cannot be triacylated, accounting for recognition by TLR2/6. Lipoprotein databases revealed 3-11 potential lipoproteins from Wolbachia. Peptidoglycan-associated lipoprotein (PAL) and Type IV secretion system-VirB6 were consistently predicted, and B. malayi Wolbachia PAL (wBmPAL) was selected for functional characterization. Diacylated 20-mer peptides of wBmPAL (Diacyl Wolbachia lipopeptide (Diacyl WoLP)) showed a near identical TLR2/6 and TLR2/1 usage compared with BMFE and bound directly to TLR2. Diacyl WoLP induced systemic tumor necrosis factor-alpha and neutrophil-mediated keratitis in mice. Diacyl WoLP activated monocytes induce up-regulation of gp38 on human lymphatic endothelial cells and induced dendritic cell maturation and activation. Dendritic cells primed with BMFE generated a non-polarized Th1/Th2 CD4+ T cell profile, whereas priming with Wolbachia depleted extracts (following tetracycline treatment; BMFEtet) polarized to a Th2 profile that could be reversed by reconstitution with Diacyl WoLP. BMFE generated IgG1 and IgG2c antibody responses, whereas BMFEtet or inoculation of TLR2 or MyD88-/- mice produced defective IgG2c responses. Thus, in addition to innate inflammatory activation, Wolbachia lipoproteins drive interferon-gamma-dependent CD4+ T cell polarization and antibody switching.","author":[{"dropping-particle":"","family":"Turner","given":"Joseph D.","non-dropping-particle":"","parse-names":false,"suffix":""},{"dropping-particle":"","family":"Langley","given":"R. Stuart","non-dropping-particle":"","parse-names":false,"suffix":""},{"dropping-particle":"","family":"Johnston","given":"Kelly L.","non-dropping-particle":"","parse-names":false,"suffix":""},{"dropping-particle":"","family":"Gentil","given":"Katrin","non-dropping-particle":"","parse-names":false,"suffix":""},{"dropping-particle":"","family":"Ford","given":"Louise","non-dropping-particle":"","parse-names":false,"suffix":""},{"dropping-particle":"","family":"Wu","given":"Bo","non-dropping-particle":"","parse-names":false,"suffix":""},{"dropping-particle":"","family":"Graham","given":"Maia","non-dropping-particle":"","parse-names":false,"suffix":""},{"dropping-particle":"","family":"Sharpley","given":"Faye","non-dropping-particle":"","parse-names":false,"suffix":""},{"dropping-particle":"","family":"Slatko","given":"Barton","non-dropping-particle":"","parse-names":false,"suffix":""},{"dropping-particle":"","family":"Pearlman","given":"Eric","non-dropping-particle":"","parse-names":false,"suffix":""},{"dropping-particle":"","family":"Taylor","given":"Mark J.","non-dropping-particle":"","parse-names":false,"suffix":""}],"container-title":"Journal of Biological Chemistry","id":"ITEM-1","issue":"33","issued":{"date-parts":[["2009"]]},"page":"22364-22378","title":"Wolbachia lipoprotein stimulates innate and adaptive immunity through toll-like receptors 2 and 6 to induce disease manifestations of filariasis","type":"article-journal","volume":"284"},"uris":["http://www.mendeley.com/documents/?uuid=82d41dbf-f096-4973-ab08-1a9be91c8148"]}],"mendeley":{"formattedCitation":"&lt;sup&gt;34&lt;/sup&gt;","plainTextFormattedCitation":"34","previouslyFormattedCitation":"&lt;sup&gt;34&lt;/sup&gt;"},"properties":{"noteIndex":0},"schema":"https://github.com/citation-style-language/schema/raw/master/csl-citation.json"}</w:instrText>
      </w:r>
      <w:r w:rsidRPr="00E672BE">
        <w:fldChar w:fldCharType="separate"/>
      </w:r>
      <w:r w:rsidRPr="00E672BE">
        <w:rPr>
          <w:noProof/>
          <w:vertAlign w:val="superscript"/>
        </w:rPr>
        <w:t>34</w:t>
      </w:r>
      <w:r w:rsidRPr="00E672BE">
        <w:fldChar w:fldCharType="end"/>
      </w:r>
      <w:r w:rsidRPr="00E672BE">
        <w:t xml:space="preserve"> (30 µl of 1 in 2000) followed by washing (PBS + 0.05% polysorbate) and a 1 hour incubation in the secondary antibody (30 µl of 1 in 400), </w:t>
      </w:r>
      <w:r w:rsidRPr="00E672BE">
        <w:rPr>
          <w:bCs/>
          <w:kern w:val="36"/>
        </w:rPr>
        <w:t xml:space="preserve">Alexa Fluor® 680 Goat Anti-Rabbit IgG </w:t>
      </w:r>
      <w:bookmarkStart w:id="10" w:name="_Hlk529794085"/>
      <w:r w:rsidRPr="00E672BE">
        <w:t>(A-21076</w:t>
      </w:r>
      <w:r w:rsidR="00282BF4" w:rsidRPr="00E672BE">
        <w:t xml:space="preserve"> Life Technologies™</w:t>
      </w:r>
      <w:r w:rsidRPr="00E672BE">
        <w:t>, far red fluorescence</w:t>
      </w:r>
      <w:bookmarkEnd w:id="10"/>
      <w:r w:rsidRPr="00E672BE">
        <w:t xml:space="preserve">), before final washing (PBS + 0.05% polysorbate) and left in 40 </w:t>
      </w:r>
      <w:proofErr w:type="spellStart"/>
      <w:r w:rsidRPr="00E672BE">
        <w:t>μl</w:t>
      </w:r>
      <w:proofErr w:type="spellEnd"/>
      <w:r w:rsidRPr="00E672BE">
        <w:t xml:space="preserve"> of PBS with the plates foil sealed. </w:t>
      </w:r>
      <w:bookmarkStart w:id="11" w:name="_Hlk529793785"/>
      <w:r w:rsidR="00282BF4" w:rsidRPr="00E672BE">
        <w:t>Between each stage the wells were emptied of liquid.</w:t>
      </w:r>
      <w:bookmarkEnd w:id="11"/>
      <w:r w:rsidR="00282BF4" w:rsidRPr="00E672BE">
        <w:t xml:space="preserve"> </w:t>
      </w:r>
    </w:p>
    <w:p w:rsidR="00080A2D" w:rsidRPr="00E672BE" w:rsidRDefault="00080A2D" w:rsidP="00080A2D">
      <w:pPr>
        <w:pStyle w:val="NormalWeb"/>
        <w:spacing w:line="480" w:lineRule="auto"/>
        <w:ind w:firstLine="720"/>
      </w:pPr>
      <w:r w:rsidRPr="00E672BE">
        <w:t>The fixed antibody stained plates were read on both a TTP acumen® (</w:t>
      </w:r>
      <w:r w:rsidR="00CB5408" w:rsidRPr="00E672BE">
        <w:rPr>
          <w:i/>
        </w:rPr>
        <w:t>Wolbachia</w:t>
      </w:r>
      <w:r w:rsidRPr="00E672BE">
        <w:t xml:space="preserve"> analysis) and a PerkinElmer EnVision™ (Hoechst host cell toxicity analysis) encompassed in two </w:t>
      </w:r>
      <w:proofErr w:type="spellStart"/>
      <w:r w:rsidRPr="00E672BE">
        <w:t>HighRes</w:t>
      </w:r>
      <w:proofErr w:type="spellEnd"/>
      <w:r w:rsidRPr="00E672BE">
        <w:t xml:space="preserve"> </w:t>
      </w:r>
      <w:proofErr w:type="spellStart"/>
      <w:r w:rsidRPr="00E672BE">
        <w:t>Biosolutions</w:t>
      </w:r>
      <w:proofErr w:type="spellEnd"/>
      <w:r w:rsidRPr="00E672BE">
        <w:t xml:space="preserve"> automated systems. The final reads out were; total </w:t>
      </w:r>
      <w:r w:rsidR="00CB5408" w:rsidRPr="00E672BE">
        <w:rPr>
          <w:i/>
        </w:rPr>
        <w:t>Wolbachia</w:t>
      </w:r>
      <w:r w:rsidRPr="00E672BE">
        <w:t xml:space="preserve"> area per well (gated for excessive area and fluorescence intensity, assumed to be artefacts) (TTP acumen®) and a single Hoechst fluorescent read out per well indicating the host cell density (PerkinElmer EnVision™).  Per plate, the acumen® read was processed in approximately 20 min, whilst the EnVision™ read was obtained in 2 min. Using two </w:t>
      </w:r>
      <w:proofErr w:type="spellStart"/>
      <w:proofErr w:type="gramStart"/>
      <w:r w:rsidRPr="00E672BE">
        <w:t>acumen</w:t>
      </w:r>
      <w:proofErr w:type="gramEnd"/>
      <w:r w:rsidRPr="00E672BE">
        <w:t>®s</w:t>
      </w:r>
      <w:proofErr w:type="spellEnd"/>
      <w:r w:rsidRPr="00E672BE">
        <w:t xml:space="preserve"> and the EnVision™, allowed for the 150 plate batch to be read in 28 hours. </w:t>
      </w:r>
    </w:p>
    <w:p w:rsidR="00080A2D" w:rsidRPr="00E672BE" w:rsidRDefault="00080A2D" w:rsidP="00080A2D">
      <w:pPr>
        <w:pStyle w:val="Heading3"/>
      </w:pPr>
      <w:r w:rsidRPr="00E672BE">
        <w:t>HTS data analysis</w:t>
      </w:r>
    </w:p>
    <w:p w:rsidR="00080A2D" w:rsidRPr="00E672BE" w:rsidRDefault="00080A2D" w:rsidP="00080A2D">
      <w:pPr>
        <w:spacing w:after="0"/>
        <w:rPr>
          <w:rFonts w:cs="Times New Roman"/>
          <w:szCs w:val="24"/>
        </w:rPr>
      </w:pPr>
      <w:proofErr w:type="spellStart"/>
      <w:r w:rsidRPr="00E672BE">
        <w:rPr>
          <w:rFonts w:cs="Times New Roman"/>
          <w:szCs w:val="24"/>
        </w:rPr>
        <w:t>Genedata</w:t>
      </w:r>
      <w:proofErr w:type="spellEnd"/>
      <w:r w:rsidRPr="00E672BE">
        <w:rPr>
          <w:rFonts w:cs="Times New Roman"/>
          <w:szCs w:val="24"/>
        </w:rPr>
        <w:t xml:space="preserve"> Screener software was used for all analysis, in which data for toxicity (Hoechst read on the EnVision™) and </w:t>
      </w:r>
      <w:r w:rsidR="00CB5408" w:rsidRPr="00E672BE">
        <w:rPr>
          <w:rFonts w:cs="Times New Roman"/>
          <w:i/>
          <w:szCs w:val="24"/>
        </w:rPr>
        <w:t>Wolbachia</w:t>
      </w:r>
      <w:r w:rsidRPr="00E672BE">
        <w:rPr>
          <w:rFonts w:cs="Times New Roman"/>
          <w:szCs w:val="24"/>
        </w:rPr>
        <w:t xml:space="preserve"> inhibition (antibody fluorescence read on the </w:t>
      </w:r>
      <w:r w:rsidRPr="00E672BE">
        <w:rPr>
          <w:rFonts w:cs="Times New Roman"/>
          <w:szCs w:val="24"/>
        </w:rPr>
        <w:lastRenderedPageBreak/>
        <w:t>acumen®) were normalised on an individual plate basis. For the primary screen, the toxicity reads were normalised to the median read from all compounds on each plate as it is assumed the toxicity level should be limited and toxic compounds are randomly distributed over the plates in a given screening batch. The anti-</w:t>
      </w:r>
      <w:r w:rsidR="00CB5408" w:rsidRPr="00E672BE">
        <w:rPr>
          <w:rFonts w:cs="Times New Roman"/>
          <w:i/>
          <w:szCs w:val="24"/>
        </w:rPr>
        <w:t>Wolbachia</w:t>
      </w:r>
      <w:r w:rsidRPr="00E672BE">
        <w:rPr>
          <w:rFonts w:cs="Times New Roman"/>
          <w:szCs w:val="24"/>
        </w:rPr>
        <w:t xml:space="preserve"> reads were normalised to the </w:t>
      </w:r>
      <w:r w:rsidR="00722489" w:rsidRPr="00E672BE">
        <w:rPr>
          <w:rFonts w:cs="Times New Roman"/>
          <w:szCs w:val="24"/>
        </w:rPr>
        <w:t xml:space="preserve">maximum signal </w:t>
      </w:r>
      <w:r w:rsidRPr="00E672BE">
        <w:rPr>
          <w:rFonts w:cs="Times New Roman"/>
          <w:szCs w:val="24"/>
        </w:rPr>
        <w:t>(</w:t>
      </w:r>
      <w:r w:rsidR="00722489" w:rsidRPr="00E672BE">
        <w:rPr>
          <w:rFonts w:cs="Times New Roman"/>
          <w:szCs w:val="24"/>
        </w:rPr>
        <w:t xml:space="preserve">‘Max signal’, </w:t>
      </w:r>
      <w:r w:rsidRPr="00E672BE">
        <w:rPr>
          <w:rFonts w:cs="Times New Roman"/>
          <w:szCs w:val="24"/>
        </w:rPr>
        <w:t xml:space="preserve">DMSO controls) and </w:t>
      </w:r>
      <w:r w:rsidR="00722489" w:rsidRPr="00E672BE">
        <w:rPr>
          <w:rFonts w:cs="Times New Roman"/>
          <w:szCs w:val="24"/>
        </w:rPr>
        <w:t>the minimum signal (</w:t>
      </w:r>
      <w:r w:rsidRPr="00E672BE">
        <w:rPr>
          <w:rFonts w:cs="Times New Roman"/>
          <w:szCs w:val="24"/>
        </w:rPr>
        <w:t>‘Min signal’</w:t>
      </w:r>
      <w:r w:rsidR="00722489" w:rsidRPr="00E672BE">
        <w:rPr>
          <w:rFonts w:cs="Times New Roman"/>
          <w:szCs w:val="24"/>
        </w:rPr>
        <w:t>,</w:t>
      </w:r>
      <w:r w:rsidRPr="00E672BE">
        <w:rPr>
          <w:rFonts w:cs="Times New Roman"/>
          <w:szCs w:val="24"/>
        </w:rPr>
        <w:t xml:space="preserve"> doxycycline 5 </w:t>
      </w:r>
      <w:proofErr w:type="spellStart"/>
      <w:r w:rsidRPr="00E672BE">
        <w:rPr>
          <w:rFonts w:cs="Times New Roman"/>
          <w:szCs w:val="24"/>
        </w:rPr>
        <w:t>μM</w:t>
      </w:r>
      <w:proofErr w:type="spellEnd"/>
      <w:r w:rsidRPr="00E672BE">
        <w:rPr>
          <w:rFonts w:cs="Times New Roman"/>
          <w:szCs w:val="24"/>
        </w:rPr>
        <w:t xml:space="preserve">) these respectively representing 0% and 100% inhibition of </w:t>
      </w:r>
      <w:r w:rsidR="00CB5408" w:rsidRPr="00E672BE">
        <w:rPr>
          <w:rFonts w:cs="Times New Roman"/>
          <w:i/>
          <w:szCs w:val="24"/>
        </w:rPr>
        <w:t>Wolbachia</w:t>
      </w:r>
      <w:r w:rsidRPr="00E672BE">
        <w:rPr>
          <w:rFonts w:cs="Times New Roman"/>
          <w:szCs w:val="24"/>
        </w:rPr>
        <w:t xml:space="preserve">. </w:t>
      </w:r>
    </w:p>
    <w:p w:rsidR="00080A2D" w:rsidRPr="00E672BE" w:rsidRDefault="00080A2D" w:rsidP="00080A2D">
      <w:pPr>
        <w:spacing w:after="0"/>
        <w:ind w:firstLine="720"/>
        <w:rPr>
          <w:rFonts w:cs="Times New Roman"/>
          <w:szCs w:val="24"/>
        </w:rPr>
      </w:pPr>
      <w:r w:rsidRPr="00E672BE">
        <w:rPr>
          <w:rFonts w:cs="Times New Roman"/>
          <w:szCs w:val="24"/>
        </w:rPr>
        <w:t>The data was processed to identify ‘hits’ (</w:t>
      </w:r>
      <w:r w:rsidR="00CB5408" w:rsidRPr="00E672BE">
        <w:rPr>
          <w:rFonts w:cs="Times New Roman"/>
          <w:i/>
          <w:szCs w:val="24"/>
        </w:rPr>
        <w:t>Wolbachia</w:t>
      </w:r>
      <w:r w:rsidRPr="00E672BE">
        <w:rPr>
          <w:rFonts w:cs="Times New Roman"/>
          <w:szCs w:val="24"/>
        </w:rPr>
        <w:t xml:space="preserve"> inhibitors) that present little or no toxicity to the host cell line with the normalised </w:t>
      </w:r>
      <w:r w:rsidR="00CB5408" w:rsidRPr="00E672BE">
        <w:rPr>
          <w:rFonts w:cs="Times New Roman"/>
          <w:i/>
          <w:szCs w:val="24"/>
        </w:rPr>
        <w:t>Wolbachia</w:t>
      </w:r>
      <w:r w:rsidRPr="00E672BE">
        <w:rPr>
          <w:rFonts w:cs="Times New Roman"/>
          <w:szCs w:val="24"/>
        </w:rPr>
        <w:t xml:space="preserve"> data filtered at &gt; 80% inhibition. These active compounds were further annotated to identify those with &gt; 60% inhibition (i.e. toxicity) to the cell line. All plates were monitored for Z prime, robust Z score and signal to background. </w:t>
      </w:r>
    </w:p>
    <w:p w:rsidR="00080A2D" w:rsidRPr="00E672BE" w:rsidRDefault="00080A2D" w:rsidP="00080A2D">
      <w:pPr>
        <w:pStyle w:val="Heading3"/>
      </w:pPr>
      <w:r w:rsidRPr="00E672BE">
        <w:t>Primary HTS triaging</w:t>
      </w:r>
    </w:p>
    <w:p w:rsidR="00080A2D" w:rsidRPr="00E672BE" w:rsidRDefault="00080A2D" w:rsidP="00080A2D">
      <w:pPr>
        <w:autoSpaceDE w:val="0"/>
        <w:autoSpaceDN w:val="0"/>
        <w:adjustRightInd w:val="0"/>
        <w:spacing w:after="0"/>
        <w:rPr>
          <w:rFonts w:cs="Times New Roman"/>
          <w:szCs w:val="24"/>
        </w:rPr>
      </w:pPr>
      <w:r w:rsidRPr="00E672BE">
        <w:rPr>
          <w:rFonts w:eastAsia="Times New Roman" w:cs="Times New Roman"/>
          <w:bCs/>
          <w:szCs w:val="24"/>
        </w:rPr>
        <w:t xml:space="preserve">Chemists from both A∙WOL and AstraZeneca triaged the hit compounds from the primary screen, based on prior experience. Excluded compounds included known </w:t>
      </w:r>
      <w:r w:rsidRPr="00E672BE">
        <w:rPr>
          <w:rFonts w:cs="Times New Roman"/>
          <w:szCs w:val="24"/>
        </w:rPr>
        <w:t>antibacterials, those previously worked on by A</w:t>
      </w:r>
      <w:r w:rsidRPr="00E672BE">
        <w:rPr>
          <w:rFonts w:eastAsia="Times New Roman" w:cs="Times New Roman"/>
          <w:bCs/>
          <w:szCs w:val="24"/>
        </w:rPr>
        <w:t>∙</w:t>
      </w:r>
      <w:r w:rsidRPr="00E672BE">
        <w:rPr>
          <w:rFonts w:cs="Times New Roman"/>
          <w:szCs w:val="24"/>
        </w:rPr>
        <w:t>WOL and to those with unwanted characteristics (e.g. PAINS, frequent hitters, known toxics, explosive risk and genotoxic or reactive metabolite substructures). The remaining compounds were prioritised based on a balance of molecular weight, predicted logD, solubility, intrinsic clearance (models for human microsomes and rat hepatocytes) and chemotype diversity. The selection was made by simultaneously (</w:t>
      </w:r>
      <w:proofErr w:type="spellStart"/>
      <w:r w:rsidRPr="00E672BE">
        <w:rPr>
          <w:rFonts w:cs="Times New Roman"/>
          <w:szCs w:val="24"/>
        </w:rPr>
        <w:t>i</w:t>
      </w:r>
      <w:proofErr w:type="spellEnd"/>
      <w:r w:rsidRPr="00E672BE">
        <w:rPr>
          <w:rFonts w:cs="Times New Roman"/>
          <w:szCs w:val="24"/>
        </w:rPr>
        <w:t xml:space="preserve">) minimising the deviation from ideal ranges for each of the five physicochemical and DMPK properties considered and (ii) maximising the coverage of available chemotypes, using a Pareto </w:t>
      </w:r>
      <w:proofErr w:type="spellStart"/>
      <w:r w:rsidRPr="00E672BE">
        <w:rPr>
          <w:rFonts w:cs="Times New Roman"/>
          <w:szCs w:val="24"/>
        </w:rPr>
        <w:t>multiobjective</w:t>
      </w:r>
      <w:proofErr w:type="spellEnd"/>
      <w:r w:rsidRPr="00E672BE">
        <w:rPr>
          <w:rFonts w:cs="Times New Roman"/>
          <w:szCs w:val="24"/>
        </w:rPr>
        <w:t xml:space="preserve"> optimisation algorithm implemented in the </w:t>
      </w:r>
      <w:proofErr w:type="spellStart"/>
      <w:r w:rsidRPr="00E672BE">
        <w:rPr>
          <w:rFonts w:cs="Times New Roman"/>
          <w:szCs w:val="24"/>
        </w:rPr>
        <w:t>PipelinePilot</w:t>
      </w:r>
      <w:proofErr w:type="spellEnd"/>
      <w:r w:rsidRPr="00E672BE">
        <w:rPr>
          <w:rFonts w:cs="Times New Roman"/>
          <w:szCs w:val="24"/>
        </w:rPr>
        <w:t xml:space="preserve"> software.</w:t>
      </w:r>
    </w:p>
    <w:p w:rsidR="00080A2D" w:rsidRPr="00E672BE" w:rsidRDefault="00080A2D" w:rsidP="00080A2D">
      <w:pPr>
        <w:pStyle w:val="Heading3"/>
      </w:pPr>
      <w:r w:rsidRPr="00E672BE">
        <w:lastRenderedPageBreak/>
        <w:t xml:space="preserve">Secondary IC50 screen triaging </w:t>
      </w:r>
    </w:p>
    <w:p w:rsidR="00080A2D" w:rsidRPr="00E672BE" w:rsidRDefault="00080A2D" w:rsidP="00080A2D">
      <w:pPr>
        <w:autoSpaceDE w:val="0"/>
        <w:autoSpaceDN w:val="0"/>
        <w:adjustRightInd w:val="0"/>
        <w:spacing w:after="0"/>
        <w:rPr>
          <w:rFonts w:eastAsia="Times New Roman" w:cs="Times New Roman"/>
          <w:bCs/>
          <w:szCs w:val="24"/>
        </w:rPr>
      </w:pPr>
      <w:r w:rsidRPr="00E672BE">
        <w:rPr>
          <w:rFonts w:eastAsia="Times New Roman" w:cs="Times New Roman"/>
          <w:bCs/>
          <w:szCs w:val="24"/>
        </w:rPr>
        <w:t>57 clusters with at least 3 compounds each were selected for progression based on an overall manual assessment of anti-</w:t>
      </w:r>
      <w:r w:rsidR="00CB5408" w:rsidRPr="00E672BE">
        <w:rPr>
          <w:rFonts w:eastAsia="Times New Roman" w:cs="Times New Roman"/>
          <w:bCs/>
          <w:i/>
          <w:szCs w:val="24"/>
        </w:rPr>
        <w:t>Wolbachia</w:t>
      </w:r>
      <w:r w:rsidRPr="00E672BE">
        <w:rPr>
          <w:rFonts w:eastAsia="Times New Roman" w:cs="Times New Roman"/>
          <w:bCs/>
          <w:szCs w:val="24"/>
        </w:rPr>
        <w:t xml:space="preserve"> activity, mammalian toxicity, measured compound purity, cluster size, and chemical structure. </w:t>
      </w:r>
    </w:p>
    <w:p w:rsidR="00080A2D" w:rsidRPr="00E672BE" w:rsidRDefault="00080A2D" w:rsidP="00080A2D">
      <w:pPr>
        <w:pStyle w:val="Heading3"/>
      </w:pPr>
      <w:r w:rsidRPr="00E672BE">
        <w:t>Tertiary screening</w:t>
      </w:r>
    </w:p>
    <w:p w:rsidR="00080A2D" w:rsidRPr="00E672BE" w:rsidRDefault="00080A2D" w:rsidP="00080A2D">
      <w:pPr>
        <w:autoSpaceDE w:val="0"/>
        <w:autoSpaceDN w:val="0"/>
        <w:adjustRightInd w:val="0"/>
        <w:spacing w:after="0"/>
        <w:rPr>
          <w:rFonts w:cs="Times New Roman"/>
          <w:szCs w:val="24"/>
        </w:rPr>
      </w:pPr>
      <w:r w:rsidRPr="00E672BE">
        <w:rPr>
          <w:rFonts w:eastAsia="Times New Roman" w:cs="Times New Roman"/>
          <w:bCs/>
          <w:szCs w:val="24"/>
        </w:rPr>
        <w:t>The two most potent compounds from the 57 prioritised clusters from the secondary screen triaging were screened in the microfilarial (Mf) assay at a final concentration of 5 µM. The Mf were obtained by peritoneal lavage</w:t>
      </w:r>
      <w:r w:rsidR="00B70029" w:rsidRPr="00E672BE">
        <w:rPr>
          <w:rFonts w:eastAsia="Times New Roman" w:cs="Times New Roman"/>
          <w:bCs/>
          <w:szCs w:val="24"/>
        </w:rPr>
        <w:t>, using a catheter,</w:t>
      </w:r>
      <w:r w:rsidRPr="00E672BE">
        <w:rPr>
          <w:rFonts w:eastAsia="Times New Roman" w:cs="Times New Roman"/>
          <w:bCs/>
          <w:szCs w:val="24"/>
        </w:rPr>
        <w:t xml:space="preserve"> of gerbils (</w:t>
      </w:r>
      <w:proofErr w:type="spellStart"/>
      <w:r w:rsidRPr="00E672BE">
        <w:rPr>
          <w:rFonts w:cs="Times New Roman"/>
          <w:i/>
          <w:szCs w:val="24"/>
        </w:rPr>
        <w:t>Meriones</w:t>
      </w:r>
      <w:proofErr w:type="spellEnd"/>
      <w:r w:rsidRPr="00E672BE">
        <w:rPr>
          <w:rFonts w:cs="Times New Roman"/>
          <w:i/>
          <w:szCs w:val="24"/>
        </w:rPr>
        <w:t xml:space="preserve"> </w:t>
      </w:r>
      <w:proofErr w:type="spellStart"/>
      <w:r w:rsidRPr="00E672BE">
        <w:rPr>
          <w:rFonts w:cs="Times New Roman"/>
          <w:i/>
          <w:szCs w:val="24"/>
        </w:rPr>
        <w:t>unguiculatus</w:t>
      </w:r>
      <w:proofErr w:type="spellEnd"/>
      <w:r w:rsidRPr="00E672BE">
        <w:rPr>
          <w:rFonts w:cs="Times New Roman"/>
          <w:szCs w:val="24"/>
        </w:rPr>
        <w:t xml:space="preserve">) </w:t>
      </w:r>
      <w:r w:rsidRPr="00E672BE">
        <w:rPr>
          <w:rFonts w:eastAsia="Times New Roman" w:cs="Times New Roman"/>
          <w:bCs/>
          <w:szCs w:val="24"/>
        </w:rPr>
        <w:t xml:space="preserve">harbouring a patent infection of </w:t>
      </w:r>
      <w:r w:rsidRPr="00E672BE">
        <w:rPr>
          <w:rFonts w:eastAsia="Times New Roman" w:cs="Times New Roman"/>
          <w:bCs/>
          <w:i/>
          <w:szCs w:val="24"/>
        </w:rPr>
        <w:t xml:space="preserve">Brugia malayi </w:t>
      </w:r>
      <w:r w:rsidRPr="00E672BE">
        <w:rPr>
          <w:rFonts w:eastAsia="Times New Roman" w:cs="Times New Roman"/>
          <w:bCs/>
          <w:szCs w:val="24"/>
        </w:rPr>
        <w:fldChar w:fldCharType="begin" w:fldLock="1"/>
      </w:r>
      <w:r w:rsidRPr="00E672BE">
        <w:rPr>
          <w:rFonts w:eastAsia="Times New Roman" w:cs="Times New Roman"/>
          <w:bCs/>
          <w:szCs w:val="24"/>
        </w:rPr>
        <w:instrText>ADDIN CSL_CITATION {"citationItems":[{"id":"ITEM-1","itemData":{"DOI":"10.1038/laban0510-143","ISSN":"0093-7355","PMID":"20410898","abstract":"Abdominal lavage is used in laboratory rodents for a variety of applications but carries an inherent risk of abdominal organ laceration; therefore, personnel carrying out this procedure must have considerable expertise. In this paper, the authors describe an improved method for delivering sterile media to and collecting peritoneal fluids from dark-clawed Mongolian gerbils (Meriones unguiculatus) that had been peritoneally infected with filarial nematode parasites (genus Brugia). To carry out this gravity-assisted technique, the authors used a catheter to introduce sterile media into the peritoneal cavity of each gerbil and then to passively drain peritoneal fluid and larval worms for collection. Average fluid recovery was consistently greater when using this gravity-assisted method than when using aspiration. Larval parasites were recovered by both methods. To recover large volumes of fluid using the standard method of abdominal lavage, personnel typically must euthanize rodents. This gravity-assisted technique allows researchers to collect large numbers of parasite larvae without euthanizing gerbils.","author":[{"dropping-particle":"","family":"Griffiths","given":"Kathryn G.","non-dropping-particle":"","parse-names":false,"suffix":""},{"dropping-particle":"","family":"Alworth","given":"Leanne C.","non-dropping-particle":"","parse-names":false,"suffix":""},{"dropping-particle":"","family":"Harvey","given":"Stephen B.","non-dropping-particle":"","parse-names":false,"suffix":""},{"dropping-particle":"","family":"Michalski","given":"Michelle L.","non-dropping-particle":"","parse-names":false,"suffix":""}],"container-title":"Lab animal","id":"ITEM-1","issue":"5","issued":{"date-parts":[["2010","5","1"]]},"page":"143-8","publisher":"Nature Publishing Group","title":"Using an intravenous catheter to carry out abdominal lavage in the gerbil.","type":"article-journal","volume":"39"},"uris":["http://www.mendeley.com/documents/?uuid=e3f895f8-2f51-47d6-a0c0-635076a4280a"]}],"mendeley":{"formattedCitation":"&lt;sup&gt;35&lt;/sup&gt;","plainTextFormattedCitation":"35","previouslyFormattedCitation":"&lt;sup&gt;35&lt;/sup&gt;"},"properties":{"noteIndex":0},"schema":"https://github.com/citation-style-language/schema/raw/master/csl-citation.json"}</w:instrText>
      </w:r>
      <w:r w:rsidRPr="00E672BE">
        <w:rPr>
          <w:rFonts w:eastAsia="Times New Roman" w:cs="Times New Roman"/>
          <w:bCs/>
          <w:szCs w:val="24"/>
        </w:rPr>
        <w:fldChar w:fldCharType="separate"/>
      </w:r>
      <w:r w:rsidRPr="00E672BE">
        <w:rPr>
          <w:rFonts w:eastAsia="Times New Roman" w:cs="Times New Roman"/>
          <w:bCs/>
          <w:noProof/>
          <w:szCs w:val="24"/>
          <w:vertAlign w:val="superscript"/>
        </w:rPr>
        <w:t>35</w:t>
      </w:r>
      <w:r w:rsidRPr="00E672BE">
        <w:rPr>
          <w:rFonts w:eastAsia="Times New Roman" w:cs="Times New Roman"/>
          <w:bCs/>
          <w:szCs w:val="24"/>
        </w:rPr>
        <w:fldChar w:fldCharType="end"/>
      </w:r>
      <w:r w:rsidRPr="00E672BE">
        <w:rPr>
          <w:rFonts w:eastAsia="Times New Roman" w:cs="Times New Roman"/>
          <w:bCs/>
          <w:szCs w:val="24"/>
        </w:rPr>
        <w:t xml:space="preserve">. Mf were purified using a PD-10 desalting column (Fisher), centrifuged (311 RCF for 5 min at room temperature) before the addition of 8,000 Mf/well of a 96 well plate (100 µl per well) in complete media consisting of RPMI supplemented with 10% FBS, 1% </w:t>
      </w:r>
      <w:r w:rsidRPr="00E672BE">
        <w:rPr>
          <w:rFonts w:cs="Times New Roman"/>
          <w:szCs w:val="24"/>
          <w:shd w:val="clear" w:color="auto" w:fill="FFFFFF"/>
        </w:rPr>
        <w:t>Penicillin Streptomycin</w:t>
      </w:r>
      <w:r w:rsidRPr="00E672BE">
        <w:rPr>
          <w:rFonts w:eastAsia="Times New Roman" w:cs="Times New Roman"/>
          <w:bCs/>
          <w:szCs w:val="24"/>
        </w:rPr>
        <w:t xml:space="preserve"> and 1% Amphotericin B. Compounds were diluted in complete media and 100 µl was added per well, providing a final concentration of 5 µM, with 5 replicates per compound. Each plate contained doxycycline (5 µM) and DMSO controls.</w:t>
      </w:r>
      <w:r w:rsidRPr="00E672BE">
        <w:rPr>
          <w:rFonts w:eastAsia="Times New Roman" w:cs="Times New Roman"/>
          <w:bCs/>
          <w:color w:val="FF0000"/>
          <w:szCs w:val="24"/>
        </w:rPr>
        <w:t xml:space="preserve"> </w:t>
      </w:r>
      <w:r w:rsidRPr="00E672BE">
        <w:rPr>
          <w:rFonts w:eastAsia="Times New Roman" w:cs="Times New Roman"/>
          <w:bCs/>
          <w:szCs w:val="24"/>
        </w:rPr>
        <w:t>After incubation at 37</w:t>
      </w:r>
      <w:r w:rsidRPr="00E672BE">
        <w:rPr>
          <w:rFonts w:eastAsia="Times New Roman" w:cs="Times New Roman"/>
          <w:bCs/>
          <w:szCs w:val="24"/>
          <w:vertAlign w:val="superscript"/>
        </w:rPr>
        <w:t>o</w:t>
      </w:r>
      <w:r w:rsidRPr="00E672BE">
        <w:rPr>
          <w:rFonts w:eastAsia="Times New Roman" w:cs="Times New Roman"/>
          <w:bCs/>
          <w:szCs w:val="24"/>
        </w:rPr>
        <w:t>C for 6 days in 5% CO</w:t>
      </w:r>
      <w:r w:rsidRPr="00E672BE">
        <w:rPr>
          <w:rFonts w:eastAsia="Times New Roman" w:cs="Times New Roman"/>
          <w:bCs/>
          <w:szCs w:val="24"/>
          <w:vertAlign w:val="subscript"/>
        </w:rPr>
        <w:t>2</w:t>
      </w:r>
      <w:r w:rsidRPr="00E672BE">
        <w:rPr>
          <w:rFonts w:eastAsia="Times New Roman" w:cs="Times New Roman"/>
          <w:bCs/>
          <w:szCs w:val="24"/>
        </w:rPr>
        <w:t xml:space="preserve">, visual assessment of Mf motility was performed and scored from 0 to 4 per well (where 0 = no movement and 4 = highly motile). DNA extraction per sample was performed using the </w:t>
      </w:r>
      <w:proofErr w:type="spellStart"/>
      <w:r w:rsidRPr="00E672BE">
        <w:rPr>
          <w:rFonts w:eastAsia="Times New Roman" w:cs="Times New Roman"/>
          <w:bCs/>
          <w:szCs w:val="24"/>
        </w:rPr>
        <w:t>QIAmp</w:t>
      </w:r>
      <w:proofErr w:type="spellEnd"/>
      <w:r w:rsidRPr="00E672BE">
        <w:rPr>
          <w:rFonts w:eastAsia="Times New Roman" w:cs="Times New Roman"/>
          <w:bCs/>
          <w:szCs w:val="24"/>
        </w:rPr>
        <w:t xml:space="preserve"> DNA Mini Kit before quantitative PCR was performed to obtain the ratio of </w:t>
      </w:r>
      <w:r w:rsidR="00CB5408" w:rsidRPr="00E672BE">
        <w:rPr>
          <w:rFonts w:eastAsia="Times New Roman" w:cs="Times New Roman"/>
          <w:bCs/>
          <w:i/>
          <w:szCs w:val="24"/>
        </w:rPr>
        <w:t>Wolbachia</w:t>
      </w:r>
      <w:r w:rsidRPr="00E672BE">
        <w:rPr>
          <w:rFonts w:eastAsia="Times New Roman" w:cs="Times New Roman"/>
          <w:bCs/>
          <w:szCs w:val="24"/>
        </w:rPr>
        <w:t xml:space="preserve"> Surface Protein </w:t>
      </w:r>
      <w:r w:rsidR="004F7493" w:rsidRPr="00E672BE">
        <w:rPr>
          <w:rFonts w:eastAsia="Times New Roman" w:cs="Times New Roman"/>
          <w:bCs/>
          <w:szCs w:val="24"/>
        </w:rPr>
        <w:t xml:space="preserve">gene </w:t>
      </w:r>
      <w:r w:rsidRPr="00E672BE">
        <w:rPr>
          <w:rFonts w:eastAsia="Times New Roman" w:cs="Times New Roman"/>
          <w:bCs/>
          <w:szCs w:val="24"/>
        </w:rPr>
        <w:t>copy number (</w:t>
      </w:r>
      <w:r w:rsidRPr="00E672BE">
        <w:rPr>
          <w:rFonts w:eastAsia="Times New Roman" w:cs="Times New Roman"/>
          <w:bCs/>
          <w:i/>
          <w:szCs w:val="24"/>
        </w:rPr>
        <w:t>wsp</w:t>
      </w:r>
      <w:r w:rsidRPr="00E672BE">
        <w:rPr>
          <w:rFonts w:eastAsia="Times New Roman" w:cs="Times New Roman"/>
          <w:bCs/>
          <w:szCs w:val="24"/>
        </w:rPr>
        <w:t xml:space="preserve">) to Glutathione S-Transferase </w:t>
      </w:r>
      <w:r w:rsidR="004F7493" w:rsidRPr="00E672BE">
        <w:rPr>
          <w:rFonts w:eastAsia="Times New Roman" w:cs="Times New Roman"/>
          <w:bCs/>
          <w:szCs w:val="24"/>
        </w:rPr>
        <w:t xml:space="preserve">gene </w:t>
      </w:r>
      <w:r w:rsidRPr="00E672BE">
        <w:rPr>
          <w:rFonts w:eastAsia="Times New Roman" w:cs="Times New Roman"/>
          <w:bCs/>
          <w:szCs w:val="24"/>
        </w:rPr>
        <w:t>copy number (</w:t>
      </w:r>
      <w:r w:rsidRPr="00E672BE">
        <w:rPr>
          <w:rFonts w:eastAsia="Times New Roman" w:cs="Times New Roman"/>
          <w:bCs/>
          <w:i/>
          <w:szCs w:val="24"/>
        </w:rPr>
        <w:t>gst</w:t>
      </w:r>
      <w:r w:rsidRPr="00E672BE">
        <w:rPr>
          <w:rFonts w:eastAsia="Times New Roman" w:cs="Times New Roman"/>
          <w:bCs/>
          <w:szCs w:val="24"/>
        </w:rPr>
        <w:t>)</w:t>
      </w:r>
      <w:r w:rsidRPr="00E672BE">
        <w:rPr>
          <w:rFonts w:eastAsia="Times New Roman" w:cs="Times New Roman"/>
          <w:bCs/>
          <w:szCs w:val="24"/>
        </w:rPr>
        <w:fldChar w:fldCharType="begin" w:fldLock="1"/>
      </w:r>
      <w:r w:rsidRPr="00E672BE">
        <w:rPr>
          <w:rFonts w:eastAsia="Times New Roman" w:cs="Times New Roman"/>
          <w:bCs/>
          <w:szCs w:val="24"/>
        </w:rPr>
        <w:instrText>ADDIN CSL_CITATION {"citationItems":[{"id":"ITEM-1","itemData":{"DOI":"10.1016/j.molbiopara.2004.01.006","ISBN":"0166-6851","ISSN":"01666851","PMID":"15287587","abstract":"The human filarial nematode Brugia malayi contains an endosymbiotic bacterium, Wolbachia. We used real-time quantitative polymerase chain reaction (QPCR) and microscopy to investigate the population dynamics of the bacterium-nematode association. Two Wolbachia (wsp and ftsZ) and one nematode (gst) genes were amplified from all life-cycle stages of B. malayi and results expressed as gene copies per worm and as Wolbachia/nematode ratios. Since the genes were single copy and there was one genome per Wolbachia, the gene copy numbers were equivalent to the numbers of bacteria. These were similar in microfilariae and the mosquito-borne larval stages (L2 and L3), with the lowest ratios of Wolbachia/nematode DNA. However, within 7 days of infection of the mammalian host, bacteria had increased 600-fold and the bacteria/worm ratio was the highest of all life-cycle stages. The rapid multiplication continued throughout L4 development, so that the major period of bacterial population growth occurred within 4 weeks of infection of the definitive host. Microscopy confirmed that there were few bacteria in mosquito-derived L3 but many, in large groups, in L4 collected 9 and 21 days after infection. In adult male worms up to 15 months of age, the bacterial populations were maintained, whilst in females, bacteria numbers increased as the worms matured and as the ovary and embryonic larval stages became infected. These results support the hypothesis that the bacteria are essential for larval development in the mammalian host and for the long-term survival of adult worms. ?? 2004 Elsevier B.V. All rights reserved.","author":[{"dropping-particle":"","family":"McGarry","given":"Helen F.","non-dropping-particle":"","parse-names":false,"suffix":""},{"dropping-particle":"","family":"Egerton","given":"Gillian L.","non-dropping-particle":"","parse-names":false,"suffix":""},{"dropping-particle":"","family":"Taylor","given":"Mark J.","non-dropping-particle":"","parse-names":false,"suffix":""}],"container-title":"Molecular and Biochemical Parasitology","id":"ITEM-1","issue":"1","issued":{"date-parts":[["2004"]]},"page":"57-67","title":"Population dynamics of Wolbachia bacterial endosymbionts in Brugia malayi","type":"article-journal","volume":"135"},"uris":["http://www.mendeley.com/documents/?uuid=93035202-13f0-42f1-94ff-2582be70c97f"]}],"mendeley":{"formattedCitation":"&lt;sup&gt;36&lt;/sup&gt;","plainTextFormattedCitation":"36","previouslyFormattedCitation":"&lt;sup&gt;36&lt;/sup&gt;"},"properties":{"noteIndex":0},"schema":"https://github.com/citation-style-language/schema/raw/master/csl-citation.json"}</w:instrText>
      </w:r>
      <w:r w:rsidRPr="00E672BE">
        <w:rPr>
          <w:rFonts w:eastAsia="Times New Roman" w:cs="Times New Roman"/>
          <w:bCs/>
          <w:szCs w:val="24"/>
        </w:rPr>
        <w:fldChar w:fldCharType="separate"/>
      </w:r>
      <w:r w:rsidRPr="00E672BE">
        <w:rPr>
          <w:rFonts w:eastAsia="Times New Roman" w:cs="Times New Roman"/>
          <w:bCs/>
          <w:noProof/>
          <w:szCs w:val="24"/>
          <w:vertAlign w:val="superscript"/>
        </w:rPr>
        <w:t>36</w:t>
      </w:r>
      <w:r w:rsidRPr="00E672BE">
        <w:rPr>
          <w:rFonts w:eastAsia="Times New Roman" w:cs="Times New Roman"/>
          <w:bCs/>
          <w:szCs w:val="24"/>
        </w:rPr>
        <w:fldChar w:fldCharType="end"/>
      </w:r>
      <w:r w:rsidRPr="00E672BE">
        <w:rPr>
          <w:rFonts w:eastAsia="Times New Roman" w:cs="Times New Roman"/>
          <w:bCs/>
          <w:szCs w:val="24"/>
        </w:rPr>
        <w:t xml:space="preserve">. The DNA was amplified using the primers as indicated in </w:t>
      </w:r>
      <w:r w:rsidR="004F7493" w:rsidRPr="00E672BE">
        <w:rPr>
          <w:rFonts w:eastAsia="Times New Roman" w:cs="Times New Roman"/>
          <w:bCs/>
          <w:szCs w:val="24"/>
        </w:rPr>
        <w:t>Supplementary</w:t>
      </w:r>
      <w:r w:rsidRPr="00E672BE">
        <w:rPr>
          <w:rFonts w:eastAsia="Times New Roman" w:cs="Times New Roman"/>
          <w:bCs/>
          <w:szCs w:val="24"/>
        </w:rPr>
        <w:t xml:space="preserve"> Table </w:t>
      </w:r>
      <w:r w:rsidR="00FE37D4" w:rsidRPr="00E672BE">
        <w:rPr>
          <w:rFonts w:eastAsia="Times New Roman" w:cs="Times New Roman"/>
          <w:bCs/>
          <w:szCs w:val="24"/>
        </w:rPr>
        <w:t>6</w:t>
      </w:r>
      <w:r w:rsidRPr="00E672BE">
        <w:rPr>
          <w:rFonts w:eastAsia="Times New Roman" w:cs="Times New Roman"/>
          <w:bCs/>
          <w:szCs w:val="24"/>
        </w:rPr>
        <w:t xml:space="preserve">. </w:t>
      </w:r>
    </w:p>
    <w:p w:rsidR="00080A2D" w:rsidRPr="00E672BE" w:rsidRDefault="00080A2D" w:rsidP="00080A2D">
      <w:pPr>
        <w:autoSpaceDE w:val="0"/>
        <w:autoSpaceDN w:val="0"/>
        <w:adjustRightInd w:val="0"/>
        <w:spacing w:after="0"/>
        <w:ind w:firstLine="720"/>
        <w:rPr>
          <w:rFonts w:eastAsia="Times New Roman" w:cs="Times New Roman"/>
          <w:color w:val="404040"/>
          <w:szCs w:val="24"/>
          <w:lang w:eastAsia="en-GB"/>
        </w:rPr>
      </w:pPr>
      <w:r w:rsidRPr="00E672BE">
        <w:rPr>
          <w:rFonts w:eastAsia="Times New Roman" w:cs="Times New Roman"/>
          <w:bCs/>
          <w:szCs w:val="24"/>
        </w:rPr>
        <w:t xml:space="preserve">The </w:t>
      </w:r>
      <w:proofErr w:type="gramStart"/>
      <w:r w:rsidRPr="00E672BE">
        <w:rPr>
          <w:rFonts w:eastAsia="Times New Roman" w:cs="Times New Roman"/>
          <w:bCs/>
          <w:i/>
          <w:szCs w:val="24"/>
        </w:rPr>
        <w:t>wsp</w:t>
      </w:r>
      <w:r w:rsidRPr="00E672BE">
        <w:rPr>
          <w:rFonts w:eastAsia="Times New Roman" w:cs="Times New Roman"/>
          <w:bCs/>
          <w:szCs w:val="24"/>
        </w:rPr>
        <w:t>:</w:t>
      </w:r>
      <w:r w:rsidRPr="00E672BE">
        <w:rPr>
          <w:rFonts w:eastAsia="Times New Roman" w:cs="Times New Roman"/>
          <w:bCs/>
          <w:i/>
          <w:szCs w:val="24"/>
        </w:rPr>
        <w:t>gst</w:t>
      </w:r>
      <w:proofErr w:type="gramEnd"/>
      <w:r w:rsidRPr="00E672BE">
        <w:rPr>
          <w:rFonts w:eastAsia="Times New Roman" w:cs="Times New Roman"/>
          <w:bCs/>
          <w:szCs w:val="24"/>
        </w:rPr>
        <w:t xml:space="preserve"> ratio data allowed for normalisation of the </w:t>
      </w:r>
      <w:r w:rsidR="00CB5408" w:rsidRPr="00E672BE">
        <w:rPr>
          <w:rFonts w:eastAsia="Times New Roman" w:cs="Times New Roman"/>
          <w:bCs/>
          <w:i/>
          <w:szCs w:val="24"/>
        </w:rPr>
        <w:t>Wolbachia</w:t>
      </w:r>
      <w:r w:rsidRPr="00E672BE">
        <w:rPr>
          <w:rFonts w:eastAsia="Times New Roman" w:cs="Times New Roman"/>
          <w:bCs/>
          <w:szCs w:val="24"/>
        </w:rPr>
        <w:t xml:space="preserve"> level to the Mf biomass for each well. The change in </w:t>
      </w:r>
      <w:proofErr w:type="gramStart"/>
      <w:r w:rsidRPr="00E672BE">
        <w:rPr>
          <w:rFonts w:eastAsia="Times New Roman" w:cs="Times New Roman"/>
          <w:bCs/>
          <w:i/>
          <w:szCs w:val="24"/>
        </w:rPr>
        <w:t>wsp</w:t>
      </w:r>
      <w:r w:rsidRPr="00E672BE">
        <w:rPr>
          <w:rFonts w:eastAsia="Times New Roman" w:cs="Times New Roman"/>
          <w:bCs/>
          <w:szCs w:val="24"/>
        </w:rPr>
        <w:t>:</w:t>
      </w:r>
      <w:r w:rsidRPr="00E672BE">
        <w:rPr>
          <w:rFonts w:eastAsia="Times New Roman" w:cs="Times New Roman"/>
          <w:bCs/>
          <w:i/>
          <w:szCs w:val="24"/>
        </w:rPr>
        <w:t>gst</w:t>
      </w:r>
      <w:proofErr w:type="gramEnd"/>
      <w:r w:rsidRPr="00E672BE">
        <w:rPr>
          <w:rFonts w:eastAsia="Times New Roman" w:cs="Times New Roman"/>
          <w:bCs/>
          <w:szCs w:val="24"/>
        </w:rPr>
        <w:t xml:space="preserve"> for each compound compared to the DMSO control was calculated before normalisation to the onboard doxycycline control to allow for inter-assay comparison. </w:t>
      </w:r>
    </w:p>
    <w:p w:rsidR="00080A2D" w:rsidRPr="00E672BE" w:rsidRDefault="00080A2D" w:rsidP="00080A2D">
      <w:pPr>
        <w:pStyle w:val="Heading3"/>
        <w:rPr>
          <w:lang w:val="en"/>
        </w:rPr>
      </w:pPr>
      <w:r w:rsidRPr="00E672BE">
        <w:rPr>
          <w:lang w:val="en"/>
        </w:rPr>
        <w:lastRenderedPageBreak/>
        <w:t>Experimental DMPK screening</w:t>
      </w:r>
    </w:p>
    <w:p w:rsidR="00080A2D" w:rsidRPr="00E672BE" w:rsidRDefault="00080A2D" w:rsidP="00080A2D">
      <w:pPr>
        <w:rPr>
          <w:rFonts w:cs="Times New Roman"/>
          <w:color w:val="222222"/>
          <w:szCs w:val="24"/>
        </w:rPr>
      </w:pPr>
      <w:r w:rsidRPr="00E672BE">
        <w:rPr>
          <w:rFonts w:cs="Times New Roman"/>
          <w:color w:val="222222"/>
          <w:szCs w:val="24"/>
          <w:lang w:val="en"/>
        </w:rPr>
        <w:t xml:space="preserve">The DMPK data </w:t>
      </w:r>
      <w:r w:rsidR="004F7493" w:rsidRPr="00E672BE">
        <w:rPr>
          <w:rFonts w:cs="Times New Roman"/>
          <w:color w:val="222222"/>
          <w:szCs w:val="24"/>
          <w:lang w:val="en"/>
        </w:rPr>
        <w:t xml:space="preserve">used for triaging compounds, including LogD7.4, aqueous solubility, plasma protein binding, microsome and hepatocyte clearance measurements, were generated using </w:t>
      </w:r>
      <w:r w:rsidR="00427504" w:rsidRPr="00E672BE">
        <w:rPr>
          <w:rFonts w:cs="Times New Roman"/>
          <w:color w:val="222222"/>
          <w:szCs w:val="24"/>
          <w:lang w:val="en"/>
        </w:rPr>
        <w:t xml:space="preserve">the </w:t>
      </w:r>
      <w:r w:rsidR="004F7493" w:rsidRPr="00E672BE">
        <w:rPr>
          <w:rFonts w:cs="Times New Roman"/>
          <w:color w:val="222222"/>
          <w:szCs w:val="24"/>
          <w:lang w:val="en"/>
        </w:rPr>
        <w:t xml:space="preserve">standard </w:t>
      </w:r>
      <w:r w:rsidR="00427504" w:rsidRPr="00E672BE">
        <w:rPr>
          <w:rFonts w:cs="Times New Roman"/>
          <w:color w:val="222222"/>
          <w:szCs w:val="24"/>
          <w:lang w:val="en"/>
        </w:rPr>
        <w:t>AstraZeneca U.K</w:t>
      </w:r>
      <w:r w:rsidR="00427504" w:rsidRPr="00E672BE" w:rsidDel="00427504">
        <w:rPr>
          <w:rFonts w:cs="Times New Roman"/>
          <w:color w:val="222222"/>
          <w:szCs w:val="24"/>
          <w:lang w:val="en"/>
        </w:rPr>
        <w:t xml:space="preserve"> </w:t>
      </w:r>
      <w:r w:rsidRPr="00E672BE">
        <w:rPr>
          <w:rFonts w:cs="Times New Roman"/>
          <w:color w:val="222222"/>
          <w:szCs w:val="24"/>
          <w:lang w:val="en"/>
        </w:rPr>
        <w:t xml:space="preserve">high-throughput platform </w:t>
      </w:r>
      <w:r w:rsidRPr="00E672BE">
        <w:rPr>
          <w:rFonts w:cs="Times New Roman"/>
          <w:color w:val="222222"/>
          <w:szCs w:val="24"/>
          <w:lang w:val="en"/>
        </w:rPr>
        <w:fldChar w:fldCharType="begin" w:fldLock="1"/>
      </w:r>
      <w:r w:rsidRPr="00E672BE">
        <w:rPr>
          <w:rFonts w:cs="Times New Roman"/>
          <w:color w:val="222222"/>
          <w:szCs w:val="24"/>
          <w:lang w:val="en"/>
        </w:rPr>
        <w:instrText>ADDIN CSL_CITATION {"citationItems":[{"id":"ITEM-1","itemData":{"DOI":"10.1021/jm500462x","ISBN":"0022-2623","ISSN":"15204804","PMID":"24959892","abstract":"AZD5099 (compound 63) is an antibacterial agent that entered phase 1 clinical trials targeting infections caused by Gram-positive and fastidious Gram-negative bacteria. It was derived from previously reported pyrrolamide antibacterials and a fragment-based approach targeting the ATP binding site of bacterial type II topoisomerases. The program described herein varied a 3-piperidine substituent and incorporated 4-thiazole substituents that form a seven-membered ring intramolecular hydrogen bond with a 5-position carboxylic acid. Improved antibacterial activity and lower in vivo clearances were achieved. The lower clearances were attributed, in part, to reduced recognition by the multidrug resistant transporter Mrp2. Compound 63 showed notable efficacy in a mouse neutropenic Staphylococcus aureus infection model. Resistance frequency versus the drug was low, and reports of clinical resistance due to alteration of the target are few. Hence, 63 could offer a novel treatment for serious issues of resistance to currently used antibacterials.","author":[{"dropping-particle":"","family":"Basarab","given":"Gregory S.","non-dropping-particle":"","parse-names":false,"suffix":""},{"dropping-particle":"","family":"Hill","given":"Pamela J.","non-dropping-particle":"","parse-names":false,"suffix":""},{"dropping-particle":"","family":"Garner","given":"C. Edwin","non-dropping-particle":"","parse-names":false,"suffix":""},{"dropping-particle":"","family":"Hull","given":"Ken","non-dropping-particle":"","parse-names":false,"suffix":""},{"dropping-particle":"","family":"Green","given":"Oluyinka","non-dropping-particle":"","parse-names":false,"suffix":""},{"dropping-particle":"","family":"Sherer","given":"Brian A.","non-dropping-particle":"","parse-names":false,"suffix":""},{"dropping-particle":"","family":"Dangel","given":"P. Brian","non-dropping-particle":"","parse-names":false,"suffix":""},{"dropping-particle":"","family":"Manchester","given":"John I.","non-dropping-particle":"","parse-names":false,"suffix":""},{"dropping-particle":"","family":"Bist","given":"Shanta","non-dropping-particle":"","parse-names":false,"suffix":""},{"dropping-particle":"","family":"Hauck","given":"Sheila","non-dropping-particle":"","parse-names":false,"suffix":""},{"dropping-particle":"","family":"Zhou","given":"Fei","non-dropping-particle":"","parse-names":false,"suffix":""},{"dropping-particle":"","family":"Uria-Nickelsen","given":"Maria","non-dropping-particle":"","parse-names":false,"suffix":""},{"dropping-particle":"","family":"Illingworth","given":"Ruth","non-dropping-particle":"","parse-names":false,"suffix":""},{"dropping-particle":"","family":"Alm","given":"Richard","non-dropping-particle":"","parse-names":false,"suffix":""},{"dropping-particle":"","family":"Rooney","given":"Mike","non-dropping-particle":"","parse-names":false,"suffix":""},{"dropping-particle":"","family":"Eakin","given":"Ann E.","non-dropping-particle":"","parse-names":false,"suffix":""}],"container-title":"Journal of Medicinal Chemistry","id":"ITEM-1","issue":"14","issued":{"date-parts":[["2014"]]},"page":"6060-6082","title":"Optimization of pyrrolamide topoisomerase II inhibitors toward identification of an antibacterial clinical candidate (AZD5099)","type":"article-journal","volume":"57"},"uris":["http://www.mendeley.com/documents/?uuid=15b7ec7a-c6a4-4029-9fa8-df0b43eda790"]},{"id":"ITEM-2","itemData":{"DOI":"10.1021/acs.jmedchem.6b01127","ISBN":"1520-4804 (Electronic)\r0022-2623 (Linking)","ISSN":"15204804","PMID":"27690432","abstract":"A novel series of second generation DPP1 inhibitors free from aorta binding liabilities found for earlier compound series was discovered. This work culminated in the identification of compound 30 (AZD7986), as a highly potent, reversible and selective clinical candidate for COPD, with predicted human PK properties suitable for once daily human dosing.","author":[{"dropping-particle":"","family":"Doyle","given":"Kevin","non-dropping-particle":"","parse-names":false,"suffix":""},{"dropping-particle":"","family":"Lönn","given":"Hans","non-dropping-particle":"","parse-names":false,"suffix":""},{"dropping-particle":"","family":"Käck","given":"Helena","non-dropping-particle":"","parse-names":false,"suffix":""},{"dropping-particle":"","family":"Poël","given":"Amanda","non-dropping-particle":"Van De","parse-names":false,"suffix":""},{"dropping-particle":"","family":"Swallow","given":"Steve","non-dropping-particle":"","parse-names":false,"suffix":""},{"dropping-particle":"","family":"Gardiner","given":"Philip","non-dropping-particle":"","parse-names":false,"suffix":""},{"dropping-particle":"","family":"Connolly","given":"Stephen","non-dropping-particle":"","parse-names":false,"suffix":""},{"dropping-particle":"","family":"Root","given":"James","non-dropping-particle":"","parse-names":false,"suffix":""},{"dropping-particle":"","family":"Wikell","given":"Cecilia","non-dropping-particle":"","parse-names":false,"suffix":""},{"dropping-particle":"","family":"Dahl","given":"Göran","non-dropping-particle":"","parse-names":false,"suffix":""},{"dropping-particle":"","family":"Stenvall","given":"Kristina","non-dropping-particle":"","parse-names":false,"suffix":""},{"dropping-particle":"","family":"Johannesson","given":"Petra","non-dropping-particle":"","parse-names":false,"suffix":""}],"container-title":"Journal of Medicinal Chemistry","id":"ITEM-2","issue":"20","issued":{"date-parts":[["2016"]]},"page":"9457-9472","title":"Discovery of Second Generation Reversible Covalent DPP1 Inhibitors Leading to an Oxazepane Amidoacetonitrile Based Clinical Candidate (AZD7986)","type":"article-journal","volume":"59"},"uris":["http://www.mendeley.com/documents/?uuid=d4f23785-3ad5-4087-a2ed-8859e7e09ac4"]}],"mendeley":{"formattedCitation":"&lt;sup&gt;37,38&lt;/sup&gt;","plainTextFormattedCitation":"37,38","previouslyFormattedCitation":"&lt;sup&gt;37,38&lt;/sup&gt;"},"properties":{"noteIndex":0},"schema":"https://github.com/citation-style-language/schema/raw/master/csl-citation.json"}</w:instrText>
      </w:r>
      <w:r w:rsidRPr="00E672BE">
        <w:rPr>
          <w:rFonts w:cs="Times New Roman"/>
          <w:color w:val="222222"/>
          <w:szCs w:val="24"/>
          <w:lang w:val="en"/>
        </w:rPr>
        <w:fldChar w:fldCharType="separate"/>
      </w:r>
      <w:r w:rsidRPr="00E672BE">
        <w:rPr>
          <w:rFonts w:cs="Times New Roman"/>
          <w:noProof/>
          <w:color w:val="222222"/>
          <w:szCs w:val="24"/>
          <w:vertAlign w:val="superscript"/>
          <w:lang w:val="en"/>
        </w:rPr>
        <w:t>37,38</w:t>
      </w:r>
      <w:r w:rsidRPr="00E672BE">
        <w:rPr>
          <w:rFonts w:cs="Times New Roman"/>
          <w:color w:val="222222"/>
          <w:szCs w:val="24"/>
          <w:lang w:val="en"/>
        </w:rPr>
        <w:fldChar w:fldCharType="end"/>
      </w:r>
      <w:r w:rsidRPr="00E672BE">
        <w:rPr>
          <w:rFonts w:cs="Times New Roman"/>
          <w:color w:val="222222"/>
          <w:szCs w:val="24"/>
          <w:lang w:val="en"/>
        </w:rPr>
        <w:t>.</w:t>
      </w:r>
    </w:p>
    <w:p w:rsidR="00D66FAB" w:rsidRPr="00E672BE" w:rsidRDefault="00D66FAB" w:rsidP="00D66FAB">
      <w:pPr>
        <w:autoSpaceDE w:val="0"/>
        <w:autoSpaceDN w:val="0"/>
        <w:adjustRightInd w:val="0"/>
        <w:rPr>
          <w:rFonts w:cs="Times New Roman"/>
          <w:sz w:val="44"/>
          <w:szCs w:val="24"/>
        </w:rPr>
      </w:pPr>
      <w:r w:rsidRPr="00E672BE">
        <w:rPr>
          <w:rFonts w:cs="Times New Roman"/>
          <w:szCs w:val="24"/>
        </w:rPr>
        <w:t xml:space="preserve">Data availability: </w:t>
      </w:r>
      <w:r w:rsidRPr="00E672BE">
        <w:t>The data that support the findings of this study are available on request from the corresponding author [SAW] with permission from AstraZeneca. The Compound data beyond that shared within the primary publication are not publicly available due to intellectual property restrictions.</w:t>
      </w:r>
    </w:p>
    <w:p w:rsidR="00080A2D" w:rsidRPr="00E672BE" w:rsidRDefault="00080A2D" w:rsidP="002F2964">
      <w:pPr>
        <w:rPr>
          <w:rFonts w:cs="Times New Roman"/>
          <w:color w:val="FF0000"/>
          <w:szCs w:val="24"/>
          <w:lang w:val="en"/>
        </w:rPr>
      </w:pPr>
    </w:p>
    <w:p w:rsidR="002F2964" w:rsidRPr="00E672BE" w:rsidRDefault="002F2964">
      <w:pPr>
        <w:rPr>
          <w:rFonts w:cs="Times New Roman"/>
          <w:b/>
          <w:color w:val="222222"/>
          <w:szCs w:val="24"/>
          <w:lang w:val="en"/>
        </w:rPr>
      </w:pPr>
      <w:r w:rsidRPr="00E672BE">
        <w:rPr>
          <w:rFonts w:cs="Times New Roman"/>
          <w:b/>
          <w:color w:val="222222"/>
          <w:szCs w:val="24"/>
          <w:lang w:val="en"/>
        </w:rPr>
        <w:t>Acknowledgements</w:t>
      </w:r>
    </w:p>
    <w:p w:rsidR="002F2964" w:rsidRPr="00E672BE" w:rsidRDefault="002F2964" w:rsidP="002F2964">
      <w:pPr>
        <w:rPr>
          <w:rFonts w:cs="Times New Roman"/>
          <w:b/>
          <w:sz w:val="28"/>
          <w:szCs w:val="24"/>
          <w:lang w:val="en"/>
        </w:rPr>
      </w:pPr>
      <w:r w:rsidRPr="00E672BE">
        <w:t>The A·WOL consortium is supported by grants from the Bill &amp; Melinda Gates Foundation awarded to the Liverpool School of Tropical Medicine. This work was also supported by AstraZeneca. Antibody production was funded by NEB.</w:t>
      </w:r>
    </w:p>
    <w:p w:rsidR="002F2964" w:rsidRPr="00E672BE" w:rsidRDefault="002F2964" w:rsidP="002F2964">
      <w:pPr>
        <w:rPr>
          <w:rFonts w:cs="Times New Roman"/>
          <w:b/>
          <w:color w:val="222222"/>
          <w:szCs w:val="24"/>
          <w:lang w:val="en"/>
        </w:rPr>
      </w:pPr>
    </w:p>
    <w:p w:rsidR="002F2964" w:rsidRPr="00E672BE" w:rsidRDefault="002F2964" w:rsidP="002F2964">
      <w:pPr>
        <w:rPr>
          <w:rFonts w:cs="Times New Roman"/>
          <w:b/>
          <w:color w:val="222222"/>
          <w:szCs w:val="24"/>
          <w:lang w:val="en"/>
        </w:rPr>
      </w:pPr>
      <w:r w:rsidRPr="00E672BE">
        <w:rPr>
          <w:rFonts w:cs="Times New Roman"/>
          <w:b/>
          <w:color w:val="222222"/>
          <w:szCs w:val="24"/>
          <w:lang w:val="en"/>
        </w:rPr>
        <w:t>Author contributions</w:t>
      </w:r>
    </w:p>
    <w:p w:rsidR="002F2964" w:rsidRPr="00E672BE" w:rsidRDefault="002F2964" w:rsidP="002F2964">
      <w:pPr>
        <w:rPr>
          <w:rFonts w:cs="Times New Roman"/>
          <w:color w:val="222222"/>
          <w:szCs w:val="24"/>
          <w:lang w:val="en"/>
        </w:rPr>
      </w:pPr>
      <w:r w:rsidRPr="00E672BE">
        <w:rPr>
          <w:rFonts w:cs="Times New Roman"/>
          <w:color w:val="222222"/>
          <w:szCs w:val="24"/>
          <w:lang w:val="en"/>
        </w:rPr>
        <w:t xml:space="preserve">R. H. Clare, P. Harper, C. Bardelle, M. Collier, R. Clark, D. Plant, H. Plant, K. L. Johnston, D. A. N. Cook, L. Ford, N. G. Berry, U. </w:t>
      </w:r>
      <w:r w:rsidRPr="00E672BE">
        <w:rPr>
          <w:rFonts w:eastAsia="Times New Roman" w:cs="Times New Roman"/>
          <w:color w:val="000000" w:themeColor="text1"/>
          <w:szCs w:val="24"/>
        </w:rPr>
        <w:t>Börjesson</w:t>
      </w:r>
      <w:r w:rsidRPr="00E672BE">
        <w:rPr>
          <w:rFonts w:cs="Times New Roman"/>
          <w:color w:val="222222"/>
          <w:szCs w:val="24"/>
          <w:lang w:val="en"/>
        </w:rPr>
        <w:t>, W. D. Hong, P. M. O’Neill, J. Turner, M. J. Taylor, S. A. Ward, M. Wigglesworth and K. Rich designed the research</w:t>
      </w:r>
      <w:r w:rsidRPr="00E672BE">
        <w:rPr>
          <w:rFonts w:cs="Times New Roman"/>
          <w:szCs w:val="24"/>
          <w:lang w:val="en"/>
        </w:rPr>
        <w:t xml:space="preserve">. R. H. Clare, C. Bardelle, M. Collier, L. Myhill, A. Cassidy, P. Harper, A. Steven, J. Archer, N. G. Berry, U. </w:t>
      </w:r>
      <w:r w:rsidRPr="00E672BE">
        <w:rPr>
          <w:rFonts w:eastAsia="Times New Roman" w:cs="Times New Roman"/>
          <w:szCs w:val="24"/>
        </w:rPr>
        <w:t xml:space="preserve">Börjesson, P. McGillan, S. Charoensutthivarakul, </w:t>
      </w:r>
      <w:r w:rsidRPr="00E672BE">
        <w:rPr>
          <w:rFonts w:cs="Times New Roman"/>
          <w:szCs w:val="24"/>
          <w:lang w:val="en"/>
        </w:rPr>
        <w:t xml:space="preserve">B. Slatko, B. Wu and </w:t>
      </w:r>
      <w:r w:rsidRPr="00E672BE">
        <w:rPr>
          <w:shd w:val="clear" w:color="auto" w:fill="FFFFFF"/>
        </w:rPr>
        <w:t>L</w:t>
      </w:r>
      <w:r w:rsidRPr="00E672BE">
        <w:rPr>
          <w:color w:val="000000"/>
          <w:shd w:val="clear" w:color="auto" w:fill="FFFFFF"/>
        </w:rPr>
        <w:t xml:space="preserve">. </w:t>
      </w:r>
      <w:proofErr w:type="spellStart"/>
      <w:r w:rsidRPr="00E672BE">
        <w:rPr>
          <w:color w:val="000000"/>
          <w:shd w:val="clear" w:color="auto" w:fill="FFFFFF"/>
        </w:rPr>
        <w:t>Cantin</w:t>
      </w:r>
      <w:proofErr w:type="spellEnd"/>
      <w:r w:rsidRPr="00E672BE">
        <w:rPr>
          <w:color w:val="000000"/>
          <w:shd w:val="clear" w:color="auto" w:fill="FFFFFF"/>
        </w:rPr>
        <w:t xml:space="preserve"> </w:t>
      </w:r>
      <w:r w:rsidRPr="00E672BE">
        <w:rPr>
          <w:rFonts w:cs="Times New Roman"/>
          <w:color w:val="222222"/>
          <w:szCs w:val="24"/>
          <w:lang w:val="en"/>
        </w:rPr>
        <w:t>performed the research</w:t>
      </w:r>
      <w:r w:rsidRPr="00E672BE">
        <w:rPr>
          <w:rFonts w:cs="Times New Roman"/>
          <w:szCs w:val="24"/>
          <w:lang w:val="en"/>
        </w:rPr>
        <w:t xml:space="preserve">. R. H. Clare, C. Bardelle, M. Collier, N. G. Berry, U. </w:t>
      </w:r>
      <w:r w:rsidRPr="00E672BE">
        <w:rPr>
          <w:rFonts w:eastAsia="Times New Roman" w:cs="Times New Roman"/>
          <w:szCs w:val="24"/>
        </w:rPr>
        <w:t>Börjesson</w:t>
      </w:r>
      <w:r w:rsidRPr="00E672BE">
        <w:rPr>
          <w:rFonts w:cs="Times New Roman"/>
          <w:szCs w:val="24"/>
          <w:lang w:val="en"/>
        </w:rPr>
        <w:t xml:space="preserve">, W. D. Hong, P. M. O’Neill, G. L. Nixon, R. Sharma and J. Bibby </w:t>
      </w:r>
      <w:proofErr w:type="spellStart"/>
      <w:r w:rsidRPr="00E672BE">
        <w:rPr>
          <w:rFonts w:cs="Times New Roman"/>
          <w:szCs w:val="24"/>
          <w:lang w:val="en"/>
        </w:rPr>
        <w:t>analysed</w:t>
      </w:r>
      <w:proofErr w:type="spellEnd"/>
      <w:r w:rsidRPr="00E672BE">
        <w:rPr>
          <w:rFonts w:cs="Times New Roman"/>
          <w:szCs w:val="24"/>
          <w:lang w:val="en"/>
        </w:rPr>
        <w:t xml:space="preserve"> the data. </w:t>
      </w:r>
      <w:r w:rsidRPr="00E672BE">
        <w:rPr>
          <w:rFonts w:cs="Times New Roman"/>
          <w:color w:val="222222"/>
          <w:szCs w:val="24"/>
          <w:lang w:val="en"/>
        </w:rPr>
        <w:t xml:space="preserve">R. H. Clare, W. D. Hong, </w:t>
      </w:r>
      <w:r w:rsidRPr="00E672BE">
        <w:rPr>
          <w:rFonts w:cs="Times New Roman"/>
          <w:szCs w:val="24"/>
          <w:lang w:val="en"/>
        </w:rPr>
        <w:t>N. G. Berry,</w:t>
      </w:r>
      <w:r w:rsidRPr="00E672BE">
        <w:rPr>
          <w:rFonts w:cs="Times New Roman"/>
          <w:color w:val="222222"/>
          <w:szCs w:val="24"/>
          <w:lang w:val="en"/>
        </w:rPr>
        <w:t xml:space="preserve"> P. M. O’Neill, M. J. Taylor, S. A. Ward and C. Bardelle wrote the paper. </w:t>
      </w:r>
    </w:p>
    <w:p w:rsidR="00D66FAB" w:rsidRPr="00E672BE" w:rsidRDefault="00D66FAB" w:rsidP="00C13DC7"/>
    <w:p w:rsidR="00E672BE" w:rsidRPr="00E672BE" w:rsidRDefault="00C13DC7" w:rsidP="00C13DC7">
      <w:pPr>
        <w:rPr>
          <w:b/>
        </w:rPr>
      </w:pPr>
      <w:r w:rsidRPr="00E672BE">
        <w:rPr>
          <w:b/>
        </w:rPr>
        <w:t>Competing interests</w:t>
      </w:r>
    </w:p>
    <w:p w:rsidR="00C13DC7" w:rsidRPr="00E672BE" w:rsidRDefault="00C13DC7" w:rsidP="00C13DC7">
      <w:pPr>
        <w:rPr>
          <w:sz w:val="22"/>
        </w:rPr>
      </w:pPr>
      <w:r w:rsidRPr="00E672BE">
        <w:rPr>
          <w:color w:val="000000"/>
        </w:rPr>
        <w:t>Catherine Bardelle, Paul Harper, Ulf Börjesson, Darren Plant, Helen Plant and Mark Wigglesworth</w:t>
      </w:r>
      <w:r w:rsidRPr="00E672BE">
        <w:rPr>
          <w:color w:val="000000"/>
          <w:vertAlign w:val="superscript"/>
        </w:rPr>
        <w:t xml:space="preserve"> </w:t>
      </w:r>
      <w:r w:rsidRPr="00E672BE">
        <w:rPr>
          <w:color w:val="222222"/>
          <w:spacing w:val="3"/>
        </w:rPr>
        <w:t>are employees and therefore shareholders of AstraZeneca, however they have no financial or intellectual property rights to the structures presented in this manuscript which were transferred to the LSTM, a charitable organisation.</w:t>
      </w:r>
      <w:r w:rsidR="00E672BE">
        <w:rPr>
          <w:color w:val="222222"/>
          <w:spacing w:val="3"/>
        </w:rPr>
        <w:t xml:space="preserve"> All other authors declare no competing interests.</w:t>
      </w:r>
    </w:p>
    <w:p w:rsidR="00EB2F9C" w:rsidRPr="00E672BE" w:rsidRDefault="00EB2F9C" w:rsidP="00E672BE">
      <w:pPr>
        <w:rPr>
          <w:rFonts w:cs="Times New Roman"/>
          <w:szCs w:val="24"/>
        </w:rPr>
      </w:pPr>
    </w:p>
    <w:p w:rsidR="00106940" w:rsidRPr="00E672BE" w:rsidRDefault="005E2C17" w:rsidP="00BC3276">
      <w:pPr>
        <w:pStyle w:val="Heading2"/>
        <w:rPr>
          <w:lang w:val="en"/>
        </w:rPr>
      </w:pPr>
      <w:r w:rsidRPr="00E672BE">
        <w:rPr>
          <w:lang w:val="en"/>
        </w:rPr>
        <w:t>References</w:t>
      </w:r>
    </w:p>
    <w:p w:rsidR="00556B2F" w:rsidRPr="00E672BE" w:rsidRDefault="00492F3F" w:rsidP="00556B2F">
      <w:pPr>
        <w:widowControl w:val="0"/>
        <w:autoSpaceDE w:val="0"/>
        <w:autoSpaceDN w:val="0"/>
        <w:adjustRightInd w:val="0"/>
        <w:ind w:left="640" w:hanging="640"/>
        <w:rPr>
          <w:rFonts w:cs="Times New Roman"/>
          <w:noProof/>
          <w:szCs w:val="24"/>
        </w:rPr>
      </w:pPr>
      <w:r w:rsidRPr="00E672BE">
        <w:rPr>
          <w:rFonts w:cs="Times New Roman"/>
          <w:b/>
          <w:color w:val="222222"/>
          <w:szCs w:val="24"/>
          <w:lang w:val="en"/>
        </w:rPr>
        <w:fldChar w:fldCharType="begin" w:fldLock="1"/>
      </w:r>
      <w:r w:rsidRPr="00E672BE">
        <w:rPr>
          <w:rFonts w:cs="Times New Roman"/>
          <w:b/>
          <w:color w:val="222222"/>
          <w:szCs w:val="24"/>
          <w:lang w:val="en"/>
        </w:rPr>
        <w:instrText xml:space="preserve">ADDIN Mendeley Bibliography CSL_BIBLIOGRAPHY </w:instrText>
      </w:r>
      <w:r w:rsidRPr="00E672BE">
        <w:rPr>
          <w:rFonts w:cs="Times New Roman"/>
          <w:b/>
          <w:color w:val="222222"/>
          <w:szCs w:val="24"/>
          <w:lang w:val="en"/>
        </w:rPr>
        <w:fldChar w:fldCharType="separate"/>
      </w:r>
      <w:r w:rsidR="00556B2F" w:rsidRPr="00E672BE">
        <w:rPr>
          <w:rFonts w:cs="Times New Roman"/>
          <w:noProof/>
          <w:szCs w:val="24"/>
        </w:rPr>
        <w:t>1.</w:t>
      </w:r>
      <w:r w:rsidR="00556B2F" w:rsidRPr="00E672BE">
        <w:rPr>
          <w:rFonts w:cs="Times New Roman"/>
          <w:noProof/>
          <w:szCs w:val="24"/>
        </w:rPr>
        <w:tab/>
        <w:t>Taylor, M. J., Hoerauf, A., Townson, S., Slatko, B. E. &amp; Ward, S. A. Anti-</w:t>
      </w:r>
      <w:r w:rsidR="00CB5408" w:rsidRPr="00E672BE">
        <w:rPr>
          <w:rFonts w:cs="Times New Roman"/>
          <w:i/>
          <w:noProof/>
          <w:szCs w:val="24"/>
        </w:rPr>
        <w:t>Wolbachia</w:t>
      </w:r>
      <w:r w:rsidR="00556B2F" w:rsidRPr="00E672BE">
        <w:rPr>
          <w:rFonts w:cs="Times New Roman"/>
          <w:noProof/>
          <w:szCs w:val="24"/>
        </w:rPr>
        <w:t xml:space="preserve"> drug discovery and development: safe macrofilaricides for onchocerciasis and lymphatic filariasis. </w:t>
      </w:r>
      <w:r w:rsidR="00556B2F" w:rsidRPr="00E672BE">
        <w:rPr>
          <w:rFonts w:cs="Times New Roman"/>
          <w:i/>
          <w:iCs/>
          <w:noProof/>
          <w:szCs w:val="24"/>
        </w:rPr>
        <w:t>Parasitology</w:t>
      </w:r>
      <w:r w:rsidR="00556B2F" w:rsidRPr="00E672BE">
        <w:rPr>
          <w:rFonts w:cs="Times New Roman"/>
          <w:noProof/>
          <w:szCs w:val="24"/>
        </w:rPr>
        <w:t xml:space="preserve"> </w:t>
      </w:r>
      <w:r w:rsidR="00556B2F" w:rsidRPr="00E672BE">
        <w:rPr>
          <w:rFonts w:cs="Times New Roman"/>
          <w:b/>
          <w:bCs/>
          <w:noProof/>
          <w:szCs w:val="24"/>
        </w:rPr>
        <w:t>141,</w:t>
      </w:r>
      <w:r w:rsidR="00556B2F" w:rsidRPr="00E672BE">
        <w:rPr>
          <w:rFonts w:cs="Times New Roman"/>
          <w:noProof/>
          <w:szCs w:val="24"/>
        </w:rPr>
        <w:t xml:space="preserve"> 119–27 (2014).</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2.</w:t>
      </w:r>
      <w:r w:rsidRPr="00E672BE">
        <w:rPr>
          <w:rFonts w:cs="Times New Roman"/>
          <w:noProof/>
          <w:szCs w:val="24"/>
        </w:rPr>
        <w:tab/>
        <w:t xml:space="preserve">Burrows, J. N.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The role of modern drug discovery in the fight against neglected and tropical diseases. </w:t>
      </w:r>
      <w:r w:rsidRPr="00E672BE">
        <w:rPr>
          <w:rFonts w:cs="Times New Roman"/>
          <w:i/>
          <w:iCs/>
          <w:noProof/>
          <w:szCs w:val="24"/>
        </w:rPr>
        <w:t>Med</w:t>
      </w:r>
      <w:r w:rsidR="00E0312A" w:rsidRPr="00E672BE">
        <w:rPr>
          <w:rFonts w:cs="Times New Roman"/>
          <w:i/>
          <w:iCs/>
          <w:noProof/>
          <w:szCs w:val="24"/>
        </w:rPr>
        <w:t>C</w:t>
      </w:r>
      <w:r w:rsidRPr="00E672BE">
        <w:rPr>
          <w:rFonts w:cs="Times New Roman"/>
          <w:i/>
          <w:iCs/>
          <w:noProof/>
          <w:szCs w:val="24"/>
        </w:rPr>
        <w:t>hem</w:t>
      </w:r>
      <w:r w:rsidR="00E0312A" w:rsidRPr="00E672BE">
        <w:rPr>
          <w:rFonts w:cs="Times New Roman"/>
          <w:i/>
          <w:iCs/>
          <w:noProof/>
          <w:szCs w:val="24"/>
        </w:rPr>
        <w:t>C</w:t>
      </w:r>
      <w:r w:rsidRPr="00E672BE">
        <w:rPr>
          <w:rFonts w:cs="Times New Roman"/>
          <w:i/>
          <w:iCs/>
          <w:noProof/>
          <w:szCs w:val="24"/>
        </w:rPr>
        <w:t>omm</w:t>
      </w:r>
      <w:r w:rsidRPr="00E672BE">
        <w:rPr>
          <w:rFonts w:cs="Times New Roman"/>
          <w:noProof/>
          <w:szCs w:val="24"/>
        </w:rPr>
        <w:t xml:space="preserve"> </w:t>
      </w:r>
      <w:r w:rsidRPr="00E672BE">
        <w:rPr>
          <w:rFonts w:cs="Times New Roman"/>
          <w:b/>
          <w:bCs/>
          <w:noProof/>
          <w:szCs w:val="24"/>
        </w:rPr>
        <w:t>5,</w:t>
      </w:r>
      <w:r w:rsidRPr="00E672BE">
        <w:rPr>
          <w:rFonts w:cs="Times New Roman"/>
          <w:noProof/>
          <w:szCs w:val="24"/>
        </w:rPr>
        <w:t xml:space="preserve"> 688 (2014).</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3.</w:t>
      </w:r>
      <w:r w:rsidRPr="00E672BE">
        <w:rPr>
          <w:rFonts w:cs="Times New Roman"/>
          <w:noProof/>
          <w:szCs w:val="24"/>
        </w:rPr>
        <w:tab/>
        <w:t xml:space="preserve">Hotez, P. J.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Control of neglected tropical diseases. </w:t>
      </w:r>
      <w:r w:rsidRPr="00E672BE">
        <w:rPr>
          <w:rFonts w:cs="Times New Roman"/>
          <w:i/>
          <w:iCs/>
          <w:noProof/>
          <w:szCs w:val="24"/>
        </w:rPr>
        <w:t>N. Engl. J. Med.</w:t>
      </w:r>
      <w:r w:rsidRPr="00E672BE">
        <w:rPr>
          <w:rFonts w:cs="Times New Roman"/>
          <w:noProof/>
          <w:szCs w:val="24"/>
        </w:rPr>
        <w:t xml:space="preserve"> </w:t>
      </w:r>
      <w:r w:rsidRPr="00E672BE">
        <w:rPr>
          <w:rFonts w:cs="Times New Roman"/>
          <w:b/>
          <w:bCs/>
          <w:noProof/>
          <w:szCs w:val="24"/>
        </w:rPr>
        <w:t>357,</w:t>
      </w:r>
      <w:r w:rsidRPr="00E672BE">
        <w:rPr>
          <w:rFonts w:cs="Times New Roman"/>
          <w:noProof/>
          <w:szCs w:val="24"/>
        </w:rPr>
        <w:t xml:space="preserve"> 1018–1027 (2007).</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4.</w:t>
      </w:r>
      <w:r w:rsidRPr="00E672BE">
        <w:rPr>
          <w:rFonts w:cs="Times New Roman"/>
          <w:noProof/>
          <w:szCs w:val="24"/>
        </w:rPr>
        <w:tab/>
        <w:t xml:space="preserve">Molyneux, D. H., Savioli, L. &amp; Engels, D. Neglected tropical diseases: progress towards addressing the chronic pandemic. </w:t>
      </w:r>
      <w:r w:rsidRPr="00E672BE">
        <w:rPr>
          <w:rFonts w:cs="Times New Roman"/>
          <w:i/>
          <w:iCs/>
          <w:noProof/>
          <w:szCs w:val="24"/>
        </w:rPr>
        <w:t>Lancet</w:t>
      </w:r>
      <w:r w:rsidRPr="00E672BE">
        <w:rPr>
          <w:rFonts w:cs="Times New Roman"/>
          <w:noProof/>
          <w:szCs w:val="24"/>
        </w:rPr>
        <w:t xml:space="preserve"> </w:t>
      </w:r>
      <w:r w:rsidRPr="00E672BE">
        <w:rPr>
          <w:rFonts w:cs="Times New Roman"/>
          <w:b/>
          <w:bCs/>
          <w:noProof/>
          <w:szCs w:val="24"/>
        </w:rPr>
        <w:t>389,</w:t>
      </w:r>
      <w:r w:rsidRPr="00E672BE">
        <w:rPr>
          <w:rFonts w:cs="Times New Roman"/>
          <w:noProof/>
          <w:szCs w:val="24"/>
        </w:rPr>
        <w:t xml:space="preserve"> 312–325 (2017).</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5.</w:t>
      </w:r>
      <w:r w:rsidRPr="00E672BE">
        <w:rPr>
          <w:rFonts w:cs="Times New Roman"/>
          <w:noProof/>
          <w:szCs w:val="24"/>
        </w:rPr>
        <w:tab/>
        <w:t xml:space="preserve">Thomsen, E. K.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Efficacy, Safety, and Pharmacokinetics of Co-Administered Diethylcarbamazine, Albendazole, and Ivermectin for the Treatment of Bancroftian Filariasis. </w:t>
      </w:r>
      <w:r w:rsidRPr="00E672BE">
        <w:rPr>
          <w:rFonts w:cs="Times New Roman"/>
          <w:i/>
          <w:iCs/>
          <w:noProof/>
          <w:szCs w:val="24"/>
        </w:rPr>
        <w:t>Clin. Infect. Dis.</w:t>
      </w:r>
      <w:r w:rsidRPr="00E672BE">
        <w:rPr>
          <w:rFonts w:cs="Times New Roman"/>
          <w:noProof/>
          <w:szCs w:val="24"/>
        </w:rPr>
        <w:t xml:space="preserve"> </w:t>
      </w:r>
      <w:r w:rsidRPr="00E672BE">
        <w:rPr>
          <w:rFonts w:cs="Times New Roman"/>
          <w:b/>
          <w:bCs/>
          <w:noProof/>
          <w:szCs w:val="24"/>
        </w:rPr>
        <w:t>62,</w:t>
      </w:r>
      <w:r w:rsidRPr="00E672BE">
        <w:rPr>
          <w:rFonts w:cs="Times New Roman"/>
          <w:noProof/>
          <w:szCs w:val="24"/>
        </w:rPr>
        <w:t xml:space="preserve"> 1–8 (2015).</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6.</w:t>
      </w:r>
      <w:r w:rsidRPr="00E672BE">
        <w:rPr>
          <w:rFonts w:cs="Times New Roman"/>
          <w:noProof/>
          <w:szCs w:val="24"/>
        </w:rPr>
        <w:tab/>
        <w:t xml:space="preserve">Fischer, P. U., King, C. L., Jacobson, J. A. &amp; Weil, G. J. Potential Value of Triple </w:t>
      </w:r>
      <w:r w:rsidRPr="00E672BE">
        <w:rPr>
          <w:rFonts w:cs="Times New Roman"/>
          <w:noProof/>
          <w:szCs w:val="24"/>
        </w:rPr>
        <w:lastRenderedPageBreak/>
        <w:t xml:space="preserve">Drug Therapy with Ivermectin, Diethylcarbamazine, and Albendazole (IDA) to Accelerate Elimination of Lymphatic Filariasis and Onchocerciasis in Africa. </w:t>
      </w:r>
      <w:r w:rsidRPr="00E672BE">
        <w:rPr>
          <w:rFonts w:cs="Times New Roman"/>
          <w:i/>
          <w:iCs/>
          <w:noProof/>
          <w:szCs w:val="24"/>
        </w:rPr>
        <w:t>PLoS Negl. Trop. Dis.</w:t>
      </w:r>
      <w:r w:rsidRPr="00E672BE">
        <w:rPr>
          <w:rFonts w:cs="Times New Roman"/>
          <w:noProof/>
          <w:szCs w:val="24"/>
        </w:rPr>
        <w:t xml:space="preserve"> </w:t>
      </w:r>
      <w:r w:rsidRPr="00E672BE">
        <w:rPr>
          <w:rFonts w:cs="Times New Roman"/>
          <w:b/>
          <w:bCs/>
          <w:noProof/>
          <w:szCs w:val="24"/>
        </w:rPr>
        <w:t>11,</w:t>
      </w:r>
      <w:r w:rsidRPr="00E672BE">
        <w:rPr>
          <w:rFonts w:cs="Times New Roman"/>
          <w:noProof/>
          <w:szCs w:val="24"/>
        </w:rPr>
        <w:t xml:space="preserve"> e0005163.</w:t>
      </w:r>
      <w:r w:rsidR="00C805CC" w:rsidRPr="00E672BE">
        <w:rPr>
          <w:rFonts w:cs="Times New Roman"/>
          <w:noProof/>
          <w:szCs w:val="24"/>
        </w:rPr>
        <w:t xml:space="preserve"> </w:t>
      </w:r>
      <w:r w:rsidR="00C805CC" w:rsidRPr="00E672BE">
        <w:t>doi:10.1371/ journal.pntd.0005163</w:t>
      </w:r>
      <w:r w:rsidR="002E4C40" w:rsidRPr="00E672BE">
        <w:t xml:space="preserve"> </w:t>
      </w:r>
      <w:r w:rsidR="002E4C40" w:rsidRPr="00E672BE">
        <w:rPr>
          <w:rFonts w:cs="Times New Roman"/>
          <w:noProof/>
          <w:szCs w:val="24"/>
        </w:rPr>
        <w:t>(2017)</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7.</w:t>
      </w:r>
      <w:r w:rsidRPr="00E672BE">
        <w:rPr>
          <w:rFonts w:cs="Times New Roman"/>
          <w:noProof/>
          <w:szCs w:val="24"/>
        </w:rPr>
        <w:tab/>
        <w:t xml:space="preserve">Kamgno, J.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A Test-and-Not-Treat Strategy for Onchocerciasis in </w:t>
      </w:r>
      <w:r w:rsidRPr="00E672BE">
        <w:rPr>
          <w:rFonts w:cs="Times New Roman"/>
          <w:i/>
          <w:iCs/>
          <w:noProof/>
          <w:szCs w:val="24"/>
        </w:rPr>
        <w:t>Loa loa</w:t>
      </w:r>
      <w:r w:rsidRPr="00E672BE">
        <w:rPr>
          <w:rFonts w:cs="Times New Roman"/>
          <w:noProof/>
          <w:szCs w:val="24"/>
        </w:rPr>
        <w:t xml:space="preserve"> –Endemic Areas. </w:t>
      </w:r>
      <w:r w:rsidRPr="00E672BE">
        <w:rPr>
          <w:rFonts w:cs="Times New Roman"/>
          <w:i/>
          <w:iCs/>
          <w:noProof/>
          <w:szCs w:val="24"/>
        </w:rPr>
        <w:t>N. Engl. J. Med.</w:t>
      </w:r>
      <w:r w:rsidRPr="00E672BE">
        <w:rPr>
          <w:rFonts w:cs="Times New Roman"/>
          <w:noProof/>
          <w:szCs w:val="24"/>
        </w:rPr>
        <w:t xml:space="preserve">  </w:t>
      </w:r>
      <w:r w:rsidR="00CB5408" w:rsidRPr="00E672BE">
        <w:rPr>
          <w:rFonts w:cs="Times New Roman"/>
          <w:b/>
          <w:noProof/>
          <w:szCs w:val="24"/>
        </w:rPr>
        <w:t>377</w:t>
      </w:r>
      <w:r w:rsidR="00CB5408" w:rsidRPr="00E672BE">
        <w:rPr>
          <w:rFonts w:cs="Times New Roman"/>
          <w:noProof/>
          <w:szCs w:val="24"/>
        </w:rPr>
        <w:t xml:space="preserve">, 2044-2052 </w:t>
      </w:r>
      <w:r w:rsidRPr="00E672BE">
        <w:rPr>
          <w:rFonts w:cs="Times New Roman"/>
          <w:noProof/>
          <w:szCs w:val="24"/>
        </w:rPr>
        <w:t xml:space="preserve">(2017). </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8.</w:t>
      </w:r>
      <w:r w:rsidRPr="00E672BE">
        <w:rPr>
          <w:rFonts w:cs="Times New Roman"/>
          <w:noProof/>
          <w:szCs w:val="24"/>
        </w:rPr>
        <w:tab/>
        <w:t xml:space="preserve">Wanji, S.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Relationship between oral declaration on adherence to ivermectin treatment and parasitological indicators of onchocerciasis in an area of persistent transmission despite a decade of mass drug administration in Cameroon. </w:t>
      </w:r>
      <w:r w:rsidRPr="00E672BE">
        <w:rPr>
          <w:rFonts w:cs="Times New Roman"/>
          <w:i/>
          <w:iCs/>
          <w:noProof/>
          <w:szCs w:val="24"/>
        </w:rPr>
        <w:t xml:space="preserve">Parasites </w:t>
      </w:r>
      <w:r w:rsidR="00745EC6" w:rsidRPr="00E672BE">
        <w:rPr>
          <w:rFonts w:cs="Times New Roman"/>
          <w:i/>
          <w:iCs/>
          <w:noProof/>
          <w:szCs w:val="24"/>
        </w:rPr>
        <w:t>&amp;</w:t>
      </w:r>
      <w:r w:rsidRPr="00E672BE">
        <w:rPr>
          <w:rFonts w:cs="Times New Roman"/>
          <w:i/>
          <w:iCs/>
          <w:noProof/>
          <w:szCs w:val="24"/>
        </w:rPr>
        <w:t xml:space="preserve"> Vectors</w:t>
      </w:r>
      <w:r w:rsidRPr="00E672BE">
        <w:rPr>
          <w:rFonts w:cs="Times New Roman"/>
          <w:noProof/>
          <w:szCs w:val="24"/>
        </w:rPr>
        <w:t xml:space="preserve"> </w:t>
      </w:r>
      <w:r w:rsidRPr="00E672BE">
        <w:rPr>
          <w:rFonts w:cs="Times New Roman"/>
          <w:b/>
          <w:bCs/>
          <w:noProof/>
          <w:szCs w:val="24"/>
        </w:rPr>
        <w:t>8,</w:t>
      </w:r>
      <w:r w:rsidRPr="00E672BE">
        <w:rPr>
          <w:rFonts w:cs="Times New Roman"/>
          <w:noProof/>
          <w:szCs w:val="24"/>
        </w:rPr>
        <w:t xml:space="preserve"> 1–16 (2015).</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9.</w:t>
      </w:r>
      <w:r w:rsidRPr="00E672BE">
        <w:rPr>
          <w:rFonts w:cs="Times New Roman"/>
          <w:noProof/>
          <w:szCs w:val="24"/>
        </w:rPr>
        <w:tab/>
        <w:t xml:space="preserve">Senyonjo, L.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Factors Associated with Ivermectin Non-Compliance and Its Potential Role in Sustaining </w:t>
      </w:r>
      <w:r w:rsidR="00B21807" w:rsidRPr="00E672BE">
        <w:rPr>
          <w:rFonts w:cs="Times New Roman"/>
          <w:i/>
          <w:noProof/>
          <w:szCs w:val="24"/>
        </w:rPr>
        <w:t>Onchocerca volvulus</w:t>
      </w:r>
      <w:r w:rsidRPr="00E672BE">
        <w:rPr>
          <w:rFonts w:cs="Times New Roman"/>
          <w:noProof/>
          <w:szCs w:val="24"/>
        </w:rPr>
        <w:t xml:space="preserve"> Transmission in the West Region of Cameroon. </w:t>
      </w:r>
      <w:r w:rsidRPr="00E672BE">
        <w:rPr>
          <w:rFonts w:cs="Times New Roman"/>
          <w:i/>
          <w:iCs/>
          <w:noProof/>
          <w:szCs w:val="24"/>
        </w:rPr>
        <w:t>PLoS Negl. Trop. Dis.</w:t>
      </w:r>
      <w:r w:rsidRPr="00E672BE">
        <w:rPr>
          <w:rFonts w:cs="Times New Roman"/>
          <w:noProof/>
          <w:szCs w:val="24"/>
        </w:rPr>
        <w:t xml:space="preserve"> </w:t>
      </w:r>
      <w:r w:rsidRPr="00E672BE">
        <w:rPr>
          <w:rFonts w:cs="Times New Roman"/>
          <w:b/>
          <w:bCs/>
          <w:noProof/>
          <w:szCs w:val="24"/>
        </w:rPr>
        <w:t>10,</w:t>
      </w:r>
      <w:r w:rsidRPr="00E672BE">
        <w:rPr>
          <w:rFonts w:cs="Times New Roman"/>
          <w:noProof/>
          <w:szCs w:val="24"/>
        </w:rPr>
        <w:t xml:space="preserve"> 1–16 (2016).</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10.</w:t>
      </w:r>
      <w:r w:rsidRPr="00E672BE">
        <w:rPr>
          <w:rFonts w:cs="Times New Roman"/>
          <w:noProof/>
          <w:szCs w:val="24"/>
        </w:rPr>
        <w:tab/>
        <w:t xml:space="preserve">Hoerauf, A.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w:t>
      </w:r>
      <w:r w:rsidR="00CB5408" w:rsidRPr="00E672BE">
        <w:rPr>
          <w:rFonts w:cs="Times New Roman"/>
          <w:i/>
          <w:noProof/>
          <w:szCs w:val="24"/>
        </w:rPr>
        <w:t>Wolbachia</w:t>
      </w:r>
      <w:r w:rsidRPr="00E672BE">
        <w:rPr>
          <w:rFonts w:cs="Times New Roman"/>
          <w:noProof/>
          <w:szCs w:val="24"/>
        </w:rPr>
        <w:t xml:space="preserve"> endobacteria depletion by doxycycline as antifilarial therapy has macrofilaricidal activity in onchocerciasis: A randomized placebo-controlled study. </w:t>
      </w:r>
      <w:r w:rsidRPr="00E672BE">
        <w:rPr>
          <w:rFonts w:cs="Times New Roman"/>
          <w:i/>
          <w:iCs/>
          <w:noProof/>
          <w:szCs w:val="24"/>
        </w:rPr>
        <w:t>Med. Microbiol. Immunol.</w:t>
      </w:r>
      <w:r w:rsidRPr="00E672BE">
        <w:rPr>
          <w:rFonts w:cs="Times New Roman"/>
          <w:noProof/>
          <w:szCs w:val="24"/>
        </w:rPr>
        <w:t xml:space="preserve"> </w:t>
      </w:r>
      <w:r w:rsidRPr="00E672BE">
        <w:rPr>
          <w:rFonts w:cs="Times New Roman"/>
          <w:b/>
          <w:bCs/>
          <w:noProof/>
          <w:szCs w:val="24"/>
        </w:rPr>
        <w:t>197,</w:t>
      </w:r>
      <w:r w:rsidRPr="00E672BE">
        <w:rPr>
          <w:rFonts w:cs="Times New Roman"/>
          <w:noProof/>
          <w:szCs w:val="24"/>
        </w:rPr>
        <w:t xml:space="preserve"> 295–311 (2008).</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11.</w:t>
      </w:r>
      <w:r w:rsidRPr="00E672BE">
        <w:rPr>
          <w:rFonts w:cs="Times New Roman"/>
          <w:noProof/>
          <w:szCs w:val="24"/>
        </w:rPr>
        <w:tab/>
        <w:t xml:space="preserve">Turner, J. D.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Macrofilaricidal activity after doxycycline only treatment of </w:t>
      </w:r>
      <w:r w:rsidR="00B21807" w:rsidRPr="00E672BE">
        <w:rPr>
          <w:rFonts w:cs="Times New Roman"/>
          <w:i/>
          <w:noProof/>
          <w:szCs w:val="24"/>
        </w:rPr>
        <w:t xml:space="preserve">Onchocerca volvulus </w:t>
      </w:r>
      <w:r w:rsidRPr="00E672BE">
        <w:rPr>
          <w:rFonts w:cs="Times New Roman"/>
          <w:noProof/>
          <w:szCs w:val="24"/>
        </w:rPr>
        <w:t xml:space="preserve">in an area of </w:t>
      </w:r>
      <w:r w:rsidR="00B21807" w:rsidRPr="00E672BE">
        <w:rPr>
          <w:rFonts w:cs="Times New Roman"/>
          <w:i/>
          <w:noProof/>
          <w:szCs w:val="24"/>
        </w:rPr>
        <w:t>Loa loa</w:t>
      </w:r>
      <w:r w:rsidR="00B21807" w:rsidRPr="00E672BE">
        <w:rPr>
          <w:rFonts w:cs="Times New Roman"/>
          <w:noProof/>
          <w:szCs w:val="24"/>
        </w:rPr>
        <w:t xml:space="preserve"> </w:t>
      </w:r>
      <w:r w:rsidRPr="00E672BE">
        <w:rPr>
          <w:rFonts w:cs="Times New Roman"/>
          <w:noProof/>
          <w:szCs w:val="24"/>
        </w:rPr>
        <w:t xml:space="preserve">co-endemicity: A randomized controlled trial. </w:t>
      </w:r>
      <w:r w:rsidRPr="00E672BE">
        <w:rPr>
          <w:rFonts w:cs="Times New Roman"/>
          <w:i/>
          <w:iCs/>
          <w:noProof/>
          <w:szCs w:val="24"/>
        </w:rPr>
        <w:t>PLoS Negl. Trop. Dis.</w:t>
      </w:r>
      <w:r w:rsidRPr="00E672BE">
        <w:rPr>
          <w:rFonts w:cs="Times New Roman"/>
          <w:noProof/>
          <w:szCs w:val="24"/>
        </w:rPr>
        <w:t xml:space="preserve"> </w:t>
      </w:r>
      <w:r w:rsidRPr="00E672BE">
        <w:rPr>
          <w:rFonts w:cs="Times New Roman"/>
          <w:b/>
          <w:bCs/>
          <w:noProof/>
          <w:szCs w:val="24"/>
        </w:rPr>
        <w:t>4,</w:t>
      </w:r>
      <w:r w:rsidRPr="00E672BE">
        <w:rPr>
          <w:rFonts w:cs="Times New Roman"/>
          <w:noProof/>
          <w:szCs w:val="24"/>
        </w:rPr>
        <w:t xml:space="preserve"> (2010).</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12.</w:t>
      </w:r>
      <w:r w:rsidRPr="00E672BE">
        <w:rPr>
          <w:rFonts w:cs="Times New Roman"/>
          <w:noProof/>
          <w:szCs w:val="24"/>
        </w:rPr>
        <w:tab/>
        <w:t xml:space="preserve">Taylor, M. J.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Macrofilaricidal activity after doxycycline treatment of</w:t>
      </w:r>
      <w:r w:rsidR="00B21807" w:rsidRPr="00E672BE">
        <w:rPr>
          <w:rFonts w:cs="Times New Roman"/>
          <w:i/>
          <w:noProof/>
          <w:szCs w:val="24"/>
        </w:rPr>
        <w:t xml:space="preserve"> Wuchereria bancrofti</w:t>
      </w:r>
      <w:r w:rsidRPr="00E672BE">
        <w:rPr>
          <w:rFonts w:cs="Times New Roman"/>
          <w:noProof/>
          <w:szCs w:val="24"/>
        </w:rPr>
        <w:t xml:space="preserve">: a double-blind, randomised placebo-controlled trial. </w:t>
      </w:r>
      <w:r w:rsidRPr="00E672BE">
        <w:rPr>
          <w:rFonts w:cs="Times New Roman"/>
          <w:i/>
          <w:iCs/>
          <w:noProof/>
          <w:szCs w:val="24"/>
        </w:rPr>
        <w:t>Lancet</w:t>
      </w:r>
      <w:r w:rsidRPr="00E672BE">
        <w:rPr>
          <w:rFonts w:cs="Times New Roman"/>
          <w:noProof/>
          <w:szCs w:val="24"/>
        </w:rPr>
        <w:t xml:space="preserve"> </w:t>
      </w:r>
      <w:r w:rsidRPr="00E672BE">
        <w:rPr>
          <w:rFonts w:cs="Times New Roman"/>
          <w:b/>
          <w:bCs/>
          <w:noProof/>
          <w:szCs w:val="24"/>
        </w:rPr>
        <w:t>365,</w:t>
      </w:r>
      <w:r w:rsidRPr="00E672BE">
        <w:rPr>
          <w:rFonts w:cs="Times New Roman"/>
          <w:noProof/>
          <w:szCs w:val="24"/>
        </w:rPr>
        <w:t xml:space="preserve"> 2116–2121 (2005).</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13.</w:t>
      </w:r>
      <w:r w:rsidRPr="00E672BE">
        <w:rPr>
          <w:rFonts w:cs="Times New Roman"/>
          <w:noProof/>
          <w:szCs w:val="24"/>
        </w:rPr>
        <w:tab/>
        <w:t xml:space="preserve">Walker, M. </w:t>
      </w:r>
      <w:r w:rsidRPr="00E672BE">
        <w:rPr>
          <w:rFonts w:cs="Times New Roman"/>
          <w:iCs/>
          <w:noProof/>
          <w:szCs w:val="24"/>
        </w:rPr>
        <w:t>et al.</w:t>
      </w:r>
      <w:r w:rsidRPr="00E672BE">
        <w:rPr>
          <w:rFonts w:cs="Times New Roman"/>
          <w:noProof/>
          <w:szCs w:val="24"/>
        </w:rPr>
        <w:t xml:space="preserve"> Therapeutic efficacy and macrofilaricidal activity of doxycycline for the treatment of river blindness. </w:t>
      </w:r>
      <w:r w:rsidRPr="00E672BE">
        <w:rPr>
          <w:rFonts w:cs="Times New Roman"/>
          <w:i/>
          <w:iCs/>
          <w:noProof/>
          <w:szCs w:val="24"/>
        </w:rPr>
        <w:t>Clin. Infect. Dis.</w:t>
      </w:r>
      <w:r w:rsidRPr="00E672BE">
        <w:rPr>
          <w:rFonts w:cs="Times New Roman"/>
          <w:noProof/>
          <w:szCs w:val="24"/>
        </w:rPr>
        <w:t xml:space="preserve"> </w:t>
      </w:r>
      <w:r w:rsidRPr="00E672BE">
        <w:rPr>
          <w:rFonts w:cs="Times New Roman"/>
          <w:b/>
          <w:bCs/>
          <w:noProof/>
          <w:szCs w:val="24"/>
        </w:rPr>
        <w:t>60,</w:t>
      </w:r>
      <w:r w:rsidRPr="00E672BE">
        <w:rPr>
          <w:rFonts w:cs="Times New Roman"/>
          <w:noProof/>
          <w:szCs w:val="24"/>
        </w:rPr>
        <w:t xml:space="preserve"> 1199–1207 (2015).</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lastRenderedPageBreak/>
        <w:t>14.</w:t>
      </w:r>
      <w:r w:rsidRPr="00E672BE">
        <w:rPr>
          <w:rFonts w:cs="Times New Roman"/>
          <w:noProof/>
          <w:szCs w:val="24"/>
        </w:rPr>
        <w:tab/>
        <w:t xml:space="preserve">Debrah, A. Y. </w:t>
      </w:r>
      <w:r w:rsidRPr="00E672BE">
        <w:rPr>
          <w:rFonts w:cs="Times New Roman"/>
          <w:iCs/>
          <w:noProof/>
          <w:szCs w:val="24"/>
        </w:rPr>
        <w:t>et al.</w:t>
      </w:r>
      <w:r w:rsidRPr="00E672BE">
        <w:rPr>
          <w:rFonts w:cs="Times New Roman"/>
          <w:noProof/>
          <w:szCs w:val="24"/>
        </w:rPr>
        <w:t xml:space="preserve"> Macrofilaricidal effect of 4</w:t>
      </w:r>
      <w:r w:rsidRPr="00E672BE">
        <w:rPr>
          <w:rFonts w:cs="Times New Roman"/>
          <w:noProof/>
          <w:szCs w:val="24"/>
        </w:rPr>
        <w:t> </w:t>
      </w:r>
      <w:r w:rsidRPr="00E672BE">
        <w:rPr>
          <w:rFonts w:cs="Times New Roman"/>
          <w:noProof/>
          <w:szCs w:val="24"/>
        </w:rPr>
        <w:t xml:space="preserve">weeks of treatment with doxycycline on </w:t>
      </w:r>
      <w:r w:rsidR="00B21807" w:rsidRPr="00E672BE">
        <w:rPr>
          <w:rFonts w:cs="Times New Roman"/>
          <w:i/>
          <w:noProof/>
          <w:szCs w:val="24"/>
        </w:rPr>
        <w:t>Wuchereria bancrofti</w:t>
      </w:r>
      <w:r w:rsidRPr="00E672BE">
        <w:rPr>
          <w:rFonts w:cs="Times New Roman"/>
          <w:noProof/>
          <w:szCs w:val="24"/>
        </w:rPr>
        <w:t xml:space="preserve">. </w:t>
      </w:r>
      <w:r w:rsidRPr="00E672BE">
        <w:rPr>
          <w:rFonts w:cs="Times New Roman"/>
          <w:i/>
          <w:iCs/>
          <w:noProof/>
          <w:szCs w:val="24"/>
        </w:rPr>
        <w:t>Trop. Med. Int. Heal</w:t>
      </w:r>
      <w:r w:rsidR="00745EC6" w:rsidRPr="00E672BE">
        <w:rPr>
          <w:rFonts w:cs="Times New Roman"/>
          <w:i/>
          <w:iCs/>
          <w:noProof/>
          <w:szCs w:val="24"/>
        </w:rPr>
        <w:t>th</w:t>
      </w:r>
      <w:r w:rsidRPr="00E672BE">
        <w:rPr>
          <w:rFonts w:cs="Times New Roman"/>
          <w:i/>
          <w:iCs/>
          <w:noProof/>
          <w:szCs w:val="24"/>
        </w:rPr>
        <w:t>.</w:t>
      </w:r>
      <w:r w:rsidRPr="00E672BE">
        <w:rPr>
          <w:rFonts w:cs="Times New Roman"/>
          <w:noProof/>
          <w:szCs w:val="24"/>
        </w:rPr>
        <w:t xml:space="preserve"> </w:t>
      </w:r>
      <w:r w:rsidRPr="00E672BE">
        <w:rPr>
          <w:rFonts w:cs="Times New Roman"/>
          <w:b/>
          <w:bCs/>
          <w:noProof/>
          <w:szCs w:val="24"/>
        </w:rPr>
        <w:t>12,</w:t>
      </w:r>
      <w:r w:rsidRPr="00E672BE">
        <w:rPr>
          <w:rFonts w:cs="Times New Roman"/>
          <w:noProof/>
          <w:szCs w:val="24"/>
        </w:rPr>
        <w:t xml:space="preserve"> 1433–1441 (2007).</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15.</w:t>
      </w:r>
      <w:r w:rsidRPr="00E672BE">
        <w:rPr>
          <w:rFonts w:cs="Times New Roman"/>
          <w:noProof/>
          <w:szCs w:val="24"/>
        </w:rPr>
        <w:tab/>
        <w:t xml:space="preserve">Debrah, A. Y. </w:t>
      </w:r>
      <w:r w:rsidRPr="00E672BE">
        <w:rPr>
          <w:rFonts w:cs="Times New Roman"/>
          <w:iCs/>
          <w:noProof/>
          <w:szCs w:val="24"/>
        </w:rPr>
        <w:t>et al.</w:t>
      </w:r>
      <w:r w:rsidRPr="00E672BE">
        <w:rPr>
          <w:rFonts w:cs="Times New Roman"/>
          <w:noProof/>
          <w:szCs w:val="24"/>
        </w:rPr>
        <w:t xml:space="preserve"> Macrofilaricidal activity in </w:t>
      </w:r>
      <w:r w:rsidR="00B21807" w:rsidRPr="00E672BE">
        <w:rPr>
          <w:rFonts w:cs="Times New Roman"/>
          <w:i/>
          <w:noProof/>
          <w:szCs w:val="24"/>
        </w:rPr>
        <w:t>Wuchereria bancrofti</w:t>
      </w:r>
      <w:r w:rsidR="00B21807" w:rsidRPr="00E672BE">
        <w:rPr>
          <w:rFonts w:cs="Times New Roman"/>
          <w:noProof/>
          <w:szCs w:val="24"/>
        </w:rPr>
        <w:t xml:space="preserve"> </w:t>
      </w:r>
      <w:r w:rsidRPr="00E672BE">
        <w:rPr>
          <w:rFonts w:cs="Times New Roman"/>
          <w:noProof/>
          <w:szCs w:val="24"/>
        </w:rPr>
        <w:t xml:space="preserve">after 2 weeks treatment with a combination of rifampicin plus doxycycline. </w:t>
      </w:r>
      <w:r w:rsidRPr="00E672BE">
        <w:rPr>
          <w:rFonts w:cs="Times New Roman"/>
          <w:i/>
          <w:iCs/>
          <w:noProof/>
          <w:szCs w:val="24"/>
        </w:rPr>
        <w:t>J. Parasitol. Res.</w:t>
      </w:r>
      <w:r w:rsidRPr="00E672BE">
        <w:rPr>
          <w:rFonts w:cs="Times New Roman"/>
          <w:noProof/>
          <w:szCs w:val="24"/>
        </w:rPr>
        <w:t xml:space="preserve"> </w:t>
      </w:r>
      <w:r w:rsidRPr="00E672BE">
        <w:rPr>
          <w:rFonts w:cs="Times New Roman"/>
          <w:b/>
          <w:bCs/>
          <w:noProof/>
          <w:szCs w:val="24"/>
        </w:rPr>
        <w:t>2011,</w:t>
      </w:r>
      <w:r w:rsidRPr="00E672BE">
        <w:rPr>
          <w:rFonts w:cs="Times New Roman"/>
          <w:noProof/>
          <w:szCs w:val="24"/>
        </w:rPr>
        <w:t xml:space="preserve"> 1–9 (2011).</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16.</w:t>
      </w:r>
      <w:r w:rsidRPr="00E672BE">
        <w:rPr>
          <w:rFonts w:cs="Times New Roman"/>
          <w:noProof/>
          <w:szCs w:val="24"/>
        </w:rPr>
        <w:tab/>
        <w:t xml:space="preserve">Debrah, A. Y.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Doxycycline Leads to Sterility and Enhanced Killing of Female </w:t>
      </w:r>
      <w:r w:rsidR="00B21807" w:rsidRPr="00E672BE">
        <w:rPr>
          <w:rFonts w:cs="Times New Roman"/>
          <w:i/>
          <w:noProof/>
          <w:szCs w:val="24"/>
        </w:rPr>
        <w:t>Onchocerca volvulus</w:t>
      </w:r>
      <w:r w:rsidR="00B21807" w:rsidRPr="00E672BE">
        <w:rPr>
          <w:rFonts w:cs="Times New Roman"/>
          <w:noProof/>
          <w:szCs w:val="24"/>
        </w:rPr>
        <w:t xml:space="preserve"> </w:t>
      </w:r>
      <w:r w:rsidRPr="00E672BE">
        <w:rPr>
          <w:rFonts w:cs="Times New Roman"/>
          <w:noProof/>
          <w:szCs w:val="24"/>
        </w:rPr>
        <w:t xml:space="preserve">Worms in an Area With Persistent Microfilaridermia After Repeated Ivermectin Treatment: A Randomized, Placebo-Controlled, Double-Blind Trial. </w:t>
      </w:r>
      <w:r w:rsidRPr="00E672BE">
        <w:rPr>
          <w:rFonts w:cs="Times New Roman"/>
          <w:i/>
          <w:iCs/>
          <w:noProof/>
          <w:szCs w:val="24"/>
        </w:rPr>
        <w:t>Clin. Infect. Dis.</w:t>
      </w:r>
      <w:r w:rsidRPr="00E672BE">
        <w:rPr>
          <w:rFonts w:cs="Times New Roman"/>
          <w:noProof/>
          <w:szCs w:val="24"/>
        </w:rPr>
        <w:t xml:space="preserve"> </w:t>
      </w:r>
      <w:r w:rsidRPr="00E672BE">
        <w:rPr>
          <w:rFonts w:cs="Times New Roman"/>
          <w:b/>
          <w:bCs/>
          <w:noProof/>
          <w:szCs w:val="24"/>
        </w:rPr>
        <w:t>61,</w:t>
      </w:r>
      <w:r w:rsidRPr="00E672BE">
        <w:rPr>
          <w:rFonts w:cs="Times New Roman"/>
          <w:noProof/>
          <w:szCs w:val="24"/>
        </w:rPr>
        <w:t xml:space="preserve"> 517–26 (2015).</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17.</w:t>
      </w:r>
      <w:r w:rsidRPr="00E672BE">
        <w:rPr>
          <w:rFonts w:cs="Times New Roman"/>
          <w:noProof/>
          <w:szCs w:val="24"/>
        </w:rPr>
        <w:tab/>
        <w:t xml:space="preserve">Johnston, K. L., Ford, L. &amp; Taylor, M. J. M. Overcoming the Challenges of Drug Discovery for Neglected Tropical Diseases: The A· WOL Experience. </w:t>
      </w:r>
      <w:r w:rsidRPr="00E672BE">
        <w:rPr>
          <w:rFonts w:cs="Times New Roman"/>
          <w:i/>
          <w:iCs/>
          <w:noProof/>
          <w:szCs w:val="24"/>
        </w:rPr>
        <w:t>J. Biomol. Screen.</w:t>
      </w:r>
      <w:r w:rsidRPr="00E672BE">
        <w:rPr>
          <w:rFonts w:cs="Times New Roman"/>
          <w:noProof/>
          <w:szCs w:val="24"/>
        </w:rPr>
        <w:t xml:space="preserve"> </w:t>
      </w:r>
      <w:r w:rsidRPr="00E672BE">
        <w:rPr>
          <w:rFonts w:cs="Times New Roman"/>
          <w:b/>
          <w:bCs/>
          <w:noProof/>
          <w:szCs w:val="24"/>
        </w:rPr>
        <w:t>19,</w:t>
      </w:r>
      <w:r w:rsidRPr="00E672BE">
        <w:rPr>
          <w:rFonts w:cs="Times New Roman"/>
          <w:noProof/>
          <w:szCs w:val="24"/>
        </w:rPr>
        <w:t xml:space="preserve"> 335–343 (2014).</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18.</w:t>
      </w:r>
      <w:r w:rsidRPr="00E672BE">
        <w:rPr>
          <w:rFonts w:cs="Times New Roman"/>
          <w:noProof/>
          <w:szCs w:val="24"/>
        </w:rPr>
        <w:tab/>
        <w:t xml:space="preserve">Clare, R. H.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Development and Validation of a High-Throughput Anti-</w:t>
      </w:r>
      <w:r w:rsidR="00CB5408" w:rsidRPr="00E672BE">
        <w:rPr>
          <w:rFonts w:cs="Times New Roman"/>
          <w:i/>
          <w:noProof/>
          <w:szCs w:val="24"/>
        </w:rPr>
        <w:t>Wolbachia</w:t>
      </w:r>
      <w:r w:rsidRPr="00E672BE">
        <w:rPr>
          <w:rFonts w:cs="Times New Roman"/>
          <w:noProof/>
          <w:szCs w:val="24"/>
        </w:rPr>
        <w:t xml:space="preserve"> Whole-Cell Screen: A Route to Macrofilaricidal Drugs against Onchocerciasis and Lymphatic Filariasis. </w:t>
      </w:r>
      <w:r w:rsidRPr="00E672BE">
        <w:rPr>
          <w:rFonts w:cs="Times New Roman"/>
          <w:i/>
          <w:iCs/>
          <w:noProof/>
          <w:szCs w:val="24"/>
        </w:rPr>
        <w:t>J. Biomol. Screen.</w:t>
      </w:r>
      <w:r w:rsidRPr="00E672BE">
        <w:rPr>
          <w:rFonts w:cs="Times New Roman"/>
          <w:noProof/>
          <w:szCs w:val="24"/>
        </w:rPr>
        <w:t xml:space="preserve"> </w:t>
      </w:r>
      <w:r w:rsidRPr="00E672BE">
        <w:rPr>
          <w:rFonts w:cs="Times New Roman"/>
          <w:b/>
          <w:bCs/>
          <w:noProof/>
          <w:szCs w:val="24"/>
        </w:rPr>
        <w:t>20,</w:t>
      </w:r>
      <w:r w:rsidRPr="00E672BE">
        <w:rPr>
          <w:rFonts w:cs="Times New Roman"/>
          <w:noProof/>
          <w:szCs w:val="24"/>
        </w:rPr>
        <w:t xml:space="preserve"> 64–69 (2014).</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19.</w:t>
      </w:r>
      <w:r w:rsidRPr="00E672BE">
        <w:rPr>
          <w:rFonts w:cs="Times New Roman"/>
          <w:noProof/>
          <w:szCs w:val="24"/>
        </w:rPr>
        <w:tab/>
        <w:t xml:space="preserve">Johnston, K. L.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Identification and prioritization of novel anti-</w:t>
      </w:r>
      <w:r w:rsidR="00CB5408" w:rsidRPr="00E672BE">
        <w:rPr>
          <w:rFonts w:cs="Times New Roman"/>
          <w:i/>
          <w:noProof/>
          <w:szCs w:val="24"/>
        </w:rPr>
        <w:t>Wolbachia</w:t>
      </w:r>
      <w:r w:rsidRPr="00E672BE">
        <w:rPr>
          <w:rFonts w:cs="Times New Roman"/>
          <w:noProof/>
          <w:szCs w:val="24"/>
        </w:rPr>
        <w:t xml:space="preserve"> chemotypes from screening a 10,000-compound diversity library. </w:t>
      </w:r>
      <w:r w:rsidRPr="00E672BE">
        <w:rPr>
          <w:rFonts w:cs="Times New Roman"/>
          <w:i/>
          <w:iCs/>
          <w:noProof/>
          <w:szCs w:val="24"/>
        </w:rPr>
        <w:t>Sci. Adv.</w:t>
      </w:r>
      <w:r w:rsidRPr="00E672BE">
        <w:rPr>
          <w:rFonts w:cs="Times New Roman"/>
          <w:noProof/>
          <w:szCs w:val="24"/>
        </w:rPr>
        <w:t xml:space="preserve"> </w:t>
      </w:r>
      <w:r w:rsidRPr="00E672BE">
        <w:rPr>
          <w:rFonts w:cs="Times New Roman"/>
          <w:b/>
          <w:bCs/>
          <w:noProof/>
          <w:szCs w:val="24"/>
        </w:rPr>
        <w:t>36,</w:t>
      </w:r>
      <w:r w:rsidRPr="00E672BE">
        <w:rPr>
          <w:rFonts w:cs="Times New Roman"/>
          <w:noProof/>
          <w:szCs w:val="24"/>
        </w:rPr>
        <w:t xml:space="preserve"> 1–11 (2017).</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20.</w:t>
      </w:r>
      <w:r w:rsidRPr="00E672BE">
        <w:rPr>
          <w:rFonts w:cs="Times New Roman"/>
          <w:noProof/>
          <w:szCs w:val="24"/>
        </w:rPr>
        <w:tab/>
        <w:t xml:space="preserve">Johnston, K. L.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Repurposing of approved drugs from the human pharmacopoeia to target </w:t>
      </w:r>
      <w:r w:rsidR="00CB5408" w:rsidRPr="00E672BE">
        <w:rPr>
          <w:rFonts w:cs="Times New Roman"/>
          <w:i/>
          <w:noProof/>
          <w:szCs w:val="24"/>
        </w:rPr>
        <w:t>Wolbachia</w:t>
      </w:r>
      <w:r w:rsidRPr="00E672BE">
        <w:rPr>
          <w:rFonts w:cs="Times New Roman"/>
          <w:noProof/>
          <w:szCs w:val="24"/>
        </w:rPr>
        <w:t xml:space="preserve"> endosymbionts of onchocerciasis and lymphatic filariasis. </w:t>
      </w:r>
      <w:r w:rsidRPr="00E672BE">
        <w:rPr>
          <w:rFonts w:cs="Times New Roman"/>
          <w:i/>
          <w:iCs/>
          <w:noProof/>
          <w:szCs w:val="24"/>
        </w:rPr>
        <w:t>Int. J. Parasitol. Drugs Drug Resist.</w:t>
      </w:r>
      <w:r w:rsidRPr="00E672BE">
        <w:rPr>
          <w:rFonts w:cs="Times New Roman"/>
          <w:noProof/>
          <w:szCs w:val="24"/>
        </w:rPr>
        <w:t xml:space="preserve"> </w:t>
      </w:r>
      <w:r w:rsidRPr="00E672BE">
        <w:rPr>
          <w:rFonts w:cs="Times New Roman"/>
          <w:b/>
          <w:bCs/>
          <w:noProof/>
          <w:szCs w:val="24"/>
        </w:rPr>
        <w:t>4,</w:t>
      </w:r>
      <w:r w:rsidRPr="00E672BE">
        <w:rPr>
          <w:rFonts w:cs="Times New Roman"/>
          <w:noProof/>
          <w:szCs w:val="24"/>
        </w:rPr>
        <w:t xml:space="preserve"> 278–286 (2014).</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21.</w:t>
      </w:r>
      <w:r w:rsidRPr="00E672BE">
        <w:rPr>
          <w:rFonts w:cs="Times New Roman"/>
          <w:noProof/>
          <w:szCs w:val="24"/>
        </w:rPr>
        <w:tab/>
        <w:t xml:space="preserve">Oprea, T. I. &amp; Gottfries, J. Chemography: The art of navigating in chemical space. </w:t>
      </w:r>
      <w:r w:rsidRPr="00E672BE">
        <w:rPr>
          <w:rFonts w:cs="Times New Roman"/>
          <w:i/>
          <w:iCs/>
          <w:noProof/>
          <w:szCs w:val="24"/>
        </w:rPr>
        <w:t>J. Comb. Chem.</w:t>
      </w:r>
      <w:r w:rsidRPr="00E672BE">
        <w:rPr>
          <w:rFonts w:cs="Times New Roman"/>
          <w:noProof/>
          <w:szCs w:val="24"/>
        </w:rPr>
        <w:t xml:space="preserve"> </w:t>
      </w:r>
      <w:r w:rsidRPr="00E672BE">
        <w:rPr>
          <w:rFonts w:cs="Times New Roman"/>
          <w:b/>
          <w:bCs/>
          <w:noProof/>
          <w:szCs w:val="24"/>
        </w:rPr>
        <w:t>3,</w:t>
      </w:r>
      <w:r w:rsidRPr="00E672BE">
        <w:rPr>
          <w:rFonts w:cs="Times New Roman"/>
          <w:noProof/>
          <w:szCs w:val="24"/>
        </w:rPr>
        <w:t xml:space="preserve"> 157–166 (2001).</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lastRenderedPageBreak/>
        <w:t>22.</w:t>
      </w:r>
      <w:r w:rsidRPr="00E672BE">
        <w:rPr>
          <w:rFonts w:cs="Times New Roman"/>
          <w:noProof/>
          <w:szCs w:val="24"/>
        </w:rPr>
        <w:tab/>
        <w:t xml:space="preserve">Rishton, G. M. Reactive compounds and in vitro false positives in HTS. </w:t>
      </w:r>
      <w:r w:rsidRPr="00E672BE">
        <w:rPr>
          <w:rFonts w:cs="Times New Roman"/>
          <w:i/>
          <w:iCs/>
          <w:noProof/>
          <w:szCs w:val="24"/>
        </w:rPr>
        <w:t>Drug Discov. Today</w:t>
      </w:r>
      <w:r w:rsidRPr="00E672BE">
        <w:rPr>
          <w:rFonts w:cs="Times New Roman"/>
          <w:noProof/>
          <w:szCs w:val="24"/>
        </w:rPr>
        <w:t xml:space="preserve"> </w:t>
      </w:r>
      <w:r w:rsidRPr="00E672BE">
        <w:rPr>
          <w:rFonts w:cs="Times New Roman"/>
          <w:b/>
          <w:bCs/>
          <w:noProof/>
          <w:szCs w:val="24"/>
        </w:rPr>
        <w:t>2,</w:t>
      </w:r>
      <w:r w:rsidRPr="00E672BE">
        <w:rPr>
          <w:rFonts w:cs="Times New Roman"/>
          <w:noProof/>
          <w:szCs w:val="24"/>
        </w:rPr>
        <w:t xml:space="preserve"> 382–384 (1997).</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23.</w:t>
      </w:r>
      <w:r w:rsidRPr="00E672BE">
        <w:rPr>
          <w:rFonts w:cs="Times New Roman"/>
          <w:noProof/>
          <w:szCs w:val="24"/>
        </w:rPr>
        <w:tab/>
        <w:t xml:space="preserve">Hann, M.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Strategic pooling of compounds for high-throughput screening. </w:t>
      </w:r>
      <w:r w:rsidRPr="00E672BE">
        <w:rPr>
          <w:rFonts w:cs="Times New Roman"/>
          <w:i/>
          <w:iCs/>
          <w:noProof/>
          <w:szCs w:val="24"/>
        </w:rPr>
        <w:t>J. Chem. Inf. Comput. Sci.</w:t>
      </w:r>
      <w:r w:rsidRPr="00E672BE">
        <w:rPr>
          <w:rFonts w:cs="Times New Roman"/>
          <w:noProof/>
          <w:szCs w:val="24"/>
        </w:rPr>
        <w:t xml:space="preserve"> </w:t>
      </w:r>
      <w:r w:rsidRPr="00E672BE">
        <w:rPr>
          <w:rFonts w:cs="Times New Roman"/>
          <w:b/>
          <w:bCs/>
          <w:noProof/>
          <w:szCs w:val="24"/>
        </w:rPr>
        <w:t>39,</w:t>
      </w:r>
      <w:r w:rsidRPr="00E672BE">
        <w:rPr>
          <w:rFonts w:cs="Times New Roman"/>
          <w:noProof/>
          <w:szCs w:val="24"/>
        </w:rPr>
        <w:t xml:space="preserve"> 897–902 (1999).</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24.</w:t>
      </w:r>
      <w:r w:rsidRPr="00E672BE">
        <w:rPr>
          <w:rFonts w:cs="Times New Roman"/>
          <w:noProof/>
          <w:szCs w:val="24"/>
        </w:rPr>
        <w:tab/>
        <w:t xml:space="preserve">Oprea, T. I. Property distribution of drug-related chemical databases. </w:t>
      </w:r>
      <w:r w:rsidRPr="00E672BE">
        <w:rPr>
          <w:rFonts w:cs="Times New Roman"/>
          <w:i/>
          <w:iCs/>
          <w:noProof/>
          <w:szCs w:val="24"/>
        </w:rPr>
        <w:t>J. Comput. Aided. Mol. Des.</w:t>
      </w:r>
      <w:r w:rsidRPr="00E672BE">
        <w:rPr>
          <w:rFonts w:cs="Times New Roman"/>
          <w:noProof/>
          <w:szCs w:val="24"/>
        </w:rPr>
        <w:t xml:space="preserve"> </w:t>
      </w:r>
      <w:r w:rsidRPr="00E672BE">
        <w:rPr>
          <w:rFonts w:cs="Times New Roman"/>
          <w:b/>
          <w:bCs/>
          <w:noProof/>
          <w:szCs w:val="24"/>
        </w:rPr>
        <w:t>14,</w:t>
      </w:r>
      <w:r w:rsidRPr="00E672BE">
        <w:rPr>
          <w:rFonts w:cs="Times New Roman"/>
          <w:noProof/>
          <w:szCs w:val="24"/>
        </w:rPr>
        <w:t xml:space="preserve"> 251–64 (2000).</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25.</w:t>
      </w:r>
      <w:r w:rsidRPr="00E672BE">
        <w:rPr>
          <w:rFonts w:cs="Times New Roman"/>
          <w:noProof/>
          <w:szCs w:val="24"/>
        </w:rPr>
        <w:tab/>
        <w:t xml:space="preserve">Muegge, I. Selection criteria for drug-like compounds. </w:t>
      </w:r>
      <w:r w:rsidRPr="00E672BE">
        <w:rPr>
          <w:rFonts w:cs="Times New Roman"/>
          <w:i/>
          <w:iCs/>
          <w:noProof/>
          <w:szCs w:val="24"/>
        </w:rPr>
        <w:t>Med. Res. Rev.</w:t>
      </w:r>
      <w:r w:rsidRPr="00E672BE">
        <w:rPr>
          <w:rFonts w:cs="Times New Roman"/>
          <w:noProof/>
          <w:szCs w:val="24"/>
        </w:rPr>
        <w:t xml:space="preserve"> </w:t>
      </w:r>
      <w:r w:rsidRPr="00E672BE">
        <w:rPr>
          <w:rFonts w:cs="Times New Roman"/>
          <w:b/>
          <w:bCs/>
          <w:noProof/>
          <w:szCs w:val="24"/>
        </w:rPr>
        <w:t>23,</w:t>
      </w:r>
      <w:r w:rsidRPr="00E672BE">
        <w:rPr>
          <w:rFonts w:cs="Times New Roman"/>
          <w:noProof/>
          <w:szCs w:val="24"/>
        </w:rPr>
        <w:t xml:space="preserve"> 302–321 (2003).</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26.</w:t>
      </w:r>
      <w:r w:rsidRPr="00E672BE">
        <w:rPr>
          <w:rFonts w:cs="Times New Roman"/>
          <w:noProof/>
          <w:szCs w:val="24"/>
        </w:rPr>
        <w:tab/>
        <w:t xml:space="preserve">Baell, J. B. &amp; Holloway, G. A. New Substructure Filters for Removal of Pan Assay Interference Compounds (PAINS) from Screening Libraries and for Their Exclusion in Bioassays. </w:t>
      </w:r>
      <w:r w:rsidRPr="00E672BE">
        <w:rPr>
          <w:rFonts w:cs="Times New Roman"/>
          <w:i/>
          <w:iCs/>
          <w:noProof/>
          <w:szCs w:val="24"/>
        </w:rPr>
        <w:t>J. Med. Chem.</w:t>
      </w:r>
      <w:r w:rsidRPr="00E672BE">
        <w:rPr>
          <w:rFonts w:cs="Times New Roman"/>
          <w:noProof/>
          <w:szCs w:val="24"/>
        </w:rPr>
        <w:t xml:space="preserve"> </w:t>
      </w:r>
      <w:r w:rsidRPr="00E672BE">
        <w:rPr>
          <w:rFonts w:cs="Times New Roman"/>
          <w:b/>
          <w:bCs/>
          <w:noProof/>
          <w:szCs w:val="24"/>
        </w:rPr>
        <w:t>53,</w:t>
      </w:r>
      <w:r w:rsidRPr="00E672BE">
        <w:rPr>
          <w:rFonts w:cs="Times New Roman"/>
          <w:noProof/>
          <w:szCs w:val="24"/>
        </w:rPr>
        <w:t xml:space="preserve"> 2719–2740 (2010).</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27.</w:t>
      </w:r>
      <w:r w:rsidRPr="00E672BE">
        <w:rPr>
          <w:rFonts w:cs="Times New Roman"/>
          <w:noProof/>
          <w:szCs w:val="24"/>
        </w:rPr>
        <w:tab/>
        <w:t xml:space="preserve">Rogers, D. &amp; Hahn, M. Extended-Connectivity Fingerprints. </w:t>
      </w:r>
      <w:r w:rsidRPr="00E672BE">
        <w:rPr>
          <w:rFonts w:cs="Times New Roman"/>
          <w:i/>
          <w:iCs/>
          <w:noProof/>
          <w:szCs w:val="24"/>
        </w:rPr>
        <w:t>J. Chem. Inf. Model.</w:t>
      </w:r>
      <w:r w:rsidRPr="00E672BE">
        <w:rPr>
          <w:rFonts w:cs="Times New Roman"/>
          <w:noProof/>
          <w:szCs w:val="24"/>
        </w:rPr>
        <w:t xml:space="preserve"> </w:t>
      </w:r>
      <w:r w:rsidRPr="00E672BE">
        <w:rPr>
          <w:rFonts w:cs="Times New Roman"/>
          <w:b/>
          <w:bCs/>
          <w:noProof/>
          <w:szCs w:val="24"/>
        </w:rPr>
        <w:t>50,</w:t>
      </w:r>
      <w:r w:rsidRPr="00E672BE">
        <w:rPr>
          <w:rFonts w:cs="Times New Roman"/>
          <w:noProof/>
          <w:szCs w:val="24"/>
        </w:rPr>
        <w:t xml:space="preserve"> 742–754 (2010).</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28.</w:t>
      </w:r>
      <w:r w:rsidRPr="00E672BE">
        <w:rPr>
          <w:rFonts w:cs="Times New Roman"/>
          <w:noProof/>
          <w:szCs w:val="24"/>
        </w:rPr>
        <w:tab/>
        <w:t xml:space="preserve">Tarcsay, Á., Nyíri, K. &amp; Keserű, G. M. Impact of Lipophilic Efficiency on Compound Quality. </w:t>
      </w:r>
      <w:r w:rsidRPr="00E672BE">
        <w:rPr>
          <w:rFonts w:cs="Times New Roman"/>
          <w:i/>
          <w:iCs/>
          <w:noProof/>
          <w:szCs w:val="24"/>
        </w:rPr>
        <w:t>J. Med. Chem.</w:t>
      </w:r>
      <w:r w:rsidRPr="00E672BE">
        <w:rPr>
          <w:rFonts w:cs="Times New Roman"/>
          <w:noProof/>
          <w:szCs w:val="24"/>
        </w:rPr>
        <w:t xml:space="preserve"> </w:t>
      </w:r>
      <w:r w:rsidRPr="00E672BE">
        <w:rPr>
          <w:rFonts w:cs="Times New Roman"/>
          <w:b/>
          <w:bCs/>
          <w:noProof/>
          <w:szCs w:val="24"/>
        </w:rPr>
        <w:t>55,</w:t>
      </w:r>
      <w:r w:rsidRPr="00E672BE">
        <w:rPr>
          <w:rFonts w:cs="Times New Roman"/>
          <w:noProof/>
          <w:szCs w:val="24"/>
        </w:rPr>
        <w:t xml:space="preserve"> 1252–1260 (2012).</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29.</w:t>
      </w:r>
      <w:r w:rsidRPr="00E672BE">
        <w:rPr>
          <w:rFonts w:cs="Times New Roman"/>
          <w:noProof/>
          <w:szCs w:val="24"/>
        </w:rPr>
        <w:tab/>
        <w:t xml:space="preserve">Aljayyoussi, G.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Short-course, high-dose rifampicin achieves </w:t>
      </w:r>
      <w:r w:rsidR="00CB5408" w:rsidRPr="00E672BE">
        <w:rPr>
          <w:rFonts w:cs="Times New Roman"/>
          <w:i/>
          <w:noProof/>
          <w:szCs w:val="24"/>
        </w:rPr>
        <w:t>Wolbachia</w:t>
      </w:r>
      <w:r w:rsidRPr="00E672BE">
        <w:rPr>
          <w:rFonts w:cs="Times New Roman"/>
          <w:noProof/>
          <w:szCs w:val="24"/>
        </w:rPr>
        <w:t xml:space="preserve"> depletion predictive of curative outcomes in preclinical models of lymphatic filariasis and onchocerciasis. </w:t>
      </w:r>
      <w:r w:rsidRPr="00E672BE">
        <w:rPr>
          <w:rFonts w:cs="Times New Roman"/>
          <w:i/>
          <w:iCs/>
          <w:noProof/>
          <w:szCs w:val="24"/>
        </w:rPr>
        <w:t>Sci. Rep.</w:t>
      </w:r>
      <w:r w:rsidRPr="00E672BE">
        <w:rPr>
          <w:rFonts w:cs="Times New Roman"/>
          <w:noProof/>
          <w:szCs w:val="24"/>
        </w:rPr>
        <w:t xml:space="preserve"> </w:t>
      </w:r>
      <w:r w:rsidRPr="00E672BE">
        <w:rPr>
          <w:rFonts w:cs="Times New Roman"/>
          <w:b/>
          <w:bCs/>
          <w:noProof/>
          <w:szCs w:val="24"/>
        </w:rPr>
        <w:t>7,</w:t>
      </w:r>
      <w:r w:rsidRPr="00E672BE">
        <w:rPr>
          <w:rFonts w:cs="Times New Roman"/>
          <w:noProof/>
          <w:szCs w:val="24"/>
        </w:rPr>
        <w:t xml:space="preserve"> 210 (2017).</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30.</w:t>
      </w:r>
      <w:r w:rsidRPr="00E672BE">
        <w:rPr>
          <w:rFonts w:cs="Times New Roman"/>
          <w:noProof/>
          <w:szCs w:val="24"/>
        </w:rPr>
        <w:tab/>
        <w:t xml:space="preserve">Sharma, R.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Minocycline as a re-purposed anti-</w:t>
      </w:r>
      <w:r w:rsidR="00CB5408" w:rsidRPr="00E672BE">
        <w:rPr>
          <w:rFonts w:cs="Times New Roman"/>
          <w:i/>
          <w:noProof/>
          <w:szCs w:val="24"/>
        </w:rPr>
        <w:t>Wolbachia</w:t>
      </w:r>
      <w:r w:rsidRPr="00E672BE">
        <w:rPr>
          <w:rFonts w:cs="Times New Roman"/>
          <w:noProof/>
          <w:szCs w:val="24"/>
        </w:rPr>
        <w:t xml:space="preserve"> macrofilaricide: superiority compared with doxycycline regimens in a murine infection model of human lymphatic filariasis. </w:t>
      </w:r>
      <w:r w:rsidRPr="00E672BE">
        <w:rPr>
          <w:rFonts w:cs="Times New Roman"/>
          <w:i/>
          <w:iCs/>
          <w:noProof/>
          <w:szCs w:val="24"/>
        </w:rPr>
        <w:t>Sci. Rep.</w:t>
      </w:r>
      <w:r w:rsidRPr="00E672BE">
        <w:rPr>
          <w:rFonts w:cs="Times New Roman"/>
          <w:noProof/>
          <w:szCs w:val="24"/>
        </w:rPr>
        <w:t xml:space="preserve"> </w:t>
      </w:r>
      <w:r w:rsidRPr="00E672BE">
        <w:rPr>
          <w:rFonts w:cs="Times New Roman"/>
          <w:b/>
          <w:bCs/>
          <w:noProof/>
          <w:szCs w:val="24"/>
        </w:rPr>
        <w:t>6,</w:t>
      </w:r>
      <w:r w:rsidRPr="00E672BE">
        <w:rPr>
          <w:rFonts w:cs="Times New Roman"/>
          <w:noProof/>
          <w:szCs w:val="24"/>
        </w:rPr>
        <w:t xml:space="preserve"> 23458 (2016).</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31.</w:t>
      </w:r>
      <w:r w:rsidRPr="00E672BE">
        <w:rPr>
          <w:rFonts w:cs="Times New Roman"/>
          <w:noProof/>
          <w:szCs w:val="24"/>
        </w:rPr>
        <w:tab/>
        <w:t xml:space="preserve">Sanz, L. M.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P. falciparum in vitro killing rates allow to discriminate between different antimalarial mode-of-action. </w:t>
      </w:r>
      <w:r w:rsidRPr="00E672BE">
        <w:rPr>
          <w:rFonts w:cs="Times New Roman"/>
          <w:i/>
          <w:iCs/>
          <w:noProof/>
          <w:szCs w:val="24"/>
        </w:rPr>
        <w:t>PLoS One</w:t>
      </w:r>
      <w:r w:rsidRPr="00E672BE">
        <w:rPr>
          <w:rFonts w:cs="Times New Roman"/>
          <w:noProof/>
          <w:szCs w:val="24"/>
        </w:rPr>
        <w:t xml:space="preserve"> </w:t>
      </w:r>
      <w:r w:rsidRPr="00E672BE">
        <w:rPr>
          <w:rFonts w:cs="Times New Roman"/>
          <w:b/>
          <w:bCs/>
          <w:noProof/>
          <w:szCs w:val="24"/>
        </w:rPr>
        <w:t>7,</w:t>
      </w:r>
      <w:r w:rsidRPr="00E672BE">
        <w:rPr>
          <w:rFonts w:cs="Times New Roman"/>
          <w:noProof/>
          <w:szCs w:val="24"/>
        </w:rPr>
        <w:t xml:space="preserve"> (2012).</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lastRenderedPageBreak/>
        <w:t>32.</w:t>
      </w:r>
      <w:r w:rsidRPr="00E672BE">
        <w:rPr>
          <w:rFonts w:cs="Times New Roman"/>
          <w:noProof/>
          <w:szCs w:val="24"/>
        </w:rPr>
        <w:tab/>
        <w:t xml:space="preserve">Brown, G. R. </w:t>
      </w:r>
      <w:r w:rsidRPr="00E672BE">
        <w:rPr>
          <w:rFonts w:cs="Times New Roman"/>
          <w:iCs/>
          <w:noProof/>
          <w:szCs w:val="24"/>
        </w:rPr>
        <w:t>et al.</w:t>
      </w:r>
      <w:r w:rsidRPr="00E672BE">
        <w:rPr>
          <w:rFonts w:cs="Times New Roman"/>
          <w:noProof/>
          <w:szCs w:val="24"/>
        </w:rPr>
        <w:t xml:space="preserve"> A novel series of 4-piperidinopyridine and 4-piperidinopyrimidine inhibitors of 2,3-oxidosqualene cyclase-lanosterol synthase. </w:t>
      </w:r>
      <w:r w:rsidRPr="00E672BE">
        <w:rPr>
          <w:rFonts w:cs="Times New Roman"/>
          <w:i/>
          <w:iCs/>
          <w:noProof/>
          <w:szCs w:val="24"/>
        </w:rPr>
        <w:t>J. Med. Chem.</w:t>
      </w:r>
      <w:r w:rsidRPr="00E672BE">
        <w:rPr>
          <w:rFonts w:cs="Times New Roman"/>
          <w:noProof/>
          <w:szCs w:val="24"/>
        </w:rPr>
        <w:t xml:space="preserve"> </w:t>
      </w:r>
      <w:r w:rsidRPr="00E672BE">
        <w:rPr>
          <w:rFonts w:cs="Times New Roman"/>
          <w:b/>
          <w:bCs/>
          <w:noProof/>
          <w:szCs w:val="24"/>
        </w:rPr>
        <w:t>43,</w:t>
      </w:r>
      <w:r w:rsidRPr="00E672BE">
        <w:rPr>
          <w:rFonts w:cs="Times New Roman"/>
          <w:noProof/>
          <w:szCs w:val="24"/>
        </w:rPr>
        <w:t xml:space="preserve"> 4964–4972 (2000).</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33.</w:t>
      </w:r>
      <w:r w:rsidRPr="00E672BE">
        <w:rPr>
          <w:rFonts w:cs="Times New Roman"/>
          <w:noProof/>
          <w:szCs w:val="24"/>
        </w:rPr>
        <w:tab/>
        <w:t xml:space="preserve">Geoghegan, V.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Perturbed cholesterol and vesicular trafficking associated with dengue blocking in </w:t>
      </w:r>
      <w:r w:rsidR="00CB5408" w:rsidRPr="00E672BE">
        <w:rPr>
          <w:rFonts w:cs="Times New Roman"/>
          <w:i/>
          <w:noProof/>
          <w:szCs w:val="24"/>
        </w:rPr>
        <w:t>Wolbachia</w:t>
      </w:r>
      <w:r w:rsidRPr="00E672BE">
        <w:rPr>
          <w:rFonts w:cs="Times New Roman"/>
          <w:noProof/>
          <w:szCs w:val="24"/>
        </w:rPr>
        <w:t xml:space="preserve">-infected </w:t>
      </w:r>
      <w:r w:rsidRPr="00E672BE">
        <w:rPr>
          <w:rFonts w:cs="Times New Roman"/>
          <w:i/>
          <w:noProof/>
          <w:szCs w:val="24"/>
        </w:rPr>
        <w:t>Aedes aegypti</w:t>
      </w:r>
      <w:r w:rsidRPr="00E672BE">
        <w:rPr>
          <w:rFonts w:cs="Times New Roman"/>
          <w:noProof/>
          <w:szCs w:val="24"/>
        </w:rPr>
        <w:t xml:space="preserve"> cells. </w:t>
      </w:r>
      <w:r w:rsidRPr="00E672BE">
        <w:rPr>
          <w:rFonts w:cs="Times New Roman"/>
          <w:i/>
          <w:iCs/>
          <w:noProof/>
          <w:szCs w:val="24"/>
        </w:rPr>
        <w:t>Nat. Commun.</w:t>
      </w:r>
      <w:r w:rsidRPr="00E672BE">
        <w:rPr>
          <w:rFonts w:cs="Times New Roman"/>
          <w:noProof/>
          <w:szCs w:val="24"/>
        </w:rPr>
        <w:t xml:space="preserve"> </w:t>
      </w:r>
      <w:r w:rsidRPr="00E672BE">
        <w:rPr>
          <w:rFonts w:cs="Times New Roman"/>
          <w:b/>
          <w:bCs/>
          <w:noProof/>
          <w:szCs w:val="24"/>
        </w:rPr>
        <w:t>8,</w:t>
      </w:r>
      <w:r w:rsidRPr="00E672BE">
        <w:rPr>
          <w:rFonts w:cs="Times New Roman"/>
          <w:noProof/>
          <w:szCs w:val="24"/>
        </w:rPr>
        <w:t xml:space="preserve"> (2017).</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34.</w:t>
      </w:r>
      <w:r w:rsidRPr="00E672BE">
        <w:rPr>
          <w:rFonts w:cs="Times New Roman"/>
          <w:noProof/>
          <w:szCs w:val="24"/>
        </w:rPr>
        <w:tab/>
        <w:t xml:space="preserve">Turner, J. D.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w:t>
      </w:r>
      <w:r w:rsidR="00CB5408" w:rsidRPr="00E672BE">
        <w:rPr>
          <w:rFonts w:cs="Times New Roman"/>
          <w:i/>
          <w:noProof/>
          <w:szCs w:val="24"/>
        </w:rPr>
        <w:t>Wolbachia</w:t>
      </w:r>
      <w:r w:rsidRPr="00E672BE">
        <w:rPr>
          <w:rFonts w:cs="Times New Roman"/>
          <w:noProof/>
          <w:szCs w:val="24"/>
        </w:rPr>
        <w:t xml:space="preserve"> lipoprotein stimulates innate and adaptive immunity through toll-like receptors 2 and 6 to induce disease manifestations of filariasis. </w:t>
      </w:r>
      <w:r w:rsidRPr="00E672BE">
        <w:rPr>
          <w:rFonts w:cs="Times New Roman"/>
          <w:i/>
          <w:iCs/>
          <w:noProof/>
          <w:szCs w:val="24"/>
        </w:rPr>
        <w:t>J. Biol. Chem.</w:t>
      </w:r>
      <w:r w:rsidRPr="00E672BE">
        <w:rPr>
          <w:rFonts w:cs="Times New Roman"/>
          <w:noProof/>
          <w:szCs w:val="24"/>
        </w:rPr>
        <w:t xml:space="preserve"> </w:t>
      </w:r>
      <w:r w:rsidRPr="00E672BE">
        <w:rPr>
          <w:rFonts w:cs="Times New Roman"/>
          <w:b/>
          <w:bCs/>
          <w:noProof/>
          <w:szCs w:val="24"/>
        </w:rPr>
        <w:t>284,</w:t>
      </w:r>
      <w:r w:rsidRPr="00E672BE">
        <w:rPr>
          <w:rFonts w:cs="Times New Roman"/>
          <w:noProof/>
          <w:szCs w:val="24"/>
        </w:rPr>
        <w:t xml:space="preserve"> 22364–22378 (2009).</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35.</w:t>
      </w:r>
      <w:r w:rsidRPr="00E672BE">
        <w:rPr>
          <w:rFonts w:cs="Times New Roman"/>
          <w:noProof/>
          <w:szCs w:val="24"/>
        </w:rPr>
        <w:tab/>
        <w:t xml:space="preserve">Griffiths, K. G., Alworth, L. C., Harvey, S. B. &amp; Michalski, M. L. Using an intravenous catheter to carry out abdominal lavage in the gerbil. </w:t>
      </w:r>
      <w:r w:rsidRPr="00E672BE">
        <w:rPr>
          <w:rFonts w:cs="Times New Roman"/>
          <w:i/>
          <w:iCs/>
          <w:noProof/>
          <w:szCs w:val="24"/>
        </w:rPr>
        <w:t>Lab Anim.).</w:t>
      </w:r>
      <w:r w:rsidRPr="00E672BE">
        <w:rPr>
          <w:rFonts w:cs="Times New Roman"/>
          <w:noProof/>
          <w:szCs w:val="24"/>
        </w:rPr>
        <w:t xml:space="preserve"> </w:t>
      </w:r>
      <w:r w:rsidRPr="00E672BE">
        <w:rPr>
          <w:rFonts w:cs="Times New Roman"/>
          <w:b/>
          <w:bCs/>
          <w:noProof/>
          <w:szCs w:val="24"/>
        </w:rPr>
        <w:t>39,</w:t>
      </w:r>
      <w:r w:rsidRPr="00E672BE">
        <w:rPr>
          <w:rFonts w:cs="Times New Roman"/>
          <w:noProof/>
          <w:szCs w:val="24"/>
        </w:rPr>
        <w:t xml:space="preserve"> 143–8 (2010).</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36.</w:t>
      </w:r>
      <w:r w:rsidRPr="00E672BE">
        <w:rPr>
          <w:rFonts w:cs="Times New Roman"/>
          <w:noProof/>
          <w:szCs w:val="24"/>
        </w:rPr>
        <w:tab/>
        <w:t xml:space="preserve">McGarry, H. F., Egerton, G. L. &amp; Taylor, M. J. Population dynamics of </w:t>
      </w:r>
      <w:r w:rsidR="00CB5408" w:rsidRPr="00E672BE">
        <w:rPr>
          <w:rFonts w:cs="Times New Roman"/>
          <w:i/>
          <w:noProof/>
          <w:szCs w:val="24"/>
        </w:rPr>
        <w:t>Wolbachia</w:t>
      </w:r>
      <w:r w:rsidRPr="00E672BE">
        <w:rPr>
          <w:rFonts w:cs="Times New Roman"/>
          <w:noProof/>
          <w:szCs w:val="24"/>
        </w:rPr>
        <w:t xml:space="preserve"> bacterial endosymbionts in </w:t>
      </w:r>
      <w:r w:rsidRPr="00E672BE">
        <w:rPr>
          <w:rFonts w:cs="Times New Roman"/>
          <w:i/>
          <w:noProof/>
          <w:szCs w:val="24"/>
        </w:rPr>
        <w:t>Brugia malayi</w:t>
      </w:r>
      <w:r w:rsidRPr="00E672BE">
        <w:rPr>
          <w:rFonts w:cs="Times New Roman"/>
          <w:noProof/>
          <w:szCs w:val="24"/>
        </w:rPr>
        <w:t xml:space="preserve">. </w:t>
      </w:r>
      <w:r w:rsidRPr="00E672BE">
        <w:rPr>
          <w:rFonts w:cs="Times New Roman"/>
          <w:i/>
          <w:iCs/>
          <w:noProof/>
          <w:szCs w:val="24"/>
        </w:rPr>
        <w:t>Mol. Biochem. Parasitol.</w:t>
      </w:r>
      <w:r w:rsidRPr="00E672BE">
        <w:rPr>
          <w:rFonts w:cs="Times New Roman"/>
          <w:noProof/>
          <w:szCs w:val="24"/>
        </w:rPr>
        <w:t xml:space="preserve"> </w:t>
      </w:r>
      <w:r w:rsidRPr="00E672BE">
        <w:rPr>
          <w:rFonts w:cs="Times New Roman"/>
          <w:b/>
          <w:bCs/>
          <w:noProof/>
          <w:szCs w:val="24"/>
        </w:rPr>
        <w:t>135,</w:t>
      </w:r>
      <w:r w:rsidRPr="00E672BE">
        <w:rPr>
          <w:rFonts w:cs="Times New Roman"/>
          <w:noProof/>
          <w:szCs w:val="24"/>
        </w:rPr>
        <w:t xml:space="preserve"> 57–67 (2004).</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37.</w:t>
      </w:r>
      <w:r w:rsidRPr="00E672BE">
        <w:rPr>
          <w:rFonts w:cs="Times New Roman"/>
          <w:noProof/>
          <w:szCs w:val="24"/>
        </w:rPr>
        <w:tab/>
        <w:t xml:space="preserve">Basarab, G. S.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Optimization of pyrrolamide topoisomerase II inhibitors toward identification of an antibacterial clinical candidate (AZD5099). </w:t>
      </w:r>
      <w:r w:rsidRPr="00E672BE">
        <w:rPr>
          <w:rFonts w:cs="Times New Roman"/>
          <w:i/>
          <w:iCs/>
          <w:noProof/>
          <w:szCs w:val="24"/>
        </w:rPr>
        <w:t>J. Med. Chem.</w:t>
      </w:r>
      <w:r w:rsidRPr="00E672BE">
        <w:rPr>
          <w:rFonts w:cs="Times New Roman"/>
          <w:noProof/>
          <w:szCs w:val="24"/>
        </w:rPr>
        <w:t xml:space="preserve"> </w:t>
      </w:r>
      <w:r w:rsidRPr="00E672BE">
        <w:rPr>
          <w:rFonts w:cs="Times New Roman"/>
          <w:b/>
          <w:bCs/>
          <w:noProof/>
          <w:szCs w:val="24"/>
        </w:rPr>
        <w:t>57,</w:t>
      </w:r>
      <w:r w:rsidRPr="00E672BE">
        <w:rPr>
          <w:rFonts w:cs="Times New Roman"/>
          <w:noProof/>
          <w:szCs w:val="24"/>
        </w:rPr>
        <w:t xml:space="preserve"> 6060–6082 (2014).</w:t>
      </w:r>
    </w:p>
    <w:p w:rsidR="00556B2F" w:rsidRPr="00E672BE" w:rsidRDefault="00556B2F" w:rsidP="00556B2F">
      <w:pPr>
        <w:widowControl w:val="0"/>
        <w:autoSpaceDE w:val="0"/>
        <w:autoSpaceDN w:val="0"/>
        <w:adjustRightInd w:val="0"/>
        <w:ind w:left="640" w:hanging="640"/>
        <w:rPr>
          <w:rFonts w:cs="Times New Roman"/>
          <w:noProof/>
          <w:szCs w:val="24"/>
        </w:rPr>
      </w:pPr>
      <w:r w:rsidRPr="00E672BE">
        <w:rPr>
          <w:rFonts w:cs="Times New Roman"/>
          <w:noProof/>
          <w:szCs w:val="24"/>
        </w:rPr>
        <w:t>38.</w:t>
      </w:r>
      <w:r w:rsidRPr="00E672BE">
        <w:rPr>
          <w:rFonts w:cs="Times New Roman"/>
          <w:noProof/>
          <w:szCs w:val="24"/>
        </w:rPr>
        <w:tab/>
        <w:t xml:space="preserve">Doyle, K. </w:t>
      </w:r>
      <w:r w:rsidRPr="00E672BE">
        <w:rPr>
          <w:rFonts w:cs="Times New Roman"/>
          <w:iCs/>
          <w:noProof/>
          <w:szCs w:val="24"/>
        </w:rPr>
        <w:t>et al</w:t>
      </w:r>
      <w:r w:rsidRPr="00E672BE">
        <w:rPr>
          <w:rFonts w:cs="Times New Roman"/>
          <w:i/>
          <w:iCs/>
          <w:noProof/>
          <w:szCs w:val="24"/>
        </w:rPr>
        <w:t>.</w:t>
      </w:r>
      <w:r w:rsidRPr="00E672BE">
        <w:rPr>
          <w:rFonts w:cs="Times New Roman"/>
          <w:noProof/>
          <w:szCs w:val="24"/>
        </w:rPr>
        <w:t xml:space="preserve"> Discovery of Second Generation Reversible Covalent DPP1 Inhibitors Leading to an Oxazepane Amidoacetonitrile Based Clinical Candidate (AZD7986). </w:t>
      </w:r>
      <w:r w:rsidRPr="00E672BE">
        <w:rPr>
          <w:rFonts w:cs="Times New Roman"/>
          <w:i/>
          <w:iCs/>
          <w:noProof/>
          <w:szCs w:val="24"/>
        </w:rPr>
        <w:t>J. Med. Chem.</w:t>
      </w:r>
      <w:r w:rsidRPr="00E672BE">
        <w:rPr>
          <w:rFonts w:cs="Times New Roman"/>
          <w:noProof/>
          <w:szCs w:val="24"/>
        </w:rPr>
        <w:t xml:space="preserve"> </w:t>
      </w:r>
      <w:r w:rsidRPr="00E672BE">
        <w:rPr>
          <w:rFonts w:cs="Times New Roman"/>
          <w:b/>
          <w:bCs/>
          <w:noProof/>
          <w:szCs w:val="24"/>
        </w:rPr>
        <w:t>59,</w:t>
      </w:r>
      <w:r w:rsidRPr="00E672BE">
        <w:rPr>
          <w:rFonts w:cs="Times New Roman"/>
          <w:noProof/>
          <w:szCs w:val="24"/>
        </w:rPr>
        <w:t xml:space="preserve"> 9457–9472 (2016).</w:t>
      </w:r>
    </w:p>
    <w:p w:rsidR="00333705" w:rsidRPr="00E672BE" w:rsidRDefault="00333705" w:rsidP="00333705">
      <w:pPr>
        <w:widowControl w:val="0"/>
        <w:autoSpaceDE w:val="0"/>
        <w:autoSpaceDN w:val="0"/>
        <w:adjustRightInd w:val="0"/>
        <w:ind w:left="640" w:hanging="640"/>
        <w:rPr>
          <w:rFonts w:cs="Times New Roman"/>
          <w:noProof/>
          <w:szCs w:val="24"/>
        </w:rPr>
      </w:pPr>
      <w:r w:rsidRPr="00E672BE">
        <w:rPr>
          <w:rFonts w:cs="Times New Roman"/>
          <w:noProof/>
          <w:szCs w:val="24"/>
        </w:rPr>
        <w:t xml:space="preserve">39. </w:t>
      </w:r>
      <w:r w:rsidRPr="00E672BE">
        <w:rPr>
          <w:rFonts w:cs="Times New Roman"/>
          <w:noProof/>
          <w:szCs w:val="24"/>
        </w:rPr>
        <w:tab/>
        <w:t xml:space="preserve">Sander, T., Freyss, J., von Korff, M. &amp; Rufener, C. DataWarrior: An Open-Source Program For Chemistry Aware Data Visualization And Analysis. </w:t>
      </w:r>
      <w:r w:rsidRPr="00E672BE">
        <w:rPr>
          <w:rFonts w:cs="Times New Roman"/>
          <w:i/>
          <w:iCs/>
          <w:noProof/>
          <w:szCs w:val="24"/>
        </w:rPr>
        <w:t>J. Chem. Inf. Model.</w:t>
      </w:r>
      <w:r w:rsidRPr="00E672BE">
        <w:rPr>
          <w:rFonts w:cs="Times New Roman"/>
          <w:noProof/>
          <w:szCs w:val="24"/>
        </w:rPr>
        <w:t xml:space="preserve"> </w:t>
      </w:r>
      <w:r w:rsidRPr="00E672BE">
        <w:rPr>
          <w:rFonts w:cs="Times New Roman"/>
          <w:b/>
          <w:bCs/>
          <w:noProof/>
          <w:szCs w:val="24"/>
        </w:rPr>
        <w:t>55,</w:t>
      </w:r>
      <w:r w:rsidRPr="00E672BE">
        <w:rPr>
          <w:rFonts w:cs="Times New Roman"/>
          <w:noProof/>
          <w:szCs w:val="24"/>
        </w:rPr>
        <w:t xml:space="preserve"> 460–473 (2015).</w:t>
      </w:r>
    </w:p>
    <w:p w:rsidR="002E4C40" w:rsidRPr="00E672BE" w:rsidRDefault="002E4C40" w:rsidP="002E4C40">
      <w:pPr>
        <w:pStyle w:val="Caption"/>
        <w:spacing w:line="240" w:lineRule="auto"/>
      </w:pPr>
      <w:r w:rsidRPr="00E672BE">
        <w:rPr>
          <w:rFonts w:cs="Times New Roman"/>
        </w:rPr>
        <w:lastRenderedPageBreak/>
        <w:t xml:space="preserve">Figure </w:t>
      </w:r>
      <w:r w:rsidRPr="00E672BE">
        <w:rPr>
          <w:rFonts w:cs="Times New Roman"/>
        </w:rPr>
        <w:fldChar w:fldCharType="begin"/>
      </w:r>
      <w:r w:rsidRPr="00E672BE">
        <w:rPr>
          <w:rFonts w:cs="Times New Roman"/>
        </w:rPr>
        <w:instrText xml:space="preserve"> SEQ Figure \* ARABIC </w:instrText>
      </w:r>
      <w:r w:rsidRPr="00E672BE">
        <w:rPr>
          <w:rFonts w:cs="Times New Roman"/>
        </w:rPr>
        <w:fldChar w:fldCharType="separate"/>
      </w:r>
      <w:r w:rsidRPr="00E672BE">
        <w:rPr>
          <w:rFonts w:cs="Times New Roman"/>
          <w:noProof/>
        </w:rPr>
        <w:t>1</w:t>
      </w:r>
      <w:r w:rsidRPr="00E672BE">
        <w:rPr>
          <w:rFonts w:cs="Times New Roman"/>
        </w:rPr>
        <w:fldChar w:fldCharType="end"/>
      </w:r>
      <w:r w:rsidRPr="00E672BE">
        <w:rPr>
          <w:rFonts w:cs="Times New Roman"/>
        </w:rPr>
        <w:t xml:space="preserve">| </w:t>
      </w:r>
      <w:r w:rsidRPr="00E672BE">
        <w:rPr>
          <w:rFonts w:cs="Times New Roman"/>
          <w:bCs/>
        </w:rPr>
        <w:t>The high throughput anti-</w:t>
      </w:r>
      <w:r w:rsidRPr="00E672BE">
        <w:rPr>
          <w:rFonts w:cs="Times New Roman"/>
          <w:bCs/>
          <w:i/>
        </w:rPr>
        <w:t>Wolbachia</w:t>
      </w:r>
      <w:r w:rsidRPr="00E672BE">
        <w:rPr>
          <w:rFonts w:cs="Times New Roman"/>
          <w:bCs/>
        </w:rPr>
        <w:t xml:space="preserve"> screening flow.</w:t>
      </w:r>
      <w:r w:rsidRPr="00E672BE">
        <w:rPr>
          <w:rFonts w:cs="Times New Roman"/>
          <w:b w:val="0"/>
          <w:bCs/>
        </w:rPr>
        <w:t xml:space="preserve"> </w:t>
      </w:r>
      <w:r w:rsidRPr="00E672BE">
        <w:rPr>
          <w:rFonts w:cs="Times New Roman"/>
          <w:b w:val="0"/>
        </w:rPr>
        <w:t>This extensive 16</w:t>
      </w:r>
      <w:r w:rsidRPr="00E672BE">
        <w:rPr>
          <w:rFonts w:cs="Times New Roman"/>
          <w:b w:val="0"/>
          <w:lang w:eastAsia="zh-CN"/>
        </w:rPr>
        <w:t>-</w:t>
      </w:r>
      <w:r w:rsidRPr="00E672BE">
        <w:rPr>
          <w:rFonts w:cs="Times New Roman"/>
          <w:b w:val="0"/>
        </w:rPr>
        <w:t xml:space="preserve">step screen per batch across all three stages was completed over three weeks followed by overflow plate reading and data analysis in the fourth week when at full capacity of four daily batches of 150 plates per week. Manual processes are indicated by dashed boxes and fully automated steps in solid boxes. Bold rectangular boxes indicate the use of the fully automated systems: Agilent technologies BioCel system and HighRes Biosolutions automated system. The fluorescent images are representatives of the host nuclei (Hoechst) and </w:t>
      </w:r>
      <w:r w:rsidRPr="00E672BE">
        <w:rPr>
          <w:rFonts w:cs="Times New Roman"/>
          <w:b w:val="0"/>
          <w:i/>
        </w:rPr>
        <w:t>Wolbachia</w:t>
      </w:r>
      <w:r w:rsidRPr="00E672BE">
        <w:rPr>
          <w:rFonts w:cs="Times New Roman"/>
          <w:b w:val="0"/>
        </w:rPr>
        <w:t xml:space="preserve"> (</w:t>
      </w:r>
      <w:r w:rsidRPr="00E672BE">
        <w:rPr>
          <w:rFonts w:cs="Times New Roman"/>
          <w:b w:val="0"/>
          <w:i/>
        </w:rPr>
        <w:t>w</w:t>
      </w:r>
      <w:r w:rsidRPr="00E672BE">
        <w:rPr>
          <w:rFonts w:cs="Times New Roman"/>
          <w:b w:val="0"/>
        </w:rPr>
        <w:t xml:space="preserve">BmPAL) staining taken from </w:t>
      </w:r>
      <w:bookmarkStart w:id="12" w:name="_Hlk529791733"/>
      <w:r w:rsidRPr="00E672BE">
        <w:rPr>
          <w:rFonts w:cs="Times New Roman"/>
          <w:b w:val="0"/>
        </w:rPr>
        <w:t>a whole well image (growth area of 10mm</w:t>
      </w:r>
      <w:r w:rsidRPr="00E672BE">
        <w:rPr>
          <w:rFonts w:cs="Times New Roman"/>
          <w:b w:val="0"/>
          <w:vertAlign w:val="superscript"/>
        </w:rPr>
        <w:t>2</w:t>
      </w:r>
      <w:r w:rsidRPr="00E672BE">
        <w:rPr>
          <w:rFonts w:cs="Times New Roman"/>
          <w:b w:val="0"/>
        </w:rPr>
        <w:t xml:space="preserve">) </w:t>
      </w:r>
      <w:bookmarkEnd w:id="12"/>
      <w:r w:rsidRPr="00E672BE">
        <w:rPr>
          <w:rFonts w:cs="Times New Roman"/>
          <w:b w:val="0"/>
        </w:rPr>
        <w:t>on the acumen® to demonstrate cells incubated with the vehicle/DMSO and doxycycline controls.</w:t>
      </w:r>
      <w:r w:rsidRPr="00E672BE">
        <w:t xml:space="preserve"> </w:t>
      </w:r>
    </w:p>
    <w:p w:rsidR="002E4C40" w:rsidRPr="00E672BE" w:rsidRDefault="002E4C40" w:rsidP="002E4C40"/>
    <w:p w:rsidR="002E4C40" w:rsidRPr="00E672BE" w:rsidRDefault="002E4C40" w:rsidP="002E4C40"/>
    <w:p w:rsidR="002E4C40" w:rsidRPr="00E672BE" w:rsidRDefault="002E4C40" w:rsidP="002E4C40">
      <w:pPr>
        <w:pStyle w:val="Caption"/>
        <w:spacing w:line="240" w:lineRule="auto"/>
        <w:rPr>
          <w:rFonts w:cs="Times New Roman"/>
          <w:szCs w:val="24"/>
        </w:rPr>
      </w:pPr>
      <w:r w:rsidRPr="00E672BE">
        <w:t xml:space="preserve">Figure </w:t>
      </w:r>
      <w:fldSimple w:instr=" SEQ Figure \* ARABIC ">
        <w:r w:rsidRPr="00E672BE">
          <w:rPr>
            <w:noProof/>
          </w:rPr>
          <w:t>2</w:t>
        </w:r>
      </w:fldSimple>
      <w:r w:rsidRPr="00E672BE">
        <w:t xml:space="preserve">| Overview of the HTS </w:t>
      </w:r>
      <w:r w:rsidRPr="00E672BE">
        <w:rPr>
          <w:rFonts w:cs="Times New Roman"/>
          <w:szCs w:val="24"/>
        </w:rPr>
        <w:t xml:space="preserve">A) Results in ChemGPS chemical space. </w:t>
      </w:r>
      <w:r w:rsidRPr="00E672BE">
        <w:rPr>
          <w:rFonts w:cs="Times New Roman"/>
          <w:b w:val="0"/>
          <w:szCs w:val="24"/>
        </w:rPr>
        <w:t>Purple spheres represent examples of current anti-</w:t>
      </w:r>
      <w:r w:rsidRPr="00E672BE">
        <w:rPr>
          <w:rFonts w:cs="Times New Roman"/>
          <w:b w:val="0"/>
          <w:i/>
          <w:szCs w:val="24"/>
        </w:rPr>
        <w:t>Wolbachia</w:t>
      </w:r>
      <w:r w:rsidRPr="00E672BE">
        <w:rPr>
          <w:rFonts w:cs="Times New Roman"/>
          <w:b w:val="0"/>
          <w:szCs w:val="24"/>
        </w:rPr>
        <w:t xml:space="preserve"> agents; black points </w:t>
      </w:r>
      <w:r w:rsidRPr="00E672BE">
        <w:rPr>
          <w:rFonts w:cs="Times New Roman" w:hint="eastAsia"/>
          <w:b w:val="0"/>
          <w:szCs w:val="24"/>
          <w:lang w:eastAsia="zh-CN"/>
        </w:rPr>
        <w:t xml:space="preserve">represent </w:t>
      </w:r>
      <w:r w:rsidRPr="00E672BE">
        <w:rPr>
          <w:rFonts w:cs="Times New Roman"/>
          <w:b w:val="0"/>
          <w:szCs w:val="24"/>
        </w:rPr>
        <w:t xml:space="preserve">the ~20,000 actives identified in the primary HTS; orange spheres represent the 360 compounds from the 57 clusters tested in the </w:t>
      </w:r>
      <w:bookmarkStart w:id="13" w:name="_Hlk529951073"/>
      <w:r w:rsidRPr="00E672BE">
        <w:rPr>
          <w:rFonts w:eastAsia="Times New Roman" w:cs="Times New Roman"/>
          <w:b w:val="0"/>
          <w:bCs/>
          <w:szCs w:val="24"/>
        </w:rPr>
        <w:t xml:space="preserve">microfilarial </w:t>
      </w:r>
      <w:bookmarkEnd w:id="13"/>
      <w:r w:rsidRPr="00E672BE">
        <w:rPr>
          <w:rFonts w:eastAsia="Times New Roman" w:cs="Times New Roman"/>
          <w:bCs/>
          <w:szCs w:val="24"/>
        </w:rPr>
        <w:t>(</w:t>
      </w:r>
      <w:r w:rsidRPr="00E672BE">
        <w:rPr>
          <w:rFonts w:cs="Times New Roman"/>
          <w:b w:val="0"/>
          <w:szCs w:val="24"/>
        </w:rPr>
        <w:t>Mf) assay; green spheres represent the 18 confirmed, potent hits. The position in ChemGPS space indicates a compound’s size, hydrophobicity/hydrophilicity and flexibility (T1, T2 and T3 defined in</w:t>
      </w:r>
      <w:r w:rsidRPr="00E672BE">
        <w:rPr>
          <w:rFonts w:cs="Times New Roman"/>
          <w:b w:val="0"/>
          <w:szCs w:val="24"/>
          <w:vertAlign w:val="superscript"/>
        </w:rPr>
        <w:t>21</w:t>
      </w:r>
      <w:r w:rsidRPr="00E672BE">
        <w:rPr>
          <w:rFonts w:cs="Times New Roman"/>
          <w:b w:val="0"/>
          <w:szCs w:val="24"/>
        </w:rPr>
        <w:t xml:space="preserve">). The hits span a large proportion of the chemical space covered by the ~6000 compounds. The 3D plot was produced in R using the rgl library (http://cran.r-project.org). </w:t>
      </w:r>
      <w:r w:rsidRPr="00E672BE">
        <w:rPr>
          <w:rFonts w:cs="Times New Roman"/>
          <w:szCs w:val="24"/>
        </w:rPr>
        <w:t>B)</w:t>
      </w:r>
      <w:r w:rsidRPr="00E672BE">
        <w:rPr>
          <w:rFonts w:cs="Times New Roman"/>
          <w:b w:val="0"/>
          <w:szCs w:val="24"/>
        </w:rPr>
        <w:t xml:space="preserve"> </w:t>
      </w:r>
      <w:r w:rsidRPr="00E672BE">
        <w:rPr>
          <w:rFonts w:cs="Times New Roman"/>
          <w:bCs/>
        </w:rPr>
        <w:t xml:space="preserve">The full screening campaign and triaging process. </w:t>
      </w:r>
      <w:r w:rsidRPr="00E672BE">
        <w:rPr>
          <w:rFonts w:cs="Times New Roman"/>
          <w:b w:val="0"/>
          <w:bCs/>
        </w:rPr>
        <w:t>Each stage includes the total compounds screened (rectangular box on the right) and hits identified (circular box on the right). The screen used (C6/36 (</w:t>
      </w:r>
      <w:r w:rsidRPr="00E672BE">
        <w:rPr>
          <w:rFonts w:cs="Times New Roman"/>
          <w:b w:val="0"/>
          <w:bCs/>
          <w:i/>
        </w:rPr>
        <w:t>w</w:t>
      </w:r>
      <w:r w:rsidRPr="00E672BE">
        <w:rPr>
          <w:rFonts w:cs="Times New Roman"/>
          <w:b w:val="0"/>
          <w:bCs/>
        </w:rPr>
        <w:t>AlbB) or Mf) and screening location (AstraZeneca or A·WOL) are indicated on the left. Rational analysis was utilised at every stage based on cheminformatics and available data.</w:t>
      </w:r>
    </w:p>
    <w:p w:rsidR="002E4C40" w:rsidRPr="00E672BE" w:rsidRDefault="002E4C40" w:rsidP="002E4C40"/>
    <w:p w:rsidR="002E4C40" w:rsidRPr="00E672BE" w:rsidRDefault="002E4C40" w:rsidP="002E4C40">
      <w:pPr>
        <w:keepNext/>
        <w:spacing w:line="240" w:lineRule="auto"/>
        <w:rPr>
          <w:rFonts w:cs="Times New Roman"/>
          <w:szCs w:val="24"/>
        </w:rPr>
      </w:pPr>
      <w:r w:rsidRPr="00E672BE">
        <w:rPr>
          <w:rFonts w:cs="Times New Roman"/>
          <w:b/>
          <w:szCs w:val="24"/>
        </w:rPr>
        <w:t xml:space="preserve">Figure </w:t>
      </w:r>
      <w:r w:rsidRPr="00E672BE">
        <w:rPr>
          <w:rFonts w:cs="Times New Roman"/>
          <w:b/>
          <w:szCs w:val="24"/>
        </w:rPr>
        <w:fldChar w:fldCharType="begin"/>
      </w:r>
      <w:r w:rsidRPr="00E672BE">
        <w:rPr>
          <w:rFonts w:cs="Times New Roman"/>
          <w:b/>
          <w:szCs w:val="24"/>
        </w:rPr>
        <w:instrText xml:space="preserve"> SEQ Figure \* ARABIC </w:instrText>
      </w:r>
      <w:r w:rsidRPr="00E672BE">
        <w:rPr>
          <w:rFonts w:cs="Times New Roman"/>
          <w:b/>
          <w:szCs w:val="24"/>
        </w:rPr>
        <w:fldChar w:fldCharType="separate"/>
      </w:r>
      <w:r w:rsidRPr="00E672BE">
        <w:rPr>
          <w:rFonts w:cs="Times New Roman"/>
          <w:b/>
          <w:noProof/>
          <w:szCs w:val="24"/>
        </w:rPr>
        <w:t>3</w:t>
      </w:r>
      <w:r w:rsidRPr="00E672BE">
        <w:rPr>
          <w:rFonts w:cs="Times New Roman"/>
          <w:b/>
          <w:szCs w:val="24"/>
        </w:rPr>
        <w:fldChar w:fldCharType="end"/>
      </w:r>
      <w:r w:rsidRPr="00E672BE">
        <w:rPr>
          <w:rFonts w:cs="Times New Roman"/>
          <w:b/>
          <w:szCs w:val="24"/>
        </w:rPr>
        <w:t>| 18 selected hits represented in chemical space.</w:t>
      </w:r>
      <w:r w:rsidRPr="00E672BE">
        <w:rPr>
          <w:rFonts w:cs="Times New Roman"/>
          <w:szCs w:val="24"/>
        </w:rPr>
        <w:t xml:space="preserve"> The first three principal components (PC1-3) together account for 31.6% of the overall variance in the data set</w:t>
      </w:r>
      <w:r w:rsidRPr="00E672BE">
        <w:rPr>
          <w:rFonts w:cs="Times New Roman"/>
          <w:szCs w:val="24"/>
          <w:vertAlign w:val="superscript"/>
        </w:rPr>
        <w:t>39</w:t>
      </w:r>
      <w:r w:rsidRPr="00E672BE">
        <w:rPr>
          <w:rFonts w:cs="Times New Roman"/>
          <w:szCs w:val="24"/>
        </w:rPr>
        <w:t xml:space="preserve">. The chemotypes show clustering in chemical space. The size of each data point is proportional to the Selection Score. Selection Score is calculated by summation of the component scores using the criteria in </w:t>
      </w:r>
      <w:r w:rsidRPr="00E672BE">
        <w:rPr>
          <w:rFonts w:eastAsia="Times New Roman" w:cs="Times New Roman"/>
          <w:bCs/>
          <w:szCs w:val="24"/>
        </w:rPr>
        <w:t>Supplementary</w:t>
      </w:r>
      <w:r w:rsidRPr="00E672BE">
        <w:rPr>
          <w:rFonts w:cs="Times New Roman"/>
          <w:szCs w:val="24"/>
        </w:rPr>
        <w:t xml:space="preserve"> Table 3. The label for each point is the </w:t>
      </w:r>
      <w:bookmarkStart w:id="14" w:name="_Hlk529951185"/>
      <w:r w:rsidRPr="00E672BE">
        <w:rPr>
          <w:rFonts w:cs="Times New Roman"/>
          <w:szCs w:val="24"/>
        </w:rPr>
        <w:t xml:space="preserve">ligand efficiency-dependent lipophilicity index </w:t>
      </w:r>
      <w:bookmarkEnd w:id="14"/>
      <w:r w:rsidRPr="00E672BE">
        <w:rPr>
          <w:rFonts w:cs="Times New Roman"/>
          <w:szCs w:val="24"/>
        </w:rPr>
        <w:t>(LELP) with values &lt;10 considered good28. A selection of the best compound structures is shown (large spheres) in a 3D plot produced by Datawarrior</w:t>
      </w:r>
      <w:r w:rsidRPr="00E672BE">
        <w:rPr>
          <w:rFonts w:cs="Times New Roman"/>
          <w:szCs w:val="24"/>
        </w:rPr>
        <w:fldChar w:fldCharType="begin" w:fldLock="1"/>
      </w:r>
      <w:r w:rsidRPr="00E672BE">
        <w:rPr>
          <w:rFonts w:cs="Times New Roman"/>
          <w:szCs w:val="24"/>
        </w:rPr>
        <w:instrText>ADDIN CSL_CITATION {"citationItems":[{"id":"ITEM-1","itemData":{"DOI":"10.1021/ci500588j","ISSN":"1549-9596","author":[{"dropping-particle":"","family":"Sander","given":"Thomas","non-dropping-particle":"","parse-names":false,"suffix":""},{"dropping-particle":"","family":"Freyss","given":"Joel","non-dropping-particle":"","parse-names":false,"suffix":""},{"dropping-particle":"","family":"Korff","given":"Modest","non-dropping-particle":"von","parse-names":false,"suffix":""},{"dropping-particle":"","family":"Rufener","given":"Christian","non-dropping-particle":"","parse-names":false,"suffix":""}],"container-title":"Journal of Chemical Information and Modeling","id":"ITEM-1","issue":"2","issued":{"date-parts":[["2015","2","23"]]},"page":"460-473","title":"DataWarrior: An Open-Source Program For Chemistry Aware Data Visualization And Analysis","type":"article-journal","volume":"55"},"uris":["http://www.mendeley.com/documents/?uuid=d3e8500b-8e46-3dc6-8b8a-90781eed1b1d"]}],"mendeley":{"formattedCitation":"&lt;sup&gt;2&lt;/sup&gt;","plainTextFormattedCitation":"2","previouslyFormattedCitation":"&lt;sup&gt;2&lt;/sup&gt;"},"properties":{"noteIndex":0},"schema":"https://github.com/citation-style-language/schema/raw/master/csl-citation.json"}</w:instrText>
      </w:r>
      <w:r w:rsidRPr="00E672BE">
        <w:rPr>
          <w:rFonts w:cs="Times New Roman"/>
          <w:szCs w:val="24"/>
        </w:rPr>
        <w:fldChar w:fldCharType="separate"/>
      </w:r>
      <w:r w:rsidRPr="00E672BE">
        <w:rPr>
          <w:rFonts w:cs="Times New Roman"/>
          <w:noProof/>
          <w:szCs w:val="24"/>
          <w:vertAlign w:val="superscript"/>
        </w:rPr>
        <w:t>2</w:t>
      </w:r>
      <w:r w:rsidRPr="00E672BE">
        <w:rPr>
          <w:rFonts w:cs="Times New Roman"/>
          <w:szCs w:val="24"/>
        </w:rPr>
        <w:fldChar w:fldCharType="end"/>
      </w:r>
      <w:r w:rsidRPr="00E672BE">
        <w:rPr>
          <w:rFonts w:cs="Times New Roman"/>
          <w:szCs w:val="24"/>
        </w:rPr>
        <w:t xml:space="preserve">. </w:t>
      </w:r>
      <w:bookmarkStart w:id="15" w:name="_Hlk529951261"/>
      <w:r w:rsidRPr="00E672BE">
        <w:rPr>
          <w:rFonts w:cs="Times New Roman"/>
          <w:szCs w:val="24"/>
        </w:rPr>
        <w:t xml:space="preserve">The cluster number is indicated by colour: cluster 1 (dark blue sphere), 2 (red sphere), 3 (green sphere), 4 (dark gold sphere), 5 (light blue sphere), 6 (lilac sphere), 7 (orange sphere), 8 (teal sphere), 9 (pink sphere). </w:t>
      </w:r>
      <w:bookmarkEnd w:id="15"/>
    </w:p>
    <w:p w:rsidR="002E4C40" w:rsidRPr="00E672BE" w:rsidRDefault="002E4C40" w:rsidP="002E4C40">
      <w:pPr>
        <w:keepNext/>
        <w:spacing w:line="240" w:lineRule="auto"/>
        <w:rPr>
          <w:rFonts w:cs="Times New Roman"/>
          <w:szCs w:val="24"/>
        </w:rPr>
      </w:pPr>
    </w:p>
    <w:p w:rsidR="002E4C40" w:rsidRPr="00E672BE" w:rsidRDefault="002E4C40" w:rsidP="002E4C40">
      <w:pPr>
        <w:spacing w:line="240" w:lineRule="auto"/>
        <w:rPr>
          <w:rFonts w:cs="Times New Roman"/>
          <w:color w:val="222222"/>
          <w:szCs w:val="24"/>
          <w:lang w:val="en"/>
        </w:rPr>
      </w:pPr>
      <w:r w:rsidRPr="00E672BE">
        <w:rPr>
          <w:rFonts w:cs="Times New Roman"/>
          <w:b/>
          <w:szCs w:val="24"/>
        </w:rPr>
        <w:t xml:space="preserve">Figure </w:t>
      </w:r>
      <w:r w:rsidR="00603E2D" w:rsidRPr="00E672BE">
        <w:rPr>
          <w:rFonts w:cs="Times New Roman"/>
          <w:b/>
          <w:szCs w:val="24"/>
        </w:rPr>
        <w:t>4</w:t>
      </w:r>
      <w:r w:rsidRPr="00E672BE">
        <w:rPr>
          <w:rFonts w:cs="Times New Roman"/>
          <w:b/>
          <w:szCs w:val="24"/>
        </w:rPr>
        <w:t>| Anti-</w:t>
      </w:r>
      <w:r w:rsidRPr="00E672BE">
        <w:rPr>
          <w:rFonts w:cs="Times New Roman"/>
          <w:b/>
          <w:i/>
          <w:szCs w:val="24"/>
        </w:rPr>
        <w:t>Wolbachia</w:t>
      </w:r>
      <w:r w:rsidRPr="00E672BE">
        <w:rPr>
          <w:rFonts w:cs="Times New Roman"/>
          <w:b/>
          <w:szCs w:val="24"/>
        </w:rPr>
        <w:t xml:space="preserve"> potency and </w:t>
      </w:r>
      <w:bookmarkStart w:id="16" w:name="_Hlk529951451"/>
      <w:r w:rsidRPr="00E672BE">
        <w:rPr>
          <w:rFonts w:cs="Times New Roman"/>
          <w:b/>
          <w:szCs w:val="24"/>
        </w:rPr>
        <w:t xml:space="preserve">drug-like properties </w:t>
      </w:r>
      <w:bookmarkEnd w:id="16"/>
      <w:r w:rsidRPr="00E672BE">
        <w:rPr>
          <w:rFonts w:cs="Times New Roman"/>
          <w:b/>
          <w:szCs w:val="24"/>
        </w:rPr>
        <w:t xml:space="preserve"> of six cluster representatives</w:t>
      </w:r>
      <w:r w:rsidRPr="00E672BE">
        <w:rPr>
          <w:rFonts w:cs="Times New Roman"/>
          <w:szCs w:val="24"/>
        </w:rPr>
        <w:t xml:space="preserve">. </w:t>
      </w:r>
      <w:bookmarkStart w:id="17" w:name="_Hlk529457977"/>
      <w:r w:rsidRPr="00E672BE">
        <w:rPr>
          <w:rFonts w:cs="Times New Roman"/>
          <w:szCs w:val="24"/>
        </w:rPr>
        <w:t>Nine hit series were categorised based on the balance between potency in the microfilarial assay and Drug Metabolism and Pharmacokinetic</w:t>
      </w:r>
      <w:r w:rsidRPr="00E672BE">
        <w:rPr>
          <w:rFonts w:cs="Times New Roman"/>
          <w:b/>
          <w:szCs w:val="24"/>
        </w:rPr>
        <w:t xml:space="preserve"> </w:t>
      </w:r>
      <w:r w:rsidRPr="00E672BE">
        <w:rPr>
          <w:rFonts w:cs="Times New Roman"/>
          <w:szCs w:val="24"/>
        </w:rPr>
        <w:t>(DMPK) properties. The figure shows the best representatives of the top six clusters. Five axes in the radar plots represent: EC</w:t>
      </w:r>
      <w:r w:rsidRPr="00E672BE">
        <w:rPr>
          <w:rFonts w:cs="Times New Roman"/>
          <w:szCs w:val="24"/>
          <w:vertAlign w:val="subscript"/>
        </w:rPr>
        <w:t>50</w:t>
      </w:r>
      <w:r w:rsidRPr="00E672BE">
        <w:rPr>
          <w:rFonts w:cs="Times New Roman"/>
          <w:szCs w:val="24"/>
        </w:rPr>
        <w:t xml:space="preserve"> values (nM) in the microfilarial assay (MF), rat hepatocytes clearance (µl min</w:t>
      </w:r>
      <w:r w:rsidRPr="00E672BE">
        <w:rPr>
          <w:rFonts w:cs="Times New Roman"/>
          <w:szCs w:val="24"/>
          <w:vertAlign w:val="superscript"/>
        </w:rPr>
        <w:t>-1</w:t>
      </w:r>
      <w:r w:rsidRPr="00E672BE">
        <w:rPr>
          <w:rFonts w:cs="Times New Roman"/>
          <w:szCs w:val="24"/>
        </w:rPr>
        <w:t>1 x 10</w:t>
      </w:r>
      <w:r w:rsidRPr="00E672BE">
        <w:rPr>
          <w:rFonts w:cs="Times New Roman"/>
          <w:szCs w:val="24"/>
          <w:vertAlign w:val="superscript"/>
        </w:rPr>
        <w:t>6</w:t>
      </w:r>
      <w:r w:rsidRPr="00E672BE">
        <w:rPr>
          <w:rFonts w:cs="Times New Roman"/>
          <w:szCs w:val="24"/>
        </w:rPr>
        <w:t xml:space="preserve"> cells </w:t>
      </w:r>
      <w:r w:rsidRPr="00E672BE">
        <w:rPr>
          <w:rFonts w:cs="Times New Roman"/>
          <w:szCs w:val="24"/>
          <w:vertAlign w:val="superscript"/>
        </w:rPr>
        <w:t>-1</w:t>
      </w:r>
      <w:r w:rsidRPr="00E672BE">
        <w:rPr>
          <w:rFonts w:cs="Times New Roman"/>
          <w:szCs w:val="24"/>
        </w:rPr>
        <w:t>) (Rat Heps), human microsome clearance (</w:t>
      </w:r>
      <w:r w:rsidRPr="00E672BE">
        <w:rPr>
          <w:rFonts w:eastAsia="Times New Roman" w:cs="Times New Roman"/>
          <w:color w:val="000000"/>
          <w:szCs w:val="24"/>
          <w:lang w:eastAsia="zh-CN"/>
        </w:rPr>
        <w:t>µl min</w:t>
      </w:r>
      <w:r w:rsidRPr="00E672BE">
        <w:rPr>
          <w:rFonts w:eastAsia="Times New Roman" w:cs="Times New Roman"/>
          <w:color w:val="000000"/>
          <w:szCs w:val="24"/>
          <w:vertAlign w:val="superscript"/>
          <w:lang w:eastAsia="zh-CN"/>
        </w:rPr>
        <w:t>-1</w:t>
      </w:r>
      <w:r w:rsidRPr="00E672BE">
        <w:rPr>
          <w:rFonts w:eastAsia="Times New Roman" w:cs="Times New Roman"/>
          <w:color w:val="000000"/>
          <w:szCs w:val="24"/>
          <w:lang w:eastAsia="zh-CN"/>
        </w:rPr>
        <w:t xml:space="preserve"> mg</w:t>
      </w:r>
      <w:r w:rsidRPr="00E672BE">
        <w:rPr>
          <w:rFonts w:eastAsia="Times New Roman" w:cs="Times New Roman"/>
          <w:color w:val="000000"/>
          <w:szCs w:val="24"/>
          <w:vertAlign w:val="superscript"/>
          <w:lang w:eastAsia="zh-CN"/>
        </w:rPr>
        <w:t>-1</w:t>
      </w:r>
      <w:r w:rsidRPr="00E672BE">
        <w:rPr>
          <w:rFonts w:cs="Times New Roman"/>
          <w:szCs w:val="24"/>
        </w:rPr>
        <w:t xml:space="preserve">) (Hum Mics), </w:t>
      </w:r>
      <w:r w:rsidRPr="00E672BE">
        <w:rPr>
          <w:rFonts w:cs="Times New Roman"/>
          <w:szCs w:val="24"/>
        </w:rPr>
        <w:lastRenderedPageBreak/>
        <w:t>LogD</w:t>
      </w:r>
      <w:r w:rsidRPr="00E672BE">
        <w:rPr>
          <w:rFonts w:cs="Times New Roman"/>
          <w:szCs w:val="24"/>
          <w:vertAlign w:val="subscript"/>
        </w:rPr>
        <w:t>7.4</w:t>
      </w:r>
      <w:r w:rsidRPr="00E672BE">
        <w:rPr>
          <w:rFonts w:cs="Times New Roman"/>
          <w:szCs w:val="24"/>
        </w:rPr>
        <w:t xml:space="preserve"> (LogD) and log value of aqueous solubility in pH7.4 PBS buffer (µM) (LogS).</w:t>
      </w:r>
      <w:r w:rsidRPr="00E672BE">
        <w:rPr>
          <w:rFonts w:cs="Times New Roman"/>
          <w:b/>
          <w:szCs w:val="24"/>
        </w:rPr>
        <w:t xml:space="preserve"> </w:t>
      </w:r>
      <w:r w:rsidRPr="00E672BE">
        <w:rPr>
          <w:rFonts w:cs="Times New Roman"/>
          <w:szCs w:val="24"/>
        </w:rPr>
        <w:t>T</w:t>
      </w:r>
      <w:r w:rsidRPr="00E672BE">
        <w:rPr>
          <w:rFonts w:cs="Times New Roman"/>
          <w:iCs/>
          <w:szCs w:val="24"/>
        </w:rPr>
        <w:t>he core of each cluster chemotype is highlighted blue within the chemical structures.</w:t>
      </w:r>
      <w:bookmarkEnd w:id="17"/>
      <w:r w:rsidRPr="00E672BE">
        <w:rPr>
          <w:rFonts w:cs="Times New Roman"/>
          <w:color w:val="222222"/>
          <w:szCs w:val="24"/>
          <w:lang w:val="en"/>
        </w:rPr>
        <w:t xml:space="preserve"> </w:t>
      </w:r>
    </w:p>
    <w:p w:rsidR="002E4C40" w:rsidRPr="00E672BE" w:rsidRDefault="002E4C40" w:rsidP="002E4C40">
      <w:pPr>
        <w:keepNext/>
        <w:spacing w:line="240" w:lineRule="auto"/>
        <w:rPr>
          <w:rFonts w:cs="Times New Roman"/>
          <w:szCs w:val="24"/>
        </w:rPr>
      </w:pPr>
    </w:p>
    <w:p w:rsidR="00727586" w:rsidRDefault="00727586" w:rsidP="00727586">
      <w:pPr>
        <w:spacing w:line="240" w:lineRule="auto"/>
        <w:rPr>
          <w:rFonts w:cs="Times New Roman"/>
        </w:rPr>
      </w:pPr>
      <w:r w:rsidRPr="00727586">
        <w:rPr>
          <w:rFonts w:cs="Times New Roman"/>
          <w:b/>
        </w:rPr>
        <w:t xml:space="preserve">Figure </w:t>
      </w:r>
      <w:r w:rsidRPr="00727586">
        <w:rPr>
          <w:rFonts w:cs="Times New Roman"/>
          <w:b/>
        </w:rPr>
        <w:fldChar w:fldCharType="begin"/>
      </w:r>
      <w:r w:rsidRPr="00727586">
        <w:rPr>
          <w:rFonts w:cs="Times New Roman"/>
          <w:b/>
        </w:rPr>
        <w:instrText xml:space="preserve"> SEQ Figure \* ARABIC </w:instrText>
      </w:r>
      <w:r w:rsidRPr="00727586">
        <w:rPr>
          <w:rFonts w:cs="Times New Roman"/>
          <w:b/>
        </w:rPr>
        <w:fldChar w:fldCharType="separate"/>
      </w:r>
      <w:r w:rsidRPr="00727586">
        <w:rPr>
          <w:rFonts w:cs="Times New Roman"/>
          <w:b/>
          <w:noProof/>
        </w:rPr>
        <w:t>5</w:t>
      </w:r>
      <w:r w:rsidRPr="00727586">
        <w:rPr>
          <w:rFonts w:cs="Times New Roman"/>
          <w:b/>
        </w:rPr>
        <w:fldChar w:fldCharType="end"/>
      </w:r>
      <w:r w:rsidRPr="00727586">
        <w:rPr>
          <w:rFonts w:cs="Times New Roman"/>
          <w:b/>
        </w:rPr>
        <w:t>| Time-kill analysis.</w:t>
      </w:r>
      <w:r w:rsidRPr="00727586">
        <w:rPr>
          <w:rFonts w:cs="Times New Roman"/>
        </w:rPr>
        <w:t xml:space="preserve"> Representatives from the top 5 clusters (1A-5A) as well as established anti-</w:t>
      </w:r>
      <w:r w:rsidRPr="00727586">
        <w:rPr>
          <w:rFonts w:cs="Times New Roman"/>
          <w:i/>
        </w:rPr>
        <w:t>Wolbachia</w:t>
      </w:r>
      <w:r w:rsidRPr="00727586">
        <w:rPr>
          <w:rFonts w:cs="Times New Roman"/>
        </w:rPr>
        <w:t xml:space="preserve"> antibacterials (doxycycline (white), minocycline (grey), rifampicin (black)) were assessed after exposure for 1 day and 2 days before washing and further incubation until the standard 6 day read out. </w:t>
      </w:r>
      <w:r w:rsidRPr="00727586">
        <w:rPr>
          <w:rFonts w:cs="Times New Roman"/>
          <w:i/>
        </w:rPr>
        <w:t>wsp</w:t>
      </w:r>
      <w:r w:rsidRPr="00727586">
        <w:rPr>
          <w:rFonts w:cs="Times New Roman"/>
        </w:rPr>
        <w:t>:</w:t>
      </w:r>
      <w:r w:rsidRPr="00727586">
        <w:rPr>
          <w:rFonts w:cs="Times New Roman"/>
          <w:i/>
        </w:rPr>
        <w:t>gst</w:t>
      </w:r>
      <w:r w:rsidRPr="00727586">
        <w:rPr>
          <w:rFonts w:cs="Times New Roman"/>
        </w:rPr>
        <w:t xml:space="preserve"> ratio was normalised to the DMSO vehicle control resulting in a read out of mean percentage reduction from control. Doxycycline day 6 treatment represents the result for exposure to doxycycline at 5µM for a full 6 days (no wash). The box extends from the 25</w:t>
      </w:r>
      <w:r w:rsidRPr="00727586">
        <w:rPr>
          <w:rFonts w:cs="Times New Roman"/>
          <w:vertAlign w:val="superscript"/>
        </w:rPr>
        <w:t>th</w:t>
      </w:r>
      <w:r w:rsidRPr="00727586">
        <w:rPr>
          <w:rFonts w:cs="Times New Roman"/>
        </w:rPr>
        <w:t xml:space="preserve"> to the 75</w:t>
      </w:r>
      <w:r w:rsidRPr="00727586">
        <w:rPr>
          <w:rFonts w:cs="Times New Roman"/>
          <w:vertAlign w:val="superscript"/>
        </w:rPr>
        <w:t>th</w:t>
      </w:r>
      <w:r w:rsidRPr="00727586">
        <w:rPr>
          <w:rFonts w:cs="Times New Roman"/>
        </w:rPr>
        <w:t xml:space="preserve"> percentile with the median presented by the central line. The whispers are set at the minimum and maximum therefore indicating the range from 5 replicates. </w:t>
      </w:r>
      <w:r w:rsidRPr="00727586">
        <w:rPr>
          <w:rFonts w:cs="Times New Roman"/>
          <w:szCs w:val="24"/>
        </w:rPr>
        <w:t>The cluster number is indicated by colour: cluster 1 (dark blue), 2 (</w:t>
      </w:r>
      <w:r w:rsidR="009C2BF8">
        <w:rPr>
          <w:rFonts w:cs="Times New Roman"/>
          <w:szCs w:val="24"/>
        </w:rPr>
        <w:t>magenta</w:t>
      </w:r>
      <w:r w:rsidRPr="00727586">
        <w:rPr>
          <w:rFonts w:cs="Times New Roman"/>
          <w:szCs w:val="24"/>
        </w:rPr>
        <w:t>), 3 (</w:t>
      </w:r>
      <w:r w:rsidR="009C2BF8">
        <w:rPr>
          <w:rFonts w:cs="Times New Roman"/>
          <w:szCs w:val="24"/>
        </w:rPr>
        <w:t>teal</w:t>
      </w:r>
      <w:r w:rsidRPr="00727586">
        <w:rPr>
          <w:rFonts w:cs="Times New Roman"/>
          <w:szCs w:val="24"/>
        </w:rPr>
        <w:t>), 4 (dark gold), 5 (light blue).</w:t>
      </w:r>
    </w:p>
    <w:p w:rsidR="005C6F07" w:rsidRPr="00E672BE" w:rsidRDefault="005C6F07" w:rsidP="00333705">
      <w:pPr>
        <w:widowControl w:val="0"/>
        <w:autoSpaceDE w:val="0"/>
        <w:autoSpaceDN w:val="0"/>
        <w:adjustRightInd w:val="0"/>
        <w:ind w:left="640" w:hanging="640"/>
        <w:rPr>
          <w:rFonts w:cs="Times New Roman"/>
          <w:noProof/>
          <w:szCs w:val="24"/>
        </w:rPr>
      </w:pPr>
    </w:p>
    <w:p w:rsidR="00333705" w:rsidRPr="00E672BE" w:rsidRDefault="00333705" w:rsidP="00556B2F">
      <w:pPr>
        <w:widowControl w:val="0"/>
        <w:autoSpaceDE w:val="0"/>
        <w:autoSpaceDN w:val="0"/>
        <w:adjustRightInd w:val="0"/>
        <w:ind w:left="640" w:hanging="640"/>
        <w:rPr>
          <w:rFonts w:cs="Times New Roman"/>
          <w:noProof/>
        </w:rPr>
      </w:pPr>
    </w:p>
    <w:p w:rsidR="00492F3F" w:rsidRPr="00E672BE" w:rsidRDefault="00492F3F" w:rsidP="001965E5">
      <w:pPr>
        <w:rPr>
          <w:rFonts w:cs="Times New Roman"/>
          <w:b/>
          <w:color w:val="222222"/>
          <w:szCs w:val="24"/>
          <w:lang w:val="en"/>
        </w:rPr>
      </w:pPr>
      <w:r w:rsidRPr="00E672BE">
        <w:rPr>
          <w:rFonts w:cs="Times New Roman"/>
          <w:b/>
          <w:color w:val="222222"/>
          <w:szCs w:val="24"/>
          <w:lang w:val="en"/>
        </w:rPr>
        <w:fldChar w:fldCharType="end"/>
      </w:r>
    </w:p>
    <w:p w:rsidR="00B56024" w:rsidRPr="00E672BE" w:rsidRDefault="00B56024" w:rsidP="001965E5">
      <w:pPr>
        <w:rPr>
          <w:rFonts w:cs="Times New Roman"/>
          <w:b/>
          <w:color w:val="222222"/>
          <w:szCs w:val="24"/>
          <w:lang w:val="en"/>
        </w:rPr>
      </w:pPr>
    </w:p>
    <w:p w:rsidR="00EA6297" w:rsidRPr="000E456D" w:rsidRDefault="00EA6297" w:rsidP="00B21807">
      <w:pPr>
        <w:pStyle w:val="Heading2"/>
        <w:rPr>
          <w:rFonts w:cs="Times New Roman"/>
          <w:color w:val="222222"/>
          <w:szCs w:val="24"/>
        </w:rPr>
      </w:pPr>
    </w:p>
    <w:p w:rsidR="00EA6297" w:rsidRPr="00B31127" w:rsidRDefault="00EA6297" w:rsidP="001965E5">
      <w:pPr>
        <w:rPr>
          <w:rFonts w:cs="Times New Roman"/>
          <w:color w:val="FF0000"/>
          <w:szCs w:val="24"/>
          <w:lang w:val="en"/>
        </w:rPr>
      </w:pPr>
    </w:p>
    <w:sectPr w:rsidR="00EA6297" w:rsidRPr="00B3112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39" w:rsidRDefault="00173239" w:rsidP="005D21C7">
      <w:pPr>
        <w:spacing w:after="0" w:line="240" w:lineRule="auto"/>
      </w:pPr>
      <w:r>
        <w:separator/>
      </w:r>
    </w:p>
  </w:endnote>
  <w:endnote w:type="continuationSeparator" w:id="0">
    <w:p w:rsidR="00173239" w:rsidRDefault="00173239" w:rsidP="005D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1"/>
    <w:family w:val="roman"/>
    <w:notTrueType/>
    <w:pitch w:val="variable"/>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565378"/>
      <w:docPartObj>
        <w:docPartGallery w:val="Page Numbers (Bottom of Page)"/>
        <w:docPartUnique/>
      </w:docPartObj>
    </w:sdtPr>
    <w:sdtEndPr>
      <w:rPr>
        <w:noProof/>
      </w:rPr>
    </w:sdtEndPr>
    <w:sdtContent>
      <w:p w:rsidR="002F2283" w:rsidRDefault="002F2283">
        <w:pPr>
          <w:pStyle w:val="Footer"/>
          <w:jc w:val="center"/>
        </w:pPr>
        <w:r>
          <w:fldChar w:fldCharType="begin"/>
        </w:r>
        <w:r>
          <w:instrText xml:space="preserve"> PAGE   \* MERGEFORMAT </w:instrText>
        </w:r>
        <w:r>
          <w:fldChar w:fldCharType="separate"/>
        </w:r>
        <w:r w:rsidR="00CF61D1">
          <w:rPr>
            <w:noProof/>
          </w:rPr>
          <w:t>17</w:t>
        </w:r>
        <w:r>
          <w:rPr>
            <w:noProof/>
          </w:rPr>
          <w:fldChar w:fldCharType="end"/>
        </w:r>
      </w:p>
    </w:sdtContent>
  </w:sdt>
  <w:p w:rsidR="002F2283" w:rsidRDefault="002F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39" w:rsidRDefault="00173239" w:rsidP="005D21C7">
      <w:pPr>
        <w:spacing w:after="0" w:line="240" w:lineRule="auto"/>
      </w:pPr>
      <w:r>
        <w:separator/>
      </w:r>
    </w:p>
  </w:footnote>
  <w:footnote w:type="continuationSeparator" w:id="0">
    <w:p w:rsidR="00173239" w:rsidRDefault="00173239" w:rsidP="005D2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41A4"/>
    <w:multiLevelType w:val="multilevel"/>
    <w:tmpl w:val="F0A2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40CA0"/>
    <w:multiLevelType w:val="multilevel"/>
    <w:tmpl w:val="1F3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16759"/>
    <w:multiLevelType w:val="hybridMultilevel"/>
    <w:tmpl w:val="CC5A1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3A7301"/>
    <w:multiLevelType w:val="hybridMultilevel"/>
    <w:tmpl w:val="AD5C3780"/>
    <w:lvl w:ilvl="0" w:tplc="2976F4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D37AB"/>
    <w:multiLevelType w:val="hybridMultilevel"/>
    <w:tmpl w:val="38A687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DCC08B5"/>
    <w:multiLevelType w:val="hybridMultilevel"/>
    <w:tmpl w:val="A6101D98"/>
    <w:lvl w:ilvl="0" w:tplc="5A70F4B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F22745"/>
    <w:multiLevelType w:val="hybridMultilevel"/>
    <w:tmpl w:val="DA00E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63737E"/>
    <w:multiLevelType w:val="hybridMultilevel"/>
    <w:tmpl w:val="1584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B25E2"/>
    <w:multiLevelType w:val="multilevel"/>
    <w:tmpl w:val="0A0E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8"/>
  </w:num>
  <w:num w:numId="5">
    <w:abstractNumId w:val="3"/>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EC"/>
    <w:rsid w:val="00002E74"/>
    <w:rsid w:val="00004DFA"/>
    <w:rsid w:val="00007FAD"/>
    <w:rsid w:val="0001008C"/>
    <w:rsid w:val="00014FB8"/>
    <w:rsid w:val="000157FA"/>
    <w:rsid w:val="00020A27"/>
    <w:rsid w:val="000210D7"/>
    <w:rsid w:val="000241E6"/>
    <w:rsid w:val="0002718A"/>
    <w:rsid w:val="00031A37"/>
    <w:rsid w:val="000336E7"/>
    <w:rsid w:val="00034DCE"/>
    <w:rsid w:val="000416E1"/>
    <w:rsid w:val="00042221"/>
    <w:rsid w:val="00046239"/>
    <w:rsid w:val="00047833"/>
    <w:rsid w:val="00050BC3"/>
    <w:rsid w:val="00050DA7"/>
    <w:rsid w:val="00053C38"/>
    <w:rsid w:val="00053FD4"/>
    <w:rsid w:val="0005760C"/>
    <w:rsid w:val="0006165D"/>
    <w:rsid w:val="000642C9"/>
    <w:rsid w:val="0007437C"/>
    <w:rsid w:val="00076774"/>
    <w:rsid w:val="00080A2D"/>
    <w:rsid w:val="00084C06"/>
    <w:rsid w:val="0008637B"/>
    <w:rsid w:val="0009031A"/>
    <w:rsid w:val="0009410F"/>
    <w:rsid w:val="00097F74"/>
    <w:rsid w:val="000A32E6"/>
    <w:rsid w:val="000A3DBC"/>
    <w:rsid w:val="000A5BED"/>
    <w:rsid w:val="000A5FE4"/>
    <w:rsid w:val="000A7052"/>
    <w:rsid w:val="000B0DB0"/>
    <w:rsid w:val="000B43E7"/>
    <w:rsid w:val="000B66FE"/>
    <w:rsid w:val="000B6A96"/>
    <w:rsid w:val="000C3C33"/>
    <w:rsid w:val="000C469A"/>
    <w:rsid w:val="000C7C22"/>
    <w:rsid w:val="000D0B8B"/>
    <w:rsid w:val="000D43BD"/>
    <w:rsid w:val="000D540D"/>
    <w:rsid w:val="000E22A0"/>
    <w:rsid w:val="000E360F"/>
    <w:rsid w:val="000E3DA4"/>
    <w:rsid w:val="000E416B"/>
    <w:rsid w:val="000E456D"/>
    <w:rsid w:val="000F1477"/>
    <w:rsid w:val="000F3675"/>
    <w:rsid w:val="000F5FBE"/>
    <w:rsid w:val="000F60D9"/>
    <w:rsid w:val="00100DA2"/>
    <w:rsid w:val="0010389D"/>
    <w:rsid w:val="001065B8"/>
    <w:rsid w:val="00106940"/>
    <w:rsid w:val="00110193"/>
    <w:rsid w:val="00111E66"/>
    <w:rsid w:val="00112447"/>
    <w:rsid w:val="001139A5"/>
    <w:rsid w:val="0011497E"/>
    <w:rsid w:val="00115772"/>
    <w:rsid w:val="001241D4"/>
    <w:rsid w:val="00124DB6"/>
    <w:rsid w:val="00131925"/>
    <w:rsid w:val="0013676D"/>
    <w:rsid w:val="001417F9"/>
    <w:rsid w:val="00142040"/>
    <w:rsid w:val="001420A0"/>
    <w:rsid w:val="00144ACC"/>
    <w:rsid w:val="001450D6"/>
    <w:rsid w:val="00150DB9"/>
    <w:rsid w:val="00151614"/>
    <w:rsid w:val="00151868"/>
    <w:rsid w:val="00153DDC"/>
    <w:rsid w:val="001546EF"/>
    <w:rsid w:val="00154DB2"/>
    <w:rsid w:val="0015770D"/>
    <w:rsid w:val="00164939"/>
    <w:rsid w:val="00165322"/>
    <w:rsid w:val="00172F79"/>
    <w:rsid w:val="00173239"/>
    <w:rsid w:val="00175D04"/>
    <w:rsid w:val="001812E7"/>
    <w:rsid w:val="00182C53"/>
    <w:rsid w:val="001863D8"/>
    <w:rsid w:val="00187C6B"/>
    <w:rsid w:val="0019206D"/>
    <w:rsid w:val="00192D0F"/>
    <w:rsid w:val="001931B5"/>
    <w:rsid w:val="00194400"/>
    <w:rsid w:val="001946E9"/>
    <w:rsid w:val="00195018"/>
    <w:rsid w:val="001965E5"/>
    <w:rsid w:val="001A0F39"/>
    <w:rsid w:val="001A15DD"/>
    <w:rsid w:val="001A2F82"/>
    <w:rsid w:val="001A3608"/>
    <w:rsid w:val="001A3AD2"/>
    <w:rsid w:val="001B363B"/>
    <w:rsid w:val="001B4D42"/>
    <w:rsid w:val="001C15C7"/>
    <w:rsid w:val="001C4CD3"/>
    <w:rsid w:val="001C7E12"/>
    <w:rsid w:val="001D4D1D"/>
    <w:rsid w:val="001D6647"/>
    <w:rsid w:val="001E02EF"/>
    <w:rsid w:val="001F12C5"/>
    <w:rsid w:val="001F2F2A"/>
    <w:rsid w:val="001F70D0"/>
    <w:rsid w:val="002001D8"/>
    <w:rsid w:val="002024AF"/>
    <w:rsid w:val="002106CD"/>
    <w:rsid w:val="00211C2A"/>
    <w:rsid w:val="0021240D"/>
    <w:rsid w:val="002131DE"/>
    <w:rsid w:val="00234304"/>
    <w:rsid w:val="00237B3E"/>
    <w:rsid w:val="0024262B"/>
    <w:rsid w:val="00244E59"/>
    <w:rsid w:val="002470CD"/>
    <w:rsid w:val="00247E1D"/>
    <w:rsid w:val="002513CB"/>
    <w:rsid w:val="00251E4E"/>
    <w:rsid w:val="002529D4"/>
    <w:rsid w:val="00261523"/>
    <w:rsid w:val="002622C8"/>
    <w:rsid w:val="002666AB"/>
    <w:rsid w:val="00275104"/>
    <w:rsid w:val="00281266"/>
    <w:rsid w:val="002812E8"/>
    <w:rsid w:val="00282BF4"/>
    <w:rsid w:val="00285086"/>
    <w:rsid w:val="00290A33"/>
    <w:rsid w:val="002912B5"/>
    <w:rsid w:val="0029312C"/>
    <w:rsid w:val="00295063"/>
    <w:rsid w:val="0029571C"/>
    <w:rsid w:val="002A10F9"/>
    <w:rsid w:val="002A27E8"/>
    <w:rsid w:val="002A2933"/>
    <w:rsid w:val="002A4DCA"/>
    <w:rsid w:val="002B076E"/>
    <w:rsid w:val="002B2A02"/>
    <w:rsid w:val="002B4A06"/>
    <w:rsid w:val="002B6293"/>
    <w:rsid w:val="002B76F0"/>
    <w:rsid w:val="002C0E1B"/>
    <w:rsid w:val="002D1317"/>
    <w:rsid w:val="002D3564"/>
    <w:rsid w:val="002D3F43"/>
    <w:rsid w:val="002D6980"/>
    <w:rsid w:val="002D6CB4"/>
    <w:rsid w:val="002E052B"/>
    <w:rsid w:val="002E2771"/>
    <w:rsid w:val="002E379F"/>
    <w:rsid w:val="002E4669"/>
    <w:rsid w:val="002E4C40"/>
    <w:rsid w:val="002F2283"/>
    <w:rsid w:val="002F2964"/>
    <w:rsid w:val="002F2A73"/>
    <w:rsid w:val="003005F7"/>
    <w:rsid w:val="00302FFD"/>
    <w:rsid w:val="00304396"/>
    <w:rsid w:val="0030681F"/>
    <w:rsid w:val="00311B70"/>
    <w:rsid w:val="00311CA3"/>
    <w:rsid w:val="00311CE7"/>
    <w:rsid w:val="00312777"/>
    <w:rsid w:val="00314159"/>
    <w:rsid w:val="00315389"/>
    <w:rsid w:val="0031594A"/>
    <w:rsid w:val="00317588"/>
    <w:rsid w:val="003201DC"/>
    <w:rsid w:val="0032275B"/>
    <w:rsid w:val="003238E8"/>
    <w:rsid w:val="00333705"/>
    <w:rsid w:val="003373D1"/>
    <w:rsid w:val="00342F27"/>
    <w:rsid w:val="003476EF"/>
    <w:rsid w:val="003479BD"/>
    <w:rsid w:val="0035213A"/>
    <w:rsid w:val="003571CF"/>
    <w:rsid w:val="0036084F"/>
    <w:rsid w:val="003644AB"/>
    <w:rsid w:val="00364DB0"/>
    <w:rsid w:val="003651B9"/>
    <w:rsid w:val="0036784E"/>
    <w:rsid w:val="003716A9"/>
    <w:rsid w:val="003727A0"/>
    <w:rsid w:val="00374019"/>
    <w:rsid w:val="00382757"/>
    <w:rsid w:val="00385BC1"/>
    <w:rsid w:val="00386CC1"/>
    <w:rsid w:val="003906CB"/>
    <w:rsid w:val="00392E34"/>
    <w:rsid w:val="003A4096"/>
    <w:rsid w:val="003A7F03"/>
    <w:rsid w:val="003C02B7"/>
    <w:rsid w:val="003C1512"/>
    <w:rsid w:val="003C7185"/>
    <w:rsid w:val="003C7383"/>
    <w:rsid w:val="003D1E0F"/>
    <w:rsid w:val="003D3706"/>
    <w:rsid w:val="003D5D3F"/>
    <w:rsid w:val="003E1C13"/>
    <w:rsid w:val="003E3717"/>
    <w:rsid w:val="003E399D"/>
    <w:rsid w:val="003E7115"/>
    <w:rsid w:val="003F0DF5"/>
    <w:rsid w:val="003F1B3A"/>
    <w:rsid w:val="003F1D68"/>
    <w:rsid w:val="003F268F"/>
    <w:rsid w:val="003F3FD2"/>
    <w:rsid w:val="003F4164"/>
    <w:rsid w:val="003F4280"/>
    <w:rsid w:val="003F58A5"/>
    <w:rsid w:val="00402E02"/>
    <w:rsid w:val="00412C8B"/>
    <w:rsid w:val="00413D12"/>
    <w:rsid w:val="00427504"/>
    <w:rsid w:val="0043092A"/>
    <w:rsid w:val="00431177"/>
    <w:rsid w:val="004446F4"/>
    <w:rsid w:val="00445FD1"/>
    <w:rsid w:val="0044633D"/>
    <w:rsid w:val="004550E1"/>
    <w:rsid w:val="00456DF3"/>
    <w:rsid w:val="00457D01"/>
    <w:rsid w:val="00464BA6"/>
    <w:rsid w:val="00466724"/>
    <w:rsid w:val="00470F2C"/>
    <w:rsid w:val="00471BE7"/>
    <w:rsid w:val="00472A0E"/>
    <w:rsid w:val="00473511"/>
    <w:rsid w:val="004736DD"/>
    <w:rsid w:val="00477DFB"/>
    <w:rsid w:val="00480CE0"/>
    <w:rsid w:val="0048284E"/>
    <w:rsid w:val="00487099"/>
    <w:rsid w:val="00490908"/>
    <w:rsid w:val="0049208B"/>
    <w:rsid w:val="00492F3F"/>
    <w:rsid w:val="00495EED"/>
    <w:rsid w:val="004A2A35"/>
    <w:rsid w:val="004A3A78"/>
    <w:rsid w:val="004B3C6B"/>
    <w:rsid w:val="004B5D50"/>
    <w:rsid w:val="004C3084"/>
    <w:rsid w:val="004C3782"/>
    <w:rsid w:val="004D05F6"/>
    <w:rsid w:val="004D169E"/>
    <w:rsid w:val="004D4A35"/>
    <w:rsid w:val="004E0662"/>
    <w:rsid w:val="004E2C93"/>
    <w:rsid w:val="004E38B4"/>
    <w:rsid w:val="004F02FF"/>
    <w:rsid w:val="004F1F5E"/>
    <w:rsid w:val="004F34FE"/>
    <w:rsid w:val="004F3610"/>
    <w:rsid w:val="004F4A7A"/>
    <w:rsid w:val="004F67E8"/>
    <w:rsid w:val="004F742A"/>
    <w:rsid w:val="004F7493"/>
    <w:rsid w:val="00504C71"/>
    <w:rsid w:val="0050550B"/>
    <w:rsid w:val="0050554D"/>
    <w:rsid w:val="0051446D"/>
    <w:rsid w:val="00516246"/>
    <w:rsid w:val="00516D7C"/>
    <w:rsid w:val="00525522"/>
    <w:rsid w:val="005407D5"/>
    <w:rsid w:val="00542A24"/>
    <w:rsid w:val="00550787"/>
    <w:rsid w:val="00550C81"/>
    <w:rsid w:val="00551B65"/>
    <w:rsid w:val="005521D3"/>
    <w:rsid w:val="005524C9"/>
    <w:rsid w:val="00553F88"/>
    <w:rsid w:val="00555B60"/>
    <w:rsid w:val="00556563"/>
    <w:rsid w:val="00556B2F"/>
    <w:rsid w:val="00556EC7"/>
    <w:rsid w:val="005577E0"/>
    <w:rsid w:val="005614D8"/>
    <w:rsid w:val="00561AFC"/>
    <w:rsid w:val="00561C64"/>
    <w:rsid w:val="005623F0"/>
    <w:rsid w:val="005637BD"/>
    <w:rsid w:val="00565BDD"/>
    <w:rsid w:val="00575343"/>
    <w:rsid w:val="005764A5"/>
    <w:rsid w:val="005766E6"/>
    <w:rsid w:val="0057773A"/>
    <w:rsid w:val="005838D6"/>
    <w:rsid w:val="005916D9"/>
    <w:rsid w:val="00597E57"/>
    <w:rsid w:val="005A3D45"/>
    <w:rsid w:val="005B2939"/>
    <w:rsid w:val="005C3B1C"/>
    <w:rsid w:val="005C6F07"/>
    <w:rsid w:val="005C71FB"/>
    <w:rsid w:val="005C742E"/>
    <w:rsid w:val="005C7905"/>
    <w:rsid w:val="005D21C7"/>
    <w:rsid w:val="005D3005"/>
    <w:rsid w:val="005D6352"/>
    <w:rsid w:val="005D6404"/>
    <w:rsid w:val="005D6D8D"/>
    <w:rsid w:val="005E0155"/>
    <w:rsid w:val="005E2A6D"/>
    <w:rsid w:val="005E2C17"/>
    <w:rsid w:val="005E3D33"/>
    <w:rsid w:val="005F15CD"/>
    <w:rsid w:val="005F1708"/>
    <w:rsid w:val="005F203C"/>
    <w:rsid w:val="005F4F21"/>
    <w:rsid w:val="005F6452"/>
    <w:rsid w:val="00603E2D"/>
    <w:rsid w:val="0060426D"/>
    <w:rsid w:val="00604DC4"/>
    <w:rsid w:val="006054C4"/>
    <w:rsid w:val="00613FB9"/>
    <w:rsid w:val="00623A58"/>
    <w:rsid w:val="006247BB"/>
    <w:rsid w:val="006256A9"/>
    <w:rsid w:val="00625AD5"/>
    <w:rsid w:val="006269FE"/>
    <w:rsid w:val="006271CC"/>
    <w:rsid w:val="00647282"/>
    <w:rsid w:val="0065577F"/>
    <w:rsid w:val="00656041"/>
    <w:rsid w:val="00656604"/>
    <w:rsid w:val="0065750A"/>
    <w:rsid w:val="00657AD5"/>
    <w:rsid w:val="00665FA0"/>
    <w:rsid w:val="00666910"/>
    <w:rsid w:val="006701DB"/>
    <w:rsid w:val="0067255D"/>
    <w:rsid w:val="00672B0A"/>
    <w:rsid w:val="006733E6"/>
    <w:rsid w:val="00687567"/>
    <w:rsid w:val="006938A6"/>
    <w:rsid w:val="0069658F"/>
    <w:rsid w:val="006A3068"/>
    <w:rsid w:val="006A30D1"/>
    <w:rsid w:val="006A492F"/>
    <w:rsid w:val="006B0B9D"/>
    <w:rsid w:val="006B134A"/>
    <w:rsid w:val="006B3224"/>
    <w:rsid w:val="006C09F4"/>
    <w:rsid w:val="006C4629"/>
    <w:rsid w:val="006C5BFA"/>
    <w:rsid w:val="006D3EEC"/>
    <w:rsid w:val="006D563B"/>
    <w:rsid w:val="006D686E"/>
    <w:rsid w:val="006E771A"/>
    <w:rsid w:val="006E7D90"/>
    <w:rsid w:val="006F03AD"/>
    <w:rsid w:val="006F1372"/>
    <w:rsid w:val="006F4DBA"/>
    <w:rsid w:val="0070091F"/>
    <w:rsid w:val="00702E6B"/>
    <w:rsid w:val="00704BC3"/>
    <w:rsid w:val="007107F6"/>
    <w:rsid w:val="00711228"/>
    <w:rsid w:val="007132B2"/>
    <w:rsid w:val="0071330E"/>
    <w:rsid w:val="00713E6B"/>
    <w:rsid w:val="00715918"/>
    <w:rsid w:val="00715B3B"/>
    <w:rsid w:val="00715FE2"/>
    <w:rsid w:val="00717E4A"/>
    <w:rsid w:val="00721B98"/>
    <w:rsid w:val="00721DDA"/>
    <w:rsid w:val="00722489"/>
    <w:rsid w:val="007241EA"/>
    <w:rsid w:val="00727586"/>
    <w:rsid w:val="007279D3"/>
    <w:rsid w:val="00730153"/>
    <w:rsid w:val="00730382"/>
    <w:rsid w:val="00730C21"/>
    <w:rsid w:val="007321D4"/>
    <w:rsid w:val="00733488"/>
    <w:rsid w:val="00735E6C"/>
    <w:rsid w:val="0073755B"/>
    <w:rsid w:val="0074151D"/>
    <w:rsid w:val="00742B22"/>
    <w:rsid w:val="00742D72"/>
    <w:rsid w:val="00743329"/>
    <w:rsid w:val="0074384A"/>
    <w:rsid w:val="00745EC6"/>
    <w:rsid w:val="00747348"/>
    <w:rsid w:val="00751FD1"/>
    <w:rsid w:val="00754F0C"/>
    <w:rsid w:val="00757A8C"/>
    <w:rsid w:val="00764DD9"/>
    <w:rsid w:val="00781A13"/>
    <w:rsid w:val="00781EC5"/>
    <w:rsid w:val="00782012"/>
    <w:rsid w:val="00783C8B"/>
    <w:rsid w:val="00792732"/>
    <w:rsid w:val="00797589"/>
    <w:rsid w:val="007A6399"/>
    <w:rsid w:val="007A721C"/>
    <w:rsid w:val="007B01A1"/>
    <w:rsid w:val="007B08FA"/>
    <w:rsid w:val="007B09BC"/>
    <w:rsid w:val="007B1E6C"/>
    <w:rsid w:val="007C4958"/>
    <w:rsid w:val="007C5421"/>
    <w:rsid w:val="007C5824"/>
    <w:rsid w:val="007C7B71"/>
    <w:rsid w:val="007D3BAA"/>
    <w:rsid w:val="007E2F0F"/>
    <w:rsid w:val="007E3A54"/>
    <w:rsid w:val="007E4CE4"/>
    <w:rsid w:val="007E71CD"/>
    <w:rsid w:val="007E7948"/>
    <w:rsid w:val="007F3720"/>
    <w:rsid w:val="007F48FD"/>
    <w:rsid w:val="007F6A3F"/>
    <w:rsid w:val="007F7E8E"/>
    <w:rsid w:val="008010C3"/>
    <w:rsid w:val="008055E1"/>
    <w:rsid w:val="00812227"/>
    <w:rsid w:val="0081482A"/>
    <w:rsid w:val="008225EA"/>
    <w:rsid w:val="008318E6"/>
    <w:rsid w:val="0083255A"/>
    <w:rsid w:val="008334E8"/>
    <w:rsid w:val="0083674F"/>
    <w:rsid w:val="008409CC"/>
    <w:rsid w:val="00843791"/>
    <w:rsid w:val="0085208C"/>
    <w:rsid w:val="00856947"/>
    <w:rsid w:val="008651B7"/>
    <w:rsid w:val="00865516"/>
    <w:rsid w:val="00865E73"/>
    <w:rsid w:val="008717FD"/>
    <w:rsid w:val="00872BCE"/>
    <w:rsid w:val="00873809"/>
    <w:rsid w:val="00874F8A"/>
    <w:rsid w:val="00877F05"/>
    <w:rsid w:val="00883171"/>
    <w:rsid w:val="008867C2"/>
    <w:rsid w:val="008A13AC"/>
    <w:rsid w:val="008A38DD"/>
    <w:rsid w:val="008A4B8D"/>
    <w:rsid w:val="008A604E"/>
    <w:rsid w:val="008A7FC6"/>
    <w:rsid w:val="008B03E7"/>
    <w:rsid w:val="008B7FB4"/>
    <w:rsid w:val="008C034E"/>
    <w:rsid w:val="008C30FF"/>
    <w:rsid w:val="008C531A"/>
    <w:rsid w:val="008D01D0"/>
    <w:rsid w:val="008D1331"/>
    <w:rsid w:val="008D45D6"/>
    <w:rsid w:val="008E3B82"/>
    <w:rsid w:val="008F191D"/>
    <w:rsid w:val="008F204C"/>
    <w:rsid w:val="008F4934"/>
    <w:rsid w:val="0090020E"/>
    <w:rsid w:val="00901127"/>
    <w:rsid w:val="00910D1A"/>
    <w:rsid w:val="0091522A"/>
    <w:rsid w:val="00925A28"/>
    <w:rsid w:val="00926345"/>
    <w:rsid w:val="009318D2"/>
    <w:rsid w:val="00931A46"/>
    <w:rsid w:val="00933605"/>
    <w:rsid w:val="009403D5"/>
    <w:rsid w:val="009421B2"/>
    <w:rsid w:val="00946C63"/>
    <w:rsid w:val="009514D5"/>
    <w:rsid w:val="009518DB"/>
    <w:rsid w:val="00952652"/>
    <w:rsid w:val="009538E0"/>
    <w:rsid w:val="00953C0B"/>
    <w:rsid w:val="00955DFC"/>
    <w:rsid w:val="00957134"/>
    <w:rsid w:val="00957B39"/>
    <w:rsid w:val="00963327"/>
    <w:rsid w:val="009634C0"/>
    <w:rsid w:val="00963BBC"/>
    <w:rsid w:val="00964D86"/>
    <w:rsid w:val="00967DDB"/>
    <w:rsid w:val="00967EC0"/>
    <w:rsid w:val="00974B78"/>
    <w:rsid w:val="00974D82"/>
    <w:rsid w:val="00976C5C"/>
    <w:rsid w:val="009813EF"/>
    <w:rsid w:val="009839A8"/>
    <w:rsid w:val="00984609"/>
    <w:rsid w:val="0098518A"/>
    <w:rsid w:val="00986A7B"/>
    <w:rsid w:val="00990960"/>
    <w:rsid w:val="00991EAB"/>
    <w:rsid w:val="009957A9"/>
    <w:rsid w:val="00995F18"/>
    <w:rsid w:val="00995F64"/>
    <w:rsid w:val="009974F7"/>
    <w:rsid w:val="00997616"/>
    <w:rsid w:val="009978DD"/>
    <w:rsid w:val="00997D8E"/>
    <w:rsid w:val="009A5371"/>
    <w:rsid w:val="009B020C"/>
    <w:rsid w:val="009B0224"/>
    <w:rsid w:val="009B07CF"/>
    <w:rsid w:val="009C0259"/>
    <w:rsid w:val="009C269B"/>
    <w:rsid w:val="009C2BF8"/>
    <w:rsid w:val="009D34F3"/>
    <w:rsid w:val="009D3A43"/>
    <w:rsid w:val="009D3AC5"/>
    <w:rsid w:val="009D60EC"/>
    <w:rsid w:val="009D619D"/>
    <w:rsid w:val="009E3926"/>
    <w:rsid w:val="009E39C5"/>
    <w:rsid w:val="009E49BB"/>
    <w:rsid w:val="009E5441"/>
    <w:rsid w:val="009E6FA1"/>
    <w:rsid w:val="009F567E"/>
    <w:rsid w:val="009F6EE8"/>
    <w:rsid w:val="00A0084B"/>
    <w:rsid w:val="00A02358"/>
    <w:rsid w:val="00A023B3"/>
    <w:rsid w:val="00A02B23"/>
    <w:rsid w:val="00A04F43"/>
    <w:rsid w:val="00A12268"/>
    <w:rsid w:val="00A12D65"/>
    <w:rsid w:val="00A13F37"/>
    <w:rsid w:val="00A15510"/>
    <w:rsid w:val="00A157B3"/>
    <w:rsid w:val="00A169B4"/>
    <w:rsid w:val="00A220B5"/>
    <w:rsid w:val="00A24A26"/>
    <w:rsid w:val="00A2778D"/>
    <w:rsid w:val="00A324D7"/>
    <w:rsid w:val="00A400E5"/>
    <w:rsid w:val="00A4543B"/>
    <w:rsid w:val="00A472B6"/>
    <w:rsid w:val="00A47828"/>
    <w:rsid w:val="00A47A62"/>
    <w:rsid w:val="00A5273D"/>
    <w:rsid w:val="00A546BC"/>
    <w:rsid w:val="00A558E8"/>
    <w:rsid w:val="00A62C74"/>
    <w:rsid w:val="00A64B7D"/>
    <w:rsid w:val="00A65EA1"/>
    <w:rsid w:val="00A66847"/>
    <w:rsid w:val="00A71518"/>
    <w:rsid w:val="00A71DF7"/>
    <w:rsid w:val="00A72634"/>
    <w:rsid w:val="00A742DF"/>
    <w:rsid w:val="00A74548"/>
    <w:rsid w:val="00A76170"/>
    <w:rsid w:val="00A765F6"/>
    <w:rsid w:val="00A76E9C"/>
    <w:rsid w:val="00A779E3"/>
    <w:rsid w:val="00A846E0"/>
    <w:rsid w:val="00A8470D"/>
    <w:rsid w:val="00A90C5F"/>
    <w:rsid w:val="00A921B3"/>
    <w:rsid w:val="00A96BC9"/>
    <w:rsid w:val="00AA0BDB"/>
    <w:rsid w:val="00AA1E3B"/>
    <w:rsid w:val="00AB64EB"/>
    <w:rsid w:val="00AB7CF9"/>
    <w:rsid w:val="00AC0A44"/>
    <w:rsid w:val="00AD4300"/>
    <w:rsid w:val="00AE4519"/>
    <w:rsid w:val="00AF02ED"/>
    <w:rsid w:val="00AF18A9"/>
    <w:rsid w:val="00B05E5A"/>
    <w:rsid w:val="00B11AA0"/>
    <w:rsid w:val="00B1236B"/>
    <w:rsid w:val="00B14D06"/>
    <w:rsid w:val="00B17AEF"/>
    <w:rsid w:val="00B21807"/>
    <w:rsid w:val="00B23642"/>
    <w:rsid w:val="00B2404F"/>
    <w:rsid w:val="00B31127"/>
    <w:rsid w:val="00B346ED"/>
    <w:rsid w:val="00B41E7E"/>
    <w:rsid w:val="00B4284E"/>
    <w:rsid w:val="00B52C05"/>
    <w:rsid w:val="00B52D38"/>
    <w:rsid w:val="00B56024"/>
    <w:rsid w:val="00B62CD6"/>
    <w:rsid w:val="00B65C44"/>
    <w:rsid w:val="00B70029"/>
    <w:rsid w:val="00B70A66"/>
    <w:rsid w:val="00B72E0B"/>
    <w:rsid w:val="00B824FC"/>
    <w:rsid w:val="00B82DAE"/>
    <w:rsid w:val="00B86213"/>
    <w:rsid w:val="00B876F4"/>
    <w:rsid w:val="00B9162A"/>
    <w:rsid w:val="00B968C2"/>
    <w:rsid w:val="00BA0594"/>
    <w:rsid w:val="00BA105B"/>
    <w:rsid w:val="00BA1846"/>
    <w:rsid w:val="00BA58FB"/>
    <w:rsid w:val="00BA6627"/>
    <w:rsid w:val="00BA7286"/>
    <w:rsid w:val="00BB0C79"/>
    <w:rsid w:val="00BB0D07"/>
    <w:rsid w:val="00BB0D56"/>
    <w:rsid w:val="00BB1E73"/>
    <w:rsid w:val="00BB3BA0"/>
    <w:rsid w:val="00BB4608"/>
    <w:rsid w:val="00BB5D5E"/>
    <w:rsid w:val="00BB5F97"/>
    <w:rsid w:val="00BC031D"/>
    <w:rsid w:val="00BC0888"/>
    <w:rsid w:val="00BC1693"/>
    <w:rsid w:val="00BC1B1D"/>
    <w:rsid w:val="00BC22EF"/>
    <w:rsid w:val="00BC2654"/>
    <w:rsid w:val="00BC3217"/>
    <w:rsid w:val="00BC3276"/>
    <w:rsid w:val="00BC5076"/>
    <w:rsid w:val="00BC7E8B"/>
    <w:rsid w:val="00BD1067"/>
    <w:rsid w:val="00BE1E86"/>
    <w:rsid w:val="00BE40E1"/>
    <w:rsid w:val="00BE49C0"/>
    <w:rsid w:val="00BE7815"/>
    <w:rsid w:val="00BF18C5"/>
    <w:rsid w:val="00BF2518"/>
    <w:rsid w:val="00BF29E5"/>
    <w:rsid w:val="00BF2CBE"/>
    <w:rsid w:val="00BF5FD6"/>
    <w:rsid w:val="00BF6F4F"/>
    <w:rsid w:val="00BF75FA"/>
    <w:rsid w:val="00C024B7"/>
    <w:rsid w:val="00C041E8"/>
    <w:rsid w:val="00C107BB"/>
    <w:rsid w:val="00C10E6C"/>
    <w:rsid w:val="00C13DC7"/>
    <w:rsid w:val="00C14486"/>
    <w:rsid w:val="00C1449F"/>
    <w:rsid w:val="00C154F7"/>
    <w:rsid w:val="00C168F5"/>
    <w:rsid w:val="00C16B02"/>
    <w:rsid w:val="00C23C8F"/>
    <w:rsid w:val="00C23DA4"/>
    <w:rsid w:val="00C27191"/>
    <w:rsid w:val="00C27C2C"/>
    <w:rsid w:val="00C3372F"/>
    <w:rsid w:val="00C36E03"/>
    <w:rsid w:val="00C40160"/>
    <w:rsid w:val="00C40F32"/>
    <w:rsid w:val="00C426DE"/>
    <w:rsid w:val="00C42D9C"/>
    <w:rsid w:val="00C551A3"/>
    <w:rsid w:val="00C56EF5"/>
    <w:rsid w:val="00C573E7"/>
    <w:rsid w:val="00C60DD0"/>
    <w:rsid w:val="00C67E6C"/>
    <w:rsid w:val="00C77CA6"/>
    <w:rsid w:val="00C805CC"/>
    <w:rsid w:val="00C82ED8"/>
    <w:rsid w:val="00C86CB0"/>
    <w:rsid w:val="00C91BCA"/>
    <w:rsid w:val="00C948D4"/>
    <w:rsid w:val="00C9756F"/>
    <w:rsid w:val="00CA48A3"/>
    <w:rsid w:val="00CA5FA8"/>
    <w:rsid w:val="00CA6D52"/>
    <w:rsid w:val="00CB5408"/>
    <w:rsid w:val="00CB761F"/>
    <w:rsid w:val="00CB7B84"/>
    <w:rsid w:val="00CC07CD"/>
    <w:rsid w:val="00CC1276"/>
    <w:rsid w:val="00CC16F3"/>
    <w:rsid w:val="00CC5C7A"/>
    <w:rsid w:val="00CC7053"/>
    <w:rsid w:val="00CD38F0"/>
    <w:rsid w:val="00CD5A7F"/>
    <w:rsid w:val="00CD6D8C"/>
    <w:rsid w:val="00CE2AA3"/>
    <w:rsid w:val="00CE45D8"/>
    <w:rsid w:val="00CF022C"/>
    <w:rsid w:val="00CF1F60"/>
    <w:rsid w:val="00CF3EEB"/>
    <w:rsid w:val="00CF5CB7"/>
    <w:rsid w:val="00CF61D1"/>
    <w:rsid w:val="00D01241"/>
    <w:rsid w:val="00D018EB"/>
    <w:rsid w:val="00D07E1F"/>
    <w:rsid w:val="00D10DE1"/>
    <w:rsid w:val="00D1278A"/>
    <w:rsid w:val="00D12D31"/>
    <w:rsid w:val="00D15EBB"/>
    <w:rsid w:val="00D2425F"/>
    <w:rsid w:val="00D257C4"/>
    <w:rsid w:val="00D27329"/>
    <w:rsid w:val="00D32459"/>
    <w:rsid w:val="00D32543"/>
    <w:rsid w:val="00D331A1"/>
    <w:rsid w:val="00D33CF6"/>
    <w:rsid w:val="00D33DD7"/>
    <w:rsid w:val="00D40053"/>
    <w:rsid w:val="00D4155E"/>
    <w:rsid w:val="00D429E1"/>
    <w:rsid w:val="00D43E7E"/>
    <w:rsid w:val="00D460A6"/>
    <w:rsid w:val="00D478C6"/>
    <w:rsid w:val="00D517E4"/>
    <w:rsid w:val="00D54ABC"/>
    <w:rsid w:val="00D60A7E"/>
    <w:rsid w:val="00D62A72"/>
    <w:rsid w:val="00D62C2C"/>
    <w:rsid w:val="00D66F8A"/>
    <w:rsid w:val="00D66FAB"/>
    <w:rsid w:val="00D70059"/>
    <w:rsid w:val="00D70395"/>
    <w:rsid w:val="00D73D92"/>
    <w:rsid w:val="00D743BC"/>
    <w:rsid w:val="00D806FD"/>
    <w:rsid w:val="00D84F2B"/>
    <w:rsid w:val="00D86D38"/>
    <w:rsid w:val="00D97973"/>
    <w:rsid w:val="00DA3139"/>
    <w:rsid w:val="00DA6290"/>
    <w:rsid w:val="00DA7623"/>
    <w:rsid w:val="00DB144E"/>
    <w:rsid w:val="00DC29B1"/>
    <w:rsid w:val="00DC4438"/>
    <w:rsid w:val="00DC65A2"/>
    <w:rsid w:val="00DC7210"/>
    <w:rsid w:val="00DE09AE"/>
    <w:rsid w:val="00DE10BC"/>
    <w:rsid w:val="00DE116C"/>
    <w:rsid w:val="00DE5796"/>
    <w:rsid w:val="00DE7410"/>
    <w:rsid w:val="00DF629C"/>
    <w:rsid w:val="00E02EC5"/>
    <w:rsid w:val="00E0312A"/>
    <w:rsid w:val="00E0470C"/>
    <w:rsid w:val="00E065D6"/>
    <w:rsid w:val="00E07BC5"/>
    <w:rsid w:val="00E119D5"/>
    <w:rsid w:val="00E11D1D"/>
    <w:rsid w:val="00E1282D"/>
    <w:rsid w:val="00E14546"/>
    <w:rsid w:val="00E14C21"/>
    <w:rsid w:val="00E20C34"/>
    <w:rsid w:val="00E22767"/>
    <w:rsid w:val="00E22E0D"/>
    <w:rsid w:val="00E23A25"/>
    <w:rsid w:val="00E25ED4"/>
    <w:rsid w:val="00E3345E"/>
    <w:rsid w:val="00E3550F"/>
    <w:rsid w:val="00E3651D"/>
    <w:rsid w:val="00E41287"/>
    <w:rsid w:val="00E44C7A"/>
    <w:rsid w:val="00E467D6"/>
    <w:rsid w:val="00E54C0E"/>
    <w:rsid w:val="00E54D72"/>
    <w:rsid w:val="00E6637B"/>
    <w:rsid w:val="00E672BE"/>
    <w:rsid w:val="00E71119"/>
    <w:rsid w:val="00E713E1"/>
    <w:rsid w:val="00E7475E"/>
    <w:rsid w:val="00E75600"/>
    <w:rsid w:val="00E81A0B"/>
    <w:rsid w:val="00E8294C"/>
    <w:rsid w:val="00E84DAA"/>
    <w:rsid w:val="00E85455"/>
    <w:rsid w:val="00E966B5"/>
    <w:rsid w:val="00E9693D"/>
    <w:rsid w:val="00EA6297"/>
    <w:rsid w:val="00EB2F9C"/>
    <w:rsid w:val="00EB53EC"/>
    <w:rsid w:val="00EB7DA4"/>
    <w:rsid w:val="00EC26E4"/>
    <w:rsid w:val="00EC2ADE"/>
    <w:rsid w:val="00EC3B8E"/>
    <w:rsid w:val="00EC4FBC"/>
    <w:rsid w:val="00EC5AC9"/>
    <w:rsid w:val="00EC76CE"/>
    <w:rsid w:val="00EC7E21"/>
    <w:rsid w:val="00ED501E"/>
    <w:rsid w:val="00EE10DF"/>
    <w:rsid w:val="00EE5B97"/>
    <w:rsid w:val="00EF5493"/>
    <w:rsid w:val="00EF6ADA"/>
    <w:rsid w:val="00EF6BED"/>
    <w:rsid w:val="00EF7C3F"/>
    <w:rsid w:val="00F00F97"/>
    <w:rsid w:val="00F04CDE"/>
    <w:rsid w:val="00F1294A"/>
    <w:rsid w:val="00F14279"/>
    <w:rsid w:val="00F14C8C"/>
    <w:rsid w:val="00F16B73"/>
    <w:rsid w:val="00F200EE"/>
    <w:rsid w:val="00F217C9"/>
    <w:rsid w:val="00F24CB8"/>
    <w:rsid w:val="00F348FF"/>
    <w:rsid w:val="00F34FE9"/>
    <w:rsid w:val="00F408A6"/>
    <w:rsid w:val="00F4237E"/>
    <w:rsid w:val="00F42ADF"/>
    <w:rsid w:val="00F4429C"/>
    <w:rsid w:val="00F52DA5"/>
    <w:rsid w:val="00F535D7"/>
    <w:rsid w:val="00F54469"/>
    <w:rsid w:val="00F5653F"/>
    <w:rsid w:val="00F56BAB"/>
    <w:rsid w:val="00F57087"/>
    <w:rsid w:val="00F62AB7"/>
    <w:rsid w:val="00F65DAC"/>
    <w:rsid w:val="00F71874"/>
    <w:rsid w:val="00F72685"/>
    <w:rsid w:val="00F73D80"/>
    <w:rsid w:val="00F75FA9"/>
    <w:rsid w:val="00F77963"/>
    <w:rsid w:val="00F835A5"/>
    <w:rsid w:val="00F85F5B"/>
    <w:rsid w:val="00F901A5"/>
    <w:rsid w:val="00F9143A"/>
    <w:rsid w:val="00F92B6C"/>
    <w:rsid w:val="00F93D3E"/>
    <w:rsid w:val="00F94438"/>
    <w:rsid w:val="00F977B5"/>
    <w:rsid w:val="00FA55DC"/>
    <w:rsid w:val="00FB34A4"/>
    <w:rsid w:val="00FB7499"/>
    <w:rsid w:val="00FB7F71"/>
    <w:rsid w:val="00FC06B8"/>
    <w:rsid w:val="00FC1683"/>
    <w:rsid w:val="00FC1A8C"/>
    <w:rsid w:val="00FC55B3"/>
    <w:rsid w:val="00FD1629"/>
    <w:rsid w:val="00FE02FA"/>
    <w:rsid w:val="00FE37D4"/>
    <w:rsid w:val="00FE3EFA"/>
    <w:rsid w:val="00FE56EB"/>
    <w:rsid w:val="00FF30E6"/>
    <w:rsid w:val="00FF5723"/>
    <w:rsid w:val="00FF6199"/>
    <w:rsid w:val="00FF7E3D"/>
    <w:rsid w:val="5E5305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6B5EA85-229D-428E-A9AB-95A0C444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DE1"/>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0478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7833"/>
    <w:pPr>
      <w:keepNext/>
      <w:keepLines/>
      <w:spacing w:before="280"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47833"/>
    <w:pPr>
      <w:keepNext/>
      <w:keepLines/>
      <w:spacing w:before="160" w:after="12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7A8C"/>
    <w:rPr>
      <w:sz w:val="16"/>
      <w:szCs w:val="16"/>
    </w:rPr>
  </w:style>
  <w:style w:type="paragraph" w:styleId="CommentText">
    <w:name w:val="annotation text"/>
    <w:basedOn w:val="Normal"/>
    <w:link w:val="CommentTextChar"/>
    <w:uiPriority w:val="99"/>
    <w:semiHidden/>
    <w:unhideWhenUsed/>
    <w:rsid w:val="00757A8C"/>
    <w:pPr>
      <w:spacing w:line="240" w:lineRule="auto"/>
    </w:pPr>
    <w:rPr>
      <w:sz w:val="20"/>
      <w:szCs w:val="20"/>
    </w:rPr>
  </w:style>
  <w:style w:type="character" w:customStyle="1" w:styleId="CommentTextChar">
    <w:name w:val="Comment Text Char"/>
    <w:basedOn w:val="DefaultParagraphFont"/>
    <w:link w:val="CommentText"/>
    <w:uiPriority w:val="99"/>
    <w:semiHidden/>
    <w:rsid w:val="00757A8C"/>
    <w:rPr>
      <w:sz w:val="20"/>
      <w:szCs w:val="20"/>
    </w:rPr>
  </w:style>
  <w:style w:type="paragraph" w:styleId="CommentSubject">
    <w:name w:val="annotation subject"/>
    <w:basedOn w:val="CommentText"/>
    <w:next w:val="CommentText"/>
    <w:link w:val="CommentSubjectChar"/>
    <w:uiPriority w:val="99"/>
    <w:semiHidden/>
    <w:unhideWhenUsed/>
    <w:rsid w:val="00757A8C"/>
    <w:rPr>
      <w:b/>
      <w:bCs/>
    </w:rPr>
  </w:style>
  <w:style w:type="character" w:customStyle="1" w:styleId="CommentSubjectChar">
    <w:name w:val="Comment Subject Char"/>
    <w:basedOn w:val="CommentTextChar"/>
    <w:link w:val="CommentSubject"/>
    <w:uiPriority w:val="99"/>
    <w:semiHidden/>
    <w:rsid w:val="00757A8C"/>
    <w:rPr>
      <w:b/>
      <w:bCs/>
      <w:sz w:val="20"/>
      <w:szCs w:val="20"/>
    </w:rPr>
  </w:style>
  <w:style w:type="paragraph" w:styleId="BalloonText">
    <w:name w:val="Balloon Text"/>
    <w:basedOn w:val="Normal"/>
    <w:link w:val="BalloonTextChar"/>
    <w:uiPriority w:val="99"/>
    <w:semiHidden/>
    <w:unhideWhenUsed/>
    <w:rsid w:val="00757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A8C"/>
    <w:rPr>
      <w:rFonts w:ascii="Segoe UI" w:hAnsi="Segoe UI" w:cs="Segoe UI"/>
      <w:sz w:val="18"/>
      <w:szCs w:val="18"/>
    </w:rPr>
  </w:style>
  <w:style w:type="paragraph" w:styleId="NormalWeb">
    <w:name w:val="Normal (Web)"/>
    <w:basedOn w:val="Normal"/>
    <w:uiPriority w:val="99"/>
    <w:unhideWhenUsed/>
    <w:rsid w:val="00757A8C"/>
    <w:pPr>
      <w:spacing w:before="100" w:beforeAutospacing="1" w:after="100" w:afterAutospacing="1" w:line="240" w:lineRule="auto"/>
    </w:pPr>
    <w:rPr>
      <w:rFonts w:eastAsia="Times New Roman" w:cs="Times New Roman"/>
      <w:szCs w:val="24"/>
      <w:lang w:eastAsia="en-GB"/>
    </w:rPr>
  </w:style>
  <w:style w:type="character" w:customStyle="1" w:styleId="journal-title1">
    <w:name w:val="journal-title1"/>
    <w:basedOn w:val="DefaultParagraphFont"/>
    <w:rsid w:val="000B0DB0"/>
    <w:rPr>
      <w:i/>
      <w:iCs/>
    </w:rPr>
  </w:style>
  <w:style w:type="paragraph" w:customStyle="1" w:styleId="Default">
    <w:name w:val="Default"/>
    <w:rsid w:val="000B0DB0"/>
    <w:pPr>
      <w:autoSpaceDE w:val="0"/>
      <w:autoSpaceDN w:val="0"/>
      <w:adjustRightInd w:val="0"/>
      <w:spacing w:after="0" w:line="240" w:lineRule="auto"/>
    </w:pPr>
    <w:rPr>
      <w:rFonts w:ascii="Minion Pro" w:hAnsi="Minion Pro" w:cs="Minion Pro"/>
      <w:color w:val="000000"/>
      <w:sz w:val="24"/>
      <w:szCs w:val="24"/>
    </w:rPr>
  </w:style>
  <w:style w:type="paragraph" w:customStyle="1" w:styleId="Pa3">
    <w:name w:val="Pa3"/>
    <w:basedOn w:val="Default"/>
    <w:next w:val="Default"/>
    <w:uiPriority w:val="99"/>
    <w:rsid w:val="000B0DB0"/>
    <w:pPr>
      <w:spacing w:line="167" w:lineRule="atLeast"/>
    </w:pPr>
    <w:rPr>
      <w:rFonts w:cstheme="minorBidi"/>
      <w:color w:val="auto"/>
    </w:rPr>
  </w:style>
  <w:style w:type="paragraph" w:styleId="ListParagraph">
    <w:name w:val="List Paragraph"/>
    <w:basedOn w:val="Normal"/>
    <w:uiPriority w:val="34"/>
    <w:qFormat/>
    <w:rsid w:val="000B0DB0"/>
    <w:pPr>
      <w:ind w:left="720"/>
      <w:contextualSpacing/>
    </w:pPr>
  </w:style>
  <w:style w:type="character" w:styleId="Hyperlink">
    <w:name w:val="Hyperlink"/>
    <w:basedOn w:val="DefaultParagraphFont"/>
    <w:uiPriority w:val="99"/>
    <w:unhideWhenUsed/>
    <w:rsid w:val="00B65C44"/>
    <w:rPr>
      <w:color w:val="0563C1" w:themeColor="hyperlink"/>
      <w:u w:val="single"/>
    </w:rPr>
  </w:style>
  <w:style w:type="character" w:customStyle="1" w:styleId="Heading3Char">
    <w:name w:val="Heading 3 Char"/>
    <w:basedOn w:val="DefaultParagraphFont"/>
    <w:link w:val="Heading3"/>
    <w:uiPriority w:val="9"/>
    <w:rsid w:val="00047833"/>
    <w:rPr>
      <w:rFonts w:ascii="Times New Roman" w:eastAsiaTheme="majorEastAsia" w:hAnsi="Times New Roman" w:cstheme="majorBidi"/>
      <w:b/>
      <w:sz w:val="24"/>
      <w:szCs w:val="24"/>
    </w:rPr>
  </w:style>
  <w:style w:type="character" w:customStyle="1" w:styleId="Heading2Char">
    <w:name w:val="Heading 2 Char"/>
    <w:basedOn w:val="DefaultParagraphFont"/>
    <w:link w:val="Heading2"/>
    <w:uiPriority w:val="9"/>
    <w:rsid w:val="00047833"/>
    <w:rPr>
      <w:rFonts w:ascii="Times New Roman" w:eastAsiaTheme="majorEastAsia" w:hAnsi="Times New Roman" w:cstheme="majorBidi"/>
      <w:b/>
      <w:sz w:val="24"/>
      <w:szCs w:val="26"/>
    </w:rPr>
  </w:style>
  <w:style w:type="character" w:customStyle="1" w:styleId="journal">
    <w:name w:val="journal"/>
    <w:basedOn w:val="DefaultParagraphFont"/>
    <w:rsid w:val="001241D4"/>
  </w:style>
  <w:style w:type="table" w:styleId="TableGrid">
    <w:name w:val="Table Grid"/>
    <w:basedOn w:val="TableNormal"/>
    <w:uiPriority w:val="39"/>
    <w:rsid w:val="00D32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106940"/>
    <w:pPr>
      <w:keepNext/>
      <w:spacing w:before="120" w:after="120" w:line="240" w:lineRule="auto"/>
      <w:jc w:val="center"/>
      <w:outlineLvl w:val="0"/>
    </w:pPr>
    <w:rPr>
      <w:rFonts w:eastAsia="Times New Roman" w:cs="Times New Roman"/>
      <w:b/>
      <w:bCs/>
      <w:kern w:val="28"/>
      <w:sz w:val="28"/>
      <w:szCs w:val="28"/>
      <w:lang w:val="en-US"/>
    </w:rPr>
  </w:style>
  <w:style w:type="character" w:styleId="PlaceholderText">
    <w:name w:val="Placeholder Text"/>
    <w:basedOn w:val="DefaultParagraphFont"/>
    <w:uiPriority w:val="99"/>
    <w:semiHidden/>
    <w:rsid w:val="00CB7B84"/>
    <w:rPr>
      <w:color w:val="808080"/>
    </w:rPr>
  </w:style>
  <w:style w:type="character" w:styleId="FollowedHyperlink">
    <w:name w:val="FollowedHyperlink"/>
    <w:basedOn w:val="DefaultParagraphFont"/>
    <w:uiPriority w:val="99"/>
    <w:semiHidden/>
    <w:unhideWhenUsed/>
    <w:rsid w:val="00BB5D5E"/>
    <w:rPr>
      <w:color w:val="954F72" w:themeColor="followedHyperlink"/>
      <w:u w:val="single"/>
    </w:rPr>
  </w:style>
  <w:style w:type="paragraph" w:styleId="Caption">
    <w:name w:val="caption"/>
    <w:basedOn w:val="Normal"/>
    <w:next w:val="Normal"/>
    <w:uiPriority w:val="35"/>
    <w:unhideWhenUsed/>
    <w:qFormat/>
    <w:rsid w:val="00BC7E8B"/>
    <w:pPr>
      <w:spacing w:after="200"/>
    </w:pPr>
    <w:rPr>
      <w:b/>
      <w:iCs/>
      <w:szCs w:val="18"/>
    </w:rPr>
  </w:style>
  <w:style w:type="paragraph" w:styleId="Revision">
    <w:name w:val="Revision"/>
    <w:hidden/>
    <w:uiPriority w:val="99"/>
    <w:semiHidden/>
    <w:rsid w:val="00BB5F97"/>
    <w:pPr>
      <w:spacing w:after="0" w:line="240" w:lineRule="auto"/>
    </w:pPr>
  </w:style>
  <w:style w:type="paragraph" w:customStyle="1" w:styleId="p1">
    <w:name w:val="p1"/>
    <w:basedOn w:val="Normal"/>
    <w:rsid w:val="00495EED"/>
    <w:pPr>
      <w:spacing w:after="0" w:line="240" w:lineRule="auto"/>
    </w:pPr>
    <w:rPr>
      <w:rFonts w:ascii="Arial" w:hAnsi="Arial" w:cs="Arial"/>
      <w:sz w:val="12"/>
      <w:szCs w:val="12"/>
      <w:lang w:val="en-US"/>
    </w:rPr>
  </w:style>
  <w:style w:type="character" w:customStyle="1" w:styleId="s1">
    <w:name w:val="s1"/>
    <w:basedOn w:val="DefaultParagraphFont"/>
    <w:rsid w:val="00495EED"/>
  </w:style>
  <w:style w:type="character" w:customStyle="1" w:styleId="UnresolvedMention1">
    <w:name w:val="Unresolved Mention1"/>
    <w:basedOn w:val="DefaultParagraphFont"/>
    <w:uiPriority w:val="99"/>
    <w:semiHidden/>
    <w:unhideWhenUsed/>
    <w:rsid w:val="00FC1A8C"/>
    <w:rPr>
      <w:color w:val="808080"/>
      <w:shd w:val="clear" w:color="auto" w:fill="E6E6E6"/>
    </w:rPr>
  </w:style>
  <w:style w:type="character" w:customStyle="1" w:styleId="Heading1Char">
    <w:name w:val="Heading 1 Char"/>
    <w:basedOn w:val="DefaultParagraphFont"/>
    <w:link w:val="Heading1"/>
    <w:uiPriority w:val="9"/>
    <w:rsid w:val="0004783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D2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1C7"/>
    <w:rPr>
      <w:rFonts w:ascii="Times New Roman" w:hAnsi="Times New Roman"/>
      <w:sz w:val="24"/>
    </w:rPr>
  </w:style>
  <w:style w:type="paragraph" w:styleId="Footer">
    <w:name w:val="footer"/>
    <w:basedOn w:val="Normal"/>
    <w:link w:val="FooterChar"/>
    <w:uiPriority w:val="99"/>
    <w:unhideWhenUsed/>
    <w:rsid w:val="005D2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1C7"/>
    <w:rPr>
      <w:rFonts w:ascii="Times New Roman" w:hAnsi="Times New Roman"/>
      <w:sz w:val="24"/>
    </w:rPr>
  </w:style>
  <w:style w:type="character" w:customStyle="1" w:styleId="UnresolvedMention2">
    <w:name w:val="Unresolved Mention2"/>
    <w:basedOn w:val="DefaultParagraphFont"/>
    <w:uiPriority w:val="99"/>
    <w:semiHidden/>
    <w:unhideWhenUsed/>
    <w:rsid w:val="000F60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0236">
      <w:bodyDiv w:val="1"/>
      <w:marLeft w:val="0"/>
      <w:marRight w:val="0"/>
      <w:marTop w:val="0"/>
      <w:marBottom w:val="0"/>
      <w:divBdr>
        <w:top w:val="none" w:sz="0" w:space="0" w:color="auto"/>
        <w:left w:val="none" w:sz="0" w:space="0" w:color="auto"/>
        <w:bottom w:val="none" w:sz="0" w:space="0" w:color="auto"/>
        <w:right w:val="none" w:sz="0" w:space="0" w:color="auto"/>
      </w:divBdr>
    </w:div>
    <w:div w:id="126361081">
      <w:bodyDiv w:val="1"/>
      <w:marLeft w:val="0"/>
      <w:marRight w:val="0"/>
      <w:marTop w:val="0"/>
      <w:marBottom w:val="0"/>
      <w:divBdr>
        <w:top w:val="none" w:sz="0" w:space="0" w:color="auto"/>
        <w:left w:val="none" w:sz="0" w:space="0" w:color="auto"/>
        <w:bottom w:val="none" w:sz="0" w:space="0" w:color="auto"/>
        <w:right w:val="none" w:sz="0" w:space="0" w:color="auto"/>
      </w:divBdr>
    </w:div>
    <w:div w:id="142892480">
      <w:bodyDiv w:val="1"/>
      <w:marLeft w:val="0"/>
      <w:marRight w:val="0"/>
      <w:marTop w:val="0"/>
      <w:marBottom w:val="0"/>
      <w:divBdr>
        <w:top w:val="none" w:sz="0" w:space="0" w:color="auto"/>
        <w:left w:val="none" w:sz="0" w:space="0" w:color="auto"/>
        <w:bottom w:val="none" w:sz="0" w:space="0" w:color="auto"/>
        <w:right w:val="none" w:sz="0" w:space="0" w:color="auto"/>
      </w:divBdr>
    </w:div>
    <w:div w:id="376199126">
      <w:bodyDiv w:val="1"/>
      <w:marLeft w:val="0"/>
      <w:marRight w:val="0"/>
      <w:marTop w:val="0"/>
      <w:marBottom w:val="0"/>
      <w:divBdr>
        <w:top w:val="none" w:sz="0" w:space="0" w:color="auto"/>
        <w:left w:val="none" w:sz="0" w:space="0" w:color="auto"/>
        <w:bottom w:val="none" w:sz="0" w:space="0" w:color="auto"/>
        <w:right w:val="none" w:sz="0" w:space="0" w:color="auto"/>
      </w:divBdr>
    </w:div>
    <w:div w:id="513305238">
      <w:bodyDiv w:val="1"/>
      <w:marLeft w:val="0"/>
      <w:marRight w:val="0"/>
      <w:marTop w:val="0"/>
      <w:marBottom w:val="0"/>
      <w:divBdr>
        <w:top w:val="none" w:sz="0" w:space="0" w:color="auto"/>
        <w:left w:val="none" w:sz="0" w:space="0" w:color="auto"/>
        <w:bottom w:val="none" w:sz="0" w:space="0" w:color="auto"/>
        <w:right w:val="none" w:sz="0" w:space="0" w:color="auto"/>
      </w:divBdr>
    </w:div>
    <w:div w:id="542861339">
      <w:bodyDiv w:val="1"/>
      <w:marLeft w:val="0"/>
      <w:marRight w:val="0"/>
      <w:marTop w:val="0"/>
      <w:marBottom w:val="0"/>
      <w:divBdr>
        <w:top w:val="none" w:sz="0" w:space="0" w:color="auto"/>
        <w:left w:val="none" w:sz="0" w:space="0" w:color="auto"/>
        <w:bottom w:val="none" w:sz="0" w:space="0" w:color="auto"/>
        <w:right w:val="none" w:sz="0" w:space="0" w:color="auto"/>
      </w:divBdr>
    </w:div>
    <w:div w:id="544145541">
      <w:bodyDiv w:val="1"/>
      <w:marLeft w:val="0"/>
      <w:marRight w:val="0"/>
      <w:marTop w:val="0"/>
      <w:marBottom w:val="0"/>
      <w:divBdr>
        <w:top w:val="none" w:sz="0" w:space="0" w:color="auto"/>
        <w:left w:val="none" w:sz="0" w:space="0" w:color="auto"/>
        <w:bottom w:val="none" w:sz="0" w:space="0" w:color="auto"/>
        <w:right w:val="none" w:sz="0" w:space="0" w:color="auto"/>
      </w:divBdr>
    </w:div>
    <w:div w:id="547038358">
      <w:bodyDiv w:val="1"/>
      <w:marLeft w:val="0"/>
      <w:marRight w:val="0"/>
      <w:marTop w:val="0"/>
      <w:marBottom w:val="0"/>
      <w:divBdr>
        <w:top w:val="none" w:sz="0" w:space="0" w:color="auto"/>
        <w:left w:val="none" w:sz="0" w:space="0" w:color="auto"/>
        <w:bottom w:val="none" w:sz="0" w:space="0" w:color="auto"/>
        <w:right w:val="none" w:sz="0" w:space="0" w:color="auto"/>
      </w:divBdr>
    </w:div>
    <w:div w:id="579171535">
      <w:bodyDiv w:val="1"/>
      <w:marLeft w:val="0"/>
      <w:marRight w:val="0"/>
      <w:marTop w:val="0"/>
      <w:marBottom w:val="0"/>
      <w:divBdr>
        <w:top w:val="none" w:sz="0" w:space="0" w:color="auto"/>
        <w:left w:val="none" w:sz="0" w:space="0" w:color="auto"/>
        <w:bottom w:val="none" w:sz="0" w:space="0" w:color="auto"/>
        <w:right w:val="none" w:sz="0" w:space="0" w:color="auto"/>
      </w:divBdr>
    </w:div>
    <w:div w:id="666328823">
      <w:bodyDiv w:val="1"/>
      <w:marLeft w:val="0"/>
      <w:marRight w:val="0"/>
      <w:marTop w:val="0"/>
      <w:marBottom w:val="0"/>
      <w:divBdr>
        <w:top w:val="none" w:sz="0" w:space="0" w:color="auto"/>
        <w:left w:val="none" w:sz="0" w:space="0" w:color="auto"/>
        <w:bottom w:val="none" w:sz="0" w:space="0" w:color="auto"/>
        <w:right w:val="none" w:sz="0" w:space="0" w:color="auto"/>
      </w:divBdr>
    </w:div>
    <w:div w:id="697659396">
      <w:bodyDiv w:val="1"/>
      <w:marLeft w:val="0"/>
      <w:marRight w:val="0"/>
      <w:marTop w:val="0"/>
      <w:marBottom w:val="0"/>
      <w:divBdr>
        <w:top w:val="none" w:sz="0" w:space="0" w:color="auto"/>
        <w:left w:val="none" w:sz="0" w:space="0" w:color="auto"/>
        <w:bottom w:val="none" w:sz="0" w:space="0" w:color="auto"/>
        <w:right w:val="none" w:sz="0" w:space="0" w:color="auto"/>
      </w:divBdr>
    </w:div>
    <w:div w:id="856848002">
      <w:bodyDiv w:val="1"/>
      <w:marLeft w:val="0"/>
      <w:marRight w:val="0"/>
      <w:marTop w:val="0"/>
      <w:marBottom w:val="0"/>
      <w:divBdr>
        <w:top w:val="none" w:sz="0" w:space="0" w:color="auto"/>
        <w:left w:val="none" w:sz="0" w:space="0" w:color="auto"/>
        <w:bottom w:val="none" w:sz="0" w:space="0" w:color="auto"/>
        <w:right w:val="none" w:sz="0" w:space="0" w:color="auto"/>
      </w:divBdr>
    </w:div>
    <w:div w:id="1058626164">
      <w:bodyDiv w:val="1"/>
      <w:marLeft w:val="0"/>
      <w:marRight w:val="0"/>
      <w:marTop w:val="0"/>
      <w:marBottom w:val="0"/>
      <w:divBdr>
        <w:top w:val="none" w:sz="0" w:space="0" w:color="auto"/>
        <w:left w:val="none" w:sz="0" w:space="0" w:color="auto"/>
        <w:bottom w:val="none" w:sz="0" w:space="0" w:color="auto"/>
        <w:right w:val="none" w:sz="0" w:space="0" w:color="auto"/>
      </w:divBdr>
    </w:div>
    <w:div w:id="1134635874">
      <w:bodyDiv w:val="1"/>
      <w:marLeft w:val="0"/>
      <w:marRight w:val="0"/>
      <w:marTop w:val="0"/>
      <w:marBottom w:val="0"/>
      <w:divBdr>
        <w:top w:val="none" w:sz="0" w:space="0" w:color="auto"/>
        <w:left w:val="none" w:sz="0" w:space="0" w:color="auto"/>
        <w:bottom w:val="none" w:sz="0" w:space="0" w:color="auto"/>
        <w:right w:val="none" w:sz="0" w:space="0" w:color="auto"/>
      </w:divBdr>
    </w:div>
    <w:div w:id="1176263013">
      <w:bodyDiv w:val="1"/>
      <w:marLeft w:val="0"/>
      <w:marRight w:val="0"/>
      <w:marTop w:val="0"/>
      <w:marBottom w:val="0"/>
      <w:divBdr>
        <w:top w:val="none" w:sz="0" w:space="0" w:color="auto"/>
        <w:left w:val="none" w:sz="0" w:space="0" w:color="auto"/>
        <w:bottom w:val="none" w:sz="0" w:space="0" w:color="auto"/>
        <w:right w:val="none" w:sz="0" w:space="0" w:color="auto"/>
      </w:divBdr>
    </w:div>
    <w:div w:id="1226989542">
      <w:bodyDiv w:val="1"/>
      <w:marLeft w:val="0"/>
      <w:marRight w:val="0"/>
      <w:marTop w:val="0"/>
      <w:marBottom w:val="0"/>
      <w:divBdr>
        <w:top w:val="none" w:sz="0" w:space="0" w:color="auto"/>
        <w:left w:val="none" w:sz="0" w:space="0" w:color="auto"/>
        <w:bottom w:val="none" w:sz="0" w:space="0" w:color="auto"/>
        <w:right w:val="none" w:sz="0" w:space="0" w:color="auto"/>
      </w:divBdr>
    </w:div>
    <w:div w:id="1268466031">
      <w:bodyDiv w:val="1"/>
      <w:marLeft w:val="0"/>
      <w:marRight w:val="0"/>
      <w:marTop w:val="0"/>
      <w:marBottom w:val="0"/>
      <w:divBdr>
        <w:top w:val="none" w:sz="0" w:space="0" w:color="auto"/>
        <w:left w:val="none" w:sz="0" w:space="0" w:color="auto"/>
        <w:bottom w:val="none" w:sz="0" w:space="0" w:color="auto"/>
        <w:right w:val="none" w:sz="0" w:space="0" w:color="auto"/>
      </w:divBdr>
    </w:div>
    <w:div w:id="1281910713">
      <w:bodyDiv w:val="1"/>
      <w:marLeft w:val="0"/>
      <w:marRight w:val="0"/>
      <w:marTop w:val="0"/>
      <w:marBottom w:val="0"/>
      <w:divBdr>
        <w:top w:val="none" w:sz="0" w:space="0" w:color="auto"/>
        <w:left w:val="none" w:sz="0" w:space="0" w:color="auto"/>
        <w:bottom w:val="none" w:sz="0" w:space="0" w:color="auto"/>
        <w:right w:val="none" w:sz="0" w:space="0" w:color="auto"/>
      </w:divBdr>
    </w:div>
    <w:div w:id="1319572779">
      <w:bodyDiv w:val="1"/>
      <w:marLeft w:val="0"/>
      <w:marRight w:val="0"/>
      <w:marTop w:val="0"/>
      <w:marBottom w:val="0"/>
      <w:divBdr>
        <w:top w:val="none" w:sz="0" w:space="0" w:color="auto"/>
        <w:left w:val="none" w:sz="0" w:space="0" w:color="auto"/>
        <w:bottom w:val="none" w:sz="0" w:space="0" w:color="auto"/>
        <w:right w:val="none" w:sz="0" w:space="0" w:color="auto"/>
      </w:divBdr>
    </w:div>
    <w:div w:id="1431319757">
      <w:bodyDiv w:val="1"/>
      <w:marLeft w:val="0"/>
      <w:marRight w:val="0"/>
      <w:marTop w:val="0"/>
      <w:marBottom w:val="0"/>
      <w:divBdr>
        <w:top w:val="none" w:sz="0" w:space="0" w:color="auto"/>
        <w:left w:val="none" w:sz="0" w:space="0" w:color="auto"/>
        <w:bottom w:val="none" w:sz="0" w:space="0" w:color="auto"/>
        <w:right w:val="none" w:sz="0" w:space="0" w:color="auto"/>
      </w:divBdr>
    </w:div>
    <w:div w:id="1504781767">
      <w:bodyDiv w:val="1"/>
      <w:marLeft w:val="0"/>
      <w:marRight w:val="0"/>
      <w:marTop w:val="0"/>
      <w:marBottom w:val="0"/>
      <w:divBdr>
        <w:top w:val="none" w:sz="0" w:space="0" w:color="auto"/>
        <w:left w:val="none" w:sz="0" w:space="0" w:color="auto"/>
        <w:bottom w:val="none" w:sz="0" w:space="0" w:color="auto"/>
        <w:right w:val="none" w:sz="0" w:space="0" w:color="auto"/>
      </w:divBdr>
    </w:div>
    <w:div w:id="1521241429">
      <w:bodyDiv w:val="1"/>
      <w:marLeft w:val="0"/>
      <w:marRight w:val="0"/>
      <w:marTop w:val="0"/>
      <w:marBottom w:val="0"/>
      <w:divBdr>
        <w:top w:val="none" w:sz="0" w:space="0" w:color="auto"/>
        <w:left w:val="none" w:sz="0" w:space="0" w:color="auto"/>
        <w:bottom w:val="none" w:sz="0" w:space="0" w:color="auto"/>
        <w:right w:val="none" w:sz="0" w:space="0" w:color="auto"/>
      </w:divBdr>
      <w:divsChild>
        <w:div w:id="153230470">
          <w:marLeft w:val="0"/>
          <w:marRight w:val="0"/>
          <w:marTop w:val="0"/>
          <w:marBottom w:val="0"/>
          <w:divBdr>
            <w:top w:val="none" w:sz="0" w:space="0" w:color="auto"/>
            <w:left w:val="none" w:sz="0" w:space="0" w:color="auto"/>
            <w:bottom w:val="none" w:sz="0" w:space="0" w:color="auto"/>
            <w:right w:val="none" w:sz="0" w:space="0" w:color="auto"/>
          </w:divBdr>
          <w:divsChild>
            <w:div w:id="586891345">
              <w:marLeft w:val="0"/>
              <w:marRight w:val="0"/>
              <w:marTop w:val="0"/>
              <w:marBottom w:val="0"/>
              <w:divBdr>
                <w:top w:val="none" w:sz="0" w:space="0" w:color="auto"/>
                <w:left w:val="single" w:sz="48" w:space="0" w:color="FFFFFF"/>
                <w:bottom w:val="none" w:sz="0" w:space="0" w:color="auto"/>
                <w:right w:val="single" w:sz="48" w:space="0" w:color="FFFFFF"/>
              </w:divBdr>
              <w:divsChild>
                <w:div w:id="1204370110">
                  <w:marLeft w:val="0"/>
                  <w:marRight w:val="0"/>
                  <w:marTop w:val="0"/>
                  <w:marBottom w:val="0"/>
                  <w:divBdr>
                    <w:top w:val="none" w:sz="0" w:space="0" w:color="auto"/>
                    <w:left w:val="none" w:sz="0" w:space="0" w:color="auto"/>
                    <w:bottom w:val="none" w:sz="0" w:space="0" w:color="auto"/>
                    <w:right w:val="none" w:sz="0" w:space="0" w:color="auto"/>
                  </w:divBdr>
                  <w:divsChild>
                    <w:div w:id="1792161424">
                      <w:marLeft w:val="0"/>
                      <w:marRight w:val="0"/>
                      <w:marTop w:val="0"/>
                      <w:marBottom w:val="930"/>
                      <w:divBdr>
                        <w:top w:val="none" w:sz="0" w:space="0" w:color="auto"/>
                        <w:left w:val="none" w:sz="0" w:space="0" w:color="auto"/>
                        <w:bottom w:val="none" w:sz="0" w:space="0" w:color="auto"/>
                        <w:right w:val="none" w:sz="0" w:space="0" w:color="auto"/>
                      </w:divBdr>
                      <w:divsChild>
                        <w:div w:id="2030527721">
                          <w:marLeft w:val="0"/>
                          <w:marRight w:val="0"/>
                          <w:marTop w:val="0"/>
                          <w:marBottom w:val="0"/>
                          <w:divBdr>
                            <w:top w:val="none" w:sz="0" w:space="0" w:color="auto"/>
                            <w:left w:val="none" w:sz="0" w:space="0" w:color="auto"/>
                            <w:bottom w:val="none" w:sz="0" w:space="0" w:color="auto"/>
                            <w:right w:val="none" w:sz="0" w:space="0" w:color="auto"/>
                          </w:divBdr>
                          <w:divsChild>
                            <w:div w:id="16461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918781">
      <w:bodyDiv w:val="1"/>
      <w:marLeft w:val="0"/>
      <w:marRight w:val="0"/>
      <w:marTop w:val="0"/>
      <w:marBottom w:val="0"/>
      <w:divBdr>
        <w:top w:val="none" w:sz="0" w:space="0" w:color="auto"/>
        <w:left w:val="none" w:sz="0" w:space="0" w:color="auto"/>
        <w:bottom w:val="none" w:sz="0" w:space="0" w:color="auto"/>
        <w:right w:val="none" w:sz="0" w:space="0" w:color="auto"/>
      </w:divBdr>
    </w:div>
    <w:div w:id="1938440388">
      <w:bodyDiv w:val="1"/>
      <w:marLeft w:val="0"/>
      <w:marRight w:val="0"/>
      <w:marTop w:val="0"/>
      <w:marBottom w:val="0"/>
      <w:divBdr>
        <w:top w:val="none" w:sz="0" w:space="0" w:color="auto"/>
        <w:left w:val="none" w:sz="0" w:space="0" w:color="auto"/>
        <w:bottom w:val="none" w:sz="0" w:space="0" w:color="auto"/>
        <w:right w:val="none" w:sz="0" w:space="0" w:color="auto"/>
      </w:divBdr>
    </w:div>
    <w:div w:id="1949384043">
      <w:bodyDiv w:val="1"/>
      <w:marLeft w:val="0"/>
      <w:marRight w:val="0"/>
      <w:marTop w:val="0"/>
      <w:marBottom w:val="0"/>
      <w:divBdr>
        <w:top w:val="none" w:sz="0" w:space="0" w:color="auto"/>
        <w:left w:val="none" w:sz="0" w:space="0" w:color="auto"/>
        <w:bottom w:val="none" w:sz="0" w:space="0" w:color="auto"/>
        <w:right w:val="none" w:sz="0" w:space="0" w:color="auto"/>
      </w:divBdr>
    </w:div>
    <w:div w:id="1962223805">
      <w:bodyDiv w:val="1"/>
      <w:marLeft w:val="0"/>
      <w:marRight w:val="0"/>
      <w:marTop w:val="0"/>
      <w:marBottom w:val="0"/>
      <w:divBdr>
        <w:top w:val="none" w:sz="0" w:space="0" w:color="auto"/>
        <w:left w:val="none" w:sz="0" w:space="0" w:color="auto"/>
        <w:bottom w:val="none" w:sz="0" w:space="0" w:color="auto"/>
        <w:right w:val="none" w:sz="0" w:space="0" w:color="auto"/>
      </w:divBdr>
    </w:div>
    <w:div w:id="1998532940">
      <w:bodyDiv w:val="1"/>
      <w:marLeft w:val="0"/>
      <w:marRight w:val="0"/>
      <w:marTop w:val="0"/>
      <w:marBottom w:val="0"/>
      <w:divBdr>
        <w:top w:val="none" w:sz="0" w:space="0" w:color="auto"/>
        <w:left w:val="none" w:sz="0" w:space="0" w:color="auto"/>
        <w:bottom w:val="none" w:sz="0" w:space="0" w:color="auto"/>
        <w:right w:val="none" w:sz="0" w:space="0" w:color="auto"/>
      </w:divBdr>
    </w:div>
    <w:div w:id="20987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Ward@lstme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M.Oneill01@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29FAB-A894-4D34-8133-EC365551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32468</Words>
  <Characters>185068</Characters>
  <Application>Microsoft Office Word</Application>
  <DocSecurity>4</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UoL</Company>
  <LinksUpToDate>false</LinksUpToDate>
  <CharactersWithSpaces>217102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Clare</dc:creator>
  <cp:lastModifiedBy>Rachel Clare</cp:lastModifiedBy>
  <cp:revision>2</cp:revision>
  <cp:lastPrinted>2018-11-14T15:30:00Z</cp:lastPrinted>
  <dcterms:created xsi:type="dcterms:W3CDTF">2018-12-18T13:29:00Z</dcterms:created>
  <dcterms:modified xsi:type="dcterms:W3CDTF">2018-12-18T13:29:00Z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http://csl.mendeley.com/styles/447748381/RachelThesis</vt:lpwstr>
  </property>
  <property fmtid="{D5CDD505-2E9C-101B-9397-08002B2CF9AE}" pid="21" name="Mendeley Recent Style Name 8_1">
    <vt:lpwstr>RachelThesis - Rachel Clare</vt:lpwstr>
  </property>
  <property fmtid="{D5CDD505-2E9C-101B-9397-08002B2CF9AE}" pid="22" name="Mendeley Recent Style Id 9_1">
    <vt:lpwstr>http://www.zotero.org/styles/science-translational-medicine</vt:lpwstr>
  </property>
  <property fmtid="{D5CDD505-2E9C-101B-9397-08002B2CF9AE}" pid="23" name="Mendeley Recent Style Name 9_1">
    <vt:lpwstr>Science Translational Medicine</vt:lpwstr>
  </property>
  <property fmtid="{D5CDD505-2E9C-101B-9397-08002B2CF9AE}" pid="24" name="Mendeley Unique User Id_1">
    <vt:lpwstr>704700ce-c71d-3121-b8d0-608143db9b47</vt:lpwstr>
  </property>
</Properties>
</file>