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51D0B" w14:textId="66FD5837" w:rsidR="004665E6" w:rsidRPr="00BC6787" w:rsidRDefault="34FEDD72" w:rsidP="00BC6787">
      <w:pPr>
        <w:pStyle w:val="Title"/>
        <w:spacing w:after="80" w:line="288" w:lineRule="auto"/>
        <w:jc w:val="center"/>
        <w:rPr>
          <w:rFonts w:cs="Times New Roman"/>
          <w:sz w:val="28"/>
          <w:szCs w:val="28"/>
        </w:rPr>
      </w:pPr>
      <w:bookmarkStart w:id="0" w:name="_Hlk496802220"/>
      <w:bookmarkEnd w:id="0"/>
      <w:r w:rsidRPr="00BC6787">
        <w:rPr>
          <w:rFonts w:cs="Times New Roman"/>
          <w:sz w:val="28"/>
          <w:szCs w:val="28"/>
        </w:rPr>
        <w:t xml:space="preserve">Developing </w:t>
      </w:r>
      <w:r w:rsidR="0092253A" w:rsidRPr="00BC6787">
        <w:rPr>
          <w:rFonts w:cs="Times New Roman"/>
          <w:sz w:val="28"/>
          <w:szCs w:val="28"/>
        </w:rPr>
        <w:t xml:space="preserve">Consistent Molecular Dynamics Force Fields </w:t>
      </w:r>
      <w:r w:rsidR="0092253A">
        <w:rPr>
          <w:rFonts w:cs="Times New Roman"/>
          <w:sz w:val="28"/>
          <w:szCs w:val="28"/>
        </w:rPr>
        <w:t>f</w:t>
      </w:r>
      <w:r w:rsidR="0092253A" w:rsidRPr="00BC6787">
        <w:rPr>
          <w:rFonts w:cs="Times New Roman"/>
          <w:sz w:val="28"/>
          <w:szCs w:val="28"/>
        </w:rPr>
        <w:t xml:space="preserve">or Biological Chromophores </w:t>
      </w:r>
      <w:r w:rsidR="0092253A">
        <w:rPr>
          <w:rFonts w:cs="Times New Roman"/>
          <w:sz w:val="28"/>
          <w:szCs w:val="28"/>
        </w:rPr>
        <w:t>v</w:t>
      </w:r>
      <w:r w:rsidR="0092253A" w:rsidRPr="00BC6787">
        <w:rPr>
          <w:rFonts w:cs="Times New Roman"/>
          <w:sz w:val="28"/>
          <w:szCs w:val="28"/>
        </w:rPr>
        <w:t>ia Force Matching</w:t>
      </w:r>
    </w:p>
    <w:p w14:paraId="08D8246A" w14:textId="00B22E57" w:rsidR="004665E6" w:rsidRPr="00BC6787" w:rsidRDefault="004665E6" w:rsidP="00BC6787">
      <w:pPr>
        <w:spacing w:after="80" w:line="288" w:lineRule="auto"/>
        <w:jc w:val="center"/>
        <w:rPr>
          <w:szCs w:val="24"/>
        </w:rPr>
      </w:pPr>
      <w:r w:rsidRPr="00BC6787">
        <w:rPr>
          <w:szCs w:val="24"/>
        </w:rPr>
        <w:t>Kirsten Claridge, Alessandro Troisi</w:t>
      </w:r>
      <w:r w:rsidR="00BC6787">
        <w:rPr>
          <w:szCs w:val="24"/>
        </w:rPr>
        <w:t>*</w:t>
      </w:r>
    </w:p>
    <w:p w14:paraId="66F99BE5" w14:textId="77777777" w:rsidR="004665E6" w:rsidRDefault="004665E6" w:rsidP="00BC6787">
      <w:pPr>
        <w:spacing w:after="80" w:line="288" w:lineRule="auto"/>
        <w:jc w:val="center"/>
        <w:rPr>
          <w:i/>
          <w:iCs/>
          <w:szCs w:val="24"/>
        </w:rPr>
      </w:pPr>
      <w:r w:rsidRPr="00BC6787">
        <w:rPr>
          <w:i/>
          <w:iCs/>
          <w:szCs w:val="24"/>
        </w:rPr>
        <w:t>Department of Chemistry, University of Liverpool, Liverpool L69 7ZD, U.K.</w:t>
      </w:r>
    </w:p>
    <w:p w14:paraId="4EA86931" w14:textId="5E69DB42" w:rsidR="00BC6787" w:rsidRPr="00BC6787" w:rsidRDefault="00BC6787" w:rsidP="00BC6787">
      <w:pPr>
        <w:spacing w:after="80" w:line="288" w:lineRule="auto"/>
        <w:jc w:val="center"/>
        <w:rPr>
          <w:i/>
          <w:iCs/>
          <w:szCs w:val="24"/>
          <w:lang w:val="it-IT"/>
        </w:rPr>
      </w:pPr>
      <w:r>
        <w:rPr>
          <w:iCs/>
          <w:szCs w:val="24"/>
          <w:lang w:val="it-IT"/>
        </w:rPr>
        <w:t>*</w:t>
      </w:r>
      <w:r w:rsidRPr="00BC6787">
        <w:rPr>
          <w:iCs/>
          <w:szCs w:val="24"/>
          <w:lang w:val="it-IT"/>
        </w:rPr>
        <w:t>E-mail</w:t>
      </w:r>
      <w:r w:rsidRPr="00BC6787">
        <w:rPr>
          <w:i/>
          <w:iCs/>
          <w:szCs w:val="24"/>
          <w:lang w:val="it-IT"/>
        </w:rPr>
        <w:t>: a.troisi@liverpool.ac.uk</w:t>
      </w:r>
    </w:p>
    <w:p w14:paraId="6CA8829E" w14:textId="3AC57EAC" w:rsidR="00E77F13" w:rsidRPr="00BC6787" w:rsidRDefault="002452DE" w:rsidP="009D6AF7">
      <w:pPr>
        <w:pStyle w:val="Title"/>
        <w:spacing w:line="360" w:lineRule="auto"/>
        <w:jc w:val="left"/>
        <w:rPr>
          <w:rFonts w:cs="Times New Roman"/>
          <w:sz w:val="24"/>
          <w:szCs w:val="24"/>
        </w:rPr>
      </w:pPr>
      <w:r w:rsidRPr="00BC6787">
        <w:fldChar w:fldCharType="begin"/>
      </w:r>
      <w:r w:rsidRPr="00BC6787">
        <w:rPr>
          <w:rFonts w:cs="Times New Roman"/>
          <w:sz w:val="28"/>
          <w:szCs w:val="32"/>
        </w:rPr>
        <w:instrText xml:space="preserve"> MACROBUTTON MTEditEquationSection2 </w:instrText>
      </w:r>
      <w:r w:rsidRPr="00BC6787">
        <w:rPr>
          <w:rStyle w:val="MTEquationSection"/>
          <w:rFonts w:cs="Times New Roman"/>
          <w:color w:val="auto"/>
          <w:sz w:val="28"/>
          <w:szCs w:val="32"/>
        </w:rPr>
        <w:instrText>Equation Chapter (Next) Section 1</w:instrText>
      </w:r>
      <w:r w:rsidRPr="00BC6787">
        <w:rPr>
          <w:rFonts w:cs="Times New Roman"/>
          <w:sz w:val="28"/>
          <w:szCs w:val="32"/>
        </w:rPr>
        <w:fldChar w:fldCharType="begin"/>
      </w:r>
      <w:r w:rsidRPr="00BC6787">
        <w:rPr>
          <w:rFonts w:cs="Times New Roman"/>
          <w:sz w:val="28"/>
          <w:szCs w:val="32"/>
        </w:rPr>
        <w:instrText xml:space="preserve"> SEQ MTEqn \r \h \* MERGEFORMAT </w:instrText>
      </w:r>
      <w:r w:rsidRPr="00BC6787">
        <w:rPr>
          <w:rFonts w:cs="Times New Roman"/>
          <w:sz w:val="28"/>
          <w:szCs w:val="32"/>
        </w:rPr>
        <w:fldChar w:fldCharType="end"/>
      </w:r>
      <w:r w:rsidRPr="00BC6787">
        <w:rPr>
          <w:rFonts w:cs="Times New Roman"/>
          <w:sz w:val="28"/>
          <w:szCs w:val="32"/>
        </w:rPr>
        <w:fldChar w:fldCharType="begin"/>
      </w:r>
      <w:r w:rsidRPr="00BC6787">
        <w:rPr>
          <w:rFonts w:cs="Times New Roman"/>
          <w:sz w:val="28"/>
          <w:szCs w:val="32"/>
        </w:rPr>
        <w:instrText xml:space="preserve"> SEQ MTSec \r 1 \h \* MERGEFORMAT </w:instrText>
      </w:r>
      <w:r w:rsidRPr="00BC6787">
        <w:rPr>
          <w:rFonts w:cs="Times New Roman"/>
          <w:sz w:val="28"/>
          <w:szCs w:val="32"/>
        </w:rPr>
        <w:fldChar w:fldCharType="end"/>
      </w:r>
      <w:r w:rsidRPr="00BC6787">
        <w:rPr>
          <w:rFonts w:cs="Times New Roman"/>
          <w:sz w:val="28"/>
          <w:szCs w:val="32"/>
        </w:rPr>
        <w:fldChar w:fldCharType="begin"/>
      </w:r>
      <w:r w:rsidRPr="00BC6787">
        <w:rPr>
          <w:rFonts w:cs="Times New Roman"/>
          <w:sz w:val="28"/>
          <w:szCs w:val="32"/>
        </w:rPr>
        <w:instrText xml:space="preserve"> SEQ MTChap \h \* MERGEFORMAT </w:instrText>
      </w:r>
      <w:r w:rsidRPr="00BC6787">
        <w:rPr>
          <w:rFonts w:cs="Times New Roman"/>
          <w:sz w:val="28"/>
          <w:szCs w:val="32"/>
        </w:rPr>
        <w:fldChar w:fldCharType="end"/>
      </w:r>
      <w:r w:rsidRPr="00BC6787">
        <w:rPr>
          <w:rFonts w:cs="Times New Roman"/>
          <w:sz w:val="28"/>
          <w:szCs w:val="32"/>
        </w:rPr>
        <w:fldChar w:fldCharType="end"/>
      </w:r>
      <w:r w:rsidR="00E77F13" w:rsidRPr="00BC6787">
        <w:rPr>
          <w:rFonts w:cs="Times New Roman"/>
          <w:sz w:val="24"/>
          <w:szCs w:val="24"/>
        </w:rPr>
        <w:t>Abstract</w:t>
      </w:r>
    </w:p>
    <w:p w14:paraId="5C3C69BB" w14:textId="16360A62" w:rsidR="00E77F13" w:rsidRDefault="00E77F13" w:rsidP="00BC6787">
      <w:pPr>
        <w:spacing w:line="288" w:lineRule="auto"/>
      </w:pPr>
      <w:r w:rsidRPr="00BC6787">
        <w:t>The role of environment in excitation energy transport in the pigment protein complexes</w:t>
      </w:r>
      <w:r w:rsidR="00B574A4" w:rsidRPr="00BC6787">
        <w:t xml:space="preserve"> (PPCs)</w:t>
      </w:r>
      <w:r w:rsidRPr="00BC6787">
        <w:t xml:space="preserve"> of photosynthetic organisms is a widely investigated topic. The spectral density is a key component of understa</w:t>
      </w:r>
      <w:r w:rsidR="007F36FC" w:rsidRPr="00BC6787">
        <w:t>n</w:t>
      </w:r>
      <w:r w:rsidR="00740AB4" w:rsidRPr="00BC6787">
        <w:t>d</w:t>
      </w:r>
      <w:r w:rsidRPr="00BC6787">
        <w:t xml:space="preserve">ing this protein-pigment interaction, however the typical approach for calculating spectral density, combining molecular dynamics </w:t>
      </w:r>
      <w:r w:rsidR="0000730A" w:rsidRPr="00BC6787">
        <w:t xml:space="preserve">(MD) </w:t>
      </w:r>
      <w:r w:rsidRPr="00BC6787">
        <w:t>with quantum chemistry</w:t>
      </w:r>
      <w:r w:rsidR="0000730A" w:rsidRPr="00BC6787">
        <w:t xml:space="preserve"> (QC)</w:t>
      </w:r>
      <w:r w:rsidRPr="00BC6787">
        <w:t xml:space="preserve"> calculations</w:t>
      </w:r>
      <w:r w:rsidR="0000730A" w:rsidRPr="00BC6787">
        <w:t>,</w:t>
      </w:r>
      <w:r w:rsidRPr="00BC6787">
        <w:t xml:space="preserve"> suffers from the geometry mismatch problem</w:t>
      </w:r>
      <w:r w:rsidR="00472967" w:rsidRPr="00BC6787">
        <w:t>,</w:t>
      </w:r>
      <w:r w:rsidRPr="00BC6787">
        <w:t xml:space="preserve"> </w:t>
      </w:r>
      <w:r w:rsidR="0000730A" w:rsidRPr="00BC6787">
        <w:t>arising from</w:t>
      </w:r>
      <w:r w:rsidRPr="00BC6787">
        <w:t xml:space="preserve"> the structural inconsistency between the forcefield </w:t>
      </w:r>
      <w:r w:rsidR="0000730A" w:rsidRPr="00BC6787">
        <w:t xml:space="preserve">(FF) </w:t>
      </w:r>
      <w:r w:rsidRPr="00BC6787">
        <w:t xml:space="preserve">and the </w:t>
      </w:r>
      <w:r w:rsidR="0000730A" w:rsidRPr="00BC6787">
        <w:t>QC</w:t>
      </w:r>
      <w:r w:rsidR="0076098D" w:rsidRPr="00BC6787">
        <w:t xml:space="preserve"> calculation</w:t>
      </w:r>
      <w:r w:rsidRPr="00BC6787">
        <w:t xml:space="preserve">. </w:t>
      </w:r>
      <w:r w:rsidR="0000730A" w:rsidRPr="00BC6787">
        <w:t xml:space="preserve">Existing parameterisation methods demand much time consuming manual input, limiting the number of systems that can be studied. We present a method, utilising force matching for </w:t>
      </w:r>
      <w:r w:rsidR="00BF0044" w:rsidRPr="00BC6787">
        <w:t>the auto-</w:t>
      </w:r>
      <w:r w:rsidR="00B574A4" w:rsidRPr="00BC6787">
        <w:t>parameterisation</w:t>
      </w:r>
      <w:r w:rsidR="00BF0044" w:rsidRPr="00BC6787">
        <w:t xml:space="preserve"> of new pigment FFs </w:t>
      </w:r>
      <w:r w:rsidR="00B574A4" w:rsidRPr="00BC6787">
        <w:t xml:space="preserve">for the use in spectral density calculations of PPCs </w:t>
      </w:r>
      <w:r w:rsidR="00BF0044" w:rsidRPr="00BC6787">
        <w:t>and apply the method to 3 pigments.</w:t>
      </w:r>
      <w:r w:rsidR="0051690A" w:rsidRPr="00BC6787">
        <w:t xml:space="preserve"> </w:t>
      </w:r>
      <w:r w:rsidR="008A0D12" w:rsidRPr="00BC6787">
        <w:t xml:space="preserve">The use of these optimised FFs in spectral density computation results in a notable difference in comparison to the original FF. </w:t>
      </w:r>
    </w:p>
    <w:p w14:paraId="3B879632" w14:textId="77777777" w:rsidR="00BC6787" w:rsidRPr="00BC6787" w:rsidRDefault="00BC6787" w:rsidP="00BC6787">
      <w:pPr>
        <w:spacing w:line="288" w:lineRule="auto"/>
      </w:pPr>
    </w:p>
    <w:p w14:paraId="60E56D66" w14:textId="2489F398" w:rsidR="00B2716D" w:rsidRPr="00BC6787" w:rsidRDefault="0092253A" w:rsidP="43CA53EC">
      <w:pPr>
        <w:pStyle w:val="Title"/>
        <w:spacing w:line="360" w:lineRule="auto"/>
        <w:rPr>
          <w:rFonts w:cs="Times New Roman"/>
        </w:rPr>
      </w:pPr>
      <w:r>
        <w:rPr>
          <w:rFonts w:cs="Times New Roman"/>
          <w:sz w:val="24"/>
          <w:szCs w:val="24"/>
        </w:rPr>
        <w:t xml:space="preserve">1. </w:t>
      </w:r>
      <w:r w:rsidR="43CA53EC" w:rsidRPr="00BC6787">
        <w:rPr>
          <w:rFonts w:cs="Times New Roman"/>
          <w:sz w:val="24"/>
          <w:szCs w:val="24"/>
        </w:rPr>
        <w:t>Introduction</w:t>
      </w:r>
    </w:p>
    <w:p w14:paraId="25E61357" w14:textId="7D773FF3" w:rsidR="00D63168" w:rsidRPr="00BC6787" w:rsidRDefault="00866AB6" w:rsidP="743D8EFC">
      <w:pPr>
        <w:rPr>
          <w:rFonts w:cs="Times New Roman"/>
        </w:rPr>
      </w:pPr>
      <w:r w:rsidRPr="00BC6787">
        <w:rPr>
          <w:rFonts w:cs="Times New Roman"/>
        </w:rPr>
        <w:t>There is much interest in the pigment protein complexes (PPCs) of plants and photosynthetic bacteria</w:t>
      </w:r>
      <w:r w:rsidR="00D96C64" w:rsidRPr="00BC6787">
        <w:rPr>
          <w:rFonts w:cs="Times New Roman"/>
        </w:rPr>
        <w:t xml:space="preserve"> due to their exceptionally high efficiency</w:t>
      </w:r>
      <w:r w:rsidR="007F36FC" w:rsidRPr="00BC6787">
        <w:rPr>
          <w:rFonts w:cs="Times New Roman"/>
        </w:rPr>
        <w:t>,</w:t>
      </w:r>
      <w:r w:rsidR="00734990" w:rsidRPr="00BC6787">
        <w:fldChar w:fldCharType="begin" w:fldLock="1"/>
      </w:r>
      <w:r w:rsidR="000C038E">
        <w:rPr>
          <w:rFonts w:cs="Times New Roman"/>
        </w:rPr>
        <w:instrText>ADDIN CSL_CITATION {"citationItems":[{"id":"ITEM-1","itemData":{"DOI":"10.1002/9780470758472","ISBN":"9780470758472","author":[{"dropping-particle":"","family":"Blankenship","given":"Robert E.","non-dropping-particle":"","parse-names":false,"suffix":""}],"id":"ITEM-1","issued":{"date-parts":[["2002","12","19"]]},"number-of-pages":"296","publisher":"Blackwell Science Ltd","publisher-place":"Oxford, UK","title":"Molecular Mechanisms of Photosynthesis","type":"book"},"uris":["http://www.mendeley.com/documents/?uuid=b0db9935-22e8-48bc-a854-85bd654851f3"]}],"mendeley":{"formattedCitation":"&lt;sup&gt;1&lt;/sup&gt;","plainTextFormattedCitation":"1","previouslyFormattedCitation":"&lt;sup&gt;1&lt;/sup&gt;"},"properties":{"noteIndex":0},"schema":"https://github.com/citation-style-language/schema/raw/master/csl-citation.json"}</w:instrText>
      </w:r>
      <w:r w:rsidR="00734990" w:rsidRPr="00BC6787">
        <w:rPr>
          <w:rFonts w:cs="Times New Roman"/>
        </w:rPr>
        <w:fldChar w:fldCharType="separate"/>
      </w:r>
      <w:r w:rsidR="00380A38" w:rsidRPr="00BC6787">
        <w:rPr>
          <w:rFonts w:cs="Times New Roman"/>
          <w:noProof/>
          <w:vertAlign w:val="superscript"/>
        </w:rPr>
        <w:t>1</w:t>
      </w:r>
      <w:r w:rsidR="00734990" w:rsidRPr="00BC6787">
        <w:fldChar w:fldCharType="end"/>
      </w:r>
      <w:r w:rsidR="00D96C64" w:rsidRPr="00BC6787">
        <w:rPr>
          <w:rFonts w:cs="Times New Roman"/>
        </w:rPr>
        <w:t xml:space="preserve"> which is especially interesting when one considers that unlike other key ubiquitous biological components, their structural variability is very </w:t>
      </w:r>
      <w:r w:rsidR="005C7356" w:rsidRPr="00BC6787">
        <w:rPr>
          <w:rFonts w:cs="Times New Roman"/>
        </w:rPr>
        <w:t>great</w:t>
      </w:r>
      <w:r w:rsidR="00D96C64" w:rsidRPr="00BC6787">
        <w:rPr>
          <w:rFonts w:cs="Times New Roman"/>
        </w:rPr>
        <w:t xml:space="preserve">. </w:t>
      </w:r>
      <w:r w:rsidR="00055B46" w:rsidRPr="00BC6787">
        <w:rPr>
          <w:rFonts w:cs="Times New Roman"/>
        </w:rPr>
        <w:t>Additionally, experimental e</w:t>
      </w:r>
      <w:r w:rsidR="00DE15EB" w:rsidRPr="00BC6787">
        <w:rPr>
          <w:rFonts w:cs="Times New Roman"/>
        </w:rPr>
        <w:t>vidence from two-dimensional electronic spectroscopy (2D-ES) of long-lived coherence in</w:t>
      </w:r>
      <w:r w:rsidR="00055B46" w:rsidRPr="00BC6787">
        <w:rPr>
          <w:rFonts w:cs="Times New Roman"/>
        </w:rPr>
        <w:t xml:space="preserve"> the</w:t>
      </w:r>
      <w:r w:rsidR="00211C7D" w:rsidRPr="00BC6787">
        <w:rPr>
          <w:rFonts w:cs="Times New Roman"/>
        </w:rPr>
        <w:t xml:space="preserve"> light harvesting</w:t>
      </w:r>
      <w:r w:rsidR="00055B46" w:rsidRPr="00BC6787">
        <w:rPr>
          <w:rFonts w:cs="Times New Roman"/>
        </w:rPr>
        <w:t xml:space="preserve"> </w:t>
      </w:r>
      <w:proofErr w:type="spellStart"/>
      <w:r w:rsidR="00055B46" w:rsidRPr="00BC6787">
        <w:rPr>
          <w:rFonts w:cs="Times New Roman"/>
        </w:rPr>
        <w:t>Fenna</w:t>
      </w:r>
      <w:proofErr w:type="spellEnd"/>
      <w:r w:rsidR="00055B46" w:rsidRPr="00BC6787">
        <w:rPr>
          <w:rFonts w:cs="Times New Roman"/>
        </w:rPr>
        <w:t>-Matthews-Olson complex (FMO)</w:t>
      </w:r>
      <w:r w:rsidR="00451D1A" w:rsidRPr="00BC6787">
        <w:rPr>
          <w:rFonts w:cs="Times New Roman"/>
        </w:rPr>
        <w:t>,</w:t>
      </w:r>
      <w:r w:rsidR="00DC67B4" w:rsidRPr="00BC6787">
        <w:fldChar w:fldCharType="begin" w:fldLock="1"/>
      </w:r>
      <w:r w:rsidR="000C038E">
        <w:rPr>
          <w:rFonts w:cs="Times New Roman"/>
        </w:rPr>
        <w:instrText>ADDIN CSL_CITATION {"citationItems":[{"id":"ITEM-1","itemData":{"DOI":"10.1038/nature05678","ISSN":"1476-4687","PMID":"17429397","abstract":"Photosynthetic complexes are exquisitely tuned to capture solar light efficiently, and then transmit the excitation energy to reaction centres, where long term energy storage is initiated. The energy transfer mechanism is often described by semiclassical models that invoke 'hopping' of excited-state populations along discrete energy levels. Two-dimensional Fourier transform electronic spectroscopy has mapped these energy levels and their coupling in the Fenna-Matthews-Olson (FMO) bacteriochlorophyll complex, which is found in green sulphur bacteria and acts as an energy 'wire' connecting a large peripheral light-harvesting antenna, the chlorosome, to the reaction centre. The spectroscopic data clearly document the dependence of the dominant energy transport pathways on the spatial properties of the excited-state wavefunctions of the whole bacteriochlorophyll complex. But the intricate dynamics of quantum coherence, which has no classical analogue, was largely neglected in the analyses-even though electronic energy transfer involving oscillatory populations of donors and acceptors was first discussed more than 70 years ago, and electronic quantum beats arising from quantum coherence in photosynthetic complexes have been predicted and indirectly observed. Here we extend previous two-dimensional electronic spectroscopy investigations of the FMO bacteriochlorophyll complex, and obtain direct evidence for remarkably long-lived electronic quantum coherence playing an important part in energy transfer processes within this system. The quantum coherence manifests itself in characteristic, directly observable quantum beating signals among the excitons within the Chlorobium tepidum FMO complex at 77 K. This wavelike characteristic of the energy transfer within the photosynthetic complex can explain its extreme efficiency, in that it allows the complexes to sample vast areas of phase space to find the most efficient path.","author":[{"dropping-particle":"","family":"Engel","given":"Gregory S.","non-dropping-particle":"","parse-names":false,"suffix":""},{"dropping-particle":"","family":"Calhoun","given":"Tessa R.","non-dropping-particle":"","parse-names":false,"suffix":""},{"dropping-particle":"","family":"Read","given":"Elizabeth L.","non-dropping-particle":"","parse-names":false,"suffix":""},{"dropping-particle":"","family":"Ahn","given":"Tae-Kyu","non-dropping-particle":"","parse-names":false,"suffix":""},{"dropping-particle":"","family":"Mančal","given":"Tomáš","non-dropping-particle":"","parse-names":false,"suffix":""},{"dropping-particle":"","family":"Cheng","given":"Yuan-Chung","non-dropping-particle":"","parse-names":false,"suffix":""},{"dropping-particle":"","family":"Blankenship","given":"Robert E.","non-dropping-particle":"","parse-names":false,"suffix":""},{"dropping-particle":"","family":"Fleming","given":"Graham R.","non-dropping-particle":"","parse-names":false,"suffix":""}],"container-title":"Nature","id":"ITEM-1","issue":"7137","issued":{"date-parts":[["2007","4","12"]]},"page":"782-786","publisher":"Nature Publishing Group","title":"Evidence for wavelike energy transfer through quantum coherence in photosynthetic systems.","title-short":"Nature","type":"article-journal","volume":"446"},"uris":["http://www.mendeley.com/documents/?uuid=ce016928-4fb3-48ce-a2c1-262b5d14da41"]},{"id":"ITEM-2","itemData":{"DOI":"10.1073/pnas.1005484107","ISSN":"1091-6490","PMID":"20615985","abstract":"Photosynthetic antenna complexes capture and concentrate solar radiation by transferring the excitation to the reaction center that stores energy from the photon in chemical bonds. This process occurs with near-perfect quantum efficiency. Recent experiments at cryogenic temperatures have revealed that coherent energy transfer--a wave-like transfer mechanism--occurs in many photosynthetic pigment-protein complexes. Using the Fenna-Matthews-Olson antenna complex (FMO) as a model system, theoretical studies incorporating both incoherent and coherent transfer as well as thermal dephasing predict that environmentally assisted quantum transfer efficiency peaks near physiological temperature; these studies also show that this mechanism simultaneously improves the robustness of the energy transfer process. This theory requires long-lived quantum coherence at room temperature, which never has been observed in FMO. Here we present evidence that quantum coherence survives in FMO at physiological temperature for at least 300 fs, long enough to impact biological energy transport. These data prove that the wave-like energy transfer process discovered at 77 K is directly relevant to biological function. Microscopically, we attribute this long coherence lifetime to correlated motions within the protein matrix encapsulating the chromophores, and we find that the degree of protection afforded by the protein appears constant between 77 K and 277 K. The protein shapes the energy landscape and mediates an efficient energy transfer despite thermal fluctuations.","author":[{"dropping-particle":"","family":"Panitchayangkoon","given":"Gitt","non-dropping-particle":"","parse-names":false,"suffix":""},{"dropping-particle":"","family":"Hayes","given":"Dugan","non-dropping-particle":"","parse-names":false,"suffix":""},{"dropping-particle":"","family":"Fransted","given":"Kelly A.","non-dropping-particle":"","parse-names":false,"suffix":""},{"dropping-particle":"","family":"Caram","given":"Justin R.","non-dropping-particle":"","parse-names":false,"suffix":""},{"dropping-particle":"","family":"Harel","given":"Elad","non-dropping-particle":"","parse-names":false,"suffix":""},{"dropping-particle":"","family":"Wen","given":"Jianzhong","non-dropping-particle":"","parse-names":false,"suffix":""},{"dropping-particle":"","family":"Blankenship","given":"Robert E.","non-dropping-particle":"","parse-names":false,"suffix":""},{"dropping-particle":"","family":"Engel","given":"Gregory S.","non-dropping-particle":"","parse-names":false,"suffix":""}],"container-title":"Proceedings of the National Academy of Sciences of the United States of America","id":"ITEM-2","issue":"29","issued":{"date-parts":[["2010","7","20"]]},"page":"12766-70","publisher":"National Academy of Sciences","title":"Long-lived quantum coherence in photosynthetic complexes at physiological temperature.","type":"article-journal","volume":"107"},"uris":["http://www.mendeley.com/documents/?uuid=d253c42e-5fbd-465d-9e5c-bae61f549237"]}],"mendeley":{"formattedCitation":"&lt;sup&gt;2,3&lt;/sup&gt;","plainTextFormattedCitation":"2,3","previouslyFormattedCitation":"&lt;sup&gt;2,3&lt;/sup&gt;"},"properties":{"noteIndex":0},"schema":"https://github.com/citation-style-language/schema/raw/master/csl-citation.json"}</w:instrText>
      </w:r>
      <w:r w:rsidR="00DC67B4" w:rsidRPr="00BC6787">
        <w:rPr>
          <w:rFonts w:cs="Times New Roman"/>
        </w:rPr>
        <w:fldChar w:fldCharType="separate"/>
      </w:r>
      <w:r w:rsidR="00380A38" w:rsidRPr="00BC6787">
        <w:rPr>
          <w:rFonts w:cs="Times New Roman"/>
          <w:noProof/>
          <w:vertAlign w:val="superscript"/>
        </w:rPr>
        <w:t>2,3</w:t>
      </w:r>
      <w:r w:rsidR="00DC67B4" w:rsidRPr="00BC6787">
        <w:fldChar w:fldCharType="end"/>
      </w:r>
      <w:r w:rsidR="00055B46" w:rsidRPr="00BC6787">
        <w:rPr>
          <w:rFonts w:cs="Times New Roman"/>
        </w:rPr>
        <w:t xml:space="preserve"> and other PPCs</w:t>
      </w:r>
      <w:r w:rsidR="00DC67B4" w:rsidRPr="00BC6787">
        <w:fldChar w:fldCharType="begin" w:fldLock="1"/>
      </w:r>
      <w:r w:rsidR="000C038E">
        <w:rPr>
          <w:rFonts w:cs="Times New Roman"/>
        </w:rPr>
        <w:instrText>ADDIN CSL_CITATION {"citationItems":[{"id":"ITEM-1","itemData":{"DOI":"10.1038/nature08811","ISSN":"1476-4687","PMID":"20130647","abstract":"Photosynthesis makes use of sunlight to convert carbon dioxide into useful biomass and is vital for life on Earth. Crucial components for the photosynthetic process are antenna proteins, which absorb light and transmit the resultant excitation energy between molecules to a reaction centre. The efficiency of these electronic energy transfers has inspired much work on antenna proteins isolated from photosynthetic organisms to uncover the basic mechanisms at play. Intriguingly, recent work has documented that light-absorbing molecules in some photosynthetic proteins capture and transfer energy according to quantum-mechanical probability laws instead of classical laws at temperatures up to 180 K. This contrasts with the long-held view that long-range quantum coherence between molecules cannot be sustained in complex biological systems, even at low temperatures. Here we present two-dimensional photon echo spectroscopy measurements on two evolutionarily related light-harvesting proteins isolated from marine cryptophyte algae, which reveal exceptionally long-lasting excitation oscillations with distinct correlations and anti-correlations even at ambient temperature. These observations provide compelling evidence for quantum-coherent sharing of electronic excitation across the 5-nm-wide proteins under biologically relevant conditions, suggesting that distant molecules within the photosynthetic proteins are 'wired' together by quantum coherence for more efficient light-harvesting in cryptophyte marine algae.","author":[{"dropping-particle":"","family":"Collini","given":"Elisabetta","non-dropping-particle":"","parse-names":false,"suffix":""},{"dropping-particle":"","family":"Wong","given":"Cathy Y","non-dropping-particle":"","parse-names":false,"suffix":""},{"dropping-particle":"","family":"Wilk","given":"Krystyna E","non-dropping-particle":"","parse-names":false,"suffix":""},{"dropping-particle":"","family":"Curmi","given":"Paul M G","non-dropping-particle":"","parse-names":false,"suffix":""},{"dropping-particle":"","family":"Brumer","given":"Paul","non-dropping-particle":"","parse-names":false,"suffix":""},{"dropping-particle":"","family":"Scholes","given":"Gregory D","non-dropping-particle":"","parse-names":false,"suffix":""}],"container-title":"Nature","id":"ITEM-1","issue":"7281","issued":{"date-parts":[["2010","2","4"]]},"language":"en","page":"644-7","publisher":"Nature Publishing Group","title":"Coherently wired light-harvesting in photosynthetic marine algae at ambient temperature.","type":"article-journal","volume":"463"},"uris":["http://www.mendeley.com/documents/?uuid=9092a4cf-b215-420e-8977-2327cfa0e334"]},{"id":"ITEM-2","itemData":{"DOI":"10.1038/nchem.1302","ISBN":"1755-4330","ISSN":"17554330","PMID":"22522260","abstract":"The effective absorption cross-section of a molecule (acceptor) can be greatly increased by associating it with a cluster of molecules that absorb light and transfer the excitation energy to the acceptor molecule. The basic mechanism of such light harvesting by Förster resonance energy transfer (FRET) is well established, but recent experiments have revealed a new feature whereby excitation is coherently shared among donor and acceptor molecules during FRET. In the present study, two-dimensional electronic spectroscopy was used to examine energy transfer at ambient temperature in a naturally occurring light-harvesting protein (PE545 of the marine cryptophyte alga Rhodomonas sp. strain CS24). Quantum beating was observed across a range of excitation frequencies. The shapes of those features in the two-dimensional spectra were examined. Through simulations, we show that two-dimensional electronic spectroscopy provides a probe of the adiabaticity of the free energy landscape underlying light harvesting.","author":[{"dropping-particle":"","family":"Wong","given":"Cathy Y","non-dropping-particle":"","parse-names":false,"suffix":""},{"dropping-particle":"","family":"Alvey","given":"Richard M","non-dropping-particle":"","parse-names":false,"suffix":""},{"dropping-particle":"","family":"Turner","given":"Daniel B","non-dropping-particle":"","parse-names":false,"suffix":""},{"dropping-particle":"","family":"Wilk","given":"Krystyna E","non-dropping-particle":"","parse-names":false,"suffix":""},{"dropping-particle":"","family":"Bryant","given":"Donald A","non-dropping-particle":"","parse-names":false,"suffix":""},{"dropping-particle":"","family":"Curmi","given":"Paul M.G.","non-dropping-particle":"","parse-names":false,"suffix":""},{"dropping-particle":"","family":"Silbey","given":"Robert J","non-dropping-particle":"","parse-names":false,"suffix":""},{"dropping-particle":"","family":"Scholes","given":"Gregory D","non-dropping-particle":"","parse-names":false,"suffix":""}],"container-title":"Nature Chemistry","id":"ITEM-2","issue":"5","issued":{"date-parts":[["2012"]]},"page":"396-404","title":"Electronic coherence lineshapes reveal hidden excitonic correlations in photosynthetic light harvesting","type":"article-journal","volume":"4"},"uris":["http://www.mendeley.com/documents/?uuid=29345048-90a4-3a9d-9690-6dbd13b0870d"]},{"id":"ITEM-3","itemData":{"DOI":"10.1021/jp908300c","ISSN":"1520-5207","PMID":"20014871","abstract":"The near-unity efficiency of energy transfer in photosynthesis makes photosynthetic light-harvesting complexes a promising avenue for developing new renewable energy technologies. Knowledge of the energy landscape of these complexes is essential in understanding their function, but its experimental determination has proven elusive. Here, the observation of quantum coherence using two-dimensional electronic spectroscopy is employed to directly measure the 14 lowest electronic energy levels in light-harvesting complex II (LHCII), the most abundant antenna complex in plants containing approximately 50% of the world's chlorophyll. We observe that the electronically excited states are relatively evenly distributed, highlighting an important design principle of photosynthetic complexes that explains the observed ultrafast intracomplex energy transfer in LHCII.","author":[{"dropping-particle":"","family":"Calhoun","given":"Tessa R","non-dropping-particle":"","parse-names":false,"suffix":""},{"dropping-particle":"","family":"Ginsberg","given":"Naomi S","non-dropping-particle":"","parse-names":false,"suffix":""},{"dropping-particle":"","family":"Schlau-Cohen","given":"Gabriela S","non-dropping-particle":"","parse-names":false,"suffix":""},{"dropping-particle":"","family":"Cheng","given":"Yuan-Chung","non-dropping-particle":"","parse-names":false,"suffix":""},{"dropping-particle":"","family":"Ballottari","given":"Matteo","non-dropping-particle":"","parse-names":false,"suffix":""},{"dropping-particle":"","family":"Bassi","given":"Roberto","non-dropping-particle":"","parse-names":false,"suffix":""},{"dropping-particle":"","family":"Fleming","given":"Graham R","non-dropping-particle":"","parse-names":false,"suffix":""}],"container-title":"The Journal of Physical Chemistry B","id":"ITEM-3","issue":"51","issued":{"date-parts":[["2009","12","24"]]},"page":"16291-5","publisher":"American Chemical Society","title":"Quantum coherence enabled determination of the energy landscape in light-harvesting complex II.","type":"article-journal","volume":"113"},"uris":["http://www.mendeley.com/documents/?uuid=7d2fc05e-9a33-44ef-82ef-752ab51701e9"]},{"id":"ITEM-4","itemData":{"DOI":"10.1073/pnas.1110312109","ISSN":"1091-6490","PMID":"22215585","abstract":"Light-harvesting antenna complexes transfer energy from sunlight to photosynthetic reaction centers where charge separation drives cellular metabolism. The process through which pigments transfer excitation energy involves a complex choreography of coherent and incoherent processes mediated by the surrounding protein and solvent environment. The recent discovery of coherent dynamics in photosynthetic light-harvesting antennae has motivated many theoretical models exploring effects of interference in energy transfer phenomena. In this work, we provide experimental evidence of long-lived quantum coherence between the spectrally separated B800 and B850 rings of the light-harvesting complex 2 (LH2) of purple bacteria. Spectrally resolved maps of the detuning, dephasing, and the amplitude of electronic coupling between excitons reveal that different relaxation pathways act in concert for optimal transfer efficiency. Furthermore, maps of the phase of the signal suggest that quantum mechanical interference between different energy transfer pathways may be important even at ambient temperature. Such interference at a product state has already been shown to enhance the quantum efficiency of transfer in theoretical models of closed loop systems such as LH2.","author":[{"dropping-particle":"","family":"Harel","given":"Elad","non-dropping-particle":"","parse-names":false,"suffix":""},{"dropping-particle":"","family":"Engel","given":"Gregory S","non-dropping-particle":"","parse-names":false,"suffix":""}],"container-title":"Proceedings of the National Academy of Sciences of the United States of America","id":"ITEM-4","issue":"3","issued":{"date-parts":[["2012","1","17"]]},"page":"706-11","publisher":"National Academy of Sciences","title":"Quantum coherence spectroscopy reveals complex dynamics in bacterial light-harvesting complex 2 (LH2).","type":"article-journal","volume":"109"},"uris":["http://www.mendeley.com/documents/?uuid=a9868741-ddec-4d63-8a16-4844743ce242"]}],"mendeley":{"formattedCitation":"&lt;sup&gt;4–7&lt;/sup&gt;","plainTextFormattedCitation":"4–7","previouslyFormattedCitation":"&lt;sup&gt;4–7&lt;/sup&gt;"},"properties":{"noteIndex":0},"schema":"https://github.com/citation-style-language/schema/raw/master/csl-citation.json"}</w:instrText>
      </w:r>
      <w:r w:rsidR="00DC67B4" w:rsidRPr="00BC6787">
        <w:rPr>
          <w:rFonts w:cs="Times New Roman"/>
        </w:rPr>
        <w:fldChar w:fldCharType="separate"/>
      </w:r>
      <w:r w:rsidR="00380A38" w:rsidRPr="00BC6787">
        <w:rPr>
          <w:rFonts w:cs="Times New Roman"/>
          <w:noProof/>
          <w:vertAlign w:val="superscript"/>
        </w:rPr>
        <w:t>4–7</w:t>
      </w:r>
      <w:r w:rsidR="00DC67B4" w:rsidRPr="00BC6787">
        <w:fldChar w:fldCharType="end"/>
      </w:r>
      <w:r w:rsidR="00055B46" w:rsidRPr="00BC6787">
        <w:rPr>
          <w:rFonts w:cs="Times New Roman"/>
          <w:b/>
          <w:bCs/>
        </w:rPr>
        <w:t xml:space="preserve"> </w:t>
      </w:r>
      <w:r w:rsidR="00055B46" w:rsidRPr="00BC6787">
        <w:rPr>
          <w:rFonts w:cs="Times New Roman"/>
        </w:rPr>
        <w:t>has intensified the theoretical inter</w:t>
      </w:r>
      <w:r w:rsidR="00CA6C26" w:rsidRPr="00BC6787">
        <w:rPr>
          <w:rFonts w:cs="Times New Roman"/>
        </w:rPr>
        <w:t xml:space="preserve">est in such complexes. Whilst more recent evidence </w:t>
      </w:r>
      <w:r w:rsidR="00905A9A" w:rsidRPr="00BC6787">
        <w:rPr>
          <w:rFonts w:cs="Times New Roman"/>
        </w:rPr>
        <w:t>question</w:t>
      </w:r>
      <w:r w:rsidR="00CA6C26" w:rsidRPr="00BC6787">
        <w:rPr>
          <w:rFonts w:cs="Times New Roman"/>
        </w:rPr>
        <w:t>s this discovery</w:t>
      </w:r>
      <w:r w:rsidR="007F36FC" w:rsidRPr="00BC6787">
        <w:rPr>
          <w:rFonts w:cs="Times New Roman"/>
        </w:rPr>
        <w:t>,</w:t>
      </w:r>
      <w:r w:rsidR="00DC67B4" w:rsidRPr="00BC6787">
        <w:fldChar w:fldCharType="begin" w:fldLock="1"/>
      </w:r>
      <w:r w:rsidR="000C038E">
        <w:rPr>
          <w:rFonts w:cs="Times New Roman"/>
        </w:rPr>
        <w:instrText>ADDIN CSL_CITATION {"citationItems":[{"id":"ITEM-1","itemData":{"DOI":"10.1073/pnas.1702261114","ISSN":"0027-8424","PMID":"28743751","abstract":"During the first steps of photosynthesis, the energy of impinging solar photons is transformed into electronic excitation energy of the light-harvesting biomolecular complexes. The subsequent energy transfer to the reaction center is commonly rationalized in terms of excitons moving on a grid of biomolecular chromophores on typical timescales [Formula: see text]100 fs. Today's understanding of the energy transfer includes the fact that the excitons are delocalized over a few neighboring sites, but the role of quantum coherence is considered as irrelevant for the transfer dynamics because it typically decays within a few tens of femtoseconds. This orthodox picture of incoherent energy transfer between clusters of a few pigments sharing delocalized excitons has been challenged by ultrafast optical spectroscopy experiments with the Fenna-Matthews-Olson protein, in which interference oscillatory signals up to 1.5 ps were reported and interpreted as direct evidence of exceptionally long-lived electronic quantum coherence. Here, we show that the optical 2D photon echo spectra of this complex at ambient temperature in aqueous solution do not provide evidence of any long-lived electronic quantum coherence, but confirm the orthodox view of rapidly decaying electronic quantum coherence on a timescale of 60 fs. Our results can be considered as generic and give no hint that electronic quantum coherence plays any biofunctional role in real photoactive biomolecular complexes. Because in this structurally well-defined protein the distances between bacteriochlorophylls are comparable to those of other light-harvesting complexes, we anticipate that this finding is general and directly applies to even larger photoactive biomolecular complexes.","author":[{"dropping-particle":"","family":"Duan","given":"Hong-Guang","non-dropping-particle":"","parse-names":false,"suffix":""},{"dropping-particle":"","family":"Prokhorenko","given":"Valentyn I","non-dropping-particle":"","parse-names":false,"suffix":""},{"dropping-particle":"","family":"Cogdell","given":"Richard J","non-dropping-particle":"","parse-names":false,"suffix":""},{"dropping-particle":"","family":"Ashraf","given":"Khuram","non-dropping-particle":"","parse-names":false,"suffix":""},{"dropping-particle":"","family":"Stevens","given":"Amy L","non-dropping-particle":"","parse-names":false,"suffix":""},{"dropping-particle":"","family":"Thorwart","given":"Michael","non-dropping-particle":"","parse-names":false,"suffix":""},{"dropping-particle":"","family":"Miller","given":"R J Dwayne","non-dropping-particle":"","parse-names":false,"suffix":""}],"container-title":"Proceedings of the National Academy of Sciences","id":"ITEM-1","issue":"32","issued":{"date-parts":[["2017","8","8"]]},"page":"8493-8498","publisher":"National Academy of Sciences","title":"Nature does not rely on long-lived electronic quantum coherence for photosynthetic energy transfer","type":"article-journal","volume":"114"},"uris":["http://www.mendeley.com/documents/?uuid=b6a47ba7-fa25-3450-ad54-91fa6755920c"]}],"mendeley":{"formattedCitation":"&lt;sup&gt;8&lt;/sup&gt;","plainTextFormattedCitation":"8","previouslyFormattedCitation":"&lt;sup&gt;8&lt;/sup&gt;"},"properties":{"noteIndex":0},"schema":"https://github.com/citation-style-language/schema/raw/master/csl-citation.json"}</w:instrText>
      </w:r>
      <w:r w:rsidR="00DC67B4" w:rsidRPr="00BC6787">
        <w:rPr>
          <w:rFonts w:cs="Times New Roman"/>
        </w:rPr>
        <w:fldChar w:fldCharType="separate"/>
      </w:r>
      <w:r w:rsidR="00380A38" w:rsidRPr="00BC6787">
        <w:rPr>
          <w:rFonts w:cs="Times New Roman"/>
          <w:noProof/>
          <w:vertAlign w:val="superscript"/>
        </w:rPr>
        <w:t>8</w:t>
      </w:r>
      <w:r w:rsidR="00DC67B4" w:rsidRPr="00BC6787">
        <w:fldChar w:fldCharType="end"/>
      </w:r>
      <w:r w:rsidR="00CA6C26" w:rsidRPr="00BC6787">
        <w:rPr>
          <w:rFonts w:cs="Times New Roman"/>
        </w:rPr>
        <w:t xml:space="preserve"> the question of the role of environment in exciton energy transport (EET) in PPCs is still a widely discussed topic</w:t>
      </w:r>
      <w:r w:rsidR="0076098D" w:rsidRPr="00BC6787">
        <w:rPr>
          <w:rFonts w:cs="Times New Roman"/>
        </w:rPr>
        <w:t>,</w:t>
      </w:r>
      <w:r w:rsidR="00CA6C26" w:rsidRPr="00BC6787">
        <w:rPr>
          <w:rFonts w:cs="Times New Roman"/>
        </w:rPr>
        <w:t xml:space="preserve"> as the protein-chromophore interaction is generally considered crucial in determining EET</w:t>
      </w:r>
      <w:r w:rsidR="007F36FC" w:rsidRPr="00BC6787">
        <w:rPr>
          <w:rFonts w:cs="Times New Roman"/>
        </w:rPr>
        <w:t>.</w:t>
      </w:r>
      <w:r w:rsidR="009B599B" w:rsidRPr="00BC6787">
        <w:fldChar w:fldCharType="begin" w:fldLock="1"/>
      </w:r>
      <w:r w:rsidR="000C038E">
        <w:rPr>
          <w:rFonts w:cs="Times New Roman"/>
        </w:rPr>
        <w:instrText>ADDIN CSL_CITATION {"citationItems":[{"id":"ITEM-1","itemData":{"DOI":"10.1146/annurev-physchem-040214-121713","ISBN":"1545-1593 (Electronic)\\r0066-426X (Linking)","ISSN":"0066-426X","PMID":"25493715","abstract":"Ultrafast energy transfer is used to transmit electronic excitation among the many molecules in photosynthetic antenna complexes. Recent experiments and theories have highlighted the role of coherent transfer in femtosecond studies of these proteins, suggesting the need for accurate dynamical models to capture the subtle characteristics of energy transfer mechanisms. Here we discuss how to think about coherence in light harvesting and electronic energy transfer. We review the various fundamental concepts of coherence, spanning from classical phenomena to the quantum superposition, and define coherence in electronic energy transfer. We describe the current status of experimental studies on light-harvesting complexes. Insights into the microscopic process are presented to highlight how and why this is a challenging problem to elucidate. We present an overview of the applicable dynamical theories to model energy transfer in the intermediate coupling regime.","author":[{"dropping-particle":"","family":"Chenu","given":"Aurélia","non-dropping-particle":"","parse-names":false,"suffix":""},{"dropping-particle":"","family":"Scholes","given":"Gregory D.","non-dropping-particle":"","parse-names":false,"suffix":""}],"container-title":"Annual Review of Physical Chemistry","id":"ITEM-1","issue":"1","issued":{"date-parts":[["2015"]]},"page":"69-96","title":"Coherence in Energy Transfer and Photosynthesis","type":"article-journal","volume":"66"},"uris":["http://www.mendeley.com/documents/?uuid=27e3488d-c7c1-42a7-8f72-556709906344"]},{"id":"ITEM-2","itemData":{"DOI":"10.1021/acs.chemrev.5b00700","ISSN":"0009-2665","author":[{"dropping-particle":"","family":"Curutchet","given":"Carles","non-dropping-particle":"","parse-names":false,"suffix":""},{"dropping-particle":"","family":"Mennucci","given":"Benedetta","non-dropping-particle":"","parse-names":false,"suffix":""}],"container-title":"Chemical Reviews","id":"ITEM-2","issue":"2","issued":{"date-parts":[["2017","1","25"]]},"note":"doi: 10.1021/acs.chemrev.5b00700","page":"294-343","publisher":"American Chemical Society","title":"Quantum Chemical Studies of Light Harvesting","type":"article-journal","volume":"117"},"uris":["http://www.mendeley.com/documents/?uuid=660b42df-4e74-4fee-883c-2b247fd8d895"]}],"mendeley":{"formattedCitation":"&lt;sup&gt;9,10&lt;/sup&gt;","plainTextFormattedCitation":"9,10","previouslyFormattedCitation":"&lt;sup&gt;9,10&lt;/sup&gt;"},"properties":{"noteIndex":0},"schema":"https://github.com/citation-style-language/schema/raw/master/csl-citation.json"}</w:instrText>
      </w:r>
      <w:r w:rsidR="009B599B" w:rsidRPr="00BC6787">
        <w:rPr>
          <w:rFonts w:cs="Times New Roman"/>
        </w:rPr>
        <w:fldChar w:fldCharType="separate"/>
      </w:r>
      <w:r w:rsidR="00380A38" w:rsidRPr="00BC6787">
        <w:rPr>
          <w:rFonts w:cs="Times New Roman"/>
          <w:noProof/>
          <w:vertAlign w:val="superscript"/>
        </w:rPr>
        <w:t>9,10</w:t>
      </w:r>
      <w:r w:rsidR="009B599B" w:rsidRPr="00BC6787">
        <w:fldChar w:fldCharType="end"/>
      </w:r>
      <w:r w:rsidR="00D96C64" w:rsidRPr="00BC6787">
        <w:rPr>
          <w:rFonts w:cs="Times New Roman"/>
        </w:rPr>
        <w:t xml:space="preserve"> The spectral density is the ideal quantity to study this interaction as it d</w:t>
      </w:r>
      <w:r w:rsidR="00AC6A73" w:rsidRPr="00BC6787">
        <w:rPr>
          <w:rFonts w:cs="Times New Roman"/>
        </w:rPr>
        <w:t>escribes the frequency dependent system-bath coupling strength of the excitation of a chromophore contained in the protein.</w:t>
      </w:r>
      <w:r w:rsidR="00D81ED5" w:rsidRPr="00BC6787">
        <w:rPr>
          <w:rFonts w:cs="Times New Roman"/>
        </w:rPr>
        <w:t xml:space="preserve"> N</w:t>
      </w:r>
      <w:r w:rsidR="00451D1A" w:rsidRPr="00BC6787">
        <w:rPr>
          <w:rFonts w:cs="Times New Roman"/>
        </w:rPr>
        <w:t>umerous works have endeavoured to accurately compute the spectral densities of the chromophores of various PPCs,</w:t>
      </w:r>
      <w:r w:rsidR="00451D1A" w:rsidRPr="00BC6787">
        <w:fldChar w:fldCharType="begin" w:fldLock="1"/>
      </w:r>
      <w:r w:rsidR="000C038E">
        <w:rPr>
          <w:rFonts w:cs="Times New Roman"/>
        </w:rPr>
        <w:instrText>ADDIN CSL_CITATION {"citationItems":[{"id":"ITEM-1","itemData":{"DOI":"10.1529/biophysj.105.079483","ISSN":"00063495","abstract":"A simple electrostatic method for the calculation of optical transition energies of pigments in protein environments is presented and applied to the Fenna-Matthews-Olson (FMO) complex of Prosthecochloris aestuarii and Chlorobium tepidum. The method, for the first time, allows us to reach agreement between experimental optical spectra and calculations based on transition energies of pigments that are calculated in large part independently, rather than fitted to the spectra. In this way it becomes possible to understand the molecular mechanism allowing the protein to trigger excitation energy transfer reactions. The relative shift in excitation energies of the seven bacteriochlorophyll-a pigments of the FMO complex of P. aestuarii and C. tepidum are obtained from calculations of electrochromic shifts due to charged amino acids, assuming a standard protonation pattern of the protein, and by taking into account the three different ligand types of the pigments. The calculations provide an explanation of some of the earlier results for the transition energies obtained from fits of optical spectra. In addition, those earlier fits are verified here by using a more advanced theory of optical spectra, a genetic algorithm, and excitonic couplings obtained from electrostatic calculations that take into account the influence of the dielectric protein environment. The two independent calculations of site energies strongly favor one of the two possible orientations of the FMO trimer relative to the photosynthetic membrane, which were identified by electron microscopic studies and linear dichroism experiments. Efficient transfer of excitation energy to the reaction center requires bacteriochlorophylls 3 and 4 to be the linker pigments. The temporal and spatial transfer of excitation energy through the FMO complex is calculated to proceed along two branches, with transfer times that differ by an order of magnitude.","author":[{"dropping-particle":"","family":"Adolphs","given":"Julia","non-dropping-particle":"","parse-names":false,"suffix":""},{"dropping-particle":"","family":"Renger","given":"Thomas","non-dropping-particle":"","parse-names":false,"suffix":""}],"container-title":"Biophysical Journal","id":"ITEM-1","issue":"8","issued":{"date-parts":[["2006"]]},"page":"2778-2797","title":"How Proteins Trigger Excitation Energy Transfer in the FMO Complex of Green Sulfur Bacteria","type":"article-journal","volume":"91"},"uris":["http://www.mendeley.com/documents/?uuid=e5727020-0913-33e0-8dc2-eb159a2066e1"]},{"id":"ITEM-2","itemData":{"DOI":"10.1016/j.bpj.2011.12.021","ISSN":"00063495","abstract":"A remarkable amount of theoretical research has been carried out to elucidate the physical origins of the recently observed long-lived quantum coherence in the electronic energy transfer process in biological photosynthetic systems. Although successful in many respects, several widely used descriptions only include an effective treatment of the protein-chromophore interactions. In this work, by combining an all-atom molecular dynamics simulation, time-dependent density functional theory, and open quantum system approaches, we successfully simulate the dynamics of the electronic energy transfer of the Fenna-Matthews-Olson pigment-protein complex. The resulting characteristic beating of populations and quantum coherences is in good agreement with the experimental results and the hierarchy equation of motion approach. The experimental absorption, linear, and circular dichroism spectra and dephasing rates are recovered at two different temperatures. In addition, we provide an extension of our method to include zero-point fluctuations of the vibrational environment. This work thus presents, to our knowledge, one of the first steps to explain the role of excitonic quantum coherence in photosynthetic light-harvesting complexes based on their atomistic and molecular description.","author":[{"dropping-particle":"","family":"Shim","given":"Sangwoo","non-dropping-particle":"","parse-names":false,"suffix":""},{"dropping-particle":"","family":"Rebentrost","given":"Patrick","non-dropping-particle":"","parse-names":false,"suffix":""},{"dropping-particle":"","family":"Valleau","given":"Stéphanie","non-dropping-particle":"","parse-names":false,"suffix":""},{"dropping-particle":"","family":"Aspuru-Guzik","given":"Alán","non-dropping-particle":"","parse-names":false,"suffix":""}],"container-title":"Biophysical Journal","id":"ITEM-2","issue":"3","issued":{"date-parts":[["2012"]]},"page":"649-660","title":"Atomistic Study of the Long-Lived Quantum Coherences in the Fenna-Matthews-Olson Complex","type":"article-journal","volume":"102"},"uris":["http://www.mendeley.com/documents/?uuid=a3760027-39d8-4601-804a-fcfb70ba8e9b"]},{"id":"ITEM-3","itemData":{"DOI":"10.1021/jp3094935","ISSN":"1520-6106","abstract":"We report a method for the structure-based calculation of the spectral density of the pigment–protein coupling in light-harvesting complexes that combines normal-mode analysis with the charge density coupling (CDC) and transition charge from electrostatic potential (TrEsp) methods for the computation of site energies and excitonic couplings, respectively. The method is applied to the Fenna–Matthews–Olson (FMO) protein in order to investigate the influence of the different parts of the spectral density as well as correlations among these contributions on the energy transfer dynamics and on the temperature-dependent decay of coherences. The fluctuations and correlations in excitonic couplings as well as the correlations between coupling and site energy fluctuations are found to be 1 order of magnitude smaller in amplitude than the site energy fluctuations. Despite considerable amplitudes of that part of the spectral density which contains correlations in site energy fluctuations, the effect of these correla...","author":[{"dropping-particle":"","family":"Renger","given":"Thomas","non-dropping-particle":"","parse-names":false,"suffix":""},{"dropping-particle":"","family":"Klinger","given":"Alexander","non-dropping-particle":"","parse-names":false,"suffix":""},{"dropping-particle":"","family":"Steinecker","given":"Florian","non-dropping-particle":"","parse-names":false,"suffix":""},{"dropping-particle":"","family":"Schmidt am Busch","given":"Marcel","non-dropping-particle":"","parse-names":false,"suffix":""},{"dropping-particle":"","family":"Numata","given":"Jorge","non-dropping-particle":"","parse-names":false,"suffix":""},{"dropping-particle":"","family":"Müh","given":"Frank","non-dropping-particle":"","parse-names":false,"suffix":""}],"container-title":"The Journal of Physical Chemistry B","id":"ITEM-3","issue":"50","issued":{"date-parts":[["2012","12","20"]]},"page":"14565-14580","publisher":"American Chemical Society","title":"Normal Mode Analysis of the Spectral Density of the Fenna–Matthews–Olson Light-Harvesting Protein: How the Protein Dissipates the Excess Energy of Excitons","type":"article-journal","volume":"116"},"uris":["http://www.mendeley.com/documents/?uuid=8872815c-5904-3209-aa70-1151ab41e31f"]},{"id":"ITEM-4","itemData":{"DOI":"10.1021/jz2007676","ISSN":"1948-7185","abstract":"Long-lived quantum coherence has been experimentally observed in the Fenna–Matthews–Olson (FMO) light-harvesting complex. It is much debated which role thermal effects play and if the observed low-temperature behavior arises also at physiological temperatures. To contribute to this debate, we use molecular dynamics simulations to study the coupling between the protein environment and the vertical excitation energies of individual bacteriochlorophyll molecules in the FMO complex of the green sulfur bacterium Chlorobaculum tepidum. The so-called spectral densities, which account for the environmental influence on the excited-state dynamics, are determined from temporal autocorrelation functions of the energy gaps between ground and first excited states of the individual pigments. Although the overall shape of the spectral density is found to be rather similar for all pigments, variations in their magnitude can be seen. Differences between the spectral densities for the pigments of the FMO monomer and FMO tr...","author":[{"dropping-particle":"","family":"Olbrich","given":"Carsten","non-dropping-particle":"","parse-names":false,"suffix":""},{"dropping-particle":"","family":"Strümpfer","given":"Johan","non-dropping-particle":"","parse-names":false,"suffix":""},{"dropping-particle":"","family":"Schulten","given":"Klaus","non-dropping-particle":"","parse-names":false,"suffix":""},{"dropping-particle":"","family":"Kleinekathöfer","given":"Ulrich","non-dropping-particle":"","parse-names":false,"suffix":""}],"container-title":"The Journal of Physical Chemistry Letters","id":"ITEM-4","issue":"14","issued":{"date-parts":[["2011","7","21"]]},"page":"1771-1776","publisher":"American Chemical Society","title":"Theory and Simulation of the Environmental Effects on FMO Electronic Transitions","type":"article-journal","volume":"2"},"uris":["http://www.mendeley.com/documents/?uuid=0c51b592-5bfa-328f-8086-c98c081b1d87"]},{"id":"ITEM-5","itemData":{"abstract":"Aiming at a better understanding of the molecular details in light absorption during photosynthesis, spatial and temporal correlation functions as well as spectral densities have been determined. At the focus of the present study are the light-harvesting II complexes of the purple bacterium Rhodospirillum molischianum. The calculations are based on a time-dependent combination of molecular dynamics simulations and quantum chemistry methods. Using a 12 ps long trajectory, different quantum chemical methods have been compared to each other. Furthermore, several approaches to determine the couplings between the individual chromophores have been tested. Correlations between energy gap fluctuations of different individual pigments are analyzed but found to be negligible. From the energy gap fluctuations, spectral densities are extracted which serve as input for calculations of optical properties and exciton dynamics. To this end, the spectral densities are tested by determining the linear absorption of the com...","author":[{"dropping-particle":"","family":"Olbrich","given":"Carsten","non-dropping-particle":"","parse-names":false,"suffix":""},{"dropping-particle":"","family":"Kleinekathöfer","given":"Ulrich","non-dropping-particle":"","parse-names":false,"suffix":""}],"container-title":"Journal of Physical Chemistry B","id":"ITEM-5","issue":"38","issued":{"date-parts":[["2010"]]},"page":"12427-12437","publisher":"American Chemical Society","title":"Time-Dependent Atomistic View on the Electronic Relaxation in Light-Harvesting System II","type":"article-journal","volume":"114"},"uris":["http://www.mendeley.com/documents/?uuid=d9ed9114-7dfb-3686-b7b2-f116fcdecfb3"]},{"id":"ITEM-6","itemData":{"DOI":"10.1021/acs.jpclett.6b01440","ISSN":"19487185","abstract":"An accurate approach for computing intermolec-ular and intrachromophore contributions to spectral densities to describe the electronic−nuclear interactions relevant for modeling excitation energy transfer processes in light harvesting systems is presented. The approach is based on molecular dynamics (MD) calculations of classical correlation functions of long-range contributions to excitation energy fluctuations and a separate harmonic analysis and single-point gradient quantum calculations for electron−intrachromophore vibrational cou-plings. A simple model is also presented that enables detailed analysis of the shortcomings of standard MD-based excitation energy fluctuation correlation function approaches. The method introduced here avoids these problems, and its reliability is demonstrated in accurate predictions for bacteriochlorophyll molecules in the Fenna−Matthews−Olson pigment−protein complex, where excellent agreement with experimental spectral densities is found. This efficient approach can provide instantaneous spectral densities for treating the influence of fluctuations in environmental dissipation on fast electronic relaxation. L ight harvesting pigment−protein complexes (PPC) 1−4 of plants, bacteria, and algae boast near-unit efficiencies for transferring absorbed photon energy through molecular excitation energy transfer (EET) to reaction centers where energy transduction, through charge separation, is initiated. Regardless of how the PPC chromophore network is excited, e.g., using a coherent laser, or with incoherent sunlight, and how the energy is transferred, e.g., coherently or incoherently, the interaction between the fast electronic and the slower nuclear degrees of freedom plays a crucial role not only in determining the energy transfer rates, but also the pathways to minimize energy loss. EET dynamics not only depend on the network's electronic eigenstate (exciton) energies and their extent of delocalization, but it also significantly depends on the coupling between the electronic and phonon-like protein motions for electronic energy dissipation, and on the coupling between the electronic and intramolecular (or intrachromo-phore) vibrations to describe quantum vibronic states. For systems with closely spaced exciton states, such as the Fenna− Matthews−Olson (FMO) complex, the lower frequency intermolecular environmental modes are resonant with many of the excitonic energy gaps and can assist relaxation and drive EET. For other co…","author":[{"dropping-particle":"","family":"Lee","given":"Mi Kyung","non-dropping-particle":"","parse-names":false,"suffix":""},{"dropping-particle":"","family":"Coker","given":"David F.","non-dropping-particle":"","parse-names":false,"suffix":""}],"container-title":"Journal of Physical Chemistry Letters","id":"ITEM-6","issue":"16","issued":{"date-parts":[["2016"]]},"page":"3171-3178","title":"Modeling Electronic-Nuclear Interactions for Excitation Energy Transfer Processes in Light-Harvesting Complexes","type":"article-journal","volume":"7"},"uris":["http://www.mendeley.com/documents/?uuid=6ad9bf88-78e0-4bd7-be76-c9b10f36aa50"]}],"mendeley":{"formattedCitation":"&lt;sup&gt;11–16&lt;/sup&gt;","plainTextFormattedCitation":"11–16","previouslyFormattedCitation":"&lt;sup&gt;11–16&lt;/sup&gt;"},"properties":{"noteIndex":0},"schema":"https://github.com/citation-style-language/schema/raw/master/csl-citation.json"}</w:instrText>
      </w:r>
      <w:r w:rsidR="00451D1A" w:rsidRPr="00BC6787">
        <w:rPr>
          <w:rFonts w:cs="Times New Roman"/>
        </w:rPr>
        <w:fldChar w:fldCharType="separate"/>
      </w:r>
      <w:r w:rsidR="00912E63" w:rsidRPr="00912E63">
        <w:rPr>
          <w:rFonts w:cs="Times New Roman"/>
          <w:noProof/>
          <w:vertAlign w:val="superscript"/>
        </w:rPr>
        <w:t>11–16</w:t>
      </w:r>
      <w:r w:rsidR="00451D1A" w:rsidRPr="00BC6787">
        <w:fldChar w:fldCharType="end"/>
      </w:r>
      <w:r w:rsidR="00B97161" w:rsidRPr="00BC6787">
        <w:t xml:space="preserve"> </w:t>
      </w:r>
      <w:r w:rsidR="00B97161" w:rsidRPr="00BC6787">
        <w:rPr>
          <w:rFonts w:cs="Times New Roman"/>
        </w:rPr>
        <w:t>however most focus on only one or a couple of PPCs.</w:t>
      </w:r>
      <w:r w:rsidR="0076098D" w:rsidRPr="00BC6787">
        <w:rPr>
          <w:rFonts w:cs="Times New Roman"/>
        </w:rPr>
        <w:t xml:space="preserve"> To further develop the understanding of EET in PPCs, it would be beneficial to compute and compare the spectral density of many different PPCs. </w:t>
      </w:r>
      <w:r w:rsidR="00451D1A" w:rsidRPr="00BC6787">
        <w:rPr>
          <w:rFonts w:cs="Times New Roman"/>
        </w:rPr>
        <w:t>A typical approach to calculate the spectral dens</w:t>
      </w:r>
      <w:r w:rsidR="009B599B" w:rsidRPr="00BC6787">
        <w:rPr>
          <w:rFonts w:cs="Times New Roman"/>
        </w:rPr>
        <w:t>i</w:t>
      </w:r>
      <w:r w:rsidR="00451D1A" w:rsidRPr="00BC6787">
        <w:rPr>
          <w:rFonts w:cs="Times New Roman"/>
        </w:rPr>
        <w:t xml:space="preserve">ty combines molecular dynamics (MD) methods with quantum chemistry (QC) calculations. </w:t>
      </w:r>
      <w:r w:rsidR="005C7356" w:rsidRPr="00BC6787">
        <w:rPr>
          <w:rFonts w:cs="Times New Roman"/>
        </w:rPr>
        <w:t>In this method, t</w:t>
      </w:r>
      <w:r w:rsidR="00451D1A" w:rsidRPr="00BC6787">
        <w:rPr>
          <w:rFonts w:cs="Times New Roman"/>
        </w:rPr>
        <w:t>he fluctuation of the excitation energy,</w:t>
      </w:r>
      <w:r w:rsidR="0050583D" w:rsidRPr="00BC6787">
        <w:rPr>
          <w:rFonts w:cs="Times New Roman"/>
        </w:rPr>
        <w:t xml:space="preserve"> </w:t>
      </w:r>
      <w:bookmarkStart w:id="1" w:name="MTBlankEqn"/>
      <w:r w:rsidR="00B14A70" w:rsidRPr="00BC6787">
        <w:rPr>
          <w:position w:val="-10"/>
        </w:rPr>
        <w:object w:dxaOrig="320" w:dyaOrig="320" w14:anchorId="71AA1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7.5pt" o:ole="">
            <v:imagedata r:id="rId8" o:title=""/>
          </v:shape>
          <o:OLEObject Type="Embed" ProgID="Equation.DSMT4" ShapeID="_x0000_i1025" DrawAspect="Content" ObjectID="_1606308019" r:id="rId9"/>
        </w:object>
      </w:r>
      <w:bookmarkEnd w:id="1"/>
      <w:r w:rsidR="00451D1A" w:rsidRPr="00BC6787">
        <w:rPr>
          <w:rFonts w:cs="Times New Roman"/>
        </w:rPr>
        <w:t xml:space="preserve">, of chromophore </w:t>
      </w:r>
      <w:proofErr w:type="spellStart"/>
      <w:r w:rsidR="00451D1A" w:rsidRPr="00BC6787">
        <w:rPr>
          <w:rFonts w:cs="Times New Roman"/>
          <w:i/>
          <w:iCs/>
        </w:rPr>
        <w:t>i</w:t>
      </w:r>
      <w:proofErr w:type="spellEnd"/>
      <w:r w:rsidR="00451D1A" w:rsidRPr="00BC6787">
        <w:rPr>
          <w:rFonts w:cs="Times New Roman"/>
        </w:rPr>
        <w:t>, along the MD trajectory is used to compute the</w:t>
      </w:r>
      <w:r w:rsidR="009C460F" w:rsidRPr="00BC6787">
        <w:rPr>
          <w:rFonts w:cs="Times New Roman"/>
        </w:rPr>
        <w:t xml:space="preserve"> classical</w:t>
      </w:r>
      <w:r w:rsidR="00451D1A" w:rsidRPr="00BC6787">
        <w:rPr>
          <w:rFonts w:cs="Times New Roman"/>
        </w:rPr>
        <w:t xml:space="preserve"> correlation function,</w:t>
      </w:r>
      <w:r w:rsidR="009C07C8" w:rsidRPr="00BC6787">
        <w:rPr>
          <w:rFonts w:cs="Times New Roman"/>
        </w:rPr>
        <w:fldChar w:fldCharType="begin" w:fldLock="1"/>
      </w:r>
      <w:r w:rsidR="000C038E">
        <w:rPr>
          <w:rFonts w:cs="Times New Roman"/>
        </w:rPr>
        <w:instrText>ADDIN CSL_CITATION {"citationItems":[{"id":"ITEM-1","itemData":{"DOI":"10.1063/1.4769079","ISBN":"0241010241","ISSN":"00219606","PMID":"23248983","abstract":"We investigate on the procedure of extracting a \"spectral density\" from mixed QM/MM calculations and employing it in open quantum systems models. In particular, we study the connection between the energy gap correlation function extracted from ground state QM/MM and the bath spectral density used as input in open quantum system approaches. We introduce a simple model which can give intuition on when the ground state QM/MM propagation will give the correct energy gap. We also discuss the role of higher order correlators of the energy-gap fluctuations which can provide useful information on the bath. Further, various semiclassical corrections to the spectral density, are applied and investigated. Finally, we apply our considerations to the photosynthetic Fenna-Matthews-Olson complex. For this system, our results suggest the use of the Harmonic prefactor for the spectral density rather than the Standard one, which was employed in the simulations of the system carried out to date.","author":[{"dropping-particle":"","family":"Valleau","given":"Stéphanie","non-dropping-particle":"","parse-names":false,"suffix":""},{"dropping-particle":"","family":"Eisfeld","given":"Alexander","non-dropping-particle":"","parse-names":false,"suffix":""},{"dropping-particle":"","family":"Aspuru-Guzik","given":"Alán","non-dropping-particle":"","parse-names":false,"suffix":""}],"container-title":"Journal of Chemical Physics","id":"ITEM-1","issue":"22","issued":{"date-parts":[["2012","12","14"]]},"page":"224103","publisher":"American Institute of Physics","title":"On the alternatives for bath correlators and spectral densities from mixed quantum-classical simulations","type":"article-journal","volume":"137"},"uris":["http://www.mendeley.com/documents/?uuid=d5dfced6-8700-3b8a-b389-d854df6cb12e"]}],"mendeley":{"formattedCitation":"&lt;sup&gt;17&lt;/sup&gt;","plainTextFormattedCitation":"17","previouslyFormattedCitation":"&lt;sup&gt;17&lt;/sup&gt;"},"properties":{"noteIndex":0},"schema":"https://github.com/citation-style-language/schema/raw/master/csl-citation.json"}</w:instrText>
      </w:r>
      <w:r w:rsidR="009C07C8" w:rsidRPr="00BC6787">
        <w:rPr>
          <w:rFonts w:cs="Times New Roman"/>
        </w:rPr>
        <w:fldChar w:fldCharType="separate"/>
      </w:r>
      <w:r w:rsidR="00912E63" w:rsidRPr="00912E63">
        <w:rPr>
          <w:rFonts w:cs="Times New Roman"/>
          <w:noProof/>
          <w:vertAlign w:val="superscript"/>
        </w:rPr>
        <w:t>17</w:t>
      </w:r>
      <w:r w:rsidR="009C07C8" w:rsidRPr="00BC6787">
        <w:rPr>
          <w:rFonts w:cs="Times New Roman"/>
        </w:rPr>
        <w:fldChar w:fldCharType="end"/>
      </w:r>
      <w:r w:rsidR="00451D1A" w:rsidRPr="00BC6787">
        <w:rPr>
          <w:rFonts w:cs="Times New Roman"/>
        </w:rPr>
        <w:t xml:space="preserve"> </w:t>
      </w:r>
      <w:r w:rsidR="00451D1A" w:rsidRPr="00BC6787">
        <w:rPr>
          <w:rFonts w:cs="Times New Roman"/>
          <w:i/>
          <w:iCs/>
        </w:rPr>
        <w:t>C</w:t>
      </w:r>
      <w:r w:rsidR="00451D1A" w:rsidRPr="00BC6787">
        <w:rPr>
          <w:rFonts w:cs="Times New Roman"/>
          <w:i/>
          <w:iCs/>
          <w:vertAlign w:val="subscript"/>
        </w:rPr>
        <w:t>i</w:t>
      </w:r>
      <w:r w:rsidR="00451D1A" w:rsidRPr="00BC6787">
        <w:rPr>
          <w:rFonts w:cs="Times New Roman"/>
        </w:rPr>
        <w:t>, a subsequent Fourier transform of which gives the spectral density,</w:t>
      </w:r>
      <w:r w:rsidR="00B14A70" w:rsidRPr="00BC6787">
        <w:rPr>
          <w:position w:val="-10"/>
        </w:rPr>
        <w:object w:dxaOrig="520" w:dyaOrig="300" w14:anchorId="2C3DAA34">
          <v:shape id="_x0000_i1026" type="#_x0000_t75" style="width:26pt;height:15pt" o:ole="">
            <v:imagedata r:id="rId10" o:title=""/>
          </v:shape>
          <o:OLEObject Type="Embed" ProgID="Equation.DSMT4" ShapeID="_x0000_i1026" DrawAspect="Content" ObjectID="_1606308020" r:id="rId11"/>
        </w:object>
      </w:r>
      <w:r w:rsidR="00D63168" w:rsidRPr="00BC6787">
        <w:rPr>
          <w:rFonts w:cs="Times New Roman"/>
        </w:rPr>
        <w:t>:</w:t>
      </w:r>
    </w:p>
    <w:p w14:paraId="78FBD13E" w14:textId="3C497E7B" w:rsidR="00D63168" w:rsidRPr="00BC6787" w:rsidRDefault="00D63168" w:rsidP="00D63168">
      <w:pPr>
        <w:pStyle w:val="MTDisplayEquation"/>
        <w:rPr>
          <w:rFonts w:cs="Times New Roman"/>
        </w:rPr>
      </w:pPr>
      <w:r w:rsidRPr="00BC6787">
        <w:rPr>
          <w:rFonts w:cs="Times New Roman"/>
        </w:rPr>
        <w:tab/>
      </w:r>
      <w:r w:rsidR="003A0DF0" w:rsidRPr="00BC6787">
        <w:rPr>
          <w:position w:val="-10"/>
        </w:rPr>
        <w:object w:dxaOrig="2000" w:dyaOrig="320" w14:anchorId="52BB0444">
          <v:shape id="_x0000_i1027" type="#_x0000_t75" style="width:100.5pt;height:17.5pt" o:ole="">
            <v:imagedata r:id="rId12" o:title=""/>
          </v:shape>
          <o:OLEObject Type="Embed" ProgID="Equation.DSMT4" ShapeID="_x0000_i1027" DrawAspect="Content" ObjectID="_1606308021" r:id="rId13"/>
        </w:object>
      </w:r>
      <w:r w:rsidRPr="00BC6787">
        <w:rPr>
          <w:rFonts w:cs="Times New Roman"/>
        </w:rPr>
        <w:t xml:space="preserve"> </w:t>
      </w:r>
      <w:r w:rsidRPr="00BC6787">
        <w:rPr>
          <w:rFonts w:cs="Times New Roman"/>
        </w:rPr>
        <w:tab/>
      </w:r>
      <w:r w:rsidRPr="00BC6787">
        <w:rPr>
          <w:rFonts w:cs="Times New Roman"/>
        </w:rPr>
        <w:fldChar w:fldCharType="begin"/>
      </w:r>
      <w:r w:rsidRPr="00BC6787">
        <w:rPr>
          <w:rFonts w:cs="Times New Roman"/>
        </w:rPr>
        <w:instrText xml:space="preserve"> MACROBUTTON MTPlaceRef \* MERGEFORMAT </w:instrText>
      </w:r>
      <w:r w:rsidRPr="00BC6787">
        <w:rPr>
          <w:rFonts w:cs="Times New Roman"/>
        </w:rPr>
        <w:fldChar w:fldCharType="begin"/>
      </w:r>
      <w:r w:rsidRPr="00BC6787">
        <w:rPr>
          <w:rFonts w:cs="Times New Roman"/>
        </w:rPr>
        <w:instrText xml:space="preserve"> SEQ MTEqn \h \* MERGEFORMAT </w:instrText>
      </w:r>
      <w:r w:rsidRPr="00BC6787">
        <w:rPr>
          <w:rFonts w:cs="Times New Roman"/>
        </w:rPr>
        <w:fldChar w:fldCharType="end"/>
      </w:r>
      <w:r w:rsidRPr="00BC6787">
        <w:rPr>
          <w:rFonts w:cs="Times New Roman"/>
        </w:rPr>
        <w:instrText>(</w:instrText>
      </w:r>
      <w:r w:rsidRPr="00BC6787">
        <w:rPr>
          <w:rFonts w:cs="Times New Roman"/>
        </w:rPr>
        <w:fldChar w:fldCharType="begin"/>
      </w:r>
      <w:r w:rsidRPr="00BC6787">
        <w:rPr>
          <w:rFonts w:cs="Times New Roman"/>
        </w:rPr>
        <w:instrText xml:space="preserve"> SEQ MTEqn \c \* Arabic \* MERGEFORMAT </w:instrText>
      </w:r>
      <w:r w:rsidRPr="00BC6787">
        <w:rPr>
          <w:rFonts w:cs="Times New Roman"/>
        </w:rPr>
        <w:fldChar w:fldCharType="separate"/>
      </w:r>
      <w:r w:rsidR="005B1EB7" w:rsidRPr="00BC6787">
        <w:rPr>
          <w:rFonts w:cs="Times New Roman"/>
          <w:noProof/>
        </w:rPr>
        <w:instrText>1</w:instrText>
      </w:r>
      <w:r w:rsidRPr="00BC6787">
        <w:rPr>
          <w:rFonts w:cs="Times New Roman"/>
        </w:rPr>
        <w:fldChar w:fldCharType="end"/>
      </w:r>
      <w:r w:rsidRPr="00BC6787">
        <w:rPr>
          <w:rFonts w:cs="Times New Roman"/>
        </w:rPr>
        <w:instrText>)</w:instrText>
      </w:r>
      <w:r w:rsidRPr="00BC6787">
        <w:rPr>
          <w:rFonts w:cs="Times New Roman"/>
        </w:rPr>
        <w:fldChar w:fldCharType="end"/>
      </w:r>
    </w:p>
    <w:p w14:paraId="564BDF4F" w14:textId="6A88DD3E" w:rsidR="00CE332B" w:rsidRPr="00BC6787" w:rsidRDefault="00CE332B" w:rsidP="00CE332B">
      <w:pPr>
        <w:pStyle w:val="MTDisplayEquation"/>
      </w:pPr>
      <w:r w:rsidRPr="00BC6787">
        <w:lastRenderedPageBreak/>
        <w:tab/>
      </w:r>
      <w:r w:rsidR="00641FA7" w:rsidRPr="00BC6787">
        <w:rPr>
          <w:position w:val="-22"/>
        </w:rPr>
        <w:object w:dxaOrig="2659" w:dyaOrig="580" w14:anchorId="41D7C83E">
          <v:shape id="_x0000_i1028" type="#_x0000_t75" style="width:132.5pt;height:27.5pt" o:ole="">
            <v:imagedata r:id="rId14" o:title=""/>
          </v:shape>
          <o:OLEObject Type="Embed" ProgID="Equation.DSMT4" ShapeID="_x0000_i1028" DrawAspect="Content" ObjectID="_1606308022" r:id="rId15"/>
        </w:object>
      </w:r>
      <w:r w:rsidR="009B1D0C" w:rsidRPr="00BC6787">
        <w:t>.</w:t>
      </w:r>
      <w:r w:rsidRPr="00BC6787">
        <w:t xml:space="preserve"> </w:t>
      </w:r>
      <w:r w:rsidRPr="00BC6787">
        <w:tab/>
      </w:r>
      <w:r w:rsidRPr="00BC6787">
        <w:fldChar w:fldCharType="begin"/>
      </w:r>
      <w:r w:rsidRPr="00BC6787">
        <w:instrText xml:space="preserve"> MACROBUTTON MTPlaceRef \* MERGEFORMAT </w:instrText>
      </w:r>
      <w:r w:rsidRPr="00BC6787">
        <w:fldChar w:fldCharType="begin"/>
      </w:r>
      <w:r w:rsidRPr="00BC6787">
        <w:instrText xml:space="preserve"> SEQ MTEqn \h \* MERGEFORMAT </w:instrText>
      </w:r>
      <w:r w:rsidRPr="00BC6787">
        <w:fldChar w:fldCharType="end"/>
      </w:r>
      <w:r w:rsidRPr="00BC6787">
        <w:instrText>(</w:instrText>
      </w:r>
      <w:r w:rsidR="00B206CE" w:rsidRPr="00BC6787">
        <w:rPr>
          <w:noProof/>
        </w:rPr>
        <w:fldChar w:fldCharType="begin"/>
      </w:r>
      <w:r w:rsidR="00B206CE" w:rsidRPr="00BC6787">
        <w:rPr>
          <w:noProof/>
        </w:rPr>
        <w:instrText xml:space="preserve"> SEQ MTEqn \c \* Arabic \* MERGEFORMAT </w:instrText>
      </w:r>
      <w:r w:rsidR="00B206CE" w:rsidRPr="00BC6787">
        <w:rPr>
          <w:noProof/>
        </w:rPr>
        <w:fldChar w:fldCharType="separate"/>
      </w:r>
      <w:r w:rsidR="005B1EB7" w:rsidRPr="00BC6787">
        <w:rPr>
          <w:noProof/>
        </w:rPr>
        <w:instrText>2</w:instrText>
      </w:r>
      <w:r w:rsidR="00B206CE" w:rsidRPr="00BC6787">
        <w:rPr>
          <w:noProof/>
        </w:rPr>
        <w:fldChar w:fldCharType="end"/>
      </w:r>
      <w:r w:rsidRPr="00BC6787">
        <w:instrText>)</w:instrText>
      </w:r>
      <w:r w:rsidRPr="00BC6787">
        <w:fldChar w:fldCharType="end"/>
      </w:r>
    </w:p>
    <w:p w14:paraId="019153CA" w14:textId="38EE5FDC" w:rsidR="00866AB6" w:rsidRPr="00BC6787" w:rsidRDefault="0076098D" w:rsidP="43CA53EC">
      <w:pPr>
        <w:rPr>
          <w:rFonts w:cs="Times New Roman"/>
        </w:rPr>
      </w:pPr>
      <w:r w:rsidRPr="00BC6787">
        <w:rPr>
          <w:rFonts w:cs="Times New Roman"/>
        </w:rPr>
        <w:t>It is obvious that i</w:t>
      </w:r>
      <w:r w:rsidR="43CA53EC" w:rsidRPr="00BC6787">
        <w:rPr>
          <w:rFonts w:cs="Times New Roman"/>
        </w:rPr>
        <w:t>n order to perform the MD,</w:t>
      </w:r>
      <w:r w:rsidRPr="00BC6787">
        <w:rPr>
          <w:rFonts w:cs="Times New Roman"/>
        </w:rPr>
        <w:t xml:space="preserve"> one must obtain</w:t>
      </w:r>
      <w:r w:rsidR="43CA53EC" w:rsidRPr="00BC6787">
        <w:rPr>
          <w:rFonts w:cs="Times New Roman"/>
        </w:rPr>
        <w:t xml:space="preserve"> forcefields (FFs) of the cofactors </w:t>
      </w:r>
      <w:r w:rsidR="005C7356" w:rsidRPr="00BC6787">
        <w:rPr>
          <w:rFonts w:cs="Times New Roman"/>
        </w:rPr>
        <w:t xml:space="preserve">(chromophores, carotenoids, etc.) </w:t>
      </w:r>
      <w:r w:rsidR="43CA53EC" w:rsidRPr="00BC6787">
        <w:rPr>
          <w:rFonts w:cs="Times New Roman"/>
        </w:rPr>
        <w:t>of the PPCs.</w:t>
      </w:r>
    </w:p>
    <w:p w14:paraId="2BE05AAF" w14:textId="1FAC56EC" w:rsidR="003C3898" w:rsidRPr="00BC6787" w:rsidRDefault="003C3898" w:rsidP="003C3898">
      <w:pPr>
        <w:ind w:firstLine="720"/>
        <w:rPr>
          <w:rFonts w:cs="Times New Roman"/>
        </w:rPr>
      </w:pPr>
      <w:r w:rsidRPr="00BC6787">
        <w:rPr>
          <w:rFonts w:cs="Times New Roman"/>
        </w:rPr>
        <w:t>The need of FFs for new molecules is not a novel problem and much work has focused on the generation of FF parameters. A standard method to build a new FF is by analogy i.e. identifying analogous parameters from existing FFs. For the two of the most commonly used FFs, CHARMM</w:t>
      </w:r>
      <w:r w:rsidR="00E713B8" w:rsidRPr="00BC6787">
        <w:rPr>
          <w:rFonts w:cs="Times New Roman"/>
        </w:rPr>
        <w:fldChar w:fldCharType="begin" w:fldLock="1"/>
      </w:r>
      <w:r w:rsidR="000C038E">
        <w:rPr>
          <w:rFonts w:cs="Times New Roman"/>
        </w:rPr>
        <w:instrText>ADDIN CSL_CITATION {"citationItems":[{"id":"ITEM-1","itemData":{"author":[{"dropping-particle":"","family":"Mackerell","given":"Alexander D.","non-dropping-particle":"","parse-names":false,"suffix":""},{"dropping-particle":"","family":"Brooks","given":"B","non-dropping-particle":"","parse-names":false,"suffix":""},{"dropping-particle":"","family":"Brooks III","given":"Charles L.","non-dropping-particle":"","parse-names":false,"suffix":""},{"dropping-particle":"","family":"Nilsson","given":"Lennart","non-dropping-particle":"","parse-names":false,"suffix":""},{"dropping-particle":"","family":"Roux","given":"Benoît","non-dropping-particle":"","parse-names":false,"suffix":""},{"dropping-particle":"","family":"Won","given":"Y","non-dropping-particle":"","parse-names":false,"suffix":""},{"dropping-particle":"","family":"Karplus","given":"Martin","non-dropping-particle":"","parse-names":false,"suffix":""}],"id":"ITEM-1","issued":{"date-parts":[["1998"]]},"number-of-pages":"271-277","title":"Encyclopedia of Computational Chemistry","type":"book"},"uris":["http://www.mendeley.com/documents/?uuid=bcec43a1-b149-478c-b41d-5ebe8630e926"]}],"mendeley":{"formattedCitation":"&lt;sup&gt;18&lt;/sup&gt;","plainTextFormattedCitation":"18","previouslyFormattedCitation":"&lt;sup&gt;18&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18</w:t>
      </w:r>
      <w:r w:rsidR="00E713B8" w:rsidRPr="00BC6787">
        <w:rPr>
          <w:rFonts w:cs="Times New Roman"/>
        </w:rPr>
        <w:fldChar w:fldCharType="end"/>
      </w:r>
      <w:r w:rsidRPr="00BC6787">
        <w:rPr>
          <w:rFonts w:cs="Times New Roman"/>
        </w:rPr>
        <w:t xml:space="preserve"> and AMBER</w:t>
      </w:r>
      <w:r w:rsidR="00E713B8" w:rsidRPr="00BC6787">
        <w:rPr>
          <w:rFonts w:cs="Times New Roman"/>
        </w:rPr>
        <w:fldChar w:fldCharType="begin" w:fldLock="1"/>
      </w:r>
      <w:r w:rsidR="000C038E">
        <w:rPr>
          <w:rFonts w:cs="Times New Roman"/>
        </w:rPr>
        <w:instrText>ADDIN CSL_CITATION {"citationItems":[{"id":"ITEM-1","itemData":{"author":[{"dropping-particle":"","family":"Ponder","given":"Jay W","non-dropping-particle":"","parse-names":false,"suffix":""},{"dropping-particle":"","family":"Case","given":"David A","non-dropping-particle":"","parse-names":false,"suffix":""}],"container-title":"Advances in Protein Chemistry","id":"ITEM-1","issued":{"date-parts":[["2003"]]},"page":"27-85","title":"Force Fields for Protein Simulations","type":"article-journal","volume":"66"},"uris":["http://www.mendeley.com/documents/?uuid=81c68f96-3133-3fdd-8c48-bd7aa2b6e38f"]}],"mendeley":{"formattedCitation":"&lt;sup&gt;19&lt;/sup&gt;","plainTextFormattedCitation":"19","previouslyFormattedCitation":"&lt;sup&gt;19&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19</w:t>
      </w:r>
      <w:r w:rsidR="00E713B8" w:rsidRPr="00BC6787">
        <w:rPr>
          <w:rFonts w:cs="Times New Roman"/>
        </w:rPr>
        <w:fldChar w:fldCharType="end"/>
      </w:r>
      <w:r w:rsidRPr="00BC6787">
        <w:rPr>
          <w:rFonts w:cs="Times New Roman"/>
        </w:rPr>
        <w:t>, automated by analogy procedures have been developed, these are CGenFF</w:t>
      </w:r>
      <w:r w:rsidR="00E713B8" w:rsidRPr="00BC6787">
        <w:rPr>
          <w:rFonts w:cs="Times New Roman"/>
        </w:rPr>
        <w:fldChar w:fldCharType="begin" w:fldLock="1"/>
      </w:r>
      <w:r w:rsidR="000C038E">
        <w:rPr>
          <w:rFonts w:cs="Times New Roman"/>
        </w:rPr>
        <w:instrText>ADDIN CSL_CITATION {"citationItems":[{"id":"ITEM-1","itemData":{"DOI":"10.1002/jcc.21367","ISSN":"01928651","author":[{"dropping-particle":"","family":"Vanommeslaeghe","given":"K.","non-dropping-particle":"","parse-names":false,"suffix":""},{"dropping-particle":"","family":"Hatcher","given":"E.","non-dropping-particle":"","parse-names":false,"suffix":""},{"dropping-particle":"","family":"Acharya","given":"C.","non-dropping-particle":"","parse-names":false,"suffix":""},{"dropping-particle":"","family":"Kundu","given":"S.","non-dropping-particle":"","parse-names":false,"suffix":""},{"dropping-particle":"","family":"Zhong","given":"S.","non-dropping-particle":"","parse-names":false,"suffix":""},{"dropping-particle":"","family":"Shim","given":"J.","non-dropping-particle":"","parse-names":false,"suffix":""},{"dropping-particle":"","family":"Darian","given":"E.","non-dropping-particle":"","parse-names":false,"suffix":""},{"dropping-particle":"","family":"Guvench","given":"O.","non-dropping-particle":"","parse-names":false,"suffix":""},{"dropping-particle":"","family":"Lopes","given":"P.","non-dropping-particle":"","parse-names":false,"suffix":""},{"dropping-particle":"","family":"Vorobyov","given":"I.","non-dropping-particle":"","parse-names":false,"suffix":""},{"dropping-particle":"","family":"Mackerell","given":"A. D.","non-dropping-particle":"","parse-names":false,"suffix":""}],"container-title":"Journal of Computational Chemistry","id":"ITEM-1","issue":"4","issued":{"date-parts":[["2009"]]},"page":"NA-NA","publisher":"Wiley-Blackwell","title":"CHARMM general force field: A force field for drug-like molecules compatible with the CHARMM all-atom additive biological force fields","type":"article-journal","volume":"31"},"uris":["http://www.mendeley.com/documents/?uuid=566398d3-218c-377b-b0cf-6bf816bfd4cb"]}],"mendeley":{"formattedCitation":"&lt;sup&gt;20&lt;/sup&gt;","plainTextFormattedCitation":"20","previouslyFormattedCitation":"&lt;sup&gt;20&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20</w:t>
      </w:r>
      <w:r w:rsidR="00E713B8" w:rsidRPr="00BC6787">
        <w:rPr>
          <w:rFonts w:cs="Times New Roman"/>
        </w:rPr>
        <w:fldChar w:fldCharType="end"/>
      </w:r>
      <w:r w:rsidRPr="00BC6787">
        <w:rPr>
          <w:rFonts w:cs="Times New Roman"/>
        </w:rPr>
        <w:t xml:space="preserve"> and GAFF</w:t>
      </w:r>
      <w:r w:rsidR="00E713B8" w:rsidRPr="00BC6787">
        <w:rPr>
          <w:rFonts w:cs="Times New Roman"/>
        </w:rPr>
        <w:fldChar w:fldCharType="begin" w:fldLock="1"/>
      </w:r>
      <w:r w:rsidR="000C038E">
        <w:rPr>
          <w:rFonts w:cs="Times New Roman"/>
        </w:rPr>
        <w:instrText>ADDIN CSL_CITATION {"citationItems":[{"id":"ITEM-1","itemData":{"DOI":"10.1002/jcc.20035","ISSN":"0192-8651","author":[{"dropping-particle":"","family":"Wang","given":"Junmei","non-dropping-particle":"","parse-names":false,"suffix":""},{"dropping-particle":"","family":"Wolf","given":"Romain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A.","non-dropping-particle":"","parse-names":false,"suffix":""}],"container-title":"Journal of Computational Chemistry","id":"ITEM-1","issue":"9","issued":{"date-parts":[["2004","7","15"]]},"page":"1157-1174","publisher":"Wiley Subscription Services, Inc., A Wiley Company","title":"Development and testing of a general amber force field","type":"article-journal","volume":"25"},"uris":["http://www.mendeley.com/documents/?uuid=d5174594-b187-4a4b-886e-df808773abae"]}],"mendeley":{"formattedCitation":"&lt;sup&gt;21&lt;/sup&gt;","plainTextFormattedCitation":"21","previouslyFormattedCitation":"&lt;sup&gt;21&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21</w:t>
      </w:r>
      <w:r w:rsidR="00E713B8" w:rsidRPr="00BC6787">
        <w:rPr>
          <w:rFonts w:cs="Times New Roman"/>
        </w:rPr>
        <w:fldChar w:fldCharType="end"/>
      </w:r>
      <w:r w:rsidRPr="00BC6787">
        <w:rPr>
          <w:rFonts w:cs="Times New Roman"/>
        </w:rPr>
        <w:t>, respectively. The methods work in a similar fashion, utilising look-up tables and empirical rules to generate the new parameters. The results of both methods typically require further manual parameterisation before they can be implemented. Thus, further work has endeavoured to automate parameterisation in order to remove the need of manual adjustment and make the process easier and faster. For example</w:t>
      </w:r>
      <w:r w:rsidR="00E713B8" w:rsidRPr="00BC6787">
        <w:rPr>
          <w:rFonts w:cs="Times New Roman"/>
        </w:rPr>
        <w:t>,</w:t>
      </w:r>
      <w:r w:rsidRPr="00BC6787">
        <w:rPr>
          <w:rFonts w:cs="Times New Roman"/>
        </w:rPr>
        <w:t xml:space="preserve"> GAAMP</w:t>
      </w:r>
      <w:r w:rsidR="00E713B8" w:rsidRPr="00BC6787">
        <w:rPr>
          <w:rFonts w:cs="Times New Roman"/>
        </w:rPr>
        <w:fldChar w:fldCharType="begin" w:fldLock="1"/>
      </w:r>
      <w:r w:rsidR="000C038E">
        <w:rPr>
          <w:rFonts w:cs="Times New Roman"/>
        </w:rPr>
        <w:instrText>ADDIN CSL_CITATION {"citationItems":[{"id":"ITEM-1","itemData":{"DOI":"10.1021/ct4003477","ISSN":"1549-9618","abstract":"Classical molecular dynamics (MD) simulations based on atomistic models are increasingly used to study a wide range of biological systems. A prerequisite for meaningful results from such simulations is an accurate molecular mechanical force field. Most biomolecular simulations are currently based on the widely used AMBER and CHARMM force fields, which were parametrized and optimized to cover a small set of basic compounds corresponding to the natural amino acids and nucleic acid bases. Atomic models of additional compounds are commonly generated by analogy to the parameter set of a given force field. While this procedure yields models that are internally consistent, the accuracy of the resulting models can be limited. In this work, we propose a method, general automated atomic model parameterization (GAAMP), for generating automatically the parameters of atomic models of small molecules using the results from ab initio quantum mechanical (QM) calculations as target data. Force fields that were previously ...","author":[{"dropping-particle":"","family":"Huang","given":"Lei","non-dropping-particle":"","parse-names":false,"suffix":""},{"dropping-particle":"","family":"Roux","given":"Benoît","non-dropping-particle":"","parse-names":false,"suffix":""}],"container-title":"Journal of Chemical Theory and Computation","id":"ITEM-1","issue":"8","issued":{"date-parts":[["2013","8","13"]]},"page":"3543-3556","publisher":"American Chemical Society","title":"Automated Force Field Parameterization for Nonpolarizable and Polarizable Atomic Models Based on Ab Initio Target Data","type":"article-journal","volume":"9"},"uris":["http://www.mendeley.com/documents/?uuid=46262f4a-33b5-369f-95db-11ad0ad4af3c"]}],"mendeley":{"formattedCitation":"&lt;sup&gt;22&lt;/sup&gt;","plainTextFormattedCitation":"22","previouslyFormattedCitation":"&lt;sup&gt;22&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22</w:t>
      </w:r>
      <w:r w:rsidR="00E713B8" w:rsidRPr="00BC6787">
        <w:rPr>
          <w:rFonts w:cs="Times New Roman"/>
        </w:rPr>
        <w:fldChar w:fldCharType="end"/>
      </w:r>
      <w:r w:rsidRPr="00BC6787">
        <w:rPr>
          <w:rFonts w:cs="Times New Roman"/>
        </w:rPr>
        <w:t xml:space="preserve"> utilises quantum mechanical (QM) data as reference to automatically produce parameters compatible with the CHARMM and AMBER FFs. Other work focuses on automatically parameterising force constants for the AMBER forcefield especially for transition metal complexes through the use of ab initio frequency calculations.</w:t>
      </w:r>
      <w:r w:rsidR="00E713B8" w:rsidRPr="00BC6787">
        <w:rPr>
          <w:rFonts w:cs="Times New Roman"/>
        </w:rPr>
        <w:fldChar w:fldCharType="begin" w:fldLock="1"/>
      </w:r>
      <w:r w:rsidR="000C038E">
        <w:rPr>
          <w:rFonts w:cs="Times New Roman"/>
        </w:rPr>
        <w:instrText>ADDIN CSL_CITATION {"citationItems":[{"id":"ITEM-1","itemData":{"DOI":"10.1021/ct2007742","ISSN":"1549-9618","abstract":"A procedure for determining force constants that is independent of the internal redundant coordinate choice is presented. The procedure is based on solving each bond and angle term separately, using the Wilson B matrix. The method only requires a single ab initio frequency calculation at the minimum energy structure and is made available in the software “parafreq”. The methodology is validated with a set of small molecules, by showing it can reproduce ab initio frequencies better than other methods such as taking the diagonal terms of the Hessian in internal coordinates or by using standard AMBER force fields. Finally, the utility of the method is demonstrated by parametrizing the dizinc scaffold of bis-dipicolylamine (BDPA) bound to phosphotyrosine, which is then functionalized into promising antitumor drug proteomimetics.","author":[{"dropping-particle":"","family":"Burger","given":"Steven K.","non-dropping-particle":"","parse-names":false,"suffix":""},{"dropping-particle":"","family":"Lacasse","given":"Mike","non-dropping-particle":"","parse-names":false,"suffix":""},{"dropping-particle":"","family":"Verstraelen","given":"Toon","non-dropping-particle":"","parse-names":false,"suffix":""},{"dropping-particle":"","family":"Drewry","given":"Joel","non-dropping-particle":"","parse-names":false,"suffix":""},{"dropping-particle":"","family":"Gunning","given":"Patrick","non-dropping-particle":"","parse-names":false,"suffix":""},{"dropping-particle":"","family":"Ayers","given":"Paul W.","non-dropping-particle":"","parse-names":false,"suffix":""}],"container-title":"Journal of Chemical Theory and Computation","id":"ITEM-1","issue":"2","issued":{"date-parts":[["2012","2","14"]]},"page":"554-562","publisher":"American Chemical Society","title":"Automated Parametrization of AMBER Force Field Terms from Vibrational Analysis with a Focus on Functionalizing Dinuclear Zinc(II) Scaffolds","type":"article-journal","volume":"8"},"uris":["http://www.mendeley.com/documents/?uuid=b2a4e7d2-5309-3ed8-8a24-5b25790c6c68"]}],"mendeley":{"formattedCitation":"&lt;sup&gt;23&lt;/sup&gt;","plainTextFormattedCitation":"23","previouslyFormattedCitation":"&lt;sup&gt;23&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23</w:t>
      </w:r>
      <w:r w:rsidR="00E713B8" w:rsidRPr="00BC6787">
        <w:rPr>
          <w:rFonts w:cs="Times New Roman"/>
        </w:rPr>
        <w:fldChar w:fldCharType="end"/>
      </w:r>
      <w:r w:rsidRPr="00BC6787">
        <w:rPr>
          <w:rFonts w:cs="Times New Roman"/>
        </w:rPr>
        <w:t xml:space="preserve"> The JOYCE</w:t>
      </w:r>
      <w:r w:rsidR="00E713B8" w:rsidRPr="00BC6787">
        <w:rPr>
          <w:rFonts w:cs="Times New Roman"/>
        </w:rPr>
        <w:fldChar w:fldCharType="begin" w:fldLock="1"/>
      </w:r>
      <w:r w:rsidR="000C038E">
        <w:rPr>
          <w:rFonts w:cs="Times New Roman"/>
        </w:rPr>
        <w:instrText>ADDIN CSL_CITATION {"citationItems":[{"id":"ITEM-1","itemData":{"DOI":"10.1021/ct700113h","ISBN":"10.1021/ct700113h","ISSN":"15499618","abstract":"The energy and its first and second geometrical derivatives obtained by DFT calculations for a number of conformations of a single molecule are used to parametrize intramolecular force fields, suitable for computer simulations. A systematic procedure is proposed to adequately treat either fully atomistic or more simplified force fields, as within the united atom approach or other coarse grained models. The proposed method is tested and validated by performing molecular dynamics simulations on several different molecules, comparing the results with literature force fields and relevant experimental data. Particular emphasis is given to the united atom approach for flexible molecules characterized by “soft” torsional potentials which are known to retain a high degree of chemical specificity.","author":[{"dropping-particle":"","family":"Cacelli","given":"Ivo","non-dropping-particle":"","parse-names":false,"suffix":""},{"dropping-particle":"","family":"Prampolini","given":"Giacomo","non-dropping-particle":"","parse-names":false,"suffix":""}],"container-title":"Journal of Chemical Theory and Computation","id":"ITEM-1","issue":"5","issued":{"date-parts":[["2007"]]},"page":"1803-1817","publisher":"American Chemical Society","title":"Parametrization and validation of intramolecular force fields derived from DFT calculations","type":"article-journal","volume":"3"},"uris":["http://www.mendeley.com/documents/?uuid=d7c2a3a6-6e61-37a0-8bd2-8d7be37aeb50"]}],"mendeley":{"formattedCitation":"&lt;sup&gt;24&lt;/sup&gt;","plainTextFormattedCitation":"24","previouslyFormattedCitation":"&lt;sup&gt;24&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24</w:t>
      </w:r>
      <w:r w:rsidR="00E713B8" w:rsidRPr="00BC6787">
        <w:rPr>
          <w:rFonts w:cs="Times New Roman"/>
        </w:rPr>
        <w:fldChar w:fldCharType="end"/>
      </w:r>
      <w:r w:rsidRPr="00BC6787">
        <w:rPr>
          <w:rFonts w:cs="Times New Roman"/>
        </w:rPr>
        <w:t xml:space="preserve"> procedure parameterises the intramolecular part of FF, using an iterative approach to fit to QM energies, gradients and the Hessian matrix, similarly the PICKY</w:t>
      </w:r>
      <w:r w:rsidR="00E713B8" w:rsidRPr="00BC6787">
        <w:rPr>
          <w:rFonts w:cs="Times New Roman"/>
        </w:rPr>
        <w:fldChar w:fldCharType="begin" w:fldLock="1"/>
      </w:r>
      <w:r w:rsidR="000C038E">
        <w:rPr>
          <w:rFonts w:cs="Times New Roman"/>
        </w:rPr>
        <w:instrText>ADDIN CSL_CITATION {"citationItems":[{"id":"ITEM-1","itemData":{"DOI":"10.1002/jcc.22937","ISSN":"01928651","author":[{"dropping-particle":"","family":"Cacelli","given":"Ivo","non-dropping-particle":"","parse-names":false,"suffix":""},{"dropping-particle":"","family":"Cimoli","given":"Antonella","non-dropping-particle":"","parse-names":false,"suffix":""},{"dropping-particle":"","family":"Livotto","given":"Paolo Roberto","non-dropping-particle":"","parse-names":false,"suffix":""},{"dropping-particle":"","family":"Prampolini","given":"Giacomo","non-dropping-particle":"","parse-names":false,"suffix":""}],"container-title":"Journal of Computational Chemistry","id":"ITEM-1","issue":"10","issued":{"date-parts":[["2012","4","15"]]},"page":"1055-1067","publisher":"Wiley-Blackwell","title":"An automated approach for the parameterization of accurate intermolecular force-fields: Pyridine as a case study","type":"article-journal","volume":"33"},"uris":["http://www.mendeley.com/documents/?uuid=de694f8e-3158-3c2f-b59a-6b9f8a4e3b69"]}],"mendeley":{"formattedCitation":"&lt;sup&gt;25&lt;/sup&gt;","plainTextFormattedCitation":"25","previouslyFormattedCitation":"&lt;sup&gt;25&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25</w:t>
      </w:r>
      <w:r w:rsidR="00E713B8" w:rsidRPr="00BC6787">
        <w:rPr>
          <w:rFonts w:cs="Times New Roman"/>
        </w:rPr>
        <w:fldChar w:fldCharType="end"/>
      </w:r>
      <w:r w:rsidRPr="00BC6787">
        <w:rPr>
          <w:rFonts w:cs="Times New Roman"/>
        </w:rPr>
        <w:t xml:space="preserve"> procedure employs a least square fitting procedure to parameterise the intermolecular part, using QM energies. The QMDFF</w:t>
      </w:r>
      <w:r w:rsidR="00E713B8" w:rsidRPr="00BC6787">
        <w:rPr>
          <w:rFonts w:cs="Times New Roman"/>
        </w:rPr>
        <w:fldChar w:fldCharType="begin" w:fldLock="1"/>
      </w:r>
      <w:r w:rsidR="000C038E">
        <w:rPr>
          <w:rFonts w:cs="Times New Roman"/>
        </w:rPr>
        <w:instrText>ADDIN CSL_CITATION {"citationItems":[{"id":"ITEM-1","itemData":{"DOI":"10.1021/ct500573f","ISSN":"1549-9618","abstract":"A black-box type procedure is presented for the generation of molecule-specific, classical potential energy functions (force-field, FF) solely from quantum mechanically (QM) computed input data. The approach can treat covalently bound molecules and noncovalent complexes with almost arbitrary structure. The necessary QM information consists of the equilibrium structure and the corresponding Hessian matrix, atomic partial charges, and covalent bond orders. The FF fit is performed automatically without any further input and yields a specific (nontransferable) potential which very closely resembles the QM reference potential near the equilibrium. The resulting atomistic, fully flexible FF is anharmonic and allows smooth dissociation of covalent bonds into atoms. A newly proposed force-constant–bond-energy relation with little empiricism provides reasonably accurate (about 5–10% error) atomization energies for almost arbitrary diatomic and polyatomic molecules. Intra- and intermolecular noncovalent interaction...","author":[{"dropping-particle":"","family":"Grimme","given":"Stefan","non-dropping-particle":"","parse-names":false,"suffix":""}],"container-title":"Journal of Chemical Theory and Computation","id":"ITEM-1","issue":"10","issued":{"date-parts":[["2014","10","14"]]},"page":"4497-4514","publisher":"American Chemical Society","title":"A General Quantum Mechanically Derived Force Field (QMDFF) for Molecules and Condensed Phase Simulations","type":"article-journal","volume":"10"},"uris":["http://www.mendeley.com/documents/?uuid=2b27fa3d-29e0-35e2-9280-3a1fb2bb3509"]}],"mendeley":{"formattedCitation":"&lt;sup&gt;26&lt;/sup&gt;","plainTextFormattedCitation":"26","previouslyFormattedCitation":"&lt;sup&gt;26&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26</w:t>
      </w:r>
      <w:r w:rsidR="00E713B8" w:rsidRPr="00BC6787">
        <w:rPr>
          <w:rFonts w:cs="Times New Roman"/>
        </w:rPr>
        <w:fldChar w:fldCharType="end"/>
      </w:r>
      <w:r w:rsidRPr="00BC6787">
        <w:rPr>
          <w:rFonts w:cs="Times New Roman"/>
        </w:rPr>
        <w:t xml:space="preserve"> constructs FFs from solely QM input also; utilising an equilibrium structure, Hessian matrix, atomic partial charges and the bond orders to generate specific, non-transferable FFs of molecules. The fitting of parameters to a flexible combination of theoretical and experimental data is possible with the ForceBalance</w:t>
      </w:r>
      <w:r w:rsidR="00E713B8" w:rsidRPr="00BC6787">
        <w:rPr>
          <w:rFonts w:cs="Times New Roman"/>
        </w:rPr>
        <w:fldChar w:fldCharType="begin" w:fldLock="1"/>
      </w:r>
      <w:r w:rsidR="000C038E">
        <w:rPr>
          <w:rFonts w:cs="Times New Roman"/>
        </w:rPr>
        <w:instrText>ADDIN CSL_CITATION {"citationItems":[{"id":"ITEM-1","itemData":{"DOI":"10.1021/jz500737m","ISSN":"1948-7185","abstract":"The development of accurate molecular mechanics force fields is a significant challenge that must be addressed for the continued success of molecular simulation. We developed the ForceBalance method to automatically derive accurate force field parameters using flexible combinations of experimental and theoretical reference data. The method is demonstrated in the parametrization of two rigid water models, yielding new parameter sets (TIP3P-FB and TIP4P-FB) that accurately describe many physical properties of water.","author":[{"dropping-particle":"","family":"Wang","given":"Lee-Ping","non-dropping-particle":"","parse-names":false,"suffix":""},{"dropping-particle":"","family":"Martinez","given":"Todd J.","non-dropping-particle":"","parse-names":false,"suffix":""},{"dropping-particle":"","family":"Pande","given":"Vijay S.","non-dropping-particle":"","parse-names":false,"suffix":""}],"container-title":"The Journal of Physical Chemistry Letters","id":"ITEM-1","issue":"11","issued":{"date-parts":[["2014","6","5"]]},"page":"1885-1891","publisher":"American Chemical Society","title":"Building Force Fields: An Automatic, Systematic, and Reproducible Approach","type":"article-journal","volume":"5"},"uris":["http://www.mendeley.com/documents/?uuid=058a5250-10c4-3481-a142-3974480ef2ce"]}],"mendeley":{"formattedCitation":"&lt;sup&gt;27&lt;/sup&gt;","plainTextFormattedCitation":"27","previouslyFormattedCitation":"&lt;sup&gt;27&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27</w:t>
      </w:r>
      <w:r w:rsidR="00E713B8" w:rsidRPr="00BC6787">
        <w:rPr>
          <w:rFonts w:cs="Times New Roman"/>
        </w:rPr>
        <w:fldChar w:fldCharType="end"/>
      </w:r>
      <w:r w:rsidRPr="00BC6787">
        <w:rPr>
          <w:rFonts w:cs="Times New Roman"/>
        </w:rPr>
        <w:t xml:space="preserve"> method, which automatically generates parameters through an iterative approach which minimises the difference between the FF parameters and target data.</w:t>
      </w:r>
      <w:r w:rsidR="00C343CD" w:rsidRPr="00BC6787">
        <w:rPr>
          <w:rFonts w:cs="Times New Roman"/>
        </w:rPr>
        <w:t xml:space="preserve"> Recently this method was employed to improve the AMBER protein FF.</w:t>
      </w:r>
      <w:r w:rsidR="00C343CD" w:rsidRPr="00BC6787">
        <w:rPr>
          <w:rFonts w:cs="Times New Roman"/>
        </w:rPr>
        <w:fldChar w:fldCharType="begin" w:fldLock="1"/>
      </w:r>
      <w:r w:rsidR="000C038E">
        <w:rPr>
          <w:rFonts w:cs="Times New Roman"/>
        </w:rPr>
        <w:instrText>ADDIN CSL_CITATION {"citationItems":[{"id":"ITEM-1","itemData":{"DOI":"10.1021/acs.jpcb.7b02320","ISSN":"1520-6106","abstract":"The increasing availability of high-quality experimental data and first-principles calculations creates opportunities for developing more accurate empirical force fields for simulation of proteins. We developed the AMBER-FB15 protein force field by building a high-quality quantum chemical data set consisting of comprehensive potential energy scans and employing the ForceBalance software package for parameter optimization. The optimized potential surface allows for more significant thermodynamic fluctuations away from local minima. In validation studies where simulation results are compared to experimental measurements, AMBER-FB15 in combination with the updated TIP3P-FB water model predicts equilibrium properties with equivalent accuracy, and temperature dependent properties with significantly improved accuracy, in comparison with published models. We also discuss the effect of changing the protein force field and water model on the simulation results.","author":[{"dropping-particle":"","family":"Wang","given":"Lee-Ping","non-dropping-particle":"","parse-names":false,"suffix":""},{"dropping-particle":"","family":"McKiernan","given":"Keri A.","non-dropping-particle":"","parse-names":false,"suffix":""},{"dropping-particle":"","family":"Gomes","given":"Joseph","non-dropping-particle":"","parse-names":false,"suffix":""},{"dropping-particle":"","family":"Beauchamp","given":"Kyle A.","non-dropping-particle":"","parse-names":false,"suffix":""},{"dropping-particle":"","family":"Head-Gordon","given":"Teresa","non-dropping-particle":"","parse-names":false,"suffix":""},{"dropping-particle":"","family":"Rice","given":"Julia E.","non-dropping-particle":"","parse-names":false,"suffix":""},{"dropping-particle":"","family":"Swope","given":"William C.","non-dropping-particle":"","parse-names":false,"suffix":""},{"dropping-particle":"","family":"Martínez","given":"Todd J.","non-dropping-particle":"","parse-names":false,"suffix":""},{"dropping-particle":"","family":"Pande","given":"Vijay S.","non-dropping-particle":"","parse-names":false,"suffix":""}],"container-title":"The Journal of Physical Chemistry B","id":"ITEM-1","issue":"16","issued":{"date-parts":[["2017","4","27"]]},"page":"4023-4039","publisher":"American Chemical Society","title":"Building a More Predictive Protein Force Field: A Systematic and Reproducible Route to AMBER-FB15","type":"article-journal","volume":"121"},"uris":["http://www.mendeley.com/documents/?uuid=366aff90-2756-30b3-b991-694a67af7a3d"]}],"mendeley":{"formattedCitation":"&lt;sup&gt;28&lt;/sup&gt;","plainTextFormattedCitation":"28","previouslyFormattedCitation":"&lt;sup&gt;28&lt;/sup&gt;"},"properties":{"noteIndex":0},"schema":"https://github.com/citation-style-language/schema/raw/master/csl-citation.json"}</w:instrText>
      </w:r>
      <w:r w:rsidR="00C343CD" w:rsidRPr="00BC6787">
        <w:rPr>
          <w:rFonts w:cs="Times New Roman"/>
        </w:rPr>
        <w:fldChar w:fldCharType="separate"/>
      </w:r>
      <w:r w:rsidR="00912E63" w:rsidRPr="00912E63">
        <w:rPr>
          <w:rFonts w:cs="Times New Roman"/>
          <w:noProof/>
          <w:vertAlign w:val="superscript"/>
        </w:rPr>
        <w:t>28</w:t>
      </w:r>
      <w:r w:rsidR="00C343CD" w:rsidRPr="00BC6787">
        <w:rPr>
          <w:rFonts w:cs="Times New Roman"/>
        </w:rPr>
        <w:fldChar w:fldCharType="end"/>
      </w:r>
      <w:r w:rsidRPr="00BC6787">
        <w:rPr>
          <w:rFonts w:cs="Times New Roman"/>
        </w:rPr>
        <w:t xml:space="preserve"> Other methods seek to simplify the parameterisation process, such as the FF Toolkit</w:t>
      </w:r>
      <w:r w:rsidR="00E713B8" w:rsidRPr="00BC6787">
        <w:rPr>
          <w:rFonts w:cs="Times New Roman"/>
        </w:rPr>
        <w:fldChar w:fldCharType="begin" w:fldLock="1"/>
      </w:r>
      <w:r w:rsidR="000C038E">
        <w:rPr>
          <w:rFonts w:cs="Times New Roman"/>
        </w:rPr>
        <w:instrText>ADDIN CSL_CITATION {"citationItems":[{"id":"ITEM-1","itemData":{"DOI":"10.1002/jcc.23422","ISSN":"01928651","author":[{"dropping-particle":"","family":"Mayne","given":"Christopher G.","non-dropping-particle":"","parse-names":false,"suffix":""},{"dropping-particle":"","family":"Saam","given":"Jan","non-dropping-particle":"","parse-names":false,"suffix":""},{"dropping-particle":"","family":"Schulten","given":"Klaus","non-dropping-particle":"","parse-names":false,"suffix":""},{"dropping-particle":"","family":"Tajkhorshid","given":"Emad","non-dropping-particle":"","parse-names":false,"suffix":""},{"dropping-particle":"","family":"Gumbart","given":"James C.","non-dropping-particle":"","parse-names":false,"suffix":""}],"container-title":"Journal of Computational Chemistry","id":"ITEM-1","issue":"32","issued":{"date-parts":[["2013","12","15"]]},"page":"2757-2770","publisher":"Wiley-Blackwell","title":"Rapid parameterization of small molecules using the force field toolkit","type":"article-journal","volume":"34"},"uris":["http://www.mendeley.com/documents/?uuid=bc7d9b7c-1611-3cf2-894e-c5db5af7fe6d"]}],"mendeley":{"formattedCitation":"&lt;sup&gt;29&lt;/sup&gt;","plainTextFormattedCitation":"29","previouslyFormattedCitation":"&lt;sup&gt;29&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29</w:t>
      </w:r>
      <w:r w:rsidR="00E713B8" w:rsidRPr="00BC6787">
        <w:rPr>
          <w:rFonts w:cs="Times New Roman"/>
        </w:rPr>
        <w:fldChar w:fldCharType="end"/>
      </w:r>
      <w:r w:rsidRPr="00BC6787">
        <w:rPr>
          <w:rFonts w:cs="Times New Roman"/>
        </w:rPr>
        <w:t xml:space="preserve"> which creates CHARMM compatible parameters from target QM data and the QuickFF</w:t>
      </w:r>
      <w:r w:rsidR="00E713B8" w:rsidRPr="00BC6787">
        <w:rPr>
          <w:rFonts w:cs="Times New Roman"/>
        </w:rPr>
        <w:fldChar w:fldCharType="begin" w:fldLock="1"/>
      </w:r>
      <w:r w:rsidR="000C038E">
        <w:rPr>
          <w:rFonts w:cs="Times New Roman"/>
        </w:rPr>
        <w:instrText>ADDIN CSL_CITATION {"citationItems":[{"id":"ITEM-1","itemData":{"DOI":"10.1002/jcc.23877","ISSN":"01928651","author":[{"dropping-particle":"","family":"Vanduyfhuys","given":"Louis","non-dropping-particle":"","parse-names":false,"suffix":""},{"dropping-particle":"","family":"Vandenbrande","given":"Steven","non-dropping-particle":"","parse-names":false,"suffix":""},{"dropping-particle":"","family":"Verstraelen","given":"Toon","non-dropping-particle":"","parse-names":false,"suffix":""},{"dropping-particle":"","family":"Schmid","given":"Rochus","non-dropping-particle":"","parse-names":false,"suffix":""},{"dropping-particle":"","family":"Waroquier","given":"Michel","non-dropping-particle":"","parse-names":false,"suffix":""},{"dropping-particle":"","family":"Speybroeck","given":"Veronique","non-dropping-particle":"Van","parse-names":false,"suffix":""}],"container-title":"Journal of Computational Chemistry","id":"ITEM-1","issue":"13","issued":{"date-parts":[["2015","5","15"]]},"page":"1015-1027","publisher":"Wiley-Blackwell","title":"QuickFF: A program for a quick and easy derivation of force fields for metal-organic frameworks from &lt;i&gt;ab initio&lt;/i&gt; input","type":"article-journal","volume":"36"},"uris":["http://www.mendeley.com/documents/?uuid=d94a96d1-6d47-3fd6-b59b-f013242407dd"]}],"mendeley":{"formattedCitation":"&lt;sup&gt;30&lt;/sup&gt;","plainTextFormattedCitation":"30","previouslyFormattedCitation":"&lt;sup&gt;30&lt;/sup&gt;"},"properties":{"noteIndex":0},"schema":"https://github.com/citation-style-language/schema/raw/master/csl-citation.json"}</w:instrText>
      </w:r>
      <w:r w:rsidR="00E713B8" w:rsidRPr="00BC6787">
        <w:rPr>
          <w:rFonts w:cs="Times New Roman"/>
        </w:rPr>
        <w:fldChar w:fldCharType="separate"/>
      </w:r>
      <w:r w:rsidR="00912E63" w:rsidRPr="00912E63">
        <w:rPr>
          <w:rFonts w:cs="Times New Roman"/>
          <w:noProof/>
          <w:vertAlign w:val="superscript"/>
        </w:rPr>
        <w:t>30</w:t>
      </w:r>
      <w:r w:rsidR="00E713B8" w:rsidRPr="00BC6787">
        <w:rPr>
          <w:rFonts w:cs="Times New Roman"/>
        </w:rPr>
        <w:fldChar w:fldCharType="end"/>
      </w:r>
      <w:r w:rsidRPr="00BC6787">
        <w:rPr>
          <w:rFonts w:cs="Times New Roman"/>
        </w:rPr>
        <w:t xml:space="preserve"> which employs a 3 step method to build parameters from ab initio data.</w:t>
      </w:r>
    </w:p>
    <w:p w14:paraId="61D95185" w14:textId="055733FB" w:rsidR="00674883" w:rsidRPr="00BC6787" w:rsidRDefault="009025C4" w:rsidP="743D8EFC">
      <w:pPr>
        <w:ind w:firstLine="720"/>
        <w:rPr>
          <w:rFonts w:eastAsia="Cambria" w:cs="Times New Roman"/>
        </w:rPr>
      </w:pPr>
      <w:r w:rsidRPr="00BC6787">
        <w:rPr>
          <w:rFonts w:cs="Times New Roman"/>
        </w:rPr>
        <w:t xml:space="preserve">The previously discussed methods are general tools for developing new FFs </w:t>
      </w:r>
      <w:r w:rsidR="00083F28" w:rsidRPr="00BC6787">
        <w:rPr>
          <w:rFonts w:cs="Times New Roman"/>
        </w:rPr>
        <w:t>as opposed to specially developed for spectral density calculations</w:t>
      </w:r>
      <w:r w:rsidRPr="00BC6787">
        <w:rPr>
          <w:rFonts w:cs="Times New Roman"/>
        </w:rPr>
        <w:t>.</w:t>
      </w:r>
      <w:r w:rsidR="15FEE7EC" w:rsidRPr="00BC6787">
        <w:rPr>
          <w:rFonts w:cs="Times New Roman"/>
        </w:rPr>
        <w:t xml:space="preserve"> </w:t>
      </w:r>
      <w:r w:rsidRPr="00BC6787">
        <w:rPr>
          <w:rFonts w:cs="Times New Roman"/>
        </w:rPr>
        <w:t>FFs have also been generated with the specific use of spectral density calculations in mind. These methods also predominantly utilise QM calculations to produce target data, for example in the creation of</w:t>
      </w:r>
      <w:r w:rsidR="00E75A22" w:rsidRPr="00BC6787">
        <w:rPr>
          <w:rFonts w:cs="Times New Roman"/>
        </w:rPr>
        <w:t xml:space="preserve"> FFs compatible with the popular</w:t>
      </w:r>
      <w:r w:rsidR="15FEE7EC" w:rsidRPr="00BC6787">
        <w:rPr>
          <w:rFonts w:cs="Times New Roman"/>
        </w:rPr>
        <w:t xml:space="preserve"> AMBER </w:t>
      </w:r>
      <w:r w:rsidR="005C7356" w:rsidRPr="00BC6787">
        <w:rPr>
          <w:rFonts w:cs="Times New Roman"/>
        </w:rPr>
        <w:t xml:space="preserve">FF </w:t>
      </w:r>
      <w:r w:rsidR="15FEE7EC" w:rsidRPr="00BC6787">
        <w:rPr>
          <w:rFonts w:cs="Times New Roman"/>
        </w:rPr>
        <w:t>for bacteriochlorophyll-</w:t>
      </w:r>
      <w:r w:rsidR="15FEE7EC" w:rsidRPr="00BC6787">
        <w:rPr>
          <w:rFonts w:cs="Times New Roman"/>
          <w:i/>
          <w:iCs/>
        </w:rPr>
        <w:t>a</w:t>
      </w:r>
      <w:r w:rsidR="15FEE7EC" w:rsidRPr="00BC6787">
        <w:rPr>
          <w:rFonts w:cs="Times New Roman"/>
        </w:rPr>
        <w:t xml:space="preserve"> (</w:t>
      </w:r>
      <w:proofErr w:type="spellStart"/>
      <w:r w:rsidR="15FEE7EC" w:rsidRPr="00BC6787">
        <w:rPr>
          <w:rFonts w:cs="Times New Roman"/>
        </w:rPr>
        <w:t>bcl</w:t>
      </w:r>
      <w:proofErr w:type="spellEnd"/>
      <w:r w:rsidR="15FEE7EC" w:rsidRPr="00BC6787">
        <w:rPr>
          <w:rFonts w:cs="Times New Roman"/>
        </w:rPr>
        <w:t xml:space="preserve">) (as well as other cofactors: </w:t>
      </w:r>
      <w:r w:rsidR="15FEE7EC" w:rsidRPr="00BC6787">
        <w:rPr>
          <w:rFonts w:eastAsia="Cambria" w:cs="Times New Roman"/>
        </w:rPr>
        <w:t>methyl bacteriopheophytin-</w:t>
      </w:r>
      <w:r w:rsidR="15FEE7EC" w:rsidRPr="00BC6787">
        <w:rPr>
          <w:rFonts w:eastAsia="Cambria" w:cs="Times New Roman"/>
          <w:i/>
          <w:iCs/>
        </w:rPr>
        <w:t>a</w:t>
      </w:r>
      <w:r w:rsidR="15FEE7EC" w:rsidRPr="00BC6787">
        <w:rPr>
          <w:rFonts w:eastAsia="Cambria" w:cs="Times New Roman"/>
        </w:rPr>
        <w:t xml:space="preserve"> and a ubiquinone derivative).</w:t>
      </w:r>
      <w:r w:rsidR="00E75A22" w:rsidRPr="00BC6787">
        <w:fldChar w:fldCharType="begin" w:fldLock="1"/>
      </w:r>
      <w:r w:rsidR="000C038E">
        <w:rPr>
          <w:rFonts w:eastAsia="Cambria" w:cs="Times New Roman"/>
          <w:szCs w:val="24"/>
        </w:rPr>
        <w:instrText>ADDIN CSL_CITATION {"citationItems":[{"id":"ITEM-1","itemData":{"DOI":"10.1002/jcc.20507","ISBN":"0192-8651","ISSN":"01928651","PMID":"12497594","abstract":"This article presents a new ab initio force field for the cofactors of bacterial photosynthesis, namely quinones and bacteriochlorophylls. The parameters has been designed to be suitable for molecular dynamics simulations of photosynthetic proteins by being compatible with the AMBER force field. To our knowledge, this is the first force field for photosynthetic cofactors based on a reliable set of ab initio density functional reference data for methyl bacteriochlorophyll a, methyl bacteriopheophytin a, and of a derivative of ubiquinone. Indeed, the new molecular mechanics force field is able to reproduce very well not only the experimental and ab initio structural properties and the vibrational spectra of the molecules, but also the eigenvectors of the molecular normal modes. For this reason it might also be helpful to understand vibrational spectroscopy results obtained on reaction center proteins.","author":[{"dropping-particle":"","family":"Ceccarelli","given":"Matteo","non-dropping-particle":"","parse-names":false,"suffix":""},{"dropping-particle":"","family":"Procacci","given":"Piero","non-dropping-particle":"","parse-names":false,"suffix":""},{"dropping-particle":"","family":"Marchi","given":"Massimo","non-dropping-particle":"","parse-names":false,"suffix":""}],"container-title":"Journal of Computational Chemistry","id":"ITEM-1","issue":"2","issued":{"date-parts":[["2003","1","30"]]},"page":"129-142","publisher":"Wiley Subscription Services, Inc., A Wiley Company","title":"An ab initio force field for the cofactors of bacterial photosynthesis","type":"article-journal","volume":"24"},"uris":["http://www.mendeley.com/documents/?uuid=d5f40d73-df6b-4e4c-aa2c-7a6df7652c0e"]}],"mendeley":{"formattedCitation":"&lt;sup&gt;31&lt;/sup&gt;","plainTextFormattedCitation":"31","previouslyFormattedCitation":"&lt;sup&gt;31&lt;/sup&gt;"},"properties":{"noteIndex":0},"schema":"https://github.com/citation-style-language/schema/raw/master/csl-citation.json"}</w:instrText>
      </w:r>
      <w:r w:rsidR="00E75A22" w:rsidRPr="00BC6787">
        <w:rPr>
          <w:rFonts w:eastAsia="Cambria" w:cs="Times New Roman"/>
          <w:szCs w:val="24"/>
        </w:rPr>
        <w:fldChar w:fldCharType="separate"/>
      </w:r>
      <w:r w:rsidR="00912E63" w:rsidRPr="00912E63">
        <w:rPr>
          <w:rFonts w:eastAsia="Cambria" w:cs="Times New Roman"/>
          <w:noProof/>
          <w:vertAlign w:val="superscript"/>
        </w:rPr>
        <w:t>31</w:t>
      </w:r>
      <w:r w:rsidR="00E75A22" w:rsidRPr="00BC6787">
        <w:fldChar w:fldCharType="end"/>
      </w:r>
      <w:r w:rsidR="15FEE7EC" w:rsidRPr="00BC6787">
        <w:rPr>
          <w:rFonts w:eastAsia="Cambria" w:cs="Times New Roman"/>
        </w:rPr>
        <w:t xml:space="preserve"> Further work </w:t>
      </w:r>
      <w:r w:rsidR="00A53CA0" w:rsidRPr="00BC6787">
        <w:rPr>
          <w:rFonts w:eastAsia="Cambria" w:cs="Times New Roman"/>
        </w:rPr>
        <w:t>transformed</w:t>
      </w:r>
      <w:r w:rsidR="15FEE7EC" w:rsidRPr="00BC6787">
        <w:rPr>
          <w:rFonts w:eastAsia="Cambria" w:cs="Times New Roman"/>
        </w:rPr>
        <w:t xml:space="preserve"> these parameters to create a chlorophyll-</w:t>
      </w:r>
      <w:r w:rsidR="15FEE7EC" w:rsidRPr="00BC6787">
        <w:rPr>
          <w:rFonts w:eastAsia="Cambria" w:cs="Times New Roman"/>
          <w:i/>
          <w:iCs/>
        </w:rPr>
        <w:t>a</w:t>
      </w:r>
      <w:r w:rsidR="15FEE7EC" w:rsidRPr="00BC6787">
        <w:rPr>
          <w:rFonts w:eastAsia="Cambria" w:cs="Times New Roman"/>
        </w:rPr>
        <w:t xml:space="preserve"> (</w:t>
      </w:r>
      <w:proofErr w:type="spellStart"/>
      <w:r w:rsidR="15FEE7EC" w:rsidRPr="00BC6787">
        <w:rPr>
          <w:rFonts w:eastAsia="Cambria" w:cs="Times New Roman"/>
        </w:rPr>
        <w:t>chl</w:t>
      </w:r>
      <w:proofErr w:type="spellEnd"/>
      <w:r w:rsidR="15FEE7EC" w:rsidRPr="00BC6787">
        <w:rPr>
          <w:rFonts w:eastAsia="Cambria" w:cs="Times New Roman"/>
        </w:rPr>
        <w:t>-a) FF</w:t>
      </w:r>
      <w:r w:rsidR="00E75A22" w:rsidRPr="00BC6787">
        <w:rPr>
          <w:rFonts w:eastAsia="Cambria" w:cs="Times New Roman"/>
        </w:rPr>
        <w:t>,</w:t>
      </w:r>
      <w:r w:rsidR="00E75A22" w:rsidRPr="00BC6787">
        <w:fldChar w:fldCharType="begin" w:fldLock="1"/>
      </w:r>
      <w:r w:rsidR="000C038E">
        <w:rPr>
          <w:rFonts w:eastAsia="Cambria" w:cs="Times New Roman"/>
          <w:szCs w:val="24"/>
        </w:rPr>
        <w:instrText>ADDIN CSL_CITATION {"citationItems":[{"id":"ITEM-1","itemData":{"DOI":"10.1007/s11099-005-0066-2","ISSN":"1573-9058","abstract":"We developed new parameters for molecular dynamics (MD) simulations, namely partial atomic charges, equilibrium bond-lengths, angles, dihedrals, atom types, and force constants of chlorophyll a (Chl) and plastoquinone (PQ), and both reduced and neutral form of primary acceptor (PHO) molecule. These parameters are essential for MD simulations that can interpret various structure functional relationships during primary processes of charge separation and stabilization in photosystem 2 reaction centres.","author":[{"dropping-particle":"","family":"Palencar","given":"P","non-dropping-particle":"","parse-names":false,"suffix":""},{"dropping-particle":"","family":"Vacha","given":"F","non-dropping-particle":"","parse-names":false,"suffix":""},{"dropping-particle":"","family":"Kuty","given":"M","non-dropping-particle":"","parse-names":false,"suffix":""}],"container-title":"Photosynthetica","id":"ITEM-1","issue":"3","issued":{"date-parts":[["2005"]]},"page":"417-420","title":"Force field development on pigments of photosystem 2 reaction centre","type":"article-journal","volume":"43"},"uris":["http://www.mendeley.com/documents/?uuid=dea0539a-f49e-47e4-a734-106c9b33bafe"]}],"mendeley":{"formattedCitation":"&lt;sup&gt;32&lt;/sup&gt;","plainTextFormattedCitation":"32","previouslyFormattedCitation":"&lt;sup&gt;32&lt;/sup&gt;"},"properties":{"noteIndex":0},"schema":"https://github.com/citation-style-language/schema/raw/master/csl-citation.json"}</w:instrText>
      </w:r>
      <w:r w:rsidR="00E75A22" w:rsidRPr="00BC6787">
        <w:rPr>
          <w:rFonts w:eastAsia="Cambria" w:cs="Times New Roman"/>
          <w:szCs w:val="24"/>
        </w:rPr>
        <w:fldChar w:fldCharType="separate"/>
      </w:r>
      <w:r w:rsidR="00912E63" w:rsidRPr="00912E63">
        <w:rPr>
          <w:rFonts w:eastAsia="Cambria" w:cs="Times New Roman"/>
          <w:noProof/>
          <w:vertAlign w:val="superscript"/>
        </w:rPr>
        <w:t>32</w:t>
      </w:r>
      <w:r w:rsidR="00E75A22" w:rsidRPr="00BC6787">
        <w:fldChar w:fldCharType="end"/>
      </w:r>
      <w:r w:rsidR="15FEE7EC" w:rsidRPr="00BC6787">
        <w:rPr>
          <w:rFonts w:eastAsia="Cambria" w:cs="Times New Roman"/>
        </w:rPr>
        <w:t xml:space="preserve"> compatible with</w:t>
      </w:r>
      <w:r w:rsidR="00E75A22" w:rsidRPr="00BC6787">
        <w:rPr>
          <w:rFonts w:eastAsia="Cambria" w:cs="Times New Roman"/>
        </w:rPr>
        <w:t xml:space="preserve"> another commonly used FF,</w:t>
      </w:r>
      <w:r w:rsidR="005C7356" w:rsidRPr="00BC6787">
        <w:rPr>
          <w:rFonts w:eastAsia="Cambria" w:cs="Times New Roman"/>
        </w:rPr>
        <w:t xml:space="preserve"> </w:t>
      </w:r>
      <w:r w:rsidR="15FEE7EC" w:rsidRPr="00BC6787">
        <w:rPr>
          <w:rFonts w:eastAsia="Cambria" w:cs="Times New Roman"/>
        </w:rPr>
        <w:t xml:space="preserve"> CHARMM</w:t>
      </w:r>
      <w:r w:rsidR="00B97161" w:rsidRPr="00BC6787">
        <w:rPr>
          <w:rFonts w:eastAsia="Cambria" w:cs="Times New Roman"/>
        </w:rPr>
        <w:t>.</w:t>
      </w:r>
      <w:r w:rsidR="005C7356" w:rsidRPr="00BC6787">
        <w:t xml:space="preserve"> </w:t>
      </w:r>
      <w:r w:rsidR="15FEE7EC" w:rsidRPr="00BC6787">
        <w:rPr>
          <w:rFonts w:eastAsia="Cambria" w:cs="Times New Roman"/>
        </w:rPr>
        <w:t xml:space="preserve">Both these </w:t>
      </w:r>
      <w:proofErr w:type="spellStart"/>
      <w:r w:rsidR="15FEE7EC" w:rsidRPr="00BC6787">
        <w:rPr>
          <w:rFonts w:eastAsia="Cambria" w:cs="Times New Roman"/>
        </w:rPr>
        <w:t>bcl</w:t>
      </w:r>
      <w:proofErr w:type="spellEnd"/>
      <w:r w:rsidR="15FEE7EC" w:rsidRPr="00BC6787">
        <w:rPr>
          <w:rFonts w:eastAsia="Cambria" w:cs="Times New Roman"/>
        </w:rPr>
        <w:t xml:space="preserve"> and </w:t>
      </w:r>
      <w:proofErr w:type="spellStart"/>
      <w:r w:rsidR="15FEE7EC" w:rsidRPr="00BC6787">
        <w:rPr>
          <w:rFonts w:eastAsia="Cambria" w:cs="Times New Roman"/>
        </w:rPr>
        <w:t>chl</w:t>
      </w:r>
      <w:proofErr w:type="spellEnd"/>
      <w:r w:rsidR="005C7356" w:rsidRPr="00BC6787">
        <w:rPr>
          <w:rFonts w:eastAsia="Cambria" w:cs="Times New Roman"/>
        </w:rPr>
        <w:t>-a</w:t>
      </w:r>
      <w:r w:rsidR="15FEE7EC" w:rsidRPr="00BC6787">
        <w:rPr>
          <w:rFonts w:eastAsia="Cambria" w:cs="Times New Roman"/>
        </w:rPr>
        <w:t xml:space="preserve"> FFs have been utilised in </w:t>
      </w:r>
      <w:r w:rsidR="00A80FB0" w:rsidRPr="00BC6787">
        <w:rPr>
          <w:rFonts w:eastAsia="Cambria" w:cs="Times New Roman"/>
        </w:rPr>
        <w:t>several</w:t>
      </w:r>
      <w:r w:rsidR="15FEE7EC" w:rsidRPr="00BC6787">
        <w:rPr>
          <w:rFonts w:eastAsia="Cambria" w:cs="Times New Roman"/>
        </w:rPr>
        <w:t xml:space="preserve"> spectral density </w:t>
      </w:r>
      <w:r w:rsidR="00B97161" w:rsidRPr="00BC6787">
        <w:rPr>
          <w:rFonts w:eastAsia="Cambria" w:cs="Times New Roman"/>
        </w:rPr>
        <w:t>studies</w:t>
      </w:r>
      <w:r w:rsidR="15FEE7EC" w:rsidRPr="00BC6787">
        <w:rPr>
          <w:rFonts w:eastAsia="Cambria" w:cs="Times New Roman"/>
        </w:rPr>
        <w:t>.</w:t>
      </w:r>
      <w:r w:rsidR="00B86EEA" w:rsidRPr="00BC6787">
        <w:fldChar w:fldCharType="begin" w:fldLock="1"/>
      </w:r>
      <w:r w:rsidR="000C038E">
        <w:rPr>
          <w:rFonts w:eastAsia="Cambria" w:cs="Times New Roman"/>
          <w:szCs w:val="24"/>
        </w:rPr>
        <w:instrText>ADDIN CSL_CITATION {"citationItems":[{"id":"ITEM-1","itemData":{"DOI":"10.1016/j.bpj.2011.12.021","ISSN":"00063495","abstract":"A remarkable amount of theoretical research has been carried out to elucidate the physical origins of the recently observed long-lived quantum coherence in the electronic energy transfer process in biological photosynthetic systems. Although successful in many respects, several widely used descriptions only include an effective treatment of the protein-chromophore interactions. In this work, by combining an all-atom molecular dynamics simulation, time-dependent density functional theory, and open quantum system approaches, we successfully simulate the dynamics of the electronic energy transfer of the Fenna-Matthews-Olson pigment-protein complex. The resulting characteristic beating of populations and quantum coherences is in good agreement with the experimental results and the hierarchy equation of motion approach. The experimental absorption, linear, and circular dichroism spectra and dephasing rates are recovered at two different temperatures. In addition, we provide an extension of our method to include zero-point fluctuations of the vibrational environment. This work thus presents, to our knowledge, one of the first steps to explain the role of excitonic quantum coherence in photosynthetic light-harvesting complexes based on their atomistic and molecular description.","author":[{"dropping-particle":"","family":"Shim","given":"Sangwoo","non-dropping-particle":"","parse-names":false,"suffix":""},{"dropping-particle":"","family":"Rebentrost","given":"Patrick","non-dropping-particle":"","parse-names":false,"suffix":""},{"dropping-particle":"","family":"Valleau","given":"Stéphanie","non-dropping-particle":"","parse-names":false,"suffix":""},{"dropping-particle":"","family":"Aspuru-Guzik","given":"Alán","non-dropping-particle":"","parse-names":false,"suffix":""}],"container-title":"Biophysical Journal","id":"ITEM-1","issue":"3","issued":{"date-parts":[["2012"]]},"page":"649-660","title":"Atomistic Study of the Long-Lived Quantum Coherences in the Fenna-Matthews-Olson Complex","type":"article-journal","volume":"102"},"uris":["http://www.mendeley.com/documents/?uuid=a3760027-39d8-4601-804a-fcfb70ba8e9b"]},{"id":"ITEM-2","itemData":{"DOI":"10.1021/jp3094935","ISSN":"15206106","PMID":"23163520","abstract":"We report a method for the structure-based calculation of the spectral density of the pigment-protein coupling in light-harvesting complexes that combines normal-mode analysis with the charge density coupling (CDC) and transition charge from electrostatic potential (TrEsp) methods for the computation of site energies and excitonic couplings, respectively. The method is applied to the Fenna-Matthews-Olson (FMO) protein in order to investigate the influence of the different parts of the spectral density as well as correlations among these contributions on the energy transfer dynamics and on the temperature-dependent decay of coherences. The fluctuations and correlations in excitonic couplings as well as the correlations between coupling and site energy fluctuations are found to be 1 order of magnitude smaller in amplitude than the site energy fluctuations. Despite considerable amplitudes of that part of the spectral density which contains correlations in site energy fluctuations, the effect of these correlations on the exciton population dynamics and dephasing of coherences is negligible. The inhomogeneous charge distribution of the protein, which causes variations in local pigment-protein coupling constants of the normal modes, is responsible for this effect. It is seen thereby that the same building principle that is used by nature to create an excitation energy funnel in the FMO protein also allows for efficient dissipation of the excitons' excess energy.","author":[{"dropping-particle":"","family":"Renger","given":"Thomas","non-dropping-particle":"","parse-names":false,"suffix":""},{"dropping-particle":"","family":"Klinger","given":"Alexander","non-dropping-particle":"","parse-names":false,"suffix":""},{"dropping-particle":"","family":"Steinecker","given":"Florian","non-dropping-particle":"","parse-names":false,"suffix":""},{"dropping-particle":"","family":"Schmidt am Busch","given":"Marcel","non-dropping-particle":"","parse-names":false,"suffix":""},{"dropping-particle":"","family":"Numata","given":"Jorge","non-dropping-particle":"","parse-names":false,"suffix":""},{"dropping-particle":"","family":"Müh","given":"Frank","non-dropping-particle":"","parse-names":false,"suffix":""}],"container-title":"Journal of Physical Chemistry B","id":"ITEM-2","issue":"50","issued":{"date-parts":[["2012","12","20"]]},"page":"14565-14580","publisher":"American Chemical Society","title":"Normal mode analysis of the spectral density of the Fenna-Matthews-olson light-harvesting protein: How the protein dissipates the excess energy of excitons","type":"article-journal","volume":"116"},"uris":["http://www.mendeley.com/documents/?uuid=3ed854a6-016e-4dc0-ae1b-8dcfec2dbffb"]},{"id":"ITEM-3","itemData":{"DOI":"10.1007/s00214-016-1954-1","ISSN":"1432881X","abstract":"Quantum transport and other phenomena are typically modeled by coupling the system of interest to an environment, or bath, held at thermal equilibrium. Realistic bath models are at least as challenging to construct as models for the quantum systems themselves, since they must incorporate many degrees of freedom that interact with the system on a wide range of timescales. Owing to computational limitations, the environment is often modeled with simple functional forms, with a few parameters fit to experiment to yield semi-quantitative results. Growing computational resources have enabled the construction of more realistic bath models from molecular dynamics (MD) simulations. In this paper, we develop a numerical technique to construct these atomistic bath models with better accuracy and decreased cost. We apply a novel signal processing technique, known as super-resolution, combined with a dictionary of physically motivated bath modes to derive spectral densities from MD simulations. Our approach reduces the required simulation time and provides a more accurate spectral density than can be obtained via standard Fourier transform methods. Moreover, the spectral density is provided as a convenient closed-form expression which yields an analytic time-dependent bath kernel. Exciton dynamics of the Fenna--Matthews--Olson light-harvesting complex are simulated with a second-order time-convolutionless master equation, and spectral densities constructed via super-resolution are shown to reproduce the dynamics using only a quarter of the amount of MD data.","author":[{"dropping-particle":"","family":"Markovich","given":"Thomas","non-dropping-particle":"","parse-names":false,"suffix":""},{"dropping-particle":"","family":"Blau","given":"Samuel M.","non-dropping-particle":"","parse-names":false,"suffix":""},{"dropping-particle":"","family":"Parkhill","given":"John","non-dropping-particle":"","parse-names":false,"suffix":""},{"dropping-particle":"","family":"Kreisbeck","given":"Christoph","non-dropping-particle":"","parse-names":false,"suffix":""},{"dropping-particle":"","family":"Sanders","given":"Jacob N.","non-dropping-particle":"","parse-names":false,"suffix":""},{"dropping-particle":"","family":"Andrade","given":"Xavier","non-dropping-particle":"","parse-names":false,"suffix":""},{"dropping-particle":"","family":"Aspuru-Guzik","given":"Alán","non-dropping-particle":"","parse-names":false,"suffix":""}],"container-title":"Theoretical Chemistry Accounts","id":"ITEM-3","issue":"9","issued":{"date-parts":[["2016"]]},"page":"1-8","publisher":"Springer Berlin Heidelberg","title":"Accelerating the computation of bath spectral densities with super-resolution","type":"article-journal","volume":"135"},"uris":["http://www.mendeley.com/documents/?uuid=74fedf2c-0054-49ba-9c92-c3d15437e14a","http://www.mendeley.com/documents/?uuid=023f5656-12e2-4fe0-add0-43dd49fa8bc3"]}],"mendeley":{"formattedCitation":"&lt;sup&gt;12,33,34&lt;/sup&gt;","plainTextFormattedCitation":"12,33,34","previouslyFormattedCitation":"&lt;sup&gt;12,33,34&lt;/sup&gt;"},"properties":{"noteIndex":0},"schema":"https://github.com/citation-style-language/schema/raw/master/csl-citation.json"}</w:instrText>
      </w:r>
      <w:r w:rsidR="00B86EEA" w:rsidRPr="00BC6787">
        <w:rPr>
          <w:rFonts w:eastAsia="Cambria" w:cs="Times New Roman"/>
          <w:szCs w:val="24"/>
        </w:rPr>
        <w:fldChar w:fldCharType="separate"/>
      </w:r>
      <w:r w:rsidR="00912E63" w:rsidRPr="00912E63">
        <w:rPr>
          <w:rFonts w:eastAsia="Cambria" w:cs="Times New Roman"/>
          <w:noProof/>
          <w:vertAlign w:val="superscript"/>
        </w:rPr>
        <w:t>12,33,34</w:t>
      </w:r>
      <w:r w:rsidR="00B86EEA" w:rsidRPr="00BC6787">
        <w:fldChar w:fldCharType="end"/>
      </w:r>
      <w:r w:rsidR="15FEE7EC" w:rsidRPr="00BC6787">
        <w:rPr>
          <w:rFonts w:eastAsia="Cambria" w:cs="Times New Roman"/>
        </w:rPr>
        <w:t xml:space="preserve"> However, other work has criticised the development of these parameters for lacking detailed validation against experimental structure data</w:t>
      </w:r>
      <w:r w:rsidR="00A53CA0" w:rsidRPr="00BC6787">
        <w:rPr>
          <w:rFonts w:eastAsia="Cambria" w:cs="Times New Roman"/>
        </w:rPr>
        <w:t xml:space="preserve"> and so</w:t>
      </w:r>
      <w:r w:rsidR="15FEE7EC" w:rsidRPr="00BC6787">
        <w:rPr>
          <w:rFonts w:eastAsia="Cambria" w:cs="Times New Roman"/>
        </w:rPr>
        <w:t xml:space="preserve"> developed </w:t>
      </w:r>
      <w:r w:rsidR="15FEE7EC" w:rsidRPr="00BC6787">
        <w:rPr>
          <w:rFonts w:eastAsia="Cambria" w:cs="Times New Roman"/>
        </w:rPr>
        <w:lastRenderedPageBreak/>
        <w:t>more validated parameters for the AMBER FF of the chromophores (and other cofactors) of the photosystem II (PSII) complex.</w:t>
      </w:r>
      <w:r w:rsidR="00B86EEA" w:rsidRPr="00BC6787">
        <w:fldChar w:fldCharType="begin" w:fldLock="1"/>
      </w:r>
      <w:r w:rsidR="000C038E">
        <w:rPr>
          <w:rFonts w:eastAsia="Cambria" w:cs="Times New Roman"/>
          <w:szCs w:val="24"/>
        </w:rPr>
        <w:instrText>ADDIN CSL_CITATION {"citationItems":[{"id":"ITEM-1","itemData":{"DOI":"10.1002/jcc.23016","ISSN":"01928651","author":[{"dropping-particle":"","family":"Zhang","given":"Lu","non-dropping-particle":"","parse-names":false,"suffix":""},{"dropping-particle":"","family":"Silva","given":"Daniel-Adriano","non-dropping-particle":"","parse-names":false,"suffix":""},{"dropping-particle":"","family":"Yan","given":"YiJing","non-dropping-particle":"","parse-names":false,"suffix":""},{"dropping-particle":"","family":"Huang","given":"Xuhui","non-dropping-particle":"","parse-names":false,"suffix":""}],"container-title":"Journal of Computational Chemistry","id":"ITEM-1","issue":"25","issued":{"date-parts":[["2012","9","30"]]},"page":"1969-1980","publisher":"Wiley Subscription Services, Inc., A Wiley Company","title":"Force field development for cofactors in the photosystem II","type":"article-journal","volume":"33"},"uris":["http://www.mendeley.com/documents/?uuid=4b703627-d5b6-3466-bfe0-355e34ba9f5f"]}],"mendeley":{"formattedCitation":"&lt;sup&gt;35&lt;/sup&gt;","plainTextFormattedCitation":"35","previouslyFormattedCitation":"&lt;sup&gt;35&lt;/sup&gt;"},"properties":{"noteIndex":0},"schema":"https://github.com/citation-style-language/schema/raw/master/csl-citation.json"}</w:instrText>
      </w:r>
      <w:r w:rsidR="00B86EEA" w:rsidRPr="00BC6787">
        <w:rPr>
          <w:rFonts w:eastAsia="Cambria" w:cs="Times New Roman"/>
          <w:szCs w:val="24"/>
        </w:rPr>
        <w:fldChar w:fldCharType="separate"/>
      </w:r>
      <w:r w:rsidR="00912E63" w:rsidRPr="00912E63">
        <w:rPr>
          <w:rFonts w:eastAsia="Cambria" w:cs="Times New Roman"/>
          <w:noProof/>
          <w:vertAlign w:val="superscript"/>
        </w:rPr>
        <w:t>35</w:t>
      </w:r>
      <w:r w:rsidR="00B86EEA" w:rsidRPr="00BC6787">
        <w:fldChar w:fldCharType="end"/>
      </w:r>
      <w:r w:rsidR="15FEE7EC" w:rsidRPr="00BC6787">
        <w:rPr>
          <w:rFonts w:eastAsia="Cambria" w:cs="Times New Roman"/>
          <w:b/>
          <w:bCs/>
        </w:rPr>
        <w:t xml:space="preserve"> </w:t>
      </w:r>
      <w:r w:rsidR="15FEE7EC" w:rsidRPr="00BC6787">
        <w:rPr>
          <w:rFonts w:eastAsia="Cambria" w:cs="Times New Roman"/>
        </w:rPr>
        <w:t>The resulting FFs of this work have also been used in the calculation of pigment spectral density.</w:t>
      </w:r>
      <w:r w:rsidR="00D73E0B" w:rsidRPr="00BC6787">
        <w:fldChar w:fldCharType="begin" w:fldLock="1"/>
      </w:r>
      <w:r w:rsidR="000C038E">
        <w:rPr>
          <w:rFonts w:eastAsia="Cambria" w:cs="Times New Roman"/>
          <w:szCs w:val="24"/>
        </w:rPr>
        <w:instrText>ADDIN CSL_CITATION {"citationItems":[{"id":"ITEM-1","itemData":{"DOI":"10.1021/acs.jctc.5b00891","ISSN":"1549-9618","author":[{"dropping-particle":"","family":"Rosnik","given":"Andreana M","non-dropping-particle":"","parse-names":false,"suffix":""},{"dropping-particle":"","family":"Curutchet","given":"Carles","non-dropping-particle":"","parse-names":false,"suffix":""}],"container-title":"Journal of Chemical Theory and Computation","id":"ITEM-1","issue":"12","issued":{"date-parts":[["2015","12","8"]]},"note":"doi: 10.1021/acs.jctc.5b00891","page":"5826-5837","publisher":"American Chemical Society","title":"Theoretical Characterization of the Spectral Density of the Water-Soluble Chlorophyll-Binding Protein from Combined Quantum Mechanics/Molecular Mechanics Molecular Dynamics Simulations","type":"article-journal","volume":"11"},"uris":["http://www.mendeley.com/documents/?uuid=7e32bcdc-e3c4-4888-8d9b-8e4660d211f9","http://www.mendeley.com/documents/?uuid=a364d306-583a-481f-816f-35e59da36c29"]}],"mendeley":{"formattedCitation":"&lt;sup&gt;36&lt;/sup&gt;","plainTextFormattedCitation":"36","previouslyFormattedCitation":"&lt;sup&gt;36&lt;/sup&gt;"},"properties":{"noteIndex":0},"schema":"https://github.com/citation-style-language/schema/raw/master/csl-citation.json"}</w:instrText>
      </w:r>
      <w:r w:rsidR="00D73E0B" w:rsidRPr="00BC6787">
        <w:rPr>
          <w:rFonts w:eastAsia="Cambria" w:cs="Times New Roman"/>
          <w:szCs w:val="24"/>
        </w:rPr>
        <w:fldChar w:fldCharType="separate"/>
      </w:r>
      <w:r w:rsidR="00912E63" w:rsidRPr="00912E63">
        <w:rPr>
          <w:rFonts w:eastAsia="Cambria" w:cs="Times New Roman"/>
          <w:noProof/>
          <w:vertAlign w:val="superscript"/>
        </w:rPr>
        <w:t>36</w:t>
      </w:r>
      <w:r w:rsidR="00D73E0B" w:rsidRPr="00BC6787">
        <w:fldChar w:fldCharType="end"/>
      </w:r>
      <w:r w:rsidR="00D73E0B" w:rsidRPr="00BC6787">
        <w:rPr>
          <w:rFonts w:eastAsia="Cambria" w:cs="Times New Roman"/>
        </w:rPr>
        <w:t xml:space="preserve"> </w:t>
      </w:r>
      <w:r w:rsidR="00451D1A" w:rsidRPr="00BC6787">
        <w:rPr>
          <w:rFonts w:cs="Times New Roman"/>
        </w:rPr>
        <w:t>However, multiple studies have shown</w:t>
      </w:r>
      <w:r w:rsidR="54F65C56" w:rsidRPr="00BC6787">
        <w:rPr>
          <w:rFonts w:cs="Times New Roman"/>
        </w:rPr>
        <w:t xml:space="preserve"> the FF used for the chromophore(s) affects the resulting spectral density.</w:t>
      </w:r>
      <w:r w:rsidR="00451D1A" w:rsidRPr="00BC6787">
        <w:fldChar w:fldCharType="begin" w:fldLock="1"/>
      </w:r>
      <w:r w:rsidR="000C038E">
        <w:rPr>
          <w:rFonts w:cs="Times New Roman"/>
        </w:rPr>
        <w:instrText>ADDIN CSL_CITATION {"citationItems":[{"id":"ITEM-1","itemData":{"DOI":"10.1021/jz3012029","ISBN":"1948-7185","ISSN":"19487185","abstract":"Recent experiments on light-harvesting complexes at ambient temperatures display oscillatory signals in two-dimensional spectroscopy. They suggest mechanisms supporting coherent exciton transport through molecular networks in noisy environments. We demonstrate a mechanism that relies on the continuum properties of the vibronic spectral density. We employ the spectral density of the Fenna?Matthews?Olson (FMO) complex and perform a nonperturbative calculation of two-dimensional spectra. They display long-lasting electronic coherence up to 0.3 ps at a temperature of 277 K. Two important properties of the spectral density found in the FMO complex emerge; (i) the coupling to higher-frequency vibrations is large, as required for efficient transport toward the reaction center, and (ii) the slope of the spectral density at zero frequency approaches zero. We demonstrate that electronic coherence and fast thermalization depend sensitively on the continuum part of the spectral density but can be simultaneously realized in molecular networks.\\nRecent experiments on light-harvesting complexes at ambient temperatures display oscillatory signals in two-dimensional spectroscopy. They suggest mechanisms supporting coherent exciton transport through molecular networks in noisy environments. We demonstrate a mechanism that relies on the continuum properties of the vibronic spectral density. We employ the spectral density of the Fenna?Matthews?Olson (FMO) complex and perform a nonperturbative calculation of two-dimensional spectra. They display long-lasting electronic coherence up to 0.3 ps at a temperature of 277 K. Two important properties of the spectral density found in the FMO complex emerge; (i) the coupling to higher-frequency vibrations is large, as required for efficient transport toward the reaction center, and (ii) the slope of the spectral density at zero frequency approaches zero. We demonstrate that electronic coherence and fast thermalization depend sensitively on the continuum part of the spectral density but can be simultaneously realized in molecular networks.","author":[{"dropping-particle":"","family":"Kreisbeck","given":"Christoph","non-dropping-particle":"","parse-names":false,"suffix":""},{"dropping-particle":"","family":"Kramer","given":"Tobias","non-dropping-particle":"","parse-names":false,"suffix":""}],"container-title":"Journal of Physical Chemistry Letters","id":"ITEM-1","issue":"19","issued":{"date-parts":[["2012","10","4"]]},"page":"2828-2833","publisher":"American Chemical Society","title":"Long-lived electronic coherence in dissipative exciton dynamics of light-harvesting complexes","type":"article-journal","volume":"3"},"uris":["http://www.mendeley.com/documents/?uuid=9d5d5ab2-12dc-38c4-b6a4-5d61c5808e5e"]},{"id":"ITEM-2","itemData":{"DOI":"10.1021/acs.jpclett.5b01141","ISSN":"19487185","abstract":"System−bath interactions in nonadiabatic simulations are often depicted by first performing molecular dynamics calculations and then by evaluating excitation energies at the trajectory snapshots. Usually, molecular mechanics models and quantum chemical calculations are used in a mixed manner toward a trade-off between efficiency and accuracy. Here we investigate how this mixing scheme affects that depiction by using various potential energy surfaces (PESs) of coumarin-153 chromophore, with the help of interpolated PESs that can closely match the accuracies of quantum chemical calculations. We find that although spectral densities are computed only with second stage data the PES characteristics during the first sampling stage can still prevail in the densities, with limited influences on related reorganization energies. Our results suggest that using the mixed scheme can be acceptable when dynamics is mainly governed by the integrated effect of all phonon modes, but care must be taken for understanding detailed effects from individual modes. N onadiabatic processes involving multiple quantum states take place in many interesting chemical phenomena such as exciton migration, photodynamic relaxation, and electron/ proton transfer. It is known that the interactions of the quantum system with its environment can play important roles in these processes. Because treating large systems in a fully quantum mechanical manner is practically impossible, researchers have developed various approximate methods. For electronic transitions, the nuclei are often considered as classical particles, and only the electronic subsystem is treated quantum mechanically. For this purpose, the collection of the vibrational modes of the entire system is often modeled as harmonic phonon bath from the viewpoint of the electronic subsystem. The spectral density is the effective profile of system−bath or exciton−phonon coupling in the frequency domain, and it provides information about how the system affects and is affected by the nuclear motions. 1 Indeed, it serves as a key quantity for describing exciton−phonon interactions in many density matrix-based approaches. 2−5 The spectral density can be obtained both by experiments 6 and by computations. 7,8","author":[{"dropping-particle":"","family":"Kim","given":"Chang Woo","non-dropping-particle":"","parse-names":false,"suffix":""},{"dropping-particle":"","family":"Park","given":"Jae Woo","non-dropping-particle":"","parse-names":false,"suffix":""},{"dropping-particle":"","family":"Rhee","given":"Young Min","non-dropping-particle":"","parse-names":false,"suffix":""}],"container-title":"Journal of Physical Chemistry Letters","id":"ITEM-2","issue":"15","issued":{"date-parts":[["2015","8","6"]]},"page":"2875-2880","publisher":"American Chemical Society","title":"Effect of Chromophore Potential Model on the Description of Exciton-Phonon Interactions","type":"article-journal","volume":"6"},"uris":["http://www.mendeley.com/documents/?uuid=d8ee1bfd-71f0-3f6b-a079-6e7d776928ea"]},{"id":"ITEM-3","itemData":{"DOI":"10.1039/C5CP03891J","ISSN":"1463-9076","abstract":"We elucidate the difference between various parameter extraction methods and demonstrate sensitivity to molecular dynamics equilibration.","author":[{"dropping-particle":"","family":"Wang","given":"Xiaoqing","non-dropping-particle":"","parse-names":false,"suffix":""},{"dropping-particle":"","family":"Ritschel","given":"Gerhard","non-dropping-particle":"","parse-names":false,"suffix":""},{"dropping-particle":"","family":"Wüster","given":"Sebastian","non-dropping-particle":"","parse-names":false,"suffix":""},{"dropping-particle":"","family":"Eisfeld","given":"Alexander","non-dropping-particle":"","parse-names":false,"suffix":""}],"container-title":"Physical Chemistry Chemical Physics","id":"ITEM-3","issue":"38","issued":{"date-parts":[["2015"]]},"page":"25629-25641","publisher":"The Royal Society of Chemistry","title":"Open quantum system parameters for light harvesting complexes from molecular dynamics","type":"article-journal","volume":"17"},"uris":["http://www.mendeley.com/documents/?uuid=d57fa583-8e75-30c5-8f7e-a0fdf286fc98"]},{"id":"ITEM-4","itemData":{"DOI":"10.1021/jp3094935","ISSN":"1520-6106","abstract":"We report a method for the structure-based calculation of the spectral density of the pigment–protein coupling in light-harvesting complexes that combines normal-mode analysis with the charge density coupling (CDC) and transition charge from electrostatic potential (TrEsp) methods for the computation of site energies and excitonic couplings, respectively. The method is applied to the Fenna–Matthews–Olson (FMO) protein in order to investigate the influence of the different parts of the spectral density as well as correlations among these contributions on the energy transfer dynamics and on the temperature-dependent decay of coherences. The fluctuations and correlations in excitonic couplings as well as the correlations between coupling and site energy fluctuations are found to be 1 order of magnitude smaller in amplitude than the site energy fluctuations. Despite considerable amplitudes of that part of the spectral density which contains correlations in site energy fluctuations, the effect of these correla...","author":[{"dropping-particle":"","family":"Renger","given":"Thomas","non-dropping-particle":"","parse-names":false,"suffix":""},{"dropping-particle":"","family":"Klinger","given":"Alexander","non-dropping-particle":"","parse-names":false,"suffix":""},{"dropping-particle":"","family":"Steinecker","given":"Florian","non-dropping-particle":"","parse-names":false,"suffix":""},{"dropping-particle":"","family":"Schmidt am Busch","given":"Marcel","non-dropping-particle":"","parse-names":false,"suffix":""},{"dropping-particle":"","family":"Numata","given":"Jorge","non-dropping-particle":"","parse-names":false,"suffix":""},{"dropping-particle":"","family":"Müh","given":"Frank","non-dropping-particle":"","parse-names":false,"suffix":""}],"container-title":"The Journal of Physical Chemistry B","id":"ITEM-4","issue":"50","issued":{"date-parts":[["2012","12","20"]]},"page":"14565-14580","publisher":"American Chemical Society","title":"Normal Mode Analysis of the Spectral Density of the Fenna–Matthews–Olson Light-Harvesting Protein: How the Protein Dissipates the Excess Energy of Excitons","type":"article-journal","volume":"116"},"uris":["http://www.mendeley.com/documents/?uuid=c783aa51-6f84-3883-b93a-b688fbf7bcfc"]},{"id":"ITEM-5","itemData":{"DOI":"10.1021/acs.jpcb.5b03654","ISSN":"1520-6106","abstract":"Studies on light-harvesting (LH) systems have attracted much attention after the finding of long-lived quantum coherences in the exciton dynamics of the Fenna–Matthews–Olson (FMO) complex. In this complex, excitation energy transfer occurs between the bacteriochlorophyll a (BChl a) pigments. Two quantum mechanics/molecular mechanics (QM/MM) studies, each with a different force-field and quantum chemistry approach, reported different excitation energy distributions for the FMO complex. To understand the reasons for these differences in the predicted excitation energies, we have carried out a comparative study between the simulations using the CHARMM and AMBER force field and the Zerner intermediate neglect of differential orbital (ZINDO)/S and time-dependent density functional theory (TDDFT) quantum chemistry methods. The calculations using the CHARMM force field together with ZINDO/S or TDDFT always show a wider spread in the energy distribution compared to those using the AMBER force field. High- or low-...","author":[{"dropping-particle":"","family":"Chandrasekaran","given":"Suryanarayanan","non-dropping-particle":"","parse-names":false,"suffix":""},{"dropping-particle":"","family":"Aghtar","given":"Mortaza","non-dropping-particle":"","parse-names":false,"suffix":""},{"dropping-particle":"","family":"Valleau","given":"Stéphanie","non-dropping-particle":"","parse-names":false,"suffix":""},{"dropping-particle":"","family":"Aspuru-Guzik","given":"Alán","non-dropping-particle":"","parse-names":false,"suffix":""},{"dropping-particle":"","family":"Kleinekathöfer","given":"Ulrich","non-dropping-particle":"","parse-names":false,"suffix":""}],"container-title":"The Journal of Physical Chemistry B","id":"ITEM-5","issue":"31","issued":{"date-parts":[["2015","8","6"]]},"page":"9995-10004","publisher":"American Chemical Society","title":"Influence of Force Fields and Quantum Chemistry Approach on Spectral Densities of BChl &lt;i&gt;a&lt;/i&gt; in Solution and in FMO Proteins","type":"article-journal","volume":"119"},"uris":["http://www.mendeley.com/documents/?uuid=ddc4f109-be08-3f17-88b3-3377549aea01"]}],"mendeley":{"formattedCitation":"&lt;sup&gt;13,37–40&lt;/sup&gt;","plainTextFormattedCitation":"13,37–40","previouslyFormattedCitation":"&lt;sup&gt;13,37–40&lt;/sup&gt;"},"properties":{"noteIndex":0},"schema":"https://github.com/citation-style-language/schema/raw/master/csl-citation.json"}</w:instrText>
      </w:r>
      <w:r w:rsidR="00451D1A" w:rsidRPr="00BC6787">
        <w:rPr>
          <w:rFonts w:cs="Times New Roman"/>
        </w:rPr>
        <w:fldChar w:fldCharType="separate"/>
      </w:r>
      <w:r w:rsidR="00912E63" w:rsidRPr="00912E63">
        <w:rPr>
          <w:rFonts w:cs="Times New Roman"/>
          <w:noProof/>
          <w:vertAlign w:val="superscript"/>
        </w:rPr>
        <w:t>13,37–40</w:t>
      </w:r>
      <w:r w:rsidR="00451D1A" w:rsidRPr="00BC6787">
        <w:fldChar w:fldCharType="end"/>
      </w:r>
      <w:r w:rsidR="00D81ED5" w:rsidRPr="00BC6787">
        <w:rPr>
          <w:rFonts w:cs="Times New Roman"/>
        </w:rPr>
        <w:t xml:space="preserve"> An error appears </w:t>
      </w:r>
      <w:r w:rsidR="00A53CA0" w:rsidRPr="00BC6787">
        <w:rPr>
          <w:rFonts w:cs="Times New Roman"/>
        </w:rPr>
        <w:t>due to</w:t>
      </w:r>
      <w:r w:rsidR="00D81ED5" w:rsidRPr="00BC6787">
        <w:rPr>
          <w:rFonts w:cs="Times New Roman"/>
        </w:rPr>
        <w:t xml:space="preserve"> the inconsistency between the equilibrium structures </w:t>
      </w:r>
      <w:r w:rsidR="00974DBD" w:rsidRPr="00BC6787">
        <w:rPr>
          <w:rFonts w:cs="Times New Roman"/>
        </w:rPr>
        <w:t xml:space="preserve">generated by the FF and </w:t>
      </w:r>
      <w:r w:rsidR="00AC6A73" w:rsidRPr="00BC6787">
        <w:rPr>
          <w:rFonts w:cs="Times New Roman"/>
        </w:rPr>
        <w:t xml:space="preserve">those of the QC computation of the excitation </w:t>
      </w:r>
      <w:r w:rsidR="00DC21C4" w:rsidRPr="00BC6787">
        <w:rPr>
          <w:rFonts w:cs="Times New Roman"/>
        </w:rPr>
        <w:t>energy,</w:t>
      </w:r>
      <w:r w:rsidR="00974DBD" w:rsidRPr="00BC6787">
        <w:rPr>
          <w:rFonts w:cs="Times New Roman"/>
        </w:rPr>
        <w:t xml:space="preserve"> resulting in a spectral density which incorrectly describes the electronic-nuclear interaction.</w:t>
      </w:r>
      <w:r w:rsidR="00DC21C4" w:rsidRPr="00BC6787">
        <w:rPr>
          <w:rFonts w:cs="Times New Roman"/>
        </w:rPr>
        <w:t xml:space="preserve"> This problem is referred to as the geometry mismatch. In order to combat this problem,</w:t>
      </w:r>
      <w:r w:rsidR="54F65C56" w:rsidRPr="00BC6787">
        <w:rPr>
          <w:rFonts w:eastAsia="Cambria" w:cs="Times New Roman"/>
        </w:rPr>
        <w:t xml:space="preserve"> several FFs of carotenoids</w:t>
      </w:r>
      <w:r w:rsidR="00AE5EF1" w:rsidRPr="00BC6787">
        <w:fldChar w:fldCharType="begin" w:fldLock="1"/>
      </w:r>
      <w:r w:rsidR="000C038E">
        <w:rPr>
          <w:rFonts w:eastAsia="Cambria" w:cs="Times New Roman"/>
          <w:szCs w:val="24"/>
        </w:rPr>
        <w:instrText>ADDIN CSL_CITATION {"citationItems":[{"id":"ITEM-1","itemData":{"DOI":"10.1002/jcc.24286","ISSN":"01928651","author":[{"dropping-particle":"","family":"Prandi","given":"Ingrid G.","non-dropping-particle":"","parse-names":false,"suffix":""},{"dropping-particle":"","family":"Viani","given":"Lucas","non-dropping-particle":"","parse-names":false,"suffix":""},{"dropping-particle":"","family":"Andreussi","given":"Oliviero","non-dropping-particle":"","parse-names":false,"suffix":""},{"dropping-particle":"","family":"Mennucci","given":"Benedetta","non-dropping-particle":"","parse-names":false,"suffix":""}],"container-title":"Journal of Computational Chemistry","id":"ITEM-1","issue":"11","issued":{"date-parts":[["2016","4","30"]]},"page":"981-991","title":"Combining classical molecular dynamics and quantum mechanical methods for the description of electronic excitations: The case of carotenoids","type":"article-journal","volume":"37"},"uris":["http://www.mendeley.com/documents/?uuid=6d0af576-fbb0-3983-ba58-e85f01926aad"]}],"mendeley":{"formattedCitation":"&lt;sup&gt;41&lt;/sup&gt;","plainTextFormattedCitation":"41","previouslyFormattedCitation":"&lt;sup&gt;41&lt;/sup&gt;"},"properties":{"noteIndex":0},"schema":"https://github.com/citation-style-language/schema/raw/master/csl-citation.json"}</w:instrText>
      </w:r>
      <w:r w:rsidR="00AE5EF1" w:rsidRPr="00BC6787">
        <w:rPr>
          <w:rFonts w:eastAsia="Cambria" w:cs="Times New Roman"/>
          <w:szCs w:val="24"/>
        </w:rPr>
        <w:fldChar w:fldCharType="separate"/>
      </w:r>
      <w:r w:rsidR="00912E63" w:rsidRPr="00912E63">
        <w:rPr>
          <w:rFonts w:eastAsia="Cambria" w:cs="Times New Roman"/>
          <w:noProof/>
          <w:vertAlign w:val="superscript"/>
        </w:rPr>
        <w:t>41</w:t>
      </w:r>
      <w:r w:rsidR="00AE5EF1" w:rsidRPr="00BC6787">
        <w:fldChar w:fldCharType="end"/>
      </w:r>
      <w:r w:rsidR="54F65C56" w:rsidRPr="00BC6787">
        <w:rPr>
          <w:rFonts w:eastAsia="Cambria" w:cs="Times New Roman"/>
          <w:b/>
          <w:bCs/>
        </w:rPr>
        <w:t xml:space="preserve"> </w:t>
      </w:r>
      <w:r w:rsidR="54F65C56" w:rsidRPr="00BC6787">
        <w:rPr>
          <w:rFonts w:eastAsia="Cambria" w:cs="Times New Roman"/>
        </w:rPr>
        <w:t>and an apocarotenoid FF</w:t>
      </w:r>
      <w:r w:rsidR="00AE5EF1" w:rsidRPr="00BC6787">
        <w:fldChar w:fldCharType="begin" w:fldLock="1"/>
      </w:r>
      <w:r w:rsidR="000C038E">
        <w:rPr>
          <w:rFonts w:eastAsia="Cambria" w:cs="Times New Roman"/>
          <w:szCs w:val="24"/>
        </w:rPr>
        <w:instrText>ADDIN CSL_CITATION {"citationItems":[{"id":"ITEM-1","itemData":{"DOI":"10.1021/acs.jctc.7b00777","ISSN":"15499626","abstract":"Classical molecular dynamics is more and more often coupled to quantum mechanical based techniques as a statistical tool to sample configurations of molecular systems embedded in complex environments. Nonetheless, the classical potentials describing the molecular systems are seldom parametrized to reproduce electronic processes, such as electronic excitations, which are instead very sensitive to the underlining description of the molecular structure. Here, we analyze the challenging case of the peridinin molecule, a natural apocarotenoid responsible for the light-harvesting process in the PCP antenna protein of dinoflagellates. Ground-state structural and vibrational properties, as well as electronic transitions of the pigment are studied by means of quantum-mechanical static and dynamic calculations. Thereafter, classical molecular dynamics simulations are performed with a number of different force-fields, ranging from a popular, general purpose one to refined potentials of increasing level of complexity...","author":[{"dropping-particle":"","family":"Andreussi","given":"Oliviero","non-dropping-particle":"","parse-names":false,"suffix":""},{"dropping-particle":"","family":"Prandi","given":"Ingrid G.","non-dropping-particle":"","parse-names":false,"suffix":""},{"dropping-particle":"","family":"Campetella","given":"Marco","non-dropping-particle":"","parse-names":false,"suffix":""},{"dropping-particle":"","family":"Prampolini","given":"Giacomo","non-dropping-particle":"","parse-names":false,"suffix":""},{"dropping-particle":"","family":"Mennucci","given":"Benedetta","non-dropping-particle":"","parse-names":false,"suffix":""}],"container-title":"Journal of Chemical Theory and Computation","id":"ITEM-1","issue":"10","issued":{"date-parts":[["2017"]]},"page":"4636-4648","title":"Classical Force Fields Tailored for QM Applications: Is It Really a Feasible Strategy?","type":"article-journal","volume":"13"},"uris":["http://www.mendeley.com/documents/?uuid=3ff8e5a7-e7b7-4edb-a9b1-07ce67d605c7"]}],"mendeley":{"formattedCitation":"&lt;sup&gt;42&lt;/sup&gt;","plainTextFormattedCitation":"42","previouslyFormattedCitation":"&lt;sup&gt;42&lt;/sup&gt;"},"properties":{"noteIndex":0},"schema":"https://github.com/citation-style-language/schema/raw/master/csl-citation.json"}</w:instrText>
      </w:r>
      <w:r w:rsidR="00AE5EF1" w:rsidRPr="00BC6787">
        <w:rPr>
          <w:rFonts w:eastAsia="Cambria" w:cs="Times New Roman"/>
          <w:szCs w:val="24"/>
        </w:rPr>
        <w:fldChar w:fldCharType="separate"/>
      </w:r>
      <w:r w:rsidR="00912E63" w:rsidRPr="00912E63">
        <w:rPr>
          <w:rFonts w:eastAsia="Cambria" w:cs="Times New Roman"/>
          <w:noProof/>
          <w:vertAlign w:val="superscript"/>
        </w:rPr>
        <w:t>42</w:t>
      </w:r>
      <w:r w:rsidR="00AE5EF1" w:rsidRPr="00BC6787">
        <w:fldChar w:fldCharType="end"/>
      </w:r>
      <w:r w:rsidR="54F65C56" w:rsidRPr="00BC6787">
        <w:rPr>
          <w:rFonts w:eastAsia="Cambria" w:cs="Times New Roman"/>
        </w:rPr>
        <w:t xml:space="preserve"> have been created which reproduce well the QC structural properties. </w:t>
      </w:r>
      <w:r w:rsidR="00A53CA0" w:rsidRPr="00BC6787">
        <w:rPr>
          <w:rFonts w:eastAsia="Cambria" w:cs="Times New Roman"/>
        </w:rPr>
        <w:t xml:space="preserve">Although these FFs were found to </w:t>
      </w:r>
      <w:r w:rsidR="003A388B" w:rsidRPr="00BC6787">
        <w:rPr>
          <w:rFonts w:eastAsia="Cambria" w:cs="Times New Roman"/>
        </w:rPr>
        <w:t>reduce the geometry mismatch error</w:t>
      </w:r>
      <w:r w:rsidR="54F65C56" w:rsidRPr="00BC6787">
        <w:rPr>
          <w:rFonts w:eastAsia="Cambria" w:cs="Times New Roman"/>
        </w:rPr>
        <w:t>, th</w:t>
      </w:r>
      <w:r w:rsidR="003A388B" w:rsidRPr="00BC6787">
        <w:rPr>
          <w:rFonts w:eastAsia="Cambria" w:cs="Times New Roman"/>
        </w:rPr>
        <w:t>e parameterisation</w:t>
      </w:r>
      <w:r w:rsidR="54F65C56" w:rsidRPr="00BC6787">
        <w:rPr>
          <w:rFonts w:eastAsia="Cambria" w:cs="Times New Roman"/>
        </w:rPr>
        <w:t xml:space="preserve"> requires time consuming QC calculations and</w:t>
      </w:r>
      <w:r w:rsidR="003A388B" w:rsidRPr="00BC6787">
        <w:rPr>
          <w:rFonts w:eastAsia="Cambria" w:cs="Times New Roman"/>
        </w:rPr>
        <w:t xml:space="preserve"> </w:t>
      </w:r>
      <w:r w:rsidR="54F65C56" w:rsidRPr="00BC6787">
        <w:rPr>
          <w:rFonts w:eastAsia="Cambria" w:cs="Times New Roman"/>
        </w:rPr>
        <w:t>manual</w:t>
      </w:r>
      <w:r w:rsidR="003A388B" w:rsidRPr="00BC6787">
        <w:rPr>
          <w:rFonts w:eastAsia="Cambria" w:cs="Times New Roman"/>
        </w:rPr>
        <w:t xml:space="preserve"> input</w:t>
      </w:r>
      <w:r w:rsidR="54F65C56" w:rsidRPr="00BC6787">
        <w:rPr>
          <w:rFonts w:eastAsia="Cambria" w:cs="Times New Roman"/>
        </w:rPr>
        <w:t xml:space="preserve">, thus if one wishes to investigate a number of PPCs, containing different pigments, the effort and time required to develop such FFs is impractical. </w:t>
      </w:r>
      <w:r w:rsidR="00B97161" w:rsidRPr="00BC6787">
        <w:rPr>
          <w:rFonts w:eastAsia="Cambria" w:cs="Times New Roman"/>
        </w:rPr>
        <w:t>Another method to avoid the problem of the geometry mismatch was proposed by Lee and Coker,</w:t>
      </w:r>
      <w:r w:rsidR="00B97161" w:rsidRPr="00BC6787">
        <w:rPr>
          <w:rFonts w:eastAsia="Cambria" w:cs="Times New Roman"/>
        </w:rPr>
        <w:fldChar w:fldCharType="begin" w:fldLock="1"/>
      </w:r>
      <w:r w:rsidR="000C038E">
        <w:rPr>
          <w:rFonts w:eastAsia="Cambria" w:cs="Times New Roman"/>
        </w:rPr>
        <w:instrText>ADDIN CSL_CITATION {"citationItems":[{"id":"ITEM-1","itemData":{"DOI":"10.1021/acs.jpclett.6b01440","ISSN":"19487185","abstract":"An accurate approach for computing intermolec-ular and intrachromophore contributions to spectral densities to describe the electronic−nuclear interactions relevant for modeling excitation energy transfer processes in light harvesting systems is presented. The approach is based on molecular dynamics (MD) calculations of classical correlation functions of long-range contributions to excitation energy fluctuations and a separate harmonic analysis and single-point gradient quantum calculations for electron−intrachromophore vibrational cou-plings. A simple model is also presented that enables detailed analysis of the shortcomings of standard MD-based excitation energy fluctuation correlation function approaches. The method introduced here avoids these problems, and its reliability is demonstrated in accurate predictions for bacteriochlorophyll molecules in the Fenna−Matthews−Olson pigment−protein complex, where excellent agreement with experimental spectral densities is found. This efficient approach can provide instantaneous spectral densities for treating the influence of fluctuations in environmental dissipation on fast electronic relaxation. L ight harvesting pigment−protein complexes (PPC) 1−4 of plants, bacteria, and algae boast near-unit efficiencies for transferring absorbed photon energy through molecular excitation energy transfer (EET) to reaction centers where energy transduction, through charge separation, is initiated. Regardless of how the PPC chromophore network is excited, e.g., using a coherent laser, or with incoherent sunlight, and how the energy is transferred, e.g., coherently or incoherently, the interaction between the fast electronic and the slower nuclear degrees of freedom plays a crucial role not only in determining the energy transfer rates, but also the pathways to minimize energy loss. EET dynamics not only depend on the network's electronic eigenstate (exciton) energies and their extent of delocalization, but it also significantly depends on the coupling between the electronic and phonon-like protein motions for electronic energy dissipation, and on the coupling between the electronic and intramolecular (or intrachromo-phore) vibrations to describe quantum vibronic states. For systems with closely spaced exciton states, such as the Fenna− Matthews−Olson (FMO) complex, the lower frequency intermolecular environmental modes are resonant with many of the excitonic energy gaps and can assist relaxation and drive EET. For other co…","author":[{"dropping-particle":"","family":"Lee","given":"Mi Kyung","non-dropping-particle":"","parse-names":false,"suffix":""},{"dropping-particle":"","family":"Coker","given":"David F.","non-dropping-particle":"","parse-names":false,"suffix":""}],"container-title":"Journal of Physical Chemistry Letters","id":"ITEM-1","issue":"16","issued":{"date-parts":[["2016"]]},"page":"3171-3178","title":"Modeling Electronic-Nuclear Interactions for Excitation Energy Transfer Processes in Light-Harvesting Complexes","type":"article-journal","volume":"7"},"uris":["http://www.mendeley.com/documents/?uuid=6ad9bf88-78e0-4bd7-be76-c9b10f36aa50"]}],"mendeley":{"formattedCitation":"&lt;sup&gt;16&lt;/sup&gt;","plainTextFormattedCitation":"16","previouslyFormattedCitation":"&lt;sup&gt;16&lt;/sup&gt;"},"properties":{"noteIndex":0},"schema":"https://github.com/citation-style-language/schema/raw/master/csl-citation.json"}</w:instrText>
      </w:r>
      <w:r w:rsidR="00B97161" w:rsidRPr="00BC6787">
        <w:rPr>
          <w:rFonts w:eastAsia="Cambria" w:cs="Times New Roman"/>
        </w:rPr>
        <w:fldChar w:fldCharType="separate"/>
      </w:r>
      <w:r w:rsidR="00912E63" w:rsidRPr="00912E63">
        <w:rPr>
          <w:rFonts w:eastAsia="Cambria" w:cs="Times New Roman"/>
          <w:noProof/>
          <w:vertAlign w:val="superscript"/>
        </w:rPr>
        <w:t>16</w:t>
      </w:r>
      <w:r w:rsidR="00B97161" w:rsidRPr="00BC6787">
        <w:rPr>
          <w:rFonts w:eastAsia="Cambria" w:cs="Times New Roman"/>
        </w:rPr>
        <w:fldChar w:fldCharType="end"/>
      </w:r>
      <w:r w:rsidR="00E34E8C" w:rsidRPr="00BC6787">
        <w:rPr>
          <w:rFonts w:eastAsia="Cambria" w:cs="Times New Roman"/>
        </w:rPr>
        <w:t xml:space="preserve"> and later adopted by Padula et al</w:t>
      </w:r>
      <w:r w:rsidR="00E34E8C" w:rsidRPr="00BC6787">
        <w:rPr>
          <w:rFonts w:eastAsia="Cambria" w:cs="Times New Roman"/>
        </w:rPr>
        <w:fldChar w:fldCharType="begin" w:fldLock="1"/>
      </w:r>
      <w:r w:rsidR="000C038E">
        <w:rPr>
          <w:rFonts w:eastAsia="Cambria" w:cs="Times New Roman"/>
        </w:rPr>
        <w:instrText>ADDIN CSL_CITATION {"citationItems":[{"id":"ITEM-1","itemData":{"DOI":"10.1021/acs.jpcb.7b08020","abstract":"In this paper, we adopt an approach suitable for monitoring the time evolution of the intramolecular contribution to the spectral density of a set of identical chromophores embedded in their respective environments. We apply the proposed method to the Fenna−Matthews− Olson (FMO) complex, with the objective to quantify the differences among site-dependent spectral densities and the impact of such differences on the exciton dynamics of the system. Our approach takes advantage of the vertical gradient approximation to reduce the computational demands of the normal modes analysis. We show that the region of the spectral density that is believed to strongly influence the exciton dynamics changes significantly in the timescale of tens of nanoseconds. We then studied the impact of the intramolecular vibrations on the exciton dynamics by considering a model of FMO in a vibronic basis and neglecting the interaction with the environment to isolate the role of the intramolecular exciton-vibration coupling. In agreement with the assumptions in the literature, we demonstrate that high frequency modes at energy much larger than the excitonic energy splitting have negligible influence on exciton dynamics despite the large exciton−vibration coupling. We also find that the impact of including the site-dependent spectral densities on exciton dynamics is not very significant, indicating that it may be acceptable to apply the same spectral density on all sites. However, care needs to be taken for the description of the exciton−vibrational coupling in the low frequency part of intramolecular modes because exciton dynamics is more susceptible to low frequency modes despite their small Huang−Rhys factors.","author":[{"dropping-particle":"","family":"Padula","given":"Daniele","non-dropping-particle":"","parse-names":false,"suffix":""},{"dropping-particle":"","family":"Lee","given":"Myeong H","non-dropping-particle":"","parse-names":false,"suffix":""},{"dropping-particle":"","family":"Claridge","given":"Kirsten","non-dropping-particle":"","parse-names":false,"suffix":""},{"dropping-particle":"","family":"Troisi","given":"Alessandro","non-dropping-particle":"","parse-names":false,"suffix":""}],"container-title":"The Journal of Physical Chemistry B","id":"ITEM-1","issue":"43","issued":{"date-parts":[["2017"]]},"page":"10026-10035","title":"Chromophore-Dependent Intramolecular Exciton−Vibrational Coupling in the FMO Complex: Quantification and Importance for Exciton Dynamics","type":"article-journal","volume":"121"},"uris":["http://www.mendeley.com/documents/?uuid=2c35084c-20e4-33ca-a374-b37fac09744f"]}],"mendeley":{"formattedCitation":"&lt;sup&gt;43&lt;/sup&gt;","plainTextFormattedCitation":"43","previouslyFormattedCitation":"&lt;sup&gt;43&lt;/sup&gt;"},"properties":{"noteIndex":0},"schema":"https://github.com/citation-style-language/schema/raw/master/csl-citation.json"}</w:instrText>
      </w:r>
      <w:r w:rsidR="00E34E8C" w:rsidRPr="00BC6787">
        <w:rPr>
          <w:rFonts w:eastAsia="Cambria" w:cs="Times New Roman"/>
        </w:rPr>
        <w:fldChar w:fldCharType="separate"/>
      </w:r>
      <w:r w:rsidR="00912E63" w:rsidRPr="00912E63">
        <w:rPr>
          <w:rFonts w:eastAsia="Cambria" w:cs="Times New Roman"/>
          <w:noProof/>
          <w:vertAlign w:val="superscript"/>
        </w:rPr>
        <w:t>43</w:t>
      </w:r>
      <w:r w:rsidR="00E34E8C" w:rsidRPr="00BC6787">
        <w:rPr>
          <w:rFonts w:eastAsia="Cambria" w:cs="Times New Roman"/>
        </w:rPr>
        <w:fldChar w:fldCharType="end"/>
      </w:r>
      <w:r w:rsidR="00B97161" w:rsidRPr="00BC6787">
        <w:rPr>
          <w:rFonts w:eastAsia="Cambria" w:cs="Times New Roman"/>
        </w:rPr>
        <w:t xml:space="preserve"> in which </w:t>
      </w:r>
      <w:r w:rsidR="00674883" w:rsidRPr="00BC6787">
        <w:rPr>
          <w:rFonts w:eastAsia="Cambria" w:cs="Times New Roman"/>
        </w:rPr>
        <w:t>the quantum intramolecular vibrational modes are computed directly and the lower frequency intermolecular modes are incorporated through analytical electrostatic interactions.</w:t>
      </w:r>
      <w:r w:rsidR="00B97161" w:rsidRPr="00BC6787">
        <w:rPr>
          <w:rFonts w:eastAsia="Cambria" w:cs="Times New Roman"/>
        </w:rPr>
        <w:t xml:space="preserve"> </w:t>
      </w:r>
      <w:r w:rsidR="00674883" w:rsidRPr="00BC6787">
        <w:rPr>
          <w:rFonts w:eastAsia="Cambria" w:cs="Times New Roman"/>
        </w:rPr>
        <w:t>An alternative approach to allow the computation of multiple PPC spectral densities, would be to develop</w:t>
      </w:r>
      <w:r w:rsidR="54F65C56" w:rsidRPr="00BC6787">
        <w:rPr>
          <w:rFonts w:eastAsia="Cambria" w:cs="Times New Roman"/>
        </w:rPr>
        <w:t xml:space="preserve"> a method</w:t>
      </w:r>
      <w:r w:rsidRPr="00BC6787">
        <w:rPr>
          <w:rFonts w:eastAsia="Cambria" w:cs="Times New Roman"/>
        </w:rPr>
        <w:t xml:space="preserve"> specifically aiming to produce</w:t>
      </w:r>
      <w:r w:rsidR="54F65C56" w:rsidRPr="00BC6787">
        <w:rPr>
          <w:rFonts w:eastAsia="Cambria" w:cs="Times New Roman"/>
        </w:rPr>
        <w:t xml:space="preserve"> FFs</w:t>
      </w:r>
      <w:r w:rsidR="0076098D" w:rsidRPr="00BC6787">
        <w:rPr>
          <w:rFonts w:eastAsia="Cambria" w:cs="Times New Roman"/>
        </w:rPr>
        <w:t xml:space="preserve"> consistent with the QC part of the calculation</w:t>
      </w:r>
      <w:r w:rsidRPr="00BC6787">
        <w:rPr>
          <w:rFonts w:eastAsia="Cambria" w:cs="Times New Roman"/>
        </w:rPr>
        <w:t xml:space="preserve"> for use in PPC spectral density studies</w:t>
      </w:r>
      <w:r w:rsidR="0076098D" w:rsidRPr="00BC6787">
        <w:rPr>
          <w:rFonts w:eastAsia="Cambria" w:cs="Times New Roman"/>
        </w:rPr>
        <w:t>.</w:t>
      </w:r>
    </w:p>
    <w:p w14:paraId="2076297D" w14:textId="33256673" w:rsidR="00866AB6" w:rsidRPr="00BC6787" w:rsidRDefault="00083F28" w:rsidP="00674883">
      <w:pPr>
        <w:ind w:firstLine="720"/>
        <w:rPr>
          <w:rFonts w:cs="Times New Roman"/>
        </w:rPr>
      </w:pPr>
      <w:r w:rsidRPr="00BC6787">
        <w:rPr>
          <w:rFonts w:cs="Times New Roman"/>
        </w:rPr>
        <w:t>We propose f</w:t>
      </w:r>
      <w:r w:rsidR="00C25B80" w:rsidRPr="00BC6787">
        <w:rPr>
          <w:rFonts w:cs="Times New Roman"/>
        </w:rPr>
        <w:t>orce matching</w:t>
      </w:r>
      <w:r w:rsidR="00C343CD" w:rsidRPr="00BC6787">
        <w:rPr>
          <w:rFonts w:cs="Times New Roman"/>
        </w:rPr>
        <w:t xml:space="preserve"> </w:t>
      </w:r>
      <w:r w:rsidRPr="00BC6787">
        <w:rPr>
          <w:rFonts w:cs="Times New Roman"/>
        </w:rPr>
        <w:t>a</w:t>
      </w:r>
      <w:r w:rsidR="00C343CD" w:rsidRPr="00BC6787">
        <w:rPr>
          <w:rFonts w:cs="Times New Roman"/>
        </w:rPr>
        <w:t>s the ideal method to produce the desired consistency.</w:t>
      </w:r>
      <w:r w:rsidR="00622B47" w:rsidRPr="00BC6787">
        <w:rPr>
          <w:rFonts w:cs="Times New Roman"/>
        </w:rPr>
        <w:t xml:space="preserve"> </w:t>
      </w:r>
      <w:r w:rsidR="00C343CD" w:rsidRPr="00BC6787">
        <w:rPr>
          <w:rFonts w:cs="Times New Roman"/>
        </w:rPr>
        <w:t>The</w:t>
      </w:r>
      <w:r w:rsidR="00622B47" w:rsidRPr="00BC6787">
        <w:rPr>
          <w:rFonts w:cs="Times New Roman"/>
        </w:rPr>
        <w:t xml:space="preserve"> method</w:t>
      </w:r>
      <w:r w:rsidR="00C343CD" w:rsidRPr="00BC6787">
        <w:rPr>
          <w:rFonts w:cs="Times New Roman"/>
        </w:rPr>
        <w:t xml:space="preserve"> was</w:t>
      </w:r>
      <w:r w:rsidR="00622B47" w:rsidRPr="00BC6787">
        <w:rPr>
          <w:rFonts w:cs="Times New Roman"/>
        </w:rPr>
        <w:t xml:space="preserve"> dev</w:t>
      </w:r>
      <w:r w:rsidR="00EF2711" w:rsidRPr="00BC6787">
        <w:rPr>
          <w:rFonts w:cs="Times New Roman"/>
        </w:rPr>
        <w:t>ised</w:t>
      </w:r>
      <w:r w:rsidR="00622B47" w:rsidRPr="00BC6787">
        <w:rPr>
          <w:rFonts w:cs="Times New Roman"/>
        </w:rPr>
        <w:t xml:space="preserve"> by </w:t>
      </w:r>
      <w:proofErr w:type="spellStart"/>
      <w:r w:rsidR="00622B47" w:rsidRPr="00BC6787">
        <w:rPr>
          <w:rFonts w:cs="Times New Roman"/>
        </w:rPr>
        <w:t>Ercolessi</w:t>
      </w:r>
      <w:proofErr w:type="spellEnd"/>
      <w:r w:rsidR="00622B47" w:rsidRPr="00BC6787">
        <w:rPr>
          <w:rFonts w:cs="Times New Roman"/>
        </w:rPr>
        <w:t xml:space="preserve"> and Adams for the </w:t>
      </w:r>
      <w:r w:rsidR="00EF2711" w:rsidRPr="00BC6787">
        <w:rPr>
          <w:rFonts w:cs="Times New Roman"/>
        </w:rPr>
        <w:t>development of interatomic potentials</w:t>
      </w:r>
      <w:r w:rsidR="00EF2711" w:rsidRPr="00BC6787">
        <w:rPr>
          <w:rFonts w:cs="Times New Roman"/>
        </w:rPr>
        <w:fldChar w:fldCharType="begin" w:fldLock="1"/>
      </w:r>
      <w:r w:rsidR="000C038E">
        <w:rPr>
          <w:rFonts w:cs="Times New Roman"/>
        </w:rPr>
        <w:instrText>ADDIN CSL_CITATION {"citationItems":[{"id":"ITEM-1","itemData":{"abstract":"We present a new scheme to extract numerically optimal interatomic potentials from large amounts of data produced by first-principles calculations. The method is based on fitting the potential to ab initio atomic forces of many atomic configurations, including surfaces, clusters, liquids and crystals at finite temperature. The extensive data set overcomes the difficulties encountered by traditional fitting approaches when using rich and complex analytic forms, allowing to construct potentials with a degree of accuracy comparable to that obtained by ab initio methods. A glue potential for aluminium obtained with this method is presented and discussed.","author":[{"dropping-particle":"","family":"Ercolessi","given":"Furio","non-dropping-particle":"","parse-names":false,"suffix":""},{"dropping-particle":"","family":"Adams","given":"James B","non-dropping-particle":"","parse-names":false,"suffix":""}],"container-title":"Europhys. Lett","id":"ITEM-1","issue":"8","issued":{"date-parts":[["1994"]]},"page":"583-588","title":"Interatomic Potentials from First-Principles Calculations: The Force-Matching Method","type":"article-journal","volume":"26"},"uris":["http://www.mendeley.com/documents/?uuid=8038203e-d72c-3643-ad35-dfdd2d3e902a"]}],"mendeley":{"formattedCitation":"&lt;sup&gt;44&lt;/sup&gt;","plainTextFormattedCitation":"44","previouslyFormattedCitation":"&lt;sup&gt;44&lt;/sup&gt;"},"properties":{"noteIndex":0},"schema":"https://github.com/citation-style-language/schema/raw/master/csl-citation.json"}</w:instrText>
      </w:r>
      <w:r w:rsidR="00EF2711" w:rsidRPr="00BC6787">
        <w:rPr>
          <w:rFonts w:cs="Times New Roman"/>
        </w:rPr>
        <w:fldChar w:fldCharType="separate"/>
      </w:r>
      <w:r w:rsidR="00912E63" w:rsidRPr="00912E63">
        <w:rPr>
          <w:rFonts w:cs="Times New Roman"/>
          <w:noProof/>
          <w:vertAlign w:val="superscript"/>
        </w:rPr>
        <w:t>44</w:t>
      </w:r>
      <w:r w:rsidR="00EF2711" w:rsidRPr="00BC6787">
        <w:rPr>
          <w:rFonts w:cs="Times New Roman"/>
        </w:rPr>
        <w:fldChar w:fldCharType="end"/>
      </w:r>
      <w:r w:rsidR="00D75EFD" w:rsidRPr="00BC6787">
        <w:rPr>
          <w:rFonts w:cs="Times New Roman"/>
        </w:rPr>
        <w:t xml:space="preserve"> </w:t>
      </w:r>
      <w:r w:rsidR="00C343CD" w:rsidRPr="00BC6787">
        <w:rPr>
          <w:rFonts w:cs="Times New Roman"/>
        </w:rPr>
        <w:t>and has since</w:t>
      </w:r>
      <w:r w:rsidR="00D75EFD" w:rsidRPr="00BC6787">
        <w:rPr>
          <w:rFonts w:cs="Times New Roman"/>
        </w:rPr>
        <w:t xml:space="preserve"> been </w:t>
      </w:r>
      <w:r w:rsidR="00C343CD" w:rsidRPr="00BC6787">
        <w:rPr>
          <w:rFonts w:cs="Times New Roman"/>
        </w:rPr>
        <w:t>applied to a</w:t>
      </w:r>
      <w:r w:rsidR="00D75EFD" w:rsidRPr="00BC6787">
        <w:rPr>
          <w:rFonts w:cs="Times New Roman"/>
        </w:rPr>
        <w:t xml:space="preserve"> range of systems</w:t>
      </w:r>
      <w:r w:rsidR="00C343CD" w:rsidRPr="00BC6787">
        <w:rPr>
          <w:rFonts w:cs="Times New Roman"/>
        </w:rPr>
        <w:t>,</w:t>
      </w:r>
      <w:r w:rsidR="00D75EFD" w:rsidRPr="00BC6787">
        <w:rPr>
          <w:rFonts w:cs="Times New Roman"/>
        </w:rPr>
        <w:t xml:space="preserve"> including </w:t>
      </w:r>
      <w:r w:rsidR="00D90B6F" w:rsidRPr="00BC6787">
        <w:rPr>
          <w:rFonts w:cs="Times New Roman"/>
        </w:rPr>
        <w:t xml:space="preserve">developing </w:t>
      </w:r>
      <w:r w:rsidR="007B4040" w:rsidRPr="00BC6787">
        <w:rPr>
          <w:rFonts w:cs="Times New Roman"/>
        </w:rPr>
        <w:t>interatomic potentials for Zr-Cu</w:t>
      </w:r>
      <w:r w:rsidR="007B4040" w:rsidRPr="00BC6787">
        <w:rPr>
          <w:rFonts w:cs="Times New Roman"/>
        </w:rPr>
        <w:fldChar w:fldCharType="begin" w:fldLock="1"/>
      </w:r>
      <w:r w:rsidR="000C038E">
        <w:rPr>
          <w:rFonts w:cs="Times New Roman"/>
        </w:rPr>
        <w:instrText>ADDIN CSL_CITATION {"citationItems":[{"id":"ITEM-1","itemData":{"DOI":"10.1103/PhysRevB.78.014207","ISSN":"1098-0121","author":[{"dropping-particle":"","family":"Cheng","given":"Y. Q.","non-dropping-particle":"","parse-names":false,"suffix":""},{"dropping-particle":"","family":"Sheng","given":"H. W.","non-dropping-particle":"","parse-names":false,"suffix":""},{"dropping-particle":"","family":"Ma","given":"E.","non-dropping-particle":"","parse-names":false,"suffix":""}],"container-title":"Physical Review B","id":"ITEM-1","issue":"1","issued":{"date-parts":[["2008","7","30"]]},"page":"014207","publisher":"American Physical Society","title":"Relationship between structure, dynamics, and mechanical properties in metallic glass-forming alloys","type":"article-journal","volume":"78"},"uris":["http://www.mendeley.com/documents/?uuid=f508f146-e2ba-3ee7-958d-f92dc982b022"]}],"mendeley":{"formattedCitation":"&lt;sup&gt;45&lt;/sup&gt;","plainTextFormattedCitation":"45","previouslyFormattedCitation":"&lt;sup&gt;45&lt;/sup&gt;"},"properties":{"noteIndex":0},"schema":"https://github.com/citation-style-language/schema/raw/master/csl-citation.json"}</w:instrText>
      </w:r>
      <w:r w:rsidR="007B4040" w:rsidRPr="00BC6787">
        <w:rPr>
          <w:rFonts w:cs="Times New Roman"/>
        </w:rPr>
        <w:fldChar w:fldCharType="separate"/>
      </w:r>
      <w:r w:rsidR="00912E63" w:rsidRPr="00912E63">
        <w:rPr>
          <w:rFonts w:cs="Times New Roman"/>
          <w:noProof/>
          <w:vertAlign w:val="superscript"/>
        </w:rPr>
        <w:t>45</w:t>
      </w:r>
      <w:r w:rsidR="007B4040" w:rsidRPr="00BC6787">
        <w:rPr>
          <w:rFonts w:cs="Times New Roman"/>
        </w:rPr>
        <w:fldChar w:fldCharType="end"/>
      </w:r>
      <w:r w:rsidR="007B4040" w:rsidRPr="00BC6787">
        <w:rPr>
          <w:rFonts w:cs="Times New Roman"/>
        </w:rPr>
        <w:t xml:space="preserve"> and Mg</w:t>
      </w:r>
      <w:r w:rsidR="00D90B6F" w:rsidRPr="00BC6787">
        <w:rPr>
          <w:rFonts w:cs="Times New Roman"/>
        </w:rPr>
        <w:t>,</w:t>
      </w:r>
      <w:r w:rsidR="007B4040" w:rsidRPr="00BC6787">
        <w:rPr>
          <w:rFonts w:cs="Times New Roman"/>
        </w:rPr>
        <w:fldChar w:fldCharType="begin" w:fldLock="1"/>
      </w:r>
      <w:r w:rsidR="000C038E">
        <w:rPr>
          <w:rFonts w:cs="Times New Roman"/>
        </w:rPr>
        <w:instrText>ADDIN CSL_CITATION {"citationItems":[{"id":"ITEM-1","itemData":{"DOI":"10.1088/0965-0393/4/3/004","ISSN":"0965-0393","author":[{"dropping-particle":"","family":"Liu","given":"Xiang-Yang","non-dropping-particle":"","parse-names":false,"suffix":""},{"dropping-particle":"","family":"Adams","given":"James B","non-dropping-particle":"","parse-names":false,"suffix":""},{"dropping-particle":"","family":"Ercolessi","given":"Furio","non-dropping-particle":"","parse-names":false,"suffix":""},{"dropping-particle":"","family":"Moriarty","given":"John A","non-dropping-particle":"","parse-names":false,"suffix":""}],"container-title":"Modelling and Simulation in Materials Science and Engineering","id":"ITEM-1","issue":"3","issued":{"date-parts":[["1996","5","1"]]},"page":"293-303","publisher":"IOP Publishing","title":"EAM potential for magnesium from quantum mechanical forces","type":"article-journal","volume":"4"},"uris":["http://www.mendeley.com/documents/?uuid=ccbb1723-ed76-3b26-a924-9281acd9c62d"]}],"mendeley":{"formattedCitation":"&lt;sup&gt;46&lt;/sup&gt;","plainTextFormattedCitation":"46","previouslyFormattedCitation":"&lt;sup&gt;46&lt;/sup&gt;"},"properties":{"noteIndex":0},"schema":"https://github.com/citation-style-language/schema/raw/master/csl-citation.json"}</w:instrText>
      </w:r>
      <w:r w:rsidR="007B4040" w:rsidRPr="00BC6787">
        <w:rPr>
          <w:rFonts w:cs="Times New Roman"/>
        </w:rPr>
        <w:fldChar w:fldCharType="separate"/>
      </w:r>
      <w:r w:rsidR="00912E63" w:rsidRPr="00912E63">
        <w:rPr>
          <w:rFonts w:cs="Times New Roman"/>
          <w:noProof/>
          <w:vertAlign w:val="superscript"/>
        </w:rPr>
        <w:t>46</w:t>
      </w:r>
      <w:r w:rsidR="007B4040" w:rsidRPr="00BC6787">
        <w:rPr>
          <w:rFonts w:cs="Times New Roman"/>
        </w:rPr>
        <w:fldChar w:fldCharType="end"/>
      </w:r>
      <w:r w:rsidR="00D90B6F" w:rsidRPr="00BC6787">
        <w:rPr>
          <w:rFonts w:cs="Times New Roman"/>
        </w:rPr>
        <w:t xml:space="preserve"> </w:t>
      </w:r>
      <w:r w:rsidR="00C343CD" w:rsidRPr="00BC6787">
        <w:rPr>
          <w:rFonts w:cs="Times New Roman"/>
        </w:rPr>
        <w:t>flexible water model potentials,</w:t>
      </w:r>
      <w:r w:rsidRPr="00BC6787">
        <w:rPr>
          <w:rFonts w:cs="Times New Roman"/>
        </w:rPr>
        <w:fldChar w:fldCharType="begin" w:fldLock="1"/>
      </w:r>
      <w:r w:rsidR="000C038E">
        <w:rPr>
          <w:rFonts w:cs="Times New Roman"/>
        </w:rPr>
        <w:instrText>ADDIN CSL_CITATION {"citationItems":[{"id":"ITEM-1","itemData":{"DOI":"10.1016/J.CPC.2010.12.004","ISSN":"0010-4655","abstract":"In the last years the force matching algorithm has appeared to be a promising method for deriving next generation classical force fields. Recently it has been successfully utilized to parameterize new water models based on pairwise potentials. In this contribution we will present a refined version of the method which has been applied to parameterize a new force field for flexible water. Static and dynamical properties of the new water model reproduce fairly well the ab initio results. This enriched version of the method could possibly be applied to produce a fully flexible force field for any molecular systems where intramolecular motion plays a central role.","author":[{"dropping-particle":"","family":"Sala","given":"Jonàs","non-dropping-particle":"","parse-names":false,"suffix":""},{"dropping-particle":"","family":"Guàrdia","given":"Elvira","non-dropping-particle":"","parse-names":false,"suffix":""},{"dropping-particle":"","family":"Masia","given":"Marco","non-dropping-particle":"","parse-names":false,"suffix":""}],"container-title":"Computer Physics Communications","id":"ITEM-1","issue":"9","issued":{"date-parts":[["2011","9","1"]]},"page":"1954-1957","publisher":"North-Holland","title":"Improving the force matching algorithm: Application to a simple point charge flexible model of water","type":"article-journal","volume":"182"},"uris":["http://www.mendeley.com/documents/?uuid=b509d850-e19d-3e0f-a908-3b267967d160"]}],"mendeley":{"formattedCitation":"&lt;sup&gt;47&lt;/sup&gt;","plainTextFormattedCitation":"47","previouslyFormattedCitation":"&lt;sup&gt;47&lt;/sup&gt;"},"properties":{"noteIndex":0},"schema":"https://github.com/citation-style-language/schema/raw/master/csl-citation.json"}</w:instrText>
      </w:r>
      <w:r w:rsidRPr="00BC6787">
        <w:rPr>
          <w:rFonts w:cs="Times New Roman"/>
        </w:rPr>
        <w:fldChar w:fldCharType="separate"/>
      </w:r>
      <w:r w:rsidR="00912E63" w:rsidRPr="00912E63">
        <w:rPr>
          <w:rFonts w:cs="Times New Roman"/>
          <w:noProof/>
          <w:vertAlign w:val="superscript"/>
        </w:rPr>
        <w:t>47</w:t>
      </w:r>
      <w:r w:rsidRPr="00BC6787">
        <w:rPr>
          <w:rFonts w:cs="Times New Roman"/>
        </w:rPr>
        <w:fldChar w:fldCharType="end"/>
      </w:r>
      <w:r w:rsidR="00C343CD" w:rsidRPr="00BC6787">
        <w:rPr>
          <w:rFonts w:cs="Times New Roman"/>
        </w:rPr>
        <w:t xml:space="preserve"> </w:t>
      </w:r>
      <w:r w:rsidR="00D90B6F" w:rsidRPr="00BC6787">
        <w:rPr>
          <w:rFonts w:cs="Times New Roman"/>
        </w:rPr>
        <w:t>creating FFs for semiconducting polymers,</w:t>
      </w:r>
      <w:r w:rsidR="00D90B6F" w:rsidRPr="00BC6787">
        <w:rPr>
          <w:rFonts w:cs="Times New Roman"/>
        </w:rPr>
        <w:fldChar w:fldCharType="begin" w:fldLock="1"/>
      </w:r>
      <w:r w:rsidR="000C038E">
        <w:rPr>
          <w:rFonts w:cs="Times New Roman"/>
        </w:rPr>
        <w:instrText>ADDIN CSL_CITATION {"citationItems":[{"id":"ITEM-1","itemData":{"DOI":"10.1039/c5cp04328j","ISSN":"1463-9084","PMID":"26349916","abstract":"A rapid method to parameterize the intramolecular component of classical force fields for complex conjugated molecules is proposed. The method is based on a procedure of force matching with a reference electronic structure calculation. It is particularly suitable for those applications where molecular dynamics simulations are used to generate structures that are therefore analysed by electronic structure methods, because it is possible to build force fields that are consistent with electronic structure calculations that follow classical simulations. Such applications are commonly encountered in organic electronics, spectroscopy of complex systems and photobiology (e.g. photosynthetic systems). We illustrate the method by parameterizing the force fields of a molecule used in molecular semiconductors (2,2-dicyanovinyl-capped S,N-heteropentacene or DCV-SN5), a polymeric semiconductor (thieno[3,2-b]thiophene-diketopyrrolopyrrole TT-DPP) and a chromophore embedded in a protein environment (15,16-dihydrobiliverdin or DBV) where several hundreds of parameters need to be optimized in parallel.","author":[{"dropping-particle":"","family":"Do","given":"Hainam","non-dropping-particle":"","parse-names":false,"suffix":""},{"dropping-particle":"","family":"Troisi","given":"Alessandro","non-dropping-particle":"","parse-names":false,"suffix":""}],"container-title":"Physical Chemistry Chemical Physics","id":"ITEM-1","issue":"38","issued":{"date-parts":[["2015","10","14"]]},"language":"en","page":"25123-32","publisher":"The Royal Society of Chemistry","title":"Developing accurate molecular mechanics force fields for conjugated molecular systems.","type":"article-journal","volume":"17"},"uris":["http://www.mendeley.com/documents/?uuid=d400ccbc-83b5-451b-87b4-52cc67976ab3"]}],"mendeley":{"formattedCitation":"&lt;sup&gt;48&lt;/sup&gt;","plainTextFormattedCitation":"48","previouslyFormattedCitation":"&lt;sup&gt;48&lt;/sup&gt;"},"properties":{"noteIndex":0},"schema":"https://github.com/citation-style-language/schema/raw/master/csl-citation.json"}</w:instrText>
      </w:r>
      <w:r w:rsidR="00D90B6F" w:rsidRPr="00BC6787">
        <w:rPr>
          <w:rFonts w:cs="Times New Roman"/>
        </w:rPr>
        <w:fldChar w:fldCharType="separate"/>
      </w:r>
      <w:r w:rsidR="00912E63" w:rsidRPr="00912E63">
        <w:rPr>
          <w:rFonts w:cs="Times New Roman"/>
          <w:noProof/>
          <w:vertAlign w:val="superscript"/>
        </w:rPr>
        <w:t>48</w:t>
      </w:r>
      <w:r w:rsidR="00D90B6F" w:rsidRPr="00BC6787">
        <w:rPr>
          <w:rFonts w:cs="Times New Roman"/>
        </w:rPr>
        <w:fldChar w:fldCharType="end"/>
      </w:r>
      <w:r w:rsidR="00D90B6F" w:rsidRPr="00BC6787">
        <w:rPr>
          <w:rFonts w:cs="Times New Roman"/>
        </w:rPr>
        <w:t xml:space="preserve">  </w:t>
      </w:r>
      <w:r w:rsidR="007B4040" w:rsidRPr="00BC6787">
        <w:rPr>
          <w:rFonts w:cs="Times New Roman"/>
        </w:rPr>
        <w:t xml:space="preserve">generating </w:t>
      </w:r>
      <w:r w:rsidR="00D90B6F" w:rsidRPr="00BC6787">
        <w:rPr>
          <w:rFonts w:cs="Times New Roman"/>
        </w:rPr>
        <w:t>free energy surfaces for chemical reactions</w:t>
      </w:r>
      <w:r w:rsidR="00D90B6F" w:rsidRPr="00BC6787">
        <w:rPr>
          <w:rFonts w:cs="Times New Roman"/>
        </w:rPr>
        <w:fldChar w:fldCharType="begin" w:fldLock="1"/>
      </w:r>
      <w:r w:rsidR="000C038E">
        <w:rPr>
          <w:rFonts w:cs="Times New Roman"/>
        </w:rPr>
        <w:instrText>ADDIN CSL_CITATION {"citationItems":[{"id":"ITEM-1","itemData":{"DOI":"10.1021/acs.jctc.7b01266","abstract":"We demonstrate the capability of creating robust density functional tight binding (DFTB) models for chemical reactivity in prebiotic mixtures through force matching to short time scale quantum free energy estimates. Molecular dynamics using density functional theory (DFT) is a highly accurate approach to generate free energy surfaces for chemical reactions, but the extreme computational cost often limits the time scales and range of thermodynamic states that can feasibly be studied. In contrast, DFTB is a semiempirical quantum method that affords up to a thousandfold reduction in cost and can recover DFT-level accuracy. Here, we show that a force-matched DFTB model for aqueous glycine condensation reactions yields free energy surfaces that are consistent with experimental observations of reaction energetics. Convergence analysis reveals that multiple nanoseconds of combined trajectory are needed to reach a steady-fluctuating free energy estimate for glycine condensation. Predictive accuracy of force-matched DFTB is demonstrated by direct comparison to DFT, with the two approaches yielding surfaces with large regions that differ by only a few kcal mol −1 .","author":[{"dropping-particle":"","family":"Kroonblawd","given":"Matthew P","non-dropping-particle":"","parse-names":false,"suffix":""},{"dropping-particle":"","family":"Pietrucci","given":"Fabio","non-dropping-particle":"","parse-names":false,"suffix":""},{"dropping-particle":"","family":"Saitta","given":"Antonino Marco","non-dropping-particle":"","parse-names":false,"suffix":""},{"dropping-particle":"","family":"Goldman","given":"Nir","non-dropping-particle":"","parse-names":false,"suffix":""}],"container-title":"Journal of Chemical Theory and Computation","id":"ITEM-1","issue":"4","issued":{"date-parts":[["2018"]]},"page":"2207-2218","title":"Generating Converged Accurate Free Energy Surfaces for Chemical Reactions with a Force-Matched Semiempirical Model","type":"article-journal","volume":"14"},"uris":["http://www.mendeley.com/documents/?uuid=6964f89f-9668-30e0-8627-118914623a17"]}],"mendeley":{"formattedCitation":"&lt;sup&gt;49&lt;/sup&gt;","plainTextFormattedCitation":"49","previouslyFormattedCitation":"&lt;sup&gt;49&lt;/sup&gt;"},"properties":{"noteIndex":0},"schema":"https://github.com/citation-style-language/schema/raw/master/csl-citation.json"}</w:instrText>
      </w:r>
      <w:r w:rsidR="00D90B6F" w:rsidRPr="00BC6787">
        <w:rPr>
          <w:rFonts w:cs="Times New Roman"/>
        </w:rPr>
        <w:fldChar w:fldCharType="separate"/>
      </w:r>
      <w:r w:rsidR="00912E63" w:rsidRPr="00912E63">
        <w:rPr>
          <w:rFonts w:cs="Times New Roman"/>
          <w:noProof/>
          <w:vertAlign w:val="superscript"/>
        </w:rPr>
        <w:t>49</w:t>
      </w:r>
      <w:r w:rsidR="00D90B6F" w:rsidRPr="00BC6787">
        <w:rPr>
          <w:rFonts w:cs="Times New Roman"/>
        </w:rPr>
        <w:fldChar w:fldCharType="end"/>
      </w:r>
      <w:r w:rsidR="00D90B6F" w:rsidRPr="00BC6787">
        <w:rPr>
          <w:rFonts w:cs="Times New Roman"/>
        </w:rPr>
        <w:t xml:space="preserve"> and most recently in the reparameterization of the single point charge water model.</w:t>
      </w:r>
      <w:r w:rsidR="00D90B6F" w:rsidRPr="00BC6787">
        <w:rPr>
          <w:rFonts w:cs="Times New Roman"/>
        </w:rPr>
        <w:fldChar w:fldCharType="begin" w:fldLock="1"/>
      </w:r>
      <w:r w:rsidR="000C038E">
        <w:rPr>
          <w:rFonts w:cs="Times New Roman"/>
        </w:rPr>
        <w:instrText>ADDIN CSL_CITATION {"citationItems":[{"id":"ITEM-1","itemData":{"DOI":"10.1021/acs.jpca.7b12726","ISSN":"15205215","abstract":"An adaptive force matching (AFM) scheme using the nonlinear optimization to reparametrize the three-site, flexible, and polarizable single-point-charge (SPC) water model is reported. We compare the radial distribution functions of the intermolecular oxygen−oxygen, oxygen−hydrogen, and hydrogen−hydrogen distances with the recent scattering experiments, the previous AFM-fitting water model (MP2f), and the atomic multipole expanded AMOEBA model. Our nonpolarizable SPC-3f(0) model captures the feature of the first solvation shell of bulk water. With the ad hoc inclusion of the isotropic polarizability, the polarizable SPC-3f(0.6) water model recovers the many-body effect of the second solvation shell. In the n-body decomposition analysis, the SPC-3f(0) model predicts the best agreement with MP2/aug-cc-pVTZ calculations with the use of the low-dimensional (H 2 O) 4 -ring and (H 2 O) 6 -ring clusters. For the comparison using the three-dimensional (H 2 O) 6 -prism and (H 2 O) 16 -4444a clusters, SPC-3f(0.6) predicts the results consistent with those of AMOEBA and MP2 levels. For simulating a water-cluster-dominant system such as supercritical water, SPC-3f(0) well characterizes the combination mode of bending and stretching at 5300 cm −1 .","author":[{"dropping-particle":"","family":"Huang","given":"I. Shou","non-dropping-particle":"","parse-names":false,"suffix":""},{"dropping-particle":"","family":"Tsai","given":"Ming Kang","non-dropping-particle":"","parse-names":false,"suffix":""}],"container-title":"Journal of Physical Chemistry A","id":"ITEM-1","issue":"19","issued":{"date-parts":[["2018","4","25"]]},"page":"4654-4662","publisher":"American Chemical Society","title":"Interplay between Polarizability and Hydrogen Bond Network of Water: Reparametrizing the Flexible Single-Point-Charge Water Model by the Nonlinear Adaptive Force Matching Approach","type":"article-journal","volume":"122"},"uris":["http://www.mendeley.com/documents/?uuid=fb1f0b34-91a1-38bd-8595-b63200e3fe7c"]}],"mendeley":{"formattedCitation":"&lt;sup&gt;50&lt;/sup&gt;","plainTextFormattedCitation":"50","previouslyFormattedCitation":"&lt;sup&gt;50&lt;/sup&gt;"},"properties":{"noteIndex":0},"schema":"https://github.com/citation-style-language/schema/raw/master/csl-citation.json"}</w:instrText>
      </w:r>
      <w:r w:rsidR="00D90B6F" w:rsidRPr="00BC6787">
        <w:rPr>
          <w:rFonts w:cs="Times New Roman"/>
        </w:rPr>
        <w:fldChar w:fldCharType="separate"/>
      </w:r>
      <w:r w:rsidR="00912E63" w:rsidRPr="00912E63">
        <w:rPr>
          <w:rFonts w:cs="Times New Roman"/>
          <w:noProof/>
          <w:vertAlign w:val="superscript"/>
        </w:rPr>
        <w:t>50</w:t>
      </w:r>
      <w:r w:rsidR="00D90B6F" w:rsidRPr="00BC6787">
        <w:rPr>
          <w:rFonts w:cs="Times New Roman"/>
        </w:rPr>
        <w:fldChar w:fldCharType="end"/>
      </w:r>
      <w:r w:rsidR="00D75EFD" w:rsidRPr="00BC6787">
        <w:rPr>
          <w:rFonts w:cs="Times New Roman"/>
        </w:rPr>
        <w:t xml:space="preserve"> </w:t>
      </w:r>
      <w:r w:rsidRPr="00BC6787">
        <w:rPr>
          <w:rFonts w:cs="Times New Roman"/>
        </w:rPr>
        <w:t>Force matching has also been combined with combined Quantum Mechanics/Molecular mechanics (QM/MM) methods to create FFs for moieties/molecular fragments.</w:t>
      </w:r>
      <w:r w:rsidRPr="00BC6787">
        <w:rPr>
          <w:rFonts w:cs="Times New Roman"/>
        </w:rPr>
        <w:fldChar w:fldCharType="begin" w:fldLock="1"/>
      </w:r>
      <w:r w:rsidR="000C038E">
        <w:rPr>
          <w:rFonts w:cs="Times New Roman"/>
        </w:rPr>
        <w:instrText>ADDIN CSL_CITATION {"citationItems":[{"id":"ITEM-1","itemData":{"DOI":"10.1021/ct600284f","abstract":"We introduce a novel procedure to parametrize biomolecular force fields. We perform finite-temperature quantum mechanics/molecular mechanics (QM/MM) molecular dynamics simulations, with the fragment or moiety that has to be parametrized being included in the QM region. By applying a force-matching algorithm, we derive a force field designed in order to reproduce the steric, electrostatic, and dynamic properties of the QM subsystem. The force field determined in this manner has an accuracy that is comparable to the one of the reference QM/MM calculation, but at a greatly reduced computational cost. This allows calculating quantities that would be prohibitive within a QM/MM approach, such as thermodynamic averages involving slow motions of a protein. The method is tested on three different systems in aqueous solution: dihydrogenphosphate, glycyl-alanine dipeptide, and a nitrosyl-dicarbonyl complex of techne-tium(I). Molecular dynamics simulations with the optimized force field show overall excellent performance in reproducing properties such as structures and dipole moments of the solutes as well as their solvation pattern.","author":[{"dropping-particle":"","family":"Maurer","given":"Patrick","non-dropping-particle":"","parse-names":false,"suffix":""},{"dropping-particle":"","family":"Laio","given":"Alessandro","non-dropping-particle":"","parse-names":false,"suffix":""},{"dropping-particle":"","family":"Hugosson","given":"Håkan W","non-dropping-particle":"","parse-names":false,"suffix":""},{"dropping-particle":"","family":"Colombo","given":"Maria Carola","non-dropping-particle":"","parse-names":false,"suffix":""},{"dropping-particle":"","family":"Rothlisberger","given":"Ursula","non-dropping-particle":"","parse-names":false,"suffix":""}],"id":"ITEM-1","issued":{"date-parts":[["2007"]]},"title":"Automated Parametrization of Biomolecular Force Fields from Quantum Mechanics/Molecular Mechanics (QM/MM) Simulations through Force Matching","type":"article-journal"},"uris":["http://www.mendeley.com/documents/?uuid=aca17dc9-ade0-303c-b2fb-b4613f752ed9"]}],"mendeley":{"formattedCitation":"&lt;sup&gt;51&lt;/sup&gt;","plainTextFormattedCitation":"51","previouslyFormattedCitation":"&lt;sup&gt;51&lt;/sup&gt;"},"properties":{"noteIndex":0},"schema":"https://github.com/citation-style-language/schema/raw/master/csl-citation.json"}</w:instrText>
      </w:r>
      <w:r w:rsidRPr="00BC6787">
        <w:rPr>
          <w:rFonts w:cs="Times New Roman"/>
        </w:rPr>
        <w:fldChar w:fldCharType="separate"/>
      </w:r>
      <w:r w:rsidR="00912E63" w:rsidRPr="00912E63">
        <w:rPr>
          <w:rFonts w:cs="Times New Roman"/>
          <w:noProof/>
          <w:vertAlign w:val="superscript"/>
        </w:rPr>
        <w:t>51</w:t>
      </w:r>
      <w:r w:rsidRPr="00BC6787">
        <w:rPr>
          <w:rFonts w:cs="Times New Roman"/>
        </w:rPr>
        <w:fldChar w:fldCharType="end"/>
      </w:r>
      <w:r w:rsidRPr="00BC6787">
        <w:rPr>
          <w:rFonts w:cs="Times New Roman"/>
        </w:rPr>
        <w:t xml:space="preserve"> Force matching is particularly advantageous in this case as FFs can be obtained </w:t>
      </w:r>
      <w:r w:rsidR="009E0BAB" w:rsidRPr="00BC6787">
        <w:rPr>
          <w:rFonts w:cs="Times New Roman"/>
        </w:rPr>
        <w:t>which take the environment into account</w:t>
      </w:r>
      <w:r w:rsidR="00866D75" w:rsidRPr="00BC6787">
        <w:rPr>
          <w:rFonts w:cs="Times New Roman"/>
        </w:rPr>
        <w:t>, additionally it effectively constrains towards chemically sensible parameters as unphysical parameters will lead to a high force</w:t>
      </w:r>
      <w:r w:rsidR="009E0BAB" w:rsidRPr="00BC6787">
        <w:rPr>
          <w:rFonts w:cs="Times New Roman"/>
        </w:rPr>
        <w:t>. As previously discussed many methods of FF generation and/or parameterisation currently exist, which have been very powerful and useful in the development of FFs for the study of new molecules. However, their implementation predominantly uses QM calculations performed in vacuum or in continuum solvent. The protein scaffold is known to distort and influence the chromophore structure, thus such data may generate FFs that are not applicable to the realistic system.</w:t>
      </w:r>
      <w:r w:rsidR="00622B47" w:rsidRPr="00BC6787">
        <w:rPr>
          <w:rFonts w:cs="Times New Roman"/>
        </w:rPr>
        <w:t xml:space="preserve"> </w:t>
      </w:r>
      <w:r w:rsidR="009E0BAB" w:rsidRPr="00BC6787">
        <w:rPr>
          <w:rFonts w:cs="Times New Roman"/>
        </w:rPr>
        <w:t>I</w:t>
      </w:r>
      <w:r w:rsidR="00622B47" w:rsidRPr="00BC6787">
        <w:rPr>
          <w:rFonts w:cs="Times New Roman"/>
        </w:rPr>
        <w:t>n this case</w:t>
      </w:r>
      <w:r w:rsidR="009A0E7D" w:rsidRPr="00BC6787">
        <w:rPr>
          <w:rFonts w:cs="Times New Roman"/>
        </w:rPr>
        <w:t>,</w:t>
      </w:r>
      <w:r w:rsidR="00D90B6F" w:rsidRPr="00BC6787">
        <w:rPr>
          <w:rFonts w:cs="Times New Roman"/>
        </w:rPr>
        <w:t xml:space="preserve"> </w:t>
      </w:r>
      <w:r w:rsidR="008868D9" w:rsidRPr="00BC6787">
        <w:rPr>
          <w:rFonts w:cs="Times New Roman"/>
        </w:rPr>
        <w:t>the difference in the forces resulting from the FF and the forces resulting from electronic structure (ES)</w:t>
      </w:r>
      <w:r w:rsidR="002F21F7" w:rsidRPr="00BC6787">
        <w:rPr>
          <w:rFonts w:cs="Times New Roman"/>
        </w:rPr>
        <w:t>,</w:t>
      </w:r>
      <w:r w:rsidR="008868D9" w:rsidRPr="00BC6787">
        <w:rPr>
          <w:rFonts w:cs="Times New Roman"/>
        </w:rPr>
        <w:t xml:space="preserve"> of each atom</w:t>
      </w:r>
      <w:r w:rsidR="002F21F7" w:rsidRPr="00BC6787">
        <w:rPr>
          <w:rFonts w:cs="Times New Roman"/>
        </w:rPr>
        <w:t xml:space="preserve"> in a collection of equilibrium</w:t>
      </w:r>
      <w:r w:rsidR="009E0BAB" w:rsidRPr="00BC6787">
        <w:rPr>
          <w:rFonts w:cs="Times New Roman"/>
        </w:rPr>
        <w:t xml:space="preserve"> structures,</w:t>
      </w:r>
      <w:r w:rsidR="002F21F7" w:rsidRPr="00BC6787">
        <w:rPr>
          <w:rFonts w:cs="Times New Roman"/>
        </w:rPr>
        <w:t xml:space="preserve"> </w:t>
      </w:r>
      <w:r w:rsidR="009E0BAB" w:rsidRPr="00BC6787">
        <w:rPr>
          <w:rFonts w:cs="Times New Roman"/>
        </w:rPr>
        <w:t>generated in the protein environment</w:t>
      </w:r>
      <w:r w:rsidR="002F21F7" w:rsidRPr="00BC6787">
        <w:rPr>
          <w:rFonts w:cs="Times New Roman"/>
        </w:rPr>
        <w:t>, are minimised</w:t>
      </w:r>
      <w:r w:rsidR="008868D9" w:rsidRPr="00BC6787">
        <w:rPr>
          <w:rFonts w:cs="Times New Roman"/>
        </w:rPr>
        <w:t xml:space="preserve"> by changing the</w:t>
      </w:r>
      <w:r w:rsidR="009E0BAB" w:rsidRPr="00BC6787">
        <w:rPr>
          <w:rFonts w:cs="Times New Roman"/>
        </w:rPr>
        <w:t xml:space="preserve"> intramolecular</w:t>
      </w:r>
      <w:r w:rsidR="008868D9" w:rsidRPr="00BC6787">
        <w:rPr>
          <w:rFonts w:cs="Times New Roman"/>
        </w:rPr>
        <w:t xml:space="preserve"> parameter values composing the FF. </w:t>
      </w:r>
      <w:r w:rsidR="009E0BAB" w:rsidRPr="00BC6787">
        <w:rPr>
          <w:rFonts w:cs="Times New Roman"/>
        </w:rPr>
        <w:t>T</w:t>
      </w:r>
      <w:r w:rsidR="00D3665D" w:rsidRPr="00BC6787">
        <w:rPr>
          <w:rFonts w:cs="Times New Roman"/>
        </w:rPr>
        <w:t>he aim of this work is to enable the</w:t>
      </w:r>
      <w:r w:rsidR="00C25B80" w:rsidRPr="00BC6787">
        <w:rPr>
          <w:rFonts w:cs="Times New Roman"/>
        </w:rPr>
        <w:t xml:space="preserve"> </w:t>
      </w:r>
      <w:r w:rsidR="009E0BAB" w:rsidRPr="00BC6787">
        <w:rPr>
          <w:rFonts w:cs="Times New Roman"/>
        </w:rPr>
        <w:t>generation</w:t>
      </w:r>
      <w:r w:rsidR="00C25B80" w:rsidRPr="00BC6787">
        <w:rPr>
          <w:rFonts w:cs="Times New Roman"/>
        </w:rPr>
        <w:t xml:space="preserve"> of many</w:t>
      </w:r>
      <w:r w:rsidR="002F21F7" w:rsidRPr="00BC6787">
        <w:rPr>
          <w:rFonts w:cs="Times New Roman"/>
        </w:rPr>
        <w:t xml:space="preserve"> FFs of biological</w:t>
      </w:r>
      <w:r w:rsidR="00C25B80" w:rsidRPr="00BC6787">
        <w:rPr>
          <w:rFonts w:cs="Times New Roman"/>
        </w:rPr>
        <w:t xml:space="preserve"> chromophore</w:t>
      </w:r>
      <w:r w:rsidR="009E0BAB" w:rsidRPr="00BC6787">
        <w:rPr>
          <w:rFonts w:cs="Times New Roman"/>
        </w:rPr>
        <w:t>s</w:t>
      </w:r>
      <w:r w:rsidR="00C25B80" w:rsidRPr="00BC6787">
        <w:rPr>
          <w:rFonts w:cs="Times New Roman"/>
        </w:rPr>
        <w:t xml:space="preserve"> </w:t>
      </w:r>
      <w:r w:rsidR="002F21F7" w:rsidRPr="00BC6787">
        <w:rPr>
          <w:rFonts w:cs="Times New Roman"/>
        </w:rPr>
        <w:t>embedded in a protein environment</w:t>
      </w:r>
      <w:r w:rsidR="009E0BAB" w:rsidRPr="00BC6787">
        <w:rPr>
          <w:rFonts w:cs="Times New Roman"/>
        </w:rPr>
        <w:t xml:space="preserve"> for use in spectral density calculations of PPCs</w:t>
      </w:r>
      <w:r w:rsidR="00D3665D" w:rsidRPr="00BC6787">
        <w:rPr>
          <w:rFonts w:cs="Times New Roman"/>
        </w:rPr>
        <w:t>.</w:t>
      </w:r>
    </w:p>
    <w:p w14:paraId="506AFA25" w14:textId="5BBE4C56" w:rsidR="6588765C" w:rsidRPr="00BC6787" w:rsidRDefault="0092253A" w:rsidP="43CA53EC">
      <w:pPr>
        <w:spacing w:after="0"/>
        <w:rPr>
          <w:rFonts w:cs="Times New Roman"/>
          <w:b/>
          <w:bCs/>
          <w:sz w:val="24"/>
          <w:szCs w:val="24"/>
        </w:rPr>
      </w:pPr>
      <w:r>
        <w:rPr>
          <w:rFonts w:cs="Times New Roman"/>
          <w:b/>
          <w:bCs/>
          <w:sz w:val="24"/>
          <w:szCs w:val="24"/>
        </w:rPr>
        <w:lastRenderedPageBreak/>
        <w:t xml:space="preserve">2. </w:t>
      </w:r>
      <w:r w:rsidR="43CA53EC" w:rsidRPr="00BC6787">
        <w:rPr>
          <w:rFonts w:cs="Times New Roman"/>
          <w:b/>
          <w:bCs/>
          <w:sz w:val="24"/>
          <w:szCs w:val="24"/>
        </w:rPr>
        <w:t>Systems</w:t>
      </w:r>
    </w:p>
    <w:p w14:paraId="69F4B224" w14:textId="66E0F2DA" w:rsidR="6588765C" w:rsidRPr="00BC6787" w:rsidRDefault="0092253A" w:rsidP="43CA53EC">
      <w:pPr>
        <w:spacing w:after="0"/>
        <w:rPr>
          <w:rFonts w:cs="Times New Roman"/>
          <w:b/>
          <w:bCs/>
          <w:u w:val="single"/>
        </w:rPr>
      </w:pPr>
      <w:r>
        <w:rPr>
          <w:rFonts w:cs="Times New Roman"/>
          <w:u w:val="single"/>
        </w:rPr>
        <w:t xml:space="preserve">2.1 </w:t>
      </w:r>
      <w:r w:rsidR="43CA53EC" w:rsidRPr="00BC6787">
        <w:rPr>
          <w:rFonts w:cs="Times New Roman"/>
          <w:u w:val="single"/>
        </w:rPr>
        <w:t>Chromophores</w:t>
      </w:r>
    </w:p>
    <w:p w14:paraId="6CCB6D15" w14:textId="785DCF86" w:rsidR="00BF0044" w:rsidRPr="00BC6787" w:rsidRDefault="743D8EFC" w:rsidP="00BF0044">
      <w:pPr>
        <w:spacing w:after="0"/>
        <w:rPr>
          <w:rFonts w:cs="Times New Roman"/>
        </w:rPr>
      </w:pPr>
      <w:r w:rsidRPr="00BC6787">
        <w:rPr>
          <w:rFonts w:cs="Times New Roman"/>
        </w:rPr>
        <w:t>As FMO is</w:t>
      </w:r>
      <w:r w:rsidR="003D28CD" w:rsidRPr="00BC6787">
        <w:rPr>
          <w:rFonts w:cs="Times New Roman"/>
        </w:rPr>
        <w:t xml:space="preserve"> one of</w:t>
      </w:r>
      <w:r w:rsidRPr="00BC6787">
        <w:rPr>
          <w:rFonts w:cs="Times New Roman"/>
        </w:rPr>
        <w:t xml:space="preserve"> the most popular system</w:t>
      </w:r>
      <w:r w:rsidR="003D28CD" w:rsidRPr="00BC6787">
        <w:rPr>
          <w:rFonts w:cs="Times New Roman"/>
        </w:rPr>
        <w:t>s</w:t>
      </w:r>
      <w:r w:rsidRPr="00BC6787">
        <w:rPr>
          <w:rFonts w:cs="Times New Roman"/>
        </w:rPr>
        <w:t xml:space="preserve"> studied</w:t>
      </w:r>
      <w:r w:rsidR="003D28CD" w:rsidRPr="00BC6787">
        <w:rPr>
          <w:rFonts w:cs="Times New Roman"/>
        </w:rPr>
        <w:t>,</w:t>
      </w:r>
      <w:r w:rsidRPr="00BC6787">
        <w:rPr>
          <w:rFonts w:cs="Times New Roman"/>
        </w:rPr>
        <w:t xml:space="preserve"> the first new FF is for that of its chromophore: bacteriochlorophyll-a (</w:t>
      </w:r>
      <w:proofErr w:type="spellStart"/>
      <w:r w:rsidRPr="00BC6787">
        <w:rPr>
          <w:rFonts w:cs="Times New Roman"/>
        </w:rPr>
        <w:t>bcl</w:t>
      </w:r>
      <w:proofErr w:type="spellEnd"/>
      <w:r w:rsidRPr="00BC6787">
        <w:rPr>
          <w:rFonts w:cs="Times New Roman"/>
        </w:rPr>
        <w:t>). In addition, FFs for the common chromophores chlorophyll-a (</w:t>
      </w:r>
      <w:proofErr w:type="spellStart"/>
      <w:r w:rsidRPr="00BC6787">
        <w:rPr>
          <w:rFonts w:cs="Times New Roman"/>
        </w:rPr>
        <w:t>chl</w:t>
      </w:r>
      <w:proofErr w:type="spellEnd"/>
      <w:r w:rsidRPr="00BC6787">
        <w:rPr>
          <w:rFonts w:cs="Times New Roman"/>
        </w:rPr>
        <w:t>-a) and chlorophyll-b (</w:t>
      </w:r>
      <w:proofErr w:type="spellStart"/>
      <w:r w:rsidRPr="00BC6787">
        <w:rPr>
          <w:rFonts w:cs="Times New Roman"/>
        </w:rPr>
        <w:t>chl</w:t>
      </w:r>
      <w:proofErr w:type="spellEnd"/>
      <w:r w:rsidRPr="00BC6787">
        <w:rPr>
          <w:rFonts w:cs="Times New Roman"/>
        </w:rPr>
        <w:t>-b) are developed</w:t>
      </w:r>
      <w:r w:rsidR="00B33CF6" w:rsidRPr="00BC6787">
        <w:rPr>
          <w:rFonts w:cs="Times New Roman"/>
        </w:rPr>
        <w:t>, found in the water soluble chlorophyll-binding proteins (WSCPs)</w:t>
      </w:r>
      <w:r w:rsidRPr="00BC6787">
        <w:rPr>
          <w:rFonts w:cs="Times New Roman"/>
        </w:rPr>
        <w:t xml:space="preserve">. The structures of all the chromophores are shown in Figure 1. For each of these chromophores the FF is optimised for the bacteriochlorin/chlorin ring and immediate groups only (highlighted in red in Fig. 1), i.e. the </w:t>
      </w:r>
      <w:proofErr w:type="spellStart"/>
      <w:r w:rsidRPr="00BC6787">
        <w:rPr>
          <w:rFonts w:cs="Times New Roman"/>
        </w:rPr>
        <w:t>phytyl</w:t>
      </w:r>
      <w:proofErr w:type="spellEnd"/>
      <w:r w:rsidRPr="00BC6787">
        <w:rPr>
          <w:rFonts w:cs="Times New Roman"/>
        </w:rPr>
        <w:t xml:space="preserve"> chain and ester group are not included. This is because they are not involved in the conjugated system and so are often not included in the quantum</w:t>
      </w:r>
      <w:r w:rsidR="003F2C07" w:rsidRPr="00BC6787">
        <w:rPr>
          <w:rFonts w:cs="Times New Roman"/>
        </w:rPr>
        <w:t xml:space="preserve"> </w:t>
      </w:r>
      <w:r w:rsidR="00BF0044" w:rsidRPr="00BC6787">
        <w:rPr>
          <w:rFonts w:cs="Times New Roman"/>
        </w:rPr>
        <w:t>calculation, thus it is not crucial that their geometry be consistent. This also reduces the computational demand.</w:t>
      </w:r>
    </w:p>
    <w:p w14:paraId="6A5ECE9B" w14:textId="1D75AC31" w:rsidR="00E60601" w:rsidRPr="00BC6787" w:rsidRDefault="007E5470" w:rsidP="00E60601">
      <w:pPr>
        <w:spacing w:after="0"/>
        <w:jc w:val="center"/>
        <w:rPr>
          <w:rFonts w:cs="Times New Roman"/>
        </w:rPr>
      </w:pPr>
      <w:r w:rsidRPr="00BC6787">
        <w:rPr>
          <w:rFonts w:cs="Times New Roman"/>
          <w:noProof/>
          <w:lang w:eastAsia="en-GB"/>
        </w:rPr>
        <w:drawing>
          <wp:inline distT="0" distB="0" distL="0" distR="0" wp14:anchorId="44775C36" wp14:editId="5E8293F1">
            <wp:extent cx="4476902" cy="1823298"/>
            <wp:effectExtent l="0" t="0" r="0" b="5715"/>
            <wp:docPr id="11" name="Picture 1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omophores-tes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7662" cy="1831753"/>
                    </a:xfrm>
                    <a:prstGeom prst="rect">
                      <a:avLst/>
                    </a:prstGeom>
                  </pic:spPr>
                </pic:pic>
              </a:graphicData>
            </a:graphic>
          </wp:inline>
        </w:drawing>
      </w:r>
      <w:r w:rsidR="00E60601" w:rsidRPr="00BC6787">
        <w:rPr>
          <w:rFonts w:cs="Times New Roman"/>
        </w:rPr>
        <w:br/>
      </w:r>
      <w:r w:rsidR="00E60601" w:rsidRPr="00BC6787">
        <w:rPr>
          <w:rFonts w:cs="Times New Roman"/>
          <w:b/>
          <w:sz w:val="18"/>
        </w:rPr>
        <w:t>Figure 1</w:t>
      </w:r>
      <w:r w:rsidR="00E60601" w:rsidRPr="00BC6787">
        <w:rPr>
          <w:rFonts w:cs="Times New Roman"/>
          <w:sz w:val="18"/>
        </w:rPr>
        <w:t xml:space="preserve">: Structures of a) </w:t>
      </w:r>
      <w:proofErr w:type="spellStart"/>
      <w:r w:rsidR="00E60601" w:rsidRPr="00BC6787">
        <w:rPr>
          <w:rFonts w:cs="Times New Roman"/>
          <w:sz w:val="18"/>
        </w:rPr>
        <w:t>bcl</w:t>
      </w:r>
      <w:proofErr w:type="spellEnd"/>
      <w:r w:rsidR="00E60601" w:rsidRPr="00BC6787">
        <w:rPr>
          <w:rFonts w:cs="Times New Roman"/>
          <w:sz w:val="18"/>
        </w:rPr>
        <w:t xml:space="preserve"> b) </w:t>
      </w:r>
      <w:proofErr w:type="spellStart"/>
      <w:r w:rsidR="00E60601" w:rsidRPr="00BC6787">
        <w:rPr>
          <w:rFonts w:cs="Times New Roman"/>
          <w:sz w:val="18"/>
        </w:rPr>
        <w:t>chl</w:t>
      </w:r>
      <w:proofErr w:type="spellEnd"/>
      <w:r w:rsidR="00E60601" w:rsidRPr="00BC6787">
        <w:rPr>
          <w:rFonts w:cs="Times New Roman"/>
          <w:sz w:val="18"/>
        </w:rPr>
        <w:t xml:space="preserve">-a and c) </w:t>
      </w:r>
      <w:proofErr w:type="spellStart"/>
      <w:r w:rsidR="00E60601" w:rsidRPr="00BC6787">
        <w:rPr>
          <w:rFonts w:cs="Times New Roman"/>
          <w:sz w:val="18"/>
        </w:rPr>
        <w:t>chl</w:t>
      </w:r>
      <w:proofErr w:type="spellEnd"/>
      <w:r w:rsidR="00E60601" w:rsidRPr="00BC6787">
        <w:rPr>
          <w:rFonts w:cs="Times New Roman"/>
          <w:sz w:val="18"/>
        </w:rPr>
        <w:t>-b with portion of molecules for which FF is optimised highlighted in red.</w:t>
      </w:r>
    </w:p>
    <w:p w14:paraId="7C4AA64B" w14:textId="4C386064" w:rsidR="003F2C07" w:rsidRPr="00BC6787" w:rsidRDefault="003F2C07" w:rsidP="003F2C07">
      <w:pPr>
        <w:spacing w:after="0"/>
        <w:rPr>
          <w:rFonts w:cs="Times New Roman"/>
        </w:rPr>
      </w:pPr>
    </w:p>
    <w:p w14:paraId="39C1AD83" w14:textId="640B92CC" w:rsidR="6588765C" w:rsidRPr="00BC6787" w:rsidRDefault="0092253A" w:rsidP="43CA53EC">
      <w:pPr>
        <w:spacing w:after="0"/>
        <w:rPr>
          <w:rFonts w:cs="Times New Roman"/>
          <w:b/>
          <w:bCs/>
        </w:rPr>
      </w:pPr>
      <w:r>
        <w:rPr>
          <w:rFonts w:cs="Times New Roman"/>
          <w:u w:val="single"/>
        </w:rPr>
        <w:t xml:space="preserve">2.2 </w:t>
      </w:r>
      <w:r w:rsidR="43CA53EC" w:rsidRPr="00BC6787">
        <w:rPr>
          <w:rFonts w:cs="Times New Roman"/>
          <w:u w:val="single"/>
        </w:rPr>
        <w:t>Parameter Sets of Initial FFs</w:t>
      </w:r>
    </w:p>
    <w:p w14:paraId="60E62F76" w14:textId="2E627818" w:rsidR="6588765C" w:rsidRPr="00BC6787" w:rsidRDefault="43CA53EC" w:rsidP="43CA53EC">
      <w:pPr>
        <w:spacing w:after="0"/>
        <w:rPr>
          <w:rFonts w:cs="Times New Roman"/>
        </w:rPr>
      </w:pPr>
      <w:r w:rsidRPr="00BC6787">
        <w:rPr>
          <w:rFonts w:cs="Times New Roman"/>
        </w:rPr>
        <w:t>The general functional form of any FF is a sum of the potential energy of the non-bonded and the bonded interactions. The non-bonded component is the sum of the terms stemming from the van der Waals interactions and electrostatics</w:t>
      </w:r>
      <w:r w:rsidR="00121359" w:rsidRPr="00BC6787">
        <w:rPr>
          <w:rFonts w:cs="Times New Roman"/>
        </w:rPr>
        <w:t>,</w:t>
      </w:r>
      <w:r w:rsidRPr="00BC6787">
        <w:rPr>
          <w:rFonts w:cs="Times New Roman"/>
        </w:rPr>
        <w:t xml:space="preserve"> whilst the bonded component comprises terms from the bonds, angles and dihedrals. The parameters involved in these terms are defined for each type of atom in the FF. The exact forms of the functions describing these interactions and the values of the parameters included </w:t>
      </w:r>
      <w:r w:rsidR="00121359" w:rsidRPr="00BC6787">
        <w:rPr>
          <w:rFonts w:cs="Times New Roman"/>
        </w:rPr>
        <w:t>are</w:t>
      </w:r>
      <w:r w:rsidRPr="00BC6787">
        <w:rPr>
          <w:rFonts w:cs="Times New Roman"/>
        </w:rPr>
        <w:t xml:space="preserve"> dependent on the specific FF. In this case the FF used is the CHARMM FF. The functional form of which is:</w:t>
      </w:r>
    </w:p>
    <w:p w14:paraId="6ACBEB37" w14:textId="669B7AFD" w:rsidR="00D3665D" w:rsidRPr="00BC6787" w:rsidRDefault="00D3665D" w:rsidP="00D3665D">
      <w:pPr>
        <w:pStyle w:val="MTDisplayEquation"/>
      </w:pPr>
      <w:r w:rsidRPr="00BC6787">
        <w:tab/>
      </w:r>
      <w:r w:rsidR="003A388B" w:rsidRPr="00BC6787">
        <w:rPr>
          <w:position w:val="-66"/>
        </w:rPr>
        <w:object w:dxaOrig="7380" w:dyaOrig="1420" w14:anchorId="563ADE24">
          <v:shape id="_x0000_i1029" type="#_x0000_t75" style="width:369.5pt;height:69.5pt" o:ole="">
            <v:imagedata r:id="rId17" o:title=""/>
          </v:shape>
          <o:OLEObject Type="Embed" ProgID="Equation.DSMT4" ShapeID="_x0000_i1029" DrawAspect="Content" ObjectID="_1606308023" r:id="rId18"/>
        </w:object>
      </w:r>
      <w:r w:rsidRPr="00BC6787">
        <w:t xml:space="preserve"> </w:t>
      </w:r>
      <w:r w:rsidRPr="00BC6787">
        <w:tab/>
      </w:r>
      <w:r w:rsidRPr="00BC6787">
        <w:fldChar w:fldCharType="begin"/>
      </w:r>
      <w:r w:rsidRPr="00BC6787">
        <w:instrText xml:space="preserve"> MACROBUTTON MTPlaceRef \* MERGEFORMAT </w:instrText>
      </w:r>
      <w:r w:rsidRPr="00BC6787">
        <w:fldChar w:fldCharType="begin"/>
      </w:r>
      <w:r w:rsidRPr="00BC6787">
        <w:instrText xml:space="preserve"> SEQ MTEqn \h \* MERGEFORMAT </w:instrText>
      </w:r>
      <w:r w:rsidRPr="00BC6787">
        <w:fldChar w:fldCharType="end"/>
      </w:r>
      <w:r w:rsidRPr="00BC6787">
        <w:instrText>(</w:instrText>
      </w:r>
      <w:r w:rsidR="00B206CE" w:rsidRPr="00BC6787">
        <w:rPr>
          <w:noProof/>
        </w:rPr>
        <w:fldChar w:fldCharType="begin"/>
      </w:r>
      <w:r w:rsidR="00B206CE" w:rsidRPr="00BC6787">
        <w:rPr>
          <w:noProof/>
        </w:rPr>
        <w:instrText xml:space="preserve"> SEQ MTEqn \c \* Arabic \* MERGEFORMAT </w:instrText>
      </w:r>
      <w:r w:rsidR="00B206CE" w:rsidRPr="00BC6787">
        <w:rPr>
          <w:noProof/>
        </w:rPr>
        <w:fldChar w:fldCharType="separate"/>
      </w:r>
      <w:r w:rsidR="005B1EB7" w:rsidRPr="00BC6787">
        <w:rPr>
          <w:noProof/>
        </w:rPr>
        <w:instrText>3</w:instrText>
      </w:r>
      <w:r w:rsidR="00B206CE" w:rsidRPr="00BC6787">
        <w:rPr>
          <w:noProof/>
        </w:rPr>
        <w:fldChar w:fldCharType="end"/>
      </w:r>
      <w:r w:rsidRPr="00BC6787">
        <w:instrText>)</w:instrText>
      </w:r>
      <w:r w:rsidRPr="00BC6787">
        <w:fldChar w:fldCharType="end"/>
      </w:r>
    </w:p>
    <w:p w14:paraId="0148F9FB" w14:textId="072214F7" w:rsidR="009B1D0C" w:rsidRPr="00BC6787" w:rsidRDefault="743D8EFC" w:rsidP="743D8EFC">
      <w:r w:rsidRPr="00BC6787">
        <w:t xml:space="preserve">where </w:t>
      </w:r>
      <w:r w:rsidRPr="00BC6787">
        <w:rPr>
          <w:i/>
          <w:iCs/>
        </w:rPr>
        <w:t>b</w:t>
      </w:r>
      <w:r w:rsidRPr="00BC6787">
        <w:t xml:space="preserve"> denotes bond length, </w:t>
      </w:r>
      <w:r w:rsidR="00C25B80" w:rsidRPr="00BC6787">
        <w:rPr>
          <w:rFonts w:cs="Times New Roman"/>
          <w:i/>
        </w:rPr>
        <w:t>θ</w:t>
      </w:r>
      <w:r w:rsidR="00C25B80" w:rsidRPr="00BC6787">
        <w:t xml:space="preserve"> </w:t>
      </w:r>
      <w:r w:rsidRPr="00BC6787">
        <w:t xml:space="preserve">denotes </w:t>
      </w:r>
      <w:r w:rsidR="00E2792D" w:rsidRPr="00BC6787">
        <w:t xml:space="preserve">bond </w:t>
      </w:r>
      <w:r w:rsidRPr="00BC6787">
        <w:t>angle size</w:t>
      </w:r>
      <w:r w:rsidR="00E2792D" w:rsidRPr="00BC6787">
        <w:t>,</w:t>
      </w:r>
      <w:r w:rsidRPr="00BC6787">
        <w:t xml:space="preserve"> </w:t>
      </w:r>
      <w:r w:rsidR="00C25B80" w:rsidRPr="00BC6787">
        <w:t xml:space="preserve">and </w:t>
      </w:r>
      <w:r w:rsidR="00C81EB8" w:rsidRPr="00BC6787">
        <w:rPr>
          <w:rFonts w:ascii="Calibri" w:hAnsi="Calibri" w:cs="Calibri"/>
          <w:i/>
        </w:rPr>
        <w:t>φ</w:t>
      </w:r>
      <w:r w:rsidRPr="00BC6787">
        <w:t xml:space="preserve"> and </w:t>
      </w:r>
      <w:r w:rsidR="00C25B80" w:rsidRPr="00BC6787">
        <w:rPr>
          <w:rFonts w:cs="Times New Roman"/>
          <w:i/>
        </w:rPr>
        <w:t>ω</w:t>
      </w:r>
      <w:r w:rsidR="00C25B80" w:rsidRPr="00BC6787">
        <w:t xml:space="preserve"> </w:t>
      </w:r>
      <w:r w:rsidRPr="00BC6787">
        <w:t xml:space="preserve">denote dihedral and improper dihedral size respectively, </w:t>
      </w:r>
      <w:r w:rsidRPr="00BC6787">
        <w:rPr>
          <w:i/>
        </w:rPr>
        <w:t>u</w:t>
      </w:r>
      <w:r w:rsidRPr="00BC6787">
        <w:t xml:space="preserve"> denotes the 1-3 atom distance of the Urey-Bradley component of angle bending from non-bonded interactions. The </w:t>
      </w:r>
      <w:proofErr w:type="spellStart"/>
      <w:r w:rsidRPr="00BC6787">
        <w:rPr>
          <w:i/>
          <w:iCs/>
        </w:rPr>
        <w:t>k</w:t>
      </w:r>
      <w:r w:rsidRPr="00BC6787">
        <w:rPr>
          <w:i/>
          <w:iCs/>
          <w:vertAlign w:val="subscript"/>
        </w:rPr>
        <w:t>X</w:t>
      </w:r>
      <w:proofErr w:type="spellEnd"/>
      <w:r w:rsidRPr="00BC6787">
        <w:t xml:space="preserve"> parameters are force constants and </w:t>
      </w:r>
      <w:r w:rsidRPr="00BC6787">
        <w:rPr>
          <w:i/>
          <w:iCs/>
        </w:rPr>
        <w:t>X</w:t>
      </w:r>
      <w:r w:rsidRPr="00BC6787">
        <w:rPr>
          <w:iCs/>
          <w:vertAlign w:val="subscript"/>
        </w:rPr>
        <w:t>0</w:t>
      </w:r>
      <w:r w:rsidRPr="00BC6787">
        <w:t xml:space="preserve"> parameters are equilibrium length/angle size. For the dihedral term, </w:t>
      </w:r>
      <w:r w:rsidRPr="00BC6787">
        <w:rPr>
          <w:i/>
          <w:iCs/>
        </w:rPr>
        <w:t>n</w:t>
      </w:r>
      <w:r w:rsidRPr="00BC6787">
        <w:t xml:space="preserve"> is the multiplicity of the dihedral function and </w:t>
      </w:r>
      <w:r w:rsidR="003A388B" w:rsidRPr="00BC6787">
        <w:rPr>
          <w:position w:val="-6"/>
        </w:rPr>
        <w:object w:dxaOrig="200" w:dyaOrig="260" w14:anchorId="4619C050">
          <v:shape id="_x0000_i1030" type="#_x0000_t75" style="width:11pt;height:12.5pt" o:ole="">
            <v:imagedata r:id="rId19" o:title=""/>
          </v:shape>
          <o:OLEObject Type="Embed" ProgID="Equation.DSMT4" ShapeID="_x0000_i1030" DrawAspect="Content" ObjectID="_1606308024" r:id="rId20"/>
        </w:object>
      </w:r>
      <w:r w:rsidR="003A388B" w:rsidRPr="00BC6787">
        <w:t xml:space="preserve"> </w:t>
      </w:r>
      <w:r w:rsidRPr="00BC6787">
        <w:t>is the phase shift. The non-bonded term uses a standard 12-6 Lennard Jones potential for</w:t>
      </w:r>
      <w:r w:rsidR="00B14A70" w:rsidRPr="00BC6787">
        <w:t xml:space="preserve"> the van der Waals, where </w:t>
      </w:r>
      <w:proofErr w:type="spellStart"/>
      <w:r w:rsidR="003A388B" w:rsidRPr="00BC6787">
        <w:rPr>
          <w:i/>
        </w:rPr>
        <w:t>R</w:t>
      </w:r>
      <w:r w:rsidR="003A388B" w:rsidRPr="00BC6787">
        <w:rPr>
          <w:i/>
          <w:vertAlign w:val="subscript"/>
        </w:rPr>
        <w:t>min</w:t>
      </w:r>
      <w:proofErr w:type="spellEnd"/>
      <w:r w:rsidR="003A388B" w:rsidRPr="00BC6787">
        <w:t xml:space="preserve"> </w:t>
      </w:r>
      <w:r w:rsidRPr="00BC6787">
        <w:t xml:space="preserve">corresponds to the point </w:t>
      </w:r>
      <w:r w:rsidR="00B14A70" w:rsidRPr="00BC6787">
        <w:t xml:space="preserve">at which </w:t>
      </w:r>
      <w:r w:rsidRPr="00BC6787">
        <w:t xml:space="preserve">the potential crosses the </w:t>
      </w:r>
      <w:r w:rsidRPr="00BC6787">
        <w:rPr>
          <w:i/>
          <w:iCs/>
        </w:rPr>
        <w:t>x</w:t>
      </w:r>
      <w:r w:rsidRPr="00BC6787">
        <w:t xml:space="preserve">-axis and the electrostatic component is given by a Coulombic potential. </w:t>
      </w:r>
      <w:r w:rsidR="00C8717A" w:rsidRPr="00BC6787">
        <w:t>O</w:t>
      </w:r>
      <w:r w:rsidRPr="00BC6787">
        <w:t xml:space="preserve">nly the parameters of the </w:t>
      </w:r>
      <w:r w:rsidR="00C8717A" w:rsidRPr="00BC6787">
        <w:t>intramolecular</w:t>
      </w:r>
      <w:r w:rsidRPr="00BC6787">
        <w:t xml:space="preserve"> terms (bonds, angles, dihedrals and improper</w:t>
      </w:r>
      <w:r w:rsidR="00946150" w:rsidRPr="00BC6787">
        <w:t xml:space="preserve"> dihedral</w:t>
      </w:r>
      <w:r w:rsidRPr="00BC6787">
        <w:t>s) are optimised</w:t>
      </w:r>
      <w:r w:rsidR="00C8717A" w:rsidRPr="00BC6787">
        <w:t>, as these have the greatest effect on the internal structure which is desired to be consistent</w:t>
      </w:r>
      <w:r w:rsidR="00C179A5" w:rsidRPr="00BC6787">
        <w:t>.</w:t>
      </w:r>
      <w:r w:rsidRPr="00BC6787">
        <w:t xml:space="preserve"> The multiplicity and phase shift of the dihedral term are pre</w:t>
      </w:r>
      <w:r w:rsidR="00D0679A" w:rsidRPr="00BC6787">
        <w:noBreakHyphen/>
        <w:t>set</w:t>
      </w:r>
      <w:r w:rsidRPr="00BC6787">
        <w:t xml:space="preserve"> </w:t>
      </w:r>
      <w:r w:rsidR="00D0679A" w:rsidRPr="00BC6787">
        <w:t>as is</w:t>
      </w:r>
      <w:r w:rsidRPr="00BC6787">
        <w:t xml:space="preserve"> equilibrium improper dihedral angle, and so these parameters</w:t>
      </w:r>
      <w:r w:rsidR="00D0679A" w:rsidRPr="00BC6787">
        <w:t xml:space="preserve"> are </w:t>
      </w:r>
      <w:r w:rsidRPr="00BC6787">
        <w:t>not changed</w:t>
      </w:r>
      <w:r w:rsidR="00D0679A" w:rsidRPr="00BC6787">
        <w:t xml:space="preserve"> in the optimisation</w:t>
      </w:r>
      <w:r w:rsidR="00D4789A" w:rsidRPr="00BC6787">
        <w:t>.</w:t>
      </w:r>
      <w:r w:rsidRPr="00BC6787">
        <w:t xml:space="preserve"> </w:t>
      </w:r>
      <w:r w:rsidR="00D4789A" w:rsidRPr="00BC6787">
        <w:t>M</w:t>
      </w:r>
      <w:r w:rsidRPr="00BC6787">
        <w:t>eaning the overall parameter set to be optimised consists of: the bond</w:t>
      </w:r>
      <w:r w:rsidR="00E2792D" w:rsidRPr="00BC6787">
        <w:t>;</w:t>
      </w:r>
      <w:r w:rsidRPr="00BC6787">
        <w:t xml:space="preserve"> angle</w:t>
      </w:r>
      <w:r w:rsidR="00E2792D" w:rsidRPr="00BC6787">
        <w:t>;</w:t>
      </w:r>
      <w:r w:rsidRPr="00BC6787">
        <w:t xml:space="preserve"> dihedral angle</w:t>
      </w:r>
      <w:r w:rsidR="00E2792D" w:rsidRPr="00BC6787">
        <w:t>;</w:t>
      </w:r>
      <w:r w:rsidRPr="00BC6787">
        <w:t xml:space="preserve"> and improper dihedral angle force constants (</w:t>
      </w:r>
      <w:r w:rsidRPr="00BC6787">
        <w:rPr>
          <w:i/>
        </w:rPr>
        <w:t>k</w:t>
      </w:r>
      <w:r w:rsidR="00B14A70" w:rsidRPr="00BC6787">
        <w:rPr>
          <w:i/>
          <w:vertAlign w:val="subscript"/>
        </w:rPr>
        <w:t>b</w:t>
      </w:r>
      <w:r w:rsidR="00B14A70" w:rsidRPr="00BC6787">
        <w:rPr>
          <w:i/>
        </w:rPr>
        <w:softHyphen/>
      </w:r>
      <w:proofErr w:type="gramStart"/>
      <w:r w:rsidRPr="00BC6787">
        <w:t xml:space="preserve">, </w:t>
      </w:r>
      <w:proofErr w:type="gramEnd"/>
      <w:r w:rsidR="00B14A70" w:rsidRPr="00BC6787">
        <w:rPr>
          <w:position w:val="-10"/>
        </w:rPr>
        <w:object w:dxaOrig="260" w:dyaOrig="320" w14:anchorId="728EA549">
          <v:shape id="_x0000_i1031" type="#_x0000_t75" style="width:12.5pt;height:17.5pt" o:ole="">
            <v:imagedata r:id="rId21" o:title=""/>
          </v:shape>
          <o:OLEObject Type="Embed" ProgID="Equation.DSMT4" ShapeID="_x0000_i1031" DrawAspect="Content" ObjectID="_1606308025" r:id="rId22"/>
        </w:object>
      </w:r>
      <w:r w:rsidRPr="00BC6787">
        <w:t xml:space="preserve">, </w:t>
      </w:r>
      <w:proofErr w:type="spellStart"/>
      <w:r w:rsidR="00C81EB8" w:rsidRPr="00BC6787">
        <w:rPr>
          <w:i/>
        </w:rPr>
        <w:t>k</w:t>
      </w:r>
      <w:r w:rsidR="00C81EB8" w:rsidRPr="00BC6787">
        <w:rPr>
          <w:rFonts w:ascii="Calibri" w:hAnsi="Calibri" w:cs="Calibri"/>
          <w:i/>
          <w:vertAlign w:val="subscript"/>
        </w:rPr>
        <w:t>φ</w:t>
      </w:r>
      <w:proofErr w:type="spellEnd"/>
      <w:r w:rsidR="00C81EB8" w:rsidRPr="00BC6787">
        <w:t xml:space="preserve"> </w:t>
      </w:r>
      <w:r w:rsidRPr="00BC6787">
        <w:t xml:space="preserve">and </w:t>
      </w:r>
      <w:r w:rsidR="00B14A70" w:rsidRPr="00BC6787">
        <w:rPr>
          <w:position w:val="-10"/>
        </w:rPr>
        <w:object w:dxaOrig="279" w:dyaOrig="320" w14:anchorId="36849DA7">
          <v:shape id="_x0000_i1032" type="#_x0000_t75" style="width:12.5pt;height:17.5pt" o:ole="">
            <v:imagedata r:id="rId23" o:title=""/>
          </v:shape>
          <o:OLEObject Type="Embed" ProgID="Equation.DSMT4" ShapeID="_x0000_i1032" DrawAspect="Content" ObjectID="_1606308026" r:id="rId24"/>
        </w:object>
      </w:r>
      <w:r w:rsidR="00B14A70" w:rsidRPr="00BC6787">
        <w:t>,</w:t>
      </w:r>
      <w:r w:rsidRPr="00BC6787">
        <w:t xml:space="preserve"> respectively)</w:t>
      </w:r>
      <w:r w:rsidR="003A388B" w:rsidRPr="00BC6787">
        <w:t xml:space="preserve"> and</w:t>
      </w:r>
      <w:r w:rsidRPr="00BC6787">
        <w:t xml:space="preserve"> the equilibrium bong length</w:t>
      </w:r>
      <w:r w:rsidR="00E2792D" w:rsidRPr="00BC6787">
        <w:t>;</w:t>
      </w:r>
      <w:r w:rsidRPr="00BC6787">
        <w:t xml:space="preserve"> and equilibrium</w:t>
      </w:r>
      <w:r w:rsidR="00B14A70" w:rsidRPr="00BC6787">
        <w:t xml:space="preserve"> bond</w:t>
      </w:r>
      <w:r w:rsidRPr="00BC6787">
        <w:t xml:space="preserve"> angle (</w:t>
      </w:r>
      <w:r w:rsidRPr="00BC6787">
        <w:rPr>
          <w:i/>
        </w:rPr>
        <w:t>b</w:t>
      </w:r>
      <w:r w:rsidRPr="00BC6787">
        <w:rPr>
          <w:vertAlign w:val="subscript"/>
        </w:rPr>
        <w:t>0</w:t>
      </w:r>
      <w:r w:rsidRPr="00BC6787">
        <w:t xml:space="preserve"> and</w:t>
      </w:r>
      <w:r w:rsidR="00B14A70" w:rsidRPr="00BC6787">
        <w:t xml:space="preserve"> </w:t>
      </w:r>
      <w:r w:rsidR="00B14A70" w:rsidRPr="00BC6787">
        <w:rPr>
          <w:position w:val="-10"/>
        </w:rPr>
        <w:object w:dxaOrig="240" w:dyaOrig="320" w14:anchorId="62CE7B58">
          <v:shape id="_x0000_i1033" type="#_x0000_t75" style="width:11.5pt;height:17.5pt" o:ole="">
            <v:imagedata r:id="rId25" o:title=""/>
          </v:shape>
          <o:OLEObject Type="Embed" ProgID="Equation.DSMT4" ShapeID="_x0000_i1033" DrawAspect="Content" ObjectID="_1606308027" r:id="rId26"/>
        </w:object>
      </w:r>
      <w:r w:rsidRPr="00BC6787">
        <w:t>, respectively), for each atom type.</w:t>
      </w:r>
    </w:p>
    <w:p w14:paraId="10590041" w14:textId="7C404AF5" w:rsidR="00D0679A" w:rsidRPr="00BC6787" w:rsidRDefault="743D8EFC" w:rsidP="00D0679A">
      <w:pPr>
        <w:ind w:firstLine="720"/>
        <w:rPr>
          <w:rFonts w:eastAsiaTheme="minorEastAsia" w:cs="Times New Roman"/>
        </w:rPr>
      </w:pPr>
      <w:r w:rsidRPr="00BC6787">
        <w:rPr>
          <w:rFonts w:cs="Times New Roman"/>
        </w:rPr>
        <w:t xml:space="preserve">The initial FF of </w:t>
      </w:r>
      <w:proofErr w:type="spellStart"/>
      <w:r w:rsidRPr="00BC6787">
        <w:rPr>
          <w:rFonts w:cs="Times New Roman"/>
        </w:rPr>
        <w:t>bcl</w:t>
      </w:r>
      <w:proofErr w:type="spellEnd"/>
      <w:r w:rsidRPr="00BC6787">
        <w:rPr>
          <w:rFonts w:cs="Times New Roman"/>
        </w:rPr>
        <w:t xml:space="preserve"> is taken from the by analogy FF created by </w:t>
      </w:r>
      <w:proofErr w:type="spellStart"/>
      <w:r w:rsidRPr="00BC6787">
        <w:rPr>
          <w:rFonts w:cs="Times New Roman"/>
        </w:rPr>
        <w:t>CGenFF</w:t>
      </w:r>
      <w:proofErr w:type="spellEnd"/>
      <w:r w:rsidRPr="00BC6787">
        <w:rPr>
          <w:rFonts w:cs="Times New Roman"/>
        </w:rPr>
        <w:t xml:space="preserve">, whilst the </w:t>
      </w:r>
      <w:proofErr w:type="spellStart"/>
      <w:r w:rsidRPr="00BC6787">
        <w:rPr>
          <w:rFonts w:cs="Times New Roman"/>
        </w:rPr>
        <w:t>chl</w:t>
      </w:r>
      <w:proofErr w:type="spellEnd"/>
      <w:r w:rsidRPr="00BC6787">
        <w:rPr>
          <w:rFonts w:cs="Times New Roman"/>
        </w:rPr>
        <w:t xml:space="preserve">-a and </w:t>
      </w:r>
      <w:proofErr w:type="spellStart"/>
      <w:r w:rsidRPr="00BC6787">
        <w:rPr>
          <w:rFonts w:cs="Times New Roman"/>
        </w:rPr>
        <w:t>chl</w:t>
      </w:r>
      <w:proofErr w:type="spellEnd"/>
      <w:r w:rsidRPr="00BC6787">
        <w:rPr>
          <w:rFonts w:cs="Times New Roman"/>
        </w:rPr>
        <w:t>-b FF</w:t>
      </w:r>
      <w:r w:rsidR="00E2792D" w:rsidRPr="00BC6787">
        <w:rPr>
          <w:rFonts w:cs="Times New Roman"/>
        </w:rPr>
        <w:t>s</w:t>
      </w:r>
      <w:r w:rsidRPr="00BC6787">
        <w:rPr>
          <w:rFonts w:cs="Times New Roman"/>
        </w:rPr>
        <w:t xml:space="preserve"> </w:t>
      </w:r>
      <w:r w:rsidR="00E2792D" w:rsidRPr="00BC6787">
        <w:rPr>
          <w:rFonts w:cs="Times New Roman"/>
        </w:rPr>
        <w:t>are</w:t>
      </w:r>
      <w:r w:rsidRPr="00BC6787">
        <w:rPr>
          <w:rFonts w:cs="Times New Roman"/>
        </w:rPr>
        <w:t xml:space="preserve"> taken from literature</w:t>
      </w:r>
      <w:r w:rsidR="007E5470" w:rsidRPr="00BC6787">
        <w:rPr>
          <w:rFonts w:cs="Times New Roman"/>
        </w:rPr>
        <w:t xml:space="preserve"> ref. </w:t>
      </w:r>
      <w:r w:rsidR="007E5470" w:rsidRPr="00912E63">
        <w:rPr>
          <w:rFonts w:cs="Times New Roman"/>
        </w:rPr>
        <w:fldChar w:fldCharType="begin" w:fldLock="1"/>
      </w:r>
      <w:r w:rsidR="000C038E">
        <w:rPr>
          <w:rFonts w:cs="Times New Roman"/>
        </w:rPr>
        <w:instrText>ADDIN CSL_CITATION {"citationItems":[{"id":"ITEM-1","itemData":{"DOI":"10.1103/PhysRevE.65.031919","ISSN":"1539-3755","PMID":"11909121","abstract":"The dynamics of pigment-pigment and pigment-protein interactions in light-harvesting complexes is studied with a novel approach which combines molecular dynamics (MD) simulations with quantum chemistry (QC) calculations. The MD simulations of an LH-II complex, solvated and embedded in a lipid bilayer at physiological conditions (with total system size of 87,055 atoms) revealed a pathway of a water molecule into the B800 binding site, as well as increased dimerization within the B850 BChl ring, as compared to the dimerization found for the crystal structure. The fluctuations of pigment (B850 BChl) excitation energies, as a function of time, were determined via ab initio QC calculations based on the geometries that emerged from the MD simulations. From the results of these calculations we constructed a time-dependent Hamiltonian of the B850 exciton system from which we determined the linear absorption spectrum. Finally, a polaron model is introduced to describe quantum mechanically both the excitonic and vibrational (phonon) degrees of freedom. The exciton-phonon coupling that enters into the polaron model, and the corresponding phonon spectral function are derived from the MD/QC simulations. It is demonstrated that, in the framework of the polaron model, the absorption spectrum of the B850 excitons can be calculated from the autocorrelation function of the excitation energies of individual BChls, which is readily available from the combined MD/QC simulations. The obtained result is in good agreement with the experimentally measured absorption spectrum.","author":[{"dropping-particle":"","family":"Damjanovic","given":"Ana","non-dropping-particle":"","parse-names":false,"suffix":""},{"dropping-particle":"","family":"Kosztin","given":"Ioan","non-dropping-particle":"","parse-names":false,"suffix":""},{"dropping-particle":"","family":"Schulten","given":"Klaus","non-dropping-particle":"","parse-names":false,"suffix":""},{"dropping-particle":"","family":"Kleinekathöfer","given":"Ulrich","non-dropping-particle":"","parse-names":false,"suffix":""}],"container-title":"Phys. Rev. E","genre":"Biological Physics; Computational Physics","id":"ITEM-1","issue":"3","issued":{"date-parts":[["2002","3","26"]]},"page":"31919","publisher":"American Physical Society","title":"Excitons in a photosynthetic light-harvesting system: A combined molecular dynamics, quantum chemistry, and polaron model study","type":"article-journal","volume":"65"},"uris":["http://www.mendeley.com/documents/?uuid=e7b3d40e-5daf-4ded-961f-07e8f951fa5c"]}],"mendeley":{"formattedCitation":"&lt;sup&gt;52&lt;/sup&gt;","plainTextFormattedCitation":"52","previouslyFormattedCitation":"&lt;sup&gt;52&lt;/sup&gt;"},"properties":{"noteIndex":0},"schema":"https://github.com/citation-style-language/schema/raw/master/csl-citation.json"}</w:instrText>
      </w:r>
      <w:r w:rsidR="007E5470" w:rsidRPr="00912E63">
        <w:rPr>
          <w:rFonts w:cs="Times New Roman"/>
        </w:rPr>
        <w:fldChar w:fldCharType="separate"/>
      </w:r>
      <w:r w:rsidR="00912E63" w:rsidRPr="00912E63">
        <w:rPr>
          <w:rFonts w:cs="Times New Roman"/>
          <w:noProof/>
        </w:rPr>
        <w:t>52</w:t>
      </w:r>
      <w:r w:rsidR="007E5470" w:rsidRPr="00912E63">
        <w:rPr>
          <w:rFonts w:cs="Times New Roman"/>
        </w:rPr>
        <w:fldChar w:fldCharType="end"/>
      </w:r>
      <w:r w:rsidR="007E5470" w:rsidRPr="00BC6787">
        <w:rPr>
          <w:rFonts w:cs="Times New Roman"/>
        </w:rPr>
        <w:t xml:space="preserve"> and </w:t>
      </w:r>
      <w:r w:rsidR="007E5470" w:rsidRPr="00912E63">
        <w:rPr>
          <w:rFonts w:cs="Times New Roman"/>
        </w:rPr>
        <w:fldChar w:fldCharType="begin" w:fldLock="1"/>
      </w:r>
      <w:r w:rsidR="000C038E">
        <w:rPr>
          <w:rFonts w:cs="Times New Roman"/>
        </w:rPr>
        <w:instrText>ADDIN CSL_CITATION {"citationItems":[{"id":"ITEM-1","itemData":{"DOI":"https://doi.org/10.1016/j.jmgm.2015.03.001","ISSN":"1093-3263","PMID":"25829096","abstract":"Biological photosynthetic machineries, such as photosystem I, photosystem II, or the bacterial reaction center, use cofactor molecules that absorb light or directly participate in chemical reactions. Accurate description of the structure of the cofactors, and of their interactions with protein groups, is an important step toward understanding how photosynthetic machineries work. Here we revisit the classical force field parameters for chlorophyll-a, pheophytin-a and plastoquinone-9. We present systematic quantum mechanical and classical mechanical computations that lead to a good description of the structure and non-bonded interactions of these cofactors.","author":[{"dropping-particle":"","family":"Guerra","given":"Federico","non-dropping-particle":"","parse-names":false,"suffix":""},{"dropping-particle":"","family":"Adam","given":"Suliman","non-dropping-particle":"","parse-names":false,"suffix":""},{"dropping-particle":"","family":"Bondar","given":"Ana-Nicoleta Nicoleta","non-dropping-particle":"","parse-names":false,"suffix":""}],"container-title":"Journal of Molecular Graphics and Modelling","id":"ITEM-1","issue":"Supplement C","issued":{"date-parts":[["2015"]]},"page":"30-39","publisher":"Elsevier Inc.","title":"Revised force-field parameters for chlorophyll-a, pheophytin-a and plastoquinone-9","type":"article-journal","volume":"58"},"uris":["http://www.mendeley.com/documents/?uuid=e45b9647-9266-4204-9add-a3bba5e0c9db"]}],"mendeley":{"formattedCitation":"&lt;sup&gt;53&lt;/sup&gt;","plainTextFormattedCitation":"53","previouslyFormattedCitation":"&lt;sup&gt;53&lt;/sup&gt;"},"properties":{"noteIndex":0},"schema":"https://github.com/citation-style-language/schema/raw/master/csl-citation.json"}</w:instrText>
      </w:r>
      <w:r w:rsidR="007E5470" w:rsidRPr="00912E63">
        <w:rPr>
          <w:rFonts w:cs="Times New Roman"/>
        </w:rPr>
        <w:fldChar w:fldCharType="separate"/>
      </w:r>
      <w:r w:rsidR="00912E63" w:rsidRPr="00912E63">
        <w:rPr>
          <w:rFonts w:cs="Times New Roman"/>
          <w:noProof/>
        </w:rPr>
        <w:t>53</w:t>
      </w:r>
      <w:r w:rsidR="007E5470" w:rsidRPr="00912E63">
        <w:rPr>
          <w:rFonts w:cs="Times New Roman"/>
        </w:rPr>
        <w:fldChar w:fldCharType="end"/>
      </w:r>
      <w:r w:rsidR="00E2792D" w:rsidRPr="00BC6787">
        <w:rPr>
          <w:rFonts w:cs="Times New Roman"/>
        </w:rPr>
        <w:t>.</w:t>
      </w:r>
      <w:r w:rsidRPr="00BC6787">
        <w:rPr>
          <w:rFonts w:cs="Times New Roman"/>
        </w:rPr>
        <w:t xml:space="preserve"> The atom types assigned by these FFs are overly degenerate for the desired purpose, i.e. atoms are given the same atom type and so treated as ‘structurally similar’ when their internal electronic structure is different. In order to rectify this, new atom types must be assigned. The first step to achieve this is to quantitatively define what is ‘structurally similar’. </w:t>
      </w:r>
      <w:r w:rsidRPr="00BC6787">
        <w:rPr>
          <w:rFonts w:eastAsiaTheme="minorEastAsia" w:cs="Times New Roman"/>
        </w:rPr>
        <w:t>The base framework of the chromophores consists of carbon, as with all organic molecules, and so comparing the lengths of standard C – C single bonds (</w:t>
      </w:r>
      <w:r w:rsidR="003A33F4" w:rsidRPr="00BC6787">
        <w:rPr>
          <w:rFonts w:eastAsiaTheme="minorEastAsia" w:cs="Times New Roman"/>
        </w:rPr>
        <w:t xml:space="preserve">~ </w:t>
      </w:r>
      <w:r w:rsidRPr="00BC6787">
        <w:rPr>
          <w:rFonts w:eastAsiaTheme="minorEastAsia" w:cs="Times New Roman"/>
        </w:rPr>
        <w:t>1.5</w:t>
      </w:r>
      <w:r w:rsidR="00BB7633" w:rsidRPr="00BC6787">
        <w:rPr>
          <w:rFonts w:eastAsiaTheme="minorEastAsia" w:cs="Times New Roman"/>
        </w:rPr>
        <w:t>4</w:t>
      </w:r>
      <w:r w:rsidRPr="00BC6787">
        <w:rPr>
          <w:rFonts w:eastAsiaTheme="minorEastAsia" w:cs="Times New Roman"/>
        </w:rPr>
        <w:t xml:space="preserve"> Å), double bonds (</w:t>
      </w:r>
      <w:r w:rsidR="003A33F4" w:rsidRPr="00BC6787">
        <w:rPr>
          <w:rFonts w:eastAsiaTheme="minorEastAsia" w:cs="Times New Roman"/>
        </w:rPr>
        <w:t xml:space="preserve">~ </w:t>
      </w:r>
      <w:r w:rsidRPr="00BC6787">
        <w:rPr>
          <w:rFonts w:eastAsiaTheme="minorEastAsia" w:cs="Times New Roman"/>
        </w:rPr>
        <w:t>1.35 Å) and conjugated bonds (</w:t>
      </w:r>
      <w:r w:rsidR="003A33F4" w:rsidRPr="00BC6787">
        <w:rPr>
          <w:rFonts w:eastAsiaTheme="minorEastAsia" w:cs="Times New Roman"/>
        </w:rPr>
        <w:t xml:space="preserve">~ </w:t>
      </w:r>
      <w:r w:rsidRPr="00BC6787">
        <w:rPr>
          <w:rFonts w:eastAsiaTheme="minorEastAsia" w:cs="Times New Roman"/>
        </w:rPr>
        <w:t xml:space="preserve">1.40 Å) </w:t>
      </w:r>
      <w:r w:rsidR="00362F19" w:rsidRPr="00BC6787">
        <w:rPr>
          <w:rFonts w:eastAsiaTheme="minorEastAsia" w:cs="Times New Roman"/>
        </w:rPr>
        <w:t>shows</w:t>
      </w:r>
      <w:r w:rsidRPr="00BC6787">
        <w:rPr>
          <w:rFonts w:eastAsiaTheme="minorEastAsia" w:cs="Times New Roman"/>
        </w:rPr>
        <w:t xml:space="preserve"> significant differences in bonding structure are those of 0.05 Å and greater. Using this as a guide, an estimate of ‘structurally similar’ bond lengths can be defined as those within 0.01 Å of one another, whilst bond lengths with a difference of 0.03 Å or more are ‘structurally different’ and those lying between 0.01 Å and 0.03 Å must be considered further. </w:t>
      </w:r>
      <w:r w:rsidR="004B69FC" w:rsidRPr="00BC6787">
        <w:rPr>
          <w:rFonts w:eastAsiaTheme="minorEastAsia" w:cs="Times New Roman"/>
        </w:rPr>
        <w:t>Additionally, the chemistry of the atom can be considered, i.e. what bond type is it involved in</w:t>
      </w:r>
      <w:r w:rsidRPr="00BC6787">
        <w:rPr>
          <w:rFonts w:eastAsiaTheme="minorEastAsia" w:cs="Times New Roman"/>
        </w:rPr>
        <w:t xml:space="preserve"> e.g. C – O, C – N, C – C, </w:t>
      </w:r>
      <w:r w:rsidR="004B69FC" w:rsidRPr="00BC6787">
        <w:rPr>
          <w:rFonts w:eastAsiaTheme="minorEastAsia" w:cs="Times New Roman"/>
        </w:rPr>
        <w:t xml:space="preserve">and so on. Finally, </w:t>
      </w:r>
      <w:r w:rsidRPr="00BC6787">
        <w:rPr>
          <w:rFonts w:eastAsiaTheme="minorEastAsia" w:cs="Times New Roman"/>
        </w:rPr>
        <w:t xml:space="preserve">any matching bond types within the 0.01 Å – 0.03 Å region can be </w:t>
      </w:r>
      <w:r w:rsidR="004B69FC" w:rsidRPr="00BC6787">
        <w:rPr>
          <w:rFonts w:eastAsiaTheme="minorEastAsia" w:cs="Times New Roman"/>
        </w:rPr>
        <w:t>categorised</w:t>
      </w:r>
      <w:r w:rsidRPr="00BC6787">
        <w:rPr>
          <w:rFonts w:eastAsiaTheme="minorEastAsia" w:cs="Times New Roman"/>
        </w:rPr>
        <w:t xml:space="preserve"> based on their bond angles. An example of this assignment, for </w:t>
      </w:r>
      <w:proofErr w:type="spellStart"/>
      <w:r w:rsidRPr="00BC6787">
        <w:rPr>
          <w:rFonts w:eastAsiaTheme="minorEastAsia" w:cs="Times New Roman"/>
        </w:rPr>
        <w:t>bcl</w:t>
      </w:r>
      <w:proofErr w:type="spellEnd"/>
      <w:r w:rsidRPr="00BC6787">
        <w:rPr>
          <w:rFonts w:eastAsiaTheme="minorEastAsia" w:cs="Times New Roman"/>
        </w:rPr>
        <w:t xml:space="preserve">, is shown in Fig. 2. </w:t>
      </w:r>
      <w:r w:rsidR="004B69FC" w:rsidRPr="00BC6787">
        <w:rPr>
          <w:rFonts w:eastAsiaTheme="minorEastAsia" w:cs="Times New Roman"/>
        </w:rPr>
        <w:t>After this assignment was done, the total number of parameters</w:t>
      </w:r>
      <w:r w:rsidR="00E964B8" w:rsidRPr="00BC6787">
        <w:rPr>
          <w:rFonts w:eastAsiaTheme="minorEastAsia" w:cs="Times New Roman"/>
        </w:rPr>
        <w:t xml:space="preserve"> to be optimised</w:t>
      </w:r>
      <w:r w:rsidR="004B69FC" w:rsidRPr="00BC6787">
        <w:rPr>
          <w:rFonts w:eastAsiaTheme="minorEastAsia" w:cs="Times New Roman"/>
        </w:rPr>
        <w:t xml:space="preserve"> for each chromophore were as follows: </w:t>
      </w:r>
      <w:proofErr w:type="spellStart"/>
      <w:r w:rsidR="004B69FC" w:rsidRPr="00BC6787">
        <w:rPr>
          <w:rFonts w:eastAsiaTheme="minorEastAsia" w:cs="Times New Roman"/>
        </w:rPr>
        <w:t>bcl</w:t>
      </w:r>
      <w:proofErr w:type="spellEnd"/>
      <w:r w:rsidR="004B69FC" w:rsidRPr="00BC6787">
        <w:rPr>
          <w:rFonts w:eastAsiaTheme="minorEastAsia" w:cs="Times New Roman"/>
        </w:rPr>
        <w:t xml:space="preserve"> – </w:t>
      </w:r>
      <w:r w:rsidR="00946150" w:rsidRPr="00BC6787">
        <w:rPr>
          <w:rFonts w:eastAsiaTheme="minorEastAsia" w:cs="Times New Roman"/>
        </w:rPr>
        <w:t>399</w:t>
      </w:r>
      <w:r w:rsidR="004B69FC" w:rsidRPr="00BC6787">
        <w:rPr>
          <w:rFonts w:eastAsiaTheme="minorEastAsia" w:cs="Times New Roman"/>
        </w:rPr>
        <w:t xml:space="preserve"> parameters</w:t>
      </w:r>
      <w:r w:rsidR="00E964B8" w:rsidRPr="00BC6787">
        <w:rPr>
          <w:rFonts w:eastAsiaTheme="minorEastAsia" w:cs="Times New Roman"/>
        </w:rPr>
        <w:t xml:space="preserve">; </w:t>
      </w:r>
      <w:proofErr w:type="spellStart"/>
      <w:r w:rsidR="00E964B8" w:rsidRPr="00BC6787">
        <w:rPr>
          <w:rFonts w:eastAsiaTheme="minorEastAsia" w:cs="Times New Roman"/>
        </w:rPr>
        <w:t>chl</w:t>
      </w:r>
      <w:proofErr w:type="spellEnd"/>
      <w:r w:rsidR="00E964B8" w:rsidRPr="00BC6787">
        <w:rPr>
          <w:rFonts w:eastAsiaTheme="minorEastAsia" w:cs="Times New Roman"/>
        </w:rPr>
        <w:t xml:space="preserve">-a – </w:t>
      </w:r>
      <w:r w:rsidR="00946150" w:rsidRPr="00BC6787">
        <w:rPr>
          <w:rFonts w:eastAsiaTheme="minorEastAsia" w:cs="Times New Roman"/>
        </w:rPr>
        <w:t>446</w:t>
      </w:r>
      <w:r w:rsidR="00E964B8" w:rsidRPr="00BC6787">
        <w:rPr>
          <w:rFonts w:eastAsiaTheme="minorEastAsia" w:cs="Times New Roman"/>
        </w:rPr>
        <w:t xml:space="preserve"> parameters; </w:t>
      </w:r>
      <w:proofErr w:type="spellStart"/>
      <w:r w:rsidR="00E964B8" w:rsidRPr="00BC6787">
        <w:rPr>
          <w:rFonts w:eastAsiaTheme="minorEastAsia" w:cs="Times New Roman"/>
        </w:rPr>
        <w:t>chl</w:t>
      </w:r>
      <w:proofErr w:type="spellEnd"/>
      <w:r w:rsidR="00E964B8" w:rsidRPr="00BC6787">
        <w:rPr>
          <w:rFonts w:eastAsiaTheme="minorEastAsia" w:cs="Times New Roman"/>
        </w:rPr>
        <w:t xml:space="preserve">-b – </w:t>
      </w:r>
      <w:r w:rsidR="00946150" w:rsidRPr="00BC6787">
        <w:rPr>
          <w:rFonts w:eastAsiaTheme="minorEastAsia" w:cs="Times New Roman"/>
        </w:rPr>
        <w:t>455</w:t>
      </w:r>
      <w:r w:rsidR="00E964B8" w:rsidRPr="00BC6787">
        <w:rPr>
          <w:rFonts w:eastAsiaTheme="minorEastAsia" w:cs="Times New Roman"/>
        </w:rPr>
        <w:t xml:space="preserve"> parameters.</w:t>
      </w:r>
      <w:r w:rsidR="00805F46" w:rsidRPr="00BC6787">
        <w:rPr>
          <w:rFonts w:eastAsiaTheme="minorEastAsia" w:cs="Times New Roman"/>
        </w:rPr>
        <w:t xml:space="preserve"> The atom type definition</w:t>
      </w:r>
      <w:r w:rsidR="00C17262" w:rsidRPr="00BC6787">
        <w:rPr>
          <w:rFonts w:eastAsiaTheme="minorEastAsia" w:cs="Times New Roman"/>
        </w:rPr>
        <w:t xml:space="preserve"> and parameter set</w:t>
      </w:r>
      <w:r w:rsidR="00805F46" w:rsidRPr="00BC6787">
        <w:rPr>
          <w:rFonts w:eastAsiaTheme="minorEastAsia" w:cs="Times New Roman"/>
        </w:rPr>
        <w:t xml:space="preserve"> for each pigment are provided in the Supporting Information.</w:t>
      </w:r>
      <w:r w:rsidR="00D0679A" w:rsidRPr="00BC6787">
        <w:rPr>
          <w:rFonts w:eastAsiaTheme="minorEastAsia" w:cs="Times New Roman"/>
        </w:rPr>
        <w:t xml:space="preserve"> </w:t>
      </w:r>
    </w:p>
    <w:p w14:paraId="0421C18E" w14:textId="4B42AE6C" w:rsidR="00D0679A" w:rsidRPr="00BC6787" w:rsidRDefault="00D0679A" w:rsidP="00D0679A">
      <w:pPr>
        <w:ind w:firstLine="720"/>
        <w:rPr>
          <w:rFonts w:eastAsiaTheme="minorEastAsia" w:cs="Times New Roman"/>
        </w:rPr>
      </w:pPr>
      <w:r w:rsidRPr="00BC6787">
        <w:rPr>
          <w:rFonts w:eastAsiaTheme="minorEastAsia" w:cs="Times New Roman"/>
        </w:rPr>
        <w:t>Finally, it is important that the electrostatics are consistent with the rest of the FF. The partial charges for the CHARMM FF are determined using minimum HF water interaction energies and distances as target data as described in the supporting information of ref.</w:t>
      </w:r>
      <w:r w:rsidR="00B5488D" w:rsidRPr="00BC6787">
        <w:rPr>
          <w:rFonts w:eastAsiaTheme="minorEastAsia" w:cs="Times New Roman"/>
        </w:rPr>
        <w:t xml:space="preserve"> </w:t>
      </w:r>
      <w:r w:rsidR="00912E63" w:rsidRPr="00912E63">
        <w:rPr>
          <w:rFonts w:eastAsiaTheme="minorEastAsia" w:cs="Times New Roman"/>
        </w:rPr>
        <w:fldChar w:fldCharType="begin" w:fldLock="1"/>
      </w:r>
      <w:r w:rsidR="000C038E">
        <w:rPr>
          <w:rFonts w:eastAsiaTheme="minorEastAsia" w:cs="Times New Roman"/>
        </w:rPr>
        <w:instrText>ADDIN CSL_CITATION {"citationItems":[{"id":"ITEM-1","itemData":{"author":[{"dropping-particle":"","family":"Mackerell","given":"Alexander D.","non-dropping-particle":"","parse-names":false,"suffix":""},{"dropping-particle":"","family":"Brooks","given":"B","non-dropping-particle":"","parse-names":false,"suffix":""},{"dropping-particle":"","family":"Brooks III","given":"Charles L.","non-dropping-particle":"","parse-names":false,"suffix":""},{"dropping-particle":"","family":"Nilsson","given":"Lennart","non-dropping-particle":"","parse-names":false,"suffix":""},{"dropping-particle":"","family":"Roux","given":"Benoît","non-dropping-particle":"","parse-names":false,"suffix":""},{"dropping-particle":"","family":"Won","given":"Y","non-dropping-particle":"","parse-names":false,"suffix":""},{"dropping-particle":"","family":"Karplus","given":"Martin","non-dropping-particle":"","parse-names":false,"suffix":""}],"id":"ITEM-1","issued":{"date-parts":[["1998"]]},"number-of-pages":"271-277","title":"Encyclopedia of Computational Chemistry","type":"book"},"uris":["http://www.mendeley.com/documents/?uuid=bcec43a1-b149-478c-b41d-5ebe8630e926"]}],"mendeley":{"formattedCitation":"&lt;sup&gt;18&lt;/sup&gt;","plainTextFormattedCitation":"18","previouslyFormattedCitation":"&lt;sup&gt;18&lt;/sup&gt;"},"properties":{"noteIndex":0},"schema":"https://github.com/citation-style-language/schema/raw/master/csl-citation.json"}</w:instrText>
      </w:r>
      <w:r w:rsidR="00912E63" w:rsidRPr="00912E63">
        <w:rPr>
          <w:rFonts w:eastAsiaTheme="minorEastAsia" w:cs="Times New Roman"/>
        </w:rPr>
        <w:fldChar w:fldCharType="separate"/>
      </w:r>
      <w:r w:rsidR="00912E63" w:rsidRPr="00912E63">
        <w:rPr>
          <w:rFonts w:eastAsiaTheme="minorEastAsia" w:cs="Times New Roman"/>
          <w:noProof/>
        </w:rPr>
        <w:t>18</w:t>
      </w:r>
      <w:r w:rsidR="00912E63" w:rsidRPr="00912E63">
        <w:rPr>
          <w:rFonts w:eastAsiaTheme="minorEastAsia" w:cs="Times New Roman"/>
        </w:rPr>
        <w:fldChar w:fldCharType="end"/>
      </w:r>
      <w:r w:rsidRPr="00BC6787">
        <w:rPr>
          <w:rFonts w:eastAsiaTheme="minorEastAsia" w:cs="Times New Roman"/>
        </w:rPr>
        <w:t>. The charges for the chromophores were taken from literature.</w:t>
      </w:r>
      <w:r w:rsidRPr="00BC6787">
        <w:rPr>
          <w:rFonts w:eastAsiaTheme="minorEastAsia" w:cs="Times New Roman"/>
          <w:noProof/>
          <w:vertAlign w:val="superscript"/>
        </w:rPr>
        <w:t>36</w:t>
      </w:r>
      <w:r w:rsidRPr="00BC6787">
        <w:rPr>
          <w:rFonts w:eastAsiaTheme="minorEastAsia" w:cs="Times New Roman"/>
        </w:rPr>
        <w:t xml:space="preserve"> It should be noted that whilst in this work the parameters of a CHARMM FF are optimised, the method can be applied to any molecular mechanics FF. </w:t>
      </w:r>
    </w:p>
    <w:p w14:paraId="0A1E9008" w14:textId="726FD5B3" w:rsidR="004665E6" w:rsidRPr="00BC6787" w:rsidRDefault="004665E6" w:rsidP="00BF0044">
      <w:pPr>
        <w:jc w:val="center"/>
        <w:rPr>
          <w:rFonts w:eastAsiaTheme="minorEastAsia" w:cs="Times New Roman"/>
        </w:rPr>
      </w:pPr>
      <w:r w:rsidRPr="00BC6787">
        <w:rPr>
          <w:rFonts w:eastAsiaTheme="minorEastAsia" w:cs="Times New Roman"/>
          <w:noProof/>
          <w:lang w:eastAsia="en-GB"/>
        </w:rPr>
        <w:lastRenderedPageBreak/>
        <w:drawing>
          <wp:inline distT="0" distB="0" distL="0" distR="0" wp14:anchorId="476635BA" wp14:editId="35F0F319">
            <wp:extent cx="4250132" cy="206783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om-type-choi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89736" cy="2087099"/>
                    </a:xfrm>
                    <a:prstGeom prst="rect">
                      <a:avLst/>
                    </a:prstGeom>
                  </pic:spPr>
                </pic:pic>
              </a:graphicData>
            </a:graphic>
          </wp:inline>
        </w:drawing>
      </w:r>
      <w:r w:rsidR="003D28CD" w:rsidRPr="00BC6787">
        <w:rPr>
          <w:rFonts w:eastAsiaTheme="minorEastAsia" w:cs="Times New Roman"/>
        </w:rPr>
        <w:t xml:space="preserve"> </w:t>
      </w:r>
    </w:p>
    <w:p w14:paraId="78DBDE08" w14:textId="696606C5" w:rsidR="00BF0044" w:rsidRPr="00BC6787" w:rsidRDefault="00BF0044" w:rsidP="00BF0044">
      <w:pPr>
        <w:jc w:val="center"/>
        <w:rPr>
          <w:sz w:val="18"/>
          <w:szCs w:val="18"/>
        </w:rPr>
      </w:pPr>
      <w:r w:rsidRPr="00BC6787">
        <w:rPr>
          <w:b/>
          <w:bCs/>
          <w:sz w:val="18"/>
          <w:szCs w:val="18"/>
        </w:rPr>
        <w:t xml:space="preserve"> Figure 2: </w:t>
      </w:r>
      <w:r w:rsidRPr="00BC6787">
        <w:rPr>
          <w:sz w:val="18"/>
          <w:szCs w:val="18"/>
        </w:rPr>
        <w:t xml:space="preserve">Colour coded illustration of assignment of atom type based on structure depicting the bond lengths (taken from a geometry optimisation of </w:t>
      </w:r>
      <w:proofErr w:type="spellStart"/>
      <w:r w:rsidRPr="00BC6787">
        <w:rPr>
          <w:sz w:val="18"/>
          <w:szCs w:val="18"/>
        </w:rPr>
        <w:t>bcl</w:t>
      </w:r>
      <w:proofErr w:type="spellEnd"/>
      <w:r w:rsidRPr="00BC6787">
        <w:rPr>
          <w:sz w:val="18"/>
          <w:szCs w:val="18"/>
        </w:rPr>
        <w:t>) and the resulting atom type.</w:t>
      </w:r>
    </w:p>
    <w:p w14:paraId="79360FEF" w14:textId="501653A4" w:rsidR="008868D9" w:rsidRPr="00BC6787" w:rsidRDefault="0092253A" w:rsidP="43CA53EC">
      <w:pPr>
        <w:spacing w:after="0"/>
        <w:rPr>
          <w:rFonts w:cs="Times New Roman"/>
          <w:b/>
          <w:bCs/>
          <w:sz w:val="24"/>
          <w:szCs w:val="24"/>
        </w:rPr>
      </w:pPr>
      <w:r>
        <w:rPr>
          <w:rFonts w:cs="Times New Roman"/>
          <w:b/>
          <w:bCs/>
          <w:sz w:val="24"/>
          <w:szCs w:val="24"/>
        </w:rPr>
        <w:t xml:space="preserve">3. </w:t>
      </w:r>
      <w:r w:rsidR="43CA53EC" w:rsidRPr="00BC6787">
        <w:rPr>
          <w:rFonts w:cs="Times New Roman"/>
          <w:b/>
          <w:bCs/>
          <w:sz w:val="24"/>
          <w:szCs w:val="24"/>
        </w:rPr>
        <w:t>Method</w:t>
      </w:r>
    </w:p>
    <w:p w14:paraId="544F90A5" w14:textId="5B5B3E8E" w:rsidR="00F3598E" w:rsidRPr="00BC6787" w:rsidRDefault="0092253A" w:rsidP="43CA53EC">
      <w:pPr>
        <w:spacing w:after="0"/>
        <w:rPr>
          <w:rFonts w:cs="Times New Roman"/>
          <w:u w:val="single"/>
        </w:rPr>
      </w:pPr>
      <w:r>
        <w:rPr>
          <w:rFonts w:cs="Times New Roman"/>
          <w:u w:val="single"/>
        </w:rPr>
        <w:t xml:space="preserve">3.1 </w:t>
      </w:r>
      <w:r w:rsidR="43CA53EC" w:rsidRPr="00BC6787">
        <w:rPr>
          <w:rFonts w:cs="Times New Roman"/>
          <w:u w:val="single"/>
        </w:rPr>
        <w:t>Force Matching Procedure</w:t>
      </w:r>
    </w:p>
    <w:p w14:paraId="75DD1541" w14:textId="119B378B" w:rsidR="008868D9" w:rsidRPr="00BC6787" w:rsidRDefault="43CA53EC" w:rsidP="43CA53EC">
      <w:pPr>
        <w:rPr>
          <w:rFonts w:cs="Times New Roman"/>
        </w:rPr>
      </w:pPr>
      <w:r w:rsidRPr="00BC6787">
        <w:rPr>
          <w:rFonts w:cs="Times New Roman"/>
        </w:rPr>
        <w:t>The FF is optimised by minimising an objective function. For the FF of a molecule comprised of a set of parameters, [</w:t>
      </w:r>
      <w:r w:rsidRPr="00BC6787">
        <w:rPr>
          <w:rFonts w:cs="Times New Roman"/>
          <w:i/>
          <w:iCs/>
        </w:rPr>
        <w:t>p</w:t>
      </w:r>
      <w:r w:rsidRPr="00BC6787">
        <w:rPr>
          <w:rFonts w:cs="Times New Roman"/>
        </w:rPr>
        <w:t>], the objective function is given by:</w:t>
      </w:r>
    </w:p>
    <w:p w14:paraId="3D854C29" w14:textId="37B961A2" w:rsidR="008868D9" w:rsidRPr="00BC6787" w:rsidRDefault="008868D9" w:rsidP="008868D9">
      <w:pPr>
        <w:pStyle w:val="MTDisplayEquation"/>
        <w:rPr>
          <w:rFonts w:cs="Times New Roman"/>
        </w:rPr>
      </w:pPr>
      <w:r w:rsidRPr="00BC6787">
        <w:rPr>
          <w:rFonts w:cs="Times New Roman"/>
        </w:rPr>
        <w:tab/>
      </w:r>
      <w:r w:rsidR="00B14A70" w:rsidRPr="00BC6787">
        <w:rPr>
          <w:position w:val="-30"/>
        </w:rPr>
        <w:object w:dxaOrig="3280" w:dyaOrig="720" w14:anchorId="7E147598">
          <v:shape id="_x0000_i1034" type="#_x0000_t75" style="width:163pt;height:36pt" o:ole="">
            <v:imagedata r:id="rId28" o:title=""/>
          </v:shape>
          <o:OLEObject Type="Embed" ProgID="Equation.DSMT4" ShapeID="_x0000_i1034" DrawAspect="Content" ObjectID="_1606308028" r:id="rId29"/>
        </w:object>
      </w:r>
      <w:r w:rsidRPr="00BC6787">
        <w:rPr>
          <w:rFonts w:cs="Times New Roman"/>
        </w:rPr>
        <w:t xml:space="preserve"> </w:t>
      </w:r>
      <w:r w:rsidRPr="00BC6787">
        <w:rPr>
          <w:rFonts w:cs="Times New Roman"/>
        </w:rPr>
        <w:tab/>
      </w:r>
      <w:r w:rsidR="00F3598E" w:rsidRPr="00BC6787">
        <w:rPr>
          <w:rFonts w:cs="Times New Roman"/>
        </w:rPr>
        <w:fldChar w:fldCharType="begin"/>
      </w:r>
      <w:r w:rsidR="00F3598E" w:rsidRPr="00BC6787">
        <w:rPr>
          <w:rFonts w:cs="Times New Roman"/>
        </w:rPr>
        <w:instrText xml:space="preserve"> MACROBUTTON MTPlaceRef \* MERGEFORMAT </w:instrText>
      </w:r>
      <w:r w:rsidR="00F3598E" w:rsidRPr="00BC6787">
        <w:rPr>
          <w:rFonts w:cs="Times New Roman"/>
        </w:rPr>
        <w:fldChar w:fldCharType="begin"/>
      </w:r>
      <w:r w:rsidR="00F3598E" w:rsidRPr="00BC6787">
        <w:rPr>
          <w:rFonts w:cs="Times New Roman"/>
        </w:rPr>
        <w:instrText xml:space="preserve"> SEQ MTEqn \h \* MERGEFORMAT </w:instrText>
      </w:r>
      <w:r w:rsidR="00F3598E" w:rsidRPr="00BC6787">
        <w:rPr>
          <w:rFonts w:cs="Times New Roman"/>
        </w:rPr>
        <w:fldChar w:fldCharType="end"/>
      </w:r>
      <w:r w:rsidR="00F3598E" w:rsidRPr="00BC6787">
        <w:rPr>
          <w:rFonts w:cs="Times New Roman"/>
        </w:rPr>
        <w:instrText>(</w:instrText>
      </w:r>
      <w:r w:rsidR="00D73E0B" w:rsidRPr="00BC6787">
        <w:rPr>
          <w:rFonts w:cs="Times New Roman"/>
        </w:rPr>
        <w:fldChar w:fldCharType="begin"/>
      </w:r>
      <w:r w:rsidR="00D73E0B" w:rsidRPr="00BC6787">
        <w:rPr>
          <w:rFonts w:cs="Times New Roman"/>
        </w:rPr>
        <w:instrText xml:space="preserve"> SEQ MTEqn \c \* Arabic \* MERGEFORMAT </w:instrText>
      </w:r>
      <w:r w:rsidR="00D73E0B" w:rsidRPr="00BC6787">
        <w:rPr>
          <w:rFonts w:cs="Times New Roman"/>
        </w:rPr>
        <w:fldChar w:fldCharType="separate"/>
      </w:r>
      <w:r w:rsidR="005B1EB7" w:rsidRPr="00BC6787">
        <w:rPr>
          <w:rFonts w:cs="Times New Roman"/>
          <w:noProof/>
        </w:rPr>
        <w:instrText>4</w:instrText>
      </w:r>
      <w:r w:rsidR="00D73E0B" w:rsidRPr="00BC6787">
        <w:rPr>
          <w:rFonts w:cs="Times New Roman"/>
          <w:noProof/>
        </w:rPr>
        <w:fldChar w:fldCharType="end"/>
      </w:r>
      <w:r w:rsidR="00F3598E" w:rsidRPr="00BC6787">
        <w:rPr>
          <w:rFonts w:cs="Times New Roman"/>
        </w:rPr>
        <w:instrText>)</w:instrText>
      </w:r>
      <w:r w:rsidR="00F3598E" w:rsidRPr="00BC6787">
        <w:rPr>
          <w:rFonts w:cs="Times New Roman"/>
        </w:rPr>
        <w:fldChar w:fldCharType="end"/>
      </w:r>
      <w:r w:rsidRPr="00BC6787">
        <w:rPr>
          <w:rFonts w:cs="Times New Roman"/>
        </w:rPr>
        <w:t xml:space="preserve"> </w:t>
      </w:r>
    </w:p>
    <w:p w14:paraId="55712EF9" w14:textId="77626586" w:rsidR="008868D9" w:rsidRPr="00BC6787" w:rsidRDefault="008868D9" w:rsidP="00362F19">
      <w:pPr>
        <w:rPr>
          <w:rFonts w:cs="Times New Roman"/>
        </w:rPr>
      </w:pPr>
      <w:proofErr w:type="gramStart"/>
      <w:r w:rsidRPr="00BC6787">
        <w:rPr>
          <w:rFonts w:cs="Times New Roman"/>
        </w:rPr>
        <w:t>where</w:t>
      </w:r>
      <w:proofErr w:type="gramEnd"/>
      <w:r w:rsidRPr="00BC6787">
        <w:rPr>
          <w:rFonts w:cs="Times New Roman"/>
        </w:rPr>
        <w:t xml:space="preserve"> </w:t>
      </w:r>
      <w:r w:rsidRPr="00BC6787">
        <w:rPr>
          <w:rFonts w:cs="Times New Roman"/>
          <w:i/>
          <w:iCs/>
        </w:rPr>
        <w:t xml:space="preserve">N </w:t>
      </w:r>
      <w:r w:rsidRPr="00BC6787">
        <w:rPr>
          <w:rFonts w:cs="Times New Roman"/>
        </w:rPr>
        <w:t xml:space="preserve">is the number of atoms in the molecule, </w:t>
      </w:r>
      <w:r w:rsidRPr="00BC6787">
        <w:rPr>
          <w:rFonts w:cs="Times New Roman"/>
          <w:i/>
          <w:iCs/>
        </w:rPr>
        <w:t>M</w:t>
      </w:r>
      <w:r w:rsidRPr="00BC6787">
        <w:rPr>
          <w:rFonts w:cs="Times New Roman"/>
        </w:rPr>
        <w:t xml:space="preserve"> is the number of reference structures and </w:t>
      </w:r>
      <w:r w:rsidR="00362F19" w:rsidRPr="00BC6787">
        <w:rPr>
          <w:position w:val="-14"/>
        </w:rPr>
        <w:object w:dxaOrig="220" w:dyaOrig="360" w14:anchorId="120BF106">
          <v:shape id="_x0000_i1035" type="#_x0000_t75" style="width:11pt;height:17.5pt" o:ole="">
            <v:imagedata r:id="rId30" o:title=""/>
          </v:shape>
          <o:OLEObject Type="Embed" ProgID="Equation.DSMT4" ShapeID="_x0000_i1035" DrawAspect="Content" ObjectID="_1606308029" r:id="rId31"/>
        </w:object>
      </w:r>
      <w:r w:rsidR="00362F19" w:rsidRPr="00BC6787">
        <w:rPr>
          <w:rFonts w:cs="Times New Roman"/>
        </w:rPr>
        <w:t>denotes</w:t>
      </w:r>
      <w:r w:rsidRPr="00BC6787">
        <w:rPr>
          <w:rFonts w:cs="Times New Roman"/>
        </w:rPr>
        <w:t xml:space="preserve"> the forces on atom </w:t>
      </w:r>
      <w:proofErr w:type="spellStart"/>
      <w:r w:rsidRPr="00BC6787">
        <w:rPr>
          <w:rFonts w:cs="Times New Roman"/>
          <w:i/>
          <w:iCs/>
        </w:rPr>
        <w:t>i</w:t>
      </w:r>
      <w:proofErr w:type="spellEnd"/>
      <w:r w:rsidRPr="00BC6787">
        <w:rPr>
          <w:rFonts w:cs="Times New Roman"/>
          <w:i/>
          <w:iCs/>
        </w:rPr>
        <w:t xml:space="preserve"> </w:t>
      </w:r>
      <w:r w:rsidR="00D4789A" w:rsidRPr="00BC6787">
        <w:rPr>
          <w:rFonts w:cs="Times New Roman"/>
        </w:rPr>
        <w:t>of</w:t>
      </w:r>
      <w:r w:rsidRPr="00BC6787">
        <w:rPr>
          <w:rFonts w:cs="Times New Roman"/>
        </w:rPr>
        <w:t xml:space="preserve"> structure </w:t>
      </w:r>
      <w:r w:rsidRPr="00BC6787">
        <w:rPr>
          <w:rFonts w:cs="Times New Roman"/>
          <w:i/>
          <w:iCs/>
        </w:rPr>
        <w:t>j</w:t>
      </w:r>
      <w:r w:rsidRPr="00BC6787">
        <w:rPr>
          <w:rFonts w:cs="Times New Roman"/>
        </w:rPr>
        <w:t xml:space="preserve"> from DFT </w:t>
      </w:r>
      <w:r w:rsidR="00362F19" w:rsidRPr="00BC6787">
        <w:rPr>
          <w:rFonts w:cs="Times New Roman"/>
        </w:rPr>
        <w:t>or</w:t>
      </w:r>
      <w:r w:rsidRPr="00BC6787">
        <w:rPr>
          <w:rFonts w:cs="Times New Roman"/>
        </w:rPr>
        <w:t xml:space="preserve"> MD. Gradient descent minimisation is based on the observation that from a point, </w:t>
      </w:r>
      <w:r w:rsidR="000132BF" w:rsidRPr="00BC6787">
        <w:rPr>
          <w:rFonts w:cs="Times New Roman"/>
          <w:i/>
          <w:iCs/>
        </w:rPr>
        <w:t>r</w:t>
      </w:r>
      <w:r w:rsidRPr="00BC6787">
        <w:rPr>
          <w:rFonts w:cs="Times New Roman"/>
          <w:i/>
          <w:iCs/>
        </w:rPr>
        <w:t>,</w:t>
      </w:r>
      <w:r w:rsidRPr="00BC6787">
        <w:rPr>
          <w:rFonts w:cs="Times New Roman"/>
        </w:rPr>
        <w:t xml:space="preserve"> of a function, </w:t>
      </w:r>
      <w:r w:rsidRPr="00BC6787">
        <w:rPr>
          <w:rFonts w:cs="Times New Roman"/>
          <w:i/>
          <w:iCs/>
        </w:rPr>
        <w:t>f</w:t>
      </w:r>
      <w:r w:rsidRPr="00BC6787">
        <w:rPr>
          <w:rFonts w:cs="Times New Roman"/>
          <w:iCs/>
        </w:rPr>
        <w:t>(</w:t>
      </w:r>
      <w:r w:rsidR="004D341E" w:rsidRPr="00BC6787">
        <w:rPr>
          <w:rFonts w:cs="Times New Roman"/>
          <w:i/>
          <w:iCs/>
        </w:rPr>
        <w:t>r</w:t>
      </w:r>
      <w:r w:rsidRPr="00BC6787">
        <w:rPr>
          <w:rFonts w:cs="Times New Roman"/>
          <w:iCs/>
        </w:rPr>
        <w:t>)</w:t>
      </w:r>
      <w:r w:rsidRPr="00BC6787">
        <w:rPr>
          <w:rFonts w:cs="Times New Roman"/>
        </w:rPr>
        <w:t xml:space="preserve">, the function will decrease fastest moving from </w:t>
      </w:r>
      <w:r w:rsidR="000132BF" w:rsidRPr="00BC6787">
        <w:rPr>
          <w:rFonts w:cs="Times New Roman"/>
          <w:i/>
          <w:iCs/>
        </w:rPr>
        <w:t>r</w:t>
      </w:r>
      <w:r w:rsidRPr="00BC6787">
        <w:rPr>
          <w:rFonts w:cs="Times New Roman"/>
        </w:rPr>
        <w:t xml:space="preserve"> in the direction of the negative gradient of the function, </w:t>
      </w:r>
      <w:r w:rsidRPr="00BC6787">
        <w:rPr>
          <w:rFonts w:ascii="Cambria Math" w:hAnsi="Cambria Math" w:cs="Cambria Math"/>
        </w:rPr>
        <w:t>∇</w:t>
      </w:r>
      <w:r w:rsidRPr="00BC6787">
        <w:rPr>
          <w:rFonts w:cs="Times New Roman"/>
          <w:i/>
          <w:iCs/>
        </w:rPr>
        <w:t>f</w:t>
      </w:r>
      <w:r w:rsidRPr="00BC6787">
        <w:rPr>
          <w:rFonts w:cs="Times New Roman"/>
          <w:iCs/>
        </w:rPr>
        <w:t>(</w:t>
      </w:r>
      <w:r w:rsidR="004D341E" w:rsidRPr="00BC6787">
        <w:rPr>
          <w:rFonts w:cs="Times New Roman"/>
          <w:i/>
        </w:rPr>
        <w:t>r</w:t>
      </w:r>
      <w:r w:rsidRPr="00BC6787">
        <w:rPr>
          <w:rFonts w:cs="Times New Roman"/>
          <w:iCs/>
        </w:rPr>
        <w:t>)</w:t>
      </w:r>
      <w:r w:rsidRPr="00BC6787">
        <w:rPr>
          <w:rFonts w:cs="Times New Roman"/>
        </w:rPr>
        <w:t xml:space="preserve">. In other </w:t>
      </w:r>
      <w:r w:rsidR="005347E3" w:rsidRPr="00BC6787">
        <w:rPr>
          <w:rFonts w:cs="Times New Roman"/>
        </w:rPr>
        <w:t>words,</w:t>
      </w:r>
      <w:r w:rsidRPr="00BC6787">
        <w:rPr>
          <w:rFonts w:cs="Times New Roman"/>
        </w:rPr>
        <w:t xml:space="preserve"> to minimise a function, one follows:</w:t>
      </w:r>
    </w:p>
    <w:p w14:paraId="7223F3D9" w14:textId="55BFE690" w:rsidR="008868D9" w:rsidRPr="00BC6787" w:rsidRDefault="008868D9" w:rsidP="008868D9">
      <w:pPr>
        <w:pStyle w:val="MTDisplayEquation"/>
        <w:rPr>
          <w:rFonts w:cs="Times New Roman"/>
        </w:rPr>
      </w:pPr>
      <w:r w:rsidRPr="00BC6787">
        <w:rPr>
          <w:rFonts w:cs="Times New Roman"/>
        </w:rPr>
        <w:tab/>
      </w:r>
      <w:r w:rsidR="00516F85" w:rsidRPr="00BC6787">
        <w:rPr>
          <w:position w:val="-10"/>
        </w:rPr>
        <w:object w:dxaOrig="1440" w:dyaOrig="300" w14:anchorId="7D9582D8">
          <v:shape id="_x0000_i1036" type="#_x0000_t75" style="width:71pt;height:15pt" o:ole="">
            <v:imagedata r:id="rId32" o:title=""/>
          </v:shape>
          <o:OLEObject Type="Embed" ProgID="Equation.DSMT4" ShapeID="_x0000_i1036" DrawAspect="Content" ObjectID="_1606308030" r:id="rId33"/>
        </w:object>
      </w:r>
      <w:r w:rsidRPr="00BC6787">
        <w:rPr>
          <w:rFonts w:cs="Times New Roman"/>
        </w:rPr>
        <w:t xml:space="preserve"> </w:t>
      </w:r>
      <w:r w:rsidRPr="00BC6787">
        <w:rPr>
          <w:rFonts w:cs="Times New Roman"/>
        </w:rPr>
        <w:tab/>
      </w:r>
      <w:r w:rsidR="00F3598E" w:rsidRPr="00BC6787">
        <w:rPr>
          <w:rFonts w:cs="Times New Roman"/>
        </w:rPr>
        <w:fldChar w:fldCharType="begin"/>
      </w:r>
      <w:r w:rsidR="00F3598E" w:rsidRPr="00BC6787">
        <w:rPr>
          <w:rFonts w:cs="Times New Roman"/>
        </w:rPr>
        <w:instrText xml:space="preserve"> MACROBUTTON MTPlaceRef \* MERGEFORMAT </w:instrText>
      </w:r>
      <w:r w:rsidR="00F3598E" w:rsidRPr="00BC6787">
        <w:rPr>
          <w:rFonts w:cs="Times New Roman"/>
        </w:rPr>
        <w:fldChar w:fldCharType="begin"/>
      </w:r>
      <w:r w:rsidR="00F3598E" w:rsidRPr="00BC6787">
        <w:rPr>
          <w:rFonts w:cs="Times New Roman"/>
        </w:rPr>
        <w:instrText xml:space="preserve"> SEQ MTEqn \h \* MERGEFORMAT </w:instrText>
      </w:r>
      <w:r w:rsidR="00F3598E" w:rsidRPr="00BC6787">
        <w:rPr>
          <w:rFonts w:cs="Times New Roman"/>
        </w:rPr>
        <w:fldChar w:fldCharType="end"/>
      </w:r>
      <w:r w:rsidR="00F3598E" w:rsidRPr="00BC6787">
        <w:rPr>
          <w:rFonts w:cs="Times New Roman"/>
        </w:rPr>
        <w:instrText>(</w:instrText>
      </w:r>
      <w:r w:rsidR="00D73E0B" w:rsidRPr="00BC6787">
        <w:rPr>
          <w:rFonts w:cs="Times New Roman"/>
        </w:rPr>
        <w:fldChar w:fldCharType="begin"/>
      </w:r>
      <w:r w:rsidR="00D73E0B" w:rsidRPr="00BC6787">
        <w:rPr>
          <w:rFonts w:cs="Times New Roman"/>
        </w:rPr>
        <w:instrText xml:space="preserve"> SEQ MTEqn \c \* Arabic \* MERGEFORMAT </w:instrText>
      </w:r>
      <w:r w:rsidR="00D73E0B" w:rsidRPr="00BC6787">
        <w:rPr>
          <w:rFonts w:cs="Times New Roman"/>
        </w:rPr>
        <w:fldChar w:fldCharType="separate"/>
      </w:r>
      <w:r w:rsidR="005B1EB7" w:rsidRPr="00BC6787">
        <w:rPr>
          <w:rFonts w:cs="Times New Roman"/>
          <w:noProof/>
        </w:rPr>
        <w:instrText>5</w:instrText>
      </w:r>
      <w:r w:rsidR="00D73E0B" w:rsidRPr="00BC6787">
        <w:rPr>
          <w:rFonts w:cs="Times New Roman"/>
          <w:noProof/>
        </w:rPr>
        <w:fldChar w:fldCharType="end"/>
      </w:r>
      <w:r w:rsidR="00F3598E" w:rsidRPr="00BC6787">
        <w:rPr>
          <w:rFonts w:cs="Times New Roman"/>
        </w:rPr>
        <w:instrText>)</w:instrText>
      </w:r>
      <w:r w:rsidR="00F3598E" w:rsidRPr="00BC6787">
        <w:rPr>
          <w:rFonts w:cs="Times New Roman"/>
        </w:rPr>
        <w:fldChar w:fldCharType="end"/>
      </w:r>
    </w:p>
    <w:p w14:paraId="684ED386" w14:textId="5B8172B1" w:rsidR="008868D9" w:rsidRPr="00BC6787" w:rsidRDefault="00516F85" w:rsidP="43CA53EC">
      <w:pPr>
        <w:pStyle w:val="MTDisplayEquation"/>
        <w:tabs>
          <w:tab w:val="clear" w:pos="4520"/>
          <w:tab w:val="clear" w:pos="9020"/>
        </w:tabs>
        <w:rPr>
          <w:rFonts w:cs="Times New Roman"/>
        </w:rPr>
      </w:pPr>
      <w:r w:rsidRPr="00BC6787">
        <w:rPr>
          <w:rFonts w:cs="Times New Roman"/>
        </w:rPr>
        <w:t xml:space="preserve">where α is a scaling factor to determine the step size of the descent. </w:t>
      </w:r>
      <w:r w:rsidR="000132BF" w:rsidRPr="00BC6787">
        <w:rPr>
          <w:rFonts w:cs="Times New Roman"/>
        </w:rPr>
        <w:t>Previous work utilising</w:t>
      </w:r>
      <w:r w:rsidR="008868D9" w:rsidRPr="00BC6787">
        <w:rPr>
          <w:rFonts w:cs="Times New Roman"/>
        </w:rPr>
        <w:t xml:space="preserve"> force matching with a Monte Carlo optimisation showed that the objective function is convex without secondary minima</w:t>
      </w:r>
      <w:r w:rsidR="00E2792D" w:rsidRPr="00BC6787">
        <w:rPr>
          <w:rFonts w:cs="Times New Roman"/>
        </w:rPr>
        <w:fldChar w:fldCharType="begin" w:fldLock="1"/>
      </w:r>
      <w:r w:rsidR="000C038E">
        <w:rPr>
          <w:rFonts w:cs="Times New Roman"/>
        </w:rPr>
        <w:instrText>ADDIN CSL_CITATION {"citationItems":[{"id":"ITEM-1","itemData":{"DOI":"10.1039/c5cp04328j","ISSN":"1463-9084","PMID":"26349916","abstract":"A rapid method to parameterize the intramolecular component of classical force fields for complex conjugated molecules is proposed. The method is based on a procedure of force matching with a reference electronic structure calculation. It is particularly suitable for those applications where molecular dynamics simulations are used to generate structures that are therefore analysed by electronic structure methods, because it is possible to build force fields that are consistent with electronic structure calculations that follow classical simulations. Such applications are commonly encountered in organic electronics, spectroscopy of complex systems and photobiology (e.g. photosynthetic systems). We illustrate the method by parameterizing the force fields of a molecule used in molecular semiconductors (2,2-dicyanovinyl-capped S,N-heteropentacene or DCV-SN5), a polymeric semiconductor (thieno[3,2-b]thiophene-diketopyrrolopyrrole TT-DPP) and a chromophore embedded in a protein environment (15,16-dihydrobiliverdin or DBV) where several hundreds of parameters need to be optimized in parallel.","author":[{"dropping-particle":"","family":"Do","given":"Hainam","non-dropping-particle":"","parse-names":false,"suffix":""},{"dropping-particle":"","family":"Troisi","given":"Alessandro","non-dropping-particle":"","parse-names":false,"suffix":""}],"container-title":"Physical Chemistry Chemical Physics","id":"ITEM-1","issue":"38","issued":{"date-parts":[["2015","10","14"]]},"language":"en","page":"25123-32","publisher":"The Royal Society of Chemistry","title":"Developing accurate molecular mechanics force fields for conjugated molecular systems.","type":"article-journal","volume":"17"},"uris":["http://www.mendeley.com/documents/?uuid=d400ccbc-83b5-451b-87b4-52cc67976ab3"]}],"mendeley":{"formattedCitation":"&lt;sup&gt;48&lt;/sup&gt;","plainTextFormattedCitation":"48","previouslyFormattedCitation":"&lt;sup&gt;48&lt;/sup&gt;"},"properties":{"noteIndex":0},"schema":"https://github.com/citation-style-language/schema/raw/master/csl-citation.json"}</w:instrText>
      </w:r>
      <w:r w:rsidR="00E2792D" w:rsidRPr="00BC6787">
        <w:rPr>
          <w:rFonts w:cs="Times New Roman"/>
        </w:rPr>
        <w:fldChar w:fldCharType="separate"/>
      </w:r>
      <w:r w:rsidR="00912E63" w:rsidRPr="00912E63">
        <w:rPr>
          <w:rFonts w:cs="Times New Roman"/>
          <w:noProof/>
          <w:vertAlign w:val="superscript"/>
        </w:rPr>
        <w:t>48</w:t>
      </w:r>
      <w:r w:rsidR="00E2792D" w:rsidRPr="00BC6787">
        <w:rPr>
          <w:rFonts w:cs="Times New Roman"/>
        </w:rPr>
        <w:fldChar w:fldCharType="end"/>
      </w:r>
      <w:r w:rsidR="008868D9" w:rsidRPr="00BC6787">
        <w:rPr>
          <w:rFonts w:cs="Times New Roman"/>
        </w:rPr>
        <w:t xml:space="preserve"> thus a gradient descent method is appropriate.</w:t>
      </w:r>
    </w:p>
    <w:p w14:paraId="3315BA16" w14:textId="0EE5BED9" w:rsidR="008868D9" w:rsidRPr="00BC6787" w:rsidRDefault="43CA53EC" w:rsidP="43CA53EC">
      <w:pPr>
        <w:pStyle w:val="MTDisplayEquation"/>
        <w:tabs>
          <w:tab w:val="clear" w:pos="4520"/>
          <w:tab w:val="clear" w:pos="9020"/>
        </w:tabs>
        <w:ind w:firstLine="720"/>
        <w:rPr>
          <w:rFonts w:cs="Times New Roman"/>
        </w:rPr>
      </w:pPr>
      <w:r w:rsidRPr="00BC6787">
        <w:rPr>
          <w:rFonts w:cs="Times New Roman"/>
        </w:rPr>
        <w:t xml:space="preserve">To calculate the descent direction of the FF parameter set, the gradient, </w:t>
      </w:r>
      <w:r w:rsidRPr="00BC6787">
        <w:rPr>
          <w:rFonts w:cs="Times New Roman"/>
          <w:i/>
          <w:iCs/>
        </w:rPr>
        <w:t>G</w:t>
      </w:r>
      <w:r w:rsidRPr="00BC6787">
        <w:rPr>
          <w:rFonts w:cs="Times New Roman"/>
          <w:i/>
          <w:iCs/>
          <w:vertAlign w:val="subscript"/>
        </w:rPr>
        <w:t>i</w:t>
      </w:r>
      <w:r w:rsidRPr="00BC6787">
        <w:rPr>
          <w:rFonts w:cs="Times New Roman"/>
        </w:rPr>
        <w:t xml:space="preserve">, of the objective function for each parameter, </w:t>
      </w:r>
      <w:r w:rsidRPr="00BC6787">
        <w:rPr>
          <w:rFonts w:cs="Times New Roman"/>
          <w:i/>
          <w:iCs/>
        </w:rPr>
        <w:t>p</w:t>
      </w:r>
      <w:r w:rsidRPr="00BC6787">
        <w:rPr>
          <w:rFonts w:cs="Times New Roman"/>
          <w:i/>
          <w:iCs/>
          <w:vertAlign w:val="subscript"/>
        </w:rPr>
        <w:t>i</w:t>
      </w:r>
      <w:r w:rsidRPr="00BC6787">
        <w:rPr>
          <w:rFonts w:cs="Times New Roman"/>
        </w:rPr>
        <w:t>, must be obtained numerically:</w:t>
      </w:r>
    </w:p>
    <w:p w14:paraId="6390A1E0" w14:textId="79B6D841" w:rsidR="008868D9" w:rsidRPr="00BC6787" w:rsidRDefault="008868D9" w:rsidP="008868D9">
      <w:pPr>
        <w:pStyle w:val="MTDisplayEquation"/>
        <w:rPr>
          <w:rFonts w:cs="Times New Roman"/>
        </w:rPr>
      </w:pPr>
      <w:r w:rsidRPr="00BC6787">
        <w:rPr>
          <w:rFonts w:cs="Times New Roman"/>
        </w:rPr>
        <w:tab/>
      </w:r>
      <w:r w:rsidR="00516F85" w:rsidRPr="00BC6787">
        <w:rPr>
          <w:position w:val="-28"/>
        </w:rPr>
        <w:object w:dxaOrig="4360" w:dyaOrig="639" w14:anchorId="731A21A8">
          <v:shape id="_x0000_i1037" type="#_x0000_t75" style="width:218.5pt;height:32.5pt" o:ole="">
            <v:imagedata r:id="rId34" o:title=""/>
          </v:shape>
          <o:OLEObject Type="Embed" ProgID="Equation.DSMT4" ShapeID="_x0000_i1037" DrawAspect="Content" ObjectID="_1606308031" r:id="rId35"/>
        </w:object>
      </w:r>
      <w:r w:rsidRPr="00BC6787">
        <w:rPr>
          <w:rFonts w:cs="Times New Roman"/>
        </w:rPr>
        <w:t xml:space="preserve"> </w:t>
      </w:r>
      <w:r w:rsidRPr="00BC6787">
        <w:rPr>
          <w:rFonts w:cs="Times New Roman"/>
        </w:rPr>
        <w:tab/>
      </w:r>
      <w:r w:rsidR="00F3598E" w:rsidRPr="00BC6787">
        <w:rPr>
          <w:rFonts w:cs="Times New Roman"/>
        </w:rPr>
        <w:fldChar w:fldCharType="begin"/>
      </w:r>
      <w:r w:rsidR="00F3598E" w:rsidRPr="00BC6787">
        <w:rPr>
          <w:rFonts w:cs="Times New Roman"/>
        </w:rPr>
        <w:instrText xml:space="preserve"> MACROBUTTON MTPlaceRef \* MERGEFORMAT </w:instrText>
      </w:r>
      <w:r w:rsidR="00F3598E" w:rsidRPr="00BC6787">
        <w:rPr>
          <w:rFonts w:cs="Times New Roman"/>
        </w:rPr>
        <w:fldChar w:fldCharType="begin"/>
      </w:r>
      <w:r w:rsidR="00F3598E" w:rsidRPr="00BC6787">
        <w:rPr>
          <w:rFonts w:cs="Times New Roman"/>
        </w:rPr>
        <w:instrText xml:space="preserve"> SEQ MTEqn \h \* MERGEFORMAT </w:instrText>
      </w:r>
      <w:r w:rsidR="00F3598E" w:rsidRPr="00BC6787">
        <w:rPr>
          <w:rFonts w:cs="Times New Roman"/>
        </w:rPr>
        <w:fldChar w:fldCharType="end"/>
      </w:r>
      <w:r w:rsidR="00F3598E" w:rsidRPr="00BC6787">
        <w:rPr>
          <w:rFonts w:cs="Times New Roman"/>
        </w:rPr>
        <w:instrText>(</w:instrText>
      </w:r>
      <w:r w:rsidR="00D73E0B" w:rsidRPr="00BC6787">
        <w:rPr>
          <w:rFonts w:cs="Times New Roman"/>
        </w:rPr>
        <w:fldChar w:fldCharType="begin"/>
      </w:r>
      <w:r w:rsidR="00D73E0B" w:rsidRPr="00BC6787">
        <w:rPr>
          <w:rFonts w:cs="Times New Roman"/>
        </w:rPr>
        <w:instrText xml:space="preserve"> SEQ MTEqn \c \* Arabic \* MERGEFORMAT </w:instrText>
      </w:r>
      <w:r w:rsidR="00D73E0B" w:rsidRPr="00BC6787">
        <w:rPr>
          <w:rFonts w:cs="Times New Roman"/>
        </w:rPr>
        <w:fldChar w:fldCharType="separate"/>
      </w:r>
      <w:r w:rsidR="005B1EB7" w:rsidRPr="00BC6787">
        <w:rPr>
          <w:rFonts w:cs="Times New Roman"/>
          <w:noProof/>
        </w:rPr>
        <w:instrText>6</w:instrText>
      </w:r>
      <w:r w:rsidR="00D73E0B" w:rsidRPr="00BC6787">
        <w:rPr>
          <w:rFonts w:cs="Times New Roman"/>
          <w:noProof/>
        </w:rPr>
        <w:fldChar w:fldCharType="end"/>
      </w:r>
      <w:r w:rsidR="00F3598E" w:rsidRPr="00BC6787">
        <w:rPr>
          <w:rFonts w:cs="Times New Roman"/>
        </w:rPr>
        <w:instrText>)</w:instrText>
      </w:r>
      <w:r w:rsidR="00F3598E" w:rsidRPr="00BC6787">
        <w:rPr>
          <w:rFonts w:cs="Times New Roman"/>
        </w:rPr>
        <w:fldChar w:fldCharType="end"/>
      </w:r>
    </w:p>
    <w:p w14:paraId="3E9EFDF2" w14:textId="47DBEF04" w:rsidR="008868D9" w:rsidRPr="00BC6787" w:rsidRDefault="43CA53EC" w:rsidP="43CA53EC">
      <w:pPr>
        <w:pStyle w:val="MTDisplayEquation"/>
        <w:rPr>
          <w:rFonts w:cs="Times New Roman"/>
        </w:rPr>
      </w:pPr>
      <w:r w:rsidRPr="00BC6787">
        <w:rPr>
          <w:rFonts w:cs="Times New Roman"/>
        </w:rPr>
        <w:t>Then each parameter is changed using the negative of its gradient:</w:t>
      </w:r>
    </w:p>
    <w:p w14:paraId="7480F225" w14:textId="06CFE182" w:rsidR="008868D9" w:rsidRPr="00BC6787" w:rsidRDefault="008868D9" w:rsidP="008868D9">
      <w:pPr>
        <w:pStyle w:val="MTDisplayEquation"/>
        <w:rPr>
          <w:rFonts w:cs="Times New Roman"/>
        </w:rPr>
      </w:pPr>
      <w:r w:rsidRPr="00BC6787">
        <w:rPr>
          <w:rFonts w:cs="Times New Roman"/>
        </w:rPr>
        <w:tab/>
      </w:r>
      <w:r w:rsidR="00B14A70" w:rsidRPr="00BC6787">
        <w:rPr>
          <w:position w:val="-10"/>
        </w:rPr>
        <w:object w:dxaOrig="1380" w:dyaOrig="340" w14:anchorId="5DD9F228">
          <v:shape id="_x0000_i1038" type="#_x0000_t75" style="width:68.5pt;height:18.5pt" o:ole="">
            <v:imagedata r:id="rId36" o:title=""/>
          </v:shape>
          <o:OLEObject Type="Embed" ProgID="Equation.DSMT4" ShapeID="_x0000_i1038" DrawAspect="Content" ObjectID="_1606308032" r:id="rId37"/>
        </w:object>
      </w:r>
      <w:r w:rsidRPr="00BC6787">
        <w:rPr>
          <w:rFonts w:cs="Times New Roman"/>
        </w:rPr>
        <w:t xml:space="preserve"> </w:t>
      </w:r>
      <w:r w:rsidRPr="00BC6787">
        <w:rPr>
          <w:rFonts w:cs="Times New Roman"/>
        </w:rPr>
        <w:tab/>
      </w:r>
      <w:r w:rsidR="00F3598E" w:rsidRPr="00BC6787">
        <w:rPr>
          <w:rFonts w:cs="Times New Roman"/>
        </w:rPr>
        <w:fldChar w:fldCharType="begin"/>
      </w:r>
      <w:r w:rsidR="00F3598E" w:rsidRPr="00BC6787">
        <w:rPr>
          <w:rFonts w:cs="Times New Roman"/>
        </w:rPr>
        <w:instrText xml:space="preserve"> MACROBUTTON MTPlaceRef \* MERGEFORMAT </w:instrText>
      </w:r>
      <w:r w:rsidR="00F3598E" w:rsidRPr="00BC6787">
        <w:rPr>
          <w:rFonts w:cs="Times New Roman"/>
        </w:rPr>
        <w:fldChar w:fldCharType="begin"/>
      </w:r>
      <w:r w:rsidR="00F3598E" w:rsidRPr="00BC6787">
        <w:rPr>
          <w:rFonts w:cs="Times New Roman"/>
        </w:rPr>
        <w:instrText xml:space="preserve"> SEQ MTEqn \h \* MERGEFORMAT </w:instrText>
      </w:r>
      <w:r w:rsidR="00F3598E" w:rsidRPr="00BC6787">
        <w:rPr>
          <w:rFonts w:cs="Times New Roman"/>
        </w:rPr>
        <w:fldChar w:fldCharType="end"/>
      </w:r>
      <w:r w:rsidR="00F3598E" w:rsidRPr="00BC6787">
        <w:rPr>
          <w:rFonts w:cs="Times New Roman"/>
        </w:rPr>
        <w:instrText>(</w:instrText>
      </w:r>
      <w:r w:rsidR="00D73E0B" w:rsidRPr="00BC6787">
        <w:rPr>
          <w:rFonts w:cs="Times New Roman"/>
        </w:rPr>
        <w:fldChar w:fldCharType="begin"/>
      </w:r>
      <w:r w:rsidR="00D73E0B" w:rsidRPr="00BC6787">
        <w:rPr>
          <w:rFonts w:cs="Times New Roman"/>
        </w:rPr>
        <w:instrText xml:space="preserve"> SEQ MTEqn \c \* Arabic \* MERGEFORMAT </w:instrText>
      </w:r>
      <w:r w:rsidR="00D73E0B" w:rsidRPr="00BC6787">
        <w:rPr>
          <w:rFonts w:cs="Times New Roman"/>
        </w:rPr>
        <w:fldChar w:fldCharType="separate"/>
      </w:r>
      <w:r w:rsidR="005B1EB7" w:rsidRPr="00BC6787">
        <w:rPr>
          <w:rFonts w:cs="Times New Roman"/>
          <w:noProof/>
        </w:rPr>
        <w:instrText>7</w:instrText>
      </w:r>
      <w:r w:rsidR="00D73E0B" w:rsidRPr="00BC6787">
        <w:rPr>
          <w:rFonts w:cs="Times New Roman"/>
          <w:noProof/>
        </w:rPr>
        <w:fldChar w:fldCharType="end"/>
      </w:r>
      <w:r w:rsidR="00F3598E" w:rsidRPr="00BC6787">
        <w:rPr>
          <w:rFonts w:cs="Times New Roman"/>
        </w:rPr>
        <w:instrText>)</w:instrText>
      </w:r>
      <w:r w:rsidR="00F3598E" w:rsidRPr="00BC6787">
        <w:rPr>
          <w:rFonts w:cs="Times New Roman"/>
        </w:rPr>
        <w:fldChar w:fldCharType="end"/>
      </w:r>
    </w:p>
    <w:p w14:paraId="3568A1C4" w14:textId="183644CB" w:rsidR="002F23C7" w:rsidRPr="00BC6787" w:rsidRDefault="43CA53EC" w:rsidP="002F23C7">
      <w:pPr>
        <w:pStyle w:val="MTDisplayEquation"/>
        <w:rPr>
          <w:rFonts w:cs="Times New Roman"/>
        </w:rPr>
      </w:pPr>
      <w:r w:rsidRPr="00BC6787">
        <w:rPr>
          <w:rFonts w:cs="Times New Roman"/>
        </w:rPr>
        <w:lastRenderedPageBreak/>
        <w:t>to create a new parameter set. The process continues until the objective function is minimised an</w:t>
      </w:r>
      <w:r w:rsidR="004B69FC" w:rsidRPr="00BC6787">
        <w:rPr>
          <w:rFonts w:cs="Times New Roman"/>
        </w:rPr>
        <w:t>d the FF is considered optimised</w:t>
      </w:r>
      <w:r w:rsidRPr="00BC6787">
        <w:rPr>
          <w:rFonts w:cs="Times New Roman"/>
        </w:rPr>
        <w:t>.</w:t>
      </w:r>
      <w:r w:rsidR="002F23C7" w:rsidRPr="00BC6787">
        <w:rPr>
          <w:rFonts w:cs="Times New Roman"/>
        </w:rPr>
        <w:t xml:space="preserve"> In principle, o</w:t>
      </w:r>
      <w:r w:rsidR="002F23C7" w:rsidRPr="00BC6787">
        <w:t>ne could use this new FF to generate new structures and iterate the process, however previous work</w:t>
      </w:r>
      <w:r w:rsidR="00344829" w:rsidRPr="00BC6787">
        <w:rPr>
          <w:vertAlign w:val="superscript"/>
        </w:rPr>
        <w:t>49</w:t>
      </w:r>
      <w:r w:rsidR="002F23C7" w:rsidRPr="00BC6787">
        <w:t xml:space="preserve"> has shown the majority of improvement (93 – 96 %) is achieved in the first iteration and so no iteration is implemented here.</w:t>
      </w:r>
    </w:p>
    <w:p w14:paraId="18FED496" w14:textId="11D09557" w:rsidR="00F17EC7" w:rsidRPr="00BC6787" w:rsidRDefault="0092253A" w:rsidP="43CA53EC">
      <w:pPr>
        <w:spacing w:after="0"/>
        <w:rPr>
          <w:rFonts w:cs="Times New Roman"/>
          <w:u w:val="single"/>
        </w:rPr>
      </w:pPr>
      <w:r>
        <w:rPr>
          <w:rFonts w:cs="Times New Roman"/>
          <w:u w:val="single"/>
        </w:rPr>
        <w:t xml:space="preserve">3.2 </w:t>
      </w:r>
      <w:r w:rsidR="43CA53EC" w:rsidRPr="00BC6787">
        <w:rPr>
          <w:rFonts w:cs="Times New Roman"/>
          <w:u w:val="single"/>
        </w:rPr>
        <w:t>Computational details</w:t>
      </w:r>
    </w:p>
    <w:p w14:paraId="79005AC5" w14:textId="3257E725" w:rsidR="004C705E" w:rsidRPr="0092253A" w:rsidRDefault="0092253A" w:rsidP="43CA53EC">
      <w:pPr>
        <w:rPr>
          <w:rFonts w:cs="Times New Roman"/>
          <w:bCs/>
        </w:rPr>
      </w:pPr>
      <w:r>
        <w:rPr>
          <w:rFonts w:eastAsiaTheme="minorEastAsia" w:cs="Times New Roman"/>
          <w:bCs/>
        </w:rPr>
        <w:t xml:space="preserve">3.2.1. </w:t>
      </w:r>
      <w:r w:rsidR="43CA53EC" w:rsidRPr="0092253A">
        <w:rPr>
          <w:rFonts w:eastAsiaTheme="minorEastAsia" w:cs="Times New Roman"/>
          <w:bCs/>
        </w:rPr>
        <w:t>Initial geometries</w:t>
      </w:r>
    </w:p>
    <w:p w14:paraId="4D8D9EEB" w14:textId="77ECC31E" w:rsidR="00702D78" w:rsidRPr="00BC6787" w:rsidRDefault="294FBF96" w:rsidP="743D8EFC">
      <w:pPr>
        <w:rPr>
          <w:rFonts w:cs="Times New Roman"/>
        </w:rPr>
      </w:pPr>
      <w:r w:rsidRPr="00BC6787">
        <w:rPr>
          <w:rFonts w:cs="Times New Roman"/>
        </w:rPr>
        <w:t>Structures of the chromophores were obtained from MD simulations of the chromophore in its protein environment, solvated by water.</w:t>
      </w:r>
      <w:r w:rsidR="00C21E9F" w:rsidRPr="00BC6787">
        <w:rPr>
          <w:rFonts w:cs="Times New Roman"/>
        </w:rPr>
        <w:t xml:space="preserve"> </w:t>
      </w:r>
      <w:r w:rsidR="00EA0AD9" w:rsidRPr="00BC6787">
        <w:rPr>
          <w:rFonts w:cs="Times New Roman"/>
        </w:rPr>
        <w:t>Utilising structures from the chromophores embedded in their environment removes the necessity to iteratively improve the FF as described in similar work</w:t>
      </w:r>
      <w:r w:rsidR="00EA0AD9" w:rsidRPr="00BC6787">
        <w:rPr>
          <w:rFonts w:cs="Times New Roman"/>
        </w:rPr>
        <w:fldChar w:fldCharType="begin" w:fldLock="1"/>
      </w:r>
      <w:r w:rsidR="000C038E">
        <w:rPr>
          <w:rFonts w:cs="Times New Roman"/>
        </w:rPr>
        <w:instrText>ADDIN CSL_CITATION {"citationItems":[{"id":"ITEM-1","itemData":{"DOI":"10.1039/c5cp04328j","ISSN":"1463-9084","PMID":"26349916","abstract":"A rapid method to parameterize the intramolecular component of classical force fields for complex conjugated molecules is proposed. The method is based on a procedure of force matching with a reference electronic structure calculation. It is particularly suitable for those applications where molecular dynamics simulations are used to generate structures that are therefore analysed by electronic structure methods, because it is possible to build force fields that are consistent with electronic structure calculations that follow classical simulations. Such applications are commonly encountered in organic electronics, spectroscopy of complex systems and photobiology (e.g. photosynthetic systems). We illustrate the method by parameterizing the force fields of a molecule used in molecular semiconductors (2,2-dicyanovinyl-capped S,N-heteropentacene or DCV-SN5), a polymeric semiconductor (thieno[3,2-b]thiophene-diketopyrrolopyrrole TT-DPP) and a chromophore embedded in a protein environment (15,16-dihydrobiliverdin or DBV) where several hundreds of parameters need to be optimized in parallel.","author":[{"dropping-particle":"","family":"Do","given":"Hainam","non-dropping-particle":"","parse-names":false,"suffix":""},{"dropping-particle":"","family":"Troisi","given":"Alessandro","non-dropping-particle":"","parse-names":false,"suffix":""}],"container-title":"Physical Chemistry Chemical Physics","id":"ITEM-1","issue":"38","issued":{"date-parts":[["2015","10","14"]]},"language":"en","page":"25123-32","publisher":"The Royal Society of Chemistry","title":"Developing accurate molecular mechanics force fields for conjugated molecular systems.","type":"article-journal","volume":"17"},"uris":["http://www.mendeley.com/documents/?uuid=d400ccbc-83b5-451b-87b4-52cc67976ab3"]}],"mendeley":{"formattedCitation":"&lt;sup&gt;48&lt;/sup&gt;","plainTextFormattedCitation":"48","previouslyFormattedCitation":"&lt;sup&gt;48&lt;/sup&gt;"},"properties":{"noteIndex":0},"schema":"https://github.com/citation-style-language/schema/raw/master/csl-citation.json"}</w:instrText>
      </w:r>
      <w:r w:rsidR="00EA0AD9" w:rsidRPr="00BC6787">
        <w:rPr>
          <w:rFonts w:cs="Times New Roman"/>
        </w:rPr>
        <w:fldChar w:fldCharType="separate"/>
      </w:r>
      <w:r w:rsidR="00912E63" w:rsidRPr="00912E63">
        <w:rPr>
          <w:rFonts w:cs="Times New Roman"/>
          <w:noProof/>
          <w:vertAlign w:val="superscript"/>
        </w:rPr>
        <w:t>48</w:t>
      </w:r>
      <w:r w:rsidR="00EA0AD9" w:rsidRPr="00BC6787">
        <w:rPr>
          <w:rFonts w:cs="Times New Roman"/>
        </w:rPr>
        <w:fldChar w:fldCharType="end"/>
      </w:r>
      <w:r w:rsidR="00EA0AD9" w:rsidRPr="00BC6787">
        <w:rPr>
          <w:rFonts w:cs="Times New Roman"/>
        </w:rPr>
        <w:t>, as the protein constrains the geometries.</w:t>
      </w:r>
      <w:r w:rsidR="004C705E" w:rsidRPr="00BC6787">
        <w:rPr>
          <w:rFonts w:cs="Times New Roman"/>
        </w:rPr>
        <w:t xml:space="preserve"> The proteins used were FMO, the water-soluble chlorophyll-a binding (WSCP-a) protein and water-soluble chlorophyll-b binding (WSCP-b) protein for </w:t>
      </w:r>
      <w:proofErr w:type="spellStart"/>
      <w:r w:rsidR="004C705E" w:rsidRPr="00BC6787">
        <w:rPr>
          <w:rFonts w:cs="Times New Roman"/>
        </w:rPr>
        <w:t>bcl</w:t>
      </w:r>
      <w:proofErr w:type="spellEnd"/>
      <w:r w:rsidR="004C705E" w:rsidRPr="00BC6787">
        <w:rPr>
          <w:rFonts w:cs="Times New Roman"/>
        </w:rPr>
        <w:t xml:space="preserve">, </w:t>
      </w:r>
      <w:proofErr w:type="spellStart"/>
      <w:r w:rsidR="004C705E" w:rsidRPr="00BC6787">
        <w:rPr>
          <w:rFonts w:cs="Times New Roman"/>
        </w:rPr>
        <w:t>chl</w:t>
      </w:r>
      <w:proofErr w:type="spellEnd"/>
      <w:r w:rsidR="004C705E" w:rsidRPr="00BC6787">
        <w:rPr>
          <w:rFonts w:cs="Times New Roman"/>
        </w:rPr>
        <w:t xml:space="preserve">-a and </w:t>
      </w:r>
      <w:proofErr w:type="spellStart"/>
      <w:r w:rsidR="004C705E" w:rsidRPr="00BC6787">
        <w:rPr>
          <w:rFonts w:cs="Times New Roman"/>
        </w:rPr>
        <w:t>chl</w:t>
      </w:r>
      <w:proofErr w:type="spellEnd"/>
      <w:r w:rsidR="004C705E" w:rsidRPr="00BC6787">
        <w:rPr>
          <w:rFonts w:cs="Times New Roman"/>
        </w:rPr>
        <w:t>-b, respectively.</w:t>
      </w:r>
      <w:r w:rsidR="00702D78" w:rsidRPr="00BC6787">
        <w:rPr>
          <w:rFonts w:cs="Times New Roman"/>
        </w:rPr>
        <w:t xml:space="preserve"> Exploring geometries in the protein environment as opposed to in vacuum is important for FF</w:t>
      </w:r>
      <w:r w:rsidR="004B69FC" w:rsidRPr="00BC6787">
        <w:rPr>
          <w:rFonts w:cs="Times New Roman"/>
        </w:rPr>
        <w:t>s to be used in the study of PPC</w:t>
      </w:r>
      <w:r w:rsidR="00702D78" w:rsidRPr="00BC6787">
        <w:rPr>
          <w:rFonts w:cs="Times New Roman"/>
        </w:rPr>
        <w:t>s</w:t>
      </w:r>
      <w:r w:rsidR="00A14D12" w:rsidRPr="00BC6787">
        <w:rPr>
          <w:rFonts w:cs="Times New Roman"/>
        </w:rPr>
        <w:t>,</w:t>
      </w:r>
      <w:r w:rsidR="0015088E" w:rsidRPr="00BC6787">
        <w:rPr>
          <w:rFonts w:cs="Times New Roman"/>
        </w:rPr>
        <w:t xml:space="preserve"> as the environment distorts the chromophore geometry</w:t>
      </w:r>
      <w:r w:rsidR="004C705E" w:rsidRPr="00BC6787">
        <w:rPr>
          <w:rFonts w:cs="Times New Roman"/>
        </w:rPr>
        <w:t>.</w:t>
      </w:r>
      <w:r w:rsidR="00791375" w:rsidRPr="00BC6787">
        <w:rPr>
          <w:rFonts w:cs="Times New Roman"/>
        </w:rPr>
        <w:t xml:space="preserve"> All M</w:t>
      </w:r>
      <w:r w:rsidR="00451D1A" w:rsidRPr="00BC6787">
        <w:rPr>
          <w:rFonts w:cs="Times New Roman"/>
        </w:rPr>
        <w:t>D was carried out using GROMACS 5.0.5 software.</w:t>
      </w:r>
      <w:r w:rsidR="00451D1A" w:rsidRPr="00BC6787">
        <w:fldChar w:fldCharType="begin" w:fldLock="1"/>
      </w:r>
      <w:r w:rsidR="000C038E">
        <w:rPr>
          <w:rFonts w:cs="Times New Roman"/>
        </w:rPr>
        <w:instrText>ADDIN CSL_CITATION {"citationItems":[{"id":"ITEM-1","itemData":{"DOI":"10.1093/bioinformatics/btt055","ISSN":"1367-4811","PMID":"23407358","abstract":"MOTIVATION: Molecular simulation has historically been a low-throughput technique, but faster computers and increasing amounts of genomic and structural data are changing this by enabling large-scale automated simulation of, for instance, many conformers or mutants of biomolecules with or without a range of ligands. At the same time, advances in performance and scaling now make it possible to model complex biomolecular interaction and function in a manner directly testable by experiment. These applications share a need for fast and efficient software that can be deployed on massive scale in clusters, web servers, distributed computing or cloud resources.\n\nRESULTS: Here, we present a range of new simulation algorithms and features developed during the past 4 years, leading up to the GROMACS 4.5 software package. The software now automatically handles wide classes of biomolecules, such as proteins, nucleic acids and lipids, and comes with all commonly used force fields for these molecules built-in. GROMACS supports several implicit solvent models, as well as new free-energy algorithms, and the software now uses multithreading for efficient parallelization even on low-end systems, including windows-based workstations. Together with hand-tuned assembly kernels and state-of-the-art parallelization, this provides extremely high performance and cost efficiency for high-throughput as well as massively parallel simulations.\n\nAVAILABILITY: GROMACS is an open source and free software available from http://www.gromacs.org.\n\nSUPPLEMENTARY INFORMATION: Supplementary data are available at Bioinformatics online.","author":[{"dropping-particle":"","family":"Pronk","given":"Sander","non-dropping-particle":"","parse-names":false,"suffix":""},{"dropping-particle":"","family":"Páll","given":"Szilárd","non-dropping-particle":"","parse-names":false,"suffix":""},{"dropping-particle":"","family":"Schulz","given":"Roland","non-dropping-particle":"","parse-names":false,"suffix":""},{"dropping-particle":"","family":"Larsson","given":"Per","non-dropping-particle":"","parse-names":false,"suffix":""},{"dropping-particle":"","family":"Bjelkmar","given":"Pär","non-dropping-particle":"","parse-names":false,"suffix":""},{"dropping-particle":"","family":"Apostolov","given":"Rossen","non-dropping-particle":"","parse-names":false,"suffix":""},{"dropping-particle":"","family":"Shirts","given":"Michael R","non-dropping-particle":"","parse-names":false,"suffix":""},{"dropping-particle":"","family":"Smith","given":"Jeremy C","non-dropping-particle":"","parse-names":false,"suffix":""},{"dropping-particle":"","family":"Kasson","given":"Peter M","non-dropping-particle":"","parse-names":false,"suffix":""},{"dropping-particle":"","family":"Spoel","given":"David","non-dropping-particle":"van der","parse-names":false,"suffix":""},{"dropping-particle":"","family":"Hess","given":"Berk","non-dropping-particle":"","parse-names":false,"suffix":""},{"dropping-particle":"","family":"Lindahl","given":"Erik","non-dropping-particle":"","parse-names":false,"suffix":""}],"container-title":"Bioinformatics (Oxford, England)","id":"ITEM-1","issue":"7","issued":{"date-parts":[["2013","4","1"]]},"page":"845-54","title":"GROMACS 4.5: a high-throughput and highly parallel open source molecular simulation toolkit.","type":"article-journal","volume":"29"},"uris":["http://www.mendeley.com/documents/?uuid=db22bd04-b6cc-401d-8e35-819a9c03aff5"]}],"mendeley":{"formattedCitation":"&lt;sup&gt;54&lt;/sup&gt;","plainTextFormattedCitation":"54","previouslyFormattedCitation":"&lt;sup&gt;54&lt;/sup&gt;"},"properties":{"noteIndex":0},"schema":"https://github.com/citation-style-language/schema/raw/master/csl-citation.json"}</w:instrText>
      </w:r>
      <w:r w:rsidR="00451D1A" w:rsidRPr="00BC6787">
        <w:rPr>
          <w:rFonts w:cs="Times New Roman"/>
        </w:rPr>
        <w:fldChar w:fldCharType="separate"/>
      </w:r>
      <w:r w:rsidR="00912E63" w:rsidRPr="00912E63">
        <w:rPr>
          <w:rFonts w:cs="Times New Roman"/>
          <w:noProof/>
          <w:vertAlign w:val="superscript"/>
        </w:rPr>
        <w:t>54</w:t>
      </w:r>
      <w:r w:rsidR="00451D1A" w:rsidRPr="00BC6787">
        <w:fldChar w:fldCharType="end"/>
      </w:r>
      <w:r w:rsidR="00791375" w:rsidRPr="00BC6787">
        <w:rPr>
          <w:rFonts w:cs="Times New Roman"/>
        </w:rPr>
        <w:t xml:space="preserve"> </w:t>
      </w:r>
    </w:p>
    <w:p w14:paraId="29151EC7" w14:textId="071A3D8D" w:rsidR="00FC09CE" w:rsidRPr="00BC6787" w:rsidRDefault="0015088E" w:rsidP="00A14D12">
      <w:pPr>
        <w:ind w:firstLine="720"/>
        <w:rPr>
          <w:rFonts w:cs="Times New Roman"/>
        </w:rPr>
      </w:pPr>
      <w:r w:rsidRPr="00BC6787">
        <w:rPr>
          <w:rFonts w:cs="Times New Roman"/>
        </w:rPr>
        <w:t>The initial structure</w:t>
      </w:r>
      <w:r w:rsidR="007E5470" w:rsidRPr="00BC6787">
        <w:rPr>
          <w:rFonts w:cs="Times New Roman"/>
        </w:rPr>
        <w:t>s for FMO, WSCP-a and WSCP-b were taken from the Protein Data Bank, PDB:</w:t>
      </w:r>
      <w:r w:rsidRPr="00BC6787">
        <w:rPr>
          <w:rFonts w:cs="Times New Roman"/>
        </w:rPr>
        <w:t xml:space="preserve"> 3BSD and 5HPZ</w:t>
      </w:r>
      <w:r w:rsidR="007E5470" w:rsidRPr="00BC6787">
        <w:rPr>
          <w:rFonts w:cs="Times New Roman"/>
        </w:rPr>
        <w:t xml:space="preserve"> (used for both WSCPs), respectively</w:t>
      </w:r>
      <w:r w:rsidRPr="00BC6787">
        <w:rPr>
          <w:rFonts w:cs="Times New Roman"/>
        </w:rPr>
        <w:t xml:space="preserve">. The missing residues of WSCP were built with </w:t>
      </w:r>
      <w:r w:rsidR="00A14D12" w:rsidRPr="00BC6787">
        <w:rPr>
          <w:rFonts w:cs="Times New Roman"/>
        </w:rPr>
        <w:t xml:space="preserve">the </w:t>
      </w:r>
      <w:r w:rsidRPr="00BC6787">
        <w:rPr>
          <w:rFonts w:cs="Times New Roman"/>
        </w:rPr>
        <w:t>CHARMM-GUI website</w:t>
      </w:r>
      <w:r w:rsidR="00A14D12" w:rsidRPr="00BC6787">
        <w:rPr>
          <w:rFonts w:cs="Times New Roman"/>
        </w:rPr>
        <w:t>.</w:t>
      </w:r>
      <w:r w:rsidRPr="00BC6787">
        <w:fldChar w:fldCharType="begin" w:fldLock="1"/>
      </w:r>
      <w:r w:rsidR="000C038E">
        <w:rPr>
          <w:rFonts w:cs="Times New Roman"/>
        </w:rPr>
        <w:instrText>ADDIN CSL_CITATION {"citationItems":[{"id":"ITEM-1","itemData":{"DOI":"10.1021/acs.jctc.5b00935","ISBN":"1549-9618","ISSN":"15499626","PMID":"26631602","abstract":"Proper treatment of nonbonded interactions is essential for the accuracy of molecular dynamics (MD) simulations, especially in studies of lipid bilayers. The use of the CHARMM36 force field (C36 FF) in different MD simulation programs can result in disagreements with published simulations performed with CHARMM due to differences in the protocols used to treat the long-range and 1- 4 nonbonded interactions. In this study, we systematically test the use of the C36 lipid FF in NAMD, GROMACS, AMBER, OpenMM, and CHARMM/OpenMM. A wide range of Lennard-Jones (LJ) cutoff schemes and integrator algorithms were tested to find the optimal simulation protocol to best match bilayer properties of six lipids with varying acyl chain saturation and head groups. MD simulations of a 1,2-dipalmitoyl-sn-phosphatidylcholine (DPPC) bilayer were used to obtain the optimal protocol for each program. MD simulations with all programs were found to reasonably match the DPPC bilayer properties (surface area per lipid, chain order parameters, and area compressibility modulus) obtained using the standard protocol used in CHARMM as well as from experiments. The optimal simulation protocol was then applied to the other five lipid simulations and resulted in excellent agreement between results from most simulation programs as well as with experimental data. AMBER compared least favorably with the expected membrane properties, which appears to be due to its use of the hard- truncation in the LJ potential versus a force-based switching function used to smooth the LJ potential as it approaches the cutoff distance. The optimal simulation protocol for each program has been implemented in CHARMM-GUI. This protocol is expected to be applicable to the remainder of the additive C36 FF including the proteins, nucleic acids, carbohydrates, and small molecules.","author":[{"dropping-particle":"","family":"Lee","given":"Jumin","non-dropping-particle":"","parse-names":false,"suffix":""},{"dropping-particle":"","family":"Cheng","given":"Xi","non-dropping-particle":"","parse-names":false,"suffix":""},{"dropping-particle":"","family":"Swails","given":"Jason M.","non-dropping-particle":"","parse-names":false,"suffix":""},{"dropping-particle":"","family":"Yeom","given":"Min Sun","non-dropping-particle":"","parse-names":false,"suffix":""},{"dropping-particle":"","family":"Eastman","given":"Peter K.","non-dropping-particle":"","parse-names":false,"suffix":""},{"dropping-particle":"","family":"Lemkul","given":"Justin A.","non-dropping-particle":"","parse-names":false,"suffix":""},{"dropping-particle":"","family":"Wei","given":"Shuai","non-dropping-particle":"","parse-names":false,"suffix":""},{"dropping-particle":"","family":"Buckner","given":"Joshua","non-dropping-particle":"","parse-names":false,"suffix":""},{"dropping-particle":"","family":"Jeong","given":"Jong Cheol","non-dropping-particle":"","parse-names":false,"suffix":""},{"dropping-particle":"","family":"Qi","given":"Yifei","non-dropping-particle":"","parse-names":false,"suffix":""},{"dropping-particle":"","family":"Jo","given":"Sunhwan","non-dropping-particle":"","parse-names":false,"suffix":""},{"dropping-particle":"","family":"Pande","given":"Vijay S.","non-dropping-particle":"","parse-names":false,"suffix":""},{"dropping-particle":"","family":"Case","given":"David A.","non-dropping-particle":"","parse-names":false,"suffix":""},{"dropping-particle":"","family":"Brooks III","given":"Charles L.","non-dropping-particle":"","parse-names":false,"suffix":""},{"dropping-particle":"","family":"MacKerell Jr.","given":"Alexander D.","non-dropping-particle":"","parse-names":false,"suffix":""},{"dropping-particle":"","family":"Klauda","given":"Jeffery B.","non-dropping-particle":"","parse-names":false,"suffix":""},{"dropping-particle":"","family":"Im","given":"Wonpil","non-dropping-particle":"","parse-names":false,"suffix":""}],"container-title":"Journal of Chemical Theory and Computation","id":"ITEM-1","issue":"1","issued":{"date-parts":[["2016","1","12"]]},"page":"405-413","publisher":"American Chemical Society","title":"CHARMM-GUI Input Generator for NAMD, GROMACS, AMBER, OpenMM, and CHARMM/OpenMM Simulations Using the CHARMM36 Additive Force Field","type":"article-journal","volume":"12"},"uris":["http://www.mendeley.com/documents/?uuid=2d07dd6e-da98-38a4-8e1a-c82a215194c7"]}],"mendeley":{"formattedCitation":"&lt;sup&gt;55&lt;/sup&gt;","plainTextFormattedCitation":"55","previouslyFormattedCitation":"&lt;sup&gt;55&lt;/sup&gt;"},"properties":{"noteIndex":0},"schema":"https://github.com/citation-style-language/schema/raw/master/csl-citation.json"}</w:instrText>
      </w:r>
      <w:r w:rsidRPr="00BC6787">
        <w:rPr>
          <w:rFonts w:cs="Times New Roman"/>
        </w:rPr>
        <w:fldChar w:fldCharType="separate"/>
      </w:r>
      <w:r w:rsidR="00912E63" w:rsidRPr="00912E63">
        <w:rPr>
          <w:rFonts w:cs="Times New Roman"/>
          <w:noProof/>
          <w:vertAlign w:val="superscript"/>
        </w:rPr>
        <w:t>55</w:t>
      </w:r>
      <w:r w:rsidRPr="00BC6787">
        <w:fldChar w:fldCharType="end"/>
      </w:r>
      <w:r w:rsidR="009F2ADF" w:rsidRPr="00BC6787">
        <w:t xml:space="preserve"> </w:t>
      </w:r>
      <w:r w:rsidR="002274E1" w:rsidRPr="00BC6787">
        <w:t xml:space="preserve">In FMO there are </w:t>
      </w:r>
      <w:r w:rsidR="00713A92" w:rsidRPr="00BC6787">
        <w:t xml:space="preserve">4 </w:t>
      </w:r>
      <w:proofErr w:type="spellStart"/>
      <w:r w:rsidR="00713A92" w:rsidRPr="00BC6787">
        <w:t>bcls</w:t>
      </w:r>
      <w:proofErr w:type="spellEnd"/>
      <w:r w:rsidR="00713A92" w:rsidRPr="00BC6787">
        <w:t xml:space="preserve"> for which the Mg atom coordinates to a</w:t>
      </w:r>
      <w:r w:rsidR="002274E1" w:rsidRPr="00BC6787">
        <w:t xml:space="preserve"> histidine residue (HIS)</w:t>
      </w:r>
      <w:r w:rsidR="00713A92" w:rsidRPr="00BC6787">
        <w:t xml:space="preserve">. These </w:t>
      </w:r>
      <w:r w:rsidR="007E28EE" w:rsidRPr="00BC6787">
        <w:t xml:space="preserve">were assigned a protonation state to allow this coordination, all other HIS residues were assigned protonation in position </w:t>
      </w:r>
      <w:r w:rsidR="007E28EE" w:rsidRPr="00BC6787">
        <w:rPr>
          <w:rFonts w:cs="Times New Roman"/>
        </w:rPr>
        <w:t>ε</w:t>
      </w:r>
      <w:r w:rsidR="007E28EE" w:rsidRPr="00BC6787">
        <w:t xml:space="preserve">. </w:t>
      </w:r>
      <w:r w:rsidR="00F73C18" w:rsidRPr="00BC6787">
        <w:t xml:space="preserve">The FF description of Mg coordination is </w:t>
      </w:r>
      <w:r w:rsidR="00713A92" w:rsidRPr="00BC6787">
        <w:t>well known to be difficult to determine.</w:t>
      </w:r>
      <w:r w:rsidR="00362F19" w:rsidRPr="00BC6787">
        <w:t xml:space="preserve"> In this case we assume their treatment in the initial FF is valid. </w:t>
      </w:r>
      <w:r w:rsidR="00FF7EE7" w:rsidRPr="00BC6787">
        <w:t>A</w:t>
      </w:r>
      <w:r w:rsidR="00362F19" w:rsidRPr="00BC6787">
        <w:t>xial coordination to the Mg atom</w:t>
      </w:r>
      <w:r w:rsidR="00641EEE" w:rsidRPr="00BC6787">
        <w:t xml:space="preserve"> </w:t>
      </w:r>
      <w:r w:rsidR="00FF7EE7" w:rsidRPr="00BC6787">
        <w:t>of chromophores affects their spectroscopic properties</w:t>
      </w:r>
      <w:r w:rsidR="00FF7EE7" w:rsidRPr="00BC6787">
        <w:fldChar w:fldCharType="begin" w:fldLock="1"/>
      </w:r>
      <w:r w:rsidR="000C038E">
        <w:instrText>ADDIN CSL_CITATION {"citationItems":[{"id":"ITEM-1","itemData":{"DOI":"10.1016/0005-2728(75)90147-4","ISBN":"0006-3002 (Print)\\r0006-3002 (Linking)","ISSN":"00052728","PMID":"1174519","abstract":"The visible absorption spectrum of bacteriochlorophyll a (Bchl) in the 560-620 nm (yellow) region can be used to establish the coordination state of the central Mg atom. Five-coordinated Mg species absorb near 580 nm, whereas 6-coordinated Mg species are red-shifted to about 610 nm. Five-coordination is confirmed to be the principal coordination state of Mg in self-aggregated bacteriochlorophyll. The equilibrium constant for the reaction Bchl · Py + Py ai Bchl · Py2has been determined from computer-assisted analyses of spectral data, where Py represents pyridine. The spectral criteria for the coordination state of Mg in bacteriochlorophyll advanced here are shown to be applicable to both in vitro and in vivo systems. Similar spectral behavior is exhibited by chlorophylls a and b, and a band at 633 nm is shown to be associated with the presence of 6-coordinated Mg in chlorophyll a. © 1975.","author":[{"dropping-particle":"","family":"Evans","given":"Thomas A.","non-dropping-particle":"","parse-names":false,"suffix":""},{"dropping-particle":"","family":"Katz","given":"Joseph J.","non-dropping-particle":"","parse-names":false,"suffix":""}],"container-title":"BBA - Bioenergetics","id":"ITEM-1","issue":"3","issued":{"date-parts":[["1975","9","8"]]},"page":"414-426","publisher":"Elsevier","title":"Evidence for 5- and 6-coordinated magnesium in bacteriochlorophyll a from visible absorption spectroscopy","type":"article-journal","volume":"396"},"uris":["http://www.mendeley.com/documents/?uuid=a1d35016-8566-3a2d-876a-f13e7b8d7f52"]},{"id":"ITEM-2","itemData":{"DOI":"10.1007/978-1-4684-8697-1_14","author":[{"dropping-particle":"","family":"Katz","given":"Joseph J.","non-dropping-particle":"","parse-names":false,"suffix":""}],"container-title":"Developments in applied spectroscopy","id":"ITEM-2","issued":{"date-parts":[["1968"]]},"page":"201-218","publisher":"Springer US","publisher-place":"Boston, MA","title":"Coordination Properties of Magnesium In Chlorophyll from IR and NMR Spectra *","type":"chapter"},"uris":["http://www.mendeley.com/documents/?uuid=bb4ac4dd-8051-3b60-bf50-ff472edc53b8"]}],"mendeley":{"formattedCitation":"&lt;sup&gt;56,57&lt;/sup&gt;","plainTextFormattedCitation":"56,57","previouslyFormattedCitation":"&lt;sup&gt;56,57&lt;/sup&gt;"},"properties":{"noteIndex":0},"schema":"https://github.com/citation-style-language/schema/raw/master/csl-citation.json"}</w:instrText>
      </w:r>
      <w:r w:rsidR="00FF7EE7" w:rsidRPr="00BC6787">
        <w:fldChar w:fldCharType="separate"/>
      </w:r>
      <w:r w:rsidR="00912E63" w:rsidRPr="00912E63">
        <w:rPr>
          <w:noProof/>
          <w:vertAlign w:val="superscript"/>
        </w:rPr>
        <w:t>56,57</w:t>
      </w:r>
      <w:r w:rsidR="00FF7EE7" w:rsidRPr="00BC6787">
        <w:fldChar w:fldCharType="end"/>
      </w:r>
      <w:r w:rsidR="00362F19" w:rsidRPr="00BC6787">
        <w:t xml:space="preserve">. </w:t>
      </w:r>
      <w:r w:rsidR="007E28EE" w:rsidRPr="00BC6787">
        <w:t>The rest of the residues in all the proteins were assigned their standard protonation state.</w:t>
      </w:r>
      <w:r w:rsidR="002274E1" w:rsidRPr="00BC6787">
        <w:t xml:space="preserve"> </w:t>
      </w:r>
      <w:r w:rsidRPr="00BC6787">
        <w:rPr>
          <w:rFonts w:cs="Times New Roman"/>
        </w:rPr>
        <w:t>For all proteins, t</w:t>
      </w:r>
      <w:r w:rsidR="294FBF96" w:rsidRPr="00BC6787">
        <w:rPr>
          <w:rFonts w:cs="Times New Roman"/>
        </w:rPr>
        <w:t>he CHARMM</w:t>
      </w:r>
      <w:r w:rsidRPr="00BC6787">
        <w:rPr>
          <w:rFonts w:cs="Times New Roman"/>
        </w:rPr>
        <w:t>36</w:t>
      </w:r>
      <w:r w:rsidR="294FBF96" w:rsidRPr="00BC6787">
        <w:rPr>
          <w:rFonts w:cs="Times New Roman"/>
        </w:rPr>
        <w:t xml:space="preserve"> </w:t>
      </w:r>
      <w:r w:rsidRPr="00BC6787">
        <w:rPr>
          <w:rFonts w:cs="Times New Roman"/>
        </w:rPr>
        <w:t>FF</w:t>
      </w:r>
      <w:r w:rsidR="294FBF96" w:rsidRPr="00BC6787">
        <w:rPr>
          <w:rFonts w:cs="Times New Roman"/>
        </w:rPr>
        <w:t xml:space="preserve"> </w:t>
      </w:r>
      <w:r w:rsidR="00791375" w:rsidRPr="00BC6787">
        <w:rPr>
          <w:rFonts w:cs="Times New Roman"/>
        </w:rPr>
        <w:t>and</w:t>
      </w:r>
      <w:r w:rsidR="294FBF96" w:rsidRPr="00BC6787">
        <w:rPr>
          <w:rFonts w:cs="Times New Roman"/>
        </w:rPr>
        <w:t xml:space="preserve"> TIP3P</w:t>
      </w:r>
      <w:r w:rsidR="00F56C08" w:rsidRPr="00BC6787">
        <w:rPr>
          <w:rFonts w:cs="Times New Roman"/>
        </w:rPr>
        <w:fldChar w:fldCharType="begin" w:fldLock="1"/>
      </w:r>
      <w:r w:rsidR="000C038E">
        <w:rPr>
          <w:rFonts w:cs="Times New Roman"/>
        </w:rPr>
        <w:instrText>ADDIN CSL_CITATION {"citationItems":[{"id":"ITEM-1","itemData":{"DOI":"10.1063/1.445869","ISSN":"0021-9606","abstract":"Classical Monte Carlo simulations have been carried out for liquid water in the NPT ensemble at 25 °C and 1 atm using six of the simpler intermolecular potential functions for the water dimer: Bernal–Fowler (BF), SPC, ST2, TIPS2, TIP3P, and TIP4P. Comparisons are made with experimental thermodynamic and structural data including the recent neutron diffraction results of Thiessen and Narten. The computed densities and potential energies are in reasonable accord with experiment except for the original BF model, which yields an 18% overestimate of the density and poor structural results. The TIPS2 and TIP4P potentials yield oxygen–oxygen partial structure functions in good agreement with the neutron diffraction results. The accord with the experimental OH and HH partial structure functions is poorer; however, the computed results for these functions are similar for all the potential functions. Consequently, the discrepancy may be due to the correction terms needed in processing the neutron data or to an effe...","author":[{"dropping-particle":"","family":"Jorgensen","given":"William L.","non-dropping-particle":"","parse-names":false,"suffix":""},{"dropping-particle":"","family":"Chandrasekhar","given":"Jayaraman","non-dropping-particle":"","parse-names":false,"suffix":""},{"dropping-particle":"","family":"Madura","given":"Jeffry D.","non-dropping-particle":"","parse-names":false,"suffix":""},{"dropping-particle":"","family":"Impey","given":"Roger W.","non-dropping-particle":"","parse-names":false,"suffix":""},{"dropping-particle":"","family":"Klein","given":"Michael L.","non-dropping-particle":"","parse-names":false,"suffix":""}],"container-title":"The Journal of Chemical Physics","id":"ITEM-1","issue":"2","issued":{"date-parts":[["1983","7","15"]]},"page":"926-935","publisher":"American Institute of Physics","title":"Comparison of simple potential functions for simulating liquid water","type":"article-journal","volume":"79"},"uris":["http://www.mendeley.com/documents/?uuid=079b3b16-1028-31d6-83f8-5e4c59f93db8"]}],"mendeley":{"formattedCitation":"&lt;sup&gt;58&lt;/sup&gt;","plainTextFormattedCitation":"58","previouslyFormattedCitation":"&lt;sup&gt;58&lt;/sup&gt;"},"properties":{"noteIndex":0},"schema":"https://github.com/citation-style-language/schema/raw/master/csl-citation.json"}</w:instrText>
      </w:r>
      <w:r w:rsidR="00F56C08" w:rsidRPr="00BC6787">
        <w:rPr>
          <w:rFonts w:cs="Times New Roman"/>
        </w:rPr>
        <w:fldChar w:fldCharType="separate"/>
      </w:r>
      <w:r w:rsidR="00912E63" w:rsidRPr="00912E63">
        <w:rPr>
          <w:rFonts w:cs="Times New Roman"/>
          <w:noProof/>
          <w:vertAlign w:val="superscript"/>
        </w:rPr>
        <w:t>58</w:t>
      </w:r>
      <w:r w:rsidR="00F56C08" w:rsidRPr="00BC6787">
        <w:rPr>
          <w:rFonts w:cs="Times New Roman"/>
        </w:rPr>
        <w:fldChar w:fldCharType="end"/>
      </w:r>
      <w:r w:rsidR="294FBF96" w:rsidRPr="00BC6787">
        <w:rPr>
          <w:rFonts w:cs="Times New Roman"/>
        </w:rPr>
        <w:t xml:space="preserve"> water model</w:t>
      </w:r>
      <w:r w:rsidR="00362F19" w:rsidRPr="00BC6787">
        <w:rPr>
          <w:rFonts w:cs="Times New Roman"/>
        </w:rPr>
        <w:t xml:space="preserve"> were used</w:t>
      </w:r>
      <w:r w:rsidR="294FBF96" w:rsidRPr="00BC6787">
        <w:rPr>
          <w:rFonts w:cs="Times New Roman"/>
        </w:rPr>
        <w:t>. The system</w:t>
      </w:r>
      <w:r w:rsidRPr="00BC6787">
        <w:rPr>
          <w:rFonts w:cs="Times New Roman"/>
        </w:rPr>
        <w:t xml:space="preserve">s </w:t>
      </w:r>
      <w:r w:rsidR="0064206A" w:rsidRPr="00BC6787">
        <w:rPr>
          <w:rFonts w:cs="Times New Roman"/>
        </w:rPr>
        <w:t>w</w:t>
      </w:r>
      <w:r w:rsidRPr="00BC6787">
        <w:rPr>
          <w:rFonts w:cs="Times New Roman"/>
        </w:rPr>
        <w:t>ere</w:t>
      </w:r>
      <w:r w:rsidR="0064206A" w:rsidRPr="00BC6787">
        <w:rPr>
          <w:rFonts w:cs="Times New Roman"/>
        </w:rPr>
        <w:t xml:space="preserve"> </w:t>
      </w:r>
      <w:r w:rsidR="294FBF96" w:rsidRPr="00BC6787">
        <w:rPr>
          <w:rFonts w:cs="Times New Roman"/>
        </w:rPr>
        <w:t>solvated</w:t>
      </w:r>
      <w:r w:rsidR="0064206A" w:rsidRPr="00BC6787">
        <w:rPr>
          <w:rFonts w:cs="Times New Roman"/>
        </w:rPr>
        <w:t xml:space="preserve"> with water in a cubic box</w:t>
      </w:r>
      <w:r w:rsidR="00F56C08" w:rsidRPr="00BC6787">
        <w:rPr>
          <w:rFonts w:cs="Times New Roman"/>
        </w:rPr>
        <w:t xml:space="preserve"> with edge length of 120 Å and 110 Å for FMO and the WSCPs, respectively</w:t>
      </w:r>
      <w:r w:rsidR="294FBF96" w:rsidRPr="00BC6787">
        <w:rPr>
          <w:rFonts w:cs="Times New Roman"/>
        </w:rPr>
        <w:t>. A</w:t>
      </w:r>
      <w:r w:rsidRPr="00BC6787">
        <w:rPr>
          <w:rFonts w:cs="Times New Roman"/>
        </w:rPr>
        <w:t>fter</w:t>
      </w:r>
      <w:r w:rsidR="00F56C08" w:rsidRPr="00BC6787">
        <w:rPr>
          <w:rFonts w:cs="Times New Roman"/>
        </w:rPr>
        <w:t xml:space="preserve"> a</w:t>
      </w:r>
      <w:r w:rsidR="294FBF96" w:rsidRPr="00BC6787">
        <w:rPr>
          <w:rFonts w:cs="Times New Roman"/>
        </w:rPr>
        <w:t xml:space="preserve"> steepest-descent</w:t>
      </w:r>
      <w:r w:rsidRPr="00BC6787">
        <w:rPr>
          <w:rFonts w:cs="Times New Roman"/>
        </w:rPr>
        <w:t xml:space="preserve"> energy</w:t>
      </w:r>
      <w:r w:rsidR="294FBF96" w:rsidRPr="00BC6787">
        <w:rPr>
          <w:rFonts w:cs="Times New Roman"/>
        </w:rPr>
        <w:t xml:space="preserve"> minimisation</w:t>
      </w:r>
      <w:r w:rsidRPr="00BC6787">
        <w:rPr>
          <w:rFonts w:cs="Times New Roman"/>
        </w:rPr>
        <w:t>, a 200</w:t>
      </w:r>
      <w:r w:rsidR="00BA6AC0" w:rsidRPr="00BC6787">
        <w:rPr>
          <w:rFonts w:cs="Times New Roman"/>
        </w:rPr>
        <w:t> </w:t>
      </w:r>
      <w:proofErr w:type="spellStart"/>
      <w:r w:rsidRPr="00BC6787">
        <w:rPr>
          <w:rFonts w:cs="Times New Roman"/>
        </w:rPr>
        <w:t>ps</w:t>
      </w:r>
      <w:proofErr w:type="spellEnd"/>
      <w:r w:rsidRPr="00BC6787">
        <w:rPr>
          <w:rFonts w:cs="Times New Roman"/>
        </w:rPr>
        <w:t xml:space="preserve"> NVT equilibration (300 K</w:t>
      </w:r>
      <w:r w:rsidR="00A03122" w:rsidRPr="00BC6787">
        <w:rPr>
          <w:rFonts w:cs="Times New Roman"/>
        </w:rPr>
        <w:t>;</w:t>
      </w:r>
      <w:r w:rsidR="00677959" w:rsidRPr="00BC6787">
        <w:rPr>
          <w:rFonts w:cs="Times New Roman"/>
        </w:rPr>
        <w:t xml:space="preserve"> </w:t>
      </w:r>
      <w:proofErr w:type="spellStart"/>
      <w:r w:rsidR="00A03122" w:rsidRPr="00BC6787">
        <w:rPr>
          <w:rFonts w:cs="Times New Roman"/>
        </w:rPr>
        <w:t>Berendsen</w:t>
      </w:r>
      <w:proofErr w:type="spellEnd"/>
      <w:r w:rsidR="00A03122" w:rsidRPr="00BC6787">
        <w:rPr>
          <w:rFonts w:cs="Times New Roman"/>
        </w:rPr>
        <w:t xml:space="preserve"> thermostat</w:t>
      </w:r>
      <w:r w:rsidR="00677959" w:rsidRPr="00BC6787">
        <w:rPr>
          <w:rFonts w:cs="Times New Roman"/>
        </w:rPr>
        <w:fldChar w:fldCharType="begin" w:fldLock="1"/>
      </w:r>
      <w:r w:rsidR="000C038E">
        <w:rPr>
          <w:rFonts w:cs="Times New Roman"/>
        </w:rPr>
        <w:instrText>ADDIN CSL_CITATION {"citationItems":[{"id":"ITEM-1","itemData":{"DOI":"10.1063/1.448118","ISSN":"0021-9606","abstract":"In molecular dynamics (MD) simulations the need often arises to maintain such parameters as temperature or pressure rather than energy and volume, or to impose gradients for studying transport properties in nonequilibrium MD. A method is described to realize coupling to an external bath with constant temperature or pressure with adjustable time constants for the coupling. The method is easily extendable to other variables and to gradients, and can be applied also to polyatomic molecules involving internal constraints. The influence of coupling time constants on dynamical variables is evaluated. A leap‐frog algorithm is presented for the general case involving constraints with coupling to both a constant temperature and a constant pressure bath.","author":[{"dropping-particle":"","family":"Berendsen","given":"H. J. C.","non-dropping-particle":"","parse-names":false,"suffix":""},{"dropping-particle":"","family":"Postma","given":"J. P. M.","non-dropping-particle":"","parse-names":false,"suffix":""},{"dropping-particle":"","family":"Gunsteren","given":"W. F.","non-dropping-particle":"van","parse-names":false,"suffix":""},{"dropping-particle":"","family":"DiNola","given":"A.","non-dropping-particle":"","parse-names":false,"suffix":""},{"dropping-particle":"","family":"Haak","given":"J. R.","non-dropping-particle":"","parse-names":false,"suffix":""}],"container-title":"The Journal of Chemical Physics","id":"ITEM-1","issue":"8","issued":{"date-parts":[["1984","10","15"]]},"page":"3684-3690","publisher":"American Institute of Physics","title":"Molecular dynamics with coupling to an external bath","type":"article-journal","volume":"81"},"uris":["http://www.mendeley.com/documents/?uuid=ec889e10-cdb9-3d82-b517-bc167f60ad15"]}],"mendeley":{"formattedCitation":"&lt;sup&gt;59&lt;/sup&gt;","plainTextFormattedCitation":"59","previouslyFormattedCitation":"&lt;sup&gt;59&lt;/sup&gt;"},"properties":{"noteIndex":0},"schema":"https://github.com/citation-style-language/schema/raw/master/csl-citation.json"}</w:instrText>
      </w:r>
      <w:r w:rsidR="00677959" w:rsidRPr="00BC6787">
        <w:rPr>
          <w:rFonts w:cs="Times New Roman"/>
        </w:rPr>
        <w:fldChar w:fldCharType="separate"/>
      </w:r>
      <w:r w:rsidR="00912E63" w:rsidRPr="00912E63">
        <w:rPr>
          <w:rFonts w:cs="Times New Roman"/>
          <w:noProof/>
          <w:vertAlign w:val="superscript"/>
        </w:rPr>
        <w:t>59</w:t>
      </w:r>
      <w:r w:rsidR="00677959" w:rsidRPr="00BC6787">
        <w:rPr>
          <w:rFonts w:cs="Times New Roman"/>
        </w:rPr>
        <w:fldChar w:fldCharType="end"/>
      </w:r>
      <w:r w:rsidR="00EB49F4" w:rsidRPr="00BC6787">
        <w:rPr>
          <w:rFonts w:cs="Times New Roman"/>
        </w:rPr>
        <w:t xml:space="preserve">; </w:t>
      </w:r>
      <w:proofErr w:type="spellStart"/>
      <w:r w:rsidR="00EB49F4" w:rsidRPr="00BC6787">
        <w:rPr>
          <w:rFonts w:cs="Times New Roman"/>
        </w:rPr>
        <w:t>τ</w:t>
      </w:r>
      <w:r w:rsidR="00EB49F4" w:rsidRPr="00BC6787">
        <w:rPr>
          <w:rFonts w:cs="Times New Roman"/>
          <w:vertAlign w:val="subscript"/>
        </w:rPr>
        <w:t>T</w:t>
      </w:r>
      <w:proofErr w:type="spellEnd"/>
      <w:r w:rsidR="00EB49F4" w:rsidRPr="00BC6787">
        <w:rPr>
          <w:rFonts w:cs="Times New Roman"/>
          <w:vertAlign w:val="subscript"/>
        </w:rPr>
        <w:t xml:space="preserve"> </w:t>
      </w:r>
      <w:r w:rsidR="00EB49F4" w:rsidRPr="00BC6787">
        <w:rPr>
          <w:rFonts w:cs="Times New Roman"/>
        </w:rPr>
        <w:t xml:space="preserve">= 0.1 </w:t>
      </w:r>
      <w:proofErr w:type="spellStart"/>
      <w:r w:rsidR="00EB49F4" w:rsidRPr="00BC6787">
        <w:rPr>
          <w:rFonts w:cs="Times New Roman"/>
        </w:rPr>
        <w:t>ps</w:t>
      </w:r>
      <w:proofErr w:type="spellEnd"/>
      <w:r w:rsidRPr="00BC6787">
        <w:rPr>
          <w:rFonts w:cs="Times New Roman"/>
        </w:rPr>
        <w:t xml:space="preserve">) was run, followed by </w:t>
      </w:r>
      <w:r w:rsidRPr="00BC6787">
        <w:t>200</w:t>
      </w:r>
      <w:r w:rsidR="009F2ADF" w:rsidRPr="00BC6787">
        <w:t> </w:t>
      </w:r>
      <w:proofErr w:type="spellStart"/>
      <w:r w:rsidRPr="00BC6787">
        <w:t>ps</w:t>
      </w:r>
      <w:proofErr w:type="spellEnd"/>
      <w:r w:rsidRPr="00BC6787">
        <w:rPr>
          <w:rFonts w:cs="Times New Roman"/>
        </w:rPr>
        <w:t xml:space="preserve"> NPT </w:t>
      </w:r>
      <w:r w:rsidR="009F2ADF" w:rsidRPr="00BC6787">
        <w:rPr>
          <w:rFonts w:cs="Times New Roman"/>
        </w:rPr>
        <w:t>equilibration (</w:t>
      </w:r>
      <w:r w:rsidRPr="00BC6787">
        <w:rPr>
          <w:rFonts w:cs="Times New Roman"/>
        </w:rPr>
        <w:t>1 bar</w:t>
      </w:r>
      <w:r w:rsidR="00805F46" w:rsidRPr="00BC6787">
        <w:rPr>
          <w:rFonts w:cs="Times New Roman"/>
        </w:rPr>
        <w:t xml:space="preserve">; </w:t>
      </w:r>
      <w:proofErr w:type="spellStart"/>
      <w:r w:rsidR="00805F46" w:rsidRPr="00BC6787">
        <w:rPr>
          <w:rFonts w:cs="Times New Roman"/>
        </w:rPr>
        <w:t>Berendsen</w:t>
      </w:r>
      <w:proofErr w:type="spellEnd"/>
      <w:r w:rsidR="00805F46" w:rsidRPr="00BC6787">
        <w:rPr>
          <w:rFonts w:cs="Times New Roman"/>
        </w:rPr>
        <w:t xml:space="preserve"> barostat</w:t>
      </w:r>
      <w:r w:rsidR="00677959" w:rsidRPr="00BC6787">
        <w:rPr>
          <w:rFonts w:cs="Times New Roman"/>
        </w:rPr>
        <w:fldChar w:fldCharType="begin" w:fldLock="1"/>
      </w:r>
      <w:r w:rsidR="000C038E">
        <w:rPr>
          <w:rFonts w:cs="Times New Roman"/>
        </w:rPr>
        <w:instrText>ADDIN CSL_CITATION {"citationItems":[{"id":"ITEM-1","itemData":{"DOI":"10.1063/1.448118","ISSN":"0021-9606","abstract":"In molecular dynamics (MD) simulations the need often arises to maintain such parameters as temperature or pressure rather than energy and volume, or to impose gradients for studying transport properties in nonequilibrium MD. A method is described to realize coupling to an external bath with constant temperature or pressure with adjustable time constants for the coupling. The method is easily extendable to other variables and to gradients, and can be applied also to polyatomic molecules involving internal constraints. The influence of coupling time constants on dynamical variables is evaluated. A leap‐frog algorithm is presented for the general case involving constraints with coupling to both a constant temperature and a constant pressure bath.","author":[{"dropping-particle":"","family":"Berendsen","given":"H. J. C.","non-dropping-particle":"","parse-names":false,"suffix":""},{"dropping-particle":"","family":"Postma","given":"J. P. M.","non-dropping-particle":"","parse-names":false,"suffix":""},{"dropping-particle":"","family":"Gunsteren","given":"W. F.","non-dropping-particle":"van","parse-names":false,"suffix":""},{"dropping-particle":"","family":"DiNola","given":"A.","non-dropping-particle":"","parse-names":false,"suffix":""},{"dropping-particle":"","family":"Haak","given":"J. R.","non-dropping-particle":"","parse-names":false,"suffix":""}],"container-title":"The Journal of Chemical Physics","id":"ITEM-1","issue":"8","issued":{"date-parts":[["1984","10","15"]]},"page":"3684-3690","publisher":"American Institute of Physics","title":"Molecular dynamics with coupling to an external bath","type":"article-journal","volume":"81"},"uris":["http://www.mendeley.com/documents/?uuid=ec889e10-cdb9-3d82-b517-bc167f60ad15"]}],"mendeley":{"formattedCitation":"&lt;sup&gt;59&lt;/sup&gt;","plainTextFormattedCitation":"59","previouslyFormattedCitation":"&lt;sup&gt;59&lt;/sup&gt;"},"properties":{"noteIndex":0},"schema":"https://github.com/citation-style-language/schema/raw/master/csl-citation.json"}</w:instrText>
      </w:r>
      <w:r w:rsidR="00677959" w:rsidRPr="00BC6787">
        <w:rPr>
          <w:rFonts w:cs="Times New Roman"/>
        </w:rPr>
        <w:fldChar w:fldCharType="separate"/>
      </w:r>
      <w:r w:rsidR="00912E63" w:rsidRPr="00912E63">
        <w:rPr>
          <w:rFonts w:cs="Times New Roman"/>
          <w:noProof/>
          <w:vertAlign w:val="superscript"/>
        </w:rPr>
        <w:t>59</w:t>
      </w:r>
      <w:r w:rsidR="00677959" w:rsidRPr="00BC6787">
        <w:rPr>
          <w:rFonts w:cs="Times New Roman"/>
        </w:rPr>
        <w:fldChar w:fldCharType="end"/>
      </w:r>
      <w:r w:rsidR="00EB49F4" w:rsidRPr="00BC6787">
        <w:rPr>
          <w:rFonts w:cs="Times New Roman"/>
        </w:rPr>
        <w:t xml:space="preserve">; </w:t>
      </w:r>
      <w:proofErr w:type="spellStart"/>
      <w:r w:rsidR="00EB49F4" w:rsidRPr="00BC6787">
        <w:rPr>
          <w:rFonts w:cs="Times New Roman"/>
        </w:rPr>
        <w:t>τ</w:t>
      </w:r>
      <w:r w:rsidR="00EB49F4" w:rsidRPr="00BC6787">
        <w:rPr>
          <w:rFonts w:cs="Times New Roman"/>
          <w:vertAlign w:val="subscript"/>
        </w:rPr>
        <w:t>P</w:t>
      </w:r>
      <w:proofErr w:type="spellEnd"/>
      <w:r w:rsidR="00EB49F4" w:rsidRPr="00BC6787">
        <w:rPr>
          <w:rFonts w:cs="Times New Roman"/>
        </w:rPr>
        <w:t xml:space="preserve"> = 0.1 </w:t>
      </w:r>
      <w:proofErr w:type="spellStart"/>
      <w:r w:rsidR="00EB49F4" w:rsidRPr="00BC6787">
        <w:rPr>
          <w:rFonts w:cs="Times New Roman"/>
        </w:rPr>
        <w:t>ps</w:t>
      </w:r>
      <w:proofErr w:type="spellEnd"/>
      <w:r w:rsidR="009F2ADF" w:rsidRPr="00BC6787">
        <w:rPr>
          <w:rFonts w:cs="Times New Roman"/>
        </w:rPr>
        <w:t>),</w:t>
      </w:r>
      <w:r w:rsidR="009F2ADF" w:rsidRPr="00D852DF">
        <w:rPr>
          <w:rFonts w:cs="Times New Roman"/>
          <w:color w:val="000000" w:themeColor="text1"/>
        </w:rPr>
        <w:t xml:space="preserve"> </w:t>
      </w:r>
      <w:r w:rsidR="00F56C08" w:rsidRPr="00D852DF">
        <w:rPr>
          <w:rFonts w:cs="Times New Roman"/>
          <w:color w:val="000000" w:themeColor="text1"/>
        </w:rPr>
        <w:t>using</w:t>
      </w:r>
      <w:r w:rsidR="0064206A" w:rsidRPr="00D852DF">
        <w:rPr>
          <w:rFonts w:cs="Times New Roman"/>
          <w:color w:val="000000" w:themeColor="text1"/>
        </w:rPr>
        <w:t xml:space="preserve"> a 2 fs integration step </w:t>
      </w:r>
      <w:r w:rsidR="009F2ADF" w:rsidRPr="00D852DF">
        <w:rPr>
          <w:rFonts w:cs="Times New Roman"/>
          <w:color w:val="000000" w:themeColor="text1"/>
        </w:rPr>
        <w:t>and</w:t>
      </w:r>
      <w:r w:rsidR="0064206A" w:rsidRPr="00D852DF">
        <w:rPr>
          <w:rFonts w:cs="Times New Roman"/>
          <w:color w:val="000000" w:themeColor="text1"/>
        </w:rPr>
        <w:t xml:space="preserve"> </w:t>
      </w:r>
      <w:r w:rsidR="00F56C08" w:rsidRPr="00D852DF">
        <w:rPr>
          <w:rFonts w:cs="Times New Roman"/>
          <w:color w:val="000000" w:themeColor="text1"/>
        </w:rPr>
        <w:t xml:space="preserve">constraining all </w:t>
      </w:r>
      <w:r w:rsidR="00916D1A" w:rsidRPr="00D852DF">
        <w:rPr>
          <w:rFonts w:cs="Times New Roman"/>
          <w:color w:val="000000" w:themeColor="text1"/>
        </w:rPr>
        <w:t xml:space="preserve">bonds between hydrogen and other elements </w:t>
      </w:r>
      <w:r w:rsidR="00451D1A" w:rsidRPr="00D852DF">
        <w:rPr>
          <w:rFonts w:cs="Times New Roman"/>
          <w:color w:val="000000" w:themeColor="text1"/>
        </w:rPr>
        <w:t>using LINCS</w:t>
      </w:r>
      <w:r w:rsidR="00916D1A" w:rsidRPr="00D852DF">
        <w:rPr>
          <w:rFonts w:cs="Times New Roman"/>
          <w:color w:val="000000" w:themeColor="text1"/>
        </w:rPr>
        <w:t>.</w:t>
      </w:r>
      <w:r w:rsidR="00451D1A" w:rsidRPr="00D852DF">
        <w:rPr>
          <w:color w:val="000000" w:themeColor="text1"/>
        </w:rPr>
        <w:fldChar w:fldCharType="begin" w:fldLock="1"/>
      </w:r>
      <w:r w:rsidR="000C038E" w:rsidRPr="00D852DF">
        <w:rPr>
          <w:rFonts w:cs="Times New Roman"/>
          <w:color w:val="000000" w:themeColor="text1"/>
        </w:rPr>
        <w:instrText>ADDIN CSL_CITATION {"citationItems":[{"id":"ITEM-1","itemData":{"DOI":"10.1021/CT700200B","abstract":"By removing the fastest degrees of freedom, constraints allow for an increase of the time step in molecular simulations. In the last decade parallel simulations have become commonplace. However, up till now efficient parallel constraint algorithms have not been used with domain decomposition. In this paper the parallel linear constraint solver (P-LINCS) is presented, which allows the constraining of all bonds in macromolecules. Additionally the energy conservation properties of (P-)LINCS are assessed in view of improvements in the accuracy of uncoupled angle constraints and integration in single precision.","author":[{"dropping-particle":"","family":"Hess","given":"Berk","non-dropping-particle":"","parse-names":false,"suffix":""}],"container-title":"Journal of Chemical Theory and Computation","id":"ITEM-1","issue":"1","issued":{"date-parts":[["2008"]]},"page":"116-122","publisher":"American Chemical Society","title":"P-LINCS: A Parallel Linear Constraint Solver for Molecular Simulation","type":"article-journal","volume":"4"},"uris":["http://www.mendeley.com/documents/?uuid=1f7e6e70-9dc2-351a-aa15-3472c3fa11df"]}],"mendeley":{"formattedCitation":"&lt;sup&gt;60&lt;/sup&gt;","plainTextFormattedCitation":"60","previouslyFormattedCitation":"&lt;sup&gt;60&lt;/sup&gt;"},"properties":{"noteIndex":0},"schema":"https://github.com/citation-style-language/schema/raw/master/csl-citation.json"}</w:instrText>
      </w:r>
      <w:r w:rsidR="00451D1A" w:rsidRPr="00D852DF">
        <w:rPr>
          <w:rFonts w:cs="Times New Roman"/>
          <w:color w:val="000000" w:themeColor="text1"/>
        </w:rPr>
        <w:fldChar w:fldCharType="separate"/>
      </w:r>
      <w:r w:rsidR="00912E63" w:rsidRPr="00D852DF">
        <w:rPr>
          <w:rFonts w:cs="Times New Roman"/>
          <w:noProof/>
          <w:color w:val="000000" w:themeColor="text1"/>
          <w:vertAlign w:val="superscript"/>
        </w:rPr>
        <w:t>60</w:t>
      </w:r>
      <w:r w:rsidR="00451D1A" w:rsidRPr="00D852DF">
        <w:rPr>
          <w:color w:val="000000" w:themeColor="text1"/>
        </w:rPr>
        <w:fldChar w:fldCharType="end"/>
      </w:r>
      <w:r w:rsidR="0092253A" w:rsidRPr="00D852DF">
        <w:rPr>
          <w:color w:val="000000" w:themeColor="text1"/>
        </w:rPr>
        <w:t xml:space="preserve"> </w:t>
      </w:r>
      <w:r w:rsidR="00916D1A" w:rsidRPr="00D852DF">
        <w:rPr>
          <w:color w:val="000000" w:themeColor="text1"/>
        </w:rPr>
        <w:t xml:space="preserve">Note that such bonds involving hydrogen have only a marginal effect on the excited states of the chromophores. </w:t>
      </w:r>
      <w:r w:rsidR="009F2ADF" w:rsidRPr="00D852DF">
        <w:rPr>
          <w:rFonts w:cs="Times New Roman"/>
          <w:color w:val="000000" w:themeColor="text1"/>
        </w:rPr>
        <w:t>A subsequent</w:t>
      </w:r>
      <w:r w:rsidR="294FBF96" w:rsidRPr="00D852DF">
        <w:rPr>
          <w:rFonts w:cs="Times New Roman"/>
          <w:color w:val="000000" w:themeColor="text1"/>
        </w:rPr>
        <w:t xml:space="preserve"> 1</w:t>
      </w:r>
      <w:r w:rsidR="009F2ADF" w:rsidRPr="00D852DF">
        <w:rPr>
          <w:rFonts w:cs="Times New Roman"/>
          <w:color w:val="000000" w:themeColor="text1"/>
        </w:rPr>
        <w:t>0</w:t>
      </w:r>
      <w:r w:rsidR="294FBF96" w:rsidRPr="00D852DF">
        <w:rPr>
          <w:rFonts w:cs="Times New Roman"/>
          <w:color w:val="000000" w:themeColor="text1"/>
        </w:rPr>
        <w:t xml:space="preserve"> ns of dynamics was run</w:t>
      </w:r>
      <w:r w:rsidR="00805F46" w:rsidRPr="00D852DF">
        <w:rPr>
          <w:rFonts w:cs="Times New Roman"/>
          <w:color w:val="000000" w:themeColor="text1"/>
        </w:rPr>
        <w:t>.</w:t>
      </w:r>
      <w:r w:rsidR="294FBF96" w:rsidRPr="00D852DF">
        <w:rPr>
          <w:rFonts w:cs="Times New Roman"/>
          <w:color w:val="000000" w:themeColor="text1"/>
        </w:rPr>
        <w:t xml:space="preserve"> </w:t>
      </w:r>
      <w:r w:rsidR="00805F46" w:rsidRPr="00D852DF">
        <w:rPr>
          <w:rFonts w:cs="Times New Roman"/>
          <w:color w:val="000000" w:themeColor="text1"/>
        </w:rPr>
        <w:t xml:space="preserve">The </w:t>
      </w:r>
      <w:r w:rsidR="294FBF96" w:rsidRPr="00D852DF">
        <w:rPr>
          <w:rFonts w:cs="Times New Roman"/>
          <w:color w:val="000000" w:themeColor="text1"/>
        </w:rPr>
        <w:t xml:space="preserve">structures for the chromophores </w:t>
      </w:r>
      <w:r w:rsidR="294FBF96" w:rsidRPr="00BC6787">
        <w:rPr>
          <w:rFonts w:cs="Times New Roman"/>
        </w:rPr>
        <w:t>w</w:t>
      </w:r>
      <w:r w:rsidR="004C705E" w:rsidRPr="00BC6787">
        <w:rPr>
          <w:rFonts w:cs="Times New Roman"/>
        </w:rPr>
        <w:t>ere then taken</w:t>
      </w:r>
      <w:r w:rsidR="00A14D12" w:rsidRPr="00BC6787">
        <w:rPr>
          <w:rFonts w:cs="Times New Roman"/>
        </w:rPr>
        <w:t xml:space="preserve"> every 500 fs</w:t>
      </w:r>
      <w:r w:rsidR="004C705E" w:rsidRPr="00BC6787">
        <w:rPr>
          <w:rFonts w:cs="Times New Roman"/>
        </w:rPr>
        <w:t xml:space="preserve"> from a </w:t>
      </w:r>
      <w:r w:rsidR="009F2ADF" w:rsidRPr="00BC6787">
        <w:rPr>
          <w:rFonts w:cs="Times New Roman"/>
        </w:rPr>
        <w:t>final</w:t>
      </w:r>
      <w:r w:rsidR="004C705E" w:rsidRPr="00BC6787">
        <w:rPr>
          <w:rFonts w:cs="Times New Roman"/>
        </w:rPr>
        <w:t xml:space="preserve"> 8</w:t>
      </w:r>
      <w:r w:rsidR="004B69FC" w:rsidRPr="00BC6787">
        <w:rPr>
          <w:rFonts w:cs="Times New Roman"/>
        </w:rPr>
        <w:t>0</w:t>
      </w:r>
      <w:r w:rsidR="00713A92" w:rsidRPr="00BC6787">
        <w:rPr>
          <w:rFonts w:cs="Times New Roman"/>
        </w:rPr>
        <w:t> </w:t>
      </w:r>
      <w:proofErr w:type="spellStart"/>
      <w:r w:rsidR="004B69FC" w:rsidRPr="00BC6787">
        <w:rPr>
          <w:rFonts w:cs="Times New Roman"/>
        </w:rPr>
        <w:t>ps</w:t>
      </w:r>
      <w:proofErr w:type="spellEnd"/>
      <w:r w:rsidR="004B69FC" w:rsidRPr="00BC6787">
        <w:rPr>
          <w:rFonts w:cs="Times New Roman"/>
        </w:rPr>
        <w:t xml:space="preserve"> run</w:t>
      </w:r>
      <w:r w:rsidR="00761A07" w:rsidRPr="00BC6787">
        <w:rPr>
          <w:rFonts w:cs="Times New Roman"/>
        </w:rPr>
        <w:t xml:space="preserve"> (NVT ensemble)</w:t>
      </w:r>
      <w:r w:rsidR="294FBF96" w:rsidRPr="00BC6787">
        <w:rPr>
          <w:rFonts w:cs="Times New Roman"/>
        </w:rPr>
        <w:t xml:space="preserve">. </w:t>
      </w:r>
      <w:r w:rsidR="009F2ADF" w:rsidRPr="00BC6787">
        <w:rPr>
          <w:rFonts w:cs="Times New Roman"/>
        </w:rPr>
        <w:t xml:space="preserve">Each protein contains multiple </w:t>
      </w:r>
      <w:r w:rsidR="00713A92" w:rsidRPr="00BC6787">
        <w:rPr>
          <w:rFonts w:cs="Times New Roman"/>
        </w:rPr>
        <w:t>chromophores;</w:t>
      </w:r>
      <w:r w:rsidR="009F2ADF" w:rsidRPr="00BC6787">
        <w:rPr>
          <w:rFonts w:cs="Times New Roman"/>
        </w:rPr>
        <w:t xml:space="preserve"> thus the structures were taken cycling through each chromophore, i.e. the first </w:t>
      </w:r>
      <w:proofErr w:type="spellStart"/>
      <w:r w:rsidR="009F2ADF" w:rsidRPr="00BC6787">
        <w:rPr>
          <w:rFonts w:cs="Times New Roman"/>
        </w:rPr>
        <w:t>bcl</w:t>
      </w:r>
      <w:proofErr w:type="spellEnd"/>
      <w:r w:rsidR="009F2ADF" w:rsidRPr="00BC6787">
        <w:rPr>
          <w:rFonts w:cs="Times New Roman"/>
        </w:rPr>
        <w:t xml:space="preserve"> structure was taken as </w:t>
      </w:r>
      <w:proofErr w:type="spellStart"/>
      <w:r w:rsidR="009F2ADF" w:rsidRPr="00BC6787">
        <w:rPr>
          <w:rFonts w:cs="Times New Roman"/>
        </w:rPr>
        <w:t>bcl</w:t>
      </w:r>
      <w:proofErr w:type="spellEnd"/>
      <w:r w:rsidR="009F2ADF" w:rsidRPr="00BC6787">
        <w:rPr>
          <w:rFonts w:cs="Times New Roman"/>
        </w:rPr>
        <w:t xml:space="preserve"> 1, the second as </w:t>
      </w:r>
      <w:proofErr w:type="spellStart"/>
      <w:r w:rsidR="009F2ADF" w:rsidRPr="00BC6787">
        <w:rPr>
          <w:rFonts w:cs="Times New Roman"/>
        </w:rPr>
        <w:t>bcl</w:t>
      </w:r>
      <w:proofErr w:type="spellEnd"/>
      <w:r w:rsidR="009F2ADF" w:rsidRPr="00BC6787">
        <w:rPr>
          <w:rFonts w:cs="Times New Roman"/>
        </w:rPr>
        <w:t xml:space="preserve"> 2, </w:t>
      </w:r>
      <w:r w:rsidR="00713A92" w:rsidRPr="00BC6787">
        <w:rPr>
          <w:rFonts w:cs="Times New Roman"/>
        </w:rPr>
        <w:t>e</w:t>
      </w:r>
      <w:r w:rsidR="009F2ADF" w:rsidRPr="00BC6787">
        <w:rPr>
          <w:rFonts w:cs="Times New Roman"/>
        </w:rPr>
        <w:t>tc. for each structure.</w:t>
      </w:r>
    </w:p>
    <w:p w14:paraId="64FE934C" w14:textId="695C40CE" w:rsidR="00EA7231" w:rsidRPr="0092253A" w:rsidRDefault="0092253A" w:rsidP="43CA53EC">
      <w:pPr>
        <w:rPr>
          <w:rFonts w:cs="Times New Roman"/>
          <w:bCs/>
        </w:rPr>
      </w:pPr>
      <w:r>
        <w:rPr>
          <w:rFonts w:cs="Times New Roman"/>
          <w:bCs/>
        </w:rPr>
        <w:t xml:space="preserve">3.2.2. </w:t>
      </w:r>
      <w:r w:rsidR="43CA53EC" w:rsidRPr="0092253A">
        <w:rPr>
          <w:rFonts w:cs="Times New Roman"/>
          <w:bCs/>
        </w:rPr>
        <w:t>Reference force calculation</w:t>
      </w:r>
    </w:p>
    <w:p w14:paraId="1BBDD263" w14:textId="508D86B0" w:rsidR="00DA0B1C" w:rsidRPr="00BC6787" w:rsidRDefault="43CA53EC" w:rsidP="43CA53EC">
      <w:pPr>
        <w:rPr>
          <w:rFonts w:cs="Times New Roman"/>
        </w:rPr>
      </w:pPr>
      <w:r w:rsidRPr="00BC6787">
        <w:rPr>
          <w:rFonts w:cs="Times New Roman"/>
        </w:rPr>
        <w:t xml:space="preserve">The reference forces were calculated with density function theory (DFT) using the B3LYP functional and 6-311G* basis set with Gaussian 03. </w:t>
      </w:r>
      <w:r w:rsidR="00EA0AD9" w:rsidRPr="00BC6787">
        <w:rPr>
          <w:rFonts w:cs="Times New Roman"/>
        </w:rPr>
        <w:t xml:space="preserve">The forces (both DFT and MD) were computed in vacuum in </w:t>
      </w:r>
      <w:r w:rsidR="00EA0AD9" w:rsidRPr="00BC6787">
        <w:rPr>
          <w:rFonts w:cs="Times New Roman"/>
        </w:rPr>
        <w:lastRenderedPageBreak/>
        <w:t xml:space="preserve">order to preserve separation between the intramolecular and intermolecular part of the FF. </w:t>
      </w:r>
      <w:r w:rsidRPr="00BC6787">
        <w:rPr>
          <w:rFonts w:cs="Times New Roman"/>
        </w:rPr>
        <w:t>As noted before for the type of FF used, the reference force calculation can be computed with any functional or basis set desired.</w:t>
      </w:r>
    </w:p>
    <w:p w14:paraId="7943FE5F" w14:textId="6CA9C7A8" w:rsidR="00222833" w:rsidRPr="0092253A" w:rsidRDefault="0092253A" w:rsidP="43CA53EC">
      <w:pPr>
        <w:rPr>
          <w:rFonts w:cs="Times New Roman"/>
          <w:bCs/>
        </w:rPr>
      </w:pPr>
      <w:r>
        <w:rPr>
          <w:rFonts w:cs="Times New Roman"/>
          <w:bCs/>
        </w:rPr>
        <w:t xml:space="preserve">3.2.3. </w:t>
      </w:r>
      <w:r w:rsidR="43CA53EC" w:rsidRPr="0092253A">
        <w:rPr>
          <w:rFonts w:cs="Times New Roman"/>
          <w:bCs/>
        </w:rPr>
        <w:t>Minimisation Procedure</w:t>
      </w:r>
    </w:p>
    <w:p w14:paraId="52A11E63" w14:textId="5602A42E" w:rsidR="00B45C43" w:rsidRPr="00BC6787" w:rsidRDefault="743D8EFC" w:rsidP="743D8EFC">
      <w:pPr>
        <w:pStyle w:val="MTDisplayEquation"/>
        <w:rPr>
          <w:rFonts w:cs="Times New Roman"/>
        </w:rPr>
      </w:pPr>
      <w:r w:rsidRPr="00BC6787">
        <w:rPr>
          <w:rFonts w:cs="Times New Roman"/>
        </w:rPr>
        <w:t xml:space="preserve">The procedure is as follows: the initial objective function, </w:t>
      </w:r>
      <w:r w:rsidRPr="00BC6787">
        <w:rPr>
          <w:rFonts w:cs="Times New Roman"/>
          <w:i/>
          <w:iCs/>
        </w:rPr>
        <w:t>O</w:t>
      </w:r>
      <w:r w:rsidRPr="00BC6787">
        <w:rPr>
          <w:rFonts w:cs="Times New Roman"/>
        </w:rPr>
        <w:t>([</w:t>
      </w:r>
      <w:proofErr w:type="spellStart"/>
      <w:r w:rsidRPr="00BC6787">
        <w:rPr>
          <w:rFonts w:cs="Times New Roman"/>
          <w:i/>
          <w:iCs/>
        </w:rPr>
        <w:t>p</w:t>
      </w:r>
      <w:r w:rsidRPr="00BC6787">
        <w:rPr>
          <w:rFonts w:cs="Times New Roman"/>
          <w:i/>
          <w:iCs/>
          <w:vertAlign w:val="superscript"/>
        </w:rPr>
        <w:t>initial</w:t>
      </w:r>
      <w:proofErr w:type="spellEnd"/>
      <w:r w:rsidRPr="00BC6787">
        <w:rPr>
          <w:rFonts w:cs="Times New Roman"/>
        </w:rPr>
        <w:t>]), is ca</w:t>
      </w:r>
      <w:r w:rsidR="004B69FC" w:rsidRPr="00BC6787">
        <w:rPr>
          <w:rFonts w:cs="Times New Roman"/>
        </w:rPr>
        <w:t>lculated as given in equation (4</w:t>
      </w:r>
      <w:r w:rsidRPr="00BC6787">
        <w:rPr>
          <w:rFonts w:cs="Times New Roman"/>
        </w:rPr>
        <w:t xml:space="preserve">), then for each parameter, </w:t>
      </w:r>
      <w:r w:rsidRPr="00BC6787">
        <w:rPr>
          <w:rFonts w:cs="Times New Roman"/>
          <w:i/>
          <w:iCs/>
        </w:rPr>
        <w:t>p</w:t>
      </w:r>
      <w:r w:rsidRPr="00BC6787">
        <w:rPr>
          <w:rFonts w:cs="Times New Roman"/>
          <w:i/>
          <w:iCs/>
          <w:vertAlign w:val="subscript"/>
        </w:rPr>
        <w:t>i</w:t>
      </w:r>
      <w:r w:rsidRPr="00BC6787">
        <w:rPr>
          <w:rFonts w:cs="Times New Roman"/>
        </w:rPr>
        <w:t xml:space="preserve">, of the set, the corresponding gradient, </w:t>
      </w:r>
      <w:r w:rsidRPr="00BC6787">
        <w:rPr>
          <w:rFonts w:cs="Times New Roman"/>
          <w:i/>
          <w:iCs/>
        </w:rPr>
        <w:t>G</w:t>
      </w:r>
      <w:r w:rsidRPr="00BC6787">
        <w:rPr>
          <w:rFonts w:cs="Times New Roman"/>
          <w:i/>
          <w:iCs/>
          <w:vertAlign w:val="subscript"/>
        </w:rPr>
        <w:t>i</w:t>
      </w:r>
      <w:r w:rsidRPr="00BC6787">
        <w:rPr>
          <w:rFonts w:cs="Times New Roman"/>
        </w:rPr>
        <w:t xml:space="preserve">, is computed as in </w:t>
      </w:r>
      <w:r w:rsidR="004B69FC" w:rsidRPr="00BC6787">
        <w:rPr>
          <w:rFonts w:cs="Times New Roman"/>
        </w:rPr>
        <w:t>equation (6</w:t>
      </w:r>
      <w:r w:rsidRPr="00BC6787">
        <w:rPr>
          <w:rFonts w:cs="Times New Roman"/>
        </w:rPr>
        <w:t>)</w:t>
      </w:r>
      <w:r w:rsidR="006C21B0" w:rsidRPr="00BC6787">
        <w:rPr>
          <w:rFonts w:cs="Times New Roman"/>
        </w:rPr>
        <w:t xml:space="preserve">, where the value of </w:t>
      </w:r>
      <w:proofErr w:type="spellStart"/>
      <w:r w:rsidR="006C21B0" w:rsidRPr="00BC6787">
        <w:rPr>
          <w:rFonts w:cs="Times New Roman"/>
        </w:rPr>
        <w:t>Δ</w:t>
      </w:r>
      <w:r w:rsidR="006C21B0" w:rsidRPr="00BC6787">
        <w:rPr>
          <w:rFonts w:cs="Times New Roman"/>
          <w:i/>
        </w:rPr>
        <w:t>p</w:t>
      </w:r>
      <w:r w:rsidR="006C21B0" w:rsidRPr="00BC6787">
        <w:rPr>
          <w:rFonts w:cs="Times New Roman"/>
          <w:i/>
          <w:vertAlign w:val="subscript"/>
        </w:rPr>
        <w:t>i</w:t>
      </w:r>
      <w:proofErr w:type="spellEnd"/>
      <w:r w:rsidR="006C21B0" w:rsidRPr="00BC6787">
        <w:rPr>
          <w:rFonts w:cs="Times New Roman"/>
        </w:rPr>
        <w:t xml:space="preserve"> is taken as 0.001% of the parameter</w:t>
      </w:r>
      <w:r w:rsidRPr="00BC6787">
        <w:rPr>
          <w:rFonts w:cs="Times New Roman"/>
        </w:rPr>
        <w:t>. A new parameter set, [</w:t>
      </w:r>
      <w:proofErr w:type="spellStart"/>
      <w:r w:rsidRPr="00BC6787">
        <w:rPr>
          <w:rFonts w:cs="Times New Roman"/>
          <w:i/>
          <w:iCs/>
        </w:rPr>
        <w:t>p</w:t>
      </w:r>
      <w:r w:rsidRPr="00BC6787">
        <w:rPr>
          <w:rFonts w:cs="Times New Roman"/>
          <w:i/>
          <w:iCs/>
          <w:vertAlign w:val="superscript"/>
        </w:rPr>
        <w:t>new</w:t>
      </w:r>
      <w:proofErr w:type="spellEnd"/>
      <w:r w:rsidRPr="00BC6787">
        <w:rPr>
          <w:rFonts w:cs="Times New Roman"/>
        </w:rPr>
        <w:t>], is then generated, by updating each param</w:t>
      </w:r>
      <w:r w:rsidR="004B69FC" w:rsidRPr="00BC6787">
        <w:rPr>
          <w:rFonts w:cs="Times New Roman"/>
        </w:rPr>
        <w:t>eter as described in equation (7</w:t>
      </w:r>
      <w:r w:rsidRPr="00BC6787">
        <w:rPr>
          <w:rFonts w:cs="Times New Roman"/>
        </w:rPr>
        <w:t xml:space="preserve">), and its objective function computed, </w:t>
      </w:r>
      <w:r w:rsidRPr="00BC6787">
        <w:rPr>
          <w:rFonts w:cs="Times New Roman"/>
          <w:i/>
          <w:iCs/>
        </w:rPr>
        <w:t>O</w:t>
      </w:r>
      <w:r w:rsidRPr="00BC6787">
        <w:rPr>
          <w:rFonts w:cs="Times New Roman"/>
        </w:rPr>
        <w:t>([</w:t>
      </w:r>
      <w:proofErr w:type="spellStart"/>
      <w:r w:rsidRPr="00BC6787">
        <w:rPr>
          <w:rFonts w:cs="Times New Roman"/>
          <w:i/>
        </w:rPr>
        <w:t>p</w:t>
      </w:r>
      <w:r w:rsidRPr="00BC6787">
        <w:rPr>
          <w:rFonts w:cs="Times New Roman"/>
          <w:i/>
          <w:vertAlign w:val="superscript"/>
        </w:rPr>
        <w:t>new</w:t>
      </w:r>
      <w:proofErr w:type="spellEnd"/>
      <w:r w:rsidRPr="00BC6787">
        <w:rPr>
          <w:rFonts w:cs="Times New Roman"/>
        </w:rPr>
        <w:t xml:space="preserve">]). The minimisation is considered complete once the decrease in the objective function, </w:t>
      </w:r>
      <w:r w:rsidRPr="00BC6787">
        <w:rPr>
          <w:rFonts w:cs="Times New Roman"/>
          <w:iCs/>
        </w:rPr>
        <w:t>Δ</w:t>
      </w:r>
      <w:r w:rsidRPr="00BC6787">
        <w:rPr>
          <w:rFonts w:cs="Times New Roman"/>
          <w:i/>
          <w:iCs/>
        </w:rPr>
        <w:t>O</w:t>
      </w:r>
      <w:r w:rsidRPr="00BC6787">
        <w:rPr>
          <w:rFonts w:cs="Times New Roman"/>
        </w:rPr>
        <w:t>([</w:t>
      </w:r>
      <w:r w:rsidRPr="00BC6787">
        <w:rPr>
          <w:rFonts w:cs="Times New Roman"/>
          <w:i/>
          <w:iCs/>
        </w:rPr>
        <w:t>p</w:t>
      </w:r>
      <w:r w:rsidRPr="00BC6787">
        <w:rPr>
          <w:rFonts w:cs="Times New Roman"/>
        </w:rPr>
        <w:t>]), is consistently less than 0.01 kcal mol</w:t>
      </w:r>
      <w:r w:rsidRPr="00BC6787">
        <w:rPr>
          <w:rFonts w:cs="Times New Roman"/>
          <w:vertAlign w:val="superscript"/>
        </w:rPr>
        <w:t>-1</w:t>
      </w:r>
      <w:r w:rsidRPr="00BC6787">
        <w:rPr>
          <w:rFonts w:cs="Times New Roman"/>
        </w:rPr>
        <w:t xml:space="preserve"> Å</w:t>
      </w:r>
      <w:r w:rsidRPr="00BC6787">
        <w:rPr>
          <w:rFonts w:cs="Times New Roman"/>
          <w:vertAlign w:val="superscript"/>
        </w:rPr>
        <w:t>-1</w:t>
      </w:r>
      <w:r w:rsidRPr="00BC6787">
        <w:rPr>
          <w:rFonts w:cs="Times New Roman"/>
        </w:rPr>
        <w:t>.</w:t>
      </w:r>
    </w:p>
    <w:p w14:paraId="691AF59F" w14:textId="082A37F3" w:rsidR="00667D07" w:rsidRPr="00BC6787" w:rsidRDefault="00922462" w:rsidP="00AC0F64">
      <w:pPr>
        <w:pStyle w:val="MTDisplayEquation"/>
        <w:tabs>
          <w:tab w:val="clear" w:pos="4520"/>
          <w:tab w:val="clear" w:pos="9020"/>
        </w:tabs>
        <w:spacing w:after="80"/>
        <w:ind w:firstLine="720"/>
        <w:rPr>
          <w:rFonts w:cs="Times New Roman"/>
        </w:rPr>
      </w:pPr>
      <w:r w:rsidRPr="00BC6787">
        <w:rPr>
          <w:rFonts w:cs="Times New Roman"/>
        </w:rPr>
        <w:t>As each</w:t>
      </w:r>
      <w:r w:rsidR="00B16C33" w:rsidRPr="00BC6787">
        <w:rPr>
          <w:rFonts w:cs="Times New Roman"/>
        </w:rPr>
        <w:t xml:space="preserve"> p</w:t>
      </w:r>
      <w:r w:rsidRPr="00BC6787">
        <w:rPr>
          <w:rFonts w:cs="Times New Roman"/>
        </w:rPr>
        <w:t>arameter set</w:t>
      </w:r>
      <w:r w:rsidR="00B16C33" w:rsidRPr="00BC6787">
        <w:rPr>
          <w:rFonts w:cs="Times New Roman"/>
        </w:rPr>
        <w:t xml:space="preserve"> consist</w:t>
      </w:r>
      <w:r w:rsidRPr="00BC6787">
        <w:rPr>
          <w:rFonts w:cs="Times New Roman"/>
        </w:rPr>
        <w:t>s</w:t>
      </w:r>
      <w:r w:rsidR="00B16C33" w:rsidRPr="00BC6787">
        <w:rPr>
          <w:rFonts w:cs="Times New Roman"/>
        </w:rPr>
        <w:t xml:space="preserve"> of 100s of parameters</w:t>
      </w:r>
      <w:r w:rsidRPr="00BC6787">
        <w:rPr>
          <w:rFonts w:cs="Times New Roman"/>
        </w:rPr>
        <w:t>,</w:t>
      </w:r>
      <w:r w:rsidR="00B16C33" w:rsidRPr="00BC6787">
        <w:rPr>
          <w:rFonts w:cs="Times New Roman"/>
        </w:rPr>
        <w:t xml:space="preserve"> calculating each gradient numerically is</w:t>
      </w:r>
      <w:r w:rsidRPr="00BC6787">
        <w:rPr>
          <w:rFonts w:cs="Times New Roman"/>
        </w:rPr>
        <w:t xml:space="preserve"> </w:t>
      </w:r>
      <w:r w:rsidR="00B16C33" w:rsidRPr="00BC6787">
        <w:rPr>
          <w:rFonts w:cs="Times New Roman"/>
        </w:rPr>
        <w:t xml:space="preserve">time consuming. To </w:t>
      </w:r>
      <w:r w:rsidRPr="00BC6787">
        <w:rPr>
          <w:rFonts w:cs="Times New Roman"/>
        </w:rPr>
        <w:t>circumvent this bottleneck</w:t>
      </w:r>
      <w:r w:rsidR="00BD2013" w:rsidRPr="00BC6787">
        <w:rPr>
          <w:rFonts w:cs="Times New Roman"/>
        </w:rPr>
        <w:t>,</w:t>
      </w:r>
      <w:r w:rsidR="00B16C33" w:rsidRPr="00BC6787">
        <w:rPr>
          <w:rFonts w:cs="Times New Roman"/>
        </w:rPr>
        <w:t xml:space="preserve"> </w:t>
      </w:r>
      <w:r w:rsidRPr="00BC6787">
        <w:rPr>
          <w:rFonts w:cs="Times New Roman"/>
        </w:rPr>
        <w:t>in</w:t>
      </w:r>
      <w:r w:rsidR="00BD2013" w:rsidRPr="00BC6787">
        <w:rPr>
          <w:rFonts w:cs="Times New Roman"/>
        </w:rPr>
        <w:t xml:space="preserve"> the implementation of the algorithm</w:t>
      </w:r>
      <w:r w:rsidR="00B16C33" w:rsidRPr="00BC6787">
        <w:rPr>
          <w:rFonts w:cs="Times New Roman"/>
        </w:rPr>
        <w:t xml:space="preserve"> the gradients are only recalculated if the objective function increases,</w:t>
      </w:r>
      <w:r w:rsidR="00BD2013" w:rsidRPr="00BC6787">
        <w:rPr>
          <w:rFonts w:cs="Times New Roman"/>
        </w:rPr>
        <w:t xml:space="preserve"> i.e. if</w:t>
      </w:r>
      <w:r w:rsidR="00B14A70" w:rsidRPr="00BC6787">
        <w:rPr>
          <w:position w:val="-10"/>
        </w:rPr>
        <w:object w:dxaOrig="1719" w:dyaOrig="340" w14:anchorId="3ACB81DD">
          <v:shape id="_x0000_i1039" type="#_x0000_t75" style="width:84.5pt;height:18.5pt" o:ole="">
            <v:imagedata r:id="rId38" o:title=""/>
          </v:shape>
          <o:OLEObject Type="Embed" ProgID="Equation.DSMT4" ShapeID="_x0000_i1039" DrawAspect="Content" ObjectID="_1606308033" r:id="rId39"/>
        </w:object>
      </w:r>
      <w:r w:rsidR="00BD2013" w:rsidRPr="00BC6787">
        <w:rPr>
          <w:rFonts w:cs="Times New Roman"/>
        </w:rPr>
        <w:t xml:space="preserve">, </w:t>
      </w:r>
      <w:r w:rsidR="00B16C33" w:rsidRPr="00BC6787">
        <w:rPr>
          <w:rFonts w:cs="Times New Roman"/>
        </w:rPr>
        <w:t xml:space="preserve">otherwise the </w:t>
      </w:r>
      <w:r w:rsidRPr="00BC6787">
        <w:rPr>
          <w:rFonts w:cs="Times New Roman"/>
        </w:rPr>
        <w:t>minimisation</w:t>
      </w:r>
      <w:r w:rsidR="00B16C33" w:rsidRPr="00BC6787">
        <w:rPr>
          <w:rFonts w:cs="Times New Roman"/>
        </w:rPr>
        <w:t xml:space="preserve"> continues using the same</w:t>
      </w:r>
      <w:r w:rsidR="00BD2013" w:rsidRPr="00BC6787">
        <w:rPr>
          <w:rFonts w:cs="Times New Roman"/>
        </w:rPr>
        <w:t xml:space="preserve"> set of</w:t>
      </w:r>
      <w:r w:rsidR="00B16C33" w:rsidRPr="00BC6787">
        <w:rPr>
          <w:rFonts w:cs="Times New Roman"/>
        </w:rPr>
        <w:t xml:space="preserve"> gradients</w:t>
      </w:r>
      <w:r w:rsidR="00BD2013" w:rsidRPr="00BC6787">
        <w:rPr>
          <w:rFonts w:cs="Times New Roman"/>
        </w:rPr>
        <w:t>.</w:t>
      </w:r>
      <w:r w:rsidR="00B16C33" w:rsidRPr="00BC6787">
        <w:rPr>
          <w:rFonts w:cs="Times New Roman"/>
        </w:rPr>
        <w:t xml:space="preserve"> </w:t>
      </w:r>
      <w:r w:rsidR="00BD2013" w:rsidRPr="00BC6787">
        <w:rPr>
          <w:rFonts w:cs="Times New Roman"/>
        </w:rPr>
        <w:t>In addition</w:t>
      </w:r>
      <w:r w:rsidR="00B16C33" w:rsidRPr="00BC6787">
        <w:rPr>
          <w:rFonts w:cs="Times New Roman"/>
        </w:rPr>
        <w:t xml:space="preserve">, </w:t>
      </w:r>
      <w:r w:rsidR="00BD2013" w:rsidRPr="00BC6787">
        <w:rPr>
          <w:rFonts w:cs="Times New Roman"/>
        </w:rPr>
        <w:t>the</w:t>
      </w:r>
      <w:r w:rsidR="00667D07" w:rsidRPr="00BC6787">
        <w:rPr>
          <w:rFonts w:cs="Times New Roman"/>
        </w:rPr>
        <w:t xml:space="preserve"> 5 parameter types:</w:t>
      </w:r>
      <w:r w:rsidRPr="00BC6787">
        <w:rPr>
          <w:rFonts w:cs="Times New Roman"/>
        </w:rPr>
        <w:t xml:space="preserve"> </w:t>
      </w:r>
      <w:r w:rsidRPr="00BC6787">
        <w:rPr>
          <w:rFonts w:cs="Times New Roman"/>
          <w:i/>
          <w:iCs/>
        </w:rPr>
        <w:t>b</w:t>
      </w:r>
      <w:r w:rsidRPr="00BC6787">
        <w:rPr>
          <w:rFonts w:cs="Times New Roman"/>
          <w:vertAlign w:val="subscript"/>
        </w:rPr>
        <w:t>0</w:t>
      </w:r>
      <w:r w:rsidRPr="00BC6787">
        <w:rPr>
          <w:rFonts w:cs="Times New Roman"/>
        </w:rPr>
        <w:t>,</w:t>
      </w:r>
      <w:r w:rsidR="00D12074" w:rsidRPr="00BC6787">
        <w:rPr>
          <w:rFonts w:cs="Times New Roman"/>
        </w:rPr>
        <w:t xml:space="preserve"> </w:t>
      </w:r>
      <w:r w:rsidR="00D12074" w:rsidRPr="00BC6787">
        <w:rPr>
          <w:rFonts w:cs="Times New Roman"/>
          <w:i/>
          <w:iCs/>
        </w:rPr>
        <w:t>θ</w:t>
      </w:r>
      <w:r w:rsidR="00D12074" w:rsidRPr="00BC6787">
        <w:rPr>
          <w:rFonts w:cs="Times New Roman"/>
          <w:vertAlign w:val="subscript"/>
        </w:rPr>
        <w:t>0</w:t>
      </w:r>
      <w:r w:rsidR="00120919" w:rsidRPr="00BC6787">
        <w:rPr>
          <w:rFonts w:cs="Times New Roman"/>
        </w:rPr>
        <w:t xml:space="preserve">, </w:t>
      </w:r>
      <w:proofErr w:type="spellStart"/>
      <w:r w:rsidR="34FEDD72" w:rsidRPr="00BC6787">
        <w:rPr>
          <w:rFonts w:cs="Times New Roman"/>
          <w:i/>
          <w:iCs/>
        </w:rPr>
        <w:t>k</w:t>
      </w:r>
      <w:r w:rsidR="34FEDD72" w:rsidRPr="00BC6787">
        <w:rPr>
          <w:rFonts w:cs="Times New Roman"/>
          <w:i/>
          <w:iCs/>
          <w:vertAlign w:val="subscript"/>
        </w:rPr>
        <w:t>φ</w:t>
      </w:r>
      <w:proofErr w:type="spellEnd"/>
      <w:r w:rsidR="34FEDD72" w:rsidRPr="00BC6787">
        <w:rPr>
          <w:rFonts w:cs="Times New Roman"/>
        </w:rPr>
        <w:t xml:space="preserve">, </w:t>
      </w:r>
      <w:r w:rsidR="34FEDD72" w:rsidRPr="00BC6787">
        <w:rPr>
          <w:rFonts w:cs="Times New Roman"/>
          <w:i/>
          <w:iCs/>
        </w:rPr>
        <w:t>k</w:t>
      </w:r>
      <w:r w:rsidR="34FEDD72" w:rsidRPr="00BC6787">
        <w:rPr>
          <w:rFonts w:cs="Times New Roman"/>
          <w:i/>
          <w:iCs/>
          <w:vertAlign w:val="subscript"/>
        </w:rPr>
        <w:t>b</w:t>
      </w:r>
      <w:r w:rsidR="34FEDD72" w:rsidRPr="00BC6787">
        <w:rPr>
          <w:rFonts w:cs="Times New Roman"/>
        </w:rPr>
        <w:t xml:space="preserve"> </w:t>
      </w:r>
      <w:proofErr w:type="spellStart"/>
      <w:r w:rsidR="34FEDD72" w:rsidRPr="00BC6787">
        <w:rPr>
          <w:rFonts w:cs="Times New Roman"/>
          <w:i/>
          <w:iCs/>
        </w:rPr>
        <w:t>k</w:t>
      </w:r>
      <w:r w:rsidR="34FEDD72" w:rsidRPr="00BC6787">
        <w:rPr>
          <w:rFonts w:cs="Times New Roman"/>
          <w:i/>
          <w:iCs/>
          <w:vertAlign w:val="subscript"/>
        </w:rPr>
        <w:t>θ</w:t>
      </w:r>
      <w:proofErr w:type="spellEnd"/>
      <w:r w:rsidR="34FEDD72" w:rsidRPr="00BC6787">
        <w:rPr>
          <w:rFonts w:cs="Times New Roman"/>
        </w:rPr>
        <w:t>;</w:t>
      </w:r>
      <w:r w:rsidR="00BD2013" w:rsidRPr="00BC6787">
        <w:rPr>
          <w:rFonts w:cs="Times New Roman"/>
        </w:rPr>
        <w:t xml:space="preserve"> each affect</w:t>
      </w:r>
      <w:r w:rsidR="34FEDD72" w:rsidRPr="00BC6787">
        <w:rPr>
          <w:rFonts w:cs="Times New Roman"/>
        </w:rPr>
        <w:t xml:space="preserve"> the forces to a different magnitude, leading to</w:t>
      </w:r>
      <w:r w:rsidR="00BD2013" w:rsidRPr="00BC6787">
        <w:rPr>
          <w:rFonts w:cs="Times New Roman"/>
        </w:rPr>
        <w:t xml:space="preserve"> gradients of</w:t>
      </w:r>
      <w:r w:rsidR="34FEDD72" w:rsidRPr="00BC6787">
        <w:rPr>
          <w:rFonts w:cs="Times New Roman"/>
        </w:rPr>
        <w:t xml:space="preserve"> diff</w:t>
      </w:r>
      <w:r w:rsidR="00BD2013" w:rsidRPr="00BC6787">
        <w:rPr>
          <w:rFonts w:cs="Times New Roman"/>
        </w:rPr>
        <w:t>ering</w:t>
      </w:r>
      <w:r w:rsidR="00667D07" w:rsidRPr="00BC6787">
        <w:rPr>
          <w:rFonts w:cs="Times New Roman"/>
        </w:rPr>
        <w:t xml:space="preserve"> magnitudes</w:t>
      </w:r>
      <w:r w:rsidR="34FEDD72" w:rsidRPr="00BC6787">
        <w:rPr>
          <w:rFonts w:cs="Times New Roman"/>
        </w:rPr>
        <w:t xml:space="preserve">. The order of </w:t>
      </w:r>
      <w:r w:rsidR="00BD2013" w:rsidRPr="00BC6787">
        <w:rPr>
          <w:rFonts w:cs="Times New Roman"/>
        </w:rPr>
        <w:t>their affect, in the case of chromophores, is</w:t>
      </w:r>
      <w:r w:rsidR="00667D07" w:rsidRPr="00BC6787">
        <w:rPr>
          <w:rFonts w:cs="Times New Roman"/>
        </w:rPr>
        <w:t>:</w:t>
      </w:r>
    </w:p>
    <w:p w14:paraId="24ED508E" w14:textId="0BABE428" w:rsidR="00667D07" w:rsidRPr="00BC6787" w:rsidRDefault="00667D07" w:rsidP="00AC0F64">
      <w:pPr>
        <w:pStyle w:val="MTDisplayEquation"/>
        <w:spacing w:after="80"/>
        <w:rPr>
          <w:rFonts w:cs="Times New Roman"/>
        </w:rPr>
      </w:pPr>
      <w:r w:rsidRPr="00BC6787">
        <w:rPr>
          <w:rFonts w:cs="Times New Roman"/>
        </w:rPr>
        <w:tab/>
      </w:r>
      <w:r w:rsidR="003A0DF0" w:rsidRPr="00BC6787">
        <w:rPr>
          <w:position w:val="-14"/>
        </w:rPr>
        <w:object w:dxaOrig="2060" w:dyaOrig="360" w14:anchorId="14A1030D">
          <v:shape id="_x0000_i1040" type="#_x0000_t75" style="width:104.5pt;height:18.5pt" o:ole="">
            <v:imagedata r:id="rId40" o:title=""/>
          </v:shape>
          <o:OLEObject Type="Embed" ProgID="Equation.DSMT4" ShapeID="_x0000_i1040" DrawAspect="Content" ObjectID="_1606308034" r:id="rId41"/>
        </w:object>
      </w:r>
      <w:r w:rsidRPr="00BC6787">
        <w:rPr>
          <w:rFonts w:cs="Times New Roman"/>
        </w:rPr>
        <w:t xml:space="preserve"> </w:t>
      </w:r>
      <w:r w:rsidRPr="00BC6787">
        <w:rPr>
          <w:rFonts w:cs="Times New Roman"/>
        </w:rPr>
        <w:tab/>
      </w:r>
      <w:r w:rsidR="00F3598E" w:rsidRPr="00BC6787">
        <w:rPr>
          <w:rFonts w:cs="Times New Roman"/>
        </w:rPr>
        <w:fldChar w:fldCharType="begin"/>
      </w:r>
      <w:r w:rsidR="00F3598E" w:rsidRPr="00BC6787">
        <w:rPr>
          <w:rFonts w:cs="Times New Roman"/>
        </w:rPr>
        <w:instrText xml:space="preserve"> MACROBUTTON MTPlaceRef \* MERGEFORMAT </w:instrText>
      </w:r>
      <w:r w:rsidR="00F3598E" w:rsidRPr="00BC6787">
        <w:rPr>
          <w:rFonts w:cs="Times New Roman"/>
        </w:rPr>
        <w:fldChar w:fldCharType="begin"/>
      </w:r>
      <w:r w:rsidR="00F3598E" w:rsidRPr="00BC6787">
        <w:rPr>
          <w:rFonts w:cs="Times New Roman"/>
        </w:rPr>
        <w:instrText xml:space="preserve"> SEQ MTEqn \h \* MERGEFORMAT </w:instrText>
      </w:r>
      <w:r w:rsidR="00F3598E" w:rsidRPr="00BC6787">
        <w:rPr>
          <w:rFonts w:cs="Times New Roman"/>
        </w:rPr>
        <w:fldChar w:fldCharType="end"/>
      </w:r>
      <w:r w:rsidR="00F3598E" w:rsidRPr="00BC6787">
        <w:rPr>
          <w:rFonts w:cs="Times New Roman"/>
        </w:rPr>
        <w:instrText>(</w:instrText>
      </w:r>
      <w:r w:rsidR="00D73E0B" w:rsidRPr="00BC6787">
        <w:rPr>
          <w:rFonts w:cs="Times New Roman"/>
        </w:rPr>
        <w:fldChar w:fldCharType="begin"/>
      </w:r>
      <w:r w:rsidR="00D73E0B" w:rsidRPr="00BC6787">
        <w:rPr>
          <w:rFonts w:cs="Times New Roman"/>
        </w:rPr>
        <w:instrText xml:space="preserve"> SEQ MTEqn \c \* Arabic \* MERGEFORMAT </w:instrText>
      </w:r>
      <w:r w:rsidR="00D73E0B" w:rsidRPr="00BC6787">
        <w:rPr>
          <w:rFonts w:cs="Times New Roman"/>
        </w:rPr>
        <w:fldChar w:fldCharType="separate"/>
      </w:r>
      <w:r w:rsidR="005B1EB7" w:rsidRPr="00BC6787">
        <w:rPr>
          <w:rFonts w:cs="Times New Roman"/>
          <w:noProof/>
        </w:rPr>
        <w:instrText>8</w:instrText>
      </w:r>
      <w:r w:rsidR="00D73E0B" w:rsidRPr="00BC6787">
        <w:rPr>
          <w:rFonts w:cs="Times New Roman"/>
          <w:noProof/>
        </w:rPr>
        <w:fldChar w:fldCharType="end"/>
      </w:r>
      <w:r w:rsidR="00F3598E" w:rsidRPr="00BC6787">
        <w:rPr>
          <w:rFonts w:cs="Times New Roman"/>
        </w:rPr>
        <w:instrText>)</w:instrText>
      </w:r>
      <w:r w:rsidR="00F3598E" w:rsidRPr="00BC6787">
        <w:rPr>
          <w:rFonts w:cs="Times New Roman"/>
        </w:rPr>
        <w:fldChar w:fldCharType="end"/>
      </w:r>
    </w:p>
    <w:p w14:paraId="5F187B8A" w14:textId="160518DB" w:rsidR="294FBF96" w:rsidRPr="00BC6787" w:rsidRDefault="005C577C" w:rsidP="00AC0F64">
      <w:pPr>
        <w:pStyle w:val="MTDisplayEquation"/>
        <w:spacing w:after="80"/>
        <w:rPr>
          <w:rFonts w:cs="Times New Roman"/>
        </w:rPr>
      </w:pPr>
      <w:r w:rsidRPr="00BC6787">
        <w:rPr>
          <w:rFonts w:cs="Times New Roman"/>
        </w:rPr>
        <w:t xml:space="preserve">The </w:t>
      </w:r>
      <w:r w:rsidRPr="00BC6787">
        <w:rPr>
          <w:rFonts w:cs="Times New Roman"/>
          <w:i/>
          <w:iCs/>
        </w:rPr>
        <w:t>b</w:t>
      </w:r>
      <w:r w:rsidRPr="00BC6787">
        <w:rPr>
          <w:rFonts w:cs="Times New Roman"/>
          <w:iCs/>
          <w:vertAlign w:val="subscript"/>
        </w:rPr>
        <w:t>0</w:t>
      </w:r>
      <w:r w:rsidRPr="00BC6787">
        <w:rPr>
          <w:rFonts w:cs="Times New Roman"/>
        </w:rPr>
        <w:t xml:space="preserve"> parameters have a significantly greater effect on the forces and thus a much greater gradient. </w:t>
      </w:r>
      <w:r w:rsidR="00BD2013" w:rsidRPr="00BC6787">
        <w:rPr>
          <w:rFonts w:cs="Times New Roman"/>
        </w:rPr>
        <w:t>For a</w:t>
      </w:r>
      <w:r w:rsidR="00DD46F3" w:rsidRPr="00BC6787">
        <w:rPr>
          <w:rFonts w:cs="Times New Roman"/>
        </w:rPr>
        <w:t xml:space="preserve"> multi-variable function where one variable has a significantly greater gradient, the gradient descent method will rapidly minimise the function with respect to th</w:t>
      </w:r>
      <w:r w:rsidR="00BD2013" w:rsidRPr="00BC6787">
        <w:rPr>
          <w:rFonts w:cs="Times New Roman"/>
        </w:rPr>
        <w:t>at variable</w:t>
      </w:r>
      <w:r w:rsidR="00DD46F3" w:rsidRPr="00BC6787">
        <w:rPr>
          <w:rFonts w:cs="Times New Roman"/>
        </w:rPr>
        <w:t xml:space="preserve"> and then the minimisation will progress exceedingly slowly. </w:t>
      </w:r>
      <w:r w:rsidRPr="00BC6787">
        <w:rPr>
          <w:rFonts w:cs="Times New Roman"/>
        </w:rPr>
        <w:t>Thus</w:t>
      </w:r>
      <w:r w:rsidR="00BD2013" w:rsidRPr="00BC6787">
        <w:rPr>
          <w:rFonts w:cs="Times New Roman"/>
        </w:rPr>
        <w:t>,</w:t>
      </w:r>
      <w:r w:rsidR="00F90C93" w:rsidRPr="00BC6787">
        <w:rPr>
          <w:rFonts w:cs="Times New Roman"/>
        </w:rPr>
        <w:t xml:space="preserve"> to avoid this slow down</w:t>
      </w:r>
      <w:r w:rsidRPr="00BC6787">
        <w:rPr>
          <w:rFonts w:cs="Times New Roman"/>
        </w:rPr>
        <w:t>,</w:t>
      </w:r>
      <w:r w:rsidR="00DD46F3" w:rsidRPr="00BC6787">
        <w:rPr>
          <w:rFonts w:cs="Times New Roman"/>
        </w:rPr>
        <w:t xml:space="preserve"> the </w:t>
      </w:r>
      <w:r w:rsidR="00DD46F3" w:rsidRPr="00BC6787">
        <w:rPr>
          <w:rFonts w:cs="Times New Roman"/>
          <w:i/>
          <w:iCs/>
        </w:rPr>
        <w:t>b</w:t>
      </w:r>
      <w:r w:rsidR="00DD46F3" w:rsidRPr="00BC6787">
        <w:rPr>
          <w:rFonts w:cs="Times New Roman"/>
          <w:iCs/>
          <w:vertAlign w:val="subscript"/>
        </w:rPr>
        <w:t>0</w:t>
      </w:r>
      <w:r w:rsidR="00DD46F3" w:rsidRPr="00BC6787">
        <w:rPr>
          <w:rFonts w:cs="Times New Roman"/>
        </w:rPr>
        <w:t xml:space="preserve"> parameters are optimised separately first. </w:t>
      </w:r>
      <w:r w:rsidR="00F90C93" w:rsidRPr="00BC6787">
        <w:rPr>
          <w:rFonts w:cs="Times New Roman"/>
        </w:rPr>
        <w:t>O</w:t>
      </w:r>
      <w:r w:rsidR="00DD46F3" w:rsidRPr="00BC6787">
        <w:rPr>
          <w:rFonts w:cs="Times New Roman"/>
        </w:rPr>
        <w:t>nce decrease in</w:t>
      </w:r>
      <w:r w:rsidR="34FEDD72" w:rsidRPr="00BC6787">
        <w:rPr>
          <w:rFonts w:cs="Times New Roman"/>
        </w:rPr>
        <w:t xml:space="preserve"> the objective function</w:t>
      </w:r>
      <w:r w:rsidR="00DD46F3" w:rsidRPr="00BC6787">
        <w:rPr>
          <w:rFonts w:cs="Times New Roman"/>
        </w:rPr>
        <w:t xml:space="preserve"> is less than 0.0024 kcal mol</w:t>
      </w:r>
      <w:r w:rsidR="00DD46F3" w:rsidRPr="00BC6787">
        <w:rPr>
          <w:rFonts w:cs="Times New Roman"/>
          <w:vertAlign w:val="superscript"/>
        </w:rPr>
        <w:t>-1</w:t>
      </w:r>
      <w:r w:rsidR="00DD46F3" w:rsidRPr="00BC6787">
        <w:rPr>
          <w:rFonts w:cs="Times New Roman"/>
        </w:rPr>
        <w:t xml:space="preserve"> Å</w:t>
      </w:r>
      <w:r w:rsidR="00DD46F3" w:rsidRPr="00BC6787">
        <w:rPr>
          <w:rFonts w:cs="Times New Roman"/>
          <w:vertAlign w:val="superscript"/>
        </w:rPr>
        <w:t>-1</w:t>
      </w:r>
      <w:r w:rsidR="00F90C93" w:rsidRPr="00BC6787">
        <w:rPr>
          <w:rFonts w:cs="Times New Roman"/>
        </w:rPr>
        <w:t xml:space="preserve"> this is considered complete.</w:t>
      </w:r>
      <w:r w:rsidRPr="00BC6787">
        <w:rPr>
          <w:rFonts w:cs="Times New Roman"/>
        </w:rPr>
        <w:t xml:space="preserve"> For the same reason</w:t>
      </w:r>
      <w:r w:rsidR="0086077B" w:rsidRPr="00BC6787">
        <w:rPr>
          <w:rFonts w:cs="Times New Roman"/>
        </w:rPr>
        <w:tab/>
      </w:r>
      <w:r w:rsidR="00F90C93" w:rsidRPr="00BC6787">
        <w:rPr>
          <w:rFonts w:cs="Times New Roman"/>
        </w:rPr>
        <w:t>, once</w:t>
      </w:r>
      <w:r w:rsidR="34FEDD72" w:rsidRPr="00BC6787">
        <w:rPr>
          <w:rFonts w:cs="Times New Roman"/>
        </w:rPr>
        <w:t xml:space="preserve"> the</w:t>
      </w:r>
      <w:r w:rsidR="00F90C93" w:rsidRPr="00BC6787">
        <w:rPr>
          <w:rFonts w:cs="Times New Roman"/>
        </w:rPr>
        <w:t xml:space="preserve"> </w:t>
      </w:r>
      <w:r w:rsidR="00F90C93" w:rsidRPr="00BC6787">
        <w:rPr>
          <w:rFonts w:cs="Times New Roman"/>
          <w:i/>
          <w:iCs/>
        </w:rPr>
        <w:t>θ</w:t>
      </w:r>
      <w:r w:rsidR="00F90C93" w:rsidRPr="00BC6787">
        <w:rPr>
          <w:rFonts w:cs="Times New Roman"/>
          <w:iCs/>
          <w:vertAlign w:val="subscript"/>
        </w:rPr>
        <w:t>0</w:t>
      </w:r>
      <w:r w:rsidR="34FEDD72" w:rsidRPr="00BC6787">
        <w:rPr>
          <w:rFonts w:cs="Times New Roman"/>
        </w:rPr>
        <w:t xml:space="preserve"> parameter</w:t>
      </w:r>
      <w:r w:rsidR="00F90C93" w:rsidRPr="00BC6787">
        <w:rPr>
          <w:rFonts w:cs="Times New Roman"/>
        </w:rPr>
        <w:t>s are</w:t>
      </w:r>
      <w:r w:rsidR="34FEDD72" w:rsidRPr="00BC6787">
        <w:rPr>
          <w:rFonts w:cs="Times New Roman"/>
        </w:rPr>
        <w:t xml:space="preserve"> optimised α is increased; once </w:t>
      </w:r>
      <w:r w:rsidR="00F90C93" w:rsidRPr="00BC6787">
        <w:rPr>
          <w:rFonts w:cs="Times New Roman"/>
        </w:rPr>
        <w:t xml:space="preserve">all </w:t>
      </w:r>
      <w:r w:rsidR="34FEDD72" w:rsidRPr="00BC6787">
        <w:rPr>
          <w:rFonts w:cs="Times New Roman"/>
        </w:rPr>
        <w:t>the</w:t>
      </w:r>
      <w:r w:rsidR="00F90C93" w:rsidRPr="00BC6787">
        <w:rPr>
          <w:rFonts w:cs="Times New Roman"/>
        </w:rPr>
        <w:t>ir</w:t>
      </w:r>
      <w:r w:rsidR="34FEDD72" w:rsidRPr="00BC6787">
        <w:rPr>
          <w:rFonts w:cs="Times New Roman"/>
        </w:rPr>
        <w:t xml:space="preserve"> gradients are less than 0.5</w:t>
      </w:r>
      <w:r w:rsidR="002452DE" w:rsidRPr="00BC6787">
        <w:rPr>
          <w:rFonts w:cs="Times New Roman"/>
        </w:rPr>
        <w:t xml:space="preserve"> degrees</w:t>
      </w:r>
      <w:r w:rsidR="002452DE" w:rsidRPr="00BC6787">
        <w:rPr>
          <w:rFonts w:cs="Times New Roman"/>
          <w:vertAlign w:val="superscript"/>
        </w:rPr>
        <w:t>-1</w:t>
      </w:r>
      <w:r w:rsidR="002452DE" w:rsidRPr="00BC6787">
        <w:rPr>
          <w:rFonts w:cs="Times New Roman"/>
        </w:rPr>
        <w:t xml:space="preserve"> </w:t>
      </w:r>
      <w:r w:rsidR="34FEDD72" w:rsidRPr="00BC6787">
        <w:rPr>
          <w:rFonts w:cs="Times New Roman"/>
        </w:rPr>
        <w:t xml:space="preserve">α is </w:t>
      </w:r>
      <w:r w:rsidR="00922462" w:rsidRPr="00BC6787">
        <w:rPr>
          <w:rFonts w:cs="Times New Roman"/>
        </w:rPr>
        <w:t>increased</w:t>
      </w:r>
      <w:r w:rsidR="34FEDD72" w:rsidRPr="00BC6787">
        <w:rPr>
          <w:rFonts w:cs="Times New Roman"/>
        </w:rPr>
        <w:t xml:space="preserve"> by </w:t>
      </w:r>
      <w:r w:rsidR="00922462" w:rsidRPr="00BC6787">
        <w:rPr>
          <w:rFonts w:cs="Times New Roman"/>
        </w:rPr>
        <w:t xml:space="preserve">a factor of </w:t>
      </w:r>
      <w:r w:rsidR="34FEDD72" w:rsidRPr="00BC6787">
        <w:rPr>
          <w:rFonts w:cs="Times New Roman"/>
        </w:rPr>
        <w:t xml:space="preserve">250. </w:t>
      </w:r>
      <w:r w:rsidR="00486220" w:rsidRPr="00BC6787">
        <w:rPr>
          <w:rFonts w:cs="Times New Roman"/>
        </w:rPr>
        <w:t xml:space="preserve">Furthermore, to reduce the objective function before the minimisation procedure, the </w:t>
      </w:r>
      <w:r w:rsidR="00486220" w:rsidRPr="00BC6787">
        <w:rPr>
          <w:rFonts w:cs="Times New Roman"/>
          <w:i/>
        </w:rPr>
        <w:t>b</w:t>
      </w:r>
      <w:r w:rsidR="00486220" w:rsidRPr="00BC6787">
        <w:rPr>
          <w:rFonts w:cs="Times New Roman"/>
          <w:vertAlign w:val="subscript"/>
        </w:rPr>
        <w:t>0</w:t>
      </w:r>
      <w:r w:rsidR="00486220" w:rsidRPr="00BC6787">
        <w:rPr>
          <w:rFonts w:cs="Times New Roman"/>
        </w:rPr>
        <w:t xml:space="preserve"> and </w:t>
      </w:r>
      <w:r w:rsidR="00486220" w:rsidRPr="00BC6787">
        <w:rPr>
          <w:rFonts w:cs="Times New Roman"/>
          <w:i/>
        </w:rPr>
        <w:t>θ</w:t>
      </w:r>
      <w:r w:rsidR="00486220" w:rsidRPr="00BC6787">
        <w:rPr>
          <w:rFonts w:cs="Times New Roman"/>
          <w:vertAlign w:val="subscript"/>
        </w:rPr>
        <w:t>0</w:t>
      </w:r>
      <w:r w:rsidR="00486220" w:rsidRPr="00BC6787">
        <w:rPr>
          <w:rFonts w:cs="Times New Roman"/>
        </w:rPr>
        <w:t xml:space="preserve"> parameters were set to those of the DFT optimised structure performed at the same level as the reference structure calculations.</w:t>
      </w:r>
      <w:r w:rsidR="002F23C7" w:rsidRPr="00BC6787">
        <w:rPr>
          <w:rFonts w:cs="Times New Roman"/>
        </w:rPr>
        <w:t xml:space="preserve">  </w:t>
      </w:r>
    </w:p>
    <w:p w14:paraId="3E5432B1" w14:textId="0E4D4152" w:rsidR="00B33CF6" w:rsidRPr="0092253A" w:rsidRDefault="0092253A" w:rsidP="00E60601">
      <w:pPr>
        <w:rPr>
          <w:rFonts w:cs="Times New Roman"/>
          <w:bCs/>
          <w:szCs w:val="24"/>
        </w:rPr>
      </w:pPr>
      <w:r>
        <w:rPr>
          <w:rFonts w:cs="Times New Roman"/>
          <w:bCs/>
          <w:szCs w:val="24"/>
        </w:rPr>
        <w:t xml:space="preserve">3.2.4. </w:t>
      </w:r>
      <w:r w:rsidR="00A03122" w:rsidRPr="0092253A">
        <w:rPr>
          <w:rFonts w:cs="Times New Roman"/>
          <w:bCs/>
          <w:szCs w:val="24"/>
        </w:rPr>
        <w:t>Spectral Densities</w:t>
      </w:r>
    </w:p>
    <w:p w14:paraId="382F528B" w14:textId="1B66A806" w:rsidR="00B33CF6" w:rsidRPr="00BC6787" w:rsidRDefault="00A03122" w:rsidP="00E60601">
      <w:pPr>
        <w:rPr>
          <w:rFonts w:cs="Times New Roman"/>
          <w:b/>
          <w:bCs/>
          <w:sz w:val="24"/>
          <w:szCs w:val="24"/>
        </w:rPr>
      </w:pPr>
      <w:r w:rsidRPr="00BC6787">
        <w:rPr>
          <w:rFonts w:cs="Times New Roman"/>
        </w:rPr>
        <w:t xml:space="preserve">The </w:t>
      </w:r>
      <w:r w:rsidR="009C460F" w:rsidRPr="00BC6787">
        <w:rPr>
          <w:rFonts w:cs="Times New Roman"/>
        </w:rPr>
        <w:t>correlation functions</w:t>
      </w:r>
      <w:r w:rsidRPr="00BC6787">
        <w:rPr>
          <w:rFonts w:cs="Times New Roman"/>
        </w:rPr>
        <w:t xml:space="preserve"> were calculated according to eq</w:t>
      </w:r>
      <w:r w:rsidR="00344829" w:rsidRPr="00BC6787">
        <w:rPr>
          <w:rFonts w:cs="Times New Roman"/>
        </w:rPr>
        <w:t xml:space="preserve">. </w:t>
      </w:r>
      <w:r w:rsidRPr="00BC6787">
        <w:rPr>
          <w:rFonts w:cs="Times New Roman"/>
        </w:rPr>
        <w:t xml:space="preserve">1 </w:t>
      </w:r>
      <w:r w:rsidR="00344829" w:rsidRPr="00BC6787">
        <w:rPr>
          <w:rFonts w:cs="Times New Roman"/>
        </w:rPr>
        <w:t>(implemen</w:t>
      </w:r>
      <w:bookmarkStart w:id="2" w:name="_GoBack"/>
      <w:bookmarkEnd w:id="2"/>
      <w:r w:rsidR="00344829" w:rsidRPr="00BC6787">
        <w:rPr>
          <w:rFonts w:cs="Times New Roman"/>
        </w:rPr>
        <w:t>ted as detailed in ref.</w:t>
      </w:r>
      <w:r w:rsidR="009C460F" w:rsidRPr="00BC6787">
        <w:rPr>
          <w:rFonts w:cs="Times New Roman"/>
        </w:rPr>
        <w:t xml:space="preserve"> </w:t>
      </w:r>
      <w:r w:rsidR="009C460F" w:rsidRPr="00912E63">
        <w:rPr>
          <w:rFonts w:cs="Times New Roman"/>
        </w:rPr>
        <w:fldChar w:fldCharType="begin" w:fldLock="1"/>
      </w:r>
      <w:r w:rsidR="000C038E">
        <w:rPr>
          <w:rFonts w:cs="Times New Roman"/>
        </w:rPr>
        <w:instrText>ADDIN CSL_CITATION {"citationItems":[{"id":"ITEM-1","itemData":{"author":[{"dropping-particle":"","family":"Allen","given":"M P","non-dropping-particle":"","parse-names":false,"suffix":""},{"dropping-particle":"","family":"Tildesley","given":"D J","non-dropping-particle":"","parse-names":false,"suffix":""}],"id":"ITEM-1","issued":{"date-parts":[["1991"]]},"publisher":"Oxford University Press","title":"Computer Simulation of Liquids","type":"book"},"uris":["http://www.mendeley.com/documents/?uuid=d9b61edb-d23a-4232-bc00-921ba9b0e896"]}],"mendeley":{"formattedCitation":"&lt;sup&gt;61&lt;/sup&gt;","plainTextFormattedCitation":"61","previouslyFormattedCitation":"&lt;sup&gt;61&lt;/sup&gt;"},"properties":{"noteIndex":0},"schema":"https://github.com/citation-style-language/schema/raw/master/csl-citation.json"}</w:instrText>
      </w:r>
      <w:r w:rsidR="009C460F" w:rsidRPr="00912E63">
        <w:rPr>
          <w:rFonts w:cs="Times New Roman"/>
        </w:rPr>
        <w:fldChar w:fldCharType="separate"/>
      </w:r>
      <w:r w:rsidR="00912E63" w:rsidRPr="00912E63">
        <w:rPr>
          <w:rFonts w:cs="Times New Roman"/>
          <w:noProof/>
        </w:rPr>
        <w:t>61</w:t>
      </w:r>
      <w:r w:rsidR="009C460F" w:rsidRPr="00912E63">
        <w:rPr>
          <w:rFonts w:cs="Times New Roman"/>
        </w:rPr>
        <w:fldChar w:fldCharType="end"/>
      </w:r>
      <w:r w:rsidR="00912E63">
        <w:rPr>
          <w:rFonts w:cs="Times New Roman"/>
        </w:rPr>
        <w:t xml:space="preserve">). </w:t>
      </w:r>
      <w:r w:rsidR="00344829" w:rsidRPr="00BC6787">
        <w:rPr>
          <w:rFonts w:cs="Times New Roman"/>
        </w:rPr>
        <w:t xml:space="preserve">A </w:t>
      </w:r>
      <w:r w:rsidR="009C460F" w:rsidRPr="00BC6787">
        <w:rPr>
          <w:rFonts w:cs="Times New Roman"/>
        </w:rPr>
        <w:t>subsequent</w:t>
      </w:r>
      <w:r w:rsidR="001260A9" w:rsidRPr="00BC6787">
        <w:rPr>
          <w:rFonts w:cs="Times New Roman"/>
        </w:rPr>
        <w:t xml:space="preserve"> </w:t>
      </w:r>
      <w:r w:rsidR="009C460F" w:rsidRPr="00BC6787">
        <w:rPr>
          <w:rFonts w:cs="Times New Roman"/>
        </w:rPr>
        <w:t xml:space="preserve">Fourier transforms </w:t>
      </w:r>
      <w:r w:rsidR="00F24F78" w:rsidRPr="00BC6787">
        <w:rPr>
          <w:rFonts w:cs="Times New Roman"/>
        </w:rPr>
        <w:t xml:space="preserve">in the 0 ≤ </w:t>
      </w:r>
      <w:r w:rsidR="00F24F78" w:rsidRPr="00BC6787">
        <w:rPr>
          <w:rFonts w:cs="Times New Roman"/>
          <w:i/>
        </w:rPr>
        <w:t>t</w:t>
      </w:r>
      <w:r w:rsidR="00F24F78" w:rsidRPr="00BC6787">
        <w:rPr>
          <w:rFonts w:cs="Times New Roman"/>
        </w:rPr>
        <w:t xml:space="preserve"> ≤ 16 </w:t>
      </w:r>
      <w:proofErr w:type="spellStart"/>
      <w:r w:rsidR="00F24F78" w:rsidRPr="00BC6787">
        <w:rPr>
          <w:rFonts w:cs="Times New Roman"/>
        </w:rPr>
        <w:t>ps</w:t>
      </w:r>
      <w:proofErr w:type="spellEnd"/>
      <w:r w:rsidR="00F24F78" w:rsidRPr="00BC6787">
        <w:rPr>
          <w:rFonts w:cs="Times New Roman"/>
        </w:rPr>
        <w:t xml:space="preserve"> range</w:t>
      </w:r>
      <w:r w:rsidR="00344829" w:rsidRPr="00BC6787">
        <w:rPr>
          <w:rFonts w:cs="Times New Roman"/>
        </w:rPr>
        <w:t xml:space="preserve"> was used to obtain </w:t>
      </w:r>
      <w:r w:rsidR="009C460F" w:rsidRPr="00BC6787">
        <w:rPr>
          <w:rFonts w:cs="Times New Roman"/>
        </w:rPr>
        <w:t>the spectral densities</w:t>
      </w:r>
      <w:r w:rsidR="00344829" w:rsidRPr="00BC6787">
        <w:rPr>
          <w:rFonts w:cs="Times New Roman"/>
        </w:rPr>
        <w:t xml:space="preserve"> (equation 2)</w:t>
      </w:r>
      <w:r w:rsidRPr="00BC6787">
        <w:rPr>
          <w:rFonts w:cs="Times New Roman"/>
        </w:rPr>
        <w:t xml:space="preserve">. </w:t>
      </w:r>
      <w:r w:rsidR="00BA6AC0" w:rsidRPr="00BC6787">
        <w:rPr>
          <w:rFonts w:cs="Times New Roman"/>
        </w:rPr>
        <w:t xml:space="preserve">For each protein system, MD trajectories were obtained utilising the original FF </w:t>
      </w:r>
      <w:r w:rsidR="00713A92" w:rsidRPr="00BC6787">
        <w:rPr>
          <w:rFonts w:cs="Times New Roman"/>
        </w:rPr>
        <w:t xml:space="preserve">and </w:t>
      </w:r>
      <w:r w:rsidR="00BA6AC0" w:rsidRPr="00BC6787">
        <w:rPr>
          <w:rFonts w:cs="Times New Roman"/>
        </w:rPr>
        <w:t xml:space="preserve">the optimised FF of the chromophore. The initial protein setup, energy minimisation and equilibration steps were performed as in </w:t>
      </w:r>
      <w:r w:rsidR="00713A92" w:rsidRPr="00BC6787">
        <w:rPr>
          <w:rFonts w:cs="Times New Roman"/>
        </w:rPr>
        <w:t>Initial Geometries</w:t>
      </w:r>
      <w:r w:rsidR="00BA6AC0" w:rsidRPr="00BC6787">
        <w:rPr>
          <w:rFonts w:cs="Times New Roman"/>
        </w:rPr>
        <w:t>. A further 25 ns of dynamics</w:t>
      </w:r>
      <w:r w:rsidR="00761A07" w:rsidRPr="00BC6787">
        <w:rPr>
          <w:rFonts w:cs="Times New Roman"/>
        </w:rPr>
        <w:t xml:space="preserve"> (NVT)</w:t>
      </w:r>
      <w:r w:rsidR="00BA6AC0" w:rsidRPr="00BC6787">
        <w:rPr>
          <w:rFonts w:cs="Times New Roman"/>
        </w:rPr>
        <w:t xml:space="preserve"> </w:t>
      </w:r>
      <w:r w:rsidR="00BA6AC0" w:rsidRPr="00D852DF">
        <w:rPr>
          <w:rFonts w:cs="Times New Roman"/>
          <w:color w:val="000000" w:themeColor="text1"/>
        </w:rPr>
        <w:t>was run</w:t>
      </w:r>
      <w:r w:rsidR="0092253A" w:rsidRPr="00D852DF">
        <w:rPr>
          <w:rFonts w:cs="Times New Roman"/>
          <w:color w:val="000000" w:themeColor="text1"/>
        </w:rPr>
        <w:t xml:space="preserve"> </w:t>
      </w:r>
      <w:r w:rsidR="00916D1A" w:rsidRPr="00D852DF">
        <w:rPr>
          <w:rFonts w:cs="Times New Roman"/>
          <w:color w:val="000000" w:themeColor="text1"/>
        </w:rPr>
        <w:t>(</w:t>
      </w:r>
      <w:r w:rsidR="0092253A" w:rsidRPr="00D852DF">
        <w:rPr>
          <w:rFonts w:cs="Times New Roman"/>
          <w:color w:val="000000" w:themeColor="text1"/>
        </w:rPr>
        <w:t xml:space="preserve">with </w:t>
      </w:r>
      <w:r w:rsidR="00916D1A" w:rsidRPr="00D852DF">
        <w:rPr>
          <w:rFonts w:cs="Times New Roman"/>
          <w:color w:val="000000" w:themeColor="text1"/>
        </w:rPr>
        <w:t xml:space="preserve">the same constrains on X-H bonds imposed </w:t>
      </w:r>
      <w:r w:rsidR="0092253A" w:rsidRPr="00D852DF">
        <w:rPr>
          <w:rFonts w:cs="Times New Roman"/>
          <w:color w:val="000000" w:themeColor="text1"/>
        </w:rPr>
        <w:t>using LINC</w:t>
      </w:r>
      <w:r w:rsidR="00F50F92" w:rsidRPr="00D852DF">
        <w:rPr>
          <w:rFonts w:cs="Times New Roman"/>
          <w:color w:val="000000" w:themeColor="text1"/>
        </w:rPr>
        <w:t>S</w:t>
      </w:r>
      <w:r w:rsidR="00F50F92" w:rsidRPr="00D852DF">
        <w:rPr>
          <w:rFonts w:cs="Times New Roman"/>
          <w:color w:val="000000" w:themeColor="text1"/>
        </w:rPr>
        <w:fldChar w:fldCharType="begin" w:fldLock="1"/>
      </w:r>
      <w:r w:rsidR="000C038E" w:rsidRPr="00D852DF">
        <w:rPr>
          <w:rFonts w:cs="Times New Roman"/>
          <w:color w:val="000000" w:themeColor="text1"/>
        </w:rPr>
        <w:instrText>ADDIN CSL_CITATION {"citationItems":[{"id":"ITEM-1","itemData":{"DOI":"10.1021/CT700200B","abstract":"By removing the fastest degrees of freedom, constraints allow for an increase of the time step in molecular simulations. In the last decade parallel simulations have become commonplace. However, up till now efficient parallel constraint algorithms have not been used with domain decomposition. In this paper the parallel linear constraint solver (P-LINCS) is presented, which allows the constraining of all bonds in macromolecules. Additionally the energy conservation properties of (P-)LINCS are assessed in view of improvements in the accuracy of uncoupled angle constraints and integration in single precision.","author":[{"dropping-particle":"","family":"Hess","given":"Berk","non-dropping-particle":"","parse-names":false,"suffix":""}],"container-title":"Journal of Chemical Theory and Computation","id":"ITEM-1","issue":"1","issued":{"date-parts":[["2008"]]},"page":"116-122","publisher":"American Chemical Society","title":"P-LINCS: A Parallel Linear Constraint Solver for Molecular Simulation","type":"article-journal","volume":"4"},"uris":["http://www.mendeley.com/documents/?uuid=1f7e6e70-9dc2-351a-aa15-3472c3fa11df"]}],"mendeley":{"formattedCitation":"&lt;sup&gt;60&lt;/sup&gt;","plainTextFormattedCitation":"60","previouslyFormattedCitation":"&lt;sup&gt;60&lt;/sup&gt;"},"properties":{"noteIndex":0},"schema":"https://github.com/citation-style-language/schema/raw/master/csl-citation.json"}</w:instrText>
      </w:r>
      <w:r w:rsidR="00F50F92" w:rsidRPr="00D852DF">
        <w:rPr>
          <w:rFonts w:cs="Times New Roman"/>
          <w:color w:val="000000" w:themeColor="text1"/>
        </w:rPr>
        <w:fldChar w:fldCharType="separate"/>
      </w:r>
      <w:r w:rsidR="00F50F92" w:rsidRPr="00D852DF">
        <w:rPr>
          <w:rFonts w:cs="Times New Roman"/>
          <w:noProof/>
          <w:color w:val="000000" w:themeColor="text1"/>
          <w:vertAlign w:val="superscript"/>
        </w:rPr>
        <w:t>60</w:t>
      </w:r>
      <w:r w:rsidR="00F50F92" w:rsidRPr="00D852DF">
        <w:rPr>
          <w:rFonts w:cs="Times New Roman"/>
          <w:color w:val="000000" w:themeColor="text1"/>
        </w:rPr>
        <w:fldChar w:fldCharType="end"/>
      </w:r>
      <w:r w:rsidR="00916D1A" w:rsidRPr="00D852DF">
        <w:rPr>
          <w:rFonts w:cs="Times New Roman"/>
          <w:color w:val="000000" w:themeColor="text1"/>
        </w:rPr>
        <w:t xml:space="preserve">) </w:t>
      </w:r>
      <w:r w:rsidRPr="00D852DF">
        <w:rPr>
          <w:rFonts w:cs="Times New Roman"/>
          <w:color w:val="000000" w:themeColor="text1"/>
        </w:rPr>
        <w:t xml:space="preserve">The excitation energies for the </w:t>
      </w:r>
      <w:r w:rsidRPr="00BC6787">
        <w:rPr>
          <w:rFonts w:cs="Times New Roman"/>
        </w:rPr>
        <w:t xml:space="preserve">spectral densities were computed from snapshots taken every 2 fs from </w:t>
      </w:r>
      <w:r w:rsidR="0048617D" w:rsidRPr="00BC6787">
        <w:rPr>
          <w:rFonts w:cs="Times New Roman"/>
        </w:rPr>
        <w:t>the last</w:t>
      </w:r>
      <w:r w:rsidRPr="00BC6787">
        <w:rPr>
          <w:rFonts w:cs="Times New Roman"/>
        </w:rPr>
        <w:t xml:space="preserve"> 16 </w:t>
      </w:r>
      <w:proofErr w:type="spellStart"/>
      <w:r w:rsidRPr="00BC6787">
        <w:rPr>
          <w:rFonts w:cs="Times New Roman"/>
        </w:rPr>
        <w:t>ps</w:t>
      </w:r>
      <w:proofErr w:type="spellEnd"/>
      <w:r w:rsidRPr="00BC6787">
        <w:rPr>
          <w:rFonts w:cs="Times New Roman"/>
        </w:rPr>
        <w:t xml:space="preserve"> </w:t>
      </w:r>
      <w:r w:rsidR="0048617D" w:rsidRPr="00BC6787">
        <w:rPr>
          <w:rFonts w:cs="Times New Roman"/>
        </w:rPr>
        <w:t xml:space="preserve">of this </w:t>
      </w:r>
      <w:r w:rsidRPr="00BC6787">
        <w:rPr>
          <w:rFonts w:cs="Times New Roman"/>
        </w:rPr>
        <w:t xml:space="preserve">MD trajectory, using a </w:t>
      </w:r>
      <w:r w:rsidRPr="00BC6787">
        <w:rPr>
          <w:rFonts w:cs="Times New Roman"/>
        </w:rPr>
        <w:lastRenderedPageBreak/>
        <w:t xml:space="preserve">QM/MM scheme </w:t>
      </w:r>
      <w:r w:rsidR="0048617D" w:rsidRPr="00BC6787">
        <w:rPr>
          <w:rFonts w:cs="Times New Roman"/>
        </w:rPr>
        <w:t>within TDDFT linear response theory,</w:t>
      </w:r>
      <w:r w:rsidR="00380A38" w:rsidRPr="00BC6787">
        <w:rPr>
          <w:rFonts w:cs="Times New Roman"/>
        </w:rPr>
        <w:fldChar w:fldCharType="begin" w:fldLock="1"/>
      </w:r>
      <w:r w:rsidR="000C038E">
        <w:rPr>
          <w:rFonts w:cs="Times New Roman"/>
        </w:rPr>
        <w:instrText>ADDIN CSL_CITATION {"citationItems":[{"id":"ITEM-1","itemData":{"DOI":"10.1063/1.475855","ISSN":"0021-9606","abstract":"This paper presents an evaluation of the performance of time-dependent density-functional response theory (TD-DFRT) for the calculation of high-lying bound electronic excitation energies of molecules. TD-DFRT excitation energies are reported for a large number of states for each of four molecules: N2, CO, CH2O, and C2H4. In contrast to the good results obtained for low-lying states within the time-dependent local density approximation (TDLDA), there is a marked deterioration of the results for high-lying bound states. This is manifested as a collapse of the states above the TDLDA ionization threshold, which is at −εHOMOLDA (the negative of the highest occupied molecular orbital energy in the LDA). The −εHOMOLDA is much lower than the true ionization potential because the LDA exchange-correlation potential has the wrong asymptotic behavior. For this reason, the excitation energies were also calculated using the asymptotically correct potential of van Leeuwen and Baerends (LB94) in the self-consistent field...","author":[{"dropping-particle":"","family":"Casida","given":"Mark E.","non-dropping-particle":"","parse-names":false,"suffix":""},{"dropping-particle":"","family":"Jamorski","given":"Christine","non-dropping-particle":"","parse-names":false,"suffix":""},{"dropping-particle":"","family":"Casida","given":"Kim C.","non-dropping-particle":"","parse-names":false,"suffix":""},{"dropping-particle":"","family":"Salahub","given":"Dennis R.","non-dropping-particle":"","parse-names":false,"suffix":""}],"container-title":"The Journal of Chemical Physics","id":"ITEM-1","issue":"11","issued":{"date-parts":[["1998","10","8"]]},"page":"4439","publisher":"American Institute of Physics","title":"Molecular excitation energies to high-lying bound states from time-dependent density-functional response theory: Characterization and correction of the time-dependent local density approximation ionization threshold","type":"article-journal","volume":"108"},"uris":["http://www.mendeley.com/documents/?uuid=a142851a-16e7-3396-a394-e1a22395465c"]}],"mendeley":{"formattedCitation":"&lt;sup&gt;62&lt;/sup&gt;","plainTextFormattedCitation":"62","previouslyFormattedCitation":"&lt;sup&gt;62&lt;/sup&gt;"},"properties":{"noteIndex":0},"schema":"https://github.com/citation-style-language/schema/raw/master/csl-citation.json"}</w:instrText>
      </w:r>
      <w:r w:rsidR="00380A38" w:rsidRPr="00BC6787">
        <w:rPr>
          <w:rFonts w:cs="Times New Roman"/>
        </w:rPr>
        <w:fldChar w:fldCharType="separate"/>
      </w:r>
      <w:r w:rsidR="00912E63" w:rsidRPr="00912E63">
        <w:rPr>
          <w:rFonts w:cs="Times New Roman"/>
          <w:noProof/>
          <w:vertAlign w:val="superscript"/>
        </w:rPr>
        <w:t>62</w:t>
      </w:r>
      <w:r w:rsidR="00380A38" w:rsidRPr="00BC6787">
        <w:rPr>
          <w:rFonts w:cs="Times New Roman"/>
        </w:rPr>
        <w:fldChar w:fldCharType="end"/>
      </w:r>
      <w:r w:rsidR="0048617D" w:rsidRPr="00BC6787">
        <w:rPr>
          <w:rFonts w:cs="Times New Roman"/>
          <w:b/>
        </w:rPr>
        <w:t xml:space="preserve"> </w:t>
      </w:r>
      <w:r w:rsidR="0048617D" w:rsidRPr="00BC6787">
        <w:rPr>
          <w:rFonts w:cs="Times New Roman"/>
        </w:rPr>
        <w:t xml:space="preserve">performed using the </w:t>
      </w:r>
      <w:proofErr w:type="spellStart"/>
      <w:r w:rsidR="0048617D" w:rsidRPr="00BC6787">
        <w:rPr>
          <w:rFonts w:cs="Times New Roman"/>
        </w:rPr>
        <w:t>QChem</w:t>
      </w:r>
      <w:proofErr w:type="spellEnd"/>
      <w:r w:rsidR="0048617D" w:rsidRPr="00BC6787">
        <w:rPr>
          <w:rFonts w:cs="Times New Roman"/>
        </w:rPr>
        <w:t xml:space="preserve"> 4.2 software.</w:t>
      </w:r>
      <w:r w:rsidR="00380A38" w:rsidRPr="00BC6787">
        <w:rPr>
          <w:rFonts w:cs="Times New Roman"/>
        </w:rPr>
        <w:fldChar w:fldCharType="begin" w:fldLock="1"/>
      </w:r>
      <w:r w:rsidR="000C038E">
        <w:rPr>
          <w:rFonts w:cs="Times New Roman"/>
        </w:rPr>
        <w:instrText>ADDIN CSL_CITATION {"citationItems":[{"id":"ITEM-1","itemData":{"DOI":"10.1080/00268976.2014.952696","ISSN":"0026-8976","abstract":"A summary of the technical advances that are incorporated in the fourth major release of the Q-Chem quantum chemistry program is provided, covering approximately the last seven years. These include developments in density functional theory methods and algorithms, nuclear magnetic resonance (NMR) property evaluation, coupled cluster and perturbation theories, methods for electronically excited and open-shell species, tools for treating extended environments, algorithms for walking on potential surfaces, analysis tools, energy and electron transfer modelling, parallel computing capabilities, and graphical user interfaces. In addition, a selection of example case studies that illustrate these capabilities is given. These include extensive benchmarks of the comparative accuracy of modern density functionals for bonded and non-bonded interactions, tests of attenuated second order Møller–Plesset (MP2) methods for intermolecular interactions, a variety of parallel performance benchmarks, and tests of the accurac...","author":[{"dropping-particle":"","family":"Shao","given":"Yihan","non-dropping-particle":"","parse-names":false,"suffix":""},{"dropping-particle":"","family":"Gan","given":"Zhengting","non-dropping-particle":"","parse-names":false,"suffix":""},{"dropping-particle":"","family":"Epifanovsky","given":"Evgeny","non-dropping-particle":"","parse-names":false,"suffix":""},{"dropping-particle":"","family":"Gilbert","given":"Andrew T.B.","non-dropping-particle":"","parse-names":false,"suffix":""},{"dropping-particle":"","family":"Wormit","given":"Michael","non-dropping-particle":"","parse-names":false,"suffix":""},{"dropping-particle":"","family":"Kussmann","given":"Joerg","non-dropping-particle":"","parse-names":false,"suffix":""},{"dropping-particle":"","family":"Lange","given":"Adrian W.","non-dropping-particle":"","parse-names":false,"suffix":""},{"dropping-particle":"","family":"Behn","given":"Andrew","non-dropping-particle":"","parse-names":false,"suffix":""},{"dropping-particle":"","family":"Deng","given":"Jia","non-dropping-particle":"","parse-names":false,"suffix":""},{"dropping-particle":"","family":"Feng","given":"Xintian","non-dropping-particle":"","parse-names":false,"suffix":""},{"dropping-particle":"","family":"Ghosh","given":"Debashree","non-dropping-particle":"","parse-names":false,"suffix":""},{"dropping-particle":"","family":"Goldey","given":"Matthew","non-dropping-particle":"","parse-names":false,"suffix":""},{"dropping-particle":"","family":"Horn","given":"Paul R.","non-dropping-particle":"","parse-names":false,"suffix":""},{"dropping-particle":"","family":"Jacobson","given":"Leif D.","non-dropping-particle":"","parse-names":false,"suffix":""},{"dropping-particle":"","family":"Kaliman","given":"Ilya","non-dropping-particle":"","parse-names":false,"suffix":""},{"dropping-particle":"","family":"Khaliullin","given":"Rustam Z.","non-dropping-particle":"","parse-names":false,"suffix":""},{"dropping-particle":"","family":"Kuś","given":"Tomasz","non-dropping-particle":"","parse-names":false,"suffix":""},{"dropping-particle":"","family":"Landau","given":"Arie","non-dropping-particle":"","parse-names":false,"suffix":""},{"dropping-particle":"","family":"Liu","given":"Jie","non-dropping-particle":"","parse-names":false,"suffix":""},{"dropping-particle":"","family":"Proynov","given":"Emil I.","non-dropping-particle":"","parse-names":false,"suffix":""},{"dropping-particle":"","family":"Rhee","given":"Young Min","non-dropping-particle":"","parse-names":false,"suffix":""},{"dropping-particle":"","family":"Richard","given":"Ryan M.","non-dropping-particle":"","parse-names":false,"suffix":""},{"dropping-particle":"","family":"Rohrdanz","given":"Mary A.","non-dropping-particle":"","parse-names":false,"suffix":""},{"dropping-particle":"","family":"Steele","given":"Ryan P.","non-dropping-particle":"","parse-names":false,"suffix":""},{"dropping-particle":"","family":"Sundstrom","given":"Eric J.","non-dropping-particle":"","parse-names":false,"suffix":""},{"dropping-particle":"","family":"Woodcock","given":"H. Lee","non-dropping-particle":"","parse-names":false,"suffix":""},{"dropping-particle":"","family":"Zimmerman","given":"Paul M.","non-dropping-particle":"","parse-names":false,"suffix":""},{"dropping-particle":"","family":"Zuev","given":"Dmitry","non-dropping-particle":"","parse-names":false,"suffix":""},{"dropping-particle":"","family":"Albrecht","given":"Ben","non-dropping-particle":"","parse-names":false,"suffix":""},{"dropping-particle":"","family":"Alguire","given":"Ethan","non-dropping-particle":"","parse-names":false,"suffix":""},{"dropping-particle":"","family":"Austin","given":"Brian","non-dropping-particle":"","parse-names":false,"suffix":""},{"dropping-particle":"","family":"Beran","given":"Gregory J. O.","non-dropping-particle":"","parse-names":false,"suffix":""},{"dropping-particle":"","family":"Bernard","given":"Yves A.","non-dropping-particle":"","parse-names":false,"suffix":""},{"dropping-particle":"","family":"Berquist","given":"Eric","non-dropping-particle":"","parse-names":false,"suffix":""},{"dropping-particle":"","family":"Brandhorst","given":"Kai","non-dropping-particle":"","parse-names":false,"suffix":""},{"dropping-particle":"","family":"Bravaya","given":"Ksenia B.","non-dropping-particle":"","parse-names":false,"suffix":""},{"dropping-particle":"","family":"Brown","given":"Shawn T.","non-dropping-particle":"","parse-names":false,"suffix":""},{"dropping-particle":"","family":"Casanova","given":"David","non-dropping-particle":"","parse-names":false,"suffix":""},{"dropping-particle":"","family":"Chang","given":"Chun-Min","non-dropping-particle":"","parse-names":false,"suffix":""},{"dropping-particle":"","family":"Chen","given":"Yunqing","non-dropping-particle":"","parse-names":false,"suffix":""},{"dropping-particle":"","family":"Chien","given":"Siu Hung","non-dropping-particle":"","parse-names":false,"suffix":""},{"dropping-particle":"","family":"Closser","given":"Kristina D.","non-dropping-particle":"","parse-names":false,"suffix":""},{"dropping-particle":"","family":"Crittenden","given":"Deborah L.","non-dropping-particle":"","parse-names":false,"suffix":""},{"dropping-particle":"","family":"Diedenhofen","given":"Michael","non-dropping-particle":"","parse-names":false,"suffix":""},{"dropping-particle":"","family":"DiStasio","given":"Robert A.","non-dropping-particle":"","parse-names":false,"suffix":""},{"dropping-particle":"","family":"Do","given":"Hainam","non-dropping-particle":"","parse-names":false,"suffix":""},{"dropping-particle":"","family":"Dutoi","given":"Anthony D.","non-dropping-particle":"","parse-names":false,"suffix":""},{"dropping-particle":"","family":"Edgar","given":"Richard G.","non-dropping-particle":"","parse-names":false,"suffix":""},{"dropping-particle":"","family":"Fatehi","given":"Shervin","non-dropping-particle":"","parse-names":false,"suffix":""},{"dropping-particle":"","family":"Fusti-Molnar","given":"Laszlo","non-dropping-particle":"","parse-names":false,"suffix":""},{"dropping-particle":"","family":"Ghysels","given":"An","non-dropping-particle":"","parse-names":false,"suffix":""},{"dropping-particle":"","family":"Golubeva-Zadorozhnaya","given":"Anna","non-dropping-particle":"","parse-names":false,"suffix":""},{"dropping-particle":"","family":"Gomes","given":"Joseph","non-dropping-particle":"","parse-names":false,"suffix":""},{"dropping-particle":"","family":"Hanson-Heine","given":"Magnus W.D.","non-dropping-particle":"","parse-names":false,"suffix":""},{"dropping-particle":"","family":"Harbach","given":"Philipp H.P.","non-dropping-particle":"","parse-names":false,"suffix":""},{"dropping-particle":"","family":"Hauser","given":"Andreas W.","non-dropping-particle":"","parse-names":false,"suffix":""},{"dropping-particle":"","family":"Hohenstein","given":"Edward G.","non-dropping-particle":"","parse-names":false,"suffix":""},{"dropping-particle":"","family":"Holden","given":"Zachary C.","non-dropping-particle":"","parse-names":false,"suffix":""},{"dropping-particle":"","family":"Jagau","given":"Thomas-C.","non-dropping-particle":"","parse-names":false,"suffix":""},{"dropping-particle":"","family":"Ji","given":"Hyunjun","non-dropping-particle":"","parse-names":false,"suffix":""},{"dropping-particle":"","family":"Kaduk","given":"Benjamin","non-dropping-particle":"","parse-names":false,"suffix":""},{"dropping-particle":"","family":"Khistyaev","given":"Kirill","non-dropping-particle":"","parse-names":false,"suffix":""},{"dropping-particle":"","family":"Kim","given":"Jaehoon","non-dropping-particle":"","parse-names":false,"suffix":""},{"dropping-particle":"","family":"Kim","given":"Jihan","non-dropping-particle":"","parse-names":false,"suffix":""},{"dropping-particle":"","family":"King","given":"Rollin A.","non-dropping-particle":"","parse-names":false,"suffix":""},{"dropping-particle":"","family":"Klunzinger","given":"Phil","non-dropping-particle":"","parse-names":false,"suffix":""},{"dropping-particle":"","family":"Kosenkov","given":"Dmytro","non-dropping-particle":"","parse-names":false,"suffix":""},{"dropping-particle":"","family":"Kowalczyk","given":"Tim","non-dropping-particle":"","parse-names":false,"suffix":""},{"dropping-particle":"","family":"Krauter","given":"Caroline M.","non-dropping-particle":"","parse-names":false,"suffix":""},{"dropping-particle":"","family":"Lao","given":"Ka Un","non-dropping-particle":"","parse-names":false,"suffix":""},{"dropping-particle":"","family":"Laurent","given":"Adèle D.","non-dropping-particle":"","parse-names":false,"suffix":""},{"dropping-particle":"V.","family":"Lawler","given":"Keith","non-dropping-particle":"","parse-names":false,"suffix":""},{"dropping-particle":"V.","family":"Levchenko","given":"Sergey","non-dropping-particle":"","parse-names":false,"suffix":""},{"dropping-particle":"","family":"Lin","given":"Ching Yeh","non-dropping-particle":"","parse-names":false,"suffix":""},{"dropping-particle":"","family":"Liu","given":"Fenglai","non-dropping-particle":"","parse-names":false,"suffix":""},{"dropping-particle":"","family":"Livshits","given":"Ester","non-dropping-particle":"","parse-names":false,"suffix":""},{"dropping-particle":"","family":"Lochan","given":"Rohini C.","non-dropping-particle":"","parse-names":false,"suffix":""},{"dropping-particle":"","family":"Luenser","given":"Arne","non-dropping-particle":"","parse-names":false,"suffix":""},{"dropping-particle":"","family":"Manohar","given":"Prashant","non-dropping-particle":"","parse-names":false,"suffix":""},{"dropping-particle":"","family":"Manzer","given":"Samuel F.","non-dropping-particle":"","parse-names":false,"suffix":""},{"dropping-particle":"","family":"Mao","given":"Shan-Ping","non-dropping-particle":"","parse-names":false,"suffix":""},{"dropping-particle":"","family":"Mardirossian","given":"Narbe","non-dropping-particle":"","parse-names":false,"suffix":""},{"dropping-particle":"V.","family":"Marenich","given":"Aleksandr","non-dropping-particle":"","parse-names":false,"suffix":""},{"dropping-particle":"","family":"Maurer","given":"Simon A.","non-dropping-particle":"","parse-names":false,"suffix":""},{"dropping-particle":"","family":"Mayhall","given":"Nicholas J.","non-dropping-particle":"","parse-names":false,"suffix":""},{"dropping-particle":"","family":"Neuscamman","given":"Eric","non-dropping-particle":"","parse-names":false,"suffix":""},{"dropping-particle":"","family":"Oana","given":"C. Melania","non-dropping-particle":"","parse-names":false,"suffix":""},{"dropping-particle":"","family":"Olivares-Amaya","given":"Roberto","non-dropping-particle":"","parse-names":false,"suffix":""},{"dropping-particle":"","family":"O’Neill","given":"Darragh P.","non-dropping-particle":"","parse-names":false,"suffix":""},{"dropping-particle":"","family":"Parkhill","given":"John A.","non-dropping-particle":"","parse-names":false,"suffix":""},{"dropping-particle":"","family":"Perrine","given":"Trilisa M.","non-dropping-particle":"","parse-names":false,"suffix":""},{"dropping-particle":"","family":"Peverati","given":"Roberto","non-dropping-particle":"","parse-names":false,"suffix":""},{"dropping-particle":"","family":"Prociuk","given":"Alexander","non-dropping-particle":"","parse-names":false,"suffix":""},{"dropping-particle":"","family":"Rehn","given":"Dirk R.","non-dropping-particle":"","parse-names":false,"suffix":""},{"dropping-particle":"","family":"Rosta","given":"Edina","non-dropping-particle":"","parse-names":false,"suffix":""},{"dropping-particle":"","family":"Russ","given":"Nicholas J.","non-dropping-particle":"","parse-names":false,"suffix":""},{"dropping-particle":"","family":"Sharada","given":"Shaama M.","non-dropping-particle":"","parse-names":false,"suffix":""},{"dropping-particle":"","family":"Sharma","given":"Sandeep","non-dropping-particle":"","parse-names":false,"suffix":""},{"dropping-particle":"","family":"Small","given":"David W.","non-dropping-particle":"","parse-names":false,"suffix":""},{"dropping-particle":"","family":"Sodt","given":"Alexander","non-dropping-particle":"","parse-names":false,"suffix":""},{"dropping-particle":"","family":"Stein","given":"Tamar","non-dropping-particle":"","parse-names":false,"suffix":""},{"dropping-particle":"","family":"Stück","given":"David","non-dropping-particle":"","parse-names":false,"suffix":""},{"dropping-particle":"","family":"Su","given":"Yu-Chuan","non-dropping-particle":"","parse-names":false,"suffix":""},{"dropping-particle":"","family":"Thom","given":"Alex J.W.","non-dropping-particle":"","parse-names":false,"suffix":""},{"dropping-particle":"","family":"Tsuchimochi","given":"Takashi","non-dropping-particle":"","parse-names":false,"suffix":""},{"dropping-particle":"","family":"Vanovschi","given":"Vitalii","non-dropping-particle":"","parse-names":false,"suffix":""},{"dropping-particle":"","family":"Vogt","given":"Leslie","non-dropping-particle":"","parse-names":false,"suffix":""},{"dropping-particle":"","family":"Vydrov","given":"Oleg","non-dropping-particle":"","parse-names":false,"suffix":""},{"dropping-particle":"","family":"Wang","given":"Tao","non-dropping-particle":"","parse-names":false,"suffix":""},{"dropping-particle":"","family":"Watson","given":"Mark A.","non-dropping-particle":"","parse-names":false,"suffix":""},{"dropping-particle":"","family":"Wenzel","given":"Jan","non-dropping-particle":"","parse-names":false,"suffix":""},{"dropping-particle":"","family":"White","given":"Alec","non-dropping-particle":"","parse-names":false,"suffix":""},{"dropping-particle":"","family":"Williams","given":"Christopher F.","non-dropping-particle":"","parse-names":false,"suffix":""},{"dropping-particle":"","family":"Yang","given":"Jun","non-dropping-particle":"","parse-names":false,"suffix":""},{"dropping-particle":"","family":"Yeganeh","given":"Sina","non-dropping-particle":"","parse-names":false,"suffix":""},{"dropping-particle":"","family":"Yost","given":"Shane R.","non-dropping-particle":"","parse-names":false,"suffix":""},{"dropping-particle":"","family":"You","given":"Zhi-Qiang","non-dropping-particle":"","parse-names":false,"suffix":""},{"dropping-particle":"","family":"Zhang","given":"Igor Ying","non-dropping-particle":"","parse-names":false,"suffix":""},{"dropping-particle":"","family":"Zhang","given":"Xing","non-dropping-particle":"","parse-names":false,"suffix":""},{"dropping-particle":"","family":"Zhao","given":"Yan","non-dropping-particle":"","parse-names":false,"suffix":""},{"dropping-particle":"","family":"Brooks","given":"Bernard R.","non-dropping-particle":"","parse-names":false,"suffix":""},{"dropping-particle":"","family":"Chan","given":"Garnet K.L.","non-dropping-particle":"","parse-names":false,"suffix":""},{"dropping-particle":"","family":"Chipman","given":"Daniel M.","non-dropping-particle":"","parse-names":false,"suffix":""},{"dropping-particle":"","family":"Cramer","given":"Christopher J.","non-dropping-particle":"","parse-names":false,"suffix":""},{"dropping-particle":"","family":"Goddard","given":"William A.","non-dropping-particle":"","parse-names":false,"suffix":""},{"dropping-particle":"","family":"Gordon","given":"Mark S.","non-dropping-particle":"","parse-names":false,"suffix":""},{"dropping-particle":"","family":"Hehre","given":"Warren J.","non-dropping-particle":"","parse-names":false,"suffix":""},{"dropping-particle":"","family":"Klamt","given":"Andreas","non-dropping-particle":"","parse-names":false,"suffix":""},{"dropping-particle":"","family":"Schaefer","given":"Henry F.","non-dropping-particle":"","parse-names":false,"suffix":""},{"dropping-particle":"","family":"Schmidt","given":"Michael W.","non-dropping-particle":"","parse-names":false,"suffix":""},{"dropping-particle":"","family":"Sherrill","given":"C. David","non-dropping-particle":"","parse-names":false,"suffix":""},{"dropping-particle":"","family":"Truhlar","given":"Donald G.","non-dropping-particle":"","parse-names":false,"suffix":""},{"dropping-particle":"","family":"Warshel","given":"Arieh","non-dropping-particle":"","parse-names":false,"suffix":""},{"dropping-particle":"","family":"Xu","given":"Xin","non-dropping-particle":"","parse-names":false,"suffix":""},{"dropping-particle":"","family":"Aspuru-Guzik","given":"Alán","non-dropping-particle":"","parse-names":false,"suffix":""},{"dropping-particle":"","family":"Baer","given":"Roi","non-dropping-particle":"","parse-names":false,"suffix":""},{"dropping-particle":"","family":"Bell","given":"Alexis T.","non-dropping-particle":"","parse-names":false,"suffix":""},{"dropping-particle":"","family":"Besley","given":"Nicholas A.","non-dropping-particle":"","parse-names":false,"suffix":""},{"dropping-particle":"","family":"Chai","given":"Jeng-Da","non-dropping-particle":"","parse-names":false,"suffix":""},{"dropping-particle":"","family":"Dreuw","given":"Andreas","non-dropping-particle":"","parse-names":false,"suffix":""},{"dropping-particle":"","family":"Dunietz","given":"Barry D.","non-dropping-particle":"","parse-names":false,"suffix":""},{"dropping-particle":"","family":"Furlani","given":"Thomas R.","non-dropping-particle":"","parse-names":false,"suffix":""},{"dropping-particle":"","family":"Gwaltney","given":"Steven R.","non-dropping-particle":"","parse-names":false,"suffix":""},{"dropping-particle":"","family":"Hsu","given":"Chao-Ping","non-dropping-particle":"","parse-names":false,"suffix":""},{"dropping-particle":"","family":"Jung","given":"Yousung","non-dropping-particle":"","parse-names":false,"suffix":""},{"dropping-particle":"","family":"Kong","given":"Jing","non-dropping-particle":"","parse-names":false,"suffix":""},{"dropping-particle":"","family":"Lambrecht","given":"Daniel S.","non-dropping-particle":"","parse-names":false,"suffix":""},{"dropping-particle":"","family":"Liang","given":"WanZhen","non-dropping-particle":"","parse-names":false,"suffix":""},{"dropping-particle":"","family":"Ochsenfeld","given":"Christian","non-dropping-particle":"","parse-names":false,"suffix":""},{"dropping-particle":"","family":"Rassolov","given":"Vitaly A.","non-dropping-particle":"","parse-names":false,"suffix":""},{"dropping-particle":"V.","family":"Slipchenko","given":"Lyudmila","non-dropping-particle":"","parse-names":false,"suffix":""},{"dropping-particle":"","family":"Subotnik","given":"Joseph E.","non-dropping-particle":"","parse-names":false,"suffix":""},{"dropping-particle":"","family":"Voorhis","given":"Troy","non-dropping-particle":"Van","parse-names":false,"suffix":""},{"dropping-particle":"","family":"Herbert","given":"John M.","non-dropping-particle":"","parse-names":false,"suffix":""},{"dropping-particle":"","family":"Krylov","given":"Anna I.","non-dropping-particle":"","parse-names":false,"suffix":""},{"dropping-particle":"","family":"Gill","given":"Peter M.W.","non-dropping-particle":"","parse-names":false,"suffix":""},{"dropping-particle":"","family":"Head-Gordon","given":"Martin","non-dropping-particle":"","parse-names":false,"suffix":""}],"container-title":"Molecular Physics","id":"ITEM-1","issue":"2","issued":{"date-parts":[["2015","1","17"]]},"page":"184-215","publisher":"Taylor &amp; Francis","title":"Advances in molecular quantum chemistry contained in the Q-Chem 4 program package","type":"article-journal","volume":"113"},"uris":["http://www.mendeley.com/documents/?uuid=a82696ed-2e18-3b87-8e00-ddc81c2d6cd0"]}],"mendeley":{"formattedCitation":"&lt;sup&gt;63&lt;/sup&gt;","plainTextFormattedCitation":"63","previouslyFormattedCitation":"&lt;sup&gt;63&lt;/sup&gt;"},"properties":{"noteIndex":0},"schema":"https://github.com/citation-style-language/schema/raw/master/csl-citation.json"}</w:instrText>
      </w:r>
      <w:r w:rsidR="00380A38" w:rsidRPr="00BC6787">
        <w:rPr>
          <w:rFonts w:cs="Times New Roman"/>
        </w:rPr>
        <w:fldChar w:fldCharType="separate"/>
      </w:r>
      <w:r w:rsidR="00912E63" w:rsidRPr="00912E63">
        <w:rPr>
          <w:rFonts w:cs="Times New Roman"/>
          <w:noProof/>
          <w:vertAlign w:val="superscript"/>
        </w:rPr>
        <w:t>63</w:t>
      </w:r>
      <w:r w:rsidR="00380A38" w:rsidRPr="00BC6787">
        <w:rPr>
          <w:rFonts w:cs="Times New Roman"/>
        </w:rPr>
        <w:fldChar w:fldCharType="end"/>
      </w:r>
      <w:r w:rsidR="0048617D" w:rsidRPr="00BC6787">
        <w:rPr>
          <w:rFonts w:cs="Times New Roman"/>
        </w:rPr>
        <w:t xml:space="preserve"> The MM part </w:t>
      </w:r>
      <w:r w:rsidRPr="00BC6787">
        <w:rPr>
          <w:rFonts w:cs="Times New Roman"/>
        </w:rPr>
        <w:t>co</w:t>
      </w:r>
      <w:r w:rsidR="0048617D" w:rsidRPr="00BC6787">
        <w:rPr>
          <w:rFonts w:cs="Times New Roman"/>
        </w:rPr>
        <w:t>mprised</w:t>
      </w:r>
      <w:r w:rsidRPr="00BC6787">
        <w:rPr>
          <w:rFonts w:cs="Times New Roman"/>
        </w:rPr>
        <w:t xml:space="preserve"> all residues within a 35 Å radius of the pigment</w:t>
      </w:r>
      <w:r w:rsidR="0048617D" w:rsidRPr="00BC6787">
        <w:rPr>
          <w:rFonts w:cs="Times New Roman"/>
        </w:rPr>
        <w:t xml:space="preserve">; included additively as point charges that affect the QM system. </w:t>
      </w:r>
      <w:r w:rsidRPr="00BC6787">
        <w:rPr>
          <w:rFonts w:cs="Times New Roman"/>
        </w:rPr>
        <w:t>B3LYP</w:t>
      </w:r>
      <w:r w:rsidR="00380A38" w:rsidRPr="00BC6787">
        <w:rPr>
          <w:rFonts w:cs="Times New Roman"/>
        </w:rPr>
        <w:fldChar w:fldCharType="begin" w:fldLock="1"/>
      </w:r>
      <w:r w:rsidR="000C038E">
        <w:rPr>
          <w:rFonts w:cs="Times New Roman"/>
        </w:rPr>
        <w:instrText>ADDIN CSL_CITATION {"citationItems":[{"id":"ITEM-1","itemData":{"DOI":"10.1063/1.464304","ISSN":"0021-9606","abstract":"Previous attempts to combine Hartree–Fock theory with local density‐functional theory have been unsuccessful in applications to molecular bonding. We derive a new coupling of these two theories that maintains their simplicity and computational efficiency, and yet greatly improves their predictive power. Very encouraging results of tests on atomization energies, ionization potentials, and proton affinities are reported, and the potential for future development is discussed.","author":[{"dropping-particle":"","family":"Becke","given":"Axel D.","non-dropping-particle":"","parse-names":false,"suffix":""}],"container-title":"The Journal of Chemical Physics","id":"ITEM-1","issue":"2","issued":{"date-parts":[["1993","1","15"]]},"page":"1372-1377","publisher":"American Institute of Physics","title":"A new mixing of Hartree–Fock and local density‐functional theories","type":"article-journal","volume":"98"},"uris":["http://www.mendeley.com/documents/?uuid=12cc159b-22ac-3a29-a3d9-87d43672b0fd"]}],"mendeley":{"formattedCitation":"&lt;sup&gt;64&lt;/sup&gt;","plainTextFormattedCitation":"64","previouslyFormattedCitation":"&lt;sup&gt;64&lt;/sup&gt;"},"properties":{"noteIndex":0},"schema":"https://github.com/citation-style-language/schema/raw/master/csl-citation.json"}</w:instrText>
      </w:r>
      <w:r w:rsidR="00380A38" w:rsidRPr="00BC6787">
        <w:rPr>
          <w:rFonts w:cs="Times New Roman"/>
        </w:rPr>
        <w:fldChar w:fldCharType="separate"/>
      </w:r>
      <w:r w:rsidR="00912E63" w:rsidRPr="00912E63">
        <w:rPr>
          <w:rFonts w:cs="Times New Roman"/>
          <w:noProof/>
          <w:vertAlign w:val="superscript"/>
        </w:rPr>
        <w:t>64</w:t>
      </w:r>
      <w:r w:rsidR="00380A38" w:rsidRPr="00BC6787">
        <w:rPr>
          <w:rFonts w:cs="Times New Roman"/>
        </w:rPr>
        <w:fldChar w:fldCharType="end"/>
      </w:r>
      <w:r w:rsidR="00E11A7D" w:rsidRPr="00BC6787">
        <w:rPr>
          <w:rFonts w:cs="Times New Roman"/>
        </w:rPr>
        <w:t>/</w:t>
      </w:r>
      <w:r w:rsidRPr="00BC6787">
        <w:rPr>
          <w:rFonts w:cs="Times New Roman"/>
        </w:rPr>
        <w:t>3</w:t>
      </w:r>
      <w:r w:rsidR="0048617D" w:rsidRPr="00BC6787">
        <w:rPr>
          <w:rFonts w:cs="Times New Roman"/>
        </w:rPr>
        <w:noBreakHyphen/>
      </w:r>
      <w:r w:rsidRPr="00BC6787">
        <w:rPr>
          <w:rFonts w:cs="Times New Roman"/>
        </w:rPr>
        <w:t xml:space="preserve">21G* </w:t>
      </w:r>
      <w:r w:rsidR="00E11A7D" w:rsidRPr="00BC6787">
        <w:rPr>
          <w:rFonts w:cs="Times New Roman"/>
        </w:rPr>
        <w:t>was</w:t>
      </w:r>
      <w:r w:rsidR="0048617D" w:rsidRPr="00BC6787">
        <w:rPr>
          <w:rFonts w:cs="Times New Roman"/>
        </w:rPr>
        <w:t xml:space="preserve"> used </w:t>
      </w:r>
      <w:r w:rsidRPr="00BC6787">
        <w:rPr>
          <w:rFonts w:cs="Times New Roman"/>
        </w:rPr>
        <w:t>for the QM pa</w:t>
      </w:r>
      <w:r w:rsidR="0048617D" w:rsidRPr="00BC6787">
        <w:rPr>
          <w:rFonts w:cs="Times New Roman"/>
        </w:rPr>
        <w:t xml:space="preserve">rt, which was reduced through the insertion of a link atom between carbon atoms 1 and 2 of the </w:t>
      </w:r>
      <w:proofErr w:type="spellStart"/>
      <w:r w:rsidR="0048617D" w:rsidRPr="00BC6787">
        <w:rPr>
          <w:rFonts w:cs="Times New Roman"/>
        </w:rPr>
        <w:t>phytyl</w:t>
      </w:r>
      <w:proofErr w:type="spellEnd"/>
      <w:r w:rsidR="0048617D" w:rsidRPr="00BC6787">
        <w:rPr>
          <w:rFonts w:cs="Times New Roman"/>
        </w:rPr>
        <w:t xml:space="preserve"> chain</w:t>
      </w:r>
      <w:r w:rsidRPr="00BC6787">
        <w:rPr>
          <w:rFonts w:cs="Times New Roman"/>
        </w:rPr>
        <w:t xml:space="preserve">. </w:t>
      </w:r>
      <w:r w:rsidR="00DB78A1" w:rsidRPr="00BC6787">
        <w:rPr>
          <w:rFonts w:cs="Times New Roman"/>
        </w:rPr>
        <w:t xml:space="preserve">The </w:t>
      </w:r>
      <w:r w:rsidR="00C46113" w:rsidRPr="00BC6787">
        <w:rPr>
          <w:rFonts w:cs="Times New Roman"/>
        </w:rPr>
        <w:t>3-21G* basis set was used to reduce computational time as it has been found (Fig. S2 in ref</w:t>
      </w:r>
      <w:r w:rsidR="0014508F" w:rsidRPr="00BC6787">
        <w:rPr>
          <w:rFonts w:cs="Times New Roman"/>
        </w:rPr>
        <w:t>.</w:t>
      </w:r>
      <w:r w:rsidR="00C46113" w:rsidRPr="00BC6787">
        <w:rPr>
          <w:rFonts w:cs="Times New Roman"/>
        </w:rPr>
        <w:t xml:space="preserve"> </w:t>
      </w:r>
      <w:r w:rsidR="00C46113" w:rsidRPr="00912E63">
        <w:rPr>
          <w:rFonts w:cs="Times New Roman"/>
        </w:rPr>
        <w:fldChar w:fldCharType="begin" w:fldLock="1"/>
      </w:r>
      <w:r w:rsidR="000C038E">
        <w:rPr>
          <w:rFonts w:cs="Times New Roman"/>
        </w:rPr>
        <w:instrText>ADDIN CSL_CITATION {"citationItems":[{"id":"ITEM-1","itemData":{"DOI":"10.1039/C8CP02613K","author":[{"dropping-particle":"","family":"Claridge","given":"Kirsten","non-dropping-particle":"","parse-names":false,"suffix":""},{"dropping-particle":"","family":"Padula","given":"Daniele","non-dropping-particle":"","parse-names":false,"suffix":""},{"dropping-particle":"","family":"Troisi","given":"Alessandro","non-dropping-particle":"","parse-names":false,"suffix":""}],"container-title":"Physical Chemistry Chemical Physics","id":"ITEM-1","issued":{"date-parts":[["2018"]]},"title":"How fine-tuned for energy transfer is the environmental noise produced by proteins around biological chromophores?","type":"article-journal"},"uris":["http://www.mendeley.com/documents/?uuid=40207a06-b475-4cb1-9366-d7ecc6e05638"]}],"mendeley":{"formattedCitation":"&lt;sup&gt;65&lt;/sup&gt;","plainTextFormattedCitation":"65","previouslyFormattedCitation":"&lt;sup&gt;65&lt;/sup&gt;"},"properties":{"noteIndex":0},"schema":"https://github.com/citation-style-language/schema/raw/master/csl-citation.json"}</w:instrText>
      </w:r>
      <w:r w:rsidR="00C46113" w:rsidRPr="00912E63">
        <w:rPr>
          <w:rFonts w:cs="Times New Roman"/>
        </w:rPr>
        <w:fldChar w:fldCharType="separate"/>
      </w:r>
      <w:r w:rsidR="00912E63" w:rsidRPr="00912E63">
        <w:rPr>
          <w:rFonts w:cs="Times New Roman"/>
          <w:noProof/>
        </w:rPr>
        <w:t>65</w:t>
      </w:r>
      <w:r w:rsidR="00C46113" w:rsidRPr="00912E63">
        <w:rPr>
          <w:rFonts w:cs="Times New Roman"/>
        </w:rPr>
        <w:fldChar w:fldCharType="end"/>
      </w:r>
      <w:r w:rsidR="00C46113" w:rsidRPr="00BC6787">
        <w:rPr>
          <w:rFonts w:cs="Times New Roman"/>
        </w:rPr>
        <w:t>) that there is good correlation between 6-31G* and 3-21G* for these systems.</w:t>
      </w:r>
      <w:r w:rsidR="00677959" w:rsidRPr="00BC6787">
        <w:rPr>
          <w:rFonts w:cs="Times New Roman"/>
        </w:rPr>
        <w:t xml:space="preserve"> 4 roots were computed but only the lowest w</w:t>
      </w:r>
      <w:r w:rsidR="00713A92" w:rsidRPr="00BC6787">
        <w:rPr>
          <w:rFonts w:cs="Times New Roman"/>
        </w:rPr>
        <w:t>as</w:t>
      </w:r>
      <w:r w:rsidR="00677959" w:rsidRPr="00BC6787">
        <w:rPr>
          <w:rFonts w:cs="Times New Roman"/>
        </w:rPr>
        <w:t xml:space="preserve"> considered.</w:t>
      </w:r>
      <w:r w:rsidR="00C46113" w:rsidRPr="00BC6787">
        <w:rPr>
          <w:rFonts w:cs="Times New Roman"/>
        </w:rPr>
        <w:t xml:space="preserve"> </w:t>
      </w:r>
      <w:r w:rsidRPr="00BC6787">
        <w:rPr>
          <w:rFonts w:cs="Times New Roman"/>
        </w:rPr>
        <w:t xml:space="preserve">This is a standard approach similar to those used in refs. </w:t>
      </w:r>
      <w:r w:rsidRPr="00912E63">
        <w:rPr>
          <w:rFonts w:cs="Times New Roman"/>
        </w:rPr>
        <w:fldChar w:fldCharType="begin" w:fldLock="1"/>
      </w:r>
      <w:r w:rsidR="000C038E">
        <w:rPr>
          <w:rFonts w:cs="Times New Roman"/>
        </w:rPr>
        <w:instrText>ADDIN CSL_CITATION {"citationItems":[{"id":"ITEM-1","itemData":{"DOI":"10.1021/jz501351p","ISSN":"19487185","PMID":"9574303977564912068","abstract":"The interest in the phycoerythrin 545 (PE545) photosynthetic antenna system of marine algae and the Fenna-Matthews-Olson (FMO) complex of green sulfur bacteria has drastically increased since long-lived quantum coherences were reported for these complexes. For the PE545 complex, this phenomenon is clearly visible even at ambient temperatures, while for the FMO system it is more prominent at lower temperatures. The key to elucidate the role of the environment in these long-lived quantum effects is the spectral density. Here, we employ molecular dynamics simulations combined with quantum chemistry calculations to study the coupling between the biological environment and the vertical excitation energies of the bilin pigment molecules in PE545 and compare them to prior calculations on the FMO complex. It is found that the overall strength of the resulting spectral densities for the PE545 system is similar to the experiment-based counterpart but also to those in the FMO complex. Molecular analysis, however, reveals that the origin for the spectral densities in the low frequency range, which is most important for excitonic transitions, is entirely different. In the case of FMO, this part of the spectral density is due to environmental fluctuations, while, in case of PE545, it is essentially only due to internal modes of the bilin molecules. This finding sheds new light on possible explanations of the long-lived quantum coherences and that the reasons might actually be different in dissimilar systems.\\nThe interest in the phycoerythrin 545 (PE545) photosynthetic antenna system of marine algae and the Fenna?Matthews?Olson (FMO) complex of green sulfur bacteria has drastically increased since long-lived quantum coherences were reported for these complexes. For the PE545 complex, this phenomenon is clearly visible even at ambient temperatures, while for the FMO system it is more prominent at lower temperatures. The key to elucidate the role of the environment in these long-lived quantum effects is the spectral density. Here, we employ molecular dynamics simulations combined with quantum chemistry calculations to study the coupling between the biological environment and the vertical excitation energies of the bilin pigment molecules in PE545 and compare them to prior calculations on the FMO complex. It is found that the overall strength of the resulting spectral densities for the PE545 system is similar to the experiment-based counterpart but also to those in the …","author":[{"dropping-particle":"","family":"Aghtar","given":"Mortaza","non-dropping-particle":"","parse-names":false,"suffix":""},{"dropping-particle":"","family":"Strümpfer","given":"Johan","non-dropping-particle":"","parse-names":false,"suffix":""},{"dropping-particle":"","family":"Olbrich","given":"Carsten","non-dropping-particle":"","parse-names":false,"suffix":""},{"dropping-particle":"","family":"Schulten","given":"Klaus","non-dropping-particle":"","parse-names":false,"suffix":""},{"dropping-particle":"","family":"Kleinekathöfer","given":"Ulrich","non-dropping-particle":"","parse-names":false,"suffix":""}],"container-title":"Journal of Physical Chemistry Letters","id":"ITEM-1","issue":"18","issued":{"date-parts":[["2014"]]},"page":"3131-3137","title":"Different types of vibrations interacting with electronic excitations in phycoerythrin 545 and fenna-matthews-olson antenna systems","type":"article-journal","volume":"5"},"uris":["http://www.mendeley.com/documents/?uuid=0b8939ba-fe7b-4e9c-ac8d-0c7ee775746d"]}],"mendeley":{"formattedCitation":"&lt;sup&gt;66&lt;/sup&gt;","plainTextFormattedCitation":"66","previouslyFormattedCitation":"&lt;sup&gt;66&lt;/sup&gt;"},"properties":{"noteIndex":0},"schema":"https://github.com/citation-style-language/schema/raw/master/csl-citation.json"}</w:instrText>
      </w:r>
      <w:r w:rsidRPr="00912E63">
        <w:rPr>
          <w:rFonts w:cs="Times New Roman"/>
        </w:rPr>
        <w:fldChar w:fldCharType="separate"/>
      </w:r>
      <w:r w:rsidR="00912E63" w:rsidRPr="00912E63">
        <w:rPr>
          <w:rFonts w:cs="Times New Roman"/>
          <w:noProof/>
        </w:rPr>
        <w:t>66</w:t>
      </w:r>
      <w:r w:rsidRPr="00912E63">
        <w:rPr>
          <w:rFonts w:cs="Times New Roman"/>
        </w:rPr>
        <w:fldChar w:fldCharType="end"/>
      </w:r>
      <w:r w:rsidRPr="00BC6787">
        <w:rPr>
          <w:rFonts w:cs="Times New Roman"/>
        </w:rPr>
        <w:t xml:space="preserve"> and </w:t>
      </w:r>
      <w:r w:rsidRPr="00912E63">
        <w:rPr>
          <w:rFonts w:cs="Times New Roman"/>
        </w:rPr>
        <w:fldChar w:fldCharType="begin" w:fldLock="1"/>
      </w:r>
      <w:r w:rsidR="000C038E">
        <w:rPr>
          <w:rFonts w:cs="Times New Roman"/>
        </w:rPr>
        <w:instrText>ADDIN CSL_CITATION {"citationItems":[{"id":"ITEM-1","itemData":{"DOI":"10.1021/acs.jpcb.5b03654","ISBN":"1520-6106","ISSN":"15205207","PMID":"26156758","abstract":"Studies on light-harvesting (LH) systems have attracted much attention after the finding of long-lived quantum coherences in the exciton dynamics of the Fenna?Matthews?Olson (FMO) complex. In this complex, excitation energy transfer occurs between the bacteriochlorophyll a (BChl a) pigments. Two quantum mechanics/molecular mechanics (QM/MM) studies, each with a different force-field and quantum chemistry approach, reported different excitation energy distributions for the FMO complex. To understand the reasons for these differences in the predicted excitation energies, we have carried out a comparative study between the simulations using the CHARMM and AMBER force field and the Zerner intermediate neglect of differential orbital (ZINDO)/S and time-dependent density functional theory (TDDFT) quantum chemistry methods. The calculations using the CHARMM force field together with ZINDO/S or TDDFT always show a wider spread in the energy distribution compared to those using the AMBER force field. High- or low-energy tails in these energy distributions result in larger values for the spectral density at low frequencies. A detailed study on individual BChl a molecules in solution shows that without the environment, the density of states is the same for both force field sets. Including the environmental point charges, however, the excitation energy distribution gets broader and, depending on the applied methods, also asymmetric. The excitation energy distribution predicted using TDDFT together with the AMBER force field shows a symmetric, Gaussian-like distribution.\\nStudies on light-harvesting (LH) systems have attracted much attention after the finding of long-lived quantum coherences in the exciton dynamics of the Fenna?Matthews?Olson (FMO) complex. In this complex, excitation energy transfer occurs between the bacteriochlorophyll a (BChl a) pigments. Two quantum mechanics/molecular mechanics (QM/MM) studies, each with a different force-field and quantum chemistry approach, reported different excitation energy distributions for the FMO complex. To understand the reasons for these differences in the predicted excitation energies, we have carried out a comparative study between the simulations using the CHARMM and AMBER force field and the Zerner intermediate neglect of differential orbital (ZINDO)/S and time-dependent density functional theory (TDDFT) quantum chemistry methods. The calculations using the CHARMM force field together with ZINDO/S or TDDFT alway…","author":[{"dropping-particle":"","family":"Chandrasekaran","given":"Suryanarayanan","non-dropping-particle":"","parse-names":false,"suffix":""},{"dropping-particle":"","family":"Aghtar","given":"Mortaza","non-dropping-particle":"","parse-names":false,"suffix":""},{"dropping-particle":"","family":"Valleau","given":"Stéphanie","non-dropping-particle":"","parse-names":false,"suffix":""},{"dropping-particle":"","family":"Aspuru-Guzik","given":"Alán","non-dropping-particle":"","parse-names":false,"suffix":""},{"dropping-particle":"","family":"Kleinekathöfer","given":"Ulrich","non-dropping-particle":"","parse-names":false,"suffix":""}],"container-title":"Journal of Physical Chemistry B","id":"ITEM-1","issue":"31","issued":{"date-parts":[["2015"]]},"page":"9995-10004","title":"Influence of Force Fields and Quantum Chemistry Approach on Spectral Densities of BChl a in Solution and in FMO Proteins","type":"article-journal","volume":"119"},"uris":["http://www.mendeley.com/documents/?uuid=fe1d581c-a84e-4cfb-926c-c220c7a1ea0b"]}],"mendeley":{"formattedCitation":"&lt;sup&gt;67&lt;/sup&gt;","plainTextFormattedCitation":"67","previouslyFormattedCitation":"&lt;sup&gt;67&lt;/sup&gt;"},"properties":{"noteIndex":0},"schema":"https://github.com/citation-style-language/schema/raw/master/csl-citation.json"}</w:instrText>
      </w:r>
      <w:r w:rsidRPr="00912E63">
        <w:rPr>
          <w:rFonts w:cs="Times New Roman"/>
        </w:rPr>
        <w:fldChar w:fldCharType="separate"/>
      </w:r>
      <w:r w:rsidR="00912E63" w:rsidRPr="00912E63">
        <w:rPr>
          <w:rFonts w:cs="Times New Roman"/>
          <w:noProof/>
        </w:rPr>
        <w:t>67</w:t>
      </w:r>
      <w:r w:rsidRPr="00912E63">
        <w:rPr>
          <w:rFonts w:cs="Times New Roman"/>
        </w:rPr>
        <w:fldChar w:fldCharType="end"/>
      </w:r>
      <w:r w:rsidRPr="00BC6787">
        <w:rPr>
          <w:rFonts w:cs="Times New Roman"/>
        </w:rPr>
        <w:t xml:space="preserve">. As each of the proteins contains multiple pigments one pigment was arbitrarily selected from each, for the computation of the spectral density; these were: </w:t>
      </w:r>
      <w:proofErr w:type="spellStart"/>
      <w:r w:rsidRPr="00BC6787">
        <w:rPr>
          <w:rFonts w:cs="Times New Roman"/>
        </w:rPr>
        <w:t>bcl</w:t>
      </w:r>
      <w:proofErr w:type="spellEnd"/>
      <w:r w:rsidRPr="00BC6787">
        <w:rPr>
          <w:rFonts w:cs="Times New Roman"/>
        </w:rPr>
        <w:t xml:space="preserve"> 4, </w:t>
      </w:r>
      <w:proofErr w:type="spellStart"/>
      <w:r w:rsidRPr="00BC6787">
        <w:rPr>
          <w:rFonts w:cs="Times New Roman"/>
        </w:rPr>
        <w:t>chl</w:t>
      </w:r>
      <w:proofErr w:type="spellEnd"/>
      <w:r w:rsidRPr="00BC6787">
        <w:rPr>
          <w:rFonts w:cs="Times New Roman"/>
        </w:rPr>
        <w:t xml:space="preserve">-a 2 and </w:t>
      </w:r>
      <w:proofErr w:type="spellStart"/>
      <w:r w:rsidRPr="00BC6787">
        <w:rPr>
          <w:rFonts w:cs="Times New Roman"/>
        </w:rPr>
        <w:t>chl</w:t>
      </w:r>
      <w:proofErr w:type="spellEnd"/>
      <w:r w:rsidRPr="00BC6787">
        <w:rPr>
          <w:rFonts w:cs="Times New Roman"/>
        </w:rPr>
        <w:t>-b 2.</w:t>
      </w:r>
      <w:r w:rsidR="0048617D" w:rsidRPr="00BC6787">
        <w:rPr>
          <w:rFonts w:cs="Times New Roman"/>
        </w:rPr>
        <w:t xml:space="preserve"> </w:t>
      </w:r>
    </w:p>
    <w:p w14:paraId="73E7D3D7" w14:textId="6E098DD1" w:rsidR="00B33CF6" w:rsidRPr="00BC6787" w:rsidRDefault="00F50F92" w:rsidP="00B33CF6">
      <w:pPr>
        <w:rPr>
          <w:rFonts w:cs="Times New Roman"/>
          <w:b/>
          <w:bCs/>
          <w:sz w:val="24"/>
          <w:szCs w:val="24"/>
        </w:rPr>
      </w:pPr>
      <w:r>
        <w:rPr>
          <w:rFonts w:cs="Times New Roman"/>
          <w:b/>
          <w:bCs/>
          <w:sz w:val="24"/>
          <w:szCs w:val="24"/>
        </w:rPr>
        <w:t xml:space="preserve">4. </w:t>
      </w:r>
      <w:r w:rsidR="43CA53EC" w:rsidRPr="00BC6787">
        <w:rPr>
          <w:rFonts w:cs="Times New Roman"/>
          <w:b/>
          <w:bCs/>
          <w:sz w:val="24"/>
          <w:szCs w:val="24"/>
        </w:rPr>
        <w:t>Results</w:t>
      </w:r>
    </w:p>
    <w:p w14:paraId="6A79631B" w14:textId="74616665" w:rsidR="00B33CF6" w:rsidRPr="00BC6787" w:rsidRDefault="00AF7757" w:rsidP="00B33CF6">
      <w:pPr>
        <w:rPr>
          <w:rFonts w:eastAsia="Calibri" w:cs="Times New Roman"/>
          <w:b/>
          <w:bCs/>
          <w:iCs/>
          <w:sz w:val="18"/>
          <w:szCs w:val="18"/>
        </w:rPr>
      </w:pPr>
      <w:r w:rsidRPr="00BC6787">
        <w:rPr>
          <w:rFonts w:cs="Times New Roman"/>
        </w:rPr>
        <w:t xml:space="preserve">The FFs were considered optimised to a local minimum once the change in objective function was less </w:t>
      </w:r>
      <w:r w:rsidRPr="00BC6787">
        <w:rPr>
          <w:rFonts w:cs="Times New Roman"/>
        </w:rPr>
        <w:br/>
        <w:t>than 0.01 kcal mol</w:t>
      </w:r>
      <w:r w:rsidRPr="00BC6787">
        <w:rPr>
          <w:rFonts w:cs="Times New Roman"/>
          <w:vertAlign w:val="superscript"/>
        </w:rPr>
        <w:t>-1</w:t>
      </w:r>
      <w:r w:rsidRPr="00BC6787">
        <w:rPr>
          <w:rFonts w:cs="Times New Roman"/>
        </w:rPr>
        <w:t xml:space="preserve"> Å</w:t>
      </w:r>
      <w:r w:rsidRPr="00BC6787">
        <w:rPr>
          <w:rFonts w:cs="Times New Roman"/>
          <w:vertAlign w:val="superscript"/>
        </w:rPr>
        <w:t>-1</w:t>
      </w:r>
      <w:r w:rsidRPr="00BC6787">
        <w:rPr>
          <w:rFonts w:cs="Times New Roman"/>
        </w:rPr>
        <w:t xml:space="preserve"> for 50 steps or more. The initial and resultant values of the objective functions </w:t>
      </w:r>
      <w:r w:rsidR="00E964B8" w:rsidRPr="00BC6787">
        <w:rPr>
          <w:rFonts w:cs="Times New Roman"/>
        </w:rPr>
        <w:t>are shown in Table 1</w:t>
      </w:r>
      <w:r w:rsidR="43CA53EC" w:rsidRPr="00BC6787">
        <w:rPr>
          <w:rFonts w:cs="Times New Roman"/>
        </w:rPr>
        <w:t xml:space="preserve"> along with the overall change and the total number of steps of the algorithm.</w:t>
      </w:r>
      <w:r w:rsidR="00C16614" w:rsidRPr="00BC6787">
        <w:rPr>
          <w:rFonts w:cs="Times New Roman"/>
        </w:rPr>
        <w:t xml:space="preserve"> Interestingly, the parameters of the </w:t>
      </w:r>
      <w:proofErr w:type="spellStart"/>
      <w:r w:rsidR="00C16614" w:rsidRPr="00BC6787">
        <w:rPr>
          <w:rFonts w:cs="Times New Roman"/>
        </w:rPr>
        <w:t>chls</w:t>
      </w:r>
      <w:proofErr w:type="spellEnd"/>
      <w:r w:rsidR="00C16614" w:rsidRPr="00BC6787">
        <w:rPr>
          <w:rFonts w:cs="Times New Roman"/>
        </w:rPr>
        <w:t>, taken from literature have greater initial objective function</w:t>
      </w:r>
      <w:r w:rsidR="00A14D12" w:rsidRPr="00BC6787">
        <w:rPr>
          <w:rFonts w:cs="Times New Roman"/>
        </w:rPr>
        <w:t>s</w:t>
      </w:r>
      <w:r w:rsidR="00C16614" w:rsidRPr="00BC6787">
        <w:rPr>
          <w:rFonts w:cs="Times New Roman"/>
        </w:rPr>
        <w:t xml:space="preserve"> than</w:t>
      </w:r>
      <w:r w:rsidR="00A14D12" w:rsidRPr="00BC6787">
        <w:rPr>
          <w:rFonts w:cs="Times New Roman"/>
        </w:rPr>
        <w:t xml:space="preserve"> the</w:t>
      </w:r>
      <w:r w:rsidR="00C16614" w:rsidRPr="00BC6787">
        <w:rPr>
          <w:rFonts w:cs="Times New Roman"/>
        </w:rPr>
        <w:t xml:space="preserve"> </w:t>
      </w:r>
      <w:proofErr w:type="spellStart"/>
      <w:r w:rsidR="00C16614" w:rsidRPr="00BC6787">
        <w:rPr>
          <w:rFonts w:cs="Times New Roman"/>
        </w:rPr>
        <w:t>bcl</w:t>
      </w:r>
      <w:proofErr w:type="spellEnd"/>
      <w:r w:rsidR="00C16614" w:rsidRPr="00BC6787">
        <w:rPr>
          <w:rFonts w:cs="Times New Roman"/>
        </w:rPr>
        <w:t xml:space="preserve"> </w:t>
      </w:r>
      <w:r w:rsidR="00E7588B" w:rsidRPr="00BC6787">
        <w:rPr>
          <w:rFonts w:cs="Times New Roman"/>
        </w:rPr>
        <w:t xml:space="preserve">generated by analogy using </w:t>
      </w:r>
      <w:proofErr w:type="spellStart"/>
      <w:r w:rsidR="00E7588B" w:rsidRPr="00BC6787">
        <w:rPr>
          <w:rFonts w:cs="Times New Roman"/>
        </w:rPr>
        <w:t>CGenFF</w:t>
      </w:r>
      <w:proofErr w:type="spellEnd"/>
      <w:r w:rsidR="00C16614" w:rsidRPr="00BC6787">
        <w:rPr>
          <w:rFonts w:cs="Times New Roman"/>
        </w:rPr>
        <w:t xml:space="preserve">. This is surprising as </w:t>
      </w:r>
      <w:r w:rsidR="00E7588B" w:rsidRPr="00BC6787">
        <w:rPr>
          <w:rFonts w:cs="Times New Roman"/>
        </w:rPr>
        <w:t xml:space="preserve">even for traditional uses of MD, the automatically generated by-analogy FFs require further parameterisation before use and thus the literature values would be expected to be </w:t>
      </w:r>
      <w:r w:rsidR="0061049A" w:rsidRPr="00BC6787">
        <w:rPr>
          <w:rFonts w:cs="Times New Roman"/>
        </w:rPr>
        <w:t>superior</w:t>
      </w:r>
      <w:r w:rsidR="00E7588B" w:rsidRPr="00BC6787">
        <w:rPr>
          <w:rFonts w:cs="Times New Roman"/>
        </w:rPr>
        <w:t xml:space="preserve">. </w:t>
      </w:r>
      <w:r w:rsidR="0061049A" w:rsidRPr="00BC6787">
        <w:rPr>
          <w:rFonts w:cs="Times New Roman"/>
        </w:rPr>
        <w:t>The average of the final objective functions is 21.84 kcal mol</w:t>
      </w:r>
      <w:r w:rsidR="0061049A" w:rsidRPr="00BC6787">
        <w:rPr>
          <w:rFonts w:cs="Times New Roman"/>
          <w:vertAlign w:val="superscript"/>
        </w:rPr>
        <w:t xml:space="preserve">-1 </w:t>
      </w:r>
      <w:r w:rsidR="0061049A" w:rsidRPr="00BC6787">
        <w:rPr>
          <w:rFonts w:cs="Times New Roman"/>
        </w:rPr>
        <w:t>Å</w:t>
      </w:r>
      <w:r w:rsidR="0061049A" w:rsidRPr="00BC6787">
        <w:rPr>
          <w:rFonts w:cs="Times New Roman"/>
          <w:vertAlign w:val="superscript"/>
        </w:rPr>
        <w:t>-1</w:t>
      </w:r>
      <w:r w:rsidR="0061049A" w:rsidRPr="00BC6787">
        <w:rPr>
          <w:rFonts w:cs="Times New Roman"/>
        </w:rPr>
        <w:t xml:space="preserve"> </w:t>
      </w:r>
      <w:r w:rsidR="00B67239" w:rsidRPr="00BC6787">
        <w:rPr>
          <w:rFonts w:cs="Times New Roman"/>
        </w:rPr>
        <w:t>indicating</w:t>
      </w:r>
      <w:r w:rsidR="0061049A" w:rsidRPr="00BC6787">
        <w:rPr>
          <w:rFonts w:cs="Times New Roman"/>
        </w:rPr>
        <w:t xml:space="preserve"> a minimum of a roughly similar value</w:t>
      </w:r>
      <w:r w:rsidR="00B67239" w:rsidRPr="00BC6787">
        <w:rPr>
          <w:rFonts w:cs="Times New Roman"/>
        </w:rPr>
        <w:t xml:space="preserve"> for all</w:t>
      </w:r>
      <w:r w:rsidR="0061049A" w:rsidRPr="00BC6787">
        <w:rPr>
          <w:rFonts w:cs="Times New Roman"/>
        </w:rPr>
        <w:t>.</w:t>
      </w:r>
      <w:r w:rsidR="00577CC4" w:rsidRPr="00BC6787">
        <w:rPr>
          <w:rFonts w:cs="Times New Roman"/>
        </w:rPr>
        <w:t xml:space="preserve"> </w:t>
      </w:r>
      <w:r w:rsidR="00994752" w:rsidRPr="00BC6787">
        <w:rPr>
          <w:rFonts w:cs="Times New Roman"/>
        </w:rPr>
        <w:t>In comparison to similar methods the final values are slightly worse (larger by a factor of 3-4) however they are within the same range as the mismatch observed between forces of different electronic structure calculations.</w:t>
      </w:r>
      <w:r w:rsidR="00994752" w:rsidRPr="00BC6787">
        <w:rPr>
          <w:rFonts w:cs="Times New Roman"/>
        </w:rPr>
        <w:fldChar w:fldCharType="begin" w:fldLock="1"/>
      </w:r>
      <w:r w:rsidR="000C038E">
        <w:rPr>
          <w:rFonts w:cs="Times New Roman"/>
        </w:rPr>
        <w:instrText>ADDIN CSL_CITATION {"citationItems":[{"id":"ITEM-1","itemData":{"DOI":"10.1039/c5cp04328j","ISSN":"1463-9084","PMID":"26349916","abstract":"A rapid method to parameterize the intramolecular component of classical force fields for complex conjugated molecules is proposed. The method is based on a procedure of force matching with a reference electronic structure calculation. It is particularly suitable for those applications where molecular dynamics simulations are used to generate structures that are therefore analysed by electronic structure methods, because it is possible to build force fields that are consistent with electronic structure calculations that follow classical simulations. Such applications are commonly encountered in organic electronics, spectroscopy of complex systems and photobiology (e.g. photosynthetic systems). We illustrate the method by parameterizing the force fields of a molecule used in molecular semiconductors (2,2-dicyanovinyl-capped S,N-heteropentacene or DCV-SN5), a polymeric semiconductor (thieno[3,2-b]thiophene-diketopyrrolopyrrole TT-DPP) and a chromophore embedded in a protein environment (15,16-dihydrobiliverdin or DBV) where several hundreds of parameters need to be optimized in parallel.","author":[{"dropping-particle":"","family":"Do","given":"Hainam","non-dropping-particle":"","parse-names":false,"suffix":""},{"dropping-particle":"","family":"Troisi","given":"Alessandro","non-dropping-particle":"","parse-names":false,"suffix":""}],"container-title":"Physical Chemistry Chemical Physics","id":"ITEM-1","issue":"38","issued":{"date-parts":[["2015","10","14"]]},"language":"en","page":"25123-32","publisher":"The Royal Society of Chemistry","title":"Developing accurate molecular mechanics force fields for conjugated molecular systems.","type":"article-journal","volume":"17"},"uris":["http://www.mendeley.com/documents/?uuid=d400ccbc-83b5-451b-87b4-52cc67976ab3"]}],"mendeley":{"formattedCitation":"&lt;sup&gt;48&lt;/sup&gt;","plainTextFormattedCitation":"48","previouslyFormattedCitation":"&lt;sup&gt;48&lt;/sup&gt;"},"properties":{"noteIndex":0},"schema":"https://github.com/citation-style-language/schema/raw/master/csl-citation.json"}</w:instrText>
      </w:r>
      <w:r w:rsidR="00994752" w:rsidRPr="00BC6787">
        <w:rPr>
          <w:rFonts w:cs="Times New Roman"/>
        </w:rPr>
        <w:fldChar w:fldCharType="separate"/>
      </w:r>
      <w:r w:rsidR="00912E63" w:rsidRPr="00912E63">
        <w:rPr>
          <w:rFonts w:cs="Times New Roman"/>
          <w:noProof/>
          <w:vertAlign w:val="superscript"/>
        </w:rPr>
        <w:t>48</w:t>
      </w:r>
      <w:r w:rsidR="00994752" w:rsidRPr="00BC6787">
        <w:rPr>
          <w:rFonts w:cs="Times New Roman"/>
        </w:rPr>
        <w:fldChar w:fldCharType="end"/>
      </w:r>
      <w:r w:rsidR="00994752" w:rsidRPr="00BC6787">
        <w:rPr>
          <w:rFonts w:cs="Times New Roman"/>
        </w:rPr>
        <w:t xml:space="preserve"> </w:t>
      </w:r>
      <w:r w:rsidR="00B33CF6" w:rsidRPr="00BC6787">
        <w:rPr>
          <w:rFonts w:eastAsia="Calibri" w:cs="Times New Roman"/>
          <w:b/>
          <w:bCs/>
          <w:iCs/>
          <w:sz w:val="18"/>
          <w:szCs w:val="18"/>
        </w:rPr>
        <w:t xml:space="preserve"> </w:t>
      </w:r>
    </w:p>
    <w:p w14:paraId="24AF566A" w14:textId="4DDBE929" w:rsidR="00B33CF6" w:rsidRPr="00BC6787" w:rsidRDefault="00B33CF6" w:rsidP="00B33CF6">
      <w:pPr>
        <w:spacing w:after="0"/>
        <w:jc w:val="center"/>
      </w:pPr>
      <w:r w:rsidRPr="00BC6787">
        <w:rPr>
          <w:rFonts w:eastAsia="Calibri" w:cs="Times New Roman"/>
          <w:b/>
          <w:bCs/>
          <w:iCs/>
          <w:sz w:val="18"/>
          <w:szCs w:val="18"/>
        </w:rPr>
        <w:t xml:space="preserve">Table 1: </w:t>
      </w:r>
      <w:r w:rsidRPr="00BC6787">
        <w:rPr>
          <w:rFonts w:eastAsia="Calibri" w:cs="Times New Roman"/>
          <w:iCs/>
          <w:sz w:val="18"/>
          <w:szCs w:val="18"/>
        </w:rPr>
        <w:t>I</w:t>
      </w:r>
      <w:r w:rsidRPr="00BC6787">
        <w:rPr>
          <w:rFonts w:eastAsia="Calibri" w:cs="Times New Roman"/>
          <w:iCs/>
          <w:noProof/>
          <w:sz w:val="18"/>
          <w:szCs w:val="18"/>
        </w:rPr>
        <w:t>nitial and final objective function, total decrease and the number of steps of the optimisation, for each pigment.</w:t>
      </w:r>
    </w:p>
    <w:tbl>
      <w:tblPr>
        <w:tblStyle w:val="TableGrid1"/>
        <w:tblpPr w:leftFromText="180" w:rightFromText="180" w:vertAnchor="text" w:horzAnchor="margin" w:tblpY="96"/>
        <w:tblW w:w="5000" w:type="pct"/>
        <w:tblLook w:val="04A0" w:firstRow="1" w:lastRow="0" w:firstColumn="1" w:lastColumn="0" w:noHBand="0" w:noVBand="1"/>
      </w:tblPr>
      <w:tblGrid>
        <w:gridCol w:w="1543"/>
        <w:gridCol w:w="2880"/>
        <w:gridCol w:w="2802"/>
        <w:gridCol w:w="1791"/>
      </w:tblGrid>
      <w:tr w:rsidR="00F85EC3" w:rsidRPr="00BC6787" w14:paraId="583DE206" w14:textId="77777777" w:rsidTr="002406EE">
        <w:tc>
          <w:tcPr>
            <w:tcW w:w="856" w:type="pct"/>
            <w:vAlign w:val="center"/>
          </w:tcPr>
          <w:p w14:paraId="7592F878" w14:textId="77777777" w:rsidR="00B33CF6" w:rsidRPr="00BC6787" w:rsidRDefault="00B33CF6" w:rsidP="002406EE">
            <w:pPr>
              <w:spacing w:line="240" w:lineRule="auto"/>
              <w:jc w:val="center"/>
              <w:rPr>
                <w:rFonts w:eastAsia="Calibri" w:cs="Times New Roman"/>
              </w:rPr>
            </w:pPr>
            <w:r w:rsidRPr="00BC6787">
              <w:rPr>
                <w:rFonts w:eastAsia="Calibri" w:cs="Times New Roman"/>
              </w:rPr>
              <w:t>Chromophore</w:t>
            </w:r>
          </w:p>
        </w:tc>
        <w:tc>
          <w:tcPr>
            <w:tcW w:w="1597" w:type="pct"/>
            <w:vAlign w:val="center"/>
          </w:tcPr>
          <w:p w14:paraId="22531D3D" w14:textId="77777777" w:rsidR="00B33CF6" w:rsidRPr="00BC6787" w:rsidRDefault="00B33CF6" w:rsidP="002406EE">
            <w:pPr>
              <w:spacing w:line="240" w:lineRule="auto"/>
              <w:jc w:val="center"/>
              <w:rPr>
                <w:rFonts w:eastAsia="Calibri" w:cs="Times New Roman"/>
                <w:vertAlign w:val="superscript"/>
              </w:rPr>
            </w:pPr>
            <w:r w:rsidRPr="00BC6787">
              <w:rPr>
                <w:rFonts w:eastAsia="Calibri" w:cs="Times New Roman"/>
              </w:rPr>
              <w:t>Initial O([</w:t>
            </w:r>
            <w:r w:rsidRPr="00BC6787">
              <w:rPr>
                <w:rFonts w:eastAsia="Calibri" w:cs="Times New Roman"/>
                <w:i/>
                <w:iCs/>
              </w:rPr>
              <w:t>p</w:t>
            </w:r>
            <w:r w:rsidRPr="00BC6787">
              <w:rPr>
                <w:rFonts w:eastAsia="Calibri" w:cs="Times New Roman"/>
              </w:rPr>
              <w:t>]) /kcal mol</w:t>
            </w:r>
            <w:r w:rsidRPr="00BC6787">
              <w:rPr>
                <w:rFonts w:eastAsia="Calibri" w:cs="Times New Roman"/>
                <w:vertAlign w:val="superscript"/>
              </w:rPr>
              <w:t>-1</w:t>
            </w:r>
            <w:r w:rsidRPr="00BC6787">
              <w:rPr>
                <w:rFonts w:eastAsia="Calibri" w:cs="Times New Roman"/>
              </w:rPr>
              <w:t xml:space="preserve"> Å</w:t>
            </w:r>
            <w:r w:rsidRPr="00BC6787">
              <w:rPr>
                <w:rFonts w:eastAsia="Calibri" w:cs="Times New Roman"/>
                <w:vertAlign w:val="superscript"/>
              </w:rPr>
              <w:t>-1</w:t>
            </w:r>
          </w:p>
        </w:tc>
        <w:tc>
          <w:tcPr>
            <w:tcW w:w="1554" w:type="pct"/>
            <w:vAlign w:val="center"/>
          </w:tcPr>
          <w:p w14:paraId="69957A8F" w14:textId="77777777" w:rsidR="00B33CF6" w:rsidRPr="00BC6787" w:rsidRDefault="00B33CF6" w:rsidP="002406EE">
            <w:pPr>
              <w:spacing w:line="240" w:lineRule="auto"/>
              <w:jc w:val="center"/>
              <w:rPr>
                <w:rFonts w:eastAsia="Calibri" w:cs="Times New Roman"/>
              </w:rPr>
            </w:pPr>
            <w:r w:rsidRPr="00BC6787">
              <w:rPr>
                <w:rFonts w:eastAsia="Calibri" w:cs="Times New Roman"/>
              </w:rPr>
              <w:t>Final O([</w:t>
            </w:r>
            <w:r w:rsidRPr="00BC6787">
              <w:rPr>
                <w:rFonts w:eastAsia="Calibri" w:cs="Times New Roman"/>
                <w:i/>
                <w:iCs/>
              </w:rPr>
              <w:t>p</w:t>
            </w:r>
            <w:r w:rsidRPr="00BC6787">
              <w:rPr>
                <w:rFonts w:eastAsia="Calibri" w:cs="Times New Roman"/>
              </w:rPr>
              <w:t>]) /kcal mol</w:t>
            </w:r>
            <w:r w:rsidRPr="00BC6787">
              <w:rPr>
                <w:rFonts w:eastAsia="Calibri" w:cs="Times New Roman"/>
                <w:vertAlign w:val="superscript"/>
              </w:rPr>
              <w:t>-1</w:t>
            </w:r>
            <w:r w:rsidRPr="00BC6787">
              <w:rPr>
                <w:rFonts w:eastAsia="Calibri" w:cs="Times New Roman"/>
              </w:rPr>
              <w:t xml:space="preserve"> Å</w:t>
            </w:r>
            <w:r w:rsidRPr="00BC6787">
              <w:rPr>
                <w:rFonts w:eastAsia="Calibri" w:cs="Times New Roman"/>
                <w:vertAlign w:val="superscript"/>
              </w:rPr>
              <w:t>-1</w:t>
            </w:r>
          </w:p>
        </w:tc>
        <w:tc>
          <w:tcPr>
            <w:tcW w:w="994" w:type="pct"/>
            <w:vAlign w:val="center"/>
          </w:tcPr>
          <w:p w14:paraId="268BB224" w14:textId="77777777" w:rsidR="00B33CF6" w:rsidRPr="00BC6787" w:rsidRDefault="00B33CF6" w:rsidP="002406EE">
            <w:pPr>
              <w:spacing w:line="240" w:lineRule="auto"/>
              <w:jc w:val="center"/>
              <w:rPr>
                <w:rFonts w:eastAsia="Calibri" w:cs="Times New Roman"/>
              </w:rPr>
            </w:pPr>
            <w:r w:rsidRPr="00BC6787">
              <w:rPr>
                <w:rFonts w:eastAsia="Calibri" w:cs="Times New Roman"/>
              </w:rPr>
              <w:t>Number of steps</w:t>
            </w:r>
          </w:p>
        </w:tc>
      </w:tr>
      <w:tr w:rsidR="00F85EC3" w:rsidRPr="00BC6787" w14:paraId="7BB31F2B" w14:textId="77777777" w:rsidTr="002406EE">
        <w:tc>
          <w:tcPr>
            <w:tcW w:w="856" w:type="pct"/>
            <w:vAlign w:val="center"/>
          </w:tcPr>
          <w:p w14:paraId="5914DCF1" w14:textId="77777777" w:rsidR="00B33CF6" w:rsidRPr="00BC6787" w:rsidRDefault="00B33CF6" w:rsidP="002406EE">
            <w:pPr>
              <w:spacing w:line="240" w:lineRule="auto"/>
              <w:jc w:val="center"/>
              <w:rPr>
                <w:rFonts w:eastAsia="Calibri" w:cs="Times New Roman"/>
              </w:rPr>
            </w:pPr>
            <w:proofErr w:type="spellStart"/>
            <w:r w:rsidRPr="00BC6787">
              <w:rPr>
                <w:rFonts w:eastAsia="Calibri" w:cs="Times New Roman"/>
              </w:rPr>
              <w:t>bcl</w:t>
            </w:r>
            <w:proofErr w:type="spellEnd"/>
          </w:p>
        </w:tc>
        <w:tc>
          <w:tcPr>
            <w:tcW w:w="1597" w:type="pct"/>
            <w:vAlign w:val="center"/>
          </w:tcPr>
          <w:p w14:paraId="106CDE73" w14:textId="77777777" w:rsidR="00B33CF6" w:rsidRPr="00BC6787" w:rsidRDefault="00B33CF6" w:rsidP="002406EE">
            <w:pPr>
              <w:spacing w:line="240" w:lineRule="auto"/>
              <w:jc w:val="center"/>
              <w:rPr>
                <w:rFonts w:eastAsia="Calibri" w:cs="Times New Roman"/>
              </w:rPr>
            </w:pPr>
            <w:r w:rsidRPr="00BC6787">
              <w:rPr>
                <w:rFonts w:eastAsia="Calibri" w:cs="Times New Roman"/>
              </w:rPr>
              <w:t>33.01</w:t>
            </w:r>
          </w:p>
        </w:tc>
        <w:tc>
          <w:tcPr>
            <w:tcW w:w="1554" w:type="pct"/>
            <w:vAlign w:val="center"/>
          </w:tcPr>
          <w:p w14:paraId="3B9E8D89" w14:textId="77777777" w:rsidR="00B33CF6" w:rsidRPr="00BC6787" w:rsidRDefault="00B33CF6" w:rsidP="002406EE">
            <w:pPr>
              <w:spacing w:line="240" w:lineRule="auto"/>
              <w:jc w:val="center"/>
              <w:rPr>
                <w:rFonts w:eastAsia="Calibri" w:cs="Times New Roman"/>
              </w:rPr>
            </w:pPr>
            <w:r w:rsidRPr="00BC6787">
              <w:rPr>
                <w:rFonts w:eastAsia="Calibri" w:cs="Times New Roman"/>
              </w:rPr>
              <w:t>22.31</w:t>
            </w:r>
          </w:p>
        </w:tc>
        <w:tc>
          <w:tcPr>
            <w:tcW w:w="994" w:type="pct"/>
            <w:vAlign w:val="center"/>
          </w:tcPr>
          <w:p w14:paraId="4CA89D9B" w14:textId="77777777" w:rsidR="00B33CF6" w:rsidRPr="00BC6787" w:rsidRDefault="00B33CF6" w:rsidP="002406EE">
            <w:pPr>
              <w:spacing w:line="240" w:lineRule="auto"/>
              <w:jc w:val="center"/>
              <w:rPr>
                <w:rFonts w:eastAsia="Calibri" w:cs="Times New Roman"/>
              </w:rPr>
            </w:pPr>
            <w:r w:rsidRPr="00BC6787">
              <w:rPr>
                <w:rFonts w:eastAsia="Calibri" w:cs="Times New Roman"/>
              </w:rPr>
              <w:t>6919</w:t>
            </w:r>
          </w:p>
        </w:tc>
      </w:tr>
      <w:tr w:rsidR="00F85EC3" w:rsidRPr="00BC6787" w14:paraId="077F37DD" w14:textId="77777777" w:rsidTr="002406EE">
        <w:tc>
          <w:tcPr>
            <w:tcW w:w="856" w:type="pct"/>
            <w:vAlign w:val="center"/>
          </w:tcPr>
          <w:p w14:paraId="21BFA8FD" w14:textId="77777777" w:rsidR="00B33CF6" w:rsidRPr="00BC6787" w:rsidRDefault="00B33CF6" w:rsidP="002406EE">
            <w:pPr>
              <w:spacing w:line="240" w:lineRule="auto"/>
              <w:jc w:val="center"/>
              <w:rPr>
                <w:rFonts w:eastAsia="Calibri" w:cs="Times New Roman"/>
              </w:rPr>
            </w:pPr>
            <w:proofErr w:type="spellStart"/>
            <w:r w:rsidRPr="00BC6787">
              <w:rPr>
                <w:rFonts w:eastAsia="Calibri" w:cs="Times New Roman"/>
              </w:rPr>
              <w:t>chl</w:t>
            </w:r>
            <w:proofErr w:type="spellEnd"/>
            <w:r w:rsidRPr="00BC6787">
              <w:rPr>
                <w:rFonts w:eastAsia="Calibri" w:cs="Times New Roman"/>
              </w:rPr>
              <w:t>-a</w:t>
            </w:r>
          </w:p>
        </w:tc>
        <w:tc>
          <w:tcPr>
            <w:tcW w:w="1597" w:type="pct"/>
            <w:vAlign w:val="center"/>
          </w:tcPr>
          <w:p w14:paraId="50C2A8D5" w14:textId="77777777" w:rsidR="00B33CF6" w:rsidRPr="00BC6787" w:rsidRDefault="00B33CF6" w:rsidP="002406EE">
            <w:pPr>
              <w:spacing w:line="240" w:lineRule="auto"/>
              <w:jc w:val="center"/>
              <w:rPr>
                <w:rFonts w:eastAsia="Calibri" w:cs="Times New Roman"/>
              </w:rPr>
            </w:pPr>
            <w:r w:rsidRPr="00BC6787">
              <w:rPr>
                <w:rFonts w:eastAsia="Calibri" w:cs="Times New Roman"/>
              </w:rPr>
              <w:t>40.49</w:t>
            </w:r>
          </w:p>
        </w:tc>
        <w:tc>
          <w:tcPr>
            <w:tcW w:w="1554" w:type="pct"/>
            <w:vAlign w:val="center"/>
          </w:tcPr>
          <w:p w14:paraId="56D3D2B0" w14:textId="77777777" w:rsidR="00B33CF6" w:rsidRPr="00BC6787" w:rsidRDefault="00B33CF6" w:rsidP="002406EE">
            <w:pPr>
              <w:spacing w:line="240" w:lineRule="auto"/>
              <w:jc w:val="center"/>
              <w:rPr>
                <w:rFonts w:eastAsia="Calibri" w:cs="Times New Roman"/>
              </w:rPr>
            </w:pPr>
            <w:r w:rsidRPr="00BC6787">
              <w:rPr>
                <w:rFonts w:eastAsia="Calibri" w:cs="Times New Roman"/>
              </w:rPr>
              <w:t>21.49</w:t>
            </w:r>
          </w:p>
        </w:tc>
        <w:tc>
          <w:tcPr>
            <w:tcW w:w="994" w:type="pct"/>
            <w:vAlign w:val="center"/>
          </w:tcPr>
          <w:p w14:paraId="17468594" w14:textId="77777777" w:rsidR="00B33CF6" w:rsidRPr="00BC6787" w:rsidRDefault="00B33CF6" w:rsidP="002406EE">
            <w:pPr>
              <w:spacing w:line="240" w:lineRule="auto"/>
              <w:jc w:val="center"/>
              <w:rPr>
                <w:rFonts w:eastAsia="Calibri" w:cs="Times New Roman"/>
              </w:rPr>
            </w:pPr>
            <w:r w:rsidRPr="00BC6787">
              <w:rPr>
                <w:rFonts w:eastAsia="Calibri" w:cs="Times New Roman"/>
              </w:rPr>
              <w:t>5289</w:t>
            </w:r>
          </w:p>
        </w:tc>
      </w:tr>
      <w:tr w:rsidR="00F85EC3" w:rsidRPr="00BC6787" w14:paraId="511C9A63" w14:textId="77777777" w:rsidTr="002406EE">
        <w:tc>
          <w:tcPr>
            <w:tcW w:w="856" w:type="pct"/>
            <w:vAlign w:val="center"/>
          </w:tcPr>
          <w:p w14:paraId="368EDC7F" w14:textId="77777777" w:rsidR="00B33CF6" w:rsidRPr="00BC6787" w:rsidRDefault="00B33CF6" w:rsidP="002406EE">
            <w:pPr>
              <w:spacing w:line="240" w:lineRule="auto"/>
              <w:jc w:val="center"/>
              <w:rPr>
                <w:rFonts w:eastAsia="Calibri" w:cs="Times New Roman"/>
              </w:rPr>
            </w:pPr>
            <w:proofErr w:type="spellStart"/>
            <w:r w:rsidRPr="00BC6787">
              <w:rPr>
                <w:rFonts w:eastAsia="Calibri" w:cs="Times New Roman"/>
              </w:rPr>
              <w:t>chl</w:t>
            </w:r>
            <w:proofErr w:type="spellEnd"/>
            <w:r w:rsidRPr="00BC6787">
              <w:rPr>
                <w:rFonts w:eastAsia="Calibri" w:cs="Times New Roman"/>
              </w:rPr>
              <w:t>-b</w:t>
            </w:r>
          </w:p>
        </w:tc>
        <w:tc>
          <w:tcPr>
            <w:tcW w:w="1597" w:type="pct"/>
            <w:vAlign w:val="center"/>
          </w:tcPr>
          <w:p w14:paraId="21ADCB5B" w14:textId="77777777" w:rsidR="00B33CF6" w:rsidRPr="00BC6787" w:rsidRDefault="00B33CF6" w:rsidP="002406EE">
            <w:pPr>
              <w:spacing w:line="240" w:lineRule="auto"/>
              <w:jc w:val="center"/>
              <w:rPr>
                <w:rFonts w:eastAsia="Calibri" w:cs="Times New Roman"/>
              </w:rPr>
            </w:pPr>
            <w:r w:rsidRPr="00BC6787">
              <w:rPr>
                <w:rFonts w:eastAsia="Calibri" w:cs="Times New Roman"/>
              </w:rPr>
              <w:t>41.13</w:t>
            </w:r>
          </w:p>
        </w:tc>
        <w:tc>
          <w:tcPr>
            <w:tcW w:w="1554" w:type="pct"/>
            <w:vAlign w:val="center"/>
          </w:tcPr>
          <w:p w14:paraId="235F2605" w14:textId="77777777" w:rsidR="00B33CF6" w:rsidRPr="00BC6787" w:rsidRDefault="00B33CF6" w:rsidP="002406EE">
            <w:pPr>
              <w:spacing w:line="240" w:lineRule="auto"/>
              <w:jc w:val="center"/>
              <w:rPr>
                <w:rFonts w:eastAsia="Calibri" w:cs="Times New Roman"/>
              </w:rPr>
            </w:pPr>
            <w:r w:rsidRPr="00BC6787">
              <w:rPr>
                <w:rFonts w:eastAsia="Calibri" w:cs="Times New Roman"/>
              </w:rPr>
              <w:t>21.73</w:t>
            </w:r>
          </w:p>
        </w:tc>
        <w:tc>
          <w:tcPr>
            <w:tcW w:w="994" w:type="pct"/>
            <w:vAlign w:val="center"/>
          </w:tcPr>
          <w:p w14:paraId="14425DFE" w14:textId="77777777" w:rsidR="00B33CF6" w:rsidRPr="00BC6787" w:rsidRDefault="00B33CF6" w:rsidP="002406EE">
            <w:pPr>
              <w:spacing w:line="240" w:lineRule="auto"/>
              <w:jc w:val="center"/>
              <w:rPr>
                <w:rFonts w:eastAsia="Calibri" w:cs="Times New Roman"/>
              </w:rPr>
            </w:pPr>
            <w:r w:rsidRPr="00BC6787">
              <w:rPr>
                <w:rFonts w:eastAsia="Calibri" w:cs="Times New Roman"/>
              </w:rPr>
              <w:t>6694</w:t>
            </w:r>
          </w:p>
        </w:tc>
      </w:tr>
    </w:tbl>
    <w:p w14:paraId="114EBF72" w14:textId="0AEA8001" w:rsidR="004329B9" w:rsidRPr="00BC6787" w:rsidRDefault="008E2773" w:rsidP="00AC0F64">
      <w:pPr>
        <w:spacing w:before="240" w:after="80"/>
        <w:ind w:firstLine="720"/>
        <w:rPr>
          <w:rFonts w:cs="Times New Roman"/>
        </w:rPr>
      </w:pPr>
      <w:r w:rsidRPr="00BC6787">
        <w:rPr>
          <w:rFonts w:cs="Times New Roman"/>
        </w:rPr>
        <w:t>Visualising the</w:t>
      </w:r>
      <w:r w:rsidR="006F36F0" w:rsidRPr="00BC6787">
        <w:rPr>
          <w:rFonts w:cs="Times New Roman"/>
        </w:rPr>
        <w:t xml:space="preserve"> average</w:t>
      </w:r>
      <w:r w:rsidR="00C220AF" w:rsidRPr="00BC6787">
        <w:rPr>
          <w:rFonts w:cs="Times New Roman"/>
        </w:rPr>
        <w:t xml:space="preserve"> error in force on each atom before and after optimisation, </w:t>
      </w:r>
      <w:r w:rsidRPr="00BC6787">
        <w:rPr>
          <w:rFonts w:cs="Times New Roman"/>
        </w:rPr>
        <w:t>illustrates the improvement of the FF.</w:t>
      </w:r>
      <w:r w:rsidR="00C220AF" w:rsidRPr="00BC6787">
        <w:rPr>
          <w:rFonts w:cs="Times New Roman"/>
        </w:rPr>
        <w:t xml:space="preserve"> </w:t>
      </w:r>
      <w:r w:rsidR="00262B08" w:rsidRPr="00BC6787">
        <w:rPr>
          <w:rFonts w:cs="Times New Roman"/>
        </w:rPr>
        <w:t>T</w:t>
      </w:r>
      <w:r w:rsidR="743D8EFC" w:rsidRPr="00BC6787">
        <w:rPr>
          <w:rFonts w:cs="Times New Roman"/>
        </w:rPr>
        <w:t>he</w:t>
      </w:r>
      <w:r w:rsidRPr="00BC6787">
        <w:rPr>
          <w:rFonts w:cs="Times New Roman"/>
        </w:rPr>
        <w:t xml:space="preserve"> average</w:t>
      </w:r>
      <w:r w:rsidR="00792F57" w:rsidRPr="00BC6787">
        <w:rPr>
          <w:rFonts w:cs="Times New Roman"/>
        </w:rPr>
        <w:t xml:space="preserve"> </w:t>
      </w:r>
      <w:r w:rsidR="743D8EFC" w:rsidRPr="00BC6787">
        <w:rPr>
          <w:rFonts w:cs="Times New Roman"/>
        </w:rPr>
        <w:t xml:space="preserve">error in force on each atom, </w:t>
      </w:r>
      <w:proofErr w:type="spellStart"/>
      <w:r w:rsidR="743D8EFC" w:rsidRPr="00BC6787">
        <w:rPr>
          <w:rFonts w:cs="Times New Roman"/>
        </w:rPr>
        <w:t>Δ</w:t>
      </w:r>
      <w:r w:rsidR="743D8EFC" w:rsidRPr="00BC6787">
        <w:rPr>
          <w:rFonts w:cs="Times New Roman"/>
          <w:i/>
          <w:iCs/>
        </w:rPr>
        <w:t>f</w:t>
      </w:r>
      <w:r w:rsidR="743D8EFC" w:rsidRPr="00BC6787">
        <w:rPr>
          <w:rFonts w:cs="Times New Roman"/>
          <w:i/>
          <w:iCs/>
          <w:vertAlign w:val="subscript"/>
        </w:rPr>
        <w:t>i</w:t>
      </w:r>
      <w:proofErr w:type="spellEnd"/>
      <w:r w:rsidR="743D8EFC" w:rsidRPr="00BC6787">
        <w:rPr>
          <w:rFonts w:cs="Times New Roman"/>
        </w:rPr>
        <w:t>, is defined as:</w:t>
      </w:r>
    </w:p>
    <w:p w14:paraId="4246CA4E" w14:textId="0D3BB2DF" w:rsidR="002256A8" w:rsidRPr="00BC6787" w:rsidRDefault="002256A8" w:rsidP="00AC0F64">
      <w:pPr>
        <w:pStyle w:val="MTDisplayEquation"/>
        <w:spacing w:after="80"/>
        <w:rPr>
          <w:rFonts w:cs="Times New Roman"/>
        </w:rPr>
      </w:pPr>
      <w:r w:rsidRPr="00BC6787">
        <w:rPr>
          <w:rFonts w:cs="Times New Roman"/>
        </w:rPr>
        <w:tab/>
      </w:r>
      <w:r w:rsidR="00792F57" w:rsidRPr="00BC6787">
        <w:rPr>
          <w:position w:val="-30"/>
        </w:rPr>
        <w:object w:dxaOrig="2620" w:dyaOrig="720" w14:anchorId="6AEB6CE2">
          <v:shape id="_x0000_i1041" type="#_x0000_t75" style="width:131.5pt;height:36pt" o:ole="">
            <v:imagedata r:id="rId42" o:title=""/>
          </v:shape>
          <o:OLEObject Type="Embed" ProgID="Equation.DSMT4" ShapeID="_x0000_i1041" DrawAspect="Content" ObjectID="_1606308035" r:id="rId43"/>
        </w:object>
      </w:r>
      <w:r w:rsidRPr="00BC6787">
        <w:rPr>
          <w:rFonts w:cs="Times New Roman"/>
        </w:rPr>
        <w:t xml:space="preserve"> </w:t>
      </w:r>
      <w:r w:rsidRPr="00BC6787">
        <w:rPr>
          <w:rFonts w:cs="Times New Roman"/>
        </w:rPr>
        <w:tab/>
      </w:r>
      <w:r w:rsidRPr="00BC6787">
        <w:rPr>
          <w:rFonts w:cs="Times New Roman"/>
        </w:rPr>
        <w:fldChar w:fldCharType="begin"/>
      </w:r>
      <w:r w:rsidRPr="00BC6787">
        <w:rPr>
          <w:rFonts w:cs="Times New Roman"/>
        </w:rPr>
        <w:instrText xml:space="preserve"> MACROBUTTON MTPlaceRef \* MERGEFORMAT </w:instrText>
      </w:r>
      <w:r w:rsidRPr="00BC6787">
        <w:rPr>
          <w:rFonts w:cs="Times New Roman"/>
        </w:rPr>
        <w:fldChar w:fldCharType="begin"/>
      </w:r>
      <w:r w:rsidRPr="00BC6787">
        <w:rPr>
          <w:rFonts w:cs="Times New Roman"/>
        </w:rPr>
        <w:instrText xml:space="preserve"> SEQ MTEqn \h \* MERGEFORMAT </w:instrText>
      </w:r>
      <w:r w:rsidRPr="00BC6787">
        <w:rPr>
          <w:rFonts w:cs="Times New Roman"/>
        </w:rPr>
        <w:fldChar w:fldCharType="end"/>
      </w:r>
      <w:r w:rsidRPr="00BC6787">
        <w:rPr>
          <w:rFonts w:cs="Times New Roman"/>
        </w:rPr>
        <w:instrText>(</w:instrText>
      </w:r>
      <w:r w:rsidR="00D73E0B" w:rsidRPr="00BC6787">
        <w:rPr>
          <w:rFonts w:cs="Times New Roman"/>
        </w:rPr>
        <w:fldChar w:fldCharType="begin"/>
      </w:r>
      <w:r w:rsidR="00D73E0B" w:rsidRPr="00BC6787">
        <w:rPr>
          <w:rFonts w:cs="Times New Roman"/>
        </w:rPr>
        <w:instrText xml:space="preserve"> SEQ MTEqn \c \* Arabic \* MERGEFORMAT </w:instrText>
      </w:r>
      <w:r w:rsidR="00D73E0B" w:rsidRPr="00BC6787">
        <w:rPr>
          <w:rFonts w:cs="Times New Roman"/>
        </w:rPr>
        <w:fldChar w:fldCharType="separate"/>
      </w:r>
      <w:r w:rsidR="005B1EB7" w:rsidRPr="00BC6787">
        <w:rPr>
          <w:rFonts w:cs="Times New Roman"/>
          <w:noProof/>
        </w:rPr>
        <w:instrText>9</w:instrText>
      </w:r>
      <w:r w:rsidR="00D73E0B" w:rsidRPr="00BC6787">
        <w:rPr>
          <w:rFonts w:cs="Times New Roman"/>
          <w:noProof/>
        </w:rPr>
        <w:fldChar w:fldCharType="end"/>
      </w:r>
      <w:r w:rsidRPr="00BC6787">
        <w:rPr>
          <w:rFonts w:cs="Times New Roman"/>
        </w:rPr>
        <w:instrText>)</w:instrText>
      </w:r>
      <w:r w:rsidRPr="00BC6787">
        <w:rPr>
          <w:rFonts w:cs="Times New Roman"/>
        </w:rPr>
        <w:fldChar w:fldCharType="end"/>
      </w:r>
    </w:p>
    <w:p w14:paraId="22022E89" w14:textId="66D28623" w:rsidR="00B91A20" w:rsidRPr="00BC6787" w:rsidRDefault="006D50EB" w:rsidP="00AF7757">
      <w:r w:rsidRPr="00BC6787">
        <w:t xml:space="preserve">This is depicted in Fig. 3 for each of the pigments. </w:t>
      </w:r>
      <w:r w:rsidR="004869CD" w:rsidRPr="00BC6787">
        <w:t xml:space="preserve">This visualisation provides further information than the final objective function alone; considering </w:t>
      </w:r>
      <w:proofErr w:type="spellStart"/>
      <w:r w:rsidR="004869CD" w:rsidRPr="00BC6787">
        <w:t>bcl</w:t>
      </w:r>
      <w:proofErr w:type="spellEnd"/>
      <w:r w:rsidR="004869CD" w:rsidRPr="00BC6787">
        <w:t xml:space="preserve"> and </w:t>
      </w:r>
      <w:proofErr w:type="spellStart"/>
      <w:r w:rsidR="004869CD" w:rsidRPr="00BC6787">
        <w:t>chl</w:t>
      </w:r>
      <w:proofErr w:type="spellEnd"/>
      <w:r w:rsidR="004869CD" w:rsidRPr="00BC6787">
        <w:t xml:space="preserve">-a, it is clear </w:t>
      </w:r>
      <w:r w:rsidR="002879F7" w:rsidRPr="00BC6787">
        <w:t xml:space="preserve">the remaining error measured by the objective function is caused by a few atoms which still have a large error whilst the rest are well optimised. </w:t>
      </w:r>
      <w:r w:rsidR="00B67239" w:rsidRPr="00BC6787">
        <w:t>In contrast</w:t>
      </w:r>
      <w:r w:rsidR="002879F7" w:rsidRPr="00BC6787">
        <w:t>,</w:t>
      </w:r>
      <w:r w:rsidR="00B67239" w:rsidRPr="00BC6787">
        <w:t xml:space="preserve"> for</w:t>
      </w:r>
      <w:r w:rsidR="002879F7" w:rsidRPr="00BC6787">
        <w:t xml:space="preserve"> </w:t>
      </w:r>
      <w:proofErr w:type="spellStart"/>
      <w:r w:rsidR="002879F7" w:rsidRPr="00BC6787">
        <w:t>chl</w:t>
      </w:r>
      <w:proofErr w:type="spellEnd"/>
      <w:r w:rsidR="002879F7" w:rsidRPr="00BC6787">
        <w:t>-b the remaining error is spread more evenly over the total molecule,</w:t>
      </w:r>
      <w:r w:rsidR="00E1476B" w:rsidRPr="00BC6787">
        <w:br/>
      </w:r>
      <w:r w:rsidR="00E1476B" w:rsidRPr="00BC6787">
        <w:br/>
      </w:r>
    </w:p>
    <w:p w14:paraId="1E6F3B42" w14:textId="61043AC8" w:rsidR="002B2E3D" w:rsidRDefault="0034000E">
      <w:pPr>
        <w:spacing w:line="259" w:lineRule="auto"/>
        <w:jc w:val="left"/>
        <w:rPr>
          <w:noProof/>
          <w:lang w:eastAsia="en-GB"/>
        </w:rPr>
      </w:pPr>
      <w:r>
        <w:rPr>
          <w:noProof/>
          <w:lang w:eastAsia="en-GB"/>
        </w:rPr>
        <w:lastRenderedPageBreak/>
        <w:drawing>
          <wp:inline distT="0" distB="0" distL="0" distR="0" wp14:anchorId="7A4FF8A6" wp14:editId="4860140B">
            <wp:extent cx="5509895" cy="8401050"/>
            <wp:effectExtent l="0" t="0" r="0" b="0"/>
            <wp:docPr id="9" name="Picture 9" descr="A picture containing tree, indoor, small, differen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sf.png"/>
                    <pic:cNvPicPr/>
                  </pic:nvPicPr>
                  <pic:blipFill rotWithShape="1">
                    <a:blip r:embed="rId44">
                      <a:extLst>
                        <a:ext uri="{28A0092B-C50C-407E-A947-70E740481C1C}">
                          <a14:useLocalDpi xmlns:a14="http://schemas.microsoft.com/office/drawing/2010/main" val="0"/>
                        </a:ext>
                      </a:extLst>
                    </a:blip>
                    <a:srcRect b="5215"/>
                    <a:stretch/>
                  </pic:blipFill>
                  <pic:spPr bwMode="auto">
                    <a:xfrm>
                      <a:off x="0" y="0"/>
                      <a:ext cx="5509895" cy="8401050"/>
                    </a:xfrm>
                    <a:prstGeom prst="rect">
                      <a:avLst/>
                    </a:prstGeom>
                    <a:ln>
                      <a:noFill/>
                    </a:ln>
                    <a:extLst>
                      <a:ext uri="{53640926-AAD7-44D8-BBD7-CCE9431645EC}">
                        <a14:shadowObscured xmlns:a14="http://schemas.microsoft.com/office/drawing/2010/main"/>
                      </a:ext>
                    </a:extLst>
                  </pic:spPr>
                </pic:pic>
              </a:graphicData>
            </a:graphic>
          </wp:inline>
        </w:drawing>
      </w:r>
    </w:p>
    <w:p w14:paraId="0BF4D1BF" w14:textId="215A40A8" w:rsidR="00B91A20" w:rsidRPr="00BC6787" w:rsidRDefault="00B91A20">
      <w:pPr>
        <w:spacing w:line="259" w:lineRule="auto"/>
        <w:jc w:val="left"/>
      </w:pPr>
      <w:r w:rsidRPr="00BC6787">
        <w:rPr>
          <w:rFonts w:cs="Times New Roman"/>
          <w:b/>
          <w:sz w:val="18"/>
        </w:rPr>
        <w:t xml:space="preserve"> Figure 3: </w:t>
      </w:r>
      <w:r w:rsidRPr="00BC6787">
        <w:rPr>
          <w:rFonts w:cs="Times New Roman"/>
          <w:sz w:val="18"/>
        </w:rPr>
        <w:t>The atomic force error (in kcal mol</w:t>
      </w:r>
      <w:r w:rsidRPr="00BC6787">
        <w:rPr>
          <w:rFonts w:cs="Times New Roman"/>
          <w:sz w:val="18"/>
          <w:vertAlign w:val="superscript"/>
        </w:rPr>
        <w:t>-1</w:t>
      </w:r>
      <w:r w:rsidRPr="00BC6787">
        <w:rPr>
          <w:rFonts w:cs="Times New Roman"/>
          <w:sz w:val="18"/>
        </w:rPr>
        <w:t xml:space="preserve"> Å</w:t>
      </w:r>
      <w:r w:rsidRPr="00BC6787">
        <w:rPr>
          <w:rFonts w:cs="Times New Roman"/>
          <w:sz w:val="18"/>
          <w:vertAlign w:val="superscript"/>
        </w:rPr>
        <w:t>-1</w:t>
      </w:r>
      <w:r w:rsidRPr="00BC6787">
        <w:rPr>
          <w:rFonts w:cs="Times New Roman"/>
          <w:sz w:val="18"/>
        </w:rPr>
        <w:t xml:space="preserve">) before (left) and after (right) optimisation for </w:t>
      </w:r>
      <w:proofErr w:type="spellStart"/>
      <w:r w:rsidRPr="00BC6787">
        <w:rPr>
          <w:rFonts w:cs="Times New Roman"/>
          <w:sz w:val="18"/>
        </w:rPr>
        <w:t>bcl</w:t>
      </w:r>
      <w:proofErr w:type="spellEnd"/>
      <w:r w:rsidR="0053648D">
        <w:rPr>
          <w:rFonts w:cs="Times New Roman"/>
          <w:sz w:val="18"/>
        </w:rPr>
        <w:t xml:space="preserve"> (top)</w:t>
      </w:r>
      <w:r w:rsidRPr="00BC6787">
        <w:rPr>
          <w:rFonts w:cs="Times New Roman"/>
          <w:sz w:val="18"/>
        </w:rPr>
        <w:t xml:space="preserve">, </w:t>
      </w:r>
      <w:proofErr w:type="spellStart"/>
      <w:r w:rsidRPr="00BC6787">
        <w:rPr>
          <w:rFonts w:cs="Times New Roman"/>
          <w:sz w:val="18"/>
        </w:rPr>
        <w:t>chl</w:t>
      </w:r>
      <w:proofErr w:type="spellEnd"/>
      <w:r w:rsidRPr="00BC6787">
        <w:rPr>
          <w:rFonts w:cs="Times New Roman"/>
          <w:sz w:val="18"/>
        </w:rPr>
        <w:t>-a</w:t>
      </w:r>
      <w:r w:rsidR="0053648D">
        <w:rPr>
          <w:rFonts w:cs="Times New Roman"/>
          <w:sz w:val="18"/>
        </w:rPr>
        <w:t xml:space="preserve"> (middle)</w:t>
      </w:r>
      <w:r w:rsidRPr="00BC6787">
        <w:rPr>
          <w:rFonts w:cs="Times New Roman"/>
          <w:sz w:val="18"/>
        </w:rPr>
        <w:t xml:space="preserve"> and </w:t>
      </w:r>
      <w:proofErr w:type="spellStart"/>
      <w:r w:rsidRPr="00BC6787">
        <w:rPr>
          <w:rFonts w:cs="Times New Roman"/>
          <w:sz w:val="18"/>
        </w:rPr>
        <w:t>chl</w:t>
      </w:r>
      <w:proofErr w:type="spellEnd"/>
      <w:r w:rsidRPr="00BC6787">
        <w:rPr>
          <w:rFonts w:cs="Times New Roman"/>
          <w:sz w:val="18"/>
        </w:rPr>
        <w:t>-b</w:t>
      </w:r>
      <w:r w:rsidR="0053648D">
        <w:rPr>
          <w:rFonts w:cs="Times New Roman"/>
          <w:sz w:val="18"/>
        </w:rPr>
        <w:t xml:space="preserve"> (bottom)</w:t>
      </w:r>
      <w:r w:rsidRPr="00BC6787">
        <w:rPr>
          <w:rFonts w:cs="Times New Roman"/>
          <w:sz w:val="18"/>
        </w:rPr>
        <w:t>.</w:t>
      </w:r>
      <w:r w:rsidRPr="00BC6787">
        <w:br w:type="page"/>
      </w:r>
    </w:p>
    <w:p w14:paraId="57BA0D0E" w14:textId="52FB7D9B" w:rsidR="00AF7757" w:rsidRPr="00BC6787" w:rsidRDefault="002879F7" w:rsidP="00AF7757">
      <w:pPr>
        <w:rPr>
          <w:rFonts w:cs="Times New Roman"/>
          <w:sz w:val="18"/>
        </w:rPr>
      </w:pPr>
      <w:r w:rsidRPr="00BC6787">
        <w:lastRenderedPageBreak/>
        <w:t xml:space="preserve">indicating some further optimisation may be required. </w:t>
      </w:r>
      <w:r w:rsidR="00AF7757" w:rsidRPr="00BC6787">
        <w:t>Thus, visualisation of the average force error per atom is recommended to ensure full optimisation.</w:t>
      </w:r>
      <w:r w:rsidR="005E1DAA" w:rsidRPr="00BC6787">
        <w:t xml:space="preserve"> For </w:t>
      </w:r>
      <w:proofErr w:type="spellStart"/>
      <w:r w:rsidR="005E1DAA" w:rsidRPr="00BC6787">
        <w:t>bcl</w:t>
      </w:r>
      <w:proofErr w:type="spellEnd"/>
      <w:r w:rsidR="005E1DAA" w:rsidRPr="00BC6787">
        <w:t xml:space="preserve"> and </w:t>
      </w:r>
      <w:proofErr w:type="spellStart"/>
      <w:r w:rsidR="005E1DAA" w:rsidRPr="00BC6787">
        <w:t>chl</w:t>
      </w:r>
      <w:proofErr w:type="spellEnd"/>
      <w:r w:rsidR="005E1DAA" w:rsidRPr="00BC6787">
        <w:t>-a, the atoms where the force error remains large is likely the result of a poor atom type assignment.</w:t>
      </w:r>
      <w:r w:rsidR="006D50EB" w:rsidRPr="00BC6787">
        <w:t xml:space="preserve"> </w:t>
      </w:r>
      <w:r w:rsidR="005E1DAA" w:rsidRPr="00BC6787">
        <w:t>I</w:t>
      </w:r>
      <w:r w:rsidR="00800E43" w:rsidRPr="00BC6787">
        <w:t>f an atom is assigned</w:t>
      </w:r>
      <w:r w:rsidR="005E1DAA" w:rsidRPr="00BC6787">
        <w:t xml:space="preserve"> unsuitably, i.e.</w:t>
      </w:r>
      <w:r w:rsidR="00800E43" w:rsidRPr="00BC6787">
        <w:t xml:space="preserve"> equivalent to another atom when it is in fact different, </w:t>
      </w:r>
      <w:r w:rsidR="005E1DAA" w:rsidRPr="00BC6787">
        <w:t>assigning</w:t>
      </w:r>
      <w:r w:rsidR="00800E43" w:rsidRPr="00BC6787">
        <w:t xml:space="preserve"> parameter values that describe both atoms in the structure well</w:t>
      </w:r>
      <w:r w:rsidR="005E1DAA" w:rsidRPr="00BC6787">
        <w:t xml:space="preserve"> is problematic</w:t>
      </w:r>
      <w:r w:rsidR="00800E43" w:rsidRPr="00BC6787">
        <w:t>. The result is either parameters describing one atom well and the other poorly or describing both poorly</w:t>
      </w:r>
      <w:r w:rsidR="00A14D12" w:rsidRPr="00BC6787">
        <w:t>,</w:t>
      </w:r>
      <w:r w:rsidR="00800E43" w:rsidRPr="00BC6787">
        <w:t xml:space="preserve"> and thus the error in the force(s) on the atom(s) will be greater.</w:t>
      </w:r>
      <w:r w:rsidR="00ED410A" w:rsidRPr="00BC6787">
        <w:t xml:space="preserve"> This observation provides potential routes of improvement for the algorithm. A process periodically calculating the average error per atom could be added to identify when the overall error is being caused by only a few atoms and then reassign these atom types. Additionally, a procedure could be developed to automatically assign atom types based on bond and angle types and sizes from the optimised structure to prevent any human error in atom type assignment.</w:t>
      </w:r>
    </w:p>
    <w:p w14:paraId="7DF9869C" w14:textId="2B0DF9DD" w:rsidR="00B53A2B" w:rsidRPr="00BC6787" w:rsidRDefault="005E1DAA" w:rsidP="00B53A2B">
      <w:pPr>
        <w:ind w:firstLine="720"/>
      </w:pPr>
      <w:r w:rsidRPr="00BC6787">
        <w:t>Examining</w:t>
      </w:r>
      <w:r w:rsidR="00AF7757" w:rsidRPr="00BC6787">
        <w:t xml:space="preserve"> the final average error in force for each atom of</w:t>
      </w:r>
      <w:r w:rsidRPr="00BC6787">
        <w:t xml:space="preserve"> </w:t>
      </w:r>
      <w:proofErr w:type="spellStart"/>
      <w:r w:rsidRPr="00BC6787">
        <w:t>bcl</w:t>
      </w:r>
      <w:proofErr w:type="spellEnd"/>
      <w:r w:rsidRPr="00BC6787">
        <w:t xml:space="preserve">, it is </w:t>
      </w:r>
      <w:r w:rsidR="00AF7757" w:rsidRPr="00BC6787">
        <w:t>evident</w:t>
      </w:r>
      <w:r w:rsidRPr="00BC6787">
        <w:t xml:space="preserve"> there is one atom with a notably large error and three to four others also with a </w:t>
      </w:r>
      <w:r w:rsidR="00AF7757" w:rsidRPr="00BC6787">
        <w:t>smaller but still significant</w:t>
      </w:r>
      <w:r w:rsidRPr="00BC6787">
        <w:t xml:space="preserve"> error. In Fig. 4 the values of the average error in forces</w:t>
      </w:r>
      <w:r w:rsidR="0097313E" w:rsidRPr="00BC6787">
        <w:t xml:space="preserve"> are shown</w:t>
      </w:r>
      <w:r w:rsidRPr="00BC6787">
        <w:t xml:space="preserve"> </w:t>
      </w:r>
      <w:r w:rsidR="008D416B" w:rsidRPr="00BC6787">
        <w:t xml:space="preserve">and </w:t>
      </w:r>
      <w:r w:rsidR="0097313E" w:rsidRPr="00BC6787">
        <w:t>those with</w:t>
      </w:r>
      <w:r w:rsidR="008D416B" w:rsidRPr="00BC6787">
        <w:t xml:space="preserve"> </w:t>
      </w:r>
      <w:r w:rsidR="00F059AA" w:rsidRPr="00F059AA">
        <w:rPr>
          <w:rFonts w:cs="Times New Roman"/>
          <w:position w:val="-10"/>
        </w:rPr>
        <w:object w:dxaOrig="1960" w:dyaOrig="340" w14:anchorId="0438960D">
          <v:shape id="_x0000_i1042" type="#_x0000_t75" style="width:98pt;height:16.5pt" o:ole="">
            <v:imagedata r:id="rId45" o:title=""/>
          </v:shape>
          <o:OLEObject Type="Embed" ProgID="Equation.DSMT4" ShapeID="_x0000_i1042" DrawAspect="Content" ObjectID="_1606308036" r:id="rId46"/>
        </w:object>
      </w:r>
      <w:r w:rsidR="0097313E" w:rsidRPr="00BC6787">
        <w:rPr>
          <w:rFonts w:cs="Times New Roman"/>
        </w:rPr>
        <w:t xml:space="preserve">are highlighted </w:t>
      </w:r>
      <w:r w:rsidR="008D416B" w:rsidRPr="00BC6787">
        <w:rPr>
          <w:rFonts w:cs="Times New Roman"/>
        </w:rPr>
        <w:t>(atom numbers 56, 57, 62, 64)</w:t>
      </w:r>
      <w:r w:rsidR="0097313E" w:rsidRPr="00BC6787">
        <w:rPr>
          <w:rFonts w:cs="Times New Roman"/>
        </w:rPr>
        <w:t>; we can see these are the same atoms with notably high force</w:t>
      </w:r>
      <w:r w:rsidR="00B53A2B" w:rsidRPr="00BC6787">
        <w:rPr>
          <w:rFonts w:cs="Times New Roman"/>
        </w:rPr>
        <w:t xml:space="preserve"> after optimisation as in Fig. 3. Further optimisation after reassigning the atom types of these atoms lead to a decrease of 1.5 kcal mol</w:t>
      </w:r>
      <w:r w:rsidR="00B53A2B" w:rsidRPr="00BC6787">
        <w:rPr>
          <w:rFonts w:cs="Times New Roman"/>
          <w:vertAlign w:val="superscript"/>
        </w:rPr>
        <w:t>-1</w:t>
      </w:r>
      <w:r w:rsidR="00B53A2B" w:rsidRPr="00BC6787">
        <w:rPr>
          <w:rFonts w:cs="Times New Roman"/>
        </w:rPr>
        <w:t xml:space="preserve"> Å</w:t>
      </w:r>
      <w:r w:rsidR="00B53A2B" w:rsidRPr="00BC6787">
        <w:rPr>
          <w:rFonts w:cs="Times New Roman"/>
          <w:vertAlign w:val="superscript"/>
        </w:rPr>
        <w:t>-1</w:t>
      </w:r>
      <w:r w:rsidR="00B53A2B" w:rsidRPr="00BC6787">
        <w:rPr>
          <w:rFonts w:cs="Times New Roman"/>
        </w:rPr>
        <w:t xml:space="preserve"> of the objective function.</w:t>
      </w:r>
      <w:r w:rsidR="00805F46" w:rsidRPr="00BC6787">
        <w:rPr>
          <w:rFonts w:cs="Times New Roman"/>
        </w:rPr>
        <w:t xml:space="preserve"> This example also clarifies that the main origin of the residual mismatch between empirical and ab initio force is the functional form of the empirical potential, unable to capture all the details of the electronic structure calculations</w:t>
      </w:r>
      <w:r w:rsidR="00116A17" w:rsidRPr="00BC6787">
        <w:rPr>
          <w:rFonts w:cs="Times New Roman"/>
        </w:rPr>
        <w:t>.</w:t>
      </w:r>
    </w:p>
    <w:p w14:paraId="6F20300A" w14:textId="3898D663" w:rsidR="00946150" w:rsidRPr="00BC6787" w:rsidRDefault="00A54FD5" w:rsidP="00D24654">
      <w:pPr>
        <w:jc w:val="center"/>
        <w:rPr>
          <w:rFonts w:cs="Times New Roman"/>
        </w:rPr>
      </w:pPr>
      <w:r w:rsidRPr="00BC6787">
        <w:rPr>
          <w:rFonts w:cs="Times New Roman"/>
          <w:noProof/>
          <w:lang w:eastAsia="en-GB"/>
        </w:rPr>
        <w:drawing>
          <wp:inline distT="0" distB="0" distL="0" distR="0" wp14:anchorId="69D2F4F6" wp14:editId="7EBF5009">
            <wp:extent cx="2952000" cy="2038883"/>
            <wp:effectExtent l="0" t="0" r="1270" b="0"/>
            <wp:docPr id="19" name="Picture 19"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cl-dF-graph.png"/>
                    <pic:cNvPicPr/>
                  </pic:nvPicPr>
                  <pic:blipFill rotWithShape="1">
                    <a:blip r:embed="rId47" cstate="print">
                      <a:extLst>
                        <a:ext uri="{28A0092B-C50C-407E-A947-70E740481C1C}">
                          <a14:useLocalDpi xmlns:a14="http://schemas.microsoft.com/office/drawing/2010/main" val="0"/>
                        </a:ext>
                      </a:extLst>
                    </a:blip>
                    <a:srcRect l="3330" t="11399" r="9287" b="4547"/>
                    <a:stretch/>
                  </pic:blipFill>
                  <pic:spPr bwMode="auto">
                    <a:xfrm>
                      <a:off x="0" y="0"/>
                      <a:ext cx="2952000" cy="2038883"/>
                    </a:xfrm>
                    <a:prstGeom prst="rect">
                      <a:avLst/>
                    </a:prstGeom>
                    <a:ln>
                      <a:noFill/>
                    </a:ln>
                    <a:extLst>
                      <a:ext uri="{53640926-AAD7-44D8-BBD7-CCE9431645EC}">
                        <a14:shadowObscured xmlns:a14="http://schemas.microsoft.com/office/drawing/2010/main"/>
                      </a:ext>
                    </a:extLst>
                  </pic:spPr>
                </pic:pic>
              </a:graphicData>
            </a:graphic>
          </wp:inline>
        </w:drawing>
      </w:r>
      <w:r w:rsidR="00C220AF" w:rsidRPr="00BC6787">
        <w:rPr>
          <w:rFonts w:cs="Times New Roman"/>
        </w:rPr>
        <w:t xml:space="preserve">         </w:t>
      </w:r>
      <w:r w:rsidR="00987347" w:rsidRPr="00BC6787">
        <w:rPr>
          <w:rFonts w:cs="Times New Roman"/>
          <w:noProof/>
          <w:lang w:eastAsia="en-GB"/>
        </w:rPr>
        <w:drawing>
          <wp:inline distT="0" distB="0" distL="0" distR="0" wp14:anchorId="5A655AD9" wp14:editId="58EE5AC5">
            <wp:extent cx="2448000" cy="2007031"/>
            <wp:effectExtent l="0" t="0" r="0" b="0"/>
            <wp:docPr id="26" name="Picture 26" descr="A picture containing honeycomb&#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cl-dF.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8000" cy="2007031"/>
                    </a:xfrm>
                    <a:prstGeom prst="rect">
                      <a:avLst/>
                    </a:prstGeom>
                  </pic:spPr>
                </pic:pic>
              </a:graphicData>
            </a:graphic>
          </wp:inline>
        </w:drawing>
      </w:r>
    </w:p>
    <w:p w14:paraId="4A7EF65D" w14:textId="27A3FD36" w:rsidR="00D24654" w:rsidRPr="00BC6787" w:rsidRDefault="00D24654" w:rsidP="006F519D">
      <w:pPr>
        <w:jc w:val="center"/>
        <w:rPr>
          <w:rFonts w:cs="Times New Roman"/>
          <w:sz w:val="18"/>
          <w:szCs w:val="18"/>
        </w:rPr>
      </w:pPr>
      <w:r w:rsidRPr="00BC6787">
        <w:rPr>
          <w:rFonts w:cs="Times New Roman"/>
          <w:b/>
          <w:sz w:val="18"/>
          <w:szCs w:val="18"/>
        </w:rPr>
        <w:t>Figure 4:</w:t>
      </w:r>
      <w:r w:rsidRPr="00BC6787">
        <w:rPr>
          <w:rFonts w:cs="Times New Roman"/>
          <w:sz w:val="18"/>
          <w:szCs w:val="18"/>
        </w:rPr>
        <w:t xml:space="preserve"> </w:t>
      </w:r>
      <w:r w:rsidR="006F519D" w:rsidRPr="00BC6787">
        <w:rPr>
          <w:rFonts w:cs="Times New Roman"/>
          <w:sz w:val="18"/>
          <w:szCs w:val="18"/>
        </w:rPr>
        <w:t xml:space="preserve">Left: </w:t>
      </w:r>
      <w:proofErr w:type="spellStart"/>
      <w:r w:rsidR="008C1928" w:rsidRPr="00BC6787">
        <w:rPr>
          <w:rFonts w:cs="Times New Roman"/>
          <w:sz w:val="18"/>
          <w:szCs w:val="18"/>
        </w:rPr>
        <w:t>Δ</w:t>
      </w:r>
      <w:r w:rsidR="008C1928" w:rsidRPr="00BC6787">
        <w:rPr>
          <w:rFonts w:cs="Times New Roman"/>
          <w:i/>
          <w:sz w:val="18"/>
          <w:szCs w:val="18"/>
        </w:rPr>
        <w:t>f</w:t>
      </w:r>
      <w:r w:rsidR="00182F81" w:rsidRPr="00BC6787">
        <w:rPr>
          <w:rFonts w:cs="Times New Roman"/>
          <w:i/>
          <w:sz w:val="18"/>
          <w:szCs w:val="18"/>
          <w:vertAlign w:val="subscript"/>
        </w:rPr>
        <w:t>i</w:t>
      </w:r>
      <w:proofErr w:type="spellEnd"/>
      <w:r w:rsidR="006F519D" w:rsidRPr="00BC6787">
        <w:rPr>
          <w:rFonts w:cs="Times New Roman"/>
          <w:sz w:val="18"/>
          <w:szCs w:val="18"/>
        </w:rPr>
        <w:t xml:space="preserve"> values for atoms in </w:t>
      </w:r>
      <w:proofErr w:type="spellStart"/>
      <w:r w:rsidR="006F519D" w:rsidRPr="00BC6787">
        <w:rPr>
          <w:rFonts w:cs="Times New Roman"/>
          <w:sz w:val="18"/>
          <w:szCs w:val="18"/>
        </w:rPr>
        <w:t>bcl</w:t>
      </w:r>
      <w:proofErr w:type="spellEnd"/>
      <w:r w:rsidR="006F519D" w:rsidRPr="00BC6787">
        <w:rPr>
          <w:rFonts w:cs="Times New Roman"/>
          <w:sz w:val="18"/>
          <w:szCs w:val="18"/>
        </w:rPr>
        <w:t xml:space="preserve">. Right: </w:t>
      </w:r>
      <w:proofErr w:type="spellStart"/>
      <w:r w:rsidR="006F519D" w:rsidRPr="00BC6787">
        <w:rPr>
          <w:rFonts w:cs="Times New Roman"/>
          <w:sz w:val="18"/>
          <w:szCs w:val="18"/>
        </w:rPr>
        <w:t>bcl</w:t>
      </w:r>
      <w:proofErr w:type="spellEnd"/>
      <w:r w:rsidR="006F519D" w:rsidRPr="00BC6787">
        <w:rPr>
          <w:rFonts w:cs="Times New Roman"/>
          <w:sz w:val="18"/>
          <w:szCs w:val="18"/>
        </w:rPr>
        <w:t xml:space="preserve"> structure with atoms with </w:t>
      </w:r>
      <w:proofErr w:type="spellStart"/>
      <w:r w:rsidR="00182F81" w:rsidRPr="00BC6787">
        <w:rPr>
          <w:rFonts w:cs="Times New Roman"/>
          <w:sz w:val="18"/>
          <w:szCs w:val="18"/>
        </w:rPr>
        <w:t>Δ</w:t>
      </w:r>
      <w:r w:rsidR="00182F81" w:rsidRPr="00BC6787">
        <w:rPr>
          <w:rFonts w:cs="Times New Roman"/>
          <w:i/>
          <w:sz w:val="18"/>
          <w:szCs w:val="18"/>
        </w:rPr>
        <w:t>f</w:t>
      </w:r>
      <w:r w:rsidR="00182F81" w:rsidRPr="00BC6787">
        <w:rPr>
          <w:rFonts w:cs="Times New Roman"/>
          <w:i/>
          <w:sz w:val="18"/>
          <w:szCs w:val="18"/>
          <w:vertAlign w:val="subscript"/>
        </w:rPr>
        <w:t>i</w:t>
      </w:r>
      <w:proofErr w:type="spellEnd"/>
      <w:r w:rsidR="00182F81" w:rsidRPr="00BC6787">
        <w:rPr>
          <w:rFonts w:cs="Times New Roman"/>
          <w:sz w:val="18"/>
          <w:szCs w:val="18"/>
        </w:rPr>
        <w:t xml:space="preserve"> &gt; </w:t>
      </w:r>
      <w:r w:rsidR="00A54FD5" w:rsidRPr="00BC6787">
        <w:rPr>
          <w:rFonts w:cs="Times New Roman"/>
          <w:sz w:val="18"/>
          <w:szCs w:val="18"/>
        </w:rPr>
        <w:t>5</w:t>
      </w:r>
      <w:r w:rsidR="000C2E12" w:rsidRPr="00BC6787">
        <w:rPr>
          <w:rFonts w:cs="Times New Roman"/>
          <w:sz w:val="18"/>
          <w:szCs w:val="18"/>
        </w:rPr>
        <w:t>0</w:t>
      </w:r>
      <w:r w:rsidR="00182F81" w:rsidRPr="00BC6787">
        <w:rPr>
          <w:rFonts w:cs="Times New Roman"/>
          <w:sz w:val="18"/>
          <w:szCs w:val="18"/>
        </w:rPr>
        <w:t xml:space="preserve"> kcal</w:t>
      </w:r>
      <w:r w:rsidR="00182F81" w:rsidRPr="00BC6787">
        <w:rPr>
          <w:rFonts w:cs="Times New Roman"/>
          <w:sz w:val="18"/>
          <w:szCs w:val="18"/>
          <w:vertAlign w:val="superscript"/>
        </w:rPr>
        <w:t>-1</w:t>
      </w:r>
      <w:r w:rsidR="00182F81" w:rsidRPr="00BC6787">
        <w:rPr>
          <w:rFonts w:cs="Times New Roman"/>
          <w:sz w:val="18"/>
          <w:szCs w:val="18"/>
        </w:rPr>
        <w:t xml:space="preserve"> </w:t>
      </w:r>
      <w:r w:rsidR="00B9447F" w:rsidRPr="00BC6787">
        <w:rPr>
          <w:rFonts w:cs="Times New Roman"/>
          <w:sz w:val="18"/>
          <w:szCs w:val="18"/>
        </w:rPr>
        <w:t>Å</w:t>
      </w:r>
      <w:r w:rsidR="00B9447F" w:rsidRPr="00BC6787">
        <w:rPr>
          <w:rFonts w:cs="Times New Roman"/>
          <w:sz w:val="18"/>
          <w:szCs w:val="18"/>
          <w:vertAlign w:val="superscript"/>
        </w:rPr>
        <w:t>-1</w:t>
      </w:r>
      <w:r w:rsidR="00B9447F" w:rsidRPr="00BC6787">
        <w:rPr>
          <w:rFonts w:cs="Times New Roman"/>
          <w:sz w:val="18"/>
          <w:szCs w:val="18"/>
        </w:rPr>
        <w:t xml:space="preserve"> </w:t>
      </w:r>
      <w:r w:rsidR="006F519D" w:rsidRPr="00BC6787">
        <w:rPr>
          <w:rFonts w:cs="Times New Roman"/>
          <w:sz w:val="18"/>
          <w:szCs w:val="18"/>
        </w:rPr>
        <w:t>highlighted in red</w:t>
      </w:r>
      <w:r w:rsidR="00C220AF" w:rsidRPr="00BC6787">
        <w:rPr>
          <w:rFonts w:cs="Times New Roman"/>
          <w:sz w:val="18"/>
          <w:szCs w:val="18"/>
        </w:rPr>
        <w:t>.</w:t>
      </w:r>
    </w:p>
    <w:p w14:paraId="291ADB70" w14:textId="33532D50" w:rsidR="00FE38B4" w:rsidRPr="00BC6787" w:rsidRDefault="00614791" w:rsidP="008B74CD">
      <w:pPr>
        <w:ind w:firstLine="720"/>
        <w:rPr>
          <w:rFonts w:cs="Times New Roman"/>
        </w:rPr>
      </w:pPr>
      <w:r w:rsidRPr="00BC6787">
        <w:rPr>
          <w:rFonts w:cs="Times New Roman"/>
        </w:rPr>
        <w:t>To understand the structural change between the original and optimised FFs t</w:t>
      </w:r>
      <w:r w:rsidR="0061049A" w:rsidRPr="00BC6787">
        <w:rPr>
          <w:rFonts w:cs="Times New Roman"/>
        </w:rPr>
        <w:t xml:space="preserve">he change in the </w:t>
      </w:r>
      <w:r w:rsidR="0061049A" w:rsidRPr="00BC6787">
        <w:rPr>
          <w:rFonts w:cs="Times New Roman"/>
          <w:i/>
        </w:rPr>
        <w:t>b</w:t>
      </w:r>
      <w:r w:rsidR="0061049A" w:rsidRPr="00BC6787">
        <w:rPr>
          <w:rFonts w:cs="Times New Roman"/>
          <w:vertAlign w:val="subscript"/>
        </w:rPr>
        <w:t>0</w:t>
      </w:r>
      <w:r w:rsidR="0061049A" w:rsidRPr="00BC6787">
        <w:rPr>
          <w:rFonts w:cs="Times New Roman"/>
        </w:rPr>
        <w:t xml:space="preserve"> parameter</w:t>
      </w:r>
      <w:r w:rsidRPr="00BC6787">
        <w:rPr>
          <w:rFonts w:cs="Times New Roman"/>
        </w:rPr>
        <w:t xml:space="preserve"> can be examined</w:t>
      </w:r>
      <w:r w:rsidR="0061049A" w:rsidRPr="00BC6787">
        <w:rPr>
          <w:rFonts w:cs="Times New Roman"/>
        </w:rPr>
        <w:t>.</w:t>
      </w:r>
      <w:r w:rsidRPr="00BC6787">
        <w:rPr>
          <w:rFonts w:cs="Times New Roman"/>
        </w:rPr>
        <w:t xml:space="preserve"> </w:t>
      </w:r>
      <w:r w:rsidR="001E5B09" w:rsidRPr="00BC6787">
        <w:rPr>
          <w:rFonts w:cs="Times New Roman"/>
        </w:rPr>
        <w:t xml:space="preserve">Furthermore, as the electronic properties of a molecule are highly dependent on its internal structure, such changes will give an indication of how deficient the original FF is in describing the molecular structure. </w:t>
      </w:r>
      <w:r w:rsidR="00BB7633" w:rsidRPr="00BC6787">
        <w:rPr>
          <w:rFonts w:cs="Times New Roman"/>
        </w:rPr>
        <w:t>Firstly, considering</w:t>
      </w:r>
      <w:r w:rsidRPr="00BC6787">
        <w:rPr>
          <w:rFonts w:cs="Times New Roman"/>
        </w:rPr>
        <w:t xml:space="preserve"> </w:t>
      </w:r>
      <w:r w:rsidR="00BB7633" w:rsidRPr="00BC6787">
        <w:rPr>
          <w:rFonts w:cs="Times New Roman"/>
        </w:rPr>
        <w:t xml:space="preserve">the bond length change defined as </w:t>
      </w:r>
      <w:r w:rsidR="00B53A2B" w:rsidRPr="00BC6787">
        <w:rPr>
          <w:rFonts w:cs="Times New Roman"/>
        </w:rPr>
        <w:t>‘</w:t>
      </w:r>
      <w:r w:rsidR="00BB7633" w:rsidRPr="00BC6787">
        <w:rPr>
          <w:rFonts w:cs="Times New Roman"/>
        </w:rPr>
        <w:t>structurally different</w:t>
      </w:r>
      <w:r w:rsidR="00B53A2B" w:rsidRPr="00BC6787">
        <w:rPr>
          <w:rFonts w:cs="Times New Roman"/>
        </w:rPr>
        <w:t>’</w:t>
      </w:r>
      <w:r w:rsidR="009C473A" w:rsidRPr="00BC6787">
        <w:rPr>
          <w:rFonts w:cs="Times New Roman"/>
        </w:rPr>
        <w:t xml:space="preserve"> previously</w:t>
      </w:r>
      <w:r w:rsidR="00BB7633" w:rsidRPr="00BC6787">
        <w:rPr>
          <w:rFonts w:cs="Times New Roman"/>
        </w:rPr>
        <w:t xml:space="preserve"> in this paper (&gt; 0.03 Å), the equilibrium bond parameters with a change of greater than 0.03 Å were identified. </w:t>
      </w:r>
      <w:r w:rsidR="00851A92" w:rsidRPr="00BC6787">
        <w:rPr>
          <w:rFonts w:cs="Times New Roman"/>
        </w:rPr>
        <w:t xml:space="preserve">Next, changes in the bonding structure </w:t>
      </w:r>
      <w:r w:rsidR="001E5B09" w:rsidRPr="00BC6787">
        <w:rPr>
          <w:rFonts w:cs="Times New Roman"/>
        </w:rPr>
        <w:t>were</w:t>
      </w:r>
      <w:r w:rsidR="00851A92" w:rsidRPr="00BC6787">
        <w:rPr>
          <w:rFonts w:cs="Times New Roman"/>
        </w:rPr>
        <w:t xml:space="preserve"> </w:t>
      </w:r>
      <w:r w:rsidR="001E5B09" w:rsidRPr="00BC6787">
        <w:rPr>
          <w:rFonts w:cs="Times New Roman"/>
        </w:rPr>
        <w:t>determined</w:t>
      </w:r>
      <w:r w:rsidR="00851A92" w:rsidRPr="00BC6787">
        <w:rPr>
          <w:rFonts w:cs="Times New Roman"/>
        </w:rPr>
        <w:t xml:space="preserve"> </w:t>
      </w:r>
      <w:r w:rsidR="00851A92" w:rsidRPr="00BC6787">
        <w:rPr>
          <w:rFonts w:cs="Times New Roman"/>
        </w:rPr>
        <w:lastRenderedPageBreak/>
        <w:t>by considering the typical bond lengths for C – C and C – N bond</w:t>
      </w:r>
      <w:r w:rsidR="00B53A2B" w:rsidRPr="00BC6787">
        <w:rPr>
          <w:rFonts w:cs="Times New Roman"/>
        </w:rPr>
        <w:t>ing structures</w:t>
      </w:r>
      <w:r w:rsidR="00851A92" w:rsidRPr="00BC6787">
        <w:rPr>
          <w:rFonts w:cs="Times New Roman"/>
        </w:rPr>
        <w:t xml:space="preserve"> (</w:t>
      </w:r>
      <w:r w:rsidR="00275303" w:rsidRPr="00BC6787">
        <w:rPr>
          <w:rFonts w:cs="Times New Roman"/>
        </w:rPr>
        <w:t>noted</w:t>
      </w:r>
      <w:r w:rsidR="00851A92" w:rsidRPr="00BC6787">
        <w:rPr>
          <w:rFonts w:cs="Times New Roman"/>
        </w:rPr>
        <w:t xml:space="preserve"> in Table 2). </w:t>
      </w:r>
      <w:r w:rsidR="00BB7633" w:rsidRPr="00BC6787">
        <w:rPr>
          <w:rFonts w:cs="Times New Roman"/>
        </w:rPr>
        <w:t>These</w:t>
      </w:r>
      <w:r w:rsidR="00851A92" w:rsidRPr="00BC6787">
        <w:rPr>
          <w:rFonts w:cs="Times New Roman"/>
        </w:rPr>
        <w:t xml:space="preserve"> results</w:t>
      </w:r>
      <w:r w:rsidR="00BB7633" w:rsidRPr="00BC6787">
        <w:rPr>
          <w:rFonts w:cs="Times New Roman"/>
        </w:rPr>
        <w:t xml:space="preserve"> are summarised in Fig. 5, which contains tables for each pigment of the initial by-analogy value (i.e. before they were set equal to those of the optimised structure), </w:t>
      </w:r>
      <w:r w:rsidR="00BB7633" w:rsidRPr="00BC6787">
        <w:rPr>
          <w:rFonts w:cs="Times New Roman"/>
          <w:i/>
        </w:rPr>
        <w:t>b</w:t>
      </w:r>
      <w:r w:rsidR="00BB7633" w:rsidRPr="00BC6787">
        <w:rPr>
          <w:rFonts w:cs="Times New Roman"/>
          <w:i/>
          <w:vertAlign w:val="superscript"/>
        </w:rPr>
        <w:t>i</w:t>
      </w:r>
      <w:r w:rsidR="00BB7633" w:rsidRPr="00BC6787">
        <w:rPr>
          <w:rFonts w:cs="Times New Roman"/>
        </w:rPr>
        <w:t xml:space="preserve">, final value, </w:t>
      </w:r>
      <w:r w:rsidR="00BB7633" w:rsidRPr="00BC6787">
        <w:rPr>
          <w:rFonts w:cs="Times New Roman"/>
          <w:i/>
        </w:rPr>
        <w:t>b</w:t>
      </w:r>
      <w:r w:rsidR="00BB7633" w:rsidRPr="00BC6787">
        <w:rPr>
          <w:rFonts w:cs="Times New Roman"/>
          <w:i/>
          <w:vertAlign w:val="superscript"/>
        </w:rPr>
        <w:t>f</w:t>
      </w:r>
      <w:r w:rsidR="00BB7633" w:rsidRPr="00BC6787">
        <w:rPr>
          <w:rFonts w:cs="Times New Roman"/>
        </w:rPr>
        <w:t xml:space="preserve">, and the overall change, </w:t>
      </w:r>
      <w:proofErr w:type="spellStart"/>
      <w:r w:rsidR="00BB7633" w:rsidRPr="00BC6787">
        <w:rPr>
          <w:rFonts w:cs="Times New Roman"/>
          <w:i/>
        </w:rPr>
        <w:t>b</w:t>
      </w:r>
      <w:r w:rsidR="00BB7633" w:rsidRPr="00BC6787">
        <w:rPr>
          <w:rFonts w:cs="Times New Roman"/>
          <w:i/>
          <w:vertAlign w:val="superscript"/>
        </w:rPr>
        <w:t>change</w:t>
      </w:r>
      <w:proofErr w:type="spellEnd"/>
      <w:r w:rsidR="00BB7633" w:rsidRPr="00BC6787">
        <w:rPr>
          <w:rFonts w:cs="Times New Roman"/>
        </w:rPr>
        <w:t xml:space="preserve">, of the equilibrium bond length, as well as a depiction of </w:t>
      </w:r>
      <w:r w:rsidR="00851A92" w:rsidRPr="00BC6787">
        <w:rPr>
          <w:rFonts w:cs="Times New Roman"/>
        </w:rPr>
        <w:t xml:space="preserve">all </w:t>
      </w:r>
      <w:r w:rsidR="00FE38B4" w:rsidRPr="00BC6787">
        <w:rPr>
          <w:rFonts w:cs="Times New Roman"/>
        </w:rPr>
        <w:t>the</w:t>
      </w:r>
      <w:r w:rsidR="00851A92" w:rsidRPr="00BC6787">
        <w:rPr>
          <w:rFonts w:cs="Times New Roman"/>
        </w:rPr>
        <w:t xml:space="preserve"> bonds in the </w:t>
      </w:r>
      <w:r w:rsidR="00275303" w:rsidRPr="00BC6787">
        <w:rPr>
          <w:rFonts w:cs="Times New Roman"/>
        </w:rPr>
        <w:t>pigment</w:t>
      </w:r>
      <w:r w:rsidR="00851A92" w:rsidRPr="00BC6787">
        <w:rPr>
          <w:rFonts w:cs="Times New Roman"/>
        </w:rPr>
        <w:t xml:space="preserve"> these atom types correspond to</w:t>
      </w:r>
      <w:r w:rsidR="00FE38B4" w:rsidRPr="00BC6787">
        <w:rPr>
          <w:rFonts w:cs="Times New Roman"/>
        </w:rPr>
        <w:t>.</w:t>
      </w:r>
      <w:r w:rsidR="00851A92" w:rsidRPr="00BC6787">
        <w:rPr>
          <w:rFonts w:cs="Times New Roman"/>
        </w:rPr>
        <w:t xml:space="preserve"> The bonds with a change greater than 0.03 Å are highlighted in orange and those with a change in bonding structure are highlighted in red.</w:t>
      </w:r>
      <w:r w:rsidR="009B15D2" w:rsidRPr="00BC6787">
        <w:rPr>
          <w:rFonts w:cs="Times New Roman"/>
        </w:rPr>
        <w:t xml:space="preserve"> In majority of the </w:t>
      </w:r>
      <w:r w:rsidR="009B15D2" w:rsidRPr="00BC6787">
        <w:rPr>
          <w:rFonts w:cs="Times New Roman"/>
          <w:i/>
        </w:rPr>
        <w:t>b</w:t>
      </w:r>
      <w:r w:rsidR="009B15D2" w:rsidRPr="00BC6787">
        <w:rPr>
          <w:rFonts w:cs="Times New Roman"/>
          <w:vertAlign w:val="subscript"/>
        </w:rPr>
        <w:t>0</w:t>
      </w:r>
      <w:r w:rsidR="009B15D2" w:rsidRPr="00BC6787">
        <w:rPr>
          <w:rFonts w:cs="Times New Roman"/>
          <w:i/>
        </w:rPr>
        <w:t xml:space="preserve"> </w:t>
      </w:r>
      <w:r w:rsidR="009B15D2" w:rsidRPr="00BC6787">
        <w:rPr>
          <w:rFonts w:cs="Times New Roman"/>
        </w:rPr>
        <w:t xml:space="preserve">changes in the </w:t>
      </w:r>
      <w:proofErr w:type="spellStart"/>
      <w:r w:rsidR="009B15D2" w:rsidRPr="00BC6787">
        <w:rPr>
          <w:rFonts w:cs="Times New Roman"/>
        </w:rPr>
        <w:t>bcl</w:t>
      </w:r>
      <w:proofErr w:type="spellEnd"/>
      <w:r w:rsidR="009B15D2" w:rsidRPr="00BC6787">
        <w:rPr>
          <w:rFonts w:cs="Times New Roman"/>
        </w:rPr>
        <w:t xml:space="preserve"> FF are decreases, conversely the </w:t>
      </w:r>
      <w:proofErr w:type="spellStart"/>
      <w:r w:rsidR="009B15D2" w:rsidRPr="00BC6787">
        <w:rPr>
          <w:rFonts w:cs="Times New Roman"/>
        </w:rPr>
        <w:t>chl</w:t>
      </w:r>
      <w:proofErr w:type="spellEnd"/>
      <w:r w:rsidR="009B15D2" w:rsidRPr="00BC6787">
        <w:rPr>
          <w:rFonts w:cs="Times New Roman"/>
        </w:rPr>
        <w:t>-b optimised FF</w:t>
      </w:r>
      <w:r w:rsidR="001E5B09" w:rsidRPr="00BC6787">
        <w:rPr>
          <w:rFonts w:cs="Times New Roman"/>
        </w:rPr>
        <w:t xml:space="preserve"> predominantly results in increases in bond lengths and </w:t>
      </w:r>
      <w:proofErr w:type="spellStart"/>
      <w:r w:rsidR="001E5B09" w:rsidRPr="00BC6787">
        <w:rPr>
          <w:rFonts w:cs="Times New Roman"/>
        </w:rPr>
        <w:t>chl</w:t>
      </w:r>
      <w:proofErr w:type="spellEnd"/>
      <w:r w:rsidR="001E5B09" w:rsidRPr="00BC6787">
        <w:rPr>
          <w:rFonts w:cs="Times New Roman"/>
        </w:rPr>
        <w:t xml:space="preserve">-a has a more even </w:t>
      </w:r>
      <w:r w:rsidR="00965EF2" w:rsidRPr="00BC6787">
        <w:rPr>
          <w:rFonts w:cs="Times New Roman"/>
        </w:rPr>
        <w:t>combination</w:t>
      </w:r>
      <w:r w:rsidR="001E5B09" w:rsidRPr="00BC6787">
        <w:rPr>
          <w:rFonts w:cs="Times New Roman"/>
        </w:rPr>
        <w:t xml:space="preserve"> of increases and decreases. This indicates there is no pattern of over- or under- estimation of bond lengths by the </w:t>
      </w:r>
      <w:r w:rsidR="00965EF2" w:rsidRPr="00BC6787">
        <w:rPr>
          <w:rFonts w:cs="Times New Roman"/>
        </w:rPr>
        <w:t>original</w:t>
      </w:r>
      <w:r w:rsidR="001E5B09" w:rsidRPr="00BC6787">
        <w:rPr>
          <w:rFonts w:cs="Times New Roman"/>
        </w:rPr>
        <w:t xml:space="preserve"> FFs in comparison to the ES. </w:t>
      </w:r>
      <w:r w:rsidR="002E360E" w:rsidRPr="00BC6787">
        <w:rPr>
          <w:rFonts w:cs="Times New Roman"/>
        </w:rPr>
        <w:t xml:space="preserve">The greatest number of changes, as well as the changes with greatest magnitude occur in the </w:t>
      </w:r>
      <w:proofErr w:type="spellStart"/>
      <w:r w:rsidR="002E360E" w:rsidRPr="00BC6787">
        <w:rPr>
          <w:rFonts w:cs="Times New Roman"/>
        </w:rPr>
        <w:t>bcl</w:t>
      </w:r>
      <w:proofErr w:type="spellEnd"/>
      <w:r w:rsidR="002E360E" w:rsidRPr="00BC6787">
        <w:rPr>
          <w:rFonts w:cs="Times New Roman"/>
        </w:rPr>
        <w:t xml:space="preserve"> FF. </w:t>
      </w:r>
      <w:r w:rsidR="00965EF2" w:rsidRPr="00BC6787">
        <w:rPr>
          <w:rFonts w:cs="Times New Roman"/>
        </w:rPr>
        <w:t>Contrary</w:t>
      </w:r>
      <w:r w:rsidR="002E360E" w:rsidRPr="00BC6787">
        <w:rPr>
          <w:rFonts w:cs="Times New Roman"/>
        </w:rPr>
        <w:t xml:space="preserve"> to the observation of higher initial objective functions for the </w:t>
      </w:r>
      <w:proofErr w:type="spellStart"/>
      <w:r w:rsidR="002E360E" w:rsidRPr="00BC6787">
        <w:rPr>
          <w:rFonts w:cs="Times New Roman"/>
        </w:rPr>
        <w:t>chls</w:t>
      </w:r>
      <w:proofErr w:type="spellEnd"/>
      <w:r w:rsidR="002E360E" w:rsidRPr="00BC6787">
        <w:rPr>
          <w:rFonts w:cs="Times New Roman"/>
        </w:rPr>
        <w:t xml:space="preserve">, this is </w:t>
      </w:r>
      <w:r w:rsidR="00696268" w:rsidRPr="00BC6787">
        <w:rPr>
          <w:rFonts w:cs="Times New Roman"/>
        </w:rPr>
        <w:t>anticipated</w:t>
      </w:r>
      <w:r w:rsidR="002E360E" w:rsidRPr="00BC6787">
        <w:rPr>
          <w:rFonts w:cs="Times New Roman"/>
        </w:rPr>
        <w:t xml:space="preserve"> as the </w:t>
      </w:r>
      <w:proofErr w:type="spellStart"/>
      <w:r w:rsidR="002E360E" w:rsidRPr="00BC6787">
        <w:rPr>
          <w:rFonts w:cs="Times New Roman"/>
        </w:rPr>
        <w:t>chl</w:t>
      </w:r>
      <w:proofErr w:type="spellEnd"/>
      <w:r w:rsidR="002E360E" w:rsidRPr="00BC6787">
        <w:rPr>
          <w:rFonts w:cs="Times New Roman"/>
        </w:rPr>
        <w:t xml:space="preserve"> FFs from literature would be expected to </w:t>
      </w:r>
      <w:r w:rsidR="005C439A" w:rsidRPr="00BC6787">
        <w:rPr>
          <w:rFonts w:cs="Times New Roman"/>
        </w:rPr>
        <w:t xml:space="preserve">have a somewhat better structural consistency than the purely by-analogy FF of </w:t>
      </w:r>
      <w:proofErr w:type="spellStart"/>
      <w:r w:rsidR="005C439A" w:rsidRPr="00BC6787">
        <w:rPr>
          <w:rFonts w:cs="Times New Roman"/>
        </w:rPr>
        <w:t>bcl</w:t>
      </w:r>
      <w:proofErr w:type="spellEnd"/>
      <w:r w:rsidR="005C439A" w:rsidRPr="00BC6787">
        <w:rPr>
          <w:rFonts w:cs="Times New Roman"/>
        </w:rPr>
        <w:t>.</w:t>
      </w:r>
    </w:p>
    <w:p w14:paraId="77E06CB5" w14:textId="60C7A7E7" w:rsidR="00774B1F" w:rsidRPr="00BC6787" w:rsidRDefault="00774B1F" w:rsidP="00774B1F">
      <w:pPr>
        <w:jc w:val="center"/>
        <w:rPr>
          <w:rFonts w:cs="Times New Roman"/>
          <w:sz w:val="18"/>
        </w:rPr>
      </w:pPr>
      <w:r w:rsidRPr="00BC6787">
        <w:rPr>
          <w:rFonts w:cs="Times New Roman"/>
          <w:b/>
          <w:sz w:val="18"/>
        </w:rPr>
        <w:t xml:space="preserve">Table 2: </w:t>
      </w:r>
      <w:r w:rsidRPr="00BC6787">
        <w:rPr>
          <w:rFonts w:cs="Times New Roman"/>
          <w:sz w:val="18"/>
        </w:rPr>
        <w:t>The typical bond lengths of different bonding structures for C – C and C – N bonds.</w:t>
      </w:r>
    </w:p>
    <w:tbl>
      <w:tblPr>
        <w:tblStyle w:val="TableGrid"/>
        <w:tblW w:w="0" w:type="auto"/>
        <w:jc w:val="center"/>
        <w:tblLook w:val="04A0" w:firstRow="1" w:lastRow="0" w:firstColumn="1" w:lastColumn="0" w:noHBand="0" w:noVBand="1"/>
      </w:tblPr>
      <w:tblGrid>
        <w:gridCol w:w="742"/>
        <w:gridCol w:w="1054"/>
        <w:gridCol w:w="1506"/>
        <w:gridCol w:w="1139"/>
      </w:tblGrid>
      <w:tr w:rsidR="00F85EC3" w:rsidRPr="00BC6787" w14:paraId="3C36E110" w14:textId="77777777" w:rsidTr="00774B1F">
        <w:trPr>
          <w:jc w:val="center"/>
        </w:trPr>
        <w:tc>
          <w:tcPr>
            <w:tcW w:w="0" w:type="auto"/>
            <w:vAlign w:val="center"/>
          </w:tcPr>
          <w:p w14:paraId="59B14EB9" w14:textId="6E2A854E" w:rsidR="00FE38B4" w:rsidRPr="00BC6787" w:rsidRDefault="00FE38B4" w:rsidP="00FE38B4">
            <w:pPr>
              <w:spacing w:line="240" w:lineRule="auto"/>
              <w:jc w:val="center"/>
              <w:rPr>
                <w:rFonts w:cs="Times New Roman"/>
              </w:rPr>
            </w:pPr>
            <w:r w:rsidRPr="00BC6787">
              <w:rPr>
                <w:rFonts w:cs="Times New Roman"/>
              </w:rPr>
              <w:t>Bond</w:t>
            </w:r>
          </w:p>
        </w:tc>
        <w:tc>
          <w:tcPr>
            <w:tcW w:w="0" w:type="auto"/>
            <w:vAlign w:val="center"/>
          </w:tcPr>
          <w:p w14:paraId="0225EF6B" w14:textId="6B23AACB" w:rsidR="00FE38B4" w:rsidRPr="00BC6787" w:rsidRDefault="00FE38B4" w:rsidP="00FE38B4">
            <w:pPr>
              <w:spacing w:line="240" w:lineRule="auto"/>
              <w:jc w:val="center"/>
              <w:rPr>
                <w:rFonts w:cs="Times New Roman"/>
              </w:rPr>
            </w:pPr>
            <w:r w:rsidRPr="00BC6787">
              <w:rPr>
                <w:rFonts w:cs="Times New Roman"/>
              </w:rPr>
              <w:t>Single /Å</w:t>
            </w:r>
          </w:p>
        </w:tc>
        <w:tc>
          <w:tcPr>
            <w:tcW w:w="0" w:type="auto"/>
            <w:vAlign w:val="center"/>
          </w:tcPr>
          <w:p w14:paraId="045E980B" w14:textId="71CD56EC" w:rsidR="00FE38B4" w:rsidRPr="00BC6787" w:rsidRDefault="00FE38B4" w:rsidP="00FE38B4">
            <w:pPr>
              <w:spacing w:line="240" w:lineRule="auto"/>
              <w:jc w:val="center"/>
              <w:rPr>
                <w:rFonts w:cs="Times New Roman"/>
              </w:rPr>
            </w:pPr>
            <w:r w:rsidRPr="00BC6787">
              <w:rPr>
                <w:rFonts w:cs="Times New Roman"/>
              </w:rPr>
              <w:t>Conjugated /Å</w:t>
            </w:r>
          </w:p>
        </w:tc>
        <w:tc>
          <w:tcPr>
            <w:tcW w:w="0" w:type="auto"/>
            <w:vAlign w:val="center"/>
          </w:tcPr>
          <w:p w14:paraId="3BFB8C01" w14:textId="012E5FF3" w:rsidR="00FE38B4" w:rsidRPr="00BC6787" w:rsidRDefault="00FE38B4" w:rsidP="00FE38B4">
            <w:pPr>
              <w:spacing w:line="240" w:lineRule="auto"/>
              <w:jc w:val="center"/>
              <w:rPr>
                <w:rFonts w:cs="Times New Roman"/>
              </w:rPr>
            </w:pPr>
            <w:r w:rsidRPr="00BC6787">
              <w:rPr>
                <w:rFonts w:cs="Times New Roman"/>
              </w:rPr>
              <w:t>Double /Å</w:t>
            </w:r>
          </w:p>
        </w:tc>
      </w:tr>
      <w:tr w:rsidR="00F85EC3" w:rsidRPr="00BC6787" w14:paraId="5BA1E4F0" w14:textId="77777777" w:rsidTr="00774B1F">
        <w:trPr>
          <w:jc w:val="center"/>
        </w:trPr>
        <w:tc>
          <w:tcPr>
            <w:tcW w:w="0" w:type="auto"/>
            <w:vAlign w:val="center"/>
          </w:tcPr>
          <w:p w14:paraId="20650426" w14:textId="0ADCF262" w:rsidR="00FE38B4" w:rsidRPr="00BC6787" w:rsidRDefault="00FE38B4" w:rsidP="00FE38B4">
            <w:pPr>
              <w:spacing w:line="240" w:lineRule="auto"/>
              <w:jc w:val="right"/>
              <w:rPr>
                <w:rFonts w:cs="Times New Roman"/>
              </w:rPr>
            </w:pPr>
            <w:r w:rsidRPr="00BC6787">
              <w:rPr>
                <w:rFonts w:cs="Times New Roman"/>
              </w:rPr>
              <w:t xml:space="preserve">C – C </w:t>
            </w:r>
          </w:p>
        </w:tc>
        <w:tc>
          <w:tcPr>
            <w:tcW w:w="0" w:type="auto"/>
            <w:vAlign w:val="center"/>
          </w:tcPr>
          <w:p w14:paraId="5E5CD768" w14:textId="56CEA4A1" w:rsidR="00FE38B4" w:rsidRPr="00BC6787" w:rsidRDefault="00FE38B4" w:rsidP="00FE38B4">
            <w:pPr>
              <w:spacing w:line="240" w:lineRule="auto"/>
              <w:jc w:val="center"/>
              <w:rPr>
                <w:rFonts w:cs="Times New Roman"/>
              </w:rPr>
            </w:pPr>
            <w:r w:rsidRPr="00BC6787">
              <w:rPr>
                <w:rFonts w:cs="Times New Roman"/>
              </w:rPr>
              <w:t>1.54</w:t>
            </w:r>
          </w:p>
        </w:tc>
        <w:tc>
          <w:tcPr>
            <w:tcW w:w="0" w:type="auto"/>
            <w:vAlign w:val="center"/>
          </w:tcPr>
          <w:p w14:paraId="2AC09410" w14:textId="360F510E" w:rsidR="00FE38B4" w:rsidRPr="00BC6787" w:rsidRDefault="00FE38B4" w:rsidP="00FE38B4">
            <w:pPr>
              <w:spacing w:line="240" w:lineRule="auto"/>
              <w:jc w:val="center"/>
              <w:rPr>
                <w:rFonts w:cs="Times New Roman"/>
              </w:rPr>
            </w:pPr>
            <w:r w:rsidRPr="00BC6787">
              <w:rPr>
                <w:rFonts w:cs="Times New Roman"/>
              </w:rPr>
              <w:t>1.40</w:t>
            </w:r>
          </w:p>
        </w:tc>
        <w:tc>
          <w:tcPr>
            <w:tcW w:w="0" w:type="auto"/>
            <w:vAlign w:val="center"/>
          </w:tcPr>
          <w:p w14:paraId="38FCF724" w14:textId="47AE83F7" w:rsidR="00FE38B4" w:rsidRPr="00BC6787" w:rsidRDefault="00FE38B4" w:rsidP="00FE38B4">
            <w:pPr>
              <w:spacing w:line="240" w:lineRule="auto"/>
              <w:jc w:val="center"/>
              <w:rPr>
                <w:rFonts w:cs="Times New Roman"/>
              </w:rPr>
            </w:pPr>
            <w:r w:rsidRPr="00BC6787">
              <w:rPr>
                <w:rFonts w:cs="Times New Roman"/>
              </w:rPr>
              <w:t>1.35</w:t>
            </w:r>
          </w:p>
        </w:tc>
      </w:tr>
      <w:tr w:rsidR="00F85EC3" w:rsidRPr="00BC6787" w14:paraId="6D0023A6" w14:textId="77777777" w:rsidTr="00774B1F">
        <w:trPr>
          <w:jc w:val="center"/>
        </w:trPr>
        <w:tc>
          <w:tcPr>
            <w:tcW w:w="0" w:type="auto"/>
            <w:vAlign w:val="center"/>
          </w:tcPr>
          <w:p w14:paraId="6CD8A240" w14:textId="569686B7" w:rsidR="00FE38B4" w:rsidRPr="00BC6787" w:rsidRDefault="00FE38B4" w:rsidP="00FE38B4">
            <w:pPr>
              <w:spacing w:line="240" w:lineRule="auto"/>
              <w:jc w:val="right"/>
              <w:rPr>
                <w:rFonts w:cs="Times New Roman"/>
              </w:rPr>
            </w:pPr>
            <w:r w:rsidRPr="00BC6787">
              <w:rPr>
                <w:rFonts w:cs="Times New Roman"/>
              </w:rPr>
              <w:t xml:space="preserve">C – N </w:t>
            </w:r>
          </w:p>
        </w:tc>
        <w:tc>
          <w:tcPr>
            <w:tcW w:w="0" w:type="auto"/>
            <w:vAlign w:val="center"/>
          </w:tcPr>
          <w:p w14:paraId="4DD57400" w14:textId="00E5DAE0" w:rsidR="00FE38B4" w:rsidRPr="00BC6787" w:rsidRDefault="00FE38B4" w:rsidP="00FE38B4">
            <w:pPr>
              <w:spacing w:line="240" w:lineRule="auto"/>
              <w:jc w:val="center"/>
              <w:rPr>
                <w:rFonts w:cs="Times New Roman"/>
              </w:rPr>
            </w:pPr>
            <w:r w:rsidRPr="00BC6787">
              <w:rPr>
                <w:rFonts w:cs="Times New Roman"/>
              </w:rPr>
              <w:t>1.47</w:t>
            </w:r>
          </w:p>
        </w:tc>
        <w:tc>
          <w:tcPr>
            <w:tcW w:w="0" w:type="auto"/>
            <w:vAlign w:val="center"/>
          </w:tcPr>
          <w:p w14:paraId="10CFFC7E" w14:textId="0E425C9F" w:rsidR="00FE38B4" w:rsidRPr="00BC6787" w:rsidRDefault="00FE38B4" w:rsidP="00FE38B4">
            <w:pPr>
              <w:spacing w:line="240" w:lineRule="auto"/>
              <w:jc w:val="center"/>
              <w:rPr>
                <w:rFonts w:cs="Times New Roman"/>
              </w:rPr>
            </w:pPr>
            <w:r w:rsidRPr="00BC6787">
              <w:rPr>
                <w:rFonts w:cs="Times New Roman"/>
              </w:rPr>
              <w:t>1.34</w:t>
            </w:r>
          </w:p>
        </w:tc>
        <w:tc>
          <w:tcPr>
            <w:tcW w:w="0" w:type="auto"/>
            <w:vAlign w:val="center"/>
          </w:tcPr>
          <w:p w14:paraId="1616351C" w14:textId="34806ED7" w:rsidR="00FE38B4" w:rsidRPr="00BC6787" w:rsidRDefault="00FE38B4" w:rsidP="00FE38B4">
            <w:pPr>
              <w:spacing w:line="240" w:lineRule="auto"/>
              <w:jc w:val="center"/>
              <w:rPr>
                <w:rFonts w:cs="Times New Roman"/>
              </w:rPr>
            </w:pPr>
            <w:r w:rsidRPr="00BC6787">
              <w:rPr>
                <w:rFonts w:cs="Times New Roman"/>
              </w:rPr>
              <w:t>1.25</w:t>
            </w:r>
          </w:p>
        </w:tc>
      </w:tr>
    </w:tbl>
    <w:p w14:paraId="22CF591C" w14:textId="2DB87B51" w:rsidR="009D6AF7" w:rsidRPr="00BC6787" w:rsidRDefault="00FE38B4" w:rsidP="00C1156F">
      <w:pPr>
        <w:spacing w:before="240"/>
        <w:rPr>
          <w:rFonts w:cs="Times New Roman"/>
        </w:rPr>
      </w:pPr>
      <w:r w:rsidRPr="00BC6787">
        <w:rPr>
          <w:rFonts w:cs="Times New Roman"/>
        </w:rPr>
        <w:t xml:space="preserve">  </w:t>
      </w:r>
      <w:r w:rsidR="00C1156F" w:rsidRPr="00BC6787">
        <w:rPr>
          <w:rFonts w:cs="Times New Roman"/>
        </w:rPr>
        <w:tab/>
      </w:r>
      <w:r w:rsidR="002027C3" w:rsidRPr="00BC6787">
        <w:rPr>
          <w:rFonts w:cs="Times New Roman"/>
        </w:rPr>
        <w:t>T</w:t>
      </w:r>
      <w:r w:rsidR="009D6AF7" w:rsidRPr="00BC6787">
        <w:rPr>
          <w:rFonts w:cs="Times New Roman"/>
        </w:rPr>
        <w:t xml:space="preserve">o briefly illustrate the possible effects of this revised force field on the exciton physics, the spectral densities of each pigment were computed with the original and optimised FFs as outlined in the methods section. The results are depicted in Fig. 6. It has previously been shown that the existence of an intramolecular vibrational mode that is quasi-resonant with transition energy increases transport efficiency in PPCs, through </w:t>
      </w:r>
      <w:proofErr w:type="spellStart"/>
      <w:r w:rsidR="009D6AF7" w:rsidRPr="00BC6787">
        <w:rPr>
          <w:rFonts w:cs="Times New Roman"/>
        </w:rPr>
        <w:t>vibronic</w:t>
      </w:r>
      <w:proofErr w:type="spellEnd"/>
      <w:r w:rsidR="009D6AF7" w:rsidRPr="00BC6787">
        <w:rPr>
          <w:rFonts w:cs="Times New Roman"/>
        </w:rPr>
        <w:t xml:space="preserve"> coupling.</w:t>
      </w:r>
      <w:r w:rsidR="009D6AF7" w:rsidRPr="00BC6787">
        <w:rPr>
          <w:rFonts w:cs="Times New Roman"/>
        </w:rPr>
        <w:fldChar w:fldCharType="begin" w:fldLock="1"/>
      </w:r>
      <w:r w:rsidR="000C038E">
        <w:rPr>
          <w:rFonts w:cs="Times New Roman"/>
        </w:rPr>
        <w:instrText>ADDIN CSL_CITATION {"citationItems":[{"id":"ITEM-1","itemData":{"DOI":"10.1063/1.4976558","abstract":"It has been reported in recent years that vibronic resonance between vibrational energy of the intramolecular nuclear mode and excitation-energy difference is crucial to enhance excitation energy transport in light harvesting proteins. Here we investigate how vibronic enhancement induced by vibronic resonance is influenced by the details of local and non-local exciton-phonon interactions. We study a heterodimer model with parameters relevant to the light-harvesting proteins with the surrogate Hamiltonian quantum dynamics method in a vibronic basis. In addition, the impact of field-driven excitation on the efficiency of population transfer is compared with the instantaneous excitation, and the effect of multi-mode vibronic coupling is presented in comparison with the cou-pling to a single effective vibrational mode. We find that vibronic enhancement of site population transfer is strongly suppressed with the increase of non-local exciton-phonon interaction and increas-ing the number of strongly coupled high-frequency vibrational modes leads to a further decrease in vibronic enhancement. Our results indicate that vibronic enhancement is present but may be much smaller than previously thought and therefore care needs to be taken when interpreting its role in excitation energy transport. Our results also suggest that non-local exciton-phonon coupling, which is related to the fluctuation of the excitonic coupling, may be as important as local exciton-phonon coupling and should be included in any quantum dynamics model. Published by AIP Publishing.","author":[{"dropping-particle":"","family":"Lee","given":"Myeong H","non-dropping-particle":"","parse-names":false,"suffix":""},{"dropping-particle":"","family":"Troisi","given":"Alessandro","non-dropping-particle":"","parse-names":false,"suffix":""}],"container-title":"The Journal of Chemical Physics","id":"ITEM-1","issue":"7","issued":{"date-parts":[["2017"]]},"page":"174703-174704","title":"Vibronic enhancement of excitation energy transport: Interplay between local and non-local exciton-phonon interactions","type":"article-journal","volume":"146"},"uris":["http://www.mendeley.com/documents/?uuid=99965805-9377-3bdc-8c1c-d50927ddf9ac"]}],"mendeley":{"formattedCitation":"&lt;sup&gt;68&lt;/sup&gt;","plainTextFormattedCitation":"68","previouslyFormattedCitation":"&lt;sup&gt;68&lt;/sup&gt;"},"properties":{"noteIndex":0},"schema":"https://github.com/citation-style-language/schema/raw/master/csl-citation.json"}</w:instrText>
      </w:r>
      <w:r w:rsidR="009D6AF7" w:rsidRPr="00BC6787">
        <w:rPr>
          <w:rFonts w:cs="Times New Roman"/>
        </w:rPr>
        <w:fldChar w:fldCharType="separate"/>
      </w:r>
      <w:r w:rsidR="00912E63" w:rsidRPr="00912E63">
        <w:rPr>
          <w:rFonts w:cs="Times New Roman"/>
          <w:noProof/>
          <w:vertAlign w:val="superscript"/>
        </w:rPr>
        <w:t>68</w:t>
      </w:r>
      <w:r w:rsidR="009D6AF7" w:rsidRPr="00BC6787">
        <w:rPr>
          <w:rFonts w:cs="Times New Roman"/>
        </w:rPr>
        <w:fldChar w:fldCharType="end"/>
      </w:r>
      <w:r w:rsidR="009D6AF7" w:rsidRPr="00BC6787">
        <w:rPr>
          <w:rFonts w:cs="Times New Roman"/>
        </w:rPr>
        <w:t xml:space="preserve"> As these optimised FFs generate more consistent structures, the differences in the high frequency part of the spectral density become especially important as they may correspond to intramolecular vibrations capable of improving transport efficiency through </w:t>
      </w:r>
      <w:proofErr w:type="spellStart"/>
      <w:r w:rsidR="009D6AF7" w:rsidRPr="00BC6787">
        <w:rPr>
          <w:rFonts w:cs="Times New Roman"/>
        </w:rPr>
        <w:t>vibronic</w:t>
      </w:r>
      <w:proofErr w:type="spellEnd"/>
      <w:r w:rsidR="009D6AF7" w:rsidRPr="00BC6787">
        <w:rPr>
          <w:rFonts w:cs="Times New Roman"/>
        </w:rPr>
        <w:t xml:space="preserve"> coupling. Whilst other work has shown that no such vibrations are present in FMO,</w:t>
      </w:r>
      <w:r w:rsidR="009D6AF7" w:rsidRPr="00BC6787">
        <w:rPr>
          <w:rFonts w:cs="Times New Roman"/>
        </w:rPr>
        <w:fldChar w:fldCharType="begin" w:fldLock="1"/>
      </w:r>
      <w:r w:rsidR="000C038E">
        <w:rPr>
          <w:rFonts w:cs="Times New Roman"/>
        </w:rPr>
        <w:instrText>ADDIN CSL_CITATION {"citationItems":[{"id":"ITEM-1","itemData":{"DOI":"10.1021/acs.jpcb.7b08020","abstract":"In this paper, we adopt an approach suitable for monitoring the time evolution of the intramolecular contribution to the spectral density of a set of identical chromophores embedded in their respective environments. We apply the proposed method to the Fenna−Matthews− Olson (FMO) complex, with the objective to quantify the differences among site-dependent spectral densities and the impact of such differences on the exciton dynamics of the system. Our approach takes advantage of the vertical gradient approximation to reduce the computational demands of the normal modes analysis. We show that the region of the spectral density that is believed to strongly influence the exciton dynamics changes significantly in the timescale of tens of nanoseconds. We then studied the impact of the intramolecular vibrations on the exciton dynamics by considering a model of FMO in a vibronic basis and neglecting the interaction with the environment to isolate the role of the intramolecular exciton-vibration coupling. In agreement with the assumptions in the literature, we demonstrate that high frequency modes at energy much larger than the excitonic energy splitting have negligible influence on exciton dynamics despite the large exciton−vibration coupling. We also find that the impact of including the site-dependent spectral densities on exciton dynamics is not very significant, indicating that it may be acceptable to apply the same spectral density on all sites. However, care needs to be taken for the description of the exciton−vibrational coupling in the low frequency part of intramolecular modes because exciton dynamics is more susceptible to low frequency modes despite their small Huang−Rhys factors.","author":[{"dropping-particle":"","family":"Padula","given":"Daniele","non-dropping-particle":"","parse-names":false,"suffix":""},{"dropping-particle":"","family":"Lee","given":"Myeong H","non-dropping-particle":"","parse-names":false,"suffix":""},{"dropping-particle":"","family":"Claridge","given":"Kirsten","non-dropping-particle":"","parse-names":false,"suffix":""},{"dropping-particle":"","family":"Troisi","given":"Alessandro","non-dropping-particle":"","parse-names":false,"suffix":""}],"container-title":"The Journal of Physical Chemistry B","id":"ITEM-1","issue":"43","issued":{"date-parts":[["2017"]]},"page":"10026-10035","title":"Chromophore-Dependent Intramolecular Exciton−Vibrational Coupling in the FMO Complex: Quantification and Importance for Exciton Dynamics","type":"article-journal","volume":"121"},"uris":["http://www.mendeley.com/documents/?uuid=2c35084c-20e4-33ca-a374-b37fac09744f"]}],"mendeley":{"formattedCitation":"&lt;sup&gt;43&lt;/sup&gt;","plainTextFormattedCitation":"43","previouslyFormattedCitation":"&lt;sup&gt;43&lt;/sup&gt;"},"properties":{"noteIndex":0},"schema":"https://github.com/citation-style-language/schema/raw/master/csl-citation.json"}</w:instrText>
      </w:r>
      <w:r w:rsidR="009D6AF7" w:rsidRPr="00BC6787">
        <w:rPr>
          <w:rFonts w:cs="Times New Roman"/>
        </w:rPr>
        <w:fldChar w:fldCharType="separate"/>
      </w:r>
      <w:r w:rsidR="00912E63" w:rsidRPr="00912E63">
        <w:rPr>
          <w:rFonts w:cs="Times New Roman"/>
          <w:noProof/>
          <w:vertAlign w:val="superscript"/>
        </w:rPr>
        <w:t>43</w:t>
      </w:r>
      <w:r w:rsidR="009D6AF7" w:rsidRPr="00BC6787">
        <w:rPr>
          <w:rFonts w:cs="Times New Roman"/>
        </w:rPr>
        <w:fldChar w:fldCharType="end"/>
      </w:r>
      <w:r w:rsidR="009D6AF7" w:rsidRPr="00BC6787">
        <w:rPr>
          <w:rFonts w:cs="Times New Roman"/>
        </w:rPr>
        <w:t xml:space="preserve"> a quasi-resonant vibration has been found in the phycoerythrin PPC: PE545.</w:t>
      </w:r>
      <w:r w:rsidR="009D6AF7" w:rsidRPr="00BC6787">
        <w:rPr>
          <w:rFonts w:cs="Times New Roman"/>
        </w:rPr>
        <w:fldChar w:fldCharType="begin" w:fldLock="1"/>
      </w:r>
      <w:r w:rsidR="000C038E">
        <w:rPr>
          <w:rFonts w:cs="Times New Roman"/>
        </w:rPr>
        <w:instrText>ADDIN CSL_CITATION {"citationItems":[{"id":"ITEM-1","itemData":{"DOI":"10.1063/1.4932307doi.org/10.1063/1.4764100","abstract":"The influence of fast vibrations on energy transfer and conversion in natural molecular aggregates is an issue of central interest. This article shows the important role of high-energy quantized vibrations and their non-equilibrium dynamics for energy transfer in photosynthetic systems with highly local-ized excitonic states. We consider the cryptophyte antennae protein phycoerythrin 545 and show that coupling to quantized vibrations, which are quasi-resonant with excitonic transitions is fundamental for biological function as it generates non-cascaded transport with rapid and wider spatial distribution of excitation energy. Our work also indicates that the non-equilibrium dynamics of such vibrations can manifest itself in ultrafast beating of both excitonic populations and coherences at room tem-perature, with time scales in agreement with those reported in experiments. Moreover, we show that mechanisms supporting coherent excitonic dynamics assist coupling to selected modes that channel energy to preferential sites in the complex. We therefore argue that, in the presence of strong cou-pling between electronic excitations and quantized vibrations, a concrete and important advantage of quantum coherent dynamics is precisely to tune resonances that promote fast and effective energy distribution.","author":[{"dropping-particle":"","family":"Kolli","given":"Avinash","non-dropping-particle":"","parse-names":false,"suffix":""},{"dropping-particle":"","family":"O'Reilly","given":"Edward J","non-dropping-particle":"","parse-names":false,"suffix":""},{"dropping-particle":"","family":"Scholes","given":"Gregory D","non-dropping-particle":"","parse-names":false,"suffix":""},{"dropping-particle":"","family":"Olaya-Castro","given":"Alexandra","non-dropping-particle":"","parse-names":false,"suffix":""}],"container-title":"The Journal of Chemical Physics","id":"ITEM-1","issue":"17","issued":{"date-parts":[["2012"]]},"page":"174109-235102","title":"The fundamental role of quantized vibrations in coherent light harvesting by cryptophyte algae","type":"article-journal","volume":"137"},"uris":["http://www.mendeley.com/documents/?uuid=f9b5be98-f2cc-38a1-adbf-6a14f20fbe60"]}],"mendeley":{"formattedCitation":"&lt;sup&gt;69&lt;/sup&gt;","plainTextFormattedCitation":"69","previouslyFormattedCitation":"&lt;sup&gt;69&lt;/sup&gt;"},"properties":{"noteIndex":0},"schema":"https://github.com/citation-style-language/schema/raw/master/csl-citation.json"}</w:instrText>
      </w:r>
      <w:r w:rsidR="009D6AF7" w:rsidRPr="00BC6787">
        <w:rPr>
          <w:rFonts w:cs="Times New Roman"/>
        </w:rPr>
        <w:fldChar w:fldCharType="separate"/>
      </w:r>
      <w:r w:rsidR="00912E63" w:rsidRPr="00912E63">
        <w:rPr>
          <w:rFonts w:cs="Times New Roman"/>
          <w:noProof/>
          <w:vertAlign w:val="superscript"/>
        </w:rPr>
        <w:t>69</w:t>
      </w:r>
      <w:r w:rsidR="009D6AF7" w:rsidRPr="00BC6787">
        <w:rPr>
          <w:rFonts w:cs="Times New Roman"/>
        </w:rPr>
        <w:fldChar w:fldCharType="end"/>
      </w:r>
      <w:r w:rsidR="009D6AF7" w:rsidRPr="00BC6787">
        <w:rPr>
          <w:rFonts w:cs="Times New Roman"/>
        </w:rPr>
        <w:t xml:space="preserve"> Thus, for PPCs for which it is unknown if an intramolecular vibration capable of </w:t>
      </w:r>
      <w:proofErr w:type="spellStart"/>
      <w:r w:rsidR="009D6AF7" w:rsidRPr="00BC6787">
        <w:rPr>
          <w:rFonts w:cs="Times New Roman"/>
        </w:rPr>
        <w:t>vibronic</w:t>
      </w:r>
      <w:proofErr w:type="spellEnd"/>
      <w:r w:rsidR="009D6AF7" w:rsidRPr="00BC6787">
        <w:rPr>
          <w:rFonts w:cs="Times New Roman"/>
        </w:rPr>
        <w:t xml:space="preserve"> enhancement exists, the differences due to the optimised FF, particularly in the high frequency (&gt; 500 cm</w:t>
      </w:r>
      <w:r w:rsidR="009D6AF7" w:rsidRPr="00BC6787">
        <w:rPr>
          <w:rFonts w:cs="Times New Roman"/>
          <w:vertAlign w:val="superscript"/>
        </w:rPr>
        <w:t>-1</w:t>
      </w:r>
      <w:r w:rsidR="009D6AF7" w:rsidRPr="00BC6787">
        <w:rPr>
          <w:rFonts w:cs="Times New Roman"/>
        </w:rPr>
        <w:t>) region, are especially important.</w:t>
      </w:r>
      <w:r w:rsidR="0000601D" w:rsidRPr="00BC6787">
        <w:rPr>
          <w:rFonts w:cs="Times New Roman"/>
        </w:rPr>
        <w:t xml:space="preserve"> </w:t>
      </w:r>
      <w:r w:rsidR="009D6AF7" w:rsidRPr="00BC6787">
        <w:rPr>
          <w:rFonts w:cs="Times New Roman"/>
        </w:rPr>
        <w:t xml:space="preserve">From the spectral density the reorganisation energy, </w:t>
      </w:r>
      <w:r w:rsidR="009D6AF7" w:rsidRPr="00BC6787">
        <w:rPr>
          <w:rFonts w:ascii="Calibri" w:hAnsi="Calibri" w:cs="Calibri"/>
          <w:i/>
        </w:rPr>
        <w:t>λ</w:t>
      </w:r>
      <w:r w:rsidR="009D6AF7" w:rsidRPr="00BC6787">
        <w:rPr>
          <w:rFonts w:cs="Times New Roman"/>
        </w:rPr>
        <w:t>, can be calculated via:</w:t>
      </w:r>
    </w:p>
    <w:p w14:paraId="079A5E51" w14:textId="4329982D" w:rsidR="009D6AF7" w:rsidRPr="00BC6787" w:rsidRDefault="009D6AF7" w:rsidP="009D6AF7">
      <w:pPr>
        <w:pStyle w:val="MTDisplayEquation"/>
      </w:pPr>
      <w:r w:rsidRPr="00BC6787">
        <w:tab/>
      </w:r>
      <w:r w:rsidR="00FE6048" w:rsidRPr="00BC6787">
        <w:rPr>
          <w:position w:val="-28"/>
        </w:rPr>
        <w:object w:dxaOrig="1620" w:dyaOrig="680" w14:anchorId="70792AFD">
          <v:shape id="_x0000_i1043" type="#_x0000_t75" style="width:79.5pt;height:36pt" o:ole="">
            <v:imagedata r:id="rId49" o:title=""/>
          </v:shape>
          <o:OLEObject Type="Embed" ProgID="Equation.DSMT4" ShapeID="_x0000_i1043" DrawAspect="Content" ObjectID="_1606308037" r:id="rId50"/>
        </w:object>
      </w:r>
      <w:r w:rsidRPr="00BC6787">
        <w:t xml:space="preserve"> </w:t>
      </w:r>
      <w:r w:rsidRPr="00BC6787">
        <w:tab/>
      </w:r>
      <w:r w:rsidRPr="00BC6787">
        <w:fldChar w:fldCharType="begin"/>
      </w:r>
      <w:r w:rsidRPr="00BC6787">
        <w:instrText xml:space="preserve"> MACROBUTTON MTPlaceRef \* MERGEFORMAT </w:instrText>
      </w:r>
      <w:r w:rsidRPr="00BC6787">
        <w:fldChar w:fldCharType="begin"/>
      </w:r>
      <w:r w:rsidRPr="00BC6787">
        <w:instrText xml:space="preserve"> SEQ MTEqn \h \* MERGEFORMAT </w:instrText>
      </w:r>
      <w:r w:rsidRPr="00BC6787">
        <w:fldChar w:fldCharType="end"/>
      </w:r>
      <w:r w:rsidRPr="00BC6787">
        <w:instrText>(</w:instrText>
      </w:r>
      <w:r w:rsidRPr="00BC6787">
        <w:rPr>
          <w:noProof/>
        </w:rPr>
        <w:fldChar w:fldCharType="begin"/>
      </w:r>
      <w:r w:rsidRPr="00BC6787">
        <w:rPr>
          <w:noProof/>
        </w:rPr>
        <w:instrText xml:space="preserve"> SEQ MTEqn \c \* Arabic \* MERGEFORMAT </w:instrText>
      </w:r>
      <w:r w:rsidRPr="00BC6787">
        <w:rPr>
          <w:noProof/>
        </w:rPr>
        <w:fldChar w:fldCharType="separate"/>
      </w:r>
      <w:r w:rsidRPr="00BC6787">
        <w:rPr>
          <w:noProof/>
        </w:rPr>
        <w:instrText>10</w:instrText>
      </w:r>
      <w:r w:rsidRPr="00BC6787">
        <w:rPr>
          <w:noProof/>
        </w:rPr>
        <w:fldChar w:fldCharType="end"/>
      </w:r>
      <w:r w:rsidRPr="00BC6787">
        <w:instrText>)</w:instrText>
      </w:r>
      <w:r w:rsidRPr="00BC6787">
        <w:fldChar w:fldCharType="end"/>
      </w:r>
    </w:p>
    <w:p w14:paraId="27E3A2E8" w14:textId="4C3DD2F1" w:rsidR="00F3776C" w:rsidRPr="00BC6787" w:rsidRDefault="009D6AF7" w:rsidP="00F73C18">
      <w:r w:rsidRPr="00BC6787">
        <w:t xml:space="preserve">For each pigment these are reported in Table 3, for the original FF, </w:t>
      </w:r>
      <w:proofErr w:type="spellStart"/>
      <w:r w:rsidRPr="00BC6787">
        <w:rPr>
          <w:rFonts w:ascii="Calibri" w:hAnsi="Calibri" w:cs="Calibri"/>
          <w:i/>
        </w:rPr>
        <w:t>λ</w:t>
      </w:r>
      <w:r w:rsidRPr="00BC6787">
        <w:rPr>
          <w:i/>
          <w:vertAlign w:val="subscript"/>
        </w:rPr>
        <w:t>original</w:t>
      </w:r>
      <w:proofErr w:type="spellEnd"/>
      <w:r w:rsidRPr="00BC6787">
        <w:t xml:space="preserve">, and optimised FF, </w:t>
      </w:r>
      <w:proofErr w:type="spellStart"/>
      <w:r w:rsidRPr="00BC6787">
        <w:rPr>
          <w:rFonts w:ascii="Calibri" w:hAnsi="Calibri" w:cs="Calibri"/>
          <w:i/>
        </w:rPr>
        <w:t>λ</w:t>
      </w:r>
      <w:r w:rsidRPr="00BC6787">
        <w:rPr>
          <w:i/>
          <w:vertAlign w:val="subscript"/>
        </w:rPr>
        <w:t>optimised</w:t>
      </w:r>
      <w:proofErr w:type="spellEnd"/>
      <w:r w:rsidRPr="00BC6787">
        <w:t xml:space="preserve">. The reorganisation energy is often used as a measure of the ‘total strength’ of the pigment-protein interaction; the reorganisation energies of all 3 pigments are lower with the optimised FF, suggesting </w:t>
      </w:r>
      <w:r w:rsidR="00F73C18" w:rsidRPr="00BC6787">
        <w:br/>
      </w:r>
      <w:r w:rsidR="00F3776C" w:rsidRPr="00BC6787">
        <w:br w:type="page"/>
      </w:r>
    </w:p>
    <w:tbl>
      <w:tblPr>
        <w:tblStyle w:val="TableGrid"/>
        <w:tblW w:w="9034" w:type="dxa"/>
        <w:tblLook w:val="04A0" w:firstRow="1" w:lastRow="0" w:firstColumn="1" w:lastColumn="0" w:noHBand="0" w:noVBand="1"/>
      </w:tblPr>
      <w:tblGrid>
        <w:gridCol w:w="1471"/>
        <w:gridCol w:w="30"/>
        <w:gridCol w:w="808"/>
        <w:gridCol w:w="30"/>
        <w:gridCol w:w="809"/>
        <w:gridCol w:w="28"/>
        <w:gridCol w:w="1090"/>
        <w:gridCol w:w="24"/>
        <w:gridCol w:w="4707"/>
        <w:gridCol w:w="37"/>
      </w:tblGrid>
      <w:tr w:rsidR="00F85EC3" w:rsidRPr="00BC6787" w14:paraId="542C9E14" w14:textId="77777777" w:rsidTr="009C460F">
        <w:trPr>
          <w:gridAfter w:val="1"/>
          <w:wAfter w:w="37" w:type="dxa"/>
          <w:trHeight w:val="283"/>
        </w:trPr>
        <w:tc>
          <w:tcPr>
            <w:tcW w:w="4266" w:type="dxa"/>
            <w:gridSpan w:val="7"/>
            <w:tcBorders>
              <w:bottom w:val="single" w:sz="4" w:space="0" w:color="auto"/>
            </w:tcBorders>
            <w:vAlign w:val="center"/>
          </w:tcPr>
          <w:p w14:paraId="44B56765" w14:textId="77777777" w:rsidR="00F3776C" w:rsidRPr="00BC6787" w:rsidRDefault="00F3776C" w:rsidP="009C460F">
            <w:pPr>
              <w:spacing w:line="240" w:lineRule="auto"/>
              <w:jc w:val="left"/>
              <w:rPr>
                <w:rFonts w:cs="Times New Roman"/>
                <w:b/>
                <w:noProof/>
                <w:sz w:val="18"/>
              </w:rPr>
            </w:pPr>
            <w:r w:rsidRPr="00BC6787">
              <w:rPr>
                <w:rFonts w:cs="Times New Roman"/>
                <w:b/>
                <w:noProof/>
              </w:rPr>
              <w:lastRenderedPageBreak/>
              <w:t>Bcl</w:t>
            </w:r>
          </w:p>
        </w:tc>
        <w:tc>
          <w:tcPr>
            <w:tcW w:w="4731" w:type="dxa"/>
            <w:gridSpan w:val="2"/>
            <w:vMerge w:val="restart"/>
            <w:tcBorders>
              <w:top w:val="nil"/>
              <w:right w:val="nil"/>
            </w:tcBorders>
            <w:vAlign w:val="center"/>
          </w:tcPr>
          <w:p w14:paraId="7E4C6787" w14:textId="77777777" w:rsidR="00F3776C" w:rsidRPr="00BC6787" w:rsidRDefault="00F3776C" w:rsidP="009C460F">
            <w:pPr>
              <w:spacing w:line="240" w:lineRule="auto"/>
              <w:jc w:val="center"/>
              <w:rPr>
                <w:rFonts w:cs="Times New Roman"/>
                <w:noProof/>
                <w:sz w:val="18"/>
              </w:rPr>
            </w:pPr>
            <w:r w:rsidRPr="00BC6787">
              <w:rPr>
                <w:rFonts w:cs="Times New Roman"/>
                <w:noProof/>
                <w:sz w:val="18"/>
                <w:lang w:eastAsia="en-GB"/>
              </w:rPr>
              <w:drawing>
                <wp:inline distT="0" distB="0" distL="0" distR="0" wp14:anchorId="6F50D638" wp14:editId="0B3707E0">
                  <wp:extent cx="2628000" cy="2047541"/>
                  <wp:effectExtent l="0" t="0" r="1270" b="0"/>
                  <wp:docPr id="2" name="Picture 2" descr="A picture containing honeycomb, outdoor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l-err.png"/>
                          <pic:cNvPicPr/>
                        </pic:nvPicPr>
                        <pic:blipFill>
                          <a:blip r:embed="rId51">
                            <a:extLst>
                              <a:ext uri="{28A0092B-C50C-407E-A947-70E740481C1C}">
                                <a14:useLocalDpi xmlns:a14="http://schemas.microsoft.com/office/drawing/2010/main" val="0"/>
                              </a:ext>
                            </a:extLst>
                          </a:blip>
                          <a:stretch>
                            <a:fillRect/>
                          </a:stretch>
                        </pic:blipFill>
                        <pic:spPr>
                          <a:xfrm>
                            <a:off x="0" y="0"/>
                            <a:ext cx="2628000" cy="2047541"/>
                          </a:xfrm>
                          <a:prstGeom prst="rect">
                            <a:avLst/>
                          </a:prstGeom>
                        </pic:spPr>
                      </pic:pic>
                    </a:graphicData>
                  </a:graphic>
                </wp:inline>
              </w:drawing>
            </w:r>
          </w:p>
        </w:tc>
      </w:tr>
      <w:tr w:rsidR="00F85EC3" w:rsidRPr="00BC6787" w14:paraId="66F4295F" w14:textId="77777777" w:rsidTr="009C460F">
        <w:trPr>
          <w:gridAfter w:val="1"/>
          <w:wAfter w:w="37" w:type="dxa"/>
          <w:trHeight w:val="283"/>
        </w:trPr>
        <w:tc>
          <w:tcPr>
            <w:tcW w:w="1471" w:type="dxa"/>
            <w:tcBorders>
              <w:bottom w:val="single" w:sz="4" w:space="0" w:color="auto"/>
            </w:tcBorders>
            <w:vAlign w:val="center"/>
          </w:tcPr>
          <w:p w14:paraId="4EB93ECE" w14:textId="77777777" w:rsidR="00F3776C" w:rsidRPr="00BC6787" w:rsidRDefault="00F3776C" w:rsidP="009C460F">
            <w:pPr>
              <w:spacing w:line="240" w:lineRule="auto"/>
              <w:jc w:val="center"/>
              <w:rPr>
                <w:rFonts w:cs="Times New Roman"/>
              </w:rPr>
            </w:pPr>
            <w:r w:rsidRPr="00BC6787">
              <w:rPr>
                <w:rFonts w:cs="Times New Roman"/>
              </w:rPr>
              <w:t>Parameter</w:t>
            </w:r>
          </w:p>
        </w:tc>
        <w:tc>
          <w:tcPr>
            <w:tcW w:w="838" w:type="dxa"/>
            <w:gridSpan w:val="2"/>
            <w:vAlign w:val="center"/>
          </w:tcPr>
          <w:p w14:paraId="33AB4100" w14:textId="77777777" w:rsidR="00F3776C" w:rsidRPr="00BC6787" w:rsidRDefault="00F3776C" w:rsidP="009C460F">
            <w:pPr>
              <w:spacing w:line="240" w:lineRule="auto"/>
              <w:jc w:val="center"/>
              <w:rPr>
                <w:rFonts w:cs="Times New Roman"/>
              </w:rPr>
            </w:pPr>
            <w:r w:rsidRPr="00BC6787">
              <w:rPr>
                <w:rFonts w:cs="Times New Roman"/>
                <w:position w:val="-6"/>
              </w:rPr>
              <w:object w:dxaOrig="220" w:dyaOrig="300" w14:anchorId="61D45677">
                <v:shape id="_x0000_i1044" type="#_x0000_t75" style="width:14pt;height:14.5pt" o:ole="">
                  <v:imagedata r:id="rId52" o:title=""/>
                </v:shape>
                <o:OLEObject Type="Embed" ProgID="Equation.DSMT4" ShapeID="_x0000_i1044" DrawAspect="Content" ObjectID="_1606308038" r:id="rId53"/>
              </w:object>
            </w:r>
            <w:r w:rsidRPr="00BC6787">
              <w:rPr>
                <w:rFonts w:cs="Times New Roman"/>
              </w:rPr>
              <w:t xml:space="preserve"> /Å</w:t>
            </w:r>
          </w:p>
        </w:tc>
        <w:tc>
          <w:tcPr>
            <w:tcW w:w="839" w:type="dxa"/>
            <w:gridSpan w:val="2"/>
            <w:vAlign w:val="center"/>
          </w:tcPr>
          <w:p w14:paraId="4BE96083" w14:textId="77777777" w:rsidR="00F3776C" w:rsidRPr="00BC6787" w:rsidRDefault="00F3776C" w:rsidP="009C460F">
            <w:pPr>
              <w:spacing w:line="240" w:lineRule="auto"/>
              <w:jc w:val="center"/>
              <w:rPr>
                <w:rFonts w:cs="Times New Roman"/>
              </w:rPr>
            </w:pPr>
            <w:r w:rsidRPr="00BC6787">
              <w:rPr>
                <w:rFonts w:cs="Times New Roman"/>
                <w:position w:val="-6"/>
              </w:rPr>
              <w:object w:dxaOrig="279" w:dyaOrig="300" w14:anchorId="2A05EB59">
                <v:shape id="_x0000_i1045" type="#_x0000_t75" style="width:14.5pt;height:14.5pt" o:ole="">
                  <v:imagedata r:id="rId54" o:title=""/>
                </v:shape>
                <o:OLEObject Type="Embed" ProgID="Equation.DSMT4" ShapeID="_x0000_i1045" DrawAspect="Content" ObjectID="_1606308039" r:id="rId55"/>
              </w:object>
            </w:r>
            <w:r w:rsidRPr="00BC6787">
              <w:rPr>
                <w:rFonts w:cs="Times New Roman"/>
              </w:rPr>
              <w:t>/Å</w:t>
            </w:r>
          </w:p>
        </w:tc>
        <w:tc>
          <w:tcPr>
            <w:tcW w:w="1118" w:type="dxa"/>
            <w:gridSpan w:val="2"/>
            <w:vAlign w:val="center"/>
          </w:tcPr>
          <w:p w14:paraId="53284E51" w14:textId="77777777" w:rsidR="00F3776C" w:rsidRPr="00BC6787" w:rsidRDefault="00F3776C" w:rsidP="009C460F">
            <w:pPr>
              <w:spacing w:line="240" w:lineRule="auto"/>
              <w:jc w:val="center"/>
              <w:rPr>
                <w:rFonts w:cs="Times New Roman"/>
              </w:rPr>
            </w:pPr>
            <w:r w:rsidRPr="00BC6787">
              <w:rPr>
                <w:rFonts w:cs="Times New Roman"/>
                <w:position w:val="-6"/>
              </w:rPr>
              <w:object w:dxaOrig="560" w:dyaOrig="300" w14:anchorId="40228030">
                <v:shape id="_x0000_i1046" type="#_x0000_t75" style="width:28.5pt;height:14.5pt" o:ole="">
                  <v:imagedata r:id="rId56" o:title=""/>
                </v:shape>
                <o:OLEObject Type="Embed" ProgID="Equation.DSMT4" ShapeID="_x0000_i1046" DrawAspect="Content" ObjectID="_1606308040" r:id="rId57"/>
              </w:object>
            </w:r>
            <w:r w:rsidRPr="00BC6787">
              <w:rPr>
                <w:rFonts w:cs="Times New Roman"/>
              </w:rPr>
              <w:t>/Å</w:t>
            </w:r>
          </w:p>
        </w:tc>
        <w:tc>
          <w:tcPr>
            <w:tcW w:w="4731" w:type="dxa"/>
            <w:gridSpan w:val="2"/>
            <w:vMerge/>
            <w:tcBorders>
              <w:right w:val="nil"/>
            </w:tcBorders>
            <w:vAlign w:val="bottom"/>
          </w:tcPr>
          <w:p w14:paraId="4C515344" w14:textId="77777777" w:rsidR="00F3776C" w:rsidRPr="00BC6787" w:rsidRDefault="00F3776C" w:rsidP="009C460F">
            <w:pPr>
              <w:spacing w:line="240" w:lineRule="auto"/>
              <w:jc w:val="right"/>
              <w:rPr>
                <w:rFonts w:cs="Times New Roman"/>
              </w:rPr>
            </w:pPr>
          </w:p>
        </w:tc>
      </w:tr>
      <w:tr w:rsidR="00F85EC3" w:rsidRPr="00BC6787" w14:paraId="11B9A537" w14:textId="77777777" w:rsidTr="009C460F">
        <w:trPr>
          <w:gridAfter w:val="1"/>
          <w:wAfter w:w="37" w:type="dxa"/>
          <w:trHeight w:val="283"/>
        </w:trPr>
        <w:tc>
          <w:tcPr>
            <w:tcW w:w="4266" w:type="dxa"/>
            <w:gridSpan w:val="7"/>
            <w:vAlign w:val="center"/>
          </w:tcPr>
          <w:p w14:paraId="3FE42144" w14:textId="77777777" w:rsidR="00F3776C" w:rsidRPr="00BC6787" w:rsidRDefault="00F3776C" w:rsidP="009C460F">
            <w:pPr>
              <w:spacing w:line="240" w:lineRule="auto"/>
              <w:jc w:val="left"/>
              <w:rPr>
                <w:rFonts w:cs="Times New Roman"/>
              </w:rPr>
            </w:pPr>
            <w:r w:rsidRPr="00BC6787">
              <w:rPr>
                <w:rFonts w:cs="Times New Roman"/>
              </w:rPr>
              <w:t>C – C bonds</w:t>
            </w:r>
          </w:p>
        </w:tc>
        <w:tc>
          <w:tcPr>
            <w:tcW w:w="4731" w:type="dxa"/>
            <w:gridSpan w:val="2"/>
            <w:vMerge/>
            <w:tcBorders>
              <w:right w:val="nil"/>
            </w:tcBorders>
          </w:tcPr>
          <w:p w14:paraId="2DDCFBEE" w14:textId="77777777" w:rsidR="00F3776C" w:rsidRPr="00BC6787" w:rsidRDefault="00F3776C" w:rsidP="009C460F">
            <w:pPr>
              <w:spacing w:line="240" w:lineRule="auto"/>
              <w:jc w:val="left"/>
              <w:rPr>
                <w:rFonts w:cs="Times New Roman"/>
              </w:rPr>
            </w:pPr>
          </w:p>
        </w:tc>
      </w:tr>
      <w:tr w:rsidR="00F85EC3" w:rsidRPr="00BC6787" w14:paraId="6867FDBA" w14:textId="77777777" w:rsidTr="009C460F">
        <w:trPr>
          <w:gridAfter w:val="1"/>
          <w:wAfter w:w="37" w:type="dxa"/>
          <w:trHeight w:val="283"/>
        </w:trPr>
        <w:tc>
          <w:tcPr>
            <w:tcW w:w="1471" w:type="dxa"/>
            <w:vAlign w:val="center"/>
          </w:tcPr>
          <w:p w14:paraId="1A03FAF6" w14:textId="77777777" w:rsidR="00F3776C" w:rsidRPr="00BC6787" w:rsidRDefault="00F3776C" w:rsidP="009C460F">
            <w:pPr>
              <w:spacing w:line="240" w:lineRule="auto"/>
              <w:jc w:val="right"/>
              <w:rPr>
                <w:rFonts w:cs="Times New Roman"/>
              </w:rPr>
            </w:pPr>
            <w:r w:rsidRPr="00BC6787">
              <w:rPr>
                <w:rFonts w:cs="Times New Roman"/>
              </w:rPr>
              <w:t>CNR CRB</w:t>
            </w:r>
          </w:p>
        </w:tc>
        <w:tc>
          <w:tcPr>
            <w:tcW w:w="838" w:type="dxa"/>
            <w:gridSpan w:val="2"/>
            <w:vAlign w:val="bottom"/>
          </w:tcPr>
          <w:p w14:paraId="25BF69E3" w14:textId="77777777" w:rsidR="00F3776C" w:rsidRPr="00BC6787" w:rsidRDefault="00F3776C" w:rsidP="009C460F">
            <w:pPr>
              <w:spacing w:line="240" w:lineRule="auto"/>
              <w:jc w:val="center"/>
              <w:rPr>
                <w:rFonts w:cs="Times New Roman"/>
              </w:rPr>
            </w:pPr>
            <w:r w:rsidRPr="00BC6787">
              <w:rPr>
                <w:rFonts w:cs="Times New Roman"/>
              </w:rPr>
              <w:t>1.54</w:t>
            </w:r>
          </w:p>
        </w:tc>
        <w:tc>
          <w:tcPr>
            <w:tcW w:w="839" w:type="dxa"/>
            <w:gridSpan w:val="2"/>
            <w:vAlign w:val="bottom"/>
          </w:tcPr>
          <w:p w14:paraId="3B4DFDFC" w14:textId="77777777" w:rsidR="00F3776C" w:rsidRPr="00BC6787" w:rsidRDefault="00F3776C" w:rsidP="009C460F">
            <w:pPr>
              <w:spacing w:line="240" w:lineRule="auto"/>
              <w:jc w:val="center"/>
              <w:rPr>
                <w:rFonts w:cs="Times New Roman"/>
              </w:rPr>
            </w:pPr>
            <w:r w:rsidRPr="00BC6787">
              <w:rPr>
                <w:rFonts w:cs="Times New Roman"/>
              </w:rPr>
              <w:t>1.46</w:t>
            </w:r>
          </w:p>
        </w:tc>
        <w:tc>
          <w:tcPr>
            <w:tcW w:w="1118" w:type="dxa"/>
            <w:gridSpan w:val="2"/>
            <w:vAlign w:val="bottom"/>
          </w:tcPr>
          <w:p w14:paraId="3A158231" w14:textId="77777777" w:rsidR="00F3776C" w:rsidRPr="00BC6787" w:rsidRDefault="00F3776C" w:rsidP="009C460F">
            <w:pPr>
              <w:spacing w:line="240" w:lineRule="auto"/>
              <w:jc w:val="center"/>
              <w:rPr>
                <w:rFonts w:cs="Times New Roman"/>
              </w:rPr>
            </w:pPr>
            <w:r w:rsidRPr="00BC6787">
              <w:rPr>
                <w:rFonts w:cs="Times New Roman"/>
              </w:rPr>
              <w:t>-0.08</w:t>
            </w:r>
          </w:p>
        </w:tc>
        <w:tc>
          <w:tcPr>
            <w:tcW w:w="4731" w:type="dxa"/>
            <w:gridSpan w:val="2"/>
            <w:vMerge/>
            <w:tcBorders>
              <w:right w:val="nil"/>
            </w:tcBorders>
          </w:tcPr>
          <w:p w14:paraId="66305CE0" w14:textId="77777777" w:rsidR="00F3776C" w:rsidRPr="00BC6787" w:rsidRDefault="00F3776C" w:rsidP="009C460F">
            <w:pPr>
              <w:spacing w:line="240" w:lineRule="auto"/>
              <w:jc w:val="center"/>
              <w:rPr>
                <w:rFonts w:cs="Times New Roman"/>
              </w:rPr>
            </w:pPr>
          </w:p>
        </w:tc>
      </w:tr>
      <w:tr w:rsidR="00F85EC3" w:rsidRPr="00BC6787" w14:paraId="035CDC37" w14:textId="77777777" w:rsidTr="009C460F">
        <w:trPr>
          <w:gridAfter w:val="1"/>
          <w:wAfter w:w="37" w:type="dxa"/>
          <w:trHeight w:val="283"/>
        </w:trPr>
        <w:tc>
          <w:tcPr>
            <w:tcW w:w="1471" w:type="dxa"/>
            <w:vAlign w:val="center"/>
          </w:tcPr>
          <w:p w14:paraId="787DA82D" w14:textId="77777777" w:rsidR="00F3776C" w:rsidRPr="00BC6787" w:rsidRDefault="00F3776C" w:rsidP="009C460F">
            <w:pPr>
              <w:spacing w:line="240" w:lineRule="auto"/>
              <w:jc w:val="right"/>
              <w:rPr>
                <w:rFonts w:cs="Times New Roman"/>
              </w:rPr>
            </w:pPr>
            <w:r w:rsidRPr="00BC6787">
              <w:rPr>
                <w:rFonts w:cs="Times New Roman"/>
              </w:rPr>
              <w:t>CDN CCC</w:t>
            </w:r>
          </w:p>
        </w:tc>
        <w:tc>
          <w:tcPr>
            <w:tcW w:w="838" w:type="dxa"/>
            <w:gridSpan w:val="2"/>
            <w:vAlign w:val="bottom"/>
          </w:tcPr>
          <w:p w14:paraId="07A9BDDD" w14:textId="77777777" w:rsidR="00F3776C" w:rsidRPr="00BC6787" w:rsidRDefault="00F3776C" w:rsidP="009C460F">
            <w:pPr>
              <w:spacing w:line="240" w:lineRule="auto"/>
              <w:jc w:val="center"/>
              <w:rPr>
                <w:rFonts w:cs="Times New Roman"/>
              </w:rPr>
            </w:pPr>
            <w:r w:rsidRPr="00BC6787">
              <w:rPr>
                <w:rFonts w:cs="Times New Roman"/>
              </w:rPr>
              <w:t>1.42</w:t>
            </w:r>
          </w:p>
        </w:tc>
        <w:tc>
          <w:tcPr>
            <w:tcW w:w="839" w:type="dxa"/>
            <w:gridSpan w:val="2"/>
            <w:vAlign w:val="bottom"/>
          </w:tcPr>
          <w:p w14:paraId="15E56FF9" w14:textId="77777777" w:rsidR="00F3776C" w:rsidRPr="00BC6787" w:rsidRDefault="00F3776C" w:rsidP="009C460F">
            <w:pPr>
              <w:spacing w:line="240" w:lineRule="auto"/>
              <w:jc w:val="center"/>
              <w:rPr>
                <w:rFonts w:cs="Times New Roman"/>
              </w:rPr>
            </w:pPr>
            <w:r w:rsidRPr="00BC6787">
              <w:rPr>
                <w:rFonts w:cs="Times New Roman"/>
              </w:rPr>
              <w:t>1.35</w:t>
            </w:r>
          </w:p>
        </w:tc>
        <w:tc>
          <w:tcPr>
            <w:tcW w:w="1118" w:type="dxa"/>
            <w:gridSpan w:val="2"/>
            <w:vAlign w:val="bottom"/>
          </w:tcPr>
          <w:p w14:paraId="1E056F23" w14:textId="77777777" w:rsidR="00F3776C" w:rsidRPr="00BC6787" w:rsidRDefault="00F3776C" w:rsidP="009C460F">
            <w:pPr>
              <w:spacing w:line="240" w:lineRule="auto"/>
              <w:jc w:val="center"/>
              <w:rPr>
                <w:rFonts w:cs="Times New Roman"/>
              </w:rPr>
            </w:pPr>
            <w:r w:rsidRPr="00BC6787">
              <w:rPr>
                <w:rFonts w:cs="Times New Roman"/>
              </w:rPr>
              <w:t>-0.07</w:t>
            </w:r>
          </w:p>
        </w:tc>
        <w:tc>
          <w:tcPr>
            <w:tcW w:w="4731" w:type="dxa"/>
            <w:gridSpan w:val="2"/>
            <w:vMerge/>
            <w:tcBorders>
              <w:right w:val="nil"/>
            </w:tcBorders>
          </w:tcPr>
          <w:p w14:paraId="518556B9" w14:textId="77777777" w:rsidR="00F3776C" w:rsidRPr="00BC6787" w:rsidRDefault="00F3776C" w:rsidP="009C460F">
            <w:pPr>
              <w:spacing w:line="240" w:lineRule="auto"/>
              <w:jc w:val="center"/>
              <w:rPr>
                <w:rFonts w:cs="Times New Roman"/>
              </w:rPr>
            </w:pPr>
          </w:p>
        </w:tc>
      </w:tr>
      <w:tr w:rsidR="00F85EC3" w:rsidRPr="00BC6787" w14:paraId="380D096F" w14:textId="77777777" w:rsidTr="009C460F">
        <w:trPr>
          <w:gridAfter w:val="1"/>
          <w:wAfter w:w="37" w:type="dxa"/>
          <w:trHeight w:val="283"/>
        </w:trPr>
        <w:tc>
          <w:tcPr>
            <w:tcW w:w="1471" w:type="dxa"/>
            <w:tcBorders>
              <w:bottom w:val="single" w:sz="12" w:space="0" w:color="auto"/>
            </w:tcBorders>
            <w:vAlign w:val="center"/>
          </w:tcPr>
          <w:p w14:paraId="1C78D7C4" w14:textId="77777777" w:rsidR="00F3776C" w:rsidRPr="00BC6787" w:rsidRDefault="00F3776C" w:rsidP="009C460F">
            <w:pPr>
              <w:spacing w:line="240" w:lineRule="auto"/>
              <w:jc w:val="right"/>
              <w:rPr>
                <w:rFonts w:cs="Times New Roman"/>
              </w:rPr>
            </w:pPr>
            <w:r w:rsidRPr="00BC6787">
              <w:rPr>
                <w:rFonts w:cs="Times New Roman"/>
              </w:rPr>
              <w:t>CNA CO</w:t>
            </w:r>
          </w:p>
        </w:tc>
        <w:tc>
          <w:tcPr>
            <w:tcW w:w="838" w:type="dxa"/>
            <w:gridSpan w:val="2"/>
            <w:tcBorders>
              <w:bottom w:val="single" w:sz="12" w:space="0" w:color="auto"/>
            </w:tcBorders>
            <w:vAlign w:val="bottom"/>
          </w:tcPr>
          <w:p w14:paraId="62FA2D01" w14:textId="77777777" w:rsidR="00F3776C" w:rsidRPr="00BC6787" w:rsidRDefault="00F3776C" w:rsidP="009C460F">
            <w:pPr>
              <w:spacing w:line="240" w:lineRule="auto"/>
              <w:jc w:val="center"/>
              <w:rPr>
                <w:rFonts w:cs="Times New Roman"/>
              </w:rPr>
            </w:pPr>
            <w:r w:rsidRPr="00BC6787">
              <w:rPr>
                <w:rFonts w:cs="Times New Roman"/>
              </w:rPr>
              <w:t>1.44</w:t>
            </w:r>
          </w:p>
        </w:tc>
        <w:tc>
          <w:tcPr>
            <w:tcW w:w="839" w:type="dxa"/>
            <w:gridSpan w:val="2"/>
            <w:tcBorders>
              <w:bottom w:val="single" w:sz="12" w:space="0" w:color="auto"/>
            </w:tcBorders>
            <w:vAlign w:val="bottom"/>
          </w:tcPr>
          <w:p w14:paraId="329D5F0C" w14:textId="77777777" w:rsidR="00F3776C" w:rsidRPr="00BC6787" w:rsidRDefault="00F3776C" w:rsidP="009C460F">
            <w:pPr>
              <w:spacing w:line="240" w:lineRule="auto"/>
              <w:jc w:val="center"/>
              <w:rPr>
                <w:rFonts w:cs="Times New Roman"/>
              </w:rPr>
            </w:pPr>
            <w:r w:rsidRPr="00BC6787">
              <w:rPr>
                <w:rFonts w:cs="Times New Roman"/>
              </w:rPr>
              <w:t>1.50</w:t>
            </w:r>
          </w:p>
        </w:tc>
        <w:tc>
          <w:tcPr>
            <w:tcW w:w="1118" w:type="dxa"/>
            <w:gridSpan w:val="2"/>
            <w:tcBorders>
              <w:bottom w:val="single" w:sz="12" w:space="0" w:color="auto"/>
            </w:tcBorders>
            <w:vAlign w:val="bottom"/>
          </w:tcPr>
          <w:p w14:paraId="5A542779" w14:textId="77777777" w:rsidR="00F3776C" w:rsidRPr="00BC6787" w:rsidRDefault="00F3776C" w:rsidP="009C460F">
            <w:pPr>
              <w:spacing w:line="240" w:lineRule="auto"/>
              <w:jc w:val="center"/>
              <w:rPr>
                <w:rFonts w:cs="Times New Roman"/>
              </w:rPr>
            </w:pPr>
            <w:r w:rsidRPr="00BC6787">
              <w:rPr>
                <w:rFonts w:cs="Times New Roman"/>
              </w:rPr>
              <w:t xml:space="preserve"> 0.06</w:t>
            </w:r>
          </w:p>
        </w:tc>
        <w:tc>
          <w:tcPr>
            <w:tcW w:w="4731" w:type="dxa"/>
            <w:gridSpan w:val="2"/>
            <w:vMerge/>
            <w:tcBorders>
              <w:right w:val="nil"/>
            </w:tcBorders>
          </w:tcPr>
          <w:p w14:paraId="697B3E2C" w14:textId="77777777" w:rsidR="00F3776C" w:rsidRPr="00BC6787" w:rsidRDefault="00F3776C" w:rsidP="009C460F">
            <w:pPr>
              <w:spacing w:line="240" w:lineRule="auto"/>
              <w:jc w:val="center"/>
              <w:rPr>
                <w:rFonts w:cs="Times New Roman"/>
              </w:rPr>
            </w:pPr>
          </w:p>
        </w:tc>
      </w:tr>
      <w:tr w:rsidR="00F85EC3" w:rsidRPr="00BC6787" w14:paraId="0F1E1027" w14:textId="77777777" w:rsidTr="009C460F">
        <w:trPr>
          <w:gridAfter w:val="1"/>
          <w:wAfter w:w="37" w:type="dxa"/>
          <w:trHeight w:val="283"/>
        </w:trPr>
        <w:tc>
          <w:tcPr>
            <w:tcW w:w="1471" w:type="dxa"/>
            <w:tcBorders>
              <w:top w:val="single" w:sz="12" w:space="0" w:color="auto"/>
            </w:tcBorders>
            <w:vAlign w:val="center"/>
          </w:tcPr>
          <w:p w14:paraId="672FACEE" w14:textId="77777777" w:rsidR="00F3776C" w:rsidRPr="00BC6787" w:rsidRDefault="00F3776C" w:rsidP="009C460F">
            <w:pPr>
              <w:spacing w:line="240" w:lineRule="auto"/>
              <w:jc w:val="right"/>
              <w:rPr>
                <w:rFonts w:cs="Times New Roman"/>
              </w:rPr>
            </w:pPr>
            <w:r w:rsidRPr="00BC6787">
              <w:rPr>
                <w:rFonts w:cs="Times New Roman"/>
              </w:rPr>
              <w:t>CRB C1T</w:t>
            </w:r>
          </w:p>
        </w:tc>
        <w:tc>
          <w:tcPr>
            <w:tcW w:w="838" w:type="dxa"/>
            <w:gridSpan w:val="2"/>
            <w:tcBorders>
              <w:top w:val="single" w:sz="12" w:space="0" w:color="auto"/>
            </w:tcBorders>
            <w:vAlign w:val="bottom"/>
          </w:tcPr>
          <w:p w14:paraId="2B0A1CD9" w14:textId="77777777" w:rsidR="00F3776C" w:rsidRPr="00BC6787" w:rsidRDefault="00F3776C" w:rsidP="009C460F">
            <w:pPr>
              <w:spacing w:line="240" w:lineRule="auto"/>
              <w:jc w:val="center"/>
              <w:rPr>
                <w:rFonts w:cs="Times New Roman"/>
              </w:rPr>
            </w:pPr>
            <w:r w:rsidRPr="00BC6787">
              <w:rPr>
                <w:rFonts w:cs="Times New Roman"/>
              </w:rPr>
              <w:t>1.55</w:t>
            </w:r>
          </w:p>
        </w:tc>
        <w:tc>
          <w:tcPr>
            <w:tcW w:w="839" w:type="dxa"/>
            <w:gridSpan w:val="2"/>
            <w:tcBorders>
              <w:top w:val="single" w:sz="12" w:space="0" w:color="auto"/>
            </w:tcBorders>
            <w:vAlign w:val="bottom"/>
          </w:tcPr>
          <w:p w14:paraId="3E018A5F" w14:textId="77777777" w:rsidR="00F3776C" w:rsidRPr="00BC6787" w:rsidRDefault="00F3776C" w:rsidP="009C460F">
            <w:pPr>
              <w:spacing w:line="240" w:lineRule="auto"/>
              <w:jc w:val="center"/>
              <w:rPr>
                <w:rFonts w:cs="Times New Roman"/>
              </w:rPr>
            </w:pPr>
            <w:r w:rsidRPr="00BC6787">
              <w:rPr>
                <w:rFonts w:cs="Times New Roman"/>
              </w:rPr>
              <w:t>1.51</w:t>
            </w:r>
          </w:p>
        </w:tc>
        <w:tc>
          <w:tcPr>
            <w:tcW w:w="1118" w:type="dxa"/>
            <w:gridSpan w:val="2"/>
            <w:tcBorders>
              <w:top w:val="single" w:sz="12" w:space="0" w:color="auto"/>
            </w:tcBorders>
            <w:vAlign w:val="bottom"/>
          </w:tcPr>
          <w:p w14:paraId="5C263AAC" w14:textId="77777777" w:rsidR="00F3776C" w:rsidRPr="00BC6787" w:rsidRDefault="00F3776C" w:rsidP="009C460F">
            <w:pPr>
              <w:spacing w:line="240" w:lineRule="auto"/>
              <w:jc w:val="center"/>
              <w:rPr>
                <w:rFonts w:cs="Times New Roman"/>
              </w:rPr>
            </w:pPr>
            <w:r w:rsidRPr="00BC6787">
              <w:rPr>
                <w:rFonts w:cs="Times New Roman"/>
              </w:rPr>
              <w:t>-0.04</w:t>
            </w:r>
          </w:p>
        </w:tc>
        <w:tc>
          <w:tcPr>
            <w:tcW w:w="4731" w:type="dxa"/>
            <w:gridSpan w:val="2"/>
            <w:vMerge/>
            <w:tcBorders>
              <w:right w:val="nil"/>
            </w:tcBorders>
          </w:tcPr>
          <w:p w14:paraId="41A5C25C" w14:textId="77777777" w:rsidR="00F3776C" w:rsidRPr="00BC6787" w:rsidRDefault="00F3776C" w:rsidP="009C460F">
            <w:pPr>
              <w:spacing w:line="240" w:lineRule="auto"/>
              <w:jc w:val="center"/>
              <w:rPr>
                <w:rFonts w:cs="Times New Roman"/>
              </w:rPr>
            </w:pPr>
          </w:p>
        </w:tc>
      </w:tr>
      <w:tr w:rsidR="00F85EC3" w:rsidRPr="00BC6787" w14:paraId="1229F8C3" w14:textId="77777777" w:rsidTr="009C460F">
        <w:trPr>
          <w:gridAfter w:val="1"/>
          <w:wAfter w:w="37" w:type="dxa"/>
          <w:trHeight w:val="283"/>
        </w:trPr>
        <w:tc>
          <w:tcPr>
            <w:tcW w:w="1471" w:type="dxa"/>
            <w:vAlign w:val="center"/>
          </w:tcPr>
          <w:p w14:paraId="0F5E5BA6" w14:textId="77777777" w:rsidR="00F3776C" w:rsidRPr="00BC6787" w:rsidRDefault="00F3776C" w:rsidP="009C460F">
            <w:pPr>
              <w:spacing w:line="240" w:lineRule="auto"/>
              <w:jc w:val="right"/>
              <w:rPr>
                <w:rFonts w:cs="Times New Roman"/>
              </w:rPr>
            </w:pPr>
            <w:r w:rsidRPr="00BC6787">
              <w:rPr>
                <w:rFonts w:cs="Times New Roman"/>
              </w:rPr>
              <w:t>CNC C3T</w:t>
            </w:r>
          </w:p>
        </w:tc>
        <w:tc>
          <w:tcPr>
            <w:tcW w:w="838" w:type="dxa"/>
            <w:gridSpan w:val="2"/>
            <w:vAlign w:val="bottom"/>
          </w:tcPr>
          <w:p w14:paraId="31EE9A9D" w14:textId="77777777" w:rsidR="00F3776C" w:rsidRPr="00BC6787" w:rsidRDefault="00F3776C" w:rsidP="009C460F">
            <w:pPr>
              <w:spacing w:line="240" w:lineRule="auto"/>
              <w:jc w:val="center"/>
              <w:rPr>
                <w:rFonts w:cs="Times New Roman"/>
              </w:rPr>
            </w:pPr>
            <w:r w:rsidRPr="00BC6787">
              <w:rPr>
                <w:rFonts w:cs="Times New Roman"/>
              </w:rPr>
              <w:t>1.42</w:t>
            </w:r>
          </w:p>
        </w:tc>
        <w:tc>
          <w:tcPr>
            <w:tcW w:w="839" w:type="dxa"/>
            <w:gridSpan w:val="2"/>
            <w:vAlign w:val="bottom"/>
          </w:tcPr>
          <w:p w14:paraId="29AE526D" w14:textId="77777777" w:rsidR="00F3776C" w:rsidRPr="00BC6787" w:rsidRDefault="00F3776C" w:rsidP="009C460F">
            <w:pPr>
              <w:spacing w:line="240" w:lineRule="auto"/>
              <w:jc w:val="center"/>
              <w:rPr>
                <w:rFonts w:cs="Times New Roman"/>
              </w:rPr>
            </w:pPr>
            <w:r w:rsidRPr="00BC6787">
              <w:rPr>
                <w:rFonts w:cs="Times New Roman"/>
              </w:rPr>
              <w:t>1.38</w:t>
            </w:r>
          </w:p>
        </w:tc>
        <w:tc>
          <w:tcPr>
            <w:tcW w:w="1118" w:type="dxa"/>
            <w:gridSpan w:val="2"/>
            <w:vAlign w:val="bottom"/>
          </w:tcPr>
          <w:p w14:paraId="1F9CEDD3" w14:textId="77777777" w:rsidR="00F3776C" w:rsidRPr="00BC6787" w:rsidRDefault="00F3776C" w:rsidP="009C460F">
            <w:pPr>
              <w:spacing w:line="240" w:lineRule="auto"/>
              <w:jc w:val="center"/>
              <w:rPr>
                <w:rFonts w:cs="Times New Roman"/>
              </w:rPr>
            </w:pPr>
            <w:r w:rsidRPr="00BC6787">
              <w:rPr>
                <w:rFonts w:cs="Times New Roman"/>
              </w:rPr>
              <w:t>-0.04</w:t>
            </w:r>
          </w:p>
        </w:tc>
        <w:tc>
          <w:tcPr>
            <w:tcW w:w="4731" w:type="dxa"/>
            <w:gridSpan w:val="2"/>
            <w:vMerge/>
            <w:tcBorders>
              <w:right w:val="nil"/>
            </w:tcBorders>
          </w:tcPr>
          <w:p w14:paraId="625C8367" w14:textId="77777777" w:rsidR="00F3776C" w:rsidRPr="00BC6787" w:rsidRDefault="00F3776C" w:rsidP="009C460F">
            <w:pPr>
              <w:spacing w:line="240" w:lineRule="auto"/>
              <w:jc w:val="center"/>
              <w:rPr>
                <w:rFonts w:cs="Times New Roman"/>
              </w:rPr>
            </w:pPr>
          </w:p>
        </w:tc>
      </w:tr>
      <w:tr w:rsidR="00F85EC3" w:rsidRPr="00BC6787" w14:paraId="38316B17" w14:textId="77777777" w:rsidTr="009C460F">
        <w:trPr>
          <w:gridAfter w:val="1"/>
          <w:wAfter w:w="37" w:type="dxa"/>
          <w:trHeight w:val="283"/>
        </w:trPr>
        <w:tc>
          <w:tcPr>
            <w:tcW w:w="1471" w:type="dxa"/>
            <w:vAlign w:val="center"/>
          </w:tcPr>
          <w:p w14:paraId="6F390B5B" w14:textId="77777777" w:rsidR="00F3776C" w:rsidRPr="00BC6787" w:rsidRDefault="00F3776C" w:rsidP="009C460F">
            <w:pPr>
              <w:spacing w:line="240" w:lineRule="auto"/>
              <w:jc w:val="right"/>
              <w:rPr>
                <w:rFonts w:cs="Times New Roman"/>
              </w:rPr>
            </w:pPr>
            <w:r w:rsidRPr="00BC6787">
              <w:rPr>
                <w:rFonts w:cs="Times New Roman"/>
              </w:rPr>
              <w:t>CC C1T</w:t>
            </w:r>
          </w:p>
        </w:tc>
        <w:tc>
          <w:tcPr>
            <w:tcW w:w="838" w:type="dxa"/>
            <w:gridSpan w:val="2"/>
            <w:vAlign w:val="bottom"/>
          </w:tcPr>
          <w:p w14:paraId="7A759CF0" w14:textId="77777777" w:rsidR="00F3776C" w:rsidRPr="00BC6787" w:rsidRDefault="00F3776C" w:rsidP="009C460F">
            <w:pPr>
              <w:spacing w:line="240" w:lineRule="auto"/>
              <w:jc w:val="center"/>
              <w:rPr>
                <w:rFonts w:cs="Times New Roman"/>
              </w:rPr>
            </w:pPr>
            <w:r w:rsidRPr="00BC6787">
              <w:rPr>
                <w:rFonts w:cs="Times New Roman"/>
              </w:rPr>
              <w:t>1.54</w:t>
            </w:r>
          </w:p>
        </w:tc>
        <w:tc>
          <w:tcPr>
            <w:tcW w:w="839" w:type="dxa"/>
            <w:gridSpan w:val="2"/>
            <w:vAlign w:val="bottom"/>
          </w:tcPr>
          <w:p w14:paraId="0D129F32" w14:textId="77777777" w:rsidR="00F3776C" w:rsidRPr="00BC6787" w:rsidRDefault="00F3776C" w:rsidP="009C460F">
            <w:pPr>
              <w:spacing w:line="240" w:lineRule="auto"/>
              <w:jc w:val="center"/>
              <w:rPr>
                <w:rFonts w:cs="Times New Roman"/>
              </w:rPr>
            </w:pPr>
            <w:r w:rsidRPr="00BC6787">
              <w:rPr>
                <w:rFonts w:cs="Times New Roman"/>
              </w:rPr>
              <w:t>1.50</w:t>
            </w:r>
          </w:p>
        </w:tc>
        <w:tc>
          <w:tcPr>
            <w:tcW w:w="1118" w:type="dxa"/>
            <w:gridSpan w:val="2"/>
            <w:vAlign w:val="bottom"/>
          </w:tcPr>
          <w:p w14:paraId="1E720C52" w14:textId="77777777" w:rsidR="00F3776C" w:rsidRPr="00BC6787" w:rsidRDefault="00F3776C" w:rsidP="009C460F">
            <w:pPr>
              <w:spacing w:line="240" w:lineRule="auto"/>
              <w:jc w:val="center"/>
              <w:rPr>
                <w:rFonts w:cs="Times New Roman"/>
              </w:rPr>
            </w:pPr>
            <w:r w:rsidRPr="00BC6787">
              <w:rPr>
                <w:rFonts w:cs="Times New Roman"/>
              </w:rPr>
              <w:t>-0.04</w:t>
            </w:r>
          </w:p>
        </w:tc>
        <w:tc>
          <w:tcPr>
            <w:tcW w:w="4731" w:type="dxa"/>
            <w:gridSpan w:val="2"/>
            <w:vMerge/>
            <w:tcBorders>
              <w:right w:val="nil"/>
            </w:tcBorders>
          </w:tcPr>
          <w:p w14:paraId="184F6063" w14:textId="77777777" w:rsidR="00F3776C" w:rsidRPr="00BC6787" w:rsidRDefault="00F3776C" w:rsidP="009C460F">
            <w:pPr>
              <w:spacing w:line="240" w:lineRule="auto"/>
              <w:jc w:val="center"/>
              <w:rPr>
                <w:rFonts w:cs="Times New Roman"/>
              </w:rPr>
            </w:pPr>
          </w:p>
        </w:tc>
      </w:tr>
      <w:tr w:rsidR="00F85EC3" w:rsidRPr="00BC6787" w14:paraId="35CFA7AE" w14:textId="77777777" w:rsidTr="009C460F">
        <w:trPr>
          <w:gridAfter w:val="1"/>
          <w:wAfter w:w="37" w:type="dxa"/>
          <w:trHeight w:val="283"/>
        </w:trPr>
        <w:tc>
          <w:tcPr>
            <w:tcW w:w="1471" w:type="dxa"/>
            <w:vAlign w:val="center"/>
          </w:tcPr>
          <w:p w14:paraId="5AE622E0" w14:textId="77777777" w:rsidR="00F3776C" w:rsidRPr="00BC6787" w:rsidRDefault="00F3776C" w:rsidP="009C460F">
            <w:pPr>
              <w:spacing w:line="240" w:lineRule="auto"/>
              <w:jc w:val="right"/>
              <w:rPr>
                <w:rFonts w:cs="Times New Roman"/>
              </w:rPr>
            </w:pPr>
            <w:r w:rsidRPr="00BC6787">
              <w:rPr>
                <w:rFonts w:cs="Times New Roman"/>
              </w:rPr>
              <w:t>CNA CNC</w:t>
            </w:r>
          </w:p>
        </w:tc>
        <w:tc>
          <w:tcPr>
            <w:tcW w:w="838" w:type="dxa"/>
            <w:gridSpan w:val="2"/>
            <w:vAlign w:val="bottom"/>
          </w:tcPr>
          <w:p w14:paraId="49D4DD31" w14:textId="77777777" w:rsidR="00F3776C" w:rsidRPr="00BC6787" w:rsidRDefault="00F3776C" w:rsidP="009C460F">
            <w:pPr>
              <w:spacing w:line="240" w:lineRule="auto"/>
              <w:jc w:val="center"/>
              <w:rPr>
                <w:rFonts w:cs="Times New Roman"/>
              </w:rPr>
            </w:pPr>
            <w:r w:rsidRPr="00BC6787">
              <w:rPr>
                <w:rFonts w:cs="Times New Roman"/>
              </w:rPr>
              <w:t>1.41</w:t>
            </w:r>
          </w:p>
        </w:tc>
        <w:tc>
          <w:tcPr>
            <w:tcW w:w="839" w:type="dxa"/>
            <w:gridSpan w:val="2"/>
            <w:vAlign w:val="bottom"/>
          </w:tcPr>
          <w:p w14:paraId="06367746" w14:textId="77777777" w:rsidR="00F3776C" w:rsidRPr="00BC6787" w:rsidRDefault="00F3776C" w:rsidP="009C460F">
            <w:pPr>
              <w:spacing w:line="240" w:lineRule="auto"/>
              <w:jc w:val="center"/>
              <w:rPr>
                <w:rFonts w:cs="Times New Roman"/>
              </w:rPr>
            </w:pPr>
            <w:r w:rsidRPr="00BC6787">
              <w:rPr>
                <w:rFonts w:cs="Times New Roman"/>
              </w:rPr>
              <w:t>1.37</w:t>
            </w:r>
          </w:p>
        </w:tc>
        <w:tc>
          <w:tcPr>
            <w:tcW w:w="1118" w:type="dxa"/>
            <w:gridSpan w:val="2"/>
            <w:vAlign w:val="bottom"/>
          </w:tcPr>
          <w:p w14:paraId="728A5D11" w14:textId="77777777" w:rsidR="00F3776C" w:rsidRPr="00BC6787" w:rsidRDefault="00F3776C" w:rsidP="009C460F">
            <w:pPr>
              <w:spacing w:line="240" w:lineRule="auto"/>
              <w:jc w:val="center"/>
              <w:rPr>
                <w:rFonts w:cs="Times New Roman"/>
              </w:rPr>
            </w:pPr>
            <w:r w:rsidRPr="00BC6787">
              <w:rPr>
                <w:rFonts w:cs="Times New Roman"/>
              </w:rPr>
              <w:t>-0.04</w:t>
            </w:r>
          </w:p>
        </w:tc>
        <w:tc>
          <w:tcPr>
            <w:tcW w:w="4731" w:type="dxa"/>
            <w:gridSpan w:val="2"/>
            <w:vMerge/>
            <w:tcBorders>
              <w:right w:val="nil"/>
            </w:tcBorders>
          </w:tcPr>
          <w:p w14:paraId="41214E8F" w14:textId="77777777" w:rsidR="00F3776C" w:rsidRPr="00BC6787" w:rsidRDefault="00F3776C" w:rsidP="009C460F">
            <w:pPr>
              <w:spacing w:line="240" w:lineRule="auto"/>
              <w:jc w:val="center"/>
              <w:rPr>
                <w:rFonts w:cs="Times New Roman"/>
              </w:rPr>
            </w:pPr>
          </w:p>
        </w:tc>
      </w:tr>
      <w:tr w:rsidR="00F85EC3" w:rsidRPr="00BC6787" w14:paraId="093EF591" w14:textId="77777777" w:rsidTr="009C460F">
        <w:trPr>
          <w:gridAfter w:val="1"/>
          <w:wAfter w:w="37" w:type="dxa"/>
          <w:trHeight w:val="283"/>
        </w:trPr>
        <w:tc>
          <w:tcPr>
            <w:tcW w:w="1471" w:type="dxa"/>
            <w:vAlign w:val="center"/>
          </w:tcPr>
          <w:p w14:paraId="7A608EFB" w14:textId="77777777" w:rsidR="00F3776C" w:rsidRPr="00BC6787" w:rsidRDefault="00F3776C" w:rsidP="009C460F">
            <w:pPr>
              <w:spacing w:line="240" w:lineRule="auto"/>
              <w:jc w:val="right"/>
              <w:rPr>
                <w:rFonts w:cs="Times New Roman"/>
              </w:rPr>
            </w:pPr>
            <w:r w:rsidRPr="00BC6787">
              <w:rPr>
                <w:rFonts w:cs="Times New Roman"/>
              </w:rPr>
              <w:t>CO C3T</w:t>
            </w:r>
          </w:p>
        </w:tc>
        <w:tc>
          <w:tcPr>
            <w:tcW w:w="838" w:type="dxa"/>
            <w:gridSpan w:val="2"/>
            <w:vAlign w:val="bottom"/>
          </w:tcPr>
          <w:p w14:paraId="655A2C0A" w14:textId="77777777" w:rsidR="00F3776C" w:rsidRPr="00BC6787" w:rsidRDefault="00F3776C" w:rsidP="009C460F">
            <w:pPr>
              <w:spacing w:line="240" w:lineRule="auto"/>
              <w:jc w:val="center"/>
              <w:rPr>
                <w:rFonts w:cs="Times New Roman"/>
              </w:rPr>
            </w:pPr>
            <w:r w:rsidRPr="00BC6787">
              <w:rPr>
                <w:rFonts w:cs="Times New Roman"/>
              </w:rPr>
              <w:t>1.54</w:t>
            </w:r>
          </w:p>
        </w:tc>
        <w:tc>
          <w:tcPr>
            <w:tcW w:w="839" w:type="dxa"/>
            <w:gridSpan w:val="2"/>
            <w:vAlign w:val="bottom"/>
          </w:tcPr>
          <w:p w14:paraId="4F587B63" w14:textId="77777777" w:rsidR="00F3776C" w:rsidRPr="00BC6787" w:rsidRDefault="00F3776C" w:rsidP="009C460F">
            <w:pPr>
              <w:spacing w:line="240" w:lineRule="auto"/>
              <w:jc w:val="center"/>
              <w:rPr>
                <w:rFonts w:cs="Times New Roman"/>
              </w:rPr>
            </w:pPr>
            <w:r w:rsidRPr="00BC6787">
              <w:rPr>
                <w:rFonts w:cs="Times New Roman"/>
              </w:rPr>
              <w:t>1.50</w:t>
            </w:r>
          </w:p>
        </w:tc>
        <w:tc>
          <w:tcPr>
            <w:tcW w:w="1118" w:type="dxa"/>
            <w:gridSpan w:val="2"/>
            <w:vAlign w:val="bottom"/>
          </w:tcPr>
          <w:p w14:paraId="10825331" w14:textId="77777777" w:rsidR="00F3776C" w:rsidRPr="00BC6787" w:rsidRDefault="00F3776C" w:rsidP="009C460F">
            <w:pPr>
              <w:spacing w:line="240" w:lineRule="auto"/>
              <w:jc w:val="center"/>
              <w:rPr>
                <w:rFonts w:cs="Times New Roman"/>
              </w:rPr>
            </w:pPr>
            <w:r w:rsidRPr="00BC6787">
              <w:rPr>
                <w:rFonts w:cs="Times New Roman"/>
              </w:rPr>
              <w:t>-0.04</w:t>
            </w:r>
          </w:p>
        </w:tc>
        <w:tc>
          <w:tcPr>
            <w:tcW w:w="4731" w:type="dxa"/>
            <w:gridSpan w:val="2"/>
            <w:vMerge/>
            <w:tcBorders>
              <w:right w:val="nil"/>
            </w:tcBorders>
          </w:tcPr>
          <w:p w14:paraId="72BE4A8D" w14:textId="77777777" w:rsidR="00F3776C" w:rsidRPr="00BC6787" w:rsidRDefault="00F3776C" w:rsidP="009C460F">
            <w:pPr>
              <w:spacing w:line="240" w:lineRule="auto"/>
              <w:jc w:val="center"/>
              <w:rPr>
                <w:rFonts w:cs="Times New Roman"/>
              </w:rPr>
            </w:pPr>
          </w:p>
        </w:tc>
      </w:tr>
      <w:tr w:rsidR="00F85EC3" w:rsidRPr="00BC6787" w14:paraId="08319722" w14:textId="77777777" w:rsidTr="009C460F">
        <w:trPr>
          <w:gridAfter w:val="1"/>
          <w:wAfter w:w="37" w:type="dxa"/>
          <w:trHeight w:val="283"/>
        </w:trPr>
        <w:tc>
          <w:tcPr>
            <w:tcW w:w="1471" w:type="dxa"/>
            <w:vAlign w:val="center"/>
          </w:tcPr>
          <w:p w14:paraId="4F5F7658" w14:textId="77777777" w:rsidR="00F3776C" w:rsidRPr="00BC6787" w:rsidRDefault="00F3776C" w:rsidP="009C460F">
            <w:pPr>
              <w:spacing w:line="240" w:lineRule="auto"/>
              <w:jc w:val="right"/>
              <w:rPr>
                <w:rFonts w:cs="Times New Roman"/>
              </w:rPr>
            </w:pPr>
            <w:r w:rsidRPr="00BC6787">
              <w:rPr>
                <w:rFonts w:cs="Times New Roman"/>
              </w:rPr>
              <w:t>CRB CDN</w:t>
            </w:r>
          </w:p>
        </w:tc>
        <w:tc>
          <w:tcPr>
            <w:tcW w:w="838" w:type="dxa"/>
            <w:gridSpan w:val="2"/>
            <w:vAlign w:val="bottom"/>
          </w:tcPr>
          <w:p w14:paraId="1C4BF06D" w14:textId="77777777" w:rsidR="00F3776C" w:rsidRPr="00BC6787" w:rsidRDefault="00F3776C" w:rsidP="009C460F">
            <w:pPr>
              <w:spacing w:line="240" w:lineRule="auto"/>
              <w:jc w:val="center"/>
              <w:rPr>
                <w:rFonts w:cs="Times New Roman"/>
              </w:rPr>
            </w:pPr>
            <w:r w:rsidRPr="00BC6787">
              <w:rPr>
                <w:rFonts w:cs="Times New Roman"/>
              </w:rPr>
              <w:t>1.51</w:t>
            </w:r>
          </w:p>
        </w:tc>
        <w:tc>
          <w:tcPr>
            <w:tcW w:w="839" w:type="dxa"/>
            <w:gridSpan w:val="2"/>
            <w:vAlign w:val="bottom"/>
          </w:tcPr>
          <w:p w14:paraId="28535300" w14:textId="77777777" w:rsidR="00F3776C" w:rsidRPr="00BC6787" w:rsidRDefault="00F3776C" w:rsidP="009C460F">
            <w:pPr>
              <w:spacing w:line="240" w:lineRule="auto"/>
              <w:jc w:val="center"/>
              <w:rPr>
                <w:rFonts w:cs="Times New Roman"/>
              </w:rPr>
            </w:pPr>
            <w:r w:rsidRPr="00BC6787">
              <w:rPr>
                <w:rFonts w:cs="Times New Roman"/>
              </w:rPr>
              <w:t>1.47</w:t>
            </w:r>
          </w:p>
        </w:tc>
        <w:tc>
          <w:tcPr>
            <w:tcW w:w="1118" w:type="dxa"/>
            <w:gridSpan w:val="2"/>
            <w:vAlign w:val="bottom"/>
          </w:tcPr>
          <w:p w14:paraId="1FA3F2D4" w14:textId="77777777" w:rsidR="00F3776C" w:rsidRPr="00BC6787" w:rsidRDefault="00F3776C" w:rsidP="009C460F">
            <w:pPr>
              <w:spacing w:line="240" w:lineRule="auto"/>
              <w:jc w:val="center"/>
              <w:rPr>
                <w:rFonts w:cs="Times New Roman"/>
              </w:rPr>
            </w:pPr>
            <w:r w:rsidRPr="00BC6787">
              <w:rPr>
                <w:rFonts w:cs="Times New Roman"/>
              </w:rPr>
              <w:t>-0.04</w:t>
            </w:r>
          </w:p>
        </w:tc>
        <w:tc>
          <w:tcPr>
            <w:tcW w:w="4731" w:type="dxa"/>
            <w:gridSpan w:val="2"/>
            <w:vMerge/>
            <w:tcBorders>
              <w:right w:val="nil"/>
            </w:tcBorders>
          </w:tcPr>
          <w:p w14:paraId="6FA781F5" w14:textId="77777777" w:rsidR="00F3776C" w:rsidRPr="00BC6787" w:rsidRDefault="00F3776C" w:rsidP="009C460F">
            <w:pPr>
              <w:spacing w:line="240" w:lineRule="auto"/>
              <w:jc w:val="center"/>
              <w:rPr>
                <w:rFonts w:cs="Times New Roman"/>
              </w:rPr>
            </w:pPr>
          </w:p>
        </w:tc>
      </w:tr>
      <w:tr w:rsidR="00F85EC3" w:rsidRPr="00BC6787" w14:paraId="542CFDAA" w14:textId="77777777" w:rsidTr="009C460F">
        <w:trPr>
          <w:gridAfter w:val="1"/>
          <w:wAfter w:w="37" w:type="dxa"/>
          <w:trHeight w:val="283"/>
        </w:trPr>
        <w:tc>
          <w:tcPr>
            <w:tcW w:w="1471" w:type="dxa"/>
            <w:vAlign w:val="center"/>
          </w:tcPr>
          <w:p w14:paraId="717FA207" w14:textId="77777777" w:rsidR="00F3776C" w:rsidRPr="00BC6787" w:rsidRDefault="00F3776C" w:rsidP="009C460F">
            <w:pPr>
              <w:spacing w:line="240" w:lineRule="auto"/>
              <w:jc w:val="right"/>
              <w:rPr>
                <w:rFonts w:cs="Times New Roman"/>
              </w:rPr>
            </w:pPr>
            <w:r w:rsidRPr="00BC6787">
              <w:rPr>
                <w:rFonts w:cs="Times New Roman"/>
              </w:rPr>
              <w:t xml:space="preserve">C1T </w:t>
            </w:r>
            <w:proofErr w:type="spellStart"/>
            <w:r w:rsidRPr="00BC6787">
              <w:rPr>
                <w:rFonts w:cs="Times New Roman"/>
              </w:rPr>
              <w:t>C1T</w:t>
            </w:r>
            <w:proofErr w:type="spellEnd"/>
          </w:p>
        </w:tc>
        <w:tc>
          <w:tcPr>
            <w:tcW w:w="838" w:type="dxa"/>
            <w:gridSpan w:val="2"/>
            <w:vAlign w:val="bottom"/>
          </w:tcPr>
          <w:p w14:paraId="4877ECF7" w14:textId="77777777" w:rsidR="00F3776C" w:rsidRPr="00BC6787" w:rsidRDefault="00F3776C" w:rsidP="009C460F">
            <w:pPr>
              <w:spacing w:line="240" w:lineRule="auto"/>
              <w:jc w:val="center"/>
              <w:rPr>
                <w:rFonts w:cs="Times New Roman"/>
              </w:rPr>
            </w:pPr>
            <w:r w:rsidRPr="00BC6787">
              <w:rPr>
                <w:rFonts w:cs="Times New Roman"/>
              </w:rPr>
              <w:t>1.54</w:t>
            </w:r>
          </w:p>
        </w:tc>
        <w:tc>
          <w:tcPr>
            <w:tcW w:w="839" w:type="dxa"/>
            <w:gridSpan w:val="2"/>
            <w:vAlign w:val="bottom"/>
          </w:tcPr>
          <w:p w14:paraId="3BCA947A" w14:textId="77777777" w:rsidR="00F3776C" w:rsidRPr="00BC6787" w:rsidRDefault="00F3776C" w:rsidP="009C460F">
            <w:pPr>
              <w:spacing w:line="240" w:lineRule="auto"/>
              <w:jc w:val="center"/>
              <w:rPr>
                <w:rFonts w:cs="Times New Roman"/>
              </w:rPr>
            </w:pPr>
            <w:r w:rsidRPr="00BC6787">
              <w:rPr>
                <w:rFonts w:cs="Times New Roman"/>
              </w:rPr>
              <w:t>1.51</w:t>
            </w:r>
          </w:p>
        </w:tc>
        <w:tc>
          <w:tcPr>
            <w:tcW w:w="1118" w:type="dxa"/>
            <w:gridSpan w:val="2"/>
            <w:vAlign w:val="bottom"/>
          </w:tcPr>
          <w:p w14:paraId="65AED081" w14:textId="77777777" w:rsidR="00F3776C" w:rsidRPr="00BC6787" w:rsidRDefault="00F3776C" w:rsidP="009C460F">
            <w:pPr>
              <w:spacing w:line="240" w:lineRule="auto"/>
              <w:jc w:val="center"/>
              <w:rPr>
                <w:rFonts w:cs="Times New Roman"/>
              </w:rPr>
            </w:pPr>
            <w:r w:rsidRPr="00BC6787">
              <w:rPr>
                <w:rFonts w:cs="Times New Roman"/>
              </w:rPr>
              <w:t>-0.03</w:t>
            </w:r>
          </w:p>
        </w:tc>
        <w:tc>
          <w:tcPr>
            <w:tcW w:w="4731" w:type="dxa"/>
            <w:gridSpan w:val="2"/>
            <w:vMerge/>
            <w:tcBorders>
              <w:right w:val="nil"/>
            </w:tcBorders>
          </w:tcPr>
          <w:p w14:paraId="7E81C9F0" w14:textId="77777777" w:rsidR="00F3776C" w:rsidRPr="00BC6787" w:rsidRDefault="00F3776C" w:rsidP="009C460F">
            <w:pPr>
              <w:spacing w:line="240" w:lineRule="auto"/>
              <w:jc w:val="center"/>
              <w:rPr>
                <w:rFonts w:cs="Times New Roman"/>
              </w:rPr>
            </w:pPr>
          </w:p>
        </w:tc>
      </w:tr>
      <w:tr w:rsidR="00F85EC3" w:rsidRPr="00BC6787" w14:paraId="0EB99D01" w14:textId="77777777" w:rsidTr="009C460F">
        <w:trPr>
          <w:gridAfter w:val="1"/>
          <w:wAfter w:w="37" w:type="dxa"/>
          <w:trHeight w:val="283"/>
        </w:trPr>
        <w:tc>
          <w:tcPr>
            <w:tcW w:w="4266" w:type="dxa"/>
            <w:gridSpan w:val="7"/>
            <w:vAlign w:val="center"/>
          </w:tcPr>
          <w:p w14:paraId="5D0C37CD" w14:textId="77777777" w:rsidR="00F3776C" w:rsidRPr="00BC6787" w:rsidRDefault="00F3776C" w:rsidP="009C460F">
            <w:pPr>
              <w:spacing w:line="240" w:lineRule="auto"/>
              <w:jc w:val="left"/>
              <w:rPr>
                <w:rFonts w:cs="Times New Roman"/>
              </w:rPr>
            </w:pPr>
            <w:r w:rsidRPr="00BC6787">
              <w:rPr>
                <w:rFonts w:cs="Times New Roman"/>
              </w:rPr>
              <w:t>C – N bonds</w:t>
            </w:r>
          </w:p>
        </w:tc>
        <w:tc>
          <w:tcPr>
            <w:tcW w:w="4731" w:type="dxa"/>
            <w:gridSpan w:val="2"/>
            <w:vMerge/>
            <w:tcBorders>
              <w:right w:val="nil"/>
            </w:tcBorders>
          </w:tcPr>
          <w:p w14:paraId="38C59388" w14:textId="77777777" w:rsidR="00F3776C" w:rsidRPr="00BC6787" w:rsidRDefault="00F3776C" w:rsidP="009C460F">
            <w:pPr>
              <w:spacing w:line="240" w:lineRule="auto"/>
              <w:jc w:val="left"/>
              <w:rPr>
                <w:rFonts w:cs="Times New Roman"/>
              </w:rPr>
            </w:pPr>
          </w:p>
        </w:tc>
      </w:tr>
      <w:tr w:rsidR="00F85EC3" w:rsidRPr="00BC6787" w14:paraId="05468206" w14:textId="77777777" w:rsidTr="009C460F">
        <w:trPr>
          <w:gridAfter w:val="1"/>
          <w:wAfter w:w="37" w:type="dxa"/>
          <w:trHeight w:val="283"/>
        </w:trPr>
        <w:tc>
          <w:tcPr>
            <w:tcW w:w="1471" w:type="dxa"/>
            <w:vAlign w:val="center"/>
          </w:tcPr>
          <w:p w14:paraId="01C8E59E" w14:textId="77777777" w:rsidR="00F3776C" w:rsidRPr="00BC6787" w:rsidRDefault="00F3776C" w:rsidP="009C460F">
            <w:pPr>
              <w:spacing w:line="240" w:lineRule="auto"/>
              <w:jc w:val="right"/>
              <w:rPr>
                <w:rFonts w:cs="Times New Roman"/>
              </w:rPr>
            </w:pPr>
            <w:r w:rsidRPr="00BC6787">
              <w:rPr>
                <w:rFonts w:cs="Times New Roman"/>
              </w:rPr>
              <w:t>NA CNR</w:t>
            </w:r>
          </w:p>
        </w:tc>
        <w:tc>
          <w:tcPr>
            <w:tcW w:w="838" w:type="dxa"/>
            <w:gridSpan w:val="2"/>
            <w:vAlign w:val="bottom"/>
          </w:tcPr>
          <w:p w14:paraId="131D7EFF" w14:textId="77777777" w:rsidR="00F3776C" w:rsidRPr="00BC6787" w:rsidRDefault="00F3776C" w:rsidP="009C460F">
            <w:pPr>
              <w:spacing w:line="240" w:lineRule="auto"/>
              <w:jc w:val="center"/>
              <w:rPr>
                <w:rFonts w:cs="Times New Roman"/>
              </w:rPr>
            </w:pPr>
            <w:r w:rsidRPr="00BC6787">
              <w:rPr>
                <w:rFonts w:cs="Times New Roman"/>
              </w:rPr>
              <w:t>1.44</w:t>
            </w:r>
          </w:p>
        </w:tc>
        <w:tc>
          <w:tcPr>
            <w:tcW w:w="839" w:type="dxa"/>
            <w:gridSpan w:val="2"/>
            <w:vAlign w:val="bottom"/>
          </w:tcPr>
          <w:p w14:paraId="6D9DB0A3" w14:textId="77777777" w:rsidR="00F3776C" w:rsidRPr="00BC6787" w:rsidRDefault="00F3776C" w:rsidP="009C460F">
            <w:pPr>
              <w:spacing w:line="240" w:lineRule="auto"/>
              <w:jc w:val="center"/>
              <w:rPr>
                <w:rFonts w:cs="Times New Roman"/>
              </w:rPr>
            </w:pPr>
            <w:r w:rsidRPr="00BC6787">
              <w:rPr>
                <w:rFonts w:cs="Times New Roman"/>
              </w:rPr>
              <w:t>1.33</w:t>
            </w:r>
          </w:p>
        </w:tc>
        <w:tc>
          <w:tcPr>
            <w:tcW w:w="1118" w:type="dxa"/>
            <w:gridSpan w:val="2"/>
            <w:vAlign w:val="bottom"/>
          </w:tcPr>
          <w:p w14:paraId="558E504E" w14:textId="77777777" w:rsidR="00F3776C" w:rsidRPr="00BC6787" w:rsidRDefault="00F3776C" w:rsidP="009C460F">
            <w:pPr>
              <w:spacing w:line="240" w:lineRule="auto"/>
              <w:jc w:val="center"/>
              <w:rPr>
                <w:rFonts w:cs="Times New Roman"/>
              </w:rPr>
            </w:pPr>
            <w:r w:rsidRPr="00BC6787">
              <w:rPr>
                <w:rFonts w:cs="Times New Roman"/>
              </w:rPr>
              <w:t>-0.11</w:t>
            </w:r>
          </w:p>
        </w:tc>
        <w:tc>
          <w:tcPr>
            <w:tcW w:w="4731" w:type="dxa"/>
            <w:gridSpan w:val="2"/>
            <w:vMerge/>
            <w:tcBorders>
              <w:right w:val="nil"/>
            </w:tcBorders>
          </w:tcPr>
          <w:p w14:paraId="4FAB9A2D" w14:textId="77777777" w:rsidR="00F3776C" w:rsidRPr="00BC6787" w:rsidRDefault="00F3776C" w:rsidP="009C460F">
            <w:pPr>
              <w:spacing w:line="240" w:lineRule="auto"/>
              <w:jc w:val="center"/>
              <w:rPr>
                <w:rFonts w:cs="Times New Roman"/>
              </w:rPr>
            </w:pPr>
          </w:p>
        </w:tc>
      </w:tr>
      <w:tr w:rsidR="00F85EC3" w:rsidRPr="00BC6787" w14:paraId="2317B619" w14:textId="77777777" w:rsidTr="009C460F">
        <w:trPr>
          <w:gridAfter w:val="1"/>
          <w:wAfter w:w="37" w:type="dxa"/>
          <w:trHeight w:val="283"/>
        </w:trPr>
        <w:tc>
          <w:tcPr>
            <w:tcW w:w="1471" w:type="dxa"/>
            <w:tcBorders>
              <w:bottom w:val="single" w:sz="12" w:space="0" w:color="auto"/>
            </w:tcBorders>
            <w:vAlign w:val="center"/>
          </w:tcPr>
          <w:p w14:paraId="7CF6D334" w14:textId="77777777" w:rsidR="00F3776C" w:rsidRPr="00BC6787" w:rsidRDefault="00F3776C" w:rsidP="009C460F">
            <w:pPr>
              <w:spacing w:line="240" w:lineRule="auto"/>
              <w:jc w:val="right"/>
              <w:rPr>
                <w:rFonts w:cs="Times New Roman"/>
              </w:rPr>
            </w:pPr>
            <w:r w:rsidRPr="00BC6787">
              <w:rPr>
                <w:rFonts w:cs="Times New Roman"/>
              </w:rPr>
              <w:t>NA CDN</w:t>
            </w:r>
          </w:p>
        </w:tc>
        <w:tc>
          <w:tcPr>
            <w:tcW w:w="838" w:type="dxa"/>
            <w:gridSpan w:val="2"/>
            <w:tcBorders>
              <w:bottom w:val="single" w:sz="12" w:space="0" w:color="auto"/>
            </w:tcBorders>
            <w:vAlign w:val="bottom"/>
          </w:tcPr>
          <w:p w14:paraId="2411667B" w14:textId="77777777" w:rsidR="00F3776C" w:rsidRPr="00BC6787" w:rsidRDefault="00F3776C" w:rsidP="009C460F">
            <w:pPr>
              <w:spacing w:line="240" w:lineRule="auto"/>
              <w:jc w:val="center"/>
              <w:rPr>
                <w:rFonts w:cs="Times New Roman"/>
              </w:rPr>
            </w:pPr>
            <w:r w:rsidRPr="00BC6787">
              <w:rPr>
                <w:rFonts w:cs="Times New Roman"/>
              </w:rPr>
              <w:t>1.39</w:t>
            </w:r>
          </w:p>
        </w:tc>
        <w:tc>
          <w:tcPr>
            <w:tcW w:w="839" w:type="dxa"/>
            <w:gridSpan w:val="2"/>
            <w:tcBorders>
              <w:bottom w:val="single" w:sz="12" w:space="0" w:color="auto"/>
            </w:tcBorders>
            <w:vAlign w:val="bottom"/>
          </w:tcPr>
          <w:p w14:paraId="4A954870" w14:textId="77777777" w:rsidR="00F3776C" w:rsidRPr="00BC6787" w:rsidRDefault="00F3776C" w:rsidP="009C460F">
            <w:pPr>
              <w:spacing w:line="240" w:lineRule="auto"/>
              <w:jc w:val="center"/>
              <w:rPr>
                <w:rFonts w:cs="Times New Roman"/>
              </w:rPr>
            </w:pPr>
            <w:r w:rsidRPr="00BC6787">
              <w:rPr>
                <w:rFonts w:cs="Times New Roman"/>
              </w:rPr>
              <w:t>1.31</w:t>
            </w:r>
          </w:p>
        </w:tc>
        <w:tc>
          <w:tcPr>
            <w:tcW w:w="1118" w:type="dxa"/>
            <w:gridSpan w:val="2"/>
            <w:tcBorders>
              <w:bottom w:val="single" w:sz="12" w:space="0" w:color="auto"/>
            </w:tcBorders>
            <w:vAlign w:val="bottom"/>
          </w:tcPr>
          <w:p w14:paraId="5C08BCAA" w14:textId="77777777" w:rsidR="00F3776C" w:rsidRPr="00BC6787" w:rsidRDefault="00F3776C" w:rsidP="009C460F">
            <w:pPr>
              <w:spacing w:line="240" w:lineRule="auto"/>
              <w:jc w:val="center"/>
              <w:rPr>
                <w:rFonts w:cs="Times New Roman"/>
              </w:rPr>
            </w:pPr>
            <w:r w:rsidRPr="00BC6787">
              <w:rPr>
                <w:rFonts w:cs="Times New Roman"/>
              </w:rPr>
              <w:t>-0.08</w:t>
            </w:r>
          </w:p>
        </w:tc>
        <w:tc>
          <w:tcPr>
            <w:tcW w:w="4731" w:type="dxa"/>
            <w:gridSpan w:val="2"/>
            <w:vMerge/>
            <w:tcBorders>
              <w:right w:val="nil"/>
            </w:tcBorders>
          </w:tcPr>
          <w:p w14:paraId="563AA6A4" w14:textId="77777777" w:rsidR="00F3776C" w:rsidRPr="00BC6787" w:rsidRDefault="00F3776C" w:rsidP="009C460F">
            <w:pPr>
              <w:spacing w:line="240" w:lineRule="auto"/>
              <w:jc w:val="center"/>
              <w:rPr>
                <w:rFonts w:cs="Times New Roman"/>
              </w:rPr>
            </w:pPr>
          </w:p>
        </w:tc>
      </w:tr>
      <w:tr w:rsidR="00F85EC3" w:rsidRPr="00BC6787" w14:paraId="6140FABA" w14:textId="77777777" w:rsidTr="009C460F">
        <w:trPr>
          <w:gridAfter w:val="1"/>
          <w:wAfter w:w="37" w:type="dxa"/>
          <w:trHeight w:val="283"/>
        </w:trPr>
        <w:tc>
          <w:tcPr>
            <w:tcW w:w="1471" w:type="dxa"/>
            <w:tcBorders>
              <w:top w:val="single" w:sz="12" w:space="0" w:color="auto"/>
              <w:bottom w:val="single" w:sz="4" w:space="0" w:color="auto"/>
            </w:tcBorders>
            <w:vAlign w:val="center"/>
          </w:tcPr>
          <w:p w14:paraId="5FB1B2B9" w14:textId="77777777" w:rsidR="00F3776C" w:rsidRPr="00BC6787" w:rsidRDefault="00F3776C" w:rsidP="009C460F">
            <w:pPr>
              <w:spacing w:line="240" w:lineRule="auto"/>
              <w:jc w:val="right"/>
              <w:rPr>
                <w:rFonts w:cs="Times New Roman"/>
              </w:rPr>
            </w:pPr>
            <w:r w:rsidRPr="00BC6787">
              <w:rPr>
                <w:rFonts w:cs="Times New Roman"/>
              </w:rPr>
              <w:t>NB CNA</w:t>
            </w:r>
          </w:p>
        </w:tc>
        <w:tc>
          <w:tcPr>
            <w:tcW w:w="838" w:type="dxa"/>
            <w:gridSpan w:val="2"/>
            <w:tcBorders>
              <w:top w:val="single" w:sz="12" w:space="0" w:color="auto"/>
              <w:bottom w:val="single" w:sz="4" w:space="0" w:color="auto"/>
            </w:tcBorders>
            <w:vAlign w:val="bottom"/>
          </w:tcPr>
          <w:p w14:paraId="3F2254A6" w14:textId="77777777" w:rsidR="00F3776C" w:rsidRPr="00BC6787" w:rsidRDefault="00F3776C" w:rsidP="009C460F">
            <w:pPr>
              <w:spacing w:line="240" w:lineRule="auto"/>
              <w:jc w:val="center"/>
              <w:rPr>
                <w:rFonts w:cs="Times New Roman"/>
              </w:rPr>
            </w:pPr>
            <w:r w:rsidRPr="00BC6787">
              <w:rPr>
                <w:rFonts w:cs="Times New Roman"/>
              </w:rPr>
              <w:t>1.30</w:t>
            </w:r>
          </w:p>
        </w:tc>
        <w:tc>
          <w:tcPr>
            <w:tcW w:w="839" w:type="dxa"/>
            <w:gridSpan w:val="2"/>
            <w:tcBorders>
              <w:top w:val="single" w:sz="12" w:space="0" w:color="auto"/>
              <w:bottom w:val="single" w:sz="4" w:space="0" w:color="auto"/>
            </w:tcBorders>
            <w:vAlign w:val="bottom"/>
          </w:tcPr>
          <w:p w14:paraId="23163E4C" w14:textId="77777777" w:rsidR="00F3776C" w:rsidRPr="00BC6787" w:rsidRDefault="00F3776C" w:rsidP="009C460F">
            <w:pPr>
              <w:spacing w:line="240" w:lineRule="auto"/>
              <w:jc w:val="center"/>
              <w:rPr>
                <w:rFonts w:cs="Times New Roman"/>
              </w:rPr>
            </w:pPr>
            <w:r w:rsidRPr="00BC6787">
              <w:rPr>
                <w:rFonts w:cs="Times New Roman"/>
              </w:rPr>
              <w:t>1.35</w:t>
            </w:r>
          </w:p>
        </w:tc>
        <w:tc>
          <w:tcPr>
            <w:tcW w:w="1118" w:type="dxa"/>
            <w:gridSpan w:val="2"/>
            <w:tcBorders>
              <w:top w:val="single" w:sz="12" w:space="0" w:color="auto"/>
              <w:bottom w:val="single" w:sz="4" w:space="0" w:color="auto"/>
            </w:tcBorders>
            <w:vAlign w:val="bottom"/>
          </w:tcPr>
          <w:p w14:paraId="2760A2DB" w14:textId="77777777" w:rsidR="00F3776C" w:rsidRPr="00BC6787" w:rsidRDefault="00F3776C" w:rsidP="009C460F">
            <w:pPr>
              <w:spacing w:line="240" w:lineRule="auto"/>
              <w:jc w:val="center"/>
              <w:rPr>
                <w:rFonts w:cs="Times New Roman"/>
              </w:rPr>
            </w:pPr>
            <w:r w:rsidRPr="00BC6787">
              <w:rPr>
                <w:rFonts w:cs="Times New Roman"/>
              </w:rPr>
              <w:t xml:space="preserve"> 0.05</w:t>
            </w:r>
          </w:p>
        </w:tc>
        <w:tc>
          <w:tcPr>
            <w:tcW w:w="4731" w:type="dxa"/>
            <w:gridSpan w:val="2"/>
            <w:vMerge/>
            <w:tcBorders>
              <w:bottom w:val="nil"/>
              <w:right w:val="nil"/>
            </w:tcBorders>
          </w:tcPr>
          <w:p w14:paraId="41547CB5" w14:textId="77777777" w:rsidR="00F3776C" w:rsidRPr="00BC6787" w:rsidRDefault="00F3776C" w:rsidP="009C460F">
            <w:pPr>
              <w:spacing w:line="240" w:lineRule="auto"/>
              <w:jc w:val="center"/>
              <w:rPr>
                <w:rFonts w:cs="Times New Roman"/>
              </w:rPr>
            </w:pPr>
          </w:p>
        </w:tc>
      </w:tr>
      <w:tr w:rsidR="00F85EC3" w:rsidRPr="00BC6787" w14:paraId="66DFAA2A" w14:textId="77777777" w:rsidTr="009C460F">
        <w:trPr>
          <w:trHeight w:val="420"/>
        </w:trPr>
        <w:tc>
          <w:tcPr>
            <w:tcW w:w="4266" w:type="dxa"/>
            <w:gridSpan w:val="7"/>
            <w:tcBorders>
              <w:top w:val="single" w:sz="4" w:space="0" w:color="auto"/>
              <w:left w:val="nil"/>
              <w:bottom w:val="single" w:sz="4" w:space="0" w:color="auto"/>
              <w:right w:val="nil"/>
            </w:tcBorders>
            <w:vAlign w:val="center"/>
          </w:tcPr>
          <w:p w14:paraId="14DF9CA5" w14:textId="77777777" w:rsidR="00F3776C" w:rsidRPr="00BC6787" w:rsidRDefault="00F3776C" w:rsidP="009C460F">
            <w:pPr>
              <w:spacing w:line="240" w:lineRule="auto"/>
              <w:jc w:val="left"/>
              <w:rPr>
                <w:rFonts w:cs="Times New Roman"/>
              </w:rPr>
            </w:pPr>
          </w:p>
        </w:tc>
        <w:tc>
          <w:tcPr>
            <w:tcW w:w="4768" w:type="dxa"/>
            <w:gridSpan w:val="3"/>
            <w:vMerge w:val="restart"/>
            <w:tcBorders>
              <w:top w:val="nil"/>
              <w:left w:val="nil"/>
              <w:bottom w:val="single" w:sz="4" w:space="0" w:color="auto"/>
              <w:right w:val="nil"/>
            </w:tcBorders>
            <w:vAlign w:val="center"/>
          </w:tcPr>
          <w:p w14:paraId="61892F12" w14:textId="77777777" w:rsidR="00F3776C" w:rsidRPr="00BC6787" w:rsidRDefault="00F3776C" w:rsidP="009C460F">
            <w:pPr>
              <w:spacing w:line="240" w:lineRule="auto"/>
              <w:jc w:val="center"/>
              <w:rPr>
                <w:rFonts w:cs="Times New Roman"/>
                <w:b/>
                <w:noProof/>
                <w:lang w:eastAsia="en-GB"/>
              </w:rPr>
            </w:pPr>
            <w:r w:rsidRPr="00BC6787">
              <w:rPr>
                <w:rFonts w:cs="Times New Roman"/>
                <w:b/>
                <w:noProof/>
                <w:lang w:eastAsia="en-GB"/>
              </w:rPr>
              <w:drawing>
                <wp:inline distT="0" distB="0" distL="0" distR="0" wp14:anchorId="5935E02F" wp14:editId="02E653AE">
                  <wp:extent cx="2628000" cy="1903370"/>
                  <wp:effectExtent l="0" t="0" r="1270" b="1905"/>
                  <wp:docPr id="4" name="Picture 4" descr="A picture containing honeycomb&#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la-err.png"/>
                          <pic:cNvPicPr/>
                        </pic:nvPicPr>
                        <pic:blipFill>
                          <a:blip r:embed="rId58">
                            <a:extLst>
                              <a:ext uri="{28A0092B-C50C-407E-A947-70E740481C1C}">
                                <a14:useLocalDpi xmlns:a14="http://schemas.microsoft.com/office/drawing/2010/main" val="0"/>
                              </a:ext>
                            </a:extLst>
                          </a:blip>
                          <a:stretch>
                            <a:fillRect/>
                          </a:stretch>
                        </pic:blipFill>
                        <pic:spPr>
                          <a:xfrm>
                            <a:off x="0" y="0"/>
                            <a:ext cx="2628000" cy="1903370"/>
                          </a:xfrm>
                          <a:prstGeom prst="rect">
                            <a:avLst/>
                          </a:prstGeom>
                        </pic:spPr>
                      </pic:pic>
                    </a:graphicData>
                  </a:graphic>
                </wp:inline>
              </w:drawing>
            </w:r>
          </w:p>
        </w:tc>
      </w:tr>
      <w:tr w:rsidR="00F85EC3" w:rsidRPr="00BC6787" w14:paraId="50EF3DB1" w14:textId="77777777" w:rsidTr="009C460F">
        <w:tc>
          <w:tcPr>
            <w:tcW w:w="4266" w:type="dxa"/>
            <w:gridSpan w:val="7"/>
            <w:tcBorders>
              <w:top w:val="single" w:sz="4" w:space="0" w:color="auto"/>
              <w:right w:val="single" w:sz="4" w:space="0" w:color="auto"/>
            </w:tcBorders>
            <w:vAlign w:val="center"/>
          </w:tcPr>
          <w:p w14:paraId="2D900B4A" w14:textId="77777777" w:rsidR="00F3776C" w:rsidRPr="00BC6787" w:rsidRDefault="00F3776C" w:rsidP="009C460F">
            <w:pPr>
              <w:spacing w:line="240" w:lineRule="auto"/>
              <w:jc w:val="left"/>
              <w:rPr>
                <w:rFonts w:cs="Times New Roman"/>
              </w:rPr>
            </w:pPr>
            <w:proofErr w:type="spellStart"/>
            <w:r w:rsidRPr="00BC6787">
              <w:rPr>
                <w:rFonts w:cs="Times New Roman"/>
                <w:b/>
              </w:rPr>
              <w:t>Chl</w:t>
            </w:r>
            <w:proofErr w:type="spellEnd"/>
            <w:r w:rsidRPr="00BC6787">
              <w:rPr>
                <w:rFonts w:cs="Times New Roman"/>
                <w:b/>
              </w:rPr>
              <w:t>-a</w:t>
            </w:r>
          </w:p>
        </w:tc>
        <w:tc>
          <w:tcPr>
            <w:tcW w:w="4768" w:type="dxa"/>
            <w:gridSpan w:val="3"/>
            <w:vMerge/>
            <w:tcBorders>
              <w:left w:val="single" w:sz="4" w:space="0" w:color="auto"/>
              <w:right w:val="nil"/>
            </w:tcBorders>
          </w:tcPr>
          <w:p w14:paraId="0A0DDD4B" w14:textId="77777777" w:rsidR="00F3776C" w:rsidRPr="00BC6787" w:rsidRDefault="00F3776C" w:rsidP="009C460F">
            <w:pPr>
              <w:spacing w:line="240" w:lineRule="auto"/>
              <w:jc w:val="right"/>
              <w:rPr>
                <w:rFonts w:cs="Times New Roman"/>
              </w:rPr>
            </w:pPr>
          </w:p>
        </w:tc>
      </w:tr>
      <w:tr w:rsidR="00F85EC3" w:rsidRPr="00BC6787" w14:paraId="59F13BCB" w14:textId="77777777" w:rsidTr="009C460F">
        <w:tc>
          <w:tcPr>
            <w:tcW w:w="1471" w:type="dxa"/>
            <w:vAlign w:val="center"/>
          </w:tcPr>
          <w:p w14:paraId="051E9907" w14:textId="77777777" w:rsidR="00F3776C" w:rsidRPr="00BC6787" w:rsidRDefault="00F3776C" w:rsidP="009C460F">
            <w:pPr>
              <w:spacing w:line="240" w:lineRule="auto"/>
              <w:jc w:val="left"/>
              <w:rPr>
                <w:rFonts w:cs="Times New Roman"/>
              </w:rPr>
            </w:pPr>
            <w:r w:rsidRPr="00BC6787">
              <w:rPr>
                <w:rFonts w:cs="Times New Roman"/>
              </w:rPr>
              <w:t>Parameter</w:t>
            </w:r>
          </w:p>
        </w:tc>
        <w:tc>
          <w:tcPr>
            <w:tcW w:w="838" w:type="dxa"/>
            <w:gridSpan w:val="2"/>
            <w:vAlign w:val="center"/>
          </w:tcPr>
          <w:p w14:paraId="01E16056" w14:textId="77777777" w:rsidR="00F3776C" w:rsidRPr="00BC6787" w:rsidRDefault="00F3776C" w:rsidP="009C460F">
            <w:pPr>
              <w:spacing w:line="240" w:lineRule="auto"/>
              <w:jc w:val="left"/>
              <w:rPr>
                <w:rFonts w:cs="Times New Roman"/>
              </w:rPr>
            </w:pPr>
            <w:r w:rsidRPr="00BC6787">
              <w:rPr>
                <w:rFonts w:cs="Times New Roman"/>
                <w:position w:val="-6"/>
              </w:rPr>
              <w:object w:dxaOrig="220" w:dyaOrig="300" w14:anchorId="069C7686">
                <v:shape id="_x0000_i1047" type="#_x0000_t75" style="width:14pt;height:14.5pt" o:ole="">
                  <v:imagedata r:id="rId52" o:title=""/>
                </v:shape>
                <o:OLEObject Type="Embed" ProgID="Equation.DSMT4" ShapeID="_x0000_i1047" DrawAspect="Content" ObjectID="_1606308041" r:id="rId59"/>
              </w:object>
            </w:r>
            <w:r w:rsidRPr="00BC6787">
              <w:rPr>
                <w:rFonts w:cs="Times New Roman"/>
              </w:rPr>
              <w:t xml:space="preserve"> /Å</w:t>
            </w:r>
          </w:p>
        </w:tc>
        <w:tc>
          <w:tcPr>
            <w:tcW w:w="839" w:type="dxa"/>
            <w:gridSpan w:val="2"/>
            <w:vAlign w:val="center"/>
          </w:tcPr>
          <w:p w14:paraId="3E397EF6" w14:textId="77777777" w:rsidR="00F3776C" w:rsidRPr="00BC6787" w:rsidRDefault="00F3776C" w:rsidP="009C460F">
            <w:pPr>
              <w:spacing w:line="240" w:lineRule="auto"/>
              <w:jc w:val="left"/>
              <w:rPr>
                <w:rFonts w:cs="Times New Roman"/>
              </w:rPr>
            </w:pPr>
            <w:r w:rsidRPr="00BC6787">
              <w:rPr>
                <w:rFonts w:cs="Times New Roman"/>
                <w:position w:val="-6"/>
              </w:rPr>
              <w:object w:dxaOrig="279" w:dyaOrig="300" w14:anchorId="3B7BB84A">
                <v:shape id="_x0000_i1048" type="#_x0000_t75" style="width:14.5pt;height:14.5pt" o:ole="">
                  <v:imagedata r:id="rId54" o:title=""/>
                </v:shape>
                <o:OLEObject Type="Embed" ProgID="Equation.DSMT4" ShapeID="_x0000_i1048" DrawAspect="Content" ObjectID="_1606308042" r:id="rId60"/>
              </w:object>
            </w:r>
            <w:r w:rsidRPr="00BC6787">
              <w:rPr>
                <w:rFonts w:cs="Times New Roman"/>
              </w:rPr>
              <w:t>/Å</w:t>
            </w:r>
          </w:p>
        </w:tc>
        <w:tc>
          <w:tcPr>
            <w:tcW w:w="1118" w:type="dxa"/>
            <w:gridSpan w:val="2"/>
            <w:tcBorders>
              <w:right w:val="single" w:sz="4" w:space="0" w:color="auto"/>
            </w:tcBorders>
            <w:vAlign w:val="center"/>
          </w:tcPr>
          <w:p w14:paraId="3EC8744B" w14:textId="77777777" w:rsidR="00F3776C" w:rsidRPr="00BC6787" w:rsidRDefault="00F3776C" w:rsidP="009C460F">
            <w:pPr>
              <w:spacing w:line="240" w:lineRule="auto"/>
              <w:jc w:val="left"/>
              <w:rPr>
                <w:rFonts w:cs="Times New Roman"/>
              </w:rPr>
            </w:pPr>
            <w:r w:rsidRPr="00BC6787">
              <w:rPr>
                <w:rFonts w:cs="Times New Roman"/>
                <w:position w:val="-6"/>
              </w:rPr>
              <w:object w:dxaOrig="560" w:dyaOrig="300" w14:anchorId="1459BEE9">
                <v:shape id="_x0000_i1049" type="#_x0000_t75" style="width:28.5pt;height:14.5pt" o:ole="">
                  <v:imagedata r:id="rId56" o:title=""/>
                </v:shape>
                <o:OLEObject Type="Embed" ProgID="Equation.DSMT4" ShapeID="_x0000_i1049" DrawAspect="Content" ObjectID="_1606308043" r:id="rId61"/>
              </w:object>
            </w:r>
            <w:r w:rsidRPr="00BC6787">
              <w:rPr>
                <w:rFonts w:cs="Times New Roman"/>
              </w:rPr>
              <w:t>/Å</w:t>
            </w:r>
          </w:p>
        </w:tc>
        <w:tc>
          <w:tcPr>
            <w:tcW w:w="4768" w:type="dxa"/>
            <w:gridSpan w:val="3"/>
            <w:vMerge/>
            <w:tcBorders>
              <w:left w:val="single" w:sz="4" w:space="0" w:color="auto"/>
              <w:right w:val="nil"/>
            </w:tcBorders>
          </w:tcPr>
          <w:p w14:paraId="2B223252" w14:textId="77777777" w:rsidR="00F3776C" w:rsidRPr="00BC6787" w:rsidRDefault="00F3776C" w:rsidP="009C460F">
            <w:pPr>
              <w:spacing w:line="240" w:lineRule="auto"/>
              <w:jc w:val="left"/>
              <w:rPr>
                <w:rFonts w:cs="Times New Roman"/>
              </w:rPr>
            </w:pPr>
          </w:p>
        </w:tc>
      </w:tr>
      <w:tr w:rsidR="00F85EC3" w:rsidRPr="00BC6787" w14:paraId="1349F77D" w14:textId="77777777" w:rsidTr="009C460F">
        <w:tc>
          <w:tcPr>
            <w:tcW w:w="4266" w:type="dxa"/>
            <w:gridSpan w:val="7"/>
            <w:tcBorders>
              <w:right w:val="single" w:sz="4" w:space="0" w:color="auto"/>
            </w:tcBorders>
            <w:vAlign w:val="center"/>
          </w:tcPr>
          <w:p w14:paraId="168FC9F1" w14:textId="77777777" w:rsidR="00F3776C" w:rsidRPr="00BC6787" w:rsidRDefault="00F3776C" w:rsidP="009C460F">
            <w:pPr>
              <w:spacing w:line="240" w:lineRule="auto"/>
              <w:jc w:val="left"/>
              <w:rPr>
                <w:rFonts w:cs="Times New Roman"/>
              </w:rPr>
            </w:pPr>
            <w:r w:rsidRPr="00BC6787">
              <w:rPr>
                <w:rFonts w:cs="Times New Roman"/>
              </w:rPr>
              <w:t>C – C bonds</w:t>
            </w:r>
          </w:p>
        </w:tc>
        <w:tc>
          <w:tcPr>
            <w:tcW w:w="4768" w:type="dxa"/>
            <w:gridSpan w:val="3"/>
            <w:vMerge/>
            <w:tcBorders>
              <w:left w:val="single" w:sz="4" w:space="0" w:color="auto"/>
              <w:right w:val="nil"/>
            </w:tcBorders>
          </w:tcPr>
          <w:p w14:paraId="2542EB4F" w14:textId="77777777" w:rsidR="00F3776C" w:rsidRPr="00BC6787" w:rsidRDefault="00F3776C" w:rsidP="009C460F">
            <w:pPr>
              <w:spacing w:line="240" w:lineRule="auto"/>
              <w:jc w:val="center"/>
              <w:rPr>
                <w:rFonts w:cs="Times New Roman"/>
              </w:rPr>
            </w:pPr>
          </w:p>
        </w:tc>
      </w:tr>
      <w:tr w:rsidR="00F85EC3" w:rsidRPr="00BC6787" w14:paraId="705BBB24" w14:textId="77777777" w:rsidTr="009C460F">
        <w:tc>
          <w:tcPr>
            <w:tcW w:w="1471" w:type="dxa"/>
            <w:vAlign w:val="bottom"/>
          </w:tcPr>
          <w:p w14:paraId="17A83C52" w14:textId="77777777" w:rsidR="00F3776C" w:rsidRPr="00BC6787" w:rsidRDefault="00F3776C" w:rsidP="009C460F">
            <w:pPr>
              <w:spacing w:line="240" w:lineRule="auto"/>
              <w:jc w:val="right"/>
              <w:rPr>
                <w:rFonts w:cs="Times New Roman"/>
              </w:rPr>
            </w:pPr>
            <w:r w:rsidRPr="00BC6787">
              <w:rPr>
                <w:rFonts w:cs="Times New Roman"/>
              </w:rPr>
              <w:t>CPM2 CPA3</w:t>
            </w:r>
          </w:p>
        </w:tc>
        <w:tc>
          <w:tcPr>
            <w:tcW w:w="838" w:type="dxa"/>
            <w:gridSpan w:val="2"/>
            <w:vAlign w:val="bottom"/>
          </w:tcPr>
          <w:p w14:paraId="2C1EDB53" w14:textId="77777777" w:rsidR="00F3776C" w:rsidRPr="00BC6787" w:rsidRDefault="00F3776C" w:rsidP="009C460F">
            <w:pPr>
              <w:spacing w:line="240" w:lineRule="auto"/>
              <w:jc w:val="center"/>
              <w:rPr>
                <w:rFonts w:cs="Times New Roman"/>
              </w:rPr>
            </w:pPr>
            <w:r w:rsidRPr="00BC6787">
              <w:rPr>
                <w:rFonts w:cs="Times New Roman"/>
              </w:rPr>
              <w:t>1.40</w:t>
            </w:r>
          </w:p>
        </w:tc>
        <w:tc>
          <w:tcPr>
            <w:tcW w:w="839" w:type="dxa"/>
            <w:gridSpan w:val="2"/>
            <w:vAlign w:val="bottom"/>
          </w:tcPr>
          <w:p w14:paraId="36D0C835" w14:textId="77777777" w:rsidR="00F3776C" w:rsidRPr="00BC6787" w:rsidRDefault="00F3776C" w:rsidP="009C460F">
            <w:pPr>
              <w:spacing w:line="240" w:lineRule="auto"/>
              <w:jc w:val="center"/>
              <w:rPr>
                <w:rFonts w:cs="Times New Roman"/>
              </w:rPr>
            </w:pPr>
            <w:r w:rsidRPr="00BC6787">
              <w:rPr>
                <w:rFonts w:cs="Times New Roman"/>
              </w:rPr>
              <w:t>1.46</w:t>
            </w:r>
          </w:p>
        </w:tc>
        <w:tc>
          <w:tcPr>
            <w:tcW w:w="1118" w:type="dxa"/>
            <w:gridSpan w:val="2"/>
            <w:tcBorders>
              <w:right w:val="single" w:sz="4" w:space="0" w:color="auto"/>
            </w:tcBorders>
            <w:vAlign w:val="bottom"/>
          </w:tcPr>
          <w:p w14:paraId="029D76EB" w14:textId="77777777" w:rsidR="00F3776C" w:rsidRPr="00BC6787" w:rsidRDefault="00F3776C" w:rsidP="009C460F">
            <w:pPr>
              <w:spacing w:line="240" w:lineRule="auto"/>
              <w:jc w:val="center"/>
              <w:rPr>
                <w:rFonts w:cs="Times New Roman"/>
              </w:rPr>
            </w:pPr>
            <w:r w:rsidRPr="00BC6787">
              <w:rPr>
                <w:rFonts w:cs="Times New Roman"/>
              </w:rPr>
              <w:t xml:space="preserve"> 0.06</w:t>
            </w:r>
          </w:p>
        </w:tc>
        <w:tc>
          <w:tcPr>
            <w:tcW w:w="4768" w:type="dxa"/>
            <w:gridSpan w:val="3"/>
            <w:vMerge/>
            <w:tcBorders>
              <w:left w:val="single" w:sz="4" w:space="0" w:color="auto"/>
              <w:right w:val="nil"/>
            </w:tcBorders>
          </w:tcPr>
          <w:p w14:paraId="6DE7CACB" w14:textId="77777777" w:rsidR="00F3776C" w:rsidRPr="00BC6787" w:rsidRDefault="00F3776C" w:rsidP="009C460F">
            <w:pPr>
              <w:spacing w:line="240" w:lineRule="auto"/>
              <w:jc w:val="center"/>
              <w:rPr>
                <w:rFonts w:cs="Times New Roman"/>
              </w:rPr>
            </w:pPr>
          </w:p>
        </w:tc>
      </w:tr>
      <w:tr w:rsidR="00F85EC3" w:rsidRPr="00BC6787" w14:paraId="53AF84C2" w14:textId="77777777" w:rsidTr="009C460F">
        <w:tc>
          <w:tcPr>
            <w:tcW w:w="1471" w:type="dxa"/>
            <w:tcBorders>
              <w:bottom w:val="single" w:sz="12" w:space="0" w:color="auto"/>
            </w:tcBorders>
            <w:vAlign w:val="bottom"/>
          </w:tcPr>
          <w:p w14:paraId="0A274C7E" w14:textId="77777777" w:rsidR="00F3776C" w:rsidRPr="00BC6787" w:rsidRDefault="00F3776C" w:rsidP="009C460F">
            <w:pPr>
              <w:spacing w:line="240" w:lineRule="auto"/>
              <w:jc w:val="right"/>
              <w:rPr>
                <w:rFonts w:cs="Times New Roman"/>
              </w:rPr>
            </w:pPr>
            <w:r w:rsidRPr="00BC6787">
              <w:rPr>
                <w:rFonts w:cs="Times New Roman"/>
              </w:rPr>
              <w:t>CPBN CPA3</w:t>
            </w:r>
          </w:p>
        </w:tc>
        <w:tc>
          <w:tcPr>
            <w:tcW w:w="838" w:type="dxa"/>
            <w:gridSpan w:val="2"/>
            <w:tcBorders>
              <w:bottom w:val="single" w:sz="12" w:space="0" w:color="auto"/>
            </w:tcBorders>
            <w:vAlign w:val="bottom"/>
          </w:tcPr>
          <w:p w14:paraId="20AE2D5B" w14:textId="77777777" w:rsidR="00F3776C" w:rsidRPr="00BC6787" w:rsidRDefault="00F3776C" w:rsidP="009C460F">
            <w:pPr>
              <w:spacing w:line="240" w:lineRule="auto"/>
              <w:jc w:val="center"/>
              <w:rPr>
                <w:rFonts w:cs="Times New Roman"/>
              </w:rPr>
            </w:pPr>
            <w:r w:rsidRPr="00BC6787">
              <w:rPr>
                <w:rFonts w:cs="Times New Roman"/>
              </w:rPr>
              <w:t>1.40</w:t>
            </w:r>
          </w:p>
        </w:tc>
        <w:tc>
          <w:tcPr>
            <w:tcW w:w="839" w:type="dxa"/>
            <w:gridSpan w:val="2"/>
            <w:tcBorders>
              <w:bottom w:val="single" w:sz="12" w:space="0" w:color="auto"/>
            </w:tcBorders>
            <w:vAlign w:val="bottom"/>
          </w:tcPr>
          <w:p w14:paraId="550EBCA5" w14:textId="77777777" w:rsidR="00F3776C" w:rsidRPr="00BC6787" w:rsidRDefault="00F3776C" w:rsidP="009C460F">
            <w:pPr>
              <w:spacing w:line="240" w:lineRule="auto"/>
              <w:jc w:val="center"/>
              <w:rPr>
                <w:rFonts w:cs="Times New Roman"/>
              </w:rPr>
            </w:pPr>
            <w:r w:rsidRPr="00BC6787">
              <w:rPr>
                <w:rFonts w:cs="Times New Roman"/>
              </w:rPr>
              <w:t>1.45</w:t>
            </w:r>
          </w:p>
        </w:tc>
        <w:tc>
          <w:tcPr>
            <w:tcW w:w="1118" w:type="dxa"/>
            <w:gridSpan w:val="2"/>
            <w:tcBorders>
              <w:bottom w:val="single" w:sz="12" w:space="0" w:color="auto"/>
              <w:right w:val="single" w:sz="4" w:space="0" w:color="auto"/>
            </w:tcBorders>
            <w:vAlign w:val="bottom"/>
          </w:tcPr>
          <w:p w14:paraId="3167F5D0" w14:textId="77777777" w:rsidR="00F3776C" w:rsidRPr="00BC6787" w:rsidRDefault="00F3776C" w:rsidP="009C460F">
            <w:pPr>
              <w:spacing w:line="240" w:lineRule="auto"/>
              <w:jc w:val="center"/>
              <w:rPr>
                <w:rFonts w:cs="Times New Roman"/>
              </w:rPr>
            </w:pPr>
            <w:r w:rsidRPr="00BC6787">
              <w:rPr>
                <w:rFonts w:cs="Times New Roman"/>
              </w:rPr>
              <w:t xml:space="preserve"> 0.05</w:t>
            </w:r>
          </w:p>
        </w:tc>
        <w:tc>
          <w:tcPr>
            <w:tcW w:w="4768" w:type="dxa"/>
            <w:gridSpan w:val="3"/>
            <w:vMerge/>
            <w:tcBorders>
              <w:left w:val="single" w:sz="4" w:space="0" w:color="auto"/>
              <w:right w:val="nil"/>
            </w:tcBorders>
          </w:tcPr>
          <w:p w14:paraId="7C4DE74E" w14:textId="77777777" w:rsidR="00F3776C" w:rsidRPr="00BC6787" w:rsidRDefault="00F3776C" w:rsidP="009C460F">
            <w:pPr>
              <w:spacing w:line="240" w:lineRule="auto"/>
              <w:jc w:val="center"/>
              <w:rPr>
                <w:rFonts w:cs="Times New Roman"/>
              </w:rPr>
            </w:pPr>
          </w:p>
        </w:tc>
      </w:tr>
      <w:tr w:rsidR="00F85EC3" w:rsidRPr="00BC6787" w14:paraId="5B13D690" w14:textId="77777777" w:rsidTr="009C460F">
        <w:tc>
          <w:tcPr>
            <w:tcW w:w="1471" w:type="dxa"/>
            <w:tcBorders>
              <w:top w:val="single" w:sz="12" w:space="0" w:color="auto"/>
            </w:tcBorders>
            <w:vAlign w:val="bottom"/>
          </w:tcPr>
          <w:p w14:paraId="0F84F633" w14:textId="77777777" w:rsidR="00F3776C" w:rsidRPr="00BC6787" w:rsidRDefault="00F3776C" w:rsidP="009C460F">
            <w:pPr>
              <w:spacing w:line="240" w:lineRule="auto"/>
              <w:jc w:val="right"/>
              <w:rPr>
                <w:rFonts w:cs="Times New Roman"/>
              </w:rPr>
            </w:pPr>
            <w:r w:rsidRPr="00BC6787">
              <w:rPr>
                <w:rFonts w:cs="Times New Roman"/>
              </w:rPr>
              <w:t>CT2N CTN</w:t>
            </w:r>
          </w:p>
        </w:tc>
        <w:tc>
          <w:tcPr>
            <w:tcW w:w="838" w:type="dxa"/>
            <w:gridSpan w:val="2"/>
            <w:tcBorders>
              <w:top w:val="single" w:sz="12" w:space="0" w:color="auto"/>
            </w:tcBorders>
            <w:vAlign w:val="bottom"/>
          </w:tcPr>
          <w:p w14:paraId="7AE5AF55" w14:textId="77777777" w:rsidR="00F3776C" w:rsidRPr="00BC6787" w:rsidRDefault="00F3776C" w:rsidP="009C460F">
            <w:pPr>
              <w:spacing w:line="240" w:lineRule="auto"/>
              <w:jc w:val="center"/>
              <w:rPr>
                <w:rFonts w:cs="Times New Roman"/>
              </w:rPr>
            </w:pPr>
            <w:r w:rsidRPr="00BC6787">
              <w:rPr>
                <w:rFonts w:cs="Times New Roman"/>
              </w:rPr>
              <w:t>1.53</w:t>
            </w:r>
          </w:p>
        </w:tc>
        <w:tc>
          <w:tcPr>
            <w:tcW w:w="839" w:type="dxa"/>
            <w:gridSpan w:val="2"/>
            <w:tcBorders>
              <w:top w:val="single" w:sz="12" w:space="0" w:color="auto"/>
            </w:tcBorders>
            <w:vAlign w:val="bottom"/>
          </w:tcPr>
          <w:p w14:paraId="5884418B" w14:textId="77777777" w:rsidR="00F3776C" w:rsidRPr="00BC6787" w:rsidRDefault="00F3776C" w:rsidP="009C460F">
            <w:pPr>
              <w:spacing w:line="240" w:lineRule="auto"/>
              <w:jc w:val="center"/>
              <w:rPr>
                <w:rFonts w:cs="Times New Roman"/>
              </w:rPr>
            </w:pPr>
            <w:r w:rsidRPr="00BC6787">
              <w:rPr>
                <w:rFonts w:cs="Times New Roman"/>
              </w:rPr>
              <w:t>1.48</w:t>
            </w:r>
          </w:p>
        </w:tc>
        <w:tc>
          <w:tcPr>
            <w:tcW w:w="1118" w:type="dxa"/>
            <w:gridSpan w:val="2"/>
            <w:tcBorders>
              <w:top w:val="single" w:sz="12" w:space="0" w:color="auto"/>
              <w:right w:val="single" w:sz="4" w:space="0" w:color="auto"/>
            </w:tcBorders>
            <w:vAlign w:val="bottom"/>
          </w:tcPr>
          <w:p w14:paraId="64D36077" w14:textId="77777777" w:rsidR="00F3776C" w:rsidRPr="00BC6787" w:rsidRDefault="00F3776C" w:rsidP="009C460F">
            <w:pPr>
              <w:spacing w:line="240" w:lineRule="auto"/>
              <w:jc w:val="center"/>
              <w:rPr>
                <w:rFonts w:cs="Times New Roman"/>
              </w:rPr>
            </w:pPr>
            <w:r w:rsidRPr="00BC6787">
              <w:rPr>
                <w:rFonts w:cs="Times New Roman"/>
              </w:rPr>
              <w:t>-0.05</w:t>
            </w:r>
          </w:p>
        </w:tc>
        <w:tc>
          <w:tcPr>
            <w:tcW w:w="4768" w:type="dxa"/>
            <w:gridSpan w:val="3"/>
            <w:vMerge/>
            <w:tcBorders>
              <w:left w:val="single" w:sz="4" w:space="0" w:color="auto"/>
              <w:right w:val="nil"/>
            </w:tcBorders>
          </w:tcPr>
          <w:p w14:paraId="1C288F72" w14:textId="77777777" w:rsidR="00F3776C" w:rsidRPr="00BC6787" w:rsidRDefault="00F3776C" w:rsidP="009C460F">
            <w:pPr>
              <w:spacing w:line="240" w:lineRule="auto"/>
              <w:jc w:val="center"/>
              <w:rPr>
                <w:rFonts w:cs="Times New Roman"/>
              </w:rPr>
            </w:pPr>
          </w:p>
        </w:tc>
      </w:tr>
      <w:tr w:rsidR="00F85EC3" w:rsidRPr="00BC6787" w14:paraId="0FB8D8A7" w14:textId="77777777" w:rsidTr="009C460F">
        <w:trPr>
          <w:trHeight w:val="232"/>
        </w:trPr>
        <w:tc>
          <w:tcPr>
            <w:tcW w:w="1471" w:type="dxa"/>
            <w:tcBorders>
              <w:bottom w:val="single" w:sz="4" w:space="0" w:color="auto"/>
            </w:tcBorders>
            <w:vAlign w:val="bottom"/>
          </w:tcPr>
          <w:p w14:paraId="231B3D76" w14:textId="77777777" w:rsidR="00F3776C" w:rsidRPr="00BC6787" w:rsidRDefault="00F3776C" w:rsidP="009C460F">
            <w:pPr>
              <w:spacing w:line="240" w:lineRule="auto"/>
              <w:jc w:val="right"/>
              <w:rPr>
                <w:rFonts w:cs="Times New Roman"/>
              </w:rPr>
            </w:pPr>
            <w:r w:rsidRPr="00BC6787">
              <w:rPr>
                <w:rFonts w:cs="Times New Roman"/>
              </w:rPr>
              <w:t xml:space="preserve">CT2N </w:t>
            </w:r>
            <w:proofErr w:type="spellStart"/>
            <w:r w:rsidRPr="00BC6787">
              <w:rPr>
                <w:rFonts w:cs="Times New Roman"/>
              </w:rPr>
              <w:t>CT2N</w:t>
            </w:r>
            <w:proofErr w:type="spellEnd"/>
          </w:p>
        </w:tc>
        <w:tc>
          <w:tcPr>
            <w:tcW w:w="838" w:type="dxa"/>
            <w:gridSpan w:val="2"/>
            <w:tcBorders>
              <w:bottom w:val="single" w:sz="4" w:space="0" w:color="auto"/>
            </w:tcBorders>
            <w:vAlign w:val="bottom"/>
          </w:tcPr>
          <w:p w14:paraId="6711A7F7" w14:textId="77777777" w:rsidR="00F3776C" w:rsidRPr="00BC6787" w:rsidRDefault="00F3776C" w:rsidP="009C460F">
            <w:pPr>
              <w:spacing w:line="240" w:lineRule="auto"/>
              <w:jc w:val="center"/>
              <w:rPr>
                <w:rFonts w:cs="Times New Roman"/>
              </w:rPr>
            </w:pPr>
            <w:r w:rsidRPr="00BC6787">
              <w:rPr>
                <w:rFonts w:cs="Times New Roman"/>
              </w:rPr>
              <w:t>1.54</w:t>
            </w:r>
          </w:p>
        </w:tc>
        <w:tc>
          <w:tcPr>
            <w:tcW w:w="839" w:type="dxa"/>
            <w:gridSpan w:val="2"/>
            <w:tcBorders>
              <w:bottom w:val="single" w:sz="4" w:space="0" w:color="auto"/>
            </w:tcBorders>
            <w:vAlign w:val="bottom"/>
          </w:tcPr>
          <w:p w14:paraId="2B658F3D" w14:textId="77777777" w:rsidR="00F3776C" w:rsidRPr="00BC6787" w:rsidRDefault="00F3776C" w:rsidP="009C460F">
            <w:pPr>
              <w:spacing w:line="240" w:lineRule="auto"/>
              <w:jc w:val="center"/>
              <w:rPr>
                <w:rFonts w:cs="Times New Roman"/>
              </w:rPr>
            </w:pPr>
            <w:r w:rsidRPr="00BC6787">
              <w:rPr>
                <w:rFonts w:cs="Times New Roman"/>
              </w:rPr>
              <w:t>1.58</w:t>
            </w:r>
          </w:p>
        </w:tc>
        <w:tc>
          <w:tcPr>
            <w:tcW w:w="1118" w:type="dxa"/>
            <w:gridSpan w:val="2"/>
            <w:tcBorders>
              <w:bottom w:val="single" w:sz="4" w:space="0" w:color="auto"/>
              <w:right w:val="single" w:sz="4" w:space="0" w:color="auto"/>
            </w:tcBorders>
            <w:vAlign w:val="bottom"/>
          </w:tcPr>
          <w:p w14:paraId="7234EF33" w14:textId="77777777" w:rsidR="00F3776C" w:rsidRPr="00BC6787" w:rsidRDefault="00F3776C" w:rsidP="009C460F">
            <w:pPr>
              <w:spacing w:line="240" w:lineRule="auto"/>
              <w:jc w:val="center"/>
              <w:rPr>
                <w:rFonts w:cs="Times New Roman"/>
              </w:rPr>
            </w:pPr>
            <w:r w:rsidRPr="00BC6787">
              <w:rPr>
                <w:rFonts w:cs="Times New Roman"/>
              </w:rPr>
              <w:t xml:space="preserve"> 0.04</w:t>
            </w:r>
          </w:p>
        </w:tc>
        <w:tc>
          <w:tcPr>
            <w:tcW w:w="4768" w:type="dxa"/>
            <w:gridSpan w:val="3"/>
            <w:vMerge/>
            <w:tcBorders>
              <w:left w:val="single" w:sz="4" w:space="0" w:color="auto"/>
              <w:right w:val="nil"/>
            </w:tcBorders>
          </w:tcPr>
          <w:p w14:paraId="73C961C6" w14:textId="77777777" w:rsidR="00F3776C" w:rsidRPr="00BC6787" w:rsidRDefault="00F3776C" w:rsidP="009C460F">
            <w:pPr>
              <w:spacing w:line="240" w:lineRule="auto"/>
              <w:jc w:val="center"/>
              <w:rPr>
                <w:rFonts w:cs="Times New Roman"/>
              </w:rPr>
            </w:pPr>
          </w:p>
        </w:tc>
      </w:tr>
      <w:tr w:rsidR="00F85EC3" w:rsidRPr="00BC6787" w14:paraId="2B888D7E" w14:textId="77777777" w:rsidTr="009C460F">
        <w:trPr>
          <w:trHeight w:val="232"/>
        </w:trPr>
        <w:tc>
          <w:tcPr>
            <w:tcW w:w="1471" w:type="dxa"/>
            <w:tcBorders>
              <w:bottom w:val="single" w:sz="4" w:space="0" w:color="auto"/>
            </w:tcBorders>
            <w:vAlign w:val="center"/>
          </w:tcPr>
          <w:p w14:paraId="415C2B8D" w14:textId="77777777" w:rsidR="00F3776C" w:rsidRPr="00BC6787" w:rsidRDefault="00F3776C" w:rsidP="009C460F">
            <w:pPr>
              <w:spacing w:line="240" w:lineRule="auto"/>
              <w:jc w:val="right"/>
              <w:rPr>
                <w:rFonts w:cs="Times New Roman"/>
              </w:rPr>
            </w:pPr>
            <w:r w:rsidRPr="00BC6787">
              <w:rPr>
                <w:rFonts w:cs="Times New Roman"/>
              </w:rPr>
              <w:t>CTN CPM2</w:t>
            </w:r>
          </w:p>
        </w:tc>
        <w:tc>
          <w:tcPr>
            <w:tcW w:w="838" w:type="dxa"/>
            <w:gridSpan w:val="2"/>
            <w:tcBorders>
              <w:bottom w:val="single" w:sz="4" w:space="0" w:color="auto"/>
            </w:tcBorders>
            <w:vAlign w:val="center"/>
          </w:tcPr>
          <w:p w14:paraId="07FF927F" w14:textId="77777777" w:rsidR="00F3776C" w:rsidRPr="00BC6787" w:rsidRDefault="00F3776C" w:rsidP="009C460F">
            <w:pPr>
              <w:spacing w:line="240" w:lineRule="auto"/>
              <w:jc w:val="center"/>
              <w:rPr>
                <w:rFonts w:cs="Times New Roman"/>
              </w:rPr>
            </w:pPr>
            <w:r w:rsidRPr="00BC6787">
              <w:rPr>
                <w:rFonts w:cs="Times New Roman"/>
              </w:rPr>
              <w:t>1.53</w:t>
            </w:r>
          </w:p>
        </w:tc>
        <w:tc>
          <w:tcPr>
            <w:tcW w:w="839" w:type="dxa"/>
            <w:gridSpan w:val="2"/>
            <w:tcBorders>
              <w:bottom w:val="single" w:sz="4" w:space="0" w:color="auto"/>
            </w:tcBorders>
            <w:vAlign w:val="center"/>
          </w:tcPr>
          <w:p w14:paraId="72A3D68B" w14:textId="77777777" w:rsidR="00F3776C" w:rsidRPr="00BC6787" w:rsidRDefault="00F3776C" w:rsidP="009C460F">
            <w:pPr>
              <w:spacing w:line="240" w:lineRule="auto"/>
              <w:jc w:val="center"/>
              <w:rPr>
                <w:rFonts w:cs="Times New Roman"/>
              </w:rPr>
            </w:pPr>
            <w:r w:rsidRPr="00BC6787">
              <w:rPr>
                <w:rFonts w:cs="Times New Roman"/>
              </w:rPr>
              <w:t>1.49</w:t>
            </w:r>
          </w:p>
        </w:tc>
        <w:tc>
          <w:tcPr>
            <w:tcW w:w="1118" w:type="dxa"/>
            <w:gridSpan w:val="2"/>
            <w:tcBorders>
              <w:bottom w:val="single" w:sz="4" w:space="0" w:color="auto"/>
              <w:right w:val="single" w:sz="4" w:space="0" w:color="auto"/>
            </w:tcBorders>
            <w:vAlign w:val="center"/>
          </w:tcPr>
          <w:p w14:paraId="126A8C7C" w14:textId="77777777" w:rsidR="00F3776C" w:rsidRPr="00BC6787" w:rsidRDefault="00F3776C" w:rsidP="009C460F">
            <w:pPr>
              <w:spacing w:line="240" w:lineRule="auto"/>
              <w:jc w:val="center"/>
              <w:rPr>
                <w:rFonts w:cs="Times New Roman"/>
              </w:rPr>
            </w:pPr>
            <w:r w:rsidRPr="00BC6787">
              <w:rPr>
                <w:rFonts w:cs="Times New Roman"/>
              </w:rPr>
              <w:t>-0.04</w:t>
            </w:r>
          </w:p>
        </w:tc>
        <w:tc>
          <w:tcPr>
            <w:tcW w:w="4768" w:type="dxa"/>
            <w:gridSpan w:val="3"/>
            <w:vMerge/>
            <w:tcBorders>
              <w:left w:val="single" w:sz="4" w:space="0" w:color="auto"/>
              <w:right w:val="nil"/>
            </w:tcBorders>
          </w:tcPr>
          <w:p w14:paraId="1C9C1970" w14:textId="77777777" w:rsidR="00F3776C" w:rsidRPr="00BC6787" w:rsidRDefault="00F3776C" w:rsidP="009C460F">
            <w:pPr>
              <w:spacing w:line="240" w:lineRule="auto"/>
              <w:jc w:val="center"/>
              <w:rPr>
                <w:rFonts w:cs="Times New Roman"/>
              </w:rPr>
            </w:pPr>
          </w:p>
        </w:tc>
      </w:tr>
      <w:tr w:rsidR="00F85EC3" w:rsidRPr="00BC6787" w14:paraId="35F48DC8" w14:textId="77777777" w:rsidTr="009C460F">
        <w:trPr>
          <w:trHeight w:val="232"/>
        </w:trPr>
        <w:tc>
          <w:tcPr>
            <w:tcW w:w="1471" w:type="dxa"/>
            <w:tcBorders>
              <w:top w:val="single" w:sz="4" w:space="0" w:color="auto"/>
              <w:left w:val="single" w:sz="4" w:space="0" w:color="auto"/>
              <w:bottom w:val="single" w:sz="4" w:space="0" w:color="auto"/>
            </w:tcBorders>
            <w:vAlign w:val="center"/>
          </w:tcPr>
          <w:p w14:paraId="30A8F045" w14:textId="77777777" w:rsidR="00F3776C" w:rsidRPr="00BC6787" w:rsidRDefault="00F3776C" w:rsidP="009C460F">
            <w:pPr>
              <w:spacing w:line="240" w:lineRule="auto"/>
              <w:jc w:val="center"/>
              <w:rPr>
                <w:rFonts w:cs="Times New Roman"/>
              </w:rPr>
            </w:pPr>
            <w:r w:rsidRPr="00BC6787">
              <w:rPr>
                <w:rFonts w:cs="Times New Roman"/>
              </w:rPr>
              <w:t>CPAN CPBN</w:t>
            </w:r>
          </w:p>
        </w:tc>
        <w:tc>
          <w:tcPr>
            <w:tcW w:w="838" w:type="dxa"/>
            <w:gridSpan w:val="2"/>
            <w:tcBorders>
              <w:top w:val="single" w:sz="4" w:space="0" w:color="auto"/>
              <w:left w:val="nil"/>
              <w:bottom w:val="single" w:sz="4" w:space="0" w:color="auto"/>
            </w:tcBorders>
            <w:vAlign w:val="center"/>
          </w:tcPr>
          <w:p w14:paraId="5C164435" w14:textId="77777777" w:rsidR="00F3776C" w:rsidRPr="00BC6787" w:rsidRDefault="00F3776C" w:rsidP="009C460F">
            <w:pPr>
              <w:spacing w:line="240" w:lineRule="auto"/>
              <w:jc w:val="center"/>
              <w:rPr>
                <w:rFonts w:cs="Times New Roman"/>
              </w:rPr>
            </w:pPr>
            <w:r w:rsidRPr="00BC6787">
              <w:rPr>
                <w:rFonts w:cs="Times New Roman"/>
              </w:rPr>
              <w:t>1.40</w:t>
            </w:r>
          </w:p>
        </w:tc>
        <w:tc>
          <w:tcPr>
            <w:tcW w:w="839" w:type="dxa"/>
            <w:gridSpan w:val="2"/>
            <w:tcBorders>
              <w:top w:val="single" w:sz="4" w:space="0" w:color="auto"/>
              <w:left w:val="nil"/>
              <w:bottom w:val="single" w:sz="4" w:space="0" w:color="auto"/>
            </w:tcBorders>
            <w:vAlign w:val="center"/>
          </w:tcPr>
          <w:p w14:paraId="5D43877C" w14:textId="77777777" w:rsidR="00F3776C" w:rsidRPr="00BC6787" w:rsidRDefault="00F3776C" w:rsidP="009C460F">
            <w:pPr>
              <w:spacing w:line="240" w:lineRule="auto"/>
              <w:jc w:val="center"/>
              <w:rPr>
                <w:rFonts w:cs="Times New Roman"/>
              </w:rPr>
            </w:pPr>
            <w:r w:rsidRPr="00BC6787">
              <w:rPr>
                <w:rFonts w:cs="Times New Roman"/>
              </w:rPr>
              <w:t>1.43</w:t>
            </w:r>
          </w:p>
        </w:tc>
        <w:tc>
          <w:tcPr>
            <w:tcW w:w="1118" w:type="dxa"/>
            <w:gridSpan w:val="2"/>
            <w:tcBorders>
              <w:top w:val="single" w:sz="4" w:space="0" w:color="auto"/>
              <w:left w:val="nil"/>
              <w:bottom w:val="single" w:sz="4" w:space="0" w:color="auto"/>
              <w:right w:val="single" w:sz="4" w:space="0" w:color="auto"/>
            </w:tcBorders>
            <w:vAlign w:val="center"/>
          </w:tcPr>
          <w:p w14:paraId="02B17EE9" w14:textId="77777777" w:rsidR="00F3776C" w:rsidRPr="00BC6787" w:rsidRDefault="00F3776C" w:rsidP="009C460F">
            <w:pPr>
              <w:spacing w:line="240" w:lineRule="auto"/>
              <w:jc w:val="center"/>
              <w:rPr>
                <w:rFonts w:cs="Times New Roman"/>
              </w:rPr>
            </w:pPr>
            <w:r w:rsidRPr="00BC6787">
              <w:rPr>
                <w:rFonts w:cs="Times New Roman"/>
              </w:rPr>
              <w:t xml:space="preserve"> 0.03</w:t>
            </w:r>
          </w:p>
        </w:tc>
        <w:tc>
          <w:tcPr>
            <w:tcW w:w="4768" w:type="dxa"/>
            <w:gridSpan w:val="3"/>
            <w:vMerge/>
            <w:tcBorders>
              <w:left w:val="single" w:sz="4" w:space="0" w:color="auto"/>
              <w:right w:val="nil"/>
            </w:tcBorders>
          </w:tcPr>
          <w:p w14:paraId="6E5E6278" w14:textId="77777777" w:rsidR="00F3776C" w:rsidRPr="00BC6787" w:rsidRDefault="00F3776C" w:rsidP="009C460F">
            <w:pPr>
              <w:spacing w:line="240" w:lineRule="auto"/>
              <w:jc w:val="center"/>
              <w:rPr>
                <w:rFonts w:cs="Times New Roman"/>
              </w:rPr>
            </w:pPr>
          </w:p>
        </w:tc>
      </w:tr>
      <w:tr w:rsidR="00F85EC3" w:rsidRPr="00BC6787" w14:paraId="4BF16937" w14:textId="77777777" w:rsidTr="009C460F">
        <w:trPr>
          <w:trHeight w:val="420"/>
        </w:trPr>
        <w:tc>
          <w:tcPr>
            <w:tcW w:w="4266" w:type="dxa"/>
            <w:gridSpan w:val="7"/>
            <w:tcBorders>
              <w:top w:val="single" w:sz="4" w:space="0" w:color="auto"/>
              <w:left w:val="nil"/>
              <w:bottom w:val="nil"/>
              <w:right w:val="nil"/>
            </w:tcBorders>
            <w:vAlign w:val="bottom"/>
          </w:tcPr>
          <w:p w14:paraId="01F009B3" w14:textId="77777777" w:rsidR="00F3776C" w:rsidRPr="00BC6787" w:rsidRDefault="00F3776C" w:rsidP="009C460F">
            <w:pPr>
              <w:spacing w:line="240" w:lineRule="auto"/>
              <w:jc w:val="center"/>
              <w:rPr>
                <w:rFonts w:cs="Times New Roman"/>
              </w:rPr>
            </w:pPr>
          </w:p>
        </w:tc>
        <w:tc>
          <w:tcPr>
            <w:tcW w:w="4768" w:type="dxa"/>
            <w:gridSpan w:val="3"/>
            <w:vMerge/>
            <w:tcBorders>
              <w:left w:val="nil"/>
              <w:bottom w:val="nil"/>
              <w:right w:val="nil"/>
            </w:tcBorders>
          </w:tcPr>
          <w:p w14:paraId="70B0DBE9" w14:textId="77777777" w:rsidR="00F3776C" w:rsidRPr="00BC6787" w:rsidRDefault="00F3776C" w:rsidP="009C460F">
            <w:pPr>
              <w:spacing w:line="240" w:lineRule="auto"/>
              <w:jc w:val="center"/>
              <w:rPr>
                <w:rFonts w:cs="Times New Roman"/>
              </w:rPr>
            </w:pPr>
          </w:p>
        </w:tc>
      </w:tr>
      <w:tr w:rsidR="00F85EC3" w:rsidRPr="00BC6787" w14:paraId="75349441" w14:textId="77777777" w:rsidTr="009C460F">
        <w:tc>
          <w:tcPr>
            <w:tcW w:w="4290" w:type="dxa"/>
            <w:gridSpan w:val="8"/>
            <w:vAlign w:val="center"/>
          </w:tcPr>
          <w:p w14:paraId="075E3F39" w14:textId="77777777" w:rsidR="00F3776C" w:rsidRPr="00BC6787" w:rsidRDefault="00F3776C" w:rsidP="009C460F">
            <w:pPr>
              <w:spacing w:line="240" w:lineRule="auto"/>
              <w:jc w:val="left"/>
              <w:rPr>
                <w:rFonts w:cs="Times New Roman"/>
                <w:b/>
              </w:rPr>
            </w:pPr>
            <w:proofErr w:type="spellStart"/>
            <w:r w:rsidRPr="00BC6787">
              <w:rPr>
                <w:rFonts w:cs="Times New Roman"/>
                <w:b/>
              </w:rPr>
              <w:t>Chl</w:t>
            </w:r>
            <w:proofErr w:type="spellEnd"/>
            <w:r w:rsidRPr="00BC6787">
              <w:rPr>
                <w:rFonts w:cs="Times New Roman"/>
                <w:b/>
              </w:rPr>
              <w:t>-b</w:t>
            </w:r>
          </w:p>
        </w:tc>
        <w:tc>
          <w:tcPr>
            <w:tcW w:w="4744" w:type="dxa"/>
            <w:gridSpan w:val="2"/>
            <w:vMerge w:val="restart"/>
            <w:tcBorders>
              <w:top w:val="nil"/>
              <w:bottom w:val="nil"/>
              <w:right w:val="nil"/>
            </w:tcBorders>
            <w:vAlign w:val="center"/>
          </w:tcPr>
          <w:p w14:paraId="45AC11D3" w14:textId="77777777" w:rsidR="00F3776C" w:rsidRPr="00BC6787" w:rsidRDefault="00F3776C" w:rsidP="009C460F">
            <w:pPr>
              <w:spacing w:line="240" w:lineRule="auto"/>
              <w:jc w:val="center"/>
              <w:rPr>
                <w:rFonts w:cs="Times New Roman"/>
                <w:b/>
              </w:rPr>
            </w:pPr>
            <w:r w:rsidRPr="00BC6787">
              <w:rPr>
                <w:rFonts w:cs="Times New Roman"/>
                <w:b/>
                <w:noProof/>
                <w:lang w:eastAsia="en-GB"/>
              </w:rPr>
              <w:drawing>
                <wp:inline distT="0" distB="0" distL="0" distR="0" wp14:anchorId="5924DD34" wp14:editId="7646E70F">
                  <wp:extent cx="2628000" cy="1903354"/>
                  <wp:effectExtent l="0" t="0" r="1270" b="1905"/>
                  <wp:docPr id="5" name="Picture 5" descr="A picture containing honeycomb, outdoor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lb-err.png"/>
                          <pic:cNvPicPr/>
                        </pic:nvPicPr>
                        <pic:blipFill>
                          <a:blip r:embed="rId62">
                            <a:extLst>
                              <a:ext uri="{28A0092B-C50C-407E-A947-70E740481C1C}">
                                <a14:useLocalDpi xmlns:a14="http://schemas.microsoft.com/office/drawing/2010/main" val="0"/>
                              </a:ext>
                            </a:extLst>
                          </a:blip>
                          <a:stretch>
                            <a:fillRect/>
                          </a:stretch>
                        </pic:blipFill>
                        <pic:spPr>
                          <a:xfrm>
                            <a:off x="0" y="0"/>
                            <a:ext cx="2628000" cy="1903354"/>
                          </a:xfrm>
                          <a:prstGeom prst="rect">
                            <a:avLst/>
                          </a:prstGeom>
                        </pic:spPr>
                      </pic:pic>
                    </a:graphicData>
                  </a:graphic>
                </wp:inline>
              </w:drawing>
            </w:r>
          </w:p>
        </w:tc>
      </w:tr>
      <w:tr w:rsidR="00F85EC3" w:rsidRPr="00BC6787" w14:paraId="358B3E3B" w14:textId="77777777" w:rsidTr="009C460F">
        <w:tc>
          <w:tcPr>
            <w:tcW w:w="1501" w:type="dxa"/>
            <w:gridSpan w:val="2"/>
            <w:vAlign w:val="center"/>
          </w:tcPr>
          <w:p w14:paraId="7D288230" w14:textId="77777777" w:rsidR="00F3776C" w:rsidRPr="00BC6787" w:rsidRDefault="00F3776C" w:rsidP="009C460F">
            <w:pPr>
              <w:spacing w:line="240" w:lineRule="auto"/>
              <w:jc w:val="center"/>
              <w:rPr>
                <w:rFonts w:cs="Times New Roman"/>
              </w:rPr>
            </w:pPr>
            <w:r w:rsidRPr="00BC6787">
              <w:rPr>
                <w:rFonts w:cs="Times New Roman"/>
              </w:rPr>
              <w:t>Parameter</w:t>
            </w:r>
          </w:p>
        </w:tc>
        <w:tc>
          <w:tcPr>
            <w:tcW w:w="838" w:type="dxa"/>
            <w:gridSpan w:val="2"/>
            <w:vAlign w:val="center"/>
          </w:tcPr>
          <w:p w14:paraId="16175FF4" w14:textId="77777777" w:rsidR="00F3776C" w:rsidRPr="00BC6787" w:rsidRDefault="00F3776C" w:rsidP="009C460F">
            <w:pPr>
              <w:spacing w:line="240" w:lineRule="auto"/>
              <w:jc w:val="center"/>
              <w:rPr>
                <w:rFonts w:cs="Times New Roman"/>
              </w:rPr>
            </w:pPr>
            <w:r w:rsidRPr="00BC6787">
              <w:rPr>
                <w:rFonts w:cs="Times New Roman"/>
                <w:position w:val="-6"/>
              </w:rPr>
              <w:object w:dxaOrig="220" w:dyaOrig="300" w14:anchorId="51FDA3D2">
                <v:shape id="_x0000_i1050" type="#_x0000_t75" style="width:14pt;height:14.5pt" o:ole="">
                  <v:imagedata r:id="rId52" o:title=""/>
                </v:shape>
                <o:OLEObject Type="Embed" ProgID="Equation.DSMT4" ShapeID="_x0000_i1050" DrawAspect="Content" ObjectID="_1606308044" r:id="rId63"/>
              </w:object>
            </w:r>
            <w:r w:rsidRPr="00BC6787">
              <w:rPr>
                <w:rFonts w:cs="Times New Roman"/>
              </w:rPr>
              <w:t xml:space="preserve"> /Å</w:t>
            </w:r>
          </w:p>
        </w:tc>
        <w:tc>
          <w:tcPr>
            <w:tcW w:w="837" w:type="dxa"/>
            <w:gridSpan w:val="2"/>
            <w:vAlign w:val="center"/>
          </w:tcPr>
          <w:p w14:paraId="19C8D881" w14:textId="77777777" w:rsidR="00F3776C" w:rsidRPr="00BC6787" w:rsidRDefault="00F3776C" w:rsidP="009C460F">
            <w:pPr>
              <w:spacing w:line="240" w:lineRule="auto"/>
              <w:jc w:val="center"/>
              <w:rPr>
                <w:rFonts w:cs="Times New Roman"/>
              </w:rPr>
            </w:pPr>
            <w:r w:rsidRPr="00BC6787">
              <w:rPr>
                <w:rFonts w:cs="Times New Roman"/>
                <w:position w:val="-6"/>
              </w:rPr>
              <w:object w:dxaOrig="279" w:dyaOrig="300" w14:anchorId="0A828B74">
                <v:shape id="_x0000_i1051" type="#_x0000_t75" style="width:14.5pt;height:14.5pt" o:ole="">
                  <v:imagedata r:id="rId54" o:title=""/>
                </v:shape>
                <o:OLEObject Type="Embed" ProgID="Equation.DSMT4" ShapeID="_x0000_i1051" DrawAspect="Content" ObjectID="_1606308045" r:id="rId64"/>
              </w:object>
            </w:r>
            <w:r w:rsidRPr="00BC6787">
              <w:rPr>
                <w:rFonts w:cs="Times New Roman"/>
              </w:rPr>
              <w:t>/Å</w:t>
            </w:r>
          </w:p>
        </w:tc>
        <w:tc>
          <w:tcPr>
            <w:tcW w:w="1114" w:type="dxa"/>
            <w:gridSpan w:val="2"/>
            <w:vAlign w:val="center"/>
          </w:tcPr>
          <w:p w14:paraId="49267D91" w14:textId="77777777" w:rsidR="00F3776C" w:rsidRPr="00BC6787" w:rsidRDefault="00F3776C" w:rsidP="009C460F">
            <w:pPr>
              <w:spacing w:line="240" w:lineRule="auto"/>
              <w:jc w:val="center"/>
              <w:rPr>
                <w:rFonts w:cs="Times New Roman"/>
              </w:rPr>
            </w:pPr>
            <w:r w:rsidRPr="00BC6787">
              <w:rPr>
                <w:rFonts w:cs="Times New Roman"/>
                <w:position w:val="-6"/>
              </w:rPr>
              <w:object w:dxaOrig="560" w:dyaOrig="300" w14:anchorId="4D2CA4A7">
                <v:shape id="_x0000_i1052" type="#_x0000_t75" style="width:28.5pt;height:14.5pt" o:ole="">
                  <v:imagedata r:id="rId56" o:title=""/>
                </v:shape>
                <o:OLEObject Type="Embed" ProgID="Equation.DSMT4" ShapeID="_x0000_i1052" DrawAspect="Content" ObjectID="_1606308046" r:id="rId65"/>
              </w:object>
            </w:r>
            <w:r w:rsidRPr="00BC6787">
              <w:rPr>
                <w:rFonts w:cs="Times New Roman"/>
              </w:rPr>
              <w:t>/Å</w:t>
            </w:r>
          </w:p>
        </w:tc>
        <w:tc>
          <w:tcPr>
            <w:tcW w:w="4744" w:type="dxa"/>
            <w:gridSpan w:val="2"/>
            <w:vMerge/>
            <w:tcBorders>
              <w:bottom w:val="nil"/>
              <w:right w:val="nil"/>
            </w:tcBorders>
          </w:tcPr>
          <w:p w14:paraId="64AC000F" w14:textId="77777777" w:rsidR="00F3776C" w:rsidRPr="00BC6787" w:rsidRDefault="00F3776C" w:rsidP="009C460F">
            <w:pPr>
              <w:spacing w:line="240" w:lineRule="auto"/>
              <w:jc w:val="center"/>
              <w:rPr>
                <w:rFonts w:cs="Times New Roman"/>
              </w:rPr>
            </w:pPr>
          </w:p>
        </w:tc>
      </w:tr>
      <w:tr w:rsidR="00F85EC3" w:rsidRPr="00BC6787" w14:paraId="379AFE03" w14:textId="77777777" w:rsidTr="009C460F">
        <w:tc>
          <w:tcPr>
            <w:tcW w:w="4290" w:type="dxa"/>
            <w:gridSpan w:val="8"/>
            <w:vAlign w:val="center"/>
          </w:tcPr>
          <w:p w14:paraId="39DF1DCC" w14:textId="77777777" w:rsidR="00F3776C" w:rsidRPr="00BC6787" w:rsidRDefault="00F3776C" w:rsidP="009C460F">
            <w:pPr>
              <w:spacing w:line="240" w:lineRule="auto"/>
              <w:jc w:val="left"/>
              <w:rPr>
                <w:rFonts w:cs="Times New Roman"/>
              </w:rPr>
            </w:pPr>
            <w:r w:rsidRPr="00BC6787">
              <w:rPr>
                <w:rFonts w:cs="Times New Roman"/>
              </w:rPr>
              <w:t>C – C bonds</w:t>
            </w:r>
          </w:p>
        </w:tc>
        <w:tc>
          <w:tcPr>
            <w:tcW w:w="4744" w:type="dxa"/>
            <w:gridSpan w:val="2"/>
            <w:vMerge/>
            <w:tcBorders>
              <w:bottom w:val="nil"/>
              <w:right w:val="nil"/>
            </w:tcBorders>
          </w:tcPr>
          <w:p w14:paraId="3F86F613" w14:textId="77777777" w:rsidR="00F3776C" w:rsidRPr="00BC6787" w:rsidRDefault="00F3776C" w:rsidP="009C460F">
            <w:pPr>
              <w:spacing w:line="240" w:lineRule="auto"/>
              <w:jc w:val="left"/>
              <w:rPr>
                <w:rFonts w:cs="Times New Roman"/>
              </w:rPr>
            </w:pPr>
          </w:p>
        </w:tc>
      </w:tr>
      <w:tr w:rsidR="00F85EC3" w:rsidRPr="00BC6787" w14:paraId="5C9137F7" w14:textId="77777777" w:rsidTr="009C460F">
        <w:tc>
          <w:tcPr>
            <w:tcW w:w="1501" w:type="dxa"/>
            <w:gridSpan w:val="2"/>
            <w:vAlign w:val="bottom"/>
          </w:tcPr>
          <w:p w14:paraId="500F7B07" w14:textId="77777777" w:rsidR="00F3776C" w:rsidRPr="00BC6787" w:rsidRDefault="00F3776C" w:rsidP="009C460F">
            <w:pPr>
              <w:spacing w:line="240" w:lineRule="auto"/>
              <w:jc w:val="right"/>
              <w:rPr>
                <w:rFonts w:cs="Times New Roman"/>
              </w:rPr>
            </w:pPr>
            <w:r w:rsidRPr="00BC6787">
              <w:rPr>
                <w:rFonts w:cs="Times New Roman"/>
              </w:rPr>
              <w:t xml:space="preserve">CT2N </w:t>
            </w:r>
            <w:proofErr w:type="spellStart"/>
            <w:r w:rsidRPr="00BC6787">
              <w:rPr>
                <w:rFonts w:cs="Times New Roman"/>
              </w:rPr>
              <w:t>CT2N</w:t>
            </w:r>
            <w:proofErr w:type="spellEnd"/>
          </w:p>
        </w:tc>
        <w:tc>
          <w:tcPr>
            <w:tcW w:w="838" w:type="dxa"/>
            <w:gridSpan w:val="2"/>
            <w:vAlign w:val="bottom"/>
          </w:tcPr>
          <w:p w14:paraId="7CEF8F62" w14:textId="77777777" w:rsidR="00F3776C" w:rsidRPr="00BC6787" w:rsidRDefault="00F3776C" w:rsidP="009C460F">
            <w:pPr>
              <w:spacing w:line="240" w:lineRule="auto"/>
              <w:jc w:val="center"/>
              <w:rPr>
                <w:rFonts w:cs="Times New Roman"/>
              </w:rPr>
            </w:pPr>
            <w:r w:rsidRPr="00BC6787">
              <w:rPr>
                <w:rFonts w:cs="Times New Roman"/>
              </w:rPr>
              <w:t>1.54</w:t>
            </w:r>
          </w:p>
        </w:tc>
        <w:tc>
          <w:tcPr>
            <w:tcW w:w="837" w:type="dxa"/>
            <w:gridSpan w:val="2"/>
            <w:vAlign w:val="bottom"/>
          </w:tcPr>
          <w:p w14:paraId="0D5CAC9F" w14:textId="77777777" w:rsidR="00F3776C" w:rsidRPr="00BC6787" w:rsidRDefault="00F3776C" w:rsidP="009C460F">
            <w:pPr>
              <w:spacing w:line="240" w:lineRule="auto"/>
              <w:jc w:val="center"/>
              <w:rPr>
                <w:rFonts w:cs="Times New Roman"/>
              </w:rPr>
            </w:pPr>
            <w:r w:rsidRPr="00BC6787">
              <w:rPr>
                <w:rFonts w:cs="Times New Roman"/>
              </w:rPr>
              <w:t>1.61</w:t>
            </w:r>
          </w:p>
        </w:tc>
        <w:tc>
          <w:tcPr>
            <w:tcW w:w="1114" w:type="dxa"/>
            <w:gridSpan w:val="2"/>
            <w:vAlign w:val="bottom"/>
          </w:tcPr>
          <w:p w14:paraId="375719B8" w14:textId="77777777" w:rsidR="00F3776C" w:rsidRPr="00BC6787" w:rsidRDefault="00F3776C" w:rsidP="009C460F">
            <w:pPr>
              <w:spacing w:line="240" w:lineRule="auto"/>
              <w:jc w:val="center"/>
              <w:rPr>
                <w:rFonts w:cs="Times New Roman"/>
              </w:rPr>
            </w:pPr>
            <w:r w:rsidRPr="00BC6787">
              <w:rPr>
                <w:rFonts w:cs="Times New Roman"/>
              </w:rPr>
              <w:t xml:space="preserve"> 0.07</w:t>
            </w:r>
          </w:p>
        </w:tc>
        <w:tc>
          <w:tcPr>
            <w:tcW w:w="4744" w:type="dxa"/>
            <w:gridSpan w:val="2"/>
            <w:vMerge/>
            <w:tcBorders>
              <w:bottom w:val="nil"/>
              <w:right w:val="nil"/>
            </w:tcBorders>
          </w:tcPr>
          <w:p w14:paraId="23826609" w14:textId="77777777" w:rsidR="00F3776C" w:rsidRPr="00BC6787" w:rsidRDefault="00F3776C" w:rsidP="009C460F">
            <w:pPr>
              <w:spacing w:line="240" w:lineRule="auto"/>
              <w:jc w:val="center"/>
              <w:rPr>
                <w:rFonts w:cs="Times New Roman"/>
              </w:rPr>
            </w:pPr>
          </w:p>
        </w:tc>
      </w:tr>
      <w:tr w:rsidR="00F85EC3" w:rsidRPr="00BC6787" w14:paraId="36919123" w14:textId="77777777" w:rsidTr="009C460F">
        <w:tc>
          <w:tcPr>
            <w:tcW w:w="1501" w:type="dxa"/>
            <w:gridSpan w:val="2"/>
            <w:vAlign w:val="bottom"/>
          </w:tcPr>
          <w:p w14:paraId="4A1CF09F" w14:textId="77777777" w:rsidR="00F3776C" w:rsidRPr="00BC6787" w:rsidRDefault="00F3776C" w:rsidP="009C460F">
            <w:pPr>
              <w:spacing w:line="240" w:lineRule="auto"/>
              <w:jc w:val="right"/>
              <w:rPr>
                <w:rFonts w:cs="Times New Roman"/>
              </w:rPr>
            </w:pPr>
            <w:r w:rsidRPr="00BC6787">
              <w:rPr>
                <w:rFonts w:cs="Times New Roman"/>
              </w:rPr>
              <w:t>CN CPBN</w:t>
            </w:r>
          </w:p>
        </w:tc>
        <w:tc>
          <w:tcPr>
            <w:tcW w:w="838" w:type="dxa"/>
            <w:gridSpan w:val="2"/>
            <w:vAlign w:val="bottom"/>
          </w:tcPr>
          <w:p w14:paraId="5347E132" w14:textId="77777777" w:rsidR="00F3776C" w:rsidRPr="00BC6787" w:rsidRDefault="00F3776C" w:rsidP="009C460F">
            <w:pPr>
              <w:spacing w:line="240" w:lineRule="auto"/>
              <w:jc w:val="center"/>
              <w:rPr>
                <w:rFonts w:cs="Times New Roman"/>
              </w:rPr>
            </w:pPr>
            <w:r w:rsidRPr="00BC6787">
              <w:rPr>
                <w:rFonts w:cs="Times New Roman"/>
              </w:rPr>
              <w:t>1.49</w:t>
            </w:r>
          </w:p>
        </w:tc>
        <w:tc>
          <w:tcPr>
            <w:tcW w:w="837" w:type="dxa"/>
            <w:gridSpan w:val="2"/>
            <w:vAlign w:val="bottom"/>
          </w:tcPr>
          <w:p w14:paraId="0797286A" w14:textId="77777777" w:rsidR="00F3776C" w:rsidRPr="00BC6787" w:rsidRDefault="00F3776C" w:rsidP="009C460F">
            <w:pPr>
              <w:spacing w:line="240" w:lineRule="auto"/>
              <w:jc w:val="center"/>
              <w:rPr>
                <w:rFonts w:cs="Times New Roman"/>
              </w:rPr>
            </w:pPr>
            <w:r w:rsidRPr="00BC6787">
              <w:rPr>
                <w:rFonts w:cs="Times New Roman"/>
              </w:rPr>
              <w:t>1.54</w:t>
            </w:r>
          </w:p>
        </w:tc>
        <w:tc>
          <w:tcPr>
            <w:tcW w:w="1114" w:type="dxa"/>
            <w:gridSpan w:val="2"/>
            <w:vAlign w:val="bottom"/>
          </w:tcPr>
          <w:p w14:paraId="4CF6178A" w14:textId="77777777" w:rsidR="00F3776C" w:rsidRPr="00BC6787" w:rsidRDefault="00F3776C" w:rsidP="009C460F">
            <w:pPr>
              <w:spacing w:line="240" w:lineRule="auto"/>
              <w:jc w:val="center"/>
              <w:rPr>
                <w:rFonts w:cs="Times New Roman"/>
              </w:rPr>
            </w:pPr>
            <w:r w:rsidRPr="00BC6787">
              <w:rPr>
                <w:rFonts w:cs="Times New Roman"/>
              </w:rPr>
              <w:t xml:space="preserve"> 0.05</w:t>
            </w:r>
          </w:p>
        </w:tc>
        <w:tc>
          <w:tcPr>
            <w:tcW w:w="4744" w:type="dxa"/>
            <w:gridSpan w:val="2"/>
            <w:vMerge/>
            <w:tcBorders>
              <w:bottom w:val="nil"/>
              <w:right w:val="nil"/>
            </w:tcBorders>
          </w:tcPr>
          <w:p w14:paraId="17F1E958" w14:textId="77777777" w:rsidR="00F3776C" w:rsidRPr="00BC6787" w:rsidRDefault="00F3776C" w:rsidP="009C460F">
            <w:pPr>
              <w:spacing w:line="240" w:lineRule="auto"/>
              <w:jc w:val="center"/>
              <w:rPr>
                <w:rFonts w:cs="Times New Roman"/>
              </w:rPr>
            </w:pPr>
          </w:p>
        </w:tc>
      </w:tr>
      <w:tr w:rsidR="00F85EC3" w:rsidRPr="00BC6787" w14:paraId="3F870D4C" w14:textId="77777777" w:rsidTr="009C460F">
        <w:tc>
          <w:tcPr>
            <w:tcW w:w="1501" w:type="dxa"/>
            <w:gridSpan w:val="2"/>
            <w:tcBorders>
              <w:bottom w:val="single" w:sz="12" w:space="0" w:color="auto"/>
            </w:tcBorders>
            <w:vAlign w:val="bottom"/>
          </w:tcPr>
          <w:p w14:paraId="0979C016" w14:textId="77777777" w:rsidR="00F3776C" w:rsidRPr="00BC6787" w:rsidRDefault="00F3776C" w:rsidP="009C460F">
            <w:pPr>
              <w:spacing w:line="240" w:lineRule="auto"/>
              <w:jc w:val="right"/>
              <w:rPr>
                <w:rFonts w:cs="Times New Roman"/>
              </w:rPr>
            </w:pPr>
            <w:r w:rsidRPr="00BC6787">
              <w:rPr>
                <w:rFonts w:cs="Times New Roman"/>
              </w:rPr>
              <w:t>CPBN CPA3</w:t>
            </w:r>
          </w:p>
        </w:tc>
        <w:tc>
          <w:tcPr>
            <w:tcW w:w="838" w:type="dxa"/>
            <w:gridSpan w:val="2"/>
            <w:tcBorders>
              <w:bottom w:val="single" w:sz="12" w:space="0" w:color="auto"/>
            </w:tcBorders>
            <w:vAlign w:val="bottom"/>
          </w:tcPr>
          <w:p w14:paraId="1ECAD3B3" w14:textId="77777777" w:rsidR="00F3776C" w:rsidRPr="00BC6787" w:rsidRDefault="00F3776C" w:rsidP="009C460F">
            <w:pPr>
              <w:spacing w:line="240" w:lineRule="auto"/>
              <w:jc w:val="center"/>
              <w:rPr>
                <w:rFonts w:cs="Times New Roman"/>
              </w:rPr>
            </w:pPr>
            <w:r w:rsidRPr="00BC6787">
              <w:rPr>
                <w:rFonts w:cs="Times New Roman"/>
              </w:rPr>
              <w:t>1.40</w:t>
            </w:r>
          </w:p>
        </w:tc>
        <w:tc>
          <w:tcPr>
            <w:tcW w:w="837" w:type="dxa"/>
            <w:gridSpan w:val="2"/>
            <w:tcBorders>
              <w:bottom w:val="single" w:sz="12" w:space="0" w:color="auto"/>
            </w:tcBorders>
            <w:vAlign w:val="bottom"/>
          </w:tcPr>
          <w:p w14:paraId="66284D58" w14:textId="77777777" w:rsidR="00F3776C" w:rsidRPr="00BC6787" w:rsidRDefault="00F3776C" w:rsidP="009C460F">
            <w:pPr>
              <w:spacing w:line="240" w:lineRule="auto"/>
              <w:jc w:val="center"/>
              <w:rPr>
                <w:rFonts w:cs="Times New Roman"/>
              </w:rPr>
            </w:pPr>
            <w:r w:rsidRPr="00BC6787">
              <w:rPr>
                <w:rFonts w:cs="Times New Roman"/>
              </w:rPr>
              <w:t>1.45</w:t>
            </w:r>
          </w:p>
        </w:tc>
        <w:tc>
          <w:tcPr>
            <w:tcW w:w="1114" w:type="dxa"/>
            <w:gridSpan w:val="2"/>
            <w:tcBorders>
              <w:bottom w:val="single" w:sz="12" w:space="0" w:color="auto"/>
            </w:tcBorders>
            <w:vAlign w:val="bottom"/>
          </w:tcPr>
          <w:p w14:paraId="332C2893" w14:textId="77777777" w:rsidR="00F3776C" w:rsidRPr="00BC6787" w:rsidRDefault="00F3776C" w:rsidP="009C460F">
            <w:pPr>
              <w:spacing w:line="240" w:lineRule="auto"/>
              <w:jc w:val="center"/>
              <w:rPr>
                <w:rFonts w:cs="Times New Roman"/>
              </w:rPr>
            </w:pPr>
            <w:r w:rsidRPr="00BC6787">
              <w:rPr>
                <w:rFonts w:cs="Times New Roman"/>
              </w:rPr>
              <w:t xml:space="preserve"> 0.05</w:t>
            </w:r>
          </w:p>
        </w:tc>
        <w:tc>
          <w:tcPr>
            <w:tcW w:w="4744" w:type="dxa"/>
            <w:gridSpan w:val="2"/>
            <w:vMerge/>
            <w:tcBorders>
              <w:bottom w:val="nil"/>
              <w:right w:val="nil"/>
            </w:tcBorders>
          </w:tcPr>
          <w:p w14:paraId="401D4FB1" w14:textId="77777777" w:rsidR="00F3776C" w:rsidRPr="00BC6787" w:rsidRDefault="00F3776C" w:rsidP="009C460F">
            <w:pPr>
              <w:spacing w:line="240" w:lineRule="auto"/>
              <w:jc w:val="center"/>
              <w:rPr>
                <w:rFonts w:cs="Times New Roman"/>
              </w:rPr>
            </w:pPr>
          </w:p>
        </w:tc>
      </w:tr>
      <w:tr w:rsidR="00F85EC3" w:rsidRPr="00BC6787" w14:paraId="40F29AB7" w14:textId="77777777" w:rsidTr="009C460F">
        <w:tc>
          <w:tcPr>
            <w:tcW w:w="1501" w:type="dxa"/>
            <w:gridSpan w:val="2"/>
            <w:tcBorders>
              <w:top w:val="single" w:sz="12" w:space="0" w:color="auto"/>
            </w:tcBorders>
            <w:vAlign w:val="bottom"/>
          </w:tcPr>
          <w:p w14:paraId="3B15E7D7" w14:textId="77777777" w:rsidR="00F3776C" w:rsidRPr="00BC6787" w:rsidRDefault="00F3776C" w:rsidP="009C460F">
            <w:pPr>
              <w:spacing w:line="240" w:lineRule="auto"/>
              <w:jc w:val="right"/>
              <w:rPr>
                <w:rFonts w:cs="Times New Roman"/>
              </w:rPr>
            </w:pPr>
            <w:r w:rsidRPr="00BC6787">
              <w:rPr>
                <w:rFonts w:cs="Times New Roman"/>
              </w:rPr>
              <w:t>C2 CTN</w:t>
            </w:r>
          </w:p>
        </w:tc>
        <w:tc>
          <w:tcPr>
            <w:tcW w:w="838" w:type="dxa"/>
            <w:gridSpan w:val="2"/>
            <w:tcBorders>
              <w:top w:val="single" w:sz="12" w:space="0" w:color="auto"/>
            </w:tcBorders>
            <w:vAlign w:val="bottom"/>
          </w:tcPr>
          <w:p w14:paraId="526BE4AB" w14:textId="77777777" w:rsidR="00F3776C" w:rsidRPr="00BC6787" w:rsidRDefault="00F3776C" w:rsidP="009C460F">
            <w:pPr>
              <w:spacing w:line="240" w:lineRule="auto"/>
              <w:jc w:val="center"/>
              <w:rPr>
                <w:rFonts w:cs="Times New Roman"/>
              </w:rPr>
            </w:pPr>
            <w:r w:rsidRPr="00BC6787">
              <w:rPr>
                <w:rFonts w:cs="Times New Roman"/>
              </w:rPr>
              <w:t>1.58</w:t>
            </w:r>
          </w:p>
        </w:tc>
        <w:tc>
          <w:tcPr>
            <w:tcW w:w="837" w:type="dxa"/>
            <w:gridSpan w:val="2"/>
            <w:tcBorders>
              <w:top w:val="single" w:sz="12" w:space="0" w:color="auto"/>
            </w:tcBorders>
            <w:vAlign w:val="bottom"/>
          </w:tcPr>
          <w:p w14:paraId="10304B7E" w14:textId="77777777" w:rsidR="00F3776C" w:rsidRPr="00BC6787" w:rsidRDefault="00F3776C" w:rsidP="009C460F">
            <w:pPr>
              <w:spacing w:line="240" w:lineRule="auto"/>
              <w:jc w:val="center"/>
              <w:rPr>
                <w:rFonts w:cs="Times New Roman"/>
              </w:rPr>
            </w:pPr>
            <w:r w:rsidRPr="00BC6787">
              <w:rPr>
                <w:rFonts w:cs="Times New Roman"/>
              </w:rPr>
              <w:t>1.62</w:t>
            </w:r>
          </w:p>
        </w:tc>
        <w:tc>
          <w:tcPr>
            <w:tcW w:w="1114" w:type="dxa"/>
            <w:gridSpan w:val="2"/>
            <w:tcBorders>
              <w:top w:val="single" w:sz="12" w:space="0" w:color="auto"/>
            </w:tcBorders>
            <w:vAlign w:val="bottom"/>
          </w:tcPr>
          <w:p w14:paraId="27CCCC4F" w14:textId="77777777" w:rsidR="00F3776C" w:rsidRPr="00BC6787" w:rsidRDefault="00F3776C" w:rsidP="009C460F">
            <w:pPr>
              <w:spacing w:line="240" w:lineRule="auto"/>
              <w:jc w:val="center"/>
              <w:rPr>
                <w:rFonts w:cs="Times New Roman"/>
              </w:rPr>
            </w:pPr>
            <w:r w:rsidRPr="00BC6787">
              <w:rPr>
                <w:rFonts w:cs="Times New Roman"/>
              </w:rPr>
              <w:t xml:space="preserve"> 0.04</w:t>
            </w:r>
          </w:p>
        </w:tc>
        <w:tc>
          <w:tcPr>
            <w:tcW w:w="4744" w:type="dxa"/>
            <w:gridSpan w:val="2"/>
            <w:vMerge/>
            <w:tcBorders>
              <w:bottom w:val="nil"/>
              <w:right w:val="nil"/>
            </w:tcBorders>
          </w:tcPr>
          <w:p w14:paraId="76C6BAA1" w14:textId="77777777" w:rsidR="00F3776C" w:rsidRPr="00BC6787" w:rsidRDefault="00F3776C" w:rsidP="009C460F">
            <w:pPr>
              <w:spacing w:line="240" w:lineRule="auto"/>
              <w:jc w:val="center"/>
              <w:rPr>
                <w:rFonts w:cs="Times New Roman"/>
              </w:rPr>
            </w:pPr>
          </w:p>
        </w:tc>
      </w:tr>
      <w:tr w:rsidR="00F85EC3" w:rsidRPr="00BC6787" w14:paraId="7367C6E6" w14:textId="77777777" w:rsidTr="009C460F">
        <w:tc>
          <w:tcPr>
            <w:tcW w:w="1501" w:type="dxa"/>
            <w:gridSpan w:val="2"/>
            <w:vAlign w:val="bottom"/>
          </w:tcPr>
          <w:p w14:paraId="36262B6F" w14:textId="77777777" w:rsidR="00F3776C" w:rsidRPr="00BC6787" w:rsidRDefault="00F3776C" w:rsidP="009C460F">
            <w:pPr>
              <w:spacing w:line="240" w:lineRule="auto"/>
              <w:jc w:val="right"/>
              <w:rPr>
                <w:rFonts w:cs="Times New Roman"/>
              </w:rPr>
            </w:pPr>
            <w:r w:rsidRPr="00BC6787">
              <w:rPr>
                <w:rFonts w:cs="Times New Roman"/>
              </w:rPr>
              <w:t>CPM2 CPA3</w:t>
            </w:r>
          </w:p>
        </w:tc>
        <w:tc>
          <w:tcPr>
            <w:tcW w:w="838" w:type="dxa"/>
            <w:gridSpan w:val="2"/>
            <w:vAlign w:val="bottom"/>
          </w:tcPr>
          <w:p w14:paraId="715D09B4" w14:textId="77777777" w:rsidR="00F3776C" w:rsidRPr="00BC6787" w:rsidRDefault="00F3776C" w:rsidP="009C460F">
            <w:pPr>
              <w:spacing w:line="240" w:lineRule="auto"/>
              <w:jc w:val="center"/>
              <w:rPr>
                <w:rFonts w:cs="Times New Roman"/>
              </w:rPr>
            </w:pPr>
            <w:r w:rsidRPr="00BC6787">
              <w:rPr>
                <w:rFonts w:cs="Times New Roman"/>
              </w:rPr>
              <w:t>1.40</w:t>
            </w:r>
          </w:p>
        </w:tc>
        <w:tc>
          <w:tcPr>
            <w:tcW w:w="837" w:type="dxa"/>
            <w:gridSpan w:val="2"/>
            <w:vAlign w:val="bottom"/>
          </w:tcPr>
          <w:p w14:paraId="194A2A11" w14:textId="77777777" w:rsidR="00F3776C" w:rsidRPr="00BC6787" w:rsidRDefault="00F3776C" w:rsidP="009C460F">
            <w:pPr>
              <w:spacing w:line="240" w:lineRule="auto"/>
              <w:jc w:val="center"/>
              <w:rPr>
                <w:rFonts w:cs="Times New Roman"/>
              </w:rPr>
            </w:pPr>
            <w:r w:rsidRPr="00BC6787">
              <w:rPr>
                <w:rFonts w:cs="Times New Roman"/>
              </w:rPr>
              <w:t>1.44</w:t>
            </w:r>
          </w:p>
        </w:tc>
        <w:tc>
          <w:tcPr>
            <w:tcW w:w="1114" w:type="dxa"/>
            <w:gridSpan w:val="2"/>
            <w:vAlign w:val="bottom"/>
          </w:tcPr>
          <w:p w14:paraId="4D3C8266" w14:textId="77777777" w:rsidR="00F3776C" w:rsidRPr="00BC6787" w:rsidRDefault="00F3776C" w:rsidP="009C460F">
            <w:pPr>
              <w:spacing w:line="240" w:lineRule="auto"/>
              <w:jc w:val="center"/>
              <w:rPr>
                <w:rFonts w:cs="Times New Roman"/>
              </w:rPr>
            </w:pPr>
            <w:r w:rsidRPr="00BC6787">
              <w:rPr>
                <w:rFonts w:cs="Times New Roman"/>
              </w:rPr>
              <w:t xml:space="preserve"> 0.04</w:t>
            </w:r>
          </w:p>
        </w:tc>
        <w:tc>
          <w:tcPr>
            <w:tcW w:w="4744" w:type="dxa"/>
            <w:gridSpan w:val="2"/>
            <w:vMerge/>
            <w:tcBorders>
              <w:bottom w:val="nil"/>
              <w:right w:val="nil"/>
            </w:tcBorders>
          </w:tcPr>
          <w:p w14:paraId="2563740C" w14:textId="77777777" w:rsidR="00F3776C" w:rsidRPr="00BC6787" w:rsidRDefault="00F3776C" w:rsidP="009C460F">
            <w:pPr>
              <w:spacing w:line="240" w:lineRule="auto"/>
              <w:jc w:val="center"/>
              <w:rPr>
                <w:rFonts w:cs="Times New Roman"/>
              </w:rPr>
            </w:pPr>
          </w:p>
        </w:tc>
      </w:tr>
      <w:tr w:rsidR="00F85EC3" w:rsidRPr="00BC6787" w14:paraId="4D019969" w14:textId="77777777" w:rsidTr="009C460F">
        <w:tc>
          <w:tcPr>
            <w:tcW w:w="1501" w:type="dxa"/>
            <w:gridSpan w:val="2"/>
            <w:vAlign w:val="bottom"/>
          </w:tcPr>
          <w:p w14:paraId="6F465DE3" w14:textId="77777777" w:rsidR="00F3776C" w:rsidRPr="00BC6787" w:rsidRDefault="00F3776C" w:rsidP="009C460F">
            <w:pPr>
              <w:spacing w:line="240" w:lineRule="auto"/>
              <w:jc w:val="right"/>
              <w:rPr>
                <w:rFonts w:cs="Times New Roman"/>
              </w:rPr>
            </w:pPr>
            <w:r w:rsidRPr="00BC6787">
              <w:rPr>
                <w:rFonts w:cs="Times New Roman"/>
              </w:rPr>
              <w:t>CT2N CTN</w:t>
            </w:r>
          </w:p>
        </w:tc>
        <w:tc>
          <w:tcPr>
            <w:tcW w:w="838" w:type="dxa"/>
            <w:gridSpan w:val="2"/>
            <w:vAlign w:val="bottom"/>
          </w:tcPr>
          <w:p w14:paraId="798CC2E0" w14:textId="77777777" w:rsidR="00F3776C" w:rsidRPr="00BC6787" w:rsidRDefault="00F3776C" w:rsidP="009C460F">
            <w:pPr>
              <w:spacing w:line="240" w:lineRule="auto"/>
              <w:jc w:val="center"/>
              <w:rPr>
                <w:rFonts w:cs="Times New Roman"/>
              </w:rPr>
            </w:pPr>
            <w:r w:rsidRPr="00BC6787">
              <w:rPr>
                <w:rFonts w:cs="Times New Roman"/>
              </w:rPr>
              <w:t>1.53</w:t>
            </w:r>
          </w:p>
        </w:tc>
        <w:tc>
          <w:tcPr>
            <w:tcW w:w="837" w:type="dxa"/>
            <w:gridSpan w:val="2"/>
            <w:vAlign w:val="bottom"/>
          </w:tcPr>
          <w:p w14:paraId="281CFD7E" w14:textId="77777777" w:rsidR="00F3776C" w:rsidRPr="00BC6787" w:rsidRDefault="00F3776C" w:rsidP="009C460F">
            <w:pPr>
              <w:spacing w:line="240" w:lineRule="auto"/>
              <w:jc w:val="center"/>
              <w:rPr>
                <w:rFonts w:cs="Times New Roman"/>
              </w:rPr>
            </w:pPr>
            <w:r w:rsidRPr="00BC6787">
              <w:rPr>
                <w:rFonts w:cs="Times New Roman"/>
              </w:rPr>
              <w:t>1.49</w:t>
            </w:r>
          </w:p>
        </w:tc>
        <w:tc>
          <w:tcPr>
            <w:tcW w:w="1114" w:type="dxa"/>
            <w:gridSpan w:val="2"/>
            <w:vAlign w:val="bottom"/>
          </w:tcPr>
          <w:p w14:paraId="7B3596D3" w14:textId="77777777" w:rsidR="00F3776C" w:rsidRPr="00BC6787" w:rsidRDefault="00F3776C" w:rsidP="009C460F">
            <w:pPr>
              <w:spacing w:line="240" w:lineRule="auto"/>
              <w:jc w:val="center"/>
              <w:rPr>
                <w:rFonts w:cs="Times New Roman"/>
              </w:rPr>
            </w:pPr>
            <w:r w:rsidRPr="00BC6787">
              <w:rPr>
                <w:rFonts w:cs="Times New Roman"/>
              </w:rPr>
              <w:t>-0.04</w:t>
            </w:r>
          </w:p>
        </w:tc>
        <w:tc>
          <w:tcPr>
            <w:tcW w:w="4744" w:type="dxa"/>
            <w:gridSpan w:val="2"/>
            <w:vMerge/>
            <w:tcBorders>
              <w:bottom w:val="nil"/>
              <w:right w:val="nil"/>
            </w:tcBorders>
          </w:tcPr>
          <w:p w14:paraId="51E80481" w14:textId="77777777" w:rsidR="00F3776C" w:rsidRPr="00BC6787" w:rsidRDefault="00F3776C" w:rsidP="009C460F">
            <w:pPr>
              <w:spacing w:line="240" w:lineRule="auto"/>
              <w:jc w:val="center"/>
              <w:rPr>
                <w:rFonts w:cs="Times New Roman"/>
              </w:rPr>
            </w:pPr>
          </w:p>
        </w:tc>
      </w:tr>
      <w:tr w:rsidR="00F85EC3" w:rsidRPr="00BC6787" w14:paraId="5EA518AC" w14:textId="77777777" w:rsidTr="009C460F">
        <w:tc>
          <w:tcPr>
            <w:tcW w:w="1501" w:type="dxa"/>
            <w:gridSpan w:val="2"/>
            <w:vAlign w:val="bottom"/>
          </w:tcPr>
          <w:p w14:paraId="51673519" w14:textId="77777777" w:rsidR="00F3776C" w:rsidRPr="00BC6787" w:rsidRDefault="00F3776C" w:rsidP="009C460F">
            <w:pPr>
              <w:spacing w:line="240" w:lineRule="auto"/>
              <w:jc w:val="right"/>
              <w:rPr>
                <w:rFonts w:cs="Times New Roman"/>
              </w:rPr>
            </w:pPr>
            <w:r w:rsidRPr="00BC6787">
              <w:rPr>
                <w:rFonts w:cs="Times New Roman"/>
              </w:rPr>
              <w:t>CPBN CPAN</w:t>
            </w:r>
          </w:p>
        </w:tc>
        <w:tc>
          <w:tcPr>
            <w:tcW w:w="838" w:type="dxa"/>
            <w:gridSpan w:val="2"/>
            <w:vAlign w:val="bottom"/>
          </w:tcPr>
          <w:p w14:paraId="7F6CE5C2" w14:textId="77777777" w:rsidR="00F3776C" w:rsidRPr="00BC6787" w:rsidRDefault="00F3776C" w:rsidP="009C460F">
            <w:pPr>
              <w:spacing w:line="240" w:lineRule="auto"/>
              <w:jc w:val="center"/>
              <w:rPr>
                <w:rFonts w:cs="Times New Roman"/>
              </w:rPr>
            </w:pPr>
            <w:r w:rsidRPr="00BC6787">
              <w:rPr>
                <w:rFonts w:cs="Times New Roman"/>
              </w:rPr>
              <w:t>1.40</w:t>
            </w:r>
          </w:p>
        </w:tc>
        <w:tc>
          <w:tcPr>
            <w:tcW w:w="837" w:type="dxa"/>
            <w:gridSpan w:val="2"/>
            <w:vAlign w:val="bottom"/>
          </w:tcPr>
          <w:p w14:paraId="0FB72FFA" w14:textId="77777777" w:rsidR="00F3776C" w:rsidRPr="00BC6787" w:rsidRDefault="00F3776C" w:rsidP="009C460F">
            <w:pPr>
              <w:spacing w:line="240" w:lineRule="auto"/>
              <w:jc w:val="center"/>
              <w:rPr>
                <w:rFonts w:cs="Times New Roman"/>
              </w:rPr>
            </w:pPr>
            <w:r w:rsidRPr="00BC6787">
              <w:rPr>
                <w:rFonts w:cs="Times New Roman"/>
              </w:rPr>
              <w:t>1.44</w:t>
            </w:r>
          </w:p>
        </w:tc>
        <w:tc>
          <w:tcPr>
            <w:tcW w:w="1114" w:type="dxa"/>
            <w:gridSpan w:val="2"/>
            <w:vAlign w:val="bottom"/>
          </w:tcPr>
          <w:p w14:paraId="01B83DE6" w14:textId="77777777" w:rsidR="00F3776C" w:rsidRPr="00BC6787" w:rsidRDefault="00F3776C" w:rsidP="009C460F">
            <w:pPr>
              <w:spacing w:line="240" w:lineRule="auto"/>
              <w:jc w:val="center"/>
              <w:rPr>
                <w:rFonts w:cs="Times New Roman"/>
              </w:rPr>
            </w:pPr>
            <w:r w:rsidRPr="00BC6787">
              <w:rPr>
                <w:rFonts w:cs="Times New Roman"/>
              </w:rPr>
              <w:t xml:space="preserve"> 0.04</w:t>
            </w:r>
          </w:p>
        </w:tc>
        <w:tc>
          <w:tcPr>
            <w:tcW w:w="4744" w:type="dxa"/>
            <w:gridSpan w:val="2"/>
            <w:vMerge/>
            <w:tcBorders>
              <w:bottom w:val="nil"/>
              <w:right w:val="nil"/>
            </w:tcBorders>
          </w:tcPr>
          <w:p w14:paraId="142B5D40" w14:textId="77777777" w:rsidR="00F3776C" w:rsidRPr="00BC6787" w:rsidRDefault="00F3776C" w:rsidP="009C460F">
            <w:pPr>
              <w:spacing w:line="240" w:lineRule="auto"/>
              <w:jc w:val="center"/>
              <w:rPr>
                <w:rFonts w:cs="Times New Roman"/>
              </w:rPr>
            </w:pPr>
          </w:p>
        </w:tc>
      </w:tr>
      <w:tr w:rsidR="00F85EC3" w:rsidRPr="00BC6787" w14:paraId="162F7C4A" w14:textId="77777777" w:rsidTr="009C460F">
        <w:tc>
          <w:tcPr>
            <w:tcW w:w="1501" w:type="dxa"/>
            <w:gridSpan w:val="2"/>
            <w:vAlign w:val="bottom"/>
          </w:tcPr>
          <w:p w14:paraId="7EB066B5" w14:textId="77777777" w:rsidR="00F3776C" w:rsidRPr="00BC6787" w:rsidRDefault="00F3776C" w:rsidP="009C460F">
            <w:pPr>
              <w:spacing w:line="240" w:lineRule="auto"/>
              <w:jc w:val="right"/>
              <w:rPr>
                <w:rFonts w:cs="Times New Roman"/>
              </w:rPr>
            </w:pPr>
            <w:r w:rsidRPr="00BC6787">
              <w:rPr>
                <w:rFonts w:cs="Times New Roman"/>
              </w:rPr>
              <w:t>CTN CPM2</w:t>
            </w:r>
          </w:p>
        </w:tc>
        <w:tc>
          <w:tcPr>
            <w:tcW w:w="838" w:type="dxa"/>
            <w:gridSpan w:val="2"/>
            <w:vAlign w:val="bottom"/>
          </w:tcPr>
          <w:p w14:paraId="506120FE" w14:textId="77777777" w:rsidR="00F3776C" w:rsidRPr="00BC6787" w:rsidRDefault="00F3776C" w:rsidP="009C460F">
            <w:pPr>
              <w:spacing w:line="240" w:lineRule="auto"/>
              <w:jc w:val="center"/>
              <w:rPr>
                <w:rFonts w:cs="Times New Roman"/>
              </w:rPr>
            </w:pPr>
            <w:r w:rsidRPr="00BC6787">
              <w:rPr>
                <w:rFonts w:cs="Times New Roman"/>
              </w:rPr>
              <w:t>1.53</w:t>
            </w:r>
          </w:p>
        </w:tc>
        <w:tc>
          <w:tcPr>
            <w:tcW w:w="837" w:type="dxa"/>
            <w:gridSpan w:val="2"/>
            <w:vAlign w:val="bottom"/>
          </w:tcPr>
          <w:p w14:paraId="393B9833" w14:textId="77777777" w:rsidR="00F3776C" w:rsidRPr="00BC6787" w:rsidRDefault="00F3776C" w:rsidP="009C460F">
            <w:pPr>
              <w:spacing w:line="240" w:lineRule="auto"/>
              <w:jc w:val="center"/>
              <w:rPr>
                <w:rFonts w:cs="Times New Roman"/>
              </w:rPr>
            </w:pPr>
            <w:r w:rsidRPr="00BC6787">
              <w:rPr>
                <w:rFonts w:cs="Times New Roman"/>
              </w:rPr>
              <w:t>1.49</w:t>
            </w:r>
          </w:p>
        </w:tc>
        <w:tc>
          <w:tcPr>
            <w:tcW w:w="1114" w:type="dxa"/>
            <w:gridSpan w:val="2"/>
            <w:vAlign w:val="bottom"/>
          </w:tcPr>
          <w:p w14:paraId="3E4AB3E5" w14:textId="77777777" w:rsidR="00F3776C" w:rsidRPr="00BC6787" w:rsidRDefault="00F3776C" w:rsidP="009C460F">
            <w:pPr>
              <w:spacing w:line="240" w:lineRule="auto"/>
              <w:jc w:val="center"/>
              <w:rPr>
                <w:rFonts w:cs="Times New Roman"/>
              </w:rPr>
            </w:pPr>
            <w:r w:rsidRPr="00BC6787">
              <w:rPr>
                <w:rFonts w:cs="Times New Roman"/>
              </w:rPr>
              <w:t>-0.04</w:t>
            </w:r>
          </w:p>
        </w:tc>
        <w:tc>
          <w:tcPr>
            <w:tcW w:w="4744" w:type="dxa"/>
            <w:gridSpan w:val="2"/>
            <w:vMerge/>
            <w:tcBorders>
              <w:bottom w:val="nil"/>
              <w:right w:val="nil"/>
            </w:tcBorders>
          </w:tcPr>
          <w:p w14:paraId="52E42A16" w14:textId="77777777" w:rsidR="00F3776C" w:rsidRPr="00BC6787" w:rsidRDefault="00F3776C" w:rsidP="009C460F">
            <w:pPr>
              <w:spacing w:line="240" w:lineRule="auto"/>
              <w:jc w:val="center"/>
              <w:rPr>
                <w:rFonts w:cs="Times New Roman"/>
              </w:rPr>
            </w:pPr>
          </w:p>
        </w:tc>
      </w:tr>
      <w:tr w:rsidR="00F85EC3" w:rsidRPr="00BC6787" w14:paraId="37E1901B" w14:textId="77777777" w:rsidTr="009C460F">
        <w:tc>
          <w:tcPr>
            <w:tcW w:w="1501" w:type="dxa"/>
            <w:gridSpan w:val="2"/>
            <w:vAlign w:val="bottom"/>
          </w:tcPr>
          <w:p w14:paraId="36BFE4BF" w14:textId="77777777" w:rsidR="00F3776C" w:rsidRPr="00BC6787" w:rsidRDefault="00F3776C" w:rsidP="009C460F">
            <w:pPr>
              <w:spacing w:line="240" w:lineRule="auto"/>
              <w:jc w:val="right"/>
              <w:rPr>
                <w:rFonts w:cs="Times New Roman"/>
              </w:rPr>
            </w:pPr>
            <w:r w:rsidRPr="00BC6787">
              <w:rPr>
                <w:rFonts w:cs="Times New Roman"/>
              </w:rPr>
              <w:t>CTR CPBN</w:t>
            </w:r>
          </w:p>
        </w:tc>
        <w:tc>
          <w:tcPr>
            <w:tcW w:w="838" w:type="dxa"/>
            <w:gridSpan w:val="2"/>
            <w:vAlign w:val="bottom"/>
          </w:tcPr>
          <w:p w14:paraId="7AB74043" w14:textId="77777777" w:rsidR="00F3776C" w:rsidRPr="00BC6787" w:rsidRDefault="00F3776C" w:rsidP="009C460F">
            <w:pPr>
              <w:spacing w:line="240" w:lineRule="auto"/>
              <w:jc w:val="center"/>
              <w:rPr>
                <w:rFonts w:cs="Times New Roman"/>
              </w:rPr>
            </w:pPr>
            <w:r w:rsidRPr="00BC6787">
              <w:rPr>
                <w:rFonts w:cs="Times New Roman"/>
              </w:rPr>
              <w:t>1.50</w:t>
            </w:r>
          </w:p>
        </w:tc>
        <w:tc>
          <w:tcPr>
            <w:tcW w:w="837" w:type="dxa"/>
            <w:gridSpan w:val="2"/>
            <w:vAlign w:val="bottom"/>
          </w:tcPr>
          <w:p w14:paraId="6329321D" w14:textId="77777777" w:rsidR="00F3776C" w:rsidRPr="00BC6787" w:rsidRDefault="00F3776C" w:rsidP="009C460F">
            <w:pPr>
              <w:spacing w:line="240" w:lineRule="auto"/>
              <w:jc w:val="center"/>
              <w:rPr>
                <w:rFonts w:cs="Times New Roman"/>
              </w:rPr>
            </w:pPr>
            <w:r w:rsidRPr="00BC6787">
              <w:rPr>
                <w:rFonts w:cs="Times New Roman"/>
              </w:rPr>
              <w:t>1.53</w:t>
            </w:r>
          </w:p>
        </w:tc>
        <w:tc>
          <w:tcPr>
            <w:tcW w:w="1114" w:type="dxa"/>
            <w:gridSpan w:val="2"/>
            <w:vAlign w:val="bottom"/>
          </w:tcPr>
          <w:p w14:paraId="3E747267" w14:textId="77777777" w:rsidR="00F3776C" w:rsidRPr="00BC6787" w:rsidRDefault="00F3776C" w:rsidP="009C460F">
            <w:pPr>
              <w:spacing w:line="240" w:lineRule="auto"/>
              <w:jc w:val="center"/>
              <w:rPr>
                <w:rFonts w:cs="Times New Roman"/>
              </w:rPr>
            </w:pPr>
            <w:r w:rsidRPr="00BC6787">
              <w:rPr>
                <w:rFonts w:cs="Times New Roman"/>
              </w:rPr>
              <w:t xml:space="preserve"> 0.03</w:t>
            </w:r>
          </w:p>
        </w:tc>
        <w:tc>
          <w:tcPr>
            <w:tcW w:w="4744" w:type="dxa"/>
            <w:gridSpan w:val="2"/>
            <w:vMerge/>
            <w:tcBorders>
              <w:bottom w:val="nil"/>
              <w:right w:val="nil"/>
            </w:tcBorders>
          </w:tcPr>
          <w:p w14:paraId="1455BA87" w14:textId="77777777" w:rsidR="00F3776C" w:rsidRPr="00BC6787" w:rsidRDefault="00F3776C" w:rsidP="009C460F">
            <w:pPr>
              <w:spacing w:line="240" w:lineRule="auto"/>
              <w:jc w:val="center"/>
              <w:rPr>
                <w:rFonts w:cs="Times New Roman"/>
              </w:rPr>
            </w:pPr>
          </w:p>
        </w:tc>
      </w:tr>
      <w:tr w:rsidR="00F85EC3" w:rsidRPr="00BC6787" w14:paraId="1B3CA53C" w14:textId="77777777" w:rsidTr="009C460F">
        <w:tc>
          <w:tcPr>
            <w:tcW w:w="1501" w:type="dxa"/>
            <w:gridSpan w:val="2"/>
            <w:tcBorders>
              <w:bottom w:val="single" w:sz="4" w:space="0" w:color="auto"/>
            </w:tcBorders>
            <w:vAlign w:val="bottom"/>
          </w:tcPr>
          <w:p w14:paraId="63622516" w14:textId="77777777" w:rsidR="00F3776C" w:rsidRPr="00BC6787" w:rsidRDefault="00F3776C" w:rsidP="009C460F">
            <w:pPr>
              <w:spacing w:line="240" w:lineRule="auto"/>
              <w:jc w:val="right"/>
              <w:rPr>
                <w:rFonts w:cs="Times New Roman"/>
              </w:rPr>
            </w:pPr>
            <w:r w:rsidRPr="00BC6787">
              <w:rPr>
                <w:rFonts w:cs="Times New Roman"/>
              </w:rPr>
              <w:t>CPBN CPA2</w:t>
            </w:r>
          </w:p>
        </w:tc>
        <w:tc>
          <w:tcPr>
            <w:tcW w:w="838" w:type="dxa"/>
            <w:gridSpan w:val="2"/>
            <w:tcBorders>
              <w:bottom w:val="single" w:sz="4" w:space="0" w:color="auto"/>
            </w:tcBorders>
            <w:vAlign w:val="bottom"/>
          </w:tcPr>
          <w:p w14:paraId="4735AF8F" w14:textId="77777777" w:rsidR="00F3776C" w:rsidRPr="00BC6787" w:rsidRDefault="00F3776C" w:rsidP="009C460F">
            <w:pPr>
              <w:spacing w:line="240" w:lineRule="auto"/>
              <w:jc w:val="center"/>
              <w:rPr>
                <w:rFonts w:cs="Times New Roman"/>
              </w:rPr>
            </w:pPr>
            <w:r w:rsidRPr="00BC6787">
              <w:rPr>
                <w:rFonts w:cs="Times New Roman"/>
              </w:rPr>
              <w:t>1.41</w:t>
            </w:r>
          </w:p>
        </w:tc>
        <w:tc>
          <w:tcPr>
            <w:tcW w:w="837" w:type="dxa"/>
            <w:gridSpan w:val="2"/>
            <w:tcBorders>
              <w:bottom w:val="single" w:sz="4" w:space="0" w:color="auto"/>
            </w:tcBorders>
            <w:vAlign w:val="bottom"/>
          </w:tcPr>
          <w:p w14:paraId="719CD05F" w14:textId="77777777" w:rsidR="00F3776C" w:rsidRPr="00BC6787" w:rsidRDefault="00F3776C" w:rsidP="009C460F">
            <w:pPr>
              <w:spacing w:line="240" w:lineRule="auto"/>
              <w:jc w:val="center"/>
              <w:rPr>
                <w:rFonts w:cs="Times New Roman"/>
              </w:rPr>
            </w:pPr>
            <w:r w:rsidRPr="00BC6787">
              <w:rPr>
                <w:rFonts w:cs="Times New Roman"/>
              </w:rPr>
              <w:t>1.44</w:t>
            </w:r>
          </w:p>
        </w:tc>
        <w:tc>
          <w:tcPr>
            <w:tcW w:w="1114" w:type="dxa"/>
            <w:gridSpan w:val="2"/>
            <w:tcBorders>
              <w:bottom w:val="single" w:sz="4" w:space="0" w:color="auto"/>
            </w:tcBorders>
            <w:vAlign w:val="bottom"/>
          </w:tcPr>
          <w:p w14:paraId="27F2BB08" w14:textId="77777777" w:rsidR="00F3776C" w:rsidRPr="00BC6787" w:rsidRDefault="00F3776C" w:rsidP="009C460F">
            <w:pPr>
              <w:spacing w:line="240" w:lineRule="auto"/>
              <w:jc w:val="center"/>
              <w:rPr>
                <w:rFonts w:cs="Times New Roman"/>
              </w:rPr>
            </w:pPr>
            <w:r w:rsidRPr="00BC6787">
              <w:rPr>
                <w:rFonts w:cs="Times New Roman"/>
              </w:rPr>
              <w:t xml:space="preserve"> 0.03</w:t>
            </w:r>
          </w:p>
        </w:tc>
        <w:tc>
          <w:tcPr>
            <w:tcW w:w="4744" w:type="dxa"/>
            <w:gridSpan w:val="2"/>
            <w:vMerge/>
            <w:tcBorders>
              <w:bottom w:val="nil"/>
              <w:right w:val="nil"/>
            </w:tcBorders>
          </w:tcPr>
          <w:p w14:paraId="25FDF8C0" w14:textId="77777777" w:rsidR="00F3776C" w:rsidRPr="00BC6787" w:rsidRDefault="00F3776C" w:rsidP="009C460F">
            <w:pPr>
              <w:spacing w:line="240" w:lineRule="auto"/>
              <w:jc w:val="center"/>
              <w:rPr>
                <w:rFonts w:cs="Times New Roman"/>
              </w:rPr>
            </w:pPr>
          </w:p>
        </w:tc>
      </w:tr>
    </w:tbl>
    <w:p w14:paraId="009BAD37" w14:textId="77777777" w:rsidR="00F3776C" w:rsidRPr="00BC6787" w:rsidRDefault="00F3776C" w:rsidP="00F3776C">
      <w:pPr>
        <w:spacing w:before="120"/>
        <w:rPr>
          <w:rFonts w:eastAsiaTheme="minorEastAsia" w:cs="Times New Roman"/>
          <w:sz w:val="18"/>
        </w:rPr>
      </w:pPr>
      <w:r w:rsidRPr="00BC6787">
        <w:rPr>
          <w:rFonts w:cs="Times New Roman"/>
          <w:b/>
          <w:sz w:val="18"/>
          <w:szCs w:val="18"/>
        </w:rPr>
        <w:t>Figure 5:</w:t>
      </w:r>
      <w:r w:rsidRPr="00BC6787">
        <w:rPr>
          <w:rFonts w:cs="Times New Roman"/>
          <w:sz w:val="18"/>
          <w:szCs w:val="18"/>
        </w:rPr>
        <w:t xml:space="preserve"> </w:t>
      </w:r>
      <w:r w:rsidRPr="00BC6787">
        <w:rPr>
          <w:rFonts w:cs="Times New Roman"/>
          <w:sz w:val="18"/>
        </w:rPr>
        <w:t>T</w:t>
      </w:r>
      <w:r w:rsidRPr="00BC6787">
        <w:rPr>
          <w:rFonts w:cs="Times New Roman"/>
          <w:sz w:val="18"/>
          <w:szCs w:val="18"/>
        </w:rPr>
        <w:t xml:space="preserve">ables of </w:t>
      </w:r>
      <w:r w:rsidRPr="00BC6787">
        <w:rPr>
          <w:rFonts w:cs="Times New Roman"/>
          <w:i/>
          <w:sz w:val="18"/>
          <w:szCs w:val="18"/>
        </w:rPr>
        <w:t>b</w:t>
      </w:r>
      <w:r w:rsidRPr="00BC6787">
        <w:rPr>
          <w:rFonts w:cs="Times New Roman"/>
          <w:sz w:val="18"/>
          <w:szCs w:val="18"/>
          <w:vertAlign w:val="subscript"/>
        </w:rPr>
        <w:t>0</w:t>
      </w:r>
      <w:r w:rsidRPr="00BC6787">
        <w:rPr>
          <w:rFonts w:cs="Times New Roman"/>
          <w:sz w:val="18"/>
          <w:szCs w:val="18"/>
        </w:rPr>
        <w:t xml:space="preserve"> details for each pigment containing: the atom types of the bond; </w:t>
      </w:r>
      <w:r w:rsidRPr="00BC6787">
        <w:rPr>
          <w:rFonts w:cs="Times New Roman"/>
          <w:sz w:val="18"/>
        </w:rPr>
        <w:t xml:space="preserve">initial by-analogy value, </w:t>
      </w:r>
      <w:r w:rsidRPr="00BC6787">
        <w:rPr>
          <w:rFonts w:cs="Times New Roman"/>
          <w:i/>
          <w:sz w:val="18"/>
        </w:rPr>
        <w:t>b</w:t>
      </w:r>
      <w:r w:rsidRPr="00BC6787">
        <w:rPr>
          <w:rFonts w:cs="Times New Roman"/>
          <w:i/>
          <w:sz w:val="18"/>
          <w:vertAlign w:val="superscript"/>
        </w:rPr>
        <w:t>i</w:t>
      </w:r>
      <w:r w:rsidRPr="00BC6787">
        <w:rPr>
          <w:rFonts w:cs="Times New Roman"/>
          <w:sz w:val="18"/>
        </w:rPr>
        <w:t xml:space="preserve">; final value, </w:t>
      </w:r>
      <w:r w:rsidRPr="00BC6787">
        <w:rPr>
          <w:rFonts w:cs="Times New Roman"/>
          <w:i/>
          <w:sz w:val="18"/>
        </w:rPr>
        <w:t>b</w:t>
      </w:r>
      <w:r w:rsidRPr="00BC6787">
        <w:rPr>
          <w:rFonts w:cs="Times New Roman"/>
          <w:i/>
          <w:sz w:val="18"/>
          <w:vertAlign w:val="superscript"/>
        </w:rPr>
        <w:t>f</w:t>
      </w:r>
      <w:r w:rsidRPr="00BC6787">
        <w:rPr>
          <w:rFonts w:cs="Times New Roman"/>
          <w:sz w:val="18"/>
        </w:rPr>
        <w:t>;</w:t>
      </w:r>
      <w:r w:rsidRPr="00BC6787">
        <w:rPr>
          <w:rFonts w:cs="Times New Roman"/>
          <w:sz w:val="18"/>
          <w:vertAlign w:val="superscript"/>
        </w:rPr>
        <w:t xml:space="preserve"> </w:t>
      </w:r>
      <w:r w:rsidRPr="00BC6787">
        <w:rPr>
          <w:rFonts w:cs="Times New Roman"/>
          <w:sz w:val="18"/>
        </w:rPr>
        <w:t xml:space="preserve">and the overall change, </w:t>
      </w:r>
      <w:proofErr w:type="spellStart"/>
      <w:r w:rsidRPr="00BC6787">
        <w:rPr>
          <w:rFonts w:cs="Times New Roman"/>
          <w:i/>
          <w:sz w:val="18"/>
        </w:rPr>
        <w:t>b</w:t>
      </w:r>
      <w:r w:rsidRPr="00BC6787">
        <w:rPr>
          <w:rFonts w:cs="Times New Roman"/>
          <w:i/>
          <w:sz w:val="18"/>
          <w:vertAlign w:val="superscript"/>
        </w:rPr>
        <w:t>change</w:t>
      </w:r>
      <w:proofErr w:type="spellEnd"/>
      <w:r w:rsidRPr="00BC6787">
        <w:rPr>
          <w:rFonts w:cs="Times New Roman"/>
          <w:sz w:val="18"/>
        </w:rPr>
        <w:t xml:space="preserve">, for bond types with </w:t>
      </w:r>
      <w:proofErr w:type="spellStart"/>
      <w:r w:rsidRPr="00BC6787">
        <w:rPr>
          <w:rFonts w:cs="Times New Roman"/>
          <w:i/>
          <w:sz w:val="18"/>
        </w:rPr>
        <w:t>b</w:t>
      </w:r>
      <w:r w:rsidRPr="00BC6787">
        <w:rPr>
          <w:rFonts w:cs="Times New Roman"/>
          <w:i/>
          <w:sz w:val="18"/>
          <w:vertAlign w:val="superscript"/>
        </w:rPr>
        <w:t>change</w:t>
      </w:r>
      <w:proofErr w:type="spellEnd"/>
      <w:r w:rsidRPr="00BC6787">
        <w:rPr>
          <w:rFonts w:cs="Times New Roman"/>
          <w:i/>
          <w:sz w:val="18"/>
        </w:rPr>
        <w:t xml:space="preserve"> </w:t>
      </w:r>
      <w:r w:rsidRPr="00BC6787">
        <w:rPr>
          <w:rFonts w:cs="Times New Roman"/>
          <w:sz w:val="18"/>
        </w:rPr>
        <w:t xml:space="preserve">≥ 0.03 Å. The corresponding bonds are highlighted in the pigment structure, in red for change in bonding structure and orange for a structural change. Note as some atoms have degenerate types, multiple bonds may be described by the same parameter hence the number of bonds in the tables and number of bonds highlighted is not equivalent. </w:t>
      </w:r>
    </w:p>
    <w:p w14:paraId="48770DD8" w14:textId="77777777" w:rsidR="00F3776C" w:rsidRPr="00BC6787" w:rsidRDefault="00F3776C">
      <w:pPr>
        <w:spacing w:line="259" w:lineRule="auto"/>
        <w:jc w:val="left"/>
      </w:pPr>
      <w:r w:rsidRPr="00BC6787">
        <w:br w:type="page"/>
      </w:r>
    </w:p>
    <w:p w14:paraId="4821066B" w14:textId="62ED6636" w:rsidR="009D6AF7" w:rsidRPr="00BC6787" w:rsidRDefault="009D6AF7" w:rsidP="009D6AF7">
      <w:r w:rsidRPr="00BC6787">
        <w:lastRenderedPageBreak/>
        <w:t xml:space="preserve">the original FFs may systematically overestimate the value of </w:t>
      </w:r>
      <w:r w:rsidRPr="00BC6787">
        <w:rPr>
          <w:rFonts w:ascii="Calibri" w:hAnsi="Calibri" w:cs="Calibri"/>
          <w:i/>
        </w:rPr>
        <w:t>λ</w:t>
      </w:r>
      <w:r w:rsidRPr="00BC6787">
        <w:rPr>
          <w:rFonts w:ascii="Calibri" w:hAnsi="Calibri" w:cs="Calibri"/>
        </w:rPr>
        <w:t xml:space="preserve"> </w:t>
      </w:r>
      <w:r w:rsidRPr="00BC6787">
        <w:rPr>
          <w:rFonts w:cs="Times New Roman"/>
        </w:rPr>
        <w:t xml:space="preserve">and thus the strength of the pigment-protein interaction, </w:t>
      </w:r>
      <w:r w:rsidRPr="00BC6787">
        <w:t xml:space="preserve">further supporting the need to develop consistent FFs. </w:t>
      </w:r>
    </w:p>
    <w:p w14:paraId="36000B2B" w14:textId="77777777" w:rsidR="009D6AF7" w:rsidRPr="00BC6787" w:rsidRDefault="009D6AF7" w:rsidP="009D6AF7">
      <w:pPr>
        <w:jc w:val="center"/>
        <w:rPr>
          <w:sz w:val="18"/>
        </w:rPr>
      </w:pPr>
      <w:r w:rsidRPr="00BC6787">
        <w:rPr>
          <w:b/>
          <w:sz w:val="18"/>
        </w:rPr>
        <w:t>Table 3:</w:t>
      </w:r>
      <w:r w:rsidRPr="00BC6787">
        <w:rPr>
          <w:sz w:val="18"/>
        </w:rPr>
        <w:t xml:space="preserve"> Reorganisation energy computed from the spectral density with the original FF, </w:t>
      </w:r>
      <w:proofErr w:type="spellStart"/>
      <w:r w:rsidRPr="00BC6787">
        <w:rPr>
          <w:rFonts w:ascii="Calibri" w:hAnsi="Calibri" w:cs="Calibri"/>
          <w:i/>
          <w:sz w:val="18"/>
        </w:rPr>
        <w:t>λ</w:t>
      </w:r>
      <w:r w:rsidRPr="00BC6787">
        <w:rPr>
          <w:i/>
          <w:sz w:val="18"/>
          <w:vertAlign w:val="subscript"/>
        </w:rPr>
        <w:t>original</w:t>
      </w:r>
      <w:proofErr w:type="spellEnd"/>
      <w:r w:rsidRPr="00BC6787">
        <w:rPr>
          <w:sz w:val="18"/>
        </w:rPr>
        <w:t xml:space="preserve">, and optimised FF, </w:t>
      </w:r>
      <w:proofErr w:type="spellStart"/>
      <w:r w:rsidRPr="00BC6787">
        <w:rPr>
          <w:rFonts w:ascii="Calibri" w:hAnsi="Calibri" w:cs="Calibri"/>
          <w:i/>
          <w:sz w:val="18"/>
        </w:rPr>
        <w:t>λ</w:t>
      </w:r>
      <w:r w:rsidRPr="00BC6787">
        <w:rPr>
          <w:i/>
          <w:sz w:val="18"/>
          <w:vertAlign w:val="subscript"/>
        </w:rPr>
        <w:t>optimised</w:t>
      </w:r>
      <w:proofErr w:type="spellEnd"/>
      <w:r w:rsidRPr="00BC6787">
        <w:rPr>
          <w:sz w:val="18"/>
        </w:rPr>
        <w:t>.</w:t>
      </w:r>
    </w:p>
    <w:tbl>
      <w:tblPr>
        <w:tblStyle w:val="TableGrid"/>
        <w:tblW w:w="0" w:type="auto"/>
        <w:jc w:val="center"/>
        <w:tblLook w:val="04A0" w:firstRow="1" w:lastRow="0" w:firstColumn="1" w:lastColumn="0" w:noHBand="0" w:noVBand="1"/>
      </w:tblPr>
      <w:tblGrid>
        <w:gridCol w:w="1439"/>
        <w:gridCol w:w="1251"/>
        <w:gridCol w:w="1364"/>
      </w:tblGrid>
      <w:tr w:rsidR="00F85EC3" w:rsidRPr="00BC6787" w14:paraId="545CEC21" w14:textId="77777777" w:rsidTr="0013103B">
        <w:trPr>
          <w:jc w:val="center"/>
        </w:trPr>
        <w:tc>
          <w:tcPr>
            <w:tcW w:w="0" w:type="auto"/>
            <w:vAlign w:val="center"/>
          </w:tcPr>
          <w:p w14:paraId="3AB9315C" w14:textId="77777777" w:rsidR="009D6AF7" w:rsidRPr="00BC6787" w:rsidRDefault="009D6AF7" w:rsidP="0013103B">
            <w:pPr>
              <w:spacing w:line="240" w:lineRule="auto"/>
              <w:jc w:val="right"/>
            </w:pPr>
            <w:r w:rsidRPr="00BC6787">
              <w:t>Chromophore</w:t>
            </w:r>
          </w:p>
        </w:tc>
        <w:tc>
          <w:tcPr>
            <w:tcW w:w="0" w:type="auto"/>
            <w:vAlign w:val="center"/>
          </w:tcPr>
          <w:p w14:paraId="6DA76DDC" w14:textId="77777777" w:rsidR="009D6AF7" w:rsidRPr="00BC6787" w:rsidRDefault="009D6AF7" w:rsidP="0013103B">
            <w:pPr>
              <w:spacing w:line="240" w:lineRule="auto"/>
              <w:jc w:val="center"/>
            </w:pPr>
            <w:proofErr w:type="spellStart"/>
            <w:r w:rsidRPr="00BC6787">
              <w:rPr>
                <w:rFonts w:ascii="Calibri" w:hAnsi="Calibri" w:cs="Calibri"/>
                <w:i/>
              </w:rPr>
              <w:t>λ</w:t>
            </w:r>
            <w:r w:rsidRPr="00BC6787">
              <w:rPr>
                <w:i/>
                <w:vertAlign w:val="subscript"/>
              </w:rPr>
              <w:t>original</w:t>
            </w:r>
            <w:proofErr w:type="spellEnd"/>
            <w:r w:rsidRPr="00BC6787">
              <w:rPr>
                <w:i/>
                <w:vertAlign w:val="subscript"/>
              </w:rPr>
              <w:t xml:space="preserve"> </w:t>
            </w:r>
            <w:r w:rsidRPr="00BC6787">
              <w:t>/cm</w:t>
            </w:r>
            <w:r w:rsidRPr="00BC6787">
              <w:rPr>
                <w:vertAlign w:val="superscript"/>
              </w:rPr>
              <w:t>-1</w:t>
            </w:r>
          </w:p>
        </w:tc>
        <w:tc>
          <w:tcPr>
            <w:tcW w:w="0" w:type="auto"/>
            <w:vAlign w:val="center"/>
          </w:tcPr>
          <w:p w14:paraId="4B2E9026" w14:textId="77777777" w:rsidR="009D6AF7" w:rsidRPr="00BC6787" w:rsidRDefault="009D6AF7" w:rsidP="0013103B">
            <w:pPr>
              <w:spacing w:line="240" w:lineRule="auto"/>
              <w:jc w:val="center"/>
              <w:rPr>
                <w:vertAlign w:val="superscript"/>
              </w:rPr>
            </w:pPr>
            <w:proofErr w:type="spellStart"/>
            <w:r w:rsidRPr="00BC6787">
              <w:rPr>
                <w:rFonts w:ascii="Calibri" w:hAnsi="Calibri" w:cs="Calibri"/>
                <w:i/>
              </w:rPr>
              <w:t>λ</w:t>
            </w:r>
            <w:r w:rsidRPr="00BC6787">
              <w:rPr>
                <w:rFonts w:cs="Calibri"/>
                <w:i/>
                <w:vertAlign w:val="subscript"/>
              </w:rPr>
              <w:t>optimised</w:t>
            </w:r>
            <w:proofErr w:type="spellEnd"/>
            <w:r w:rsidRPr="00BC6787">
              <w:rPr>
                <w:rFonts w:cs="Calibri"/>
              </w:rPr>
              <w:t xml:space="preserve"> /cm</w:t>
            </w:r>
            <w:r w:rsidRPr="00BC6787">
              <w:rPr>
                <w:rFonts w:cs="Calibri"/>
                <w:vertAlign w:val="superscript"/>
              </w:rPr>
              <w:t>-1</w:t>
            </w:r>
          </w:p>
        </w:tc>
      </w:tr>
      <w:tr w:rsidR="00F85EC3" w:rsidRPr="00BC6787" w14:paraId="4DDC1895" w14:textId="77777777" w:rsidTr="0013103B">
        <w:trPr>
          <w:jc w:val="center"/>
        </w:trPr>
        <w:tc>
          <w:tcPr>
            <w:tcW w:w="0" w:type="auto"/>
            <w:vAlign w:val="center"/>
          </w:tcPr>
          <w:p w14:paraId="0BDB7E2A" w14:textId="77777777" w:rsidR="009D6AF7" w:rsidRPr="00BC6787" w:rsidRDefault="009D6AF7" w:rsidP="0013103B">
            <w:pPr>
              <w:spacing w:line="240" w:lineRule="auto"/>
              <w:jc w:val="right"/>
            </w:pPr>
            <w:proofErr w:type="spellStart"/>
            <w:r w:rsidRPr="00BC6787">
              <w:t>bcl</w:t>
            </w:r>
            <w:proofErr w:type="spellEnd"/>
            <w:r w:rsidRPr="00BC6787">
              <w:t xml:space="preserve"> 4</w:t>
            </w:r>
          </w:p>
        </w:tc>
        <w:tc>
          <w:tcPr>
            <w:tcW w:w="0" w:type="auto"/>
            <w:vAlign w:val="center"/>
          </w:tcPr>
          <w:p w14:paraId="7E83D25E" w14:textId="77777777" w:rsidR="009D6AF7" w:rsidRPr="00BC6787" w:rsidRDefault="009D6AF7" w:rsidP="0013103B">
            <w:pPr>
              <w:spacing w:line="240" w:lineRule="auto"/>
              <w:jc w:val="center"/>
            </w:pPr>
            <w:r w:rsidRPr="00BC6787">
              <w:t>9</w:t>
            </w:r>
          </w:p>
        </w:tc>
        <w:tc>
          <w:tcPr>
            <w:tcW w:w="0" w:type="auto"/>
            <w:vAlign w:val="center"/>
          </w:tcPr>
          <w:p w14:paraId="222A5A6F" w14:textId="77777777" w:rsidR="009D6AF7" w:rsidRPr="00BC6787" w:rsidRDefault="009D6AF7" w:rsidP="0013103B">
            <w:pPr>
              <w:spacing w:line="240" w:lineRule="auto"/>
              <w:jc w:val="center"/>
            </w:pPr>
            <w:r w:rsidRPr="00BC6787">
              <w:t>5</w:t>
            </w:r>
          </w:p>
        </w:tc>
      </w:tr>
      <w:tr w:rsidR="00F85EC3" w:rsidRPr="00BC6787" w14:paraId="1CF69AB8" w14:textId="77777777" w:rsidTr="0013103B">
        <w:trPr>
          <w:jc w:val="center"/>
        </w:trPr>
        <w:tc>
          <w:tcPr>
            <w:tcW w:w="0" w:type="auto"/>
            <w:vAlign w:val="center"/>
          </w:tcPr>
          <w:p w14:paraId="0FA7F82E" w14:textId="77777777" w:rsidR="009D6AF7" w:rsidRPr="00BC6787" w:rsidRDefault="009D6AF7" w:rsidP="0013103B">
            <w:pPr>
              <w:spacing w:line="240" w:lineRule="auto"/>
              <w:jc w:val="right"/>
            </w:pPr>
            <w:proofErr w:type="spellStart"/>
            <w:r w:rsidRPr="00BC6787">
              <w:t>chl</w:t>
            </w:r>
            <w:proofErr w:type="spellEnd"/>
            <w:r w:rsidRPr="00BC6787">
              <w:t>-a 2</w:t>
            </w:r>
          </w:p>
        </w:tc>
        <w:tc>
          <w:tcPr>
            <w:tcW w:w="0" w:type="auto"/>
            <w:vAlign w:val="center"/>
          </w:tcPr>
          <w:p w14:paraId="39E8AD57" w14:textId="77777777" w:rsidR="009D6AF7" w:rsidRPr="00BC6787" w:rsidRDefault="009D6AF7" w:rsidP="0013103B">
            <w:pPr>
              <w:spacing w:line="240" w:lineRule="auto"/>
              <w:jc w:val="center"/>
            </w:pPr>
            <w:r w:rsidRPr="00BC6787">
              <w:t>59</w:t>
            </w:r>
          </w:p>
        </w:tc>
        <w:tc>
          <w:tcPr>
            <w:tcW w:w="0" w:type="auto"/>
            <w:vAlign w:val="center"/>
          </w:tcPr>
          <w:p w14:paraId="2E4EB806" w14:textId="77777777" w:rsidR="009D6AF7" w:rsidRPr="00BC6787" w:rsidRDefault="009D6AF7" w:rsidP="0013103B">
            <w:pPr>
              <w:spacing w:line="240" w:lineRule="auto"/>
              <w:jc w:val="center"/>
            </w:pPr>
            <w:r w:rsidRPr="00BC6787">
              <w:t>44</w:t>
            </w:r>
          </w:p>
        </w:tc>
      </w:tr>
      <w:tr w:rsidR="00F85EC3" w:rsidRPr="00BC6787" w14:paraId="668EB710" w14:textId="77777777" w:rsidTr="0013103B">
        <w:trPr>
          <w:jc w:val="center"/>
        </w:trPr>
        <w:tc>
          <w:tcPr>
            <w:tcW w:w="0" w:type="auto"/>
            <w:vAlign w:val="center"/>
          </w:tcPr>
          <w:p w14:paraId="3B9A44D5" w14:textId="77777777" w:rsidR="009D6AF7" w:rsidRPr="00BC6787" w:rsidRDefault="009D6AF7" w:rsidP="0013103B">
            <w:pPr>
              <w:spacing w:line="240" w:lineRule="auto"/>
              <w:jc w:val="right"/>
            </w:pPr>
            <w:proofErr w:type="spellStart"/>
            <w:r w:rsidRPr="00BC6787">
              <w:t>chl</w:t>
            </w:r>
            <w:proofErr w:type="spellEnd"/>
            <w:r w:rsidRPr="00BC6787">
              <w:t>-b 2</w:t>
            </w:r>
          </w:p>
        </w:tc>
        <w:tc>
          <w:tcPr>
            <w:tcW w:w="0" w:type="auto"/>
            <w:vAlign w:val="center"/>
          </w:tcPr>
          <w:p w14:paraId="284F7DDE" w14:textId="2C8A12C8" w:rsidR="009D6AF7" w:rsidRPr="00BC6787" w:rsidRDefault="00FE6048" w:rsidP="0013103B">
            <w:pPr>
              <w:spacing w:line="240" w:lineRule="auto"/>
              <w:jc w:val="center"/>
            </w:pPr>
            <w:r w:rsidRPr="00BC6787">
              <w:t>262</w:t>
            </w:r>
          </w:p>
        </w:tc>
        <w:tc>
          <w:tcPr>
            <w:tcW w:w="0" w:type="auto"/>
            <w:vAlign w:val="center"/>
          </w:tcPr>
          <w:p w14:paraId="0C9C6300" w14:textId="28973E02" w:rsidR="009D6AF7" w:rsidRPr="00BC6787" w:rsidRDefault="00FE6048" w:rsidP="0013103B">
            <w:pPr>
              <w:spacing w:line="240" w:lineRule="auto"/>
              <w:jc w:val="center"/>
            </w:pPr>
            <w:r w:rsidRPr="00BC6787">
              <w:t>86</w:t>
            </w:r>
          </w:p>
        </w:tc>
      </w:tr>
    </w:tbl>
    <w:p w14:paraId="56860889" w14:textId="61AF9351" w:rsidR="00C1156F" w:rsidRPr="00BC6787" w:rsidRDefault="006D63A4" w:rsidP="00C1156F">
      <w:pPr>
        <w:spacing w:before="240"/>
        <w:ind w:firstLine="720"/>
        <w:rPr>
          <w:rFonts w:cs="Times New Roman"/>
        </w:rPr>
      </w:pPr>
      <w:r w:rsidRPr="00BC6787">
        <w:rPr>
          <w:rFonts w:cs="Times New Roman"/>
        </w:rPr>
        <w:t>As the variance of the excitation energy is related to the integral of the spectral density, we</w:t>
      </w:r>
      <w:r w:rsidR="0000601D" w:rsidRPr="00BC6787">
        <w:rPr>
          <w:rFonts w:cs="Times New Roman"/>
        </w:rPr>
        <w:t xml:space="preserve"> illustrate the </w:t>
      </w:r>
      <w:r w:rsidRPr="00BC6787">
        <w:rPr>
          <w:rFonts w:cs="Times New Roman"/>
        </w:rPr>
        <w:t>difference</w:t>
      </w:r>
      <w:r w:rsidR="0000601D" w:rsidRPr="00BC6787">
        <w:rPr>
          <w:rFonts w:cs="Times New Roman"/>
        </w:rPr>
        <w:t xml:space="preserve"> </w:t>
      </w:r>
      <w:r w:rsidR="00836EB8" w:rsidRPr="00BC6787">
        <w:rPr>
          <w:rFonts w:cs="Times New Roman"/>
        </w:rPr>
        <w:t>between the original and optimised FFs</w:t>
      </w:r>
      <w:r w:rsidRPr="00BC6787">
        <w:rPr>
          <w:rFonts w:cs="Times New Roman"/>
        </w:rPr>
        <w:t xml:space="preserve"> by computing</w:t>
      </w:r>
      <w:r w:rsidR="00836EB8" w:rsidRPr="00BC6787">
        <w:rPr>
          <w:rFonts w:cs="Times New Roman"/>
        </w:rPr>
        <w:t xml:space="preserve"> the average of the excitation energy, </w:t>
      </w:r>
      <w:proofErr w:type="spellStart"/>
      <w:r w:rsidR="00836EB8" w:rsidRPr="00BC6787">
        <w:rPr>
          <w:rFonts w:cs="Times New Roman"/>
        </w:rPr>
        <w:t>E</w:t>
      </w:r>
      <w:r w:rsidR="00836EB8" w:rsidRPr="00BC6787">
        <w:rPr>
          <w:rFonts w:cs="Times New Roman"/>
          <w:i/>
          <w:vertAlign w:val="subscript"/>
        </w:rPr>
        <w:t>avg</w:t>
      </w:r>
      <w:proofErr w:type="spellEnd"/>
      <w:r w:rsidR="00836EB8" w:rsidRPr="00BC6787">
        <w:rPr>
          <w:rFonts w:cs="Times New Roman"/>
        </w:rPr>
        <w:t xml:space="preserve">, of a chromophore from each system (the same chromophore as used in the spectral density computation) and the fluctuation of the excitation energy, </w:t>
      </w:r>
      <w:proofErr w:type="spellStart"/>
      <w:r w:rsidR="00836EB8" w:rsidRPr="00BC6787">
        <w:rPr>
          <w:rFonts w:cs="Times New Roman"/>
        </w:rPr>
        <w:t>σ</w:t>
      </w:r>
      <w:r w:rsidR="00836EB8" w:rsidRPr="00BC6787">
        <w:rPr>
          <w:rFonts w:cs="Times New Roman"/>
          <w:i/>
          <w:vertAlign w:val="subscript"/>
        </w:rPr>
        <w:t>exc</w:t>
      </w:r>
      <w:proofErr w:type="spellEnd"/>
      <w:r w:rsidRPr="00BC6787">
        <w:rPr>
          <w:rFonts w:cs="Times New Roman"/>
        </w:rPr>
        <w:t>, along a long MD trajectory (100 ns).</w:t>
      </w:r>
      <w:r w:rsidR="00836EB8" w:rsidRPr="00BC6787">
        <w:rPr>
          <w:rFonts w:cs="Times New Roman"/>
        </w:rPr>
        <w:t xml:space="preserve"> The initial set up of the MD was as outlined in the Computational Details section describing the initial structure generation. The excitation energy was then computed along the trajectory every 500 </w:t>
      </w:r>
      <w:proofErr w:type="spellStart"/>
      <w:r w:rsidR="00836EB8" w:rsidRPr="00BC6787">
        <w:rPr>
          <w:rFonts w:cs="Times New Roman"/>
        </w:rPr>
        <w:t>ps</w:t>
      </w:r>
      <w:proofErr w:type="spellEnd"/>
      <w:r w:rsidR="00FE6048" w:rsidRPr="00BC6787">
        <w:rPr>
          <w:rFonts w:cs="Times New Roman"/>
        </w:rPr>
        <w:t xml:space="preserve">, </w:t>
      </w:r>
      <w:r w:rsidR="00836EB8" w:rsidRPr="00BC6787">
        <w:rPr>
          <w:rFonts w:cs="Times New Roman"/>
        </w:rPr>
        <w:t xml:space="preserve">using the same method </w:t>
      </w:r>
      <w:r w:rsidR="00FE6048" w:rsidRPr="00BC6787">
        <w:rPr>
          <w:rFonts w:cs="Times New Roman"/>
        </w:rPr>
        <w:t xml:space="preserve">and functional/basis set combination </w:t>
      </w:r>
      <w:r w:rsidR="00836EB8" w:rsidRPr="00BC6787">
        <w:rPr>
          <w:rFonts w:cs="Times New Roman"/>
        </w:rPr>
        <w:t>as outlined for the excited state calculations of the spectral density. The results are summarised in Table 4.</w:t>
      </w:r>
      <w:r w:rsidR="00C1156F" w:rsidRPr="00BC6787">
        <w:rPr>
          <w:rFonts w:cs="Times New Roman"/>
        </w:rPr>
        <w:t xml:space="preserve"> </w:t>
      </w:r>
      <w:proofErr w:type="spellStart"/>
      <w:r w:rsidR="00C1156F" w:rsidRPr="00BC6787">
        <w:rPr>
          <w:rFonts w:cs="Times New Roman"/>
        </w:rPr>
        <w:t>Bcl</w:t>
      </w:r>
      <w:proofErr w:type="spellEnd"/>
      <w:r w:rsidR="00C1156F" w:rsidRPr="00BC6787">
        <w:rPr>
          <w:rFonts w:cs="Times New Roman"/>
        </w:rPr>
        <w:t xml:space="preserve"> and </w:t>
      </w:r>
      <w:proofErr w:type="spellStart"/>
      <w:r w:rsidR="00C1156F" w:rsidRPr="00BC6787">
        <w:rPr>
          <w:rFonts w:cs="Times New Roman"/>
        </w:rPr>
        <w:t>chl</w:t>
      </w:r>
      <w:proofErr w:type="spellEnd"/>
      <w:r w:rsidR="00C1156F" w:rsidRPr="00BC6787">
        <w:rPr>
          <w:rFonts w:cs="Times New Roman"/>
        </w:rPr>
        <w:t xml:space="preserve">-b both have notable changes in the average energy, with </w:t>
      </w:r>
      <w:proofErr w:type="spellStart"/>
      <w:r w:rsidR="00C1156F" w:rsidRPr="00BC6787">
        <w:rPr>
          <w:rFonts w:cs="Times New Roman"/>
        </w:rPr>
        <w:t>bcl</w:t>
      </w:r>
      <w:proofErr w:type="spellEnd"/>
      <w:r w:rsidR="00C1156F" w:rsidRPr="00BC6787">
        <w:rPr>
          <w:rFonts w:cs="Times New Roman"/>
        </w:rPr>
        <w:t xml:space="preserve"> 4 having a smaller average excitation energy by 0.07</w:t>
      </w:r>
      <w:r w:rsidR="006C76B9" w:rsidRPr="00BC6787">
        <w:rPr>
          <w:rFonts w:cs="Times New Roman"/>
        </w:rPr>
        <w:t> </w:t>
      </w:r>
      <w:r w:rsidR="00C1156F" w:rsidRPr="00BC6787">
        <w:rPr>
          <w:rFonts w:cs="Times New Roman"/>
        </w:rPr>
        <w:t xml:space="preserve">eV and </w:t>
      </w:r>
      <w:proofErr w:type="spellStart"/>
      <w:r w:rsidR="00C1156F" w:rsidRPr="00BC6787">
        <w:rPr>
          <w:rFonts w:cs="Times New Roman"/>
        </w:rPr>
        <w:t>chl</w:t>
      </w:r>
      <w:proofErr w:type="spellEnd"/>
      <w:r w:rsidR="00C1156F" w:rsidRPr="00BC6787">
        <w:rPr>
          <w:rFonts w:cs="Times New Roman"/>
        </w:rPr>
        <w:t xml:space="preserve">-b having a greater average excitation energy by 0.08 eV. The difference between the averages resulting from the 2 FFs of </w:t>
      </w:r>
      <w:proofErr w:type="spellStart"/>
      <w:r w:rsidR="00C1156F" w:rsidRPr="00BC6787">
        <w:rPr>
          <w:rFonts w:cs="Times New Roman"/>
        </w:rPr>
        <w:t>chl</w:t>
      </w:r>
      <w:proofErr w:type="spellEnd"/>
      <w:r w:rsidR="00C1156F" w:rsidRPr="00BC6787">
        <w:rPr>
          <w:rFonts w:cs="Times New Roman"/>
        </w:rPr>
        <w:t xml:space="preserve">-a is much less, only 0.02 eV but the variance is notably reduced. The energy distributions of the excitation energies of each chromophore over the 100 ns are depicted in Figure 7. As one would expect the energy distributions to fit a normal distribution, Gaussian distributions have been fit to each (using </w:t>
      </w:r>
      <w:proofErr w:type="spellStart"/>
      <w:r w:rsidR="00C1156F" w:rsidRPr="00BC6787">
        <w:rPr>
          <w:rFonts w:cs="Times New Roman"/>
        </w:rPr>
        <w:t>E</w:t>
      </w:r>
      <w:r w:rsidR="00C1156F" w:rsidRPr="00BC6787">
        <w:rPr>
          <w:rFonts w:cs="Times New Roman"/>
          <w:i/>
          <w:vertAlign w:val="subscript"/>
        </w:rPr>
        <w:t>avg</w:t>
      </w:r>
      <w:proofErr w:type="spellEnd"/>
      <w:r w:rsidR="00C1156F" w:rsidRPr="00BC6787">
        <w:rPr>
          <w:rFonts w:cs="Times New Roman"/>
        </w:rPr>
        <w:t xml:space="preserve"> and </w:t>
      </w:r>
      <w:proofErr w:type="spellStart"/>
      <w:r w:rsidR="00C1156F" w:rsidRPr="00BC6787">
        <w:rPr>
          <w:rFonts w:cs="Times New Roman"/>
        </w:rPr>
        <w:t>σ</w:t>
      </w:r>
      <w:r w:rsidR="00C1156F" w:rsidRPr="00BC6787">
        <w:rPr>
          <w:rFonts w:cs="Times New Roman"/>
          <w:i/>
          <w:vertAlign w:val="subscript"/>
        </w:rPr>
        <w:t>exc</w:t>
      </w:r>
      <w:proofErr w:type="spellEnd"/>
      <w:r w:rsidR="00C1156F" w:rsidRPr="00BC6787">
        <w:rPr>
          <w:rFonts w:cs="Times New Roman"/>
        </w:rPr>
        <w:t xml:space="preserve"> from Table 4 as μ and σ respectively).</w:t>
      </w:r>
      <w:r w:rsidR="006C76B9" w:rsidRPr="00BC6787">
        <w:rPr>
          <w:rFonts w:cs="Times New Roman"/>
        </w:rPr>
        <w:t xml:space="preserve"> This data demonstrates the magnitude of the affect that the FF has on the resultant spectral density.</w:t>
      </w:r>
    </w:p>
    <w:p w14:paraId="2FFFDB11" w14:textId="7538EA9D" w:rsidR="00836EB8" w:rsidRPr="00BC6787" w:rsidRDefault="00836EB8" w:rsidP="00C1156F">
      <w:pPr>
        <w:jc w:val="center"/>
        <w:rPr>
          <w:rFonts w:cs="Times New Roman"/>
          <w:sz w:val="18"/>
          <w:szCs w:val="18"/>
        </w:rPr>
      </w:pPr>
      <w:r w:rsidRPr="00BC6787">
        <w:rPr>
          <w:rFonts w:cs="Times New Roman"/>
          <w:b/>
          <w:sz w:val="18"/>
          <w:szCs w:val="18"/>
        </w:rPr>
        <w:t xml:space="preserve">Table 4: </w:t>
      </w:r>
      <w:r w:rsidRPr="00BC6787">
        <w:rPr>
          <w:rFonts w:cs="Times New Roman"/>
          <w:sz w:val="18"/>
          <w:szCs w:val="18"/>
        </w:rPr>
        <w:t xml:space="preserve">Average excitation energy, </w:t>
      </w:r>
      <w:proofErr w:type="spellStart"/>
      <w:r w:rsidRPr="00BC6787">
        <w:rPr>
          <w:rFonts w:cs="Times New Roman"/>
          <w:sz w:val="18"/>
          <w:szCs w:val="18"/>
        </w:rPr>
        <w:t>E</w:t>
      </w:r>
      <w:r w:rsidRPr="00BC6787">
        <w:rPr>
          <w:rFonts w:cs="Times New Roman"/>
          <w:i/>
          <w:sz w:val="18"/>
          <w:szCs w:val="18"/>
          <w:vertAlign w:val="subscript"/>
        </w:rPr>
        <w:t>avg</w:t>
      </w:r>
      <w:proofErr w:type="spellEnd"/>
      <w:r w:rsidRPr="00BC6787">
        <w:rPr>
          <w:rFonts w:cs="Times New Roman"/>
          <w:sz w:val="18"/>
          <w:szCs w:val="18"/>
        </w:rPr>
        <w:t xml:space="preserve">, and its fluctuation, </w:t>
      </w:r>
      <w:proofErr w:type="spellStart"/>
      <w:r w:rsidRPr="00BC6787">
        <w:rPr>
          <w:rFonts w:cs="Times New Roman"/>
          <w:sz w:val="18"/>
          <w:szCs w:val="18"/>
        </w:rPr>
        <w:t>σ</w:t>
      </w:r>
      <w:r w:rsidRPr="00BC6787">
        <w:rPr>
          <w:rFonts w:cs="Times New Roman"/>
          <w:i/>
          <w:sz w:val="18"/>
          <w:szCs w:val="18"/>
          <w:vertAlign w:val="subscript"/>
        </w:rPr>
        <w:t>exc</w:t>
      </w:r>
      <w:proofErr w:type="spellEnd"/>
      <w:r w:rsidRPr="00BC6787">
        <w:rPr>
          <w:rFonts w:cs="Times New Roman"/>
          <w:sz w:val="18"/>
          <w:szCs w:val="18"/>
        </w:rPr>
        <w:t xml:space="preserve">, for each </w:t>
      </w:r>
      <w:proofErr w:type="spellStart"/>
      <w:r w:rsidR="00C1156F" w:rsidRPr="00BC6787">
        <w:rPr>
          <w:rFonts w:cs="Times New Roman"/>
          <w:sz w:val="18"/>
          <w:szCs w:val="18"/>
        </w:rPr>
        <w:t>bcl</w:t>
      </w:r>
      <w:proofErr w:type="spellEnd"/>
      <w:r w:rsidR="00C1156F" w:rsidRPr="00BC6787">
        <w:rPr>
          <w:rFonts w:cs="Times New Roman"/>
          <w:sz w:val="18"/>
          <w:szCs w:val="18"/>
        </w:rPr>
        <w:t xml:space="preserve"> 4, </w:t>
      </w:r>
      <w:proofErr w:type="spellStart"/>
      <w:r w:rsidR="00C1156F" w:rsidRPr="00BC6787">
        <w:rPr>
          <w:rFonts w:cs="Times New Roman"/>
          <w:sz w:val="18"/>
          <w:szCs w:val="18"/>
        </w:rPr>
        <w:t>chl</w:t>
      </w:r>
      <w:proofErr w:type="spellEnd"/>
      <w:r w:rsidR="00C1156F" w:rsidRPr="00BC6787">
        <w:rPr>
          <w:rFonts w:cs="Times New Roman"/>
          <w:sz w:val="18"/>
          <w:szCs w:val="18"/>
        </w:rPr>
        <w:t xml:space="preserve">-a 2 and </w:t>
      </w:r>
      <w:proofErr w:type="spellStart"/>
      <w:r w:rsidR="00C1156F" w:rsidRPr="00BC6787">
        <w:rPr>
          <w:rFonts w:cs="Times New Roman"/>
          <w:sz w:val="18"/>
          <w:szCs w:val="18"/>
        </w:rPr>
        <w:t>chl</w:t>
      </w:r>
      <w:proofErr w:type="spellEnd"/>
      <w:r w:rsidR="00C1156F" w:rsidRPr="00BC6787">
        <w:rPr>
          <w:rFonts w:cs="Times New Roman"/>
          <w:sz w:val="18"/>
          <w:szCs w:val="18"/>
        </w:rPr>
        <w:t>-b, computed</w:t>
      </w:r>
      <w:r w:rsidRPr="00BC6787">
        <w:rPr>
          <w:rFonts w:cs="Times New Roman"/>
          <w:sz w:val="18"/>
          <w:szCs w:val="18"/>
        </w:rPr>
        <w:t xml:space="preserve"> over 100 ns using the original </w:t>
      </w:r>
      <w:r w:rsidR="00C1156F" w:rsidRPr="00BC6787">
        <w:rPr>
          <w:rFonts w:cs="Times New Roman"/>
          <w:sz w:val="18"/>
          <w:szCs w:val="18"/>
        </w:rPr>
        <w:t xml:space="preserve">FF </w:t>
      </w:r>
      <w:r w:rsidRPr="00BC6787">
        <w:rPr>
          <w:rFonts w:cs="Times New Roman"/>
          <w:sz w:val="18"/>
          <w:szCs w:val="18"/>
        </w:rPr>
        <w:t>and optimised FF.</w:t>
      </w:r>
    </w:p>
    <w:tbl>
      <w:tblPr>
        <w:tblStyle w:val="TableGrid"/>
        <w:tblW w:w="0" w:type="auto"/>
        <w:jc w:val="center"/>
        <w:tblLook w:val="04A0" w:firstRow="1" w:lastRow="0" w:firstColumn="1" w:lastColumn="0" w:noHBand="0" w:noVBand="1"/>
      </w:tblPr>
      <w:tblGrid>
        <w:gridCol w:w="2190"/>
        <w:gridCol w:w="1417"/>
        <w:gridCol w:w="1417"/>
        <w:gridCol w:w="1417"/>
      </w:tblGrid>
      <w:tr w:rsidR="00F85EC3" w:rsidRPr="00BC6787" w14:paraId="5EC8F733" w14:textId="77777777" w:rsidTr="00836EB8">
        <w:trPr>
          <w:trHeight w:val="283"/>
          <w:jc w:val="center"/>
        </w:trPr>
        <w:tc>
          <w:tcPr>
            <w:tcW w:w="0" w:type="auto"/>
          </w:tcPr>
          <w:p w14:paraId="0583F851" w14:textId="77777777" w:rsidR="00836EB8" w:rsidRPr="00BC6787" w:rsidRDefault="00836EB8" w:rsidP="00836EB8">
            <w:pPr>
              <w:spacing w:line="240" w:lineRule="auto"/>
              <w:rPr>
                <w:rFonts w:cs="Times New Roman"/>
              </w:rPr>
            </w:pPr>
            <w:r w:rsidRPr="00BC6787">
              <w:rPr>
                <w:rFonts w:cs="Times New Roman"/>
              </w:rPr>
              <w:t>Chromophore</w:t>
            </w:r>
          </w:p>
        </w:tc>
        <w:tc>
          <w:tcPr>
            <w:tcW w:w="1417" w:type="dxa"/>
          </w:tcPr>
          <w:p w14:paraId="32D9E670" w14:textId="77777777" w:rsidR="00836EB8" w:rsidRPr="00BC6787" w:rsidRDefault="00836EB8" w:rsidP="00836EB8">
            <w:pPr>
              <w:spacing w:line="240" w:lineRule="auto"/>
              <w:rPr>
                <w:rFonts w:cs="Times New Roman"/>
              </w:rPr>
            </w:pPr>
            <w:r w:rsidRPr="00BC6787">
              <w:rPr>
                <w:rFonts w:cs="Times New Roman"/>
              </w:rPr>
              <w:t>FF</w:t>
            </w:r>
          </w:p>
        </w:tc>
        <w:tc>
          <w:tcPr>
            <w:tcW w:w="1417" w:type="dxa"/>
            <w:vAlign w:val="center"/>
          </w:tcPr>
          <w:p w14:paraId="6C6A1434" w14:textId="77777777" w:rsidR="00836EB8" w:rsidRPr="00BC6787" w:rsidRDefault="00836EB8" w:rsidP="00836EB8">
            <w:pPr>
              <w:spacing w:line="240" w:lineRule="auto"/>
              <w:jc w:val="center"/>
              <w:rPr>
                <w:rFonts w:cs="Times New Roman"/>
              </w:rPr>
            </w:pPr>
            <w:proofErr w:type="spellStart"/>
            <w:r w:rsidRPr="00BC6787">
              <w:rPr>
                <w:rFonts w:cs="Times New Roman"/>
              </w:rPr>
              <w:t>E</w:t>
            </w:r>
            <w:r w:rsidRPr="00BC6787">
              <w:rPr>
                <w:rFonts w:cs="Times New Roman"/>
                <w:i/>
                <w:vertAlign w:val="subscript"/>
              </w:rPr>
              <w:t>avg</w:t>
            </w:r>
            <w:proofErr w:type="spellEnd"/>
            <w:r w:rsidRPr="00BC6787">
              <w:rPr>
                <w:rFonts w:cs="Times New Roman"/>
              </w:rPr>
              <w:t xml:space="preserve"> /eV</w:t>
            </w:r>
          </w:p>
        </w:tc>
        <w:tc>
          <w:tcPr>
            <w:tcW w:w="1417" w:type="dxa"/>
            <w:vAlign w:val="center"/>
          </w:tcPr>
          <w:p w14:paraId="3C95ED9A" w14:textId="77777777" w:rsidR="00836EB8" w:rsidRPr="00BC6787" w:rsidRDefault="00836EB8" w:rsidP="00836EB8">
            <w:pPr>
              <w:spacing w:line="240" w:lineRule="auto"/>
              <w:jc w:val="center"/>
              <w:rPr>
                <w:rFonts w:cs="Times New Roman"/>
                <w:vertAlign w:val="subscript"/>
              </w:rPr>
            </w:pPr>
            <w:proofErr w:type="spellStart"/>
            <w:r w:rsidRPr="00BC6787">
              <w:rPr>
                <w:rFonts w:cs="Times New Roman"/>
              </w:rPr>
              <w:t>σ</w:t>
            </w:r>
            <w:r w:rsidRPr="00BC6787">
              <w:rPr>
                <w:rFonts w:cs="Times New Roman"/>
                <w:i/>
                <w:vertAlign w:val="subscript"/>
              </w:rPr>
              <w:t>exc</w:t>
            </w:r>
            <w:proofErr w:type="spellEnd"/>
          </w:p>
        </w:tc>
      </w:tr>
      <w:tr w:rsidR="00F85EC3" w:rsidRPr="00BC6787" w14:paraId="10FA7C8D" w14:textId="77777777" w:rsidTr="00836EB8">
        <w:trPr>
          <w:trHeight w:val="227"/>
          <w:jc w:val="center"/>
        </w:trPr>
        <w:tc>
          <w:tcPr>
            <w:tcW w:w="0" w:type="auto"/>
            <w:vMerge w:val="restart"/>
          </w:tcPr>
          <w:p w14:paraId="5EC03997" w14:textId="77777777" w:rsidR="00836EB8" w:rsidRPr="00BC6787" w:rsidRDefault="00836EB8" w:rsidP="00836EB8">
            <w:pPr>
              <w:spacing w:line="240" w:lineRule="auto"/>
              <w:rPr>
                <w:rFonts w:cs="Times New Roman"/>
              </w:rPr>
            </w:pPr>
            <w:proofErr w:type="spellStart"/>
            <w:r w:rsidRPr="00BC6787">
              <w:rPr>
                <w:rFonts w:cs="Times New Roman"/>
              </w:rPr>
              <w:t>Bcl</w:t>
            </w:r>
            <w:proofErr w:type="spellEnd"/>
            <w:r w:rsidRPr="00BC6787">
              <w:rPr>
                <w:rFonts w:cs="Times New Roman"/>
              </w:rPr>
              <w:t xml:space="preserve"> 4 from FMO</w:t>
            </w:r>
          </w:p>
        </w:tc>
        <w:tc>
          <w:tcPr>
            <w:tcW w:w="1417" w:type="dxa"/>
          </w:tcPr>
          <w:p w14:paraId="0F6E3C70" w14:textId="77777777" w:rsidR="00836EB8" w:rsidRPr="00BC6787" w:rsidRDefault="00836EB8" w:rsidP="00836EB8">
            <w:pPr>
              <w:spacing w:line="240" w:lineRule="auto"/>
              <w:rPr>
                <w:rFonts w:cs="Times New Roman"/>
              </w:rPr>
            </w:pPr>
            <w:r w:rsidRPr="00BC6787">
              <w:rPr>
                <w:rFonts w:cs="Times New Roman"/>
              </w:rPr>
              <w:t>Original</w:t>
            </w:r>
          </w:p>
        </w:tc>
        <w:tc>
          <w:tcPr>
            <w:tcW w:w="1417" w:type="dxa"/>
            <w:vAlign w:val="center"/>
          </w:tcPr>
          <w:p w14:paraId="13113B5B" w14:textId="77777777" w:rsidR="00836EB8" w:rsidRPr="00BC6787" w:rsidRDefault="00836EB8" w:rsidP="00836EB8">
            <w:pPr>
              <w:spacing w:line="240" w:lineRule="auto"/>
              <w:jc w:val="center"/>
              <w:rPr>
                <w:rFonts w:cs="Times New Roman"/>
              </w:rPr>
            </w:pPr>
            <w:r w:rsidRPr="00BC6787">
              <w:rPr>
                <w:rFonts w:cs="Times New Roman"/>
              </w:rPr>
              <w:t>1.94</w:t>
            </w:r>
          </w:p>
        </w:tc>
        <w:tc>
          <w:tcPr>
            <w:tcW w:w="1417" w:type="dxa"/>
            <w:vAlign w:val="center"/>
          </w:tcPr>
          <w:p w14:paraId="171EBB0C" w14:textId="77777777" w:rsidR="00836EB8" w:rsidRPr="00BC6787" w:rsidRDefault="00836EB8" w:rsidP="00836EB8">
            <w:pPr>
              <w:spacing w:line="240" w:lineRule="auto"/>
              <w:jc w:val="center"/>
              <w:rPr>
                <w:rFonts w:cs="Times New Roman"/>
              </w:rPr>
            </w:pPr>
            <w:r w:rsidRPr="00BC6787">
              <w:rPr>
                <w:rFonts w:cs="Times New Roman"/>
              </w:rPr>
              <w:t>0.02</w:t>
            </w:r>
          </w:p>
        </w:tc>
      </w:tr>
      <w:tr w:rsidR="00F85EC3" w:rsidRPr="00BC6787" w14:paraId="6B278D00" w14:textId="77777777" w:rsidTr="00836EB8">
        <w:trPr>
          <w:trHeight w:val="227"/>
          <w:jc w:val="center"/>
        </w:trPr>
        <w:tc>
          <w:tcPr>
            <w:tcW w:w="0" w:type="auto"/>
            <w:vMerge/>
          </w:tcPr>
          <w:p w14:paraId="7488E1BF" w14:textId="77777777" w:rsidR="00836EB8" w:rsidRPr="00BC6787" w:rsidRDefault="00836EB8" w:rsidP="00836EB8">
            <w:pPr>
              <w:spacing w:line="240" w:lineRule="auto"/>
              <w:rPr>
                <w:rFonts w:cs="Times New Roman"/>
              </w:rPr>
            </w:pPr>
          </w:p>
        </w:tc>
        <w:tc>
          <w:tcPr>
            <w:tcW w:w="1417" w:type="dxa"/>
          </w:tcPr>
          <w:p w14:paraId="424942E4" w14:textId="77777777" w:rsidR="00836EB8" w:rsidRPr="00BC6787" w:rsidRDefault="00836EB8" w:rsidP="00836EB8">
            <w:pPr>
              <w:spacing w:line="240" w:lineRule="auto"/>
              <w:rPr>
                <w:rFonts w:cs="Times New Roman"/>
              </w:rPr>
            </w:pPr>
            <w:r w:rsidRPr="00BC6787">
              <w:rPr>
                <w:rFonts w:cs="Times New Roman"/>
              </w:rPr>
              <w:t>Optimised</w:t>
            </w:r>
          </w:p>
        </w:tc>
        <w:tc>
          <w:tcPr>
            <w:tcW w:w="1417" w:type="dxa"/>
            <w:vAlign w:val="center"/>
          </w:tcPr>
          <w:p w14:paraId="0F97EAE4" w14:textId="77777777" w:rsidR="00836EB8" w:rsidRPr="00BC6787" w:rsidRDefault="00836EB8" w:rsidP="00836EB8">
            <w:pPr>
              <w:spacing w:line="240" w:lineRule="auto"/>
              <w:jc w:val="center"/>
              <w:rPr>
                <w:rFonts w:cs="Times New Roman"/>
              </w:rPr>
            </w:pPr>
            <w:r w:rsidRPr="00BC6787">
              <w:rPr>
                <w:rFonts w:cs="Times New Roman"/>
              </w:rPr>
              <w:t>1.87</w:t>
            </w:r>
          </w:p>
        </w:tc>
        <w:tc>
          <w:tcPr>
            <w:tcW w:w="1417" w:type="dxa"/>
            <w:vAlign w:val="center"/>
          </w:tcPr>
          <w:p w14:paraId="521AD9EF" w14:textId="77777777" w:rsidR="00836EB8" w:rsidRPr="00BC6787" w:rsidRDefault="00836EB8" w:rsidP="00836EB8">
            <w:pPr>
              <w:spacing w:line="240" w:lineRule="auto"/>
              <w:jc w:val="center"/>
              <w:rPr>
                <w:rFonts w:cs="Times New Roman"/>
              </w:rPr>
            </w:pPr>
            <w:r w:rsidRPr="00BC6787">
              <w:rPr>
                <w:rFonts w:cs="Times New Roman"/>
              </w:rPr>
              <w:t>0.05</w:t>
            </w:r>
          </w:p>
        </w:tc>
      </w:tr>
      <w:tr w:rsidR="00F85EC3" w:rsidRPr="00BC6787" w14:paraId="595482BC" w14:textId="77777777" w:rsidTr="00836EB8">
        <w:trPr>
          <w:trHeight w:val="283"/>
          <w:jc w:val="center"/>
        </w:trPr>
        <w:tc>
          <w:tcPr>
            <w:tcW w:w="0" w:type="auto"/>
            <w:vMerge w:val="restart"/>
          </w:tcPr>
          <w:p w14:paraId="67591768" w14:textId="77777777" w:rsidR="00836EB8" w:rsidRPr="00BC6787" w:rsidRDefault="00836EB8" w:rsidP="00836EB8">
            <w:pPr>
              <w:spacing w:line="240" w:lineRule="auto"/>
              <w:rPr>
                <w:rFonts w:cs="Times New Roman"/>
              </w:rPr>
            </w:pPr>
            <w:proofErr w:type="spellStart"/>
            <w:r w:rsidRPr="00BC6787">
              <w:rPr>
                <w:rFonts w:cs="Times New Roman"/>
              </w:rPr>
              <w:t>Chl</w:t>
            </w:r>
            <w:proofErr w:type="spellEnd"/>
            <w:r w:rsidRPr="00BC6787">
              <w:rPr>
                <w:rFonts w:cs="Times New Roman"/>
              </w:rPr>
              <w:t>-a 2 from WSCP-a</w:t>
            </w:r>
          </w:p>
        </w:tc>
        <w:tc>
          <w:tcPr>
            <w:tcW w:w="1417" w:type="dxa"/>
          </w:tcPr>
          <w:p w14:paraId="5FE3EBE3" w14:textId="77777777" w:rsidR="00836EB8" w:rsidRPr="00BC6787" w:rsidRDefault="00836EB8" w:rsidP="00836EB8">
            <w:pPr>
              <w:spacing w:line="240" w:lineRule="auto"/>
              <w:rPr>
                <w:rFonts w:cs="Times New Roman"/>
              </w:rPr>
            </w:pPr>
            <w:r w:rsidRPr="00BC6787">
              <w:rPr>
                <w:rFonts w:cs="Times New Roman"/>
              </w:rPr>
              <w:t>Original</w:t>
            </w:r>
          </w:p>
        </w:tc>
        <w:tc>
          <w:tcPr>
            <w:tcW w:w="1417" w:type="dxa"/>
            <w:vAlign w:val="center"/>
          </w:tcPr>
          <w:p w14:paraId="45DD4E03" w14:textId="77777777" w:rsidR="00836EB8" w:rsidRPr="00BC6787" w:rsidRDefault="00836EB8" w:rsidP="00836EB8">
            <w:pPr>
              <w:spacing w:line="240" w:lineRule="auto"/>
              <w:jc w:val="center"/>
              <w:rPr>
                <w:rFonts w:cs="Times New Roman"/>
              </w:rPr>
            </w:pPr>
            <w:r w:rsidRPr="00BC6787">
              <w:rPr>
                <w:rFonts w:cs="Times New Roman"/>
              </w:rPr>
              <w:t>2.08</w:t>
            </w:r>
          </w:p>
        </w:tc>
        <w:tc>
          <w:tcPr>
            <w:tcW w:w="1417" w:type="dxa"/>
            <w:vAlign w:val="center"/>
          </w:tcPr>
          <w:p w14:paraId="5606AE2B" w14:textId="77777777" w:rsidR="00836EB8" w:rsidRPr="00BC6787" w:rsidRDefault="00836EB8" w:rsidP="00836EB8">
            <w:pPr>
              <w:spacing w:line="240" w:lineRule="auto"/>
              <w:jc w:val="center"/>
              <w:rPr>
                <w:rFonts w:cs="Times New Roman"/>
              </w:rPr>
            </w:pPr>
            <w:r w:rsidRPr="00BC6787">
              <w:rPr>
                <w:rFonts w:cs="Times New Roman"/>
              </w:rPr>
              <w:t>0.07</w:t>
            </w:r>
          </w:p>
        </w:tc>
      </w:tr>
      <w:tr w:rsidR="00F85EC3" w:rsidRPr="00BC6787" w14:paraId="62A8E8A8" w14:textId="77777777" w:rsidTr="00836EB8">
        <w:trPr>
          <w:trHeight w:val="283"/>
          <w:jc w:val="center"/>
        </w:trPr>
        <w:tc>
          <w:tcPr>
            <w:tcW w:w="0" w:type="auto"/>
            <w:vMerge/>
          </w:tcPr>
          <w:p w14:paraId="1A283B58" w14:textId="77777777" w:rsidR="00836EB8" w:rsidRPr="00BC6787" w:rsidRDefault="00836EB8" w:rsidP="00836EB8">
            <w:pPr>
              <w:spacing w:line="240" w:lineRule="auto"/>
              <w:rPr>
                <w:rFonts w:cs="Times New Roman"/>
              </w:rPr>
            </w:pPr>
          </w:p>
        </w:tc>
        <w:tc>
          <w:tcPr>
            <w:tcW w:w="1417" w:type="dxa"/>
          </w:tcPr>
          <w:p w14:paraId="147958AB" w14:textId="77777777" w:rsidR="00836EB8" w:rsidRPr="00BC6787" w:rsidRDefault="00836EB8" w:rsidP="00836EB8">
            <w:pPr>
              <w:spacing w:line="240" w:lineRule="auto"/>
              <w:rPr>
                <w:rFonts w:cs="Times New Roman"/>
              </w:rPr>
            </w:pPr>
            <w:r w:rsidRPr="00BC6787">
              <w:rPr>
                <w:rFonts w:cs="Times New Roman"/>
              </w:rPr>
              <w:t>Optimised</w:t>
            </w:r>
          </w:p>
        </w:tc>
        <w:tc>
          <w:tcPr>
            <w:tcW w:w="1417" w:type="dxa"/>
            <w:vAlign w:val="center"/>
          </w:tcPr>
          <w:p w14:paraId="0E4B465B" w14:textId="77777777" w:rsidR="00836EB8" w:rsidRPr="00BC6787" w:rsidRDefault="00836EB8" w:rsidP="00836EB8">
            <w:pPr>
              <w:spacing w:line="240" w:lineRule="auto"/>
              <w:jc w:val="center"/>
              <w:rPr>
                <w:rFonts w:cs="Times New Roman"/>
              </w:rPr>
            </w:pPr>
            <w:r w:rsidRPr="00BC6787">
              <w:rPr>
                <w:rFonts w:cs="Times New Roman"/>
              </w:rPr>
              <w:t>2.06</w:t>
            </w:r>
          </w:p>
        </w:tc>
        <w:tc>
          <w:tcPr>
            <w:tcW w:w="1417" w:type="dxa"/>
            <w:vAlign w:val="center"/>
          </w:tcPr>
          <w:p w14:paraId="78D6C74E" w14:textId="77777777" w:rsidR="00836EB8" w:rsidRPr="00BC6787" w:rsidRDefault="00836EB8" w:rsidP="00836EB8">
            <w:pPr>
              <w:spacing w:line="240" w:lineRule="auto"/>
              <w:jc w:val="center"/>
              <w:rPr>
                <w:rFonts w:cs="Times New Roman"/>
              </w:rPr>
            </w:pPr>
            <w:r w:rsidRPr="00BC6787">
              <w:rPr>
                <w:rFonts w:cs="Times New Roman"/>
              </w:rPr>
              <w:t>0.04</w:t>
            </w:r>
          </w:p>
        </w:tc>
      </w:tr>
      <w:tr w:rsidR="00F85EC3" w:rsidRPr="00BC6787" w14:paraId="104926B6" w14:textId="77777777" w:rsidTr="00836EB8">
        <w:trPr>
          <w:trHeight w:val="283"/>
          <w:jc w:val="center"/>
        </w:trPr>
        <w:tc>
          <w:tcPr>
            <w:tcW w:w="0" w:type="auto"/>
            <w:vMerge w:val="restart"/>
          </w:tcPr>
          <w:p w14:paraId="04F24F79" w14:textId="77777777" w:rsidR="00836EB8" w:rsidRPr="00BC6787" w:rsidRDefault="00836EB8" w:rsidP="00836EB8">
            <w:pPr>
              <w:spacing w:line="240" w:lineRule="auto"/>
              <w:rPr>
                <w:rFonts w:cs="Times New Roman"/>
              </w:rPr>
            </w:pPr>
            <w:proofErr w:type="spellStart"/>
            <w:r w:rsidRPr="00BC6787">
              <w:rPr>
                <w:rFonts w:cs="Times New Roman"/>
              </w:rPr>
              <w:t>Chl</w:t>
            </w:r>
            <w:proofErr w:type="spellEnd"/>
            <w:r w:rsidRPr="00BC6787">
              <w:rPr>
                <w:rFonts w:cs="Times New Roman"/>
              </w:rPr>
              <w:t>-a 2 from WSCP-b</w:t>
            </w:r>
          </w:p>
        </w:tc>
        <w:tc>
          <w:tcPr>
            <w:tcW w:w="1417" w:type="dxa"/>
          </w:tcPr>
          <w:p w14:paraId="5EDF91A6" w14:textId="77777777" w:rsidR="00836EB8" w:rsidRPr="00BC6787" w:rsidRDefault="00836EB8" w:rsidP="00836EB8">
            <w:pPr>
              <w:spacing w:line="240" w:lineRule="auto"/>
              <w:rPr>
                <w:rFonts w:cs="Times New Roman"/>
              </w:rPr>
            </w:pPr>
            <w:r w:rsidRPr="00BC6787">
              <w:rPr>
                <w:rFonts w:cs="Times New Roman"/>
              </w:rPr>
              <w:t>Original</w:t>
            </w:r>
          </w:p>
        </w:tc>
        <w:tc>
          <w:tcPr>
            <w:tcW w:w="1417" w:type="dxa"/>
            <w:vAlign w:val="center"/>
          </w:tcPr>
          <w:p w14:paraId="41E36C17" w14:textId="77777777" w:rsidR="00836EB8" w:rsidRPr="00BC6787" w:rsidRDefault="00836EB8" w:rsidP="00836EB8">
            <w:pPr>
              <w:spacing w:line="240" w:lineRule="auto"/>
              <w:jc w:val="center"/>
              <w:rPr>
                <w:rFonts w:cs="Times New Roman"/>
              </w:rPr>
            </w:pPr>
            <w:r w:rsidRPr="00BC6787">
              <w:rPr>
                <w:rFonts w:cs="Times New Roman"/>
              </w:rPr>
              <w:t>1.96</w:t>
            </w:r>
          </w:p>
        </w:tc>
        <w:tc>
          <w:tcPr>
            <w:tcW w:w="1417" w:type="dxa"/>
            <w:vAlign w:val="center"/>
          </w:tcPr>
          <w:p w14:paraId="4CB67F94" w14:textId="77777777" w:rsidR="00836EB8" w:rsidRPr="00BC6787" w:rsidRDefault="00836EB8" w:rsidP="00836EB8">
            <w:pPr>
              <w:spacing w:line="240" w:lineRule="auto"/>
              <w:jc w:val="center"/>
              <w:rPr>
                <w:rFonts w:cs="Times New Roman"/>
              </w:rPr>
            </w:pPr>
            <w:r w:rsidRPr="00BC6787">
              <w:rPr>
                <w:rFonts w:cs="Times New Roman"/>
              </w:rPr>
              <w:t>0.08</w:t>
            </w:r>
          </w:p>
        </w:tc>
      </w:tr>
      <w:tr w:rsidR="00836EB8" w:rsidRPr="00BC6787" w14:paraId="47F6A35E" w14:textId="77777777" w:rsidTr="00836EB8">
        <w:trPr>
          <w:trHeight w:val="283"/>
          <w:jc w:val="center"/>
        </w:trPr>
        <w:tc>
          <w:tcPr>
            <w:tcW w:w="0" w:type="auto"/>
            <w:vMerge/>
          </w:tcPr>
          <w:p w14:paraId="615ED4B4" w14:textId="77777777" w:rsidR="00836EB8" w:rsidRPr="00BC6787" w:rsidRDefault="00836EB8" w:rsidP="00836EB8">
            <w:pPr>
              <w:spacing w:line="240" w:lineRule="auto"/>
              <w:rPr>
                <w:rFonts w:cs="Times New Roman"/>
              </w:rPr>
            </w:pPr>
          </w:p>
        </w:tc>
        <w:tc>
          <w:tcPr>
            <w:tcW w:w="1417" w:type="dxa"/>
          </w:tcPr>
          <w:p w14:paraId="0E12ED43" w14:textId="77777777" w:rsidR="00836EB8" w:rsidRPr="00BC6787" w:rsidRDefault="00836EB8" w:rsidP="00836EB8">
            <w:pPr>
              <w:spacing w:line="240" w:lineRule="auto"/>
              <w:rPr>
                <w:rFonts w:cs="Times New Roman"/>
              </w:rPr>
            </w:pPr>
            <w:r w:rsidRPr="00BC6787">
              <w:rPr>
                <w:rFonts w:cs="Times New Roman"/>
              </w:rPr>
              <w:t>Optimised</w:t>
            </w:r>
          </w:p>
        </w:tc>
        <w:tc>
          <w:tcPr>
            <w:tcW w:w="1417" w:type="dxa"/>
            <w:vAlign w:val="center"/>
          </w:tcPr>
          <w:p w14:paraId="0724DE16" w14:textId="77777777" w:rsidR="00836EB8" w:rsidRPr="00BC6787" w:rsidRDefault="00836EB8" w:rsidP="00836EB8">
            <w:pPr>
              <w:spacing w:line="240" w:lineRule="auto"/>
              <w:jc w:val="center"/>
              <w:rPr>
                <w:rFonts w:cs="Times New Roman"/>
              </w:rPr>
            </w:pPr>
            <w:r w:rsidRPr="00BC6787">
              <w:rPr>
                <w:rFonts w:cs="Times New Roman"/>
              </w:rPr>
              <w:t>2.04</w:t>
            </w:r>
          </w:p>
        </w:tc>
        <w:tc>
          <w:tcPr>
            <w:tcW w:w="1417" w:type="dxa"/>
            <w:vAlign w:val="center"/>
          </w:tcPr>
          <w:p w14:paraId="2C68B50E" w14:textId="77777777" w:rsidR="00836EB8" w:rsidRPr="00BC6787" w:rsidRDefault="00836EB8" w:rsidP="00836EB8">
            <w:pPr>
              <w:spacing w:line="240" w:lineRule="auto"/>
              <w:jc w:val="center"/>
              <w:rPr>
                <w:rFonts w:cs="Times New Roman"/>
              </w:rPr>
            </w:pPr>
            <w:r w:rsidRPr="00BC6787">
              <w:rPr>
                <w:rFonts w:cs="Times New Roman"/>
              </w:rPr>
              <w:t>0.06</w:t>
            </w:r>
          </w:p>
        </w:tc>
      </w:tr>
    </w:tbl>
    <w:p w14:paraId="3292463B" w14:textId="309D0C64" w:rsidR="00B91A20" w:rsidRPr="00BC6787" w:rsidRDefault="00B91A20" w:rsidP="00B91A20">
      <w:pPr>
        <w:spacing w:before="240"/>
        <w:rPr>
          <w:rFonts w:cs="Times New Roman"/>
        </w:rPr>
      </w:pPr>
    </w:p>
    <w:p w14:paraId="13F132B2" w14:textId="27328C64" w:rsidR="00B91A20" w:rsidRPr="00BC6787" w:rsidRDefault="00B91A20" w:rsidP="00B91A20">
      <w:pPr>
        <w:spacing w:before="240"/>
        <w:rPr>
          <w:rFonts w:cs="Times New Roman"/>
        </w:rPr>
      </w:pPr>
    </w:p>
    <w:p w14:paraId="594094DE" w14:textId="1D9BFFDD" w:rsidR="00B91A20" w:rsidRPr="00BC6787" w:rsidRDefault="00B91A20" w:rsidP="00B91A20">
      <w:pPr>
        <w:spacing w:before="240"/>
        <w:rPr>
          <w:rFonts w:cs="Times New Roman"/>
        </w:rPr>
      </w:pPr>
    </w:p>
    <w:p w14:paraId="490C1F87" w14:textId="71224A64" w:rsidR="00B91A20" w:rsidRPr="00BC6787" w:rsidRDefault="00B91A20">
      <w:pPr>
        <w:spacing w:line="259" w:lineRule="auto"/>
        <w:jc w:val="left"/>
        <w:rPr>
          <w:rFonts w:cs="Times New Roman"/>
        </w:rPr>
      </w:pPr>
      <w:r w:rsidRPr="00BC6787">
        <w:rPr>
          <w:rFonts w:cs="Times New Roman"/>
        </w:rPr>
        <w:br w:type="page"/>
      </w:r>
    </w:p>
    <w:p w14:paraId="76D6EC11" w14:textId="72FB6779" w:rsidR="007F3ED1" w:rsidRPr="00BC6787" w:rsidRDefault="00126A60" w:rsidP="43CA53EC">
      <w:pPr>
        <w:jc w:val="center"/>
      </w:pPr>
      <w:r w:rsidRPr="00BC6787">
        <w:rPr>
          <w:noProof/>
          <w:lang w:eastAsia="en-GB"/>
        </w:rPr>
        <w:lastRenderedPageBreak/>
        <w:drawing>
          <wp:inline distT="0" distB="0" distL="0" distR="0" wp14:anchorId="31BD7628" wp14:editId="1A70C10C">
            <wp:extent cx="5425214" cy="76771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broad-5.specden.png"/>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425214" cy="7677150"/>
                    </a:xfrm>
                    <a:prstGeom prst="rect">
                      <a:avLst/>
                    </a:prstGeom>
                    <a:ln>
                      <a:noFill/>
                    </a:ln>
                    <a:extLst>
                      <a:ext uri="{53640926-AAD7-44D8-BBD7-CCE9431645EC}">
                        <a14:shadowObscured xmlns:a14="http://schemas.microsoft.com/office/drawing/2010/main"/>
                      </a:ext>
                    </a:extLst>
                  </pic:spPr>
                </pic:pic>
              </a:graphicData>
            </a:graphic>
          </wp:inline>
        </w:drawing>
      </w:r>
    </w:p>
    <w:p w14:paraId="2B132718" w14:textId="076B4C97" w:rsidR="005D17BA" w:rsidRPr="00BC6787" w:rsidRDefault="005D17BA" w:rsidP="43CA53EC">
      <w:pPr>
        <w:jc w:val="center"/>
        <w:rPr>
          <w:sz w:val="18"/>
        </w:rPr>
      </w:pPr>
      <w:r w:rsidRPr="00BC6787">
        <w:rPr>
          <w:b/>
          <w:sz w:val="18"/>
        </w:rPr>
        <w:t xml:space="preserve">Figure 6: </w:t>
      </w:r>
      <w:r w:rsidRPr="00BC6787">
        <w:rPr>
          <w:sz w:val="18"/>
        </w:rPr>
        <w:t xml:space="preserve">Spectral densities computed using the original FF (red line) and optimised FF (blue line) for the 3 chromophores: </w:t>
      </w:r>
      <w:r w:rsidR="00126A60" w:rsidRPr="00BC6787">
        <w:rPr>
          <w:sz w:val="18"/>
        </w:rPr>
        <w:t xml:space="preserve">a) </w:t>
      </w:r>
      <w:proofErr w:type="spellStart"/>
      <w:r w:rsidRPr="00BC6787">
        <w:rPr>
          <w:sz w:val="18"/>
        </w:rPr>
        <w:t>bcl</w:t>
      </w:r>
      <w:proofErr w:type="spellEnd"/>
      <w:r w:rsidRPr="00BC6787">
        <w:rPr>
          <w:sz w:val="18"/>
        </w:rPr>
        <w:t xml:space="preserve"> 4</w:t>
      </w:r>
      <w:r w:rsidR="00126A60" w:rsidRPr="00BC6787">
        <w:rPr>
          <w:sz w:val="18"/>
        </w:rPr>
        <w:t>,</w:t>
      </w:r>
      <w:r w:rsidRPr="00BC6787">
        <w:rPr>
          <w:sz w:val="18"/>
        </w:rPr>
        <w:t xml:space="preserve"> </w:t>
      </w:r>
      <w:r w:rsidR="00126A60" w:rsidRPr="00BC6787">
        <w:rPr>
          <w:sz w:val="18"/>
        </w:rPr>
        <w:t>b)</w:t>
      </w:r>
      <w:r w:rsidR="00126A60" w:rsidRPr="00BC6787">
        <w:rPr>
          <w:b/>
          <w:sz w:val="18"/>
        </w:rPr>
        <w:t xml:space="preserve"> </w:t>
      </w:r>
      <w:proofErr w:type="spellStart"/>
      <w:r w:rsidRPr="00BC6787">
        <w:rPr>
          <w:sz w:val="18"/>
        </w:rPr>
        <w:t>chl</w:t>
      </w:r>
      <w:proofErr w:type="spellEnd"/>
      <w:r w:rsidRPr="00BC6787">
        <w:rPr>
          <w:sz w:val="18"/>
        </w:rPr>
        <w:t>-a 2</w:t>
      </w:r>
      <w:r w:rsidR="00126A60" w:rsidRPr="00BC6787">
        <w:rPr>
          <w:sz w:val="18"/>
        </w:rPr>
        <w:t>,</w:t>
      </w:r>
      <w:r w:rsidRPr="00BC6787">
        <w:rPr>
          <w:sz w:val="18"/>
        </w:rPr>
        <w:t xml:space="preserve"> </w:t>
      </w:r>
      <w:r w:rsidR="00126A60" w:rsidRPr="00BC6787">
        <w:rPr>
          <w:sz w:val="18"/>
        </w:rPr>
        <w:t xml:space="preserve">c) </w:t>
      </w:r>
      <w:proofErr w:type="spellStart"/>
      <w:r w:rsidRPr="00BC6787">
        <w:rPr>
          <w:sz w:val="18"/>
        </w:rPr>
        <w:t>chl</w:t>
      </w:r>
      <w:proofErr w:type="spellEnd"/>
      <w:r w:rsidRPr="00BC6787">
        <w:rPr>
          <w:sz w:val="18"/>
        </w:rPr>
        <w:t xml:space="preserve">-b 2  </w:t>
      </w:r>
    </w:p>
    <w:p w14:paraId="1FF257FD" w14:textId="77777777" w:rsidR="00C1156F" w:rsidRPr="00BC6787" w:rsidRDefault="00C1156F" w:rsidP="00C1156F">
      <w:pPr>
        <w:jc w:val="left"/>
        <w:rPr>
          <w:rFonts w:cs="Times New Roman"/>
          <w:b/>
          <w:bCs/>
          <w:sz w:val="24"/>
          <w:szCs w:val="24"/>
        </w:rPr>
      </w:pPr>
      <w:r w:rsidRPr="00BC6787">
        <w:rPr>
          <w:rFonts w:cs="Times New Roman"/>
          <w:b/>
          <w:bCs/>
          <w:noProof/>
          <w:sz w:val="24"/>
          <w:szCs w:val="24"/>
          <w:lang w:eastAsia="en-GB"/>
        </w:rPr>
        <w:lastRenderedPageBreak/>
        <w:drawing>
          <wp:inline distT="0" distB="0" distL="0" distR="0" wp14:anchorId="6C5E90D1" wp14:editId="02E6A607">
            <wp:extent cx="5731510" cy="77292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png"/>
                    <pic:cNvPicPr/>
                  </pic:nvPicPr>
                  <pic:blipFill rotWithShape="1">
                    <a:blip r:embed="rId67" cstate="print">
                      <a:extLst>
                        <a:ext uri="{28A0092B-C50C-407E-A947-70E740481C1C}">
                          <a14:useLocalDpi xmlns:a14="http://schemas.microsoft.com/office/drawing/2010/main" val="0"/>
                        </a:ext>
                      </a:extLst>
                    </a:blip>
                    <a:srcRect t="4698"/>
                    <a:stretch/>
                  </pic:blipFill>
                  <pic:spPr bwMode="auto">
                    <a:xfrm>
                      <a:off x="0" y="0"/>
                      <a:ext cx="5731510" cy="7729220"/>
                    </a:xfrm>
                    <a:prstGeom prst="rect">
                      <a:avLst/>
                    </a:prstGeom>
                    <a:ln>
                      <a:noFill/>
                    </a:ln>
                    <a:extLst>
                      <a:ext uri="{53640926-AAD7-44D8-BBD7-CCE9431645EC}">
                        <a14:shadowObscured xmlns:a14="http://schemas.microsoft.com/office/drawing/2010/main"/>
                      </a:ext>
                    </a:extLst>
                  </pic:spPr>
                </pic:pic>
              </a:graphicData>
            </a:graphic>
          </wp:inline>
        </w:drawing>
      </w:r>
    </w:p>
    <w:p w14:paraId="2F265383" w14:textId="1C5A26A9" w:rsidR="00C1156F" w:rsidRPr="00BC6787" w:rsidRDefault="00C1156F" w:rsidP="00C1156F">
      <w:pPr>
        <w:jc w:val="center"/>
        <w:rPr>
          <w:rFonts w:cs="Times New Roman"/>
          <w:bCs/>
          <w:sz w:val="18"/>
          <w:szCs w:val="24"/>
        </w:rPr>
      </w:pPr>
      <w:r w:rsidRPr="00BC6787">
        <w:rPr>
          <w:rFonts w:cs="Times New Roman"/>
          <w:b/>
          <w:bCs/>
          <w:sz w:val="18"/>
          <w:szCs w:val="24"/>
        </w:rPr>
        <w:t>Figure 7:</w:t>
      </w:r>
      <w:r w:rsidRPr="00BC6787">
        <w:rPr>
          <w:rFonts w:cs="Times New Roman"/>
          <w:bCs/>
          <w:sz w:val="18"/>
          <w:szCs w:val="24"/>
        </w:rPr>
        <w:t xml:space="preserve"> Excitation energy distributions of the original (red bars) and optimised (blue bars) FF over 100 ns run with their fitted normal distribution (black lines) for a) </w:t>
      </w:r>
      <w:proofErr w:type="spellStart"/>
      <w:r w:rsidRPr="00BC6787">
        <w:rPr>
          <w:rFonts w:cs="Times New Roman"/>
          <w:bCs/>
          <w:sz w:val="18"/>
          <w:szCs w:val="24"/>
        </w:rPr>
        <w:t>bcl</w:t>
      </w:r>
      <w:proofErr w:type="spellEnd"/>
      <w:r w:rsidRPr="00BC6787">
        <w:rPr>
          <w:rFonts w:cs="Times New Roman"/>
          <w:bCs/>
          <w:sz w:val="18"/>
          <w:szCs w:val="24"/>
        </w:rPr>
        <w:t xml:space="preserve"> 4 of FMO, b) </w:t>
      </w:r>
      <w:proofErr w:type="spellStart"/>
      <w:r w:rsidRPr="00BC6787">
        <w:rPr>
          <w:rFonts w:cs="Times New Roman"/>
          <w:bCs/>
          <w:sz w:val="18"/>
          <w:szCs w:val="24"/>
        </w:rPr>
        <w:t>chl</w:t>
      </w:r>
      <w:proofErr w:type="spellEnd"/>
      <w:r w:rsidRPr="00BC6787">
        <w:rPr>
          <w:rFonts w:cs="Times New Roman"/>
          <w:bCs/>
          <w:sz w:val="18"/>
          <w:szCs w:val="24"/>
        </w:rPr>
        <w:t xml:space="preserve">-a 2 of WSCP-a and c) </w:t>
      </w:r>
      <w:proofErr w:type="spellStart"/>
      <w:r w:rsidRPr="00BC6787">
        <w:rPr>
          <w:rFonts w:cs="Times New Roman"/>
          <w:bCs/>
          <w:sz w:val="18"/>
          <w:szCs w:val="24"/>
        </w:rPr>
        <w:t>chl</w:t>
      </w:r>
      <w:proofErr w:type="spellEnd"/>
      <w:r w:rsidRPr="00BC6787">
        <w:rPr>
          <w:rFonts w:cs="Times New Roman"/>
          <w:bCs/>
          <w:sz w:val="18"/>
          <w:szCs w:val="24"/>
        </w:rPr>
        <w:t>-b 2 of WSCP</w:t>
      </w:r>
      <w:r w:rsidRPr="00BC6787">
        <w:rPr>
          <w:rFonts w:cs="Times New Roman"/>
          <w:bCs/>
          <w:sz w:val="18"/>
          <w:szCs w:val="24"/>
        </w:rPr>
        <w:noBreakHyphen/>
        <w:t>b.</w:t>
      </w:r>
    </w:p>
    <w:p w14:paraId="2C304DBC" w14:textId="77777777" w:rsidR="00C1156F" w:rsidRPr="00BC6787" w:rsidRDefault="00C1156F" w:rsidP="43CA53EC">
      <w:pPr>
        <w:jc w:val="left"/>
        <w:rPr>
          <w:rFonts w:cs="Times New Roman"/>
          <w:b/>
          <w:bCs/>
          <w:sz w:val="24"/>
          <w:szCs w:val="24"/>
        </w:rPr>
      </w:pPr>
    </w:p>
    <w:p w14:paraId="64B4C6F9" w14:textId="1561FE7C" w:rsidR="43CA53EC" w:rsidRPr="00BC6787" w:rsidRDefault="00F50F92" w:rsidP="43CA53EC">
      <w:pPr>
        <w:jc w:val="left"/>
        <w:rPr>
          <w:rFonts w:cs="Times New Roman"/>
        </w:rPr>
      </w:pPr>
      <w:r>
        <w:rPr>
          <w:rFonts w:cs="Times New Roman"/>
          <w:b/>
          <w:bCs/>
          <w:sz w:val="24"/>
          <w:szCs w:val="24"/>
        </w:rPr>
        <w:lastRenderedPageBreak/>
        <w:t xml:space="preserve">5. </w:t>
      </w:r>
      <w:r w:rsidR="43CA53EC" w:rsidRPr="00BC6787">
        <w:rPr>
          <w:rFonts w:cs="Times New Roman"/>
          <w:b/>
          <w:bCs/>
          <w:sz w:val="24"/>
          <w:szCs w:val="24"/>
        </w:rPr>
        <w:t>Conclusions</w:t>
      </w:r>
    </w:p>
    <w:p w14:paraId="4116D896" w14:textId="540EC377" w:rsidR="003C7F18" w:rsidRPr="00BC6787" w:rsidRDefault="743D8EFC" w:rsidP="743D8EFC">
      <w:pPr>
        <w:rPr>
          <w:rFonts w:cs="Times New Roman"/>
        </w:rPr>
      </w:pPr>
      <w:r w:rsidRPr="00BC6787">
        <w:rPr>
          <w:rFonts w:cs="Times New Roman"/>
        </w:rPr>
        <w:t xml:space="preserve">We have presented a new method </w:t>
      </w:r>
      <w:r w:rsidR="001E48FD" w:rsidRPr="00BC6787">
        <w:rPr>
          <w:rFonts w:cs="Times New Roman"/>
        </w:rPr>
        <w:t xml:space="preserve">to </w:t>
      </w:r>
      <w:r w:rsidRPr="00BC6787">
        <w:rPr>
          <w:rFonts w:cs="Times New Roman"/>
        </w:rPr>
        <w:t xml:space="preserve">for the </w:t>
      </w:r>
      <w:r w:rsidR="0013103B" w:rsidRPr="00BC6787">
        <w:rPr>
          <w:rFonts w:cs="Times New Roman"/>
        </w:rPr>
        <w:t>parameterisation</w:t>
      </w:r>
      <w:r w:rsidRPr="00BC6787">
        <w:rPr>
          <w:rFonts w:cs="Times New Roman"/>
        </w:rPr>
        <w:t xml:space="preserve"> of chromophore (and other pigment/cofactor) FFs for use in </w:t>
      </w:r>
      <w:r w:rsidR="001E48FD" w:rsidRPr="00BC6787">
        <w:rPr>
          <w:rFonts w:cs="Times New Roman"/>
        </w:rPr>
        <w:t>applications where the MD trajectory is followed by quantum chemical calculations on selected snapshot</w:t>
      </w:r>
      <w:r w:rsidR="00AC0F64" w:rsidRPr="00BC6787">
        <w:rPr>
          <w:rFonts w:cs="Times New Roman"/>
        </w:rPr>
        <w:t>s</w:t>
      </w:r>
      <w:r w:rsidR="001E48FD" w:rsidRPr="00BC6787">
        <w:rPr>
          <w:rFonts w:cs="Times New Roman"/>
        </w:rPr>
        <w:t xml:space="preserve">. The method insures that the empirical FF is consistent with the quantum chemical method of choice. We consider here the calculation of the spectral density relevant for electronic energy transfer in three different proteins containing three </w:t>
      </w:r>
      <w:r w:rsidRPr="00BC6787">
        <w:rPr>
          <w:rFonts w:cs="Times New Roman"/>
        </w:rPr>
        <w:t>chromophore</w:t>
      </w:r>
      <w:r w:rsidR="00CF35E2" w:rsidRPr="00BC6787">
        <w:rPr>
          <w:rFonts w:cs="Times New Roman"/>
        </w:rPr>
        <w:t>s</w:t>
      </w:r>
      <w:r w:rsidRPr="00BC6787">
        <w:rPr>
          <w:rFonts w:cs="Times New Roman"/>
        </w:rPr>
        <w:t xml:space="preserve">: </w:t>
      </w:r>
      <w:proofErr w:type="spellStart"/>
      <w:r w:rsidRPr="00BC6787">
        <w:rPr>
          <w:rFonts w:cs="Times New Roman"/>
        </w:rPr>
        <w:t>bcl</w:t>
      </w:r>
      <w:proofErr w:type="spellEnd"/>
      <w:r w:rsidRPr="00BC6787">
        <w:rPr>
          <w:rFonts w:cs="Times New Roman"/>
        </w:rPr>
        <w:t xml:space="preserve">, </w:t>
      </w:r>
      <w:proofErr w:type="spellStart"/>
      <w:r w:rsidRPr="00BC6787">
        <w:rPr>
          <w:rFonts w:cs="Times New Roman"/>
        </w:rPr>
        <w:t>chl</w:t>
      </w:r>
      <w:proofErr w:type="spellEnd"/>
      <w:r w:rsidRPr="00BC6787">
        <w:rPr>
          <w:rFonts w:cs="Times New Roman"/>
        </w:rPr>
        <w:t xml:space="preserve">-a and </w:t>
      </w:r>
      <w:proofErr w:type="spellStart"/>
      <w:r w:rsidRPr="00BC6787">
        <w:rPr>
          <w:rFonts w:cs="Times New Roman"/>
        </w:rPr>
        <w:t>chl</w:t>
      </w:r>
      <w:proofErr w:type="spellEnd"/>
      <w:r w:rsidRPr="00BC6787">
        <w:rPr>
          <w:rFonts w:cs="Times New Roman"/>
        </w:rPr>
        <w:t xml:space="preserve">-b. </w:t>
      </w:r>
      <w:r w:rsidR="003C7F18" w:rsidRPr="00BC6787">
        <w:rPr>
          <w:rFonts w:cs="Times New Roman"/>
        </w:rPr>
        <w:t>T</w:t>
      </w:r>
      <w:r w:rsidR="00CF35E2" w:rsidRPr="00BC6787">
        <w:rPr>
          <w:rFonts w:cs="Times New Roman"/>
        </w:rPr>
        <w:t>his force matching method</w:t>
      </w:r>
      <w:r w:rsidR="003C7F18" w:rsidRPr="00BC6787">
        <w:rPr>
          <w:rFonts w:cs="Times New Roman"/>
        </w:rPr>
        <w:t xml:space="preserve"> benefits from its</w:t>
      </w:r>
      <w:r w:rsidR="00CF35E2" w:rsidRPr="00BC6787">
        <w:rPr>
          <w:rFonts w:cs="Times New Roman"/>
        </w:rPr>
        <w:t xml:space="preserve"> automatic</w:t>
      </w:r>
      <w:r w:rsidR="001E48FD" w:rsidRPr="00BC6787">
        <w:rPr>
          <w:rFonts w:cs="Times New Roman"/>
        </w:rPr>
        <w:t xml:space="preserve"> nature:</w:t>
      </w:r>
      <w:r w:rsidR="003C7F18" w:rsidRPr="00BC6787">
        <w:rPr>
          <w:rFonts w:cs="Times New Roman"/>
        </w:rPr>
        <w:t xml:space="preserve"> once the initial FF is generated and both sets of forces are computed it requires no further manual input</w:t>
      </w:r>
      <w:r w:rsidR="00E23CD9" w:rsidRPr="00BC6787">
        <w:rPr>
          <w:rFonts w:cs="Times New Roman"/>
        </w:rPr>
        <w:t xml:space="preserve"> unlike other parameterisation methods, allowing the efficient generation of multiple FFs and therefore the study of multiple PPCs</w:t>
      </w:r>
      <w:r w:rsidR="003C7F18" w:rsidRPr="00BC6787">
        <w:rPr>
          <w:rFonts w:cs="Times New Roman"/>
        </w:rPr>
        <w:t>.</w:t>
      </w:r>
      <w:r w:rsidR="003A5827" w:rsidRPr="00BC6787">
        <w:rPr>
          <w:rFonts w:cs="Times New Roman"/>
        </w:rPr>
        <w:t xml:space="preserve"> </w:t>
      </w:r>
      <w:r w:rsidR="00916D1A">
        <w:rPr>
          <w:rFonts w:cs="Times New Roman"/>
        </w:rPr>
        <w:t>The</w:t>
      </w:r>
      <w:r w:rsidR="003A5827" w:rsidRPr="00BC6787">
        <w:rPr>
          <w:rFonts w:cs="Times New Roman"/>
        </w:rPr>
        <w:t xml:space="preserve"> implementation of the algorithm could be improved by utilising a central difference in the gradient calculation to reduce errors and using a quadratically convergent second order optimisation method such as a Newton-CG method</w:t>
      </w:r>
      <w:r w:rsidR="003C7F18" w:rsidRPr="00BC6787">
        <w:rPr>
          <w:rFonts w:cs="Times New Roman"/>
        </w:rPr>
        <w:t xml:space="preserve"> </w:t>
      </w:r>
      <w:r w:rsidR="003A5827" w:rsidRPr="00BC6787">
        <w:rPr>
          <w:rFonts w:cs="Times New Roman"/>
        </w:rPr>
        <w:t>to reduce the required number of iterations.</w:t>
      </w:r>
      <w:r w:rsidR="00916D1A">
        <w:rPr>
          <w:rFonts w:cs="Times New Roman"/>
        </w:rPr>
        <w:t xml:space="preserve"> </w:t>
      </w:r>
      <w:r w:rsidR="00916D1A" w:rsidRPr="00D852DF">
        <w:rPr>
          <w:rFonts w:cs="Times New Roman"/>
          <w:color w:val="000000" w:themeColor="text1"/>
        </w:rPr>
        <w:t>A further improvement could be the use of analytical gradients, deemed not necessary in this case where the computation was limited by the quantum chemical part, but useful is one is interested in the automatic parametrization of a large number of systems.</w:t>
      </w:r>
      <w:r w:rsidR="00916D1A" w:rsidRPr="00916D1A">
        <w:rPr>
          <w:rFonts w:cs="Times New Roman"/>
          <w:color w:val="FF0000"/>
        </w:rPr>
        <w:t xml:space="preserve"> </w:t>
      </w:r>
      <w:r w:rsidR="003A5827" w:rsidRPr="00BC6787">
        <w:rPr>
          <w:rFonts w:cs="Times New Roman"/>
        </w:rPr>
        <w:t xml:space="preserve"> </w:t>
      </w:r>
      <w:r w:rsidR="00606CA0" w:rsidRPr="00BC6787">
        <w:rPr>
          <w:rFonts w:cs="Times New Roman"/>
        </w:rPr>
        <w:t>T</w:t>
      </w:r>
      <w:r w:rsidR="00CF35E2" w:rsidRPr="00BC6787">
        <w:rPr>
          <w:rFonts w:cs="Times New Roman"/>
        </w:rPr>
        <w:t>he</w:t>
      </w:r>
      <w:r w:rsidRPr="00BC6787">
        <w:rPr>
          <w:rFonts w:cs="Times New Roman"/>
        </w:rPr>
        <w:t xml:space="preserve"> method is</w:t>
      </w:r>
      <w:r w:rsidR="00CF35E2" w:rsidRPr="00BC6787">
        <w:rPr>
          <w:rFonts w:cs="Times New Roman"/>
        </w:rPr>
        <w:t xml:space="preserve"> </w:t>
      </w:r>
      <w:r w:rsidRPr="00BC6787">
        <w:rPr>
          <w:rFonts w:cs="Times New Roman"/>
        </w:rPr>
        <w:t xml:space="preserve">tuneable, applicable to both different molecular mechanics FFs and QC </w:t>
      </w:r>
      <w:r w:rsidR="00CF35E2" w:rsidRPr="00BC6787">
        <w:rPr>
          <w:rFonts w:cs="Times New Roman"/>
        </w:rPr>
        <w:t>functionals</w:t>
      </w:r>
      <w:r w:rsidRPr="00BC6787">
        <w:rPr>
          <w:rFonts w:cs="Times New Roman"/>
        </w:rPr>
        <w:t xml:space="preserve">, enabling the study of a range of PPCs with any desired MD and QC combination. </w:t>
      </w:r>
      <w:r w:rsidR="003636A7" w:rsidRPr="00BC6787">
        <w:rPr>
          <w:rFonts w:cs="Times New Roman"/>
        </w:rPr>
        <w:t>We showed that it is possible, within the methodology, to verify whether the parametrization of the force field is sufficiently accurate or new atom types ought to be defined.</w:t>
      </w:r>
    </w:p>
    <w:p w14:paraId="68E72D00" w14:textId="2139E43B" w:rsidR="43CA53EC" w:rsidRDefault="003C7F18" w:rsidP="003C7F18">
      <w:pPr>
        <w:ind w:firstLine="432"/>
        <w:rPr>
          <w:rFonts w:cs="Times New Roman"/>
        </w:rPr>
      </w:pPr>
      <w:r w:rsidRPr="00BC6787">
        <w:rPr>
          <w:rFonts w:cs="Times New Roman"/>
        </w:rPr>
        <w:t xml:space="preserve">The </w:t>
      </w:r>
      <w:r w:rsidR="001E48FD" w:rsidRPr="00BC6787">
        <w:rPr>
          <w:rFonts w:cs="Times New Roman"/>
        </w:rPr>
        <w:t xml:space="preserve">spectral densities obtained from the optimized FF have been compared with those obtained from the original force field demonstrating </w:t>
      </w:r>
      <w:r w:rsidR="002E0F4E" w:rsidRPr="00BC6787">
        <w:rPr>
          <w:rFonts w:cs="Times New Roman"/>
        </w:rPr>
        <w:t xml:space="preserve">the important changes introduced by improving the force field aligning it as much as possible with the quantum chemical component of the calculation. </w:t>
      </w:r>
      <w:r w:rsidR="00AC0F64" w:rsidRPr="00BC6787">
        <w:rPr>
          <w:rFonts w:cs="Times New Roman"/>
        </w:rPr>
        <w:t>A step forward could be considered the calculation of the spectral density entirely from an ab initio QM/MM trajectory, an attempt that has been made very recently</w:t>
      </w:r>
      <w:r w:rsidR="009C460F" w:rsidRPr="00BC6787">
        <w:rPr>
          <w:rFonts w:cs="Times New Roman"/>
        </w:rPr>
        <w:fldChar w:fldCharType="begin" w:fldLock="1"/>
      </w:r>
      <w:r w:rsidR="000C038E">
        <w:rPr>
          <w:rFonts w:cs="Times New Roman"/>
        </w:rPr>
        <w:instrText>ADDIN CSL_CITATION {"citationItems":[{"id":"ITEM-1","itemData":{"DOI":"10.1073/pnas.1800370115","ISSN":"0027-8424","PMID":"29588417","abstract":"Mechanisms controlling excitation energy transport (EET) in light-harvesting complexes remain controversial. Following the observation of long-lived beats in two-dimensional electronic spectroscopy of PC645, vibronic coherence, the delocalization of excited states between pigments supported by a resonant vibration, has been proposed to enable direct down-conversion from the highest-energy states to the lowest-energy pigments. Here, we instead show that for phycobiliprotein PC645 an incoherent vibronic transport mechanism is at play. We quantify the solvation dynamics of individual pigments using ab initio QM/MM nuclear dynamics. Our atomistic spectral densities reproduce experimental observations ranging from absorption and fluorescence spectra to the timescales and selectivity of down-conversion observed in transient absorption measurements. We demonstrate that bilin solvation controls EET pathways and that direct down-conversion proceeds incoherently, enhanced by large reorganization energies and a broad collection of high-frequency vibrations. We thus suggest that engineering local solvation dynamics represents a potential design principle for nanoscale control of EET.","author":[{"dropping-particle":"","family":"Blau","given":"Samuel M","non-dropping-particle":"","parse-names":false,"suffix":""},{"dropping-particle":"","family":"Bennett","given":"Doran I G","non-dropping-particle":"","parse-names":false,"suffix":""},{"dropping-particle":"","family":"Kreisbeck","given":"Christoph","non-dropping-particle":"","parse-names":false,"suffix":""},{"dropping-particle":"","family":"Scholes","given":"Gregory D","non-dropping-particle":"","parse-names":false,"suffix":""},{"dropping-particle":"","family":"Aspuru-Guzik","given":"Alán","non-dropping-particle":"","parse-names":false,"suffix":""}],"container-title":"Proceedings of the National Academy of Sciences of the United States of America","id":"ITEM-1","issue":"15","issued":{"date-parts":[["2017","4","10"]]},"page":"E3342-E3350","publisher":"National Academy of Sciences","title":"Local protein solvation drives direct down-conversion in phycobiliprotein PC645 via incoherent vibronic transport","type":"article-journal","volume":"115"},"uris":["http://www.mendeley.com/documents/?uuid=cf447cee-4745-3fb4-824f-a1416c9a4989"]}],"mendeley":{"formattedCitation":"&lt;sup&gt;70&lt;/sup&gt;","plainTextFormattedCitation":"70","previouslyFormattedCitation":"&lt;sup&gt;70&lt;/sup&gt;"},"properties":{"noteIndex":0},"schema":"https://github.com/citation-style-language/schema/raw/master/csl-citation.json"}</w:instrText>
      </w:r>
      <w:r w:rsidR="009C460F" w:rsidRPr="00BC6787">
        <w:rPr>
          <w:rFonts w:cs="Times New Roman"/>
        </w:rPr>
        <w:fldChar w:fldCharType="separate"/>
      </w:r>
      <w:r w:rsidR="00912E63" w:rsidRPr="00912E63">
        <w:rPr>
          <w:rFonts w:cs="Times New Roman"/>
          <w:noProof/>
          <w:vertAlign w:val="superscript"/>
        </w:rPr>
        <w:t>70</w:t>
      </w:r>
      <w:r w:rsidR="009C460F" w:rsidRPr="00BC6787">
        <w:rPr>
          <w:rFonts w:cs="Times New Roman"/>
        </w:rPr>
        <w:fldChar w:fldCharType="end"/>
      </w:r>
      <w:r w:rsidR="00AC0F64" w:rsidRPr="00BC6787">
        <w:rPr>
          <w:rFonts w:cs="Times New Roman"/>
        </w:rPr>
        <w:t xml:space="preserve"> (for different pigments in a different PPC). </w:t>
      </w:r>
      <w:r w:rsidR="00F976AD" w:rsidRPr="00BC6787">
        <w:rPr>
          <w:rFonts w:cs="Times New Roman"/>
        </w:rPr>
        <w:t>However, according to the authors, the calculations took an exceptional amount of time and computer power (roughly 9 months and 2 million CPU hours</w:t>
      </w:r>
      <w:r w:rsidR="008C11A2" w:rsidRPr="00BC6787">
        <w:rPr>
          <w:rFonts w:cs="Times New Roman"/>
        </w:rPr>
        <w:t xml:space="preserve"> for just 50 </w:t>
      </w:r>
      <w:proofErr w:type="spellStart"/>
      <w:r w:rsidR="008C11A2" w:rsidRPr="00BC6787">
        <w:rPr>
          <w:rFonts w:cs="Times New Roman"/>
        </w:rPr>
        <w:t>ps</w:t>
      </w:r>
      <w:proofErr w:type="spellEnd"/>
      <w:r w:rsidR="008C11A2" w:rsidRPr="00BC6787">
        <w:rPr>
          <w:rFonts w:cs="Times New Roman"/>
        </w:rPr>
        <w:t xml:space="preserve"> long trajectory</w:t>
      </w:r>
      <w:r w:rsidR="00F976AD" w:rsidRPr="00BC6787">
        <w:rPr>
          <w:rFonts w:cs="Times New Roman"/>
        </w:rPr>
        <w:t>), thus such a method is still too expensive for efficient computation of multiple spectral densities</w:t>
      </w:r>
      <w:r w:rsidR="008C11A2" w:rsidRPr="00BC6787">
        <w:rPr>
          <w:rFonts w:cs="Times New Roman"/>
        </w:rPr>
        <w:t xml:space="preserve">, with additional concerns on the lack of proper equilibration in such short </w:t>
      </w:r>
      <w:r w:rsidR="00AC0F64" w:rsidRPr="00BC6787">
        <w:rPr>
          <w:rFonts w:cs="Times New Roman"/>
        </w:rPr>
        <w:t>simulation time</w:t>
      </w:r>
      <w:r w:rsidR="008C11A2" w:rsidRPr="00BC6787">
        <w:rPr>
          <w:rFonts w:cs="Times New Roman"/>
        </w:rPr>
        <w:t>.  As the most statistically meaningful comparison</w:t>
      </w:r>
      <w:r w:rsidR="00147A6F" w:rsidRPr="00BC6787">
        <w:rPr>
          <w:rFonts w:cs="Times New Roman"/>
        </w:rPr>
        <w:t>s</w:t>
      </w:r>
      <w:r w:rsidR="008C11A2" w:rsidRPr="00BC6787">
        <w:rPr>
          <w:rFonts w:cs="Times New Roman"/>
        </w:rPr>
        <w:t xml:space="preserve"> are performed on very long </w:t>
      </w:r>
      <w:r w:rsidR="00144775" w:rsidRPr="00BC6787">
        <w:rPr>
          <w:rFonts w:cs="Times New Roman"/>
        </w:rPr>
        <w:t>trajectories,</w:t>
      </w:r>
      <w:r w:rsidR="008C11A2" w:rsidRPr="00BC6787">
        <w:rPr>
          <w:rFonts w:cs="Times New Roman"/>
        </w:rPr>
        <w:t xml:space="preserve"> we used the latter to show that t</w:t>
      </w:r>
      <w:r w:rsidR="00C179A5" w:rsidRPr="00BC6787">
        <w:rPr>
          <w:rFonts w:cs="Times New Roman"/>
        </w:rPr>
        <w:t xml:space="preserve">he reorganisation energies computed from </w:t>
      </w:r>
      <w:r w:rsidR="008C11A2" w:rsidRPr="00BC6787">
        <w:rPr>
          <w:rFonts w:cs="Times New Roman"/>
        </w:rPr>
        <w:t xml:space="preserve">the optimized FF are </w:t>
      </w:r>
      <w:r w:rsidR="00C179A5" w:rsidRPr="00BC6787">
        <w:rPr>
          <w:rFonts w:cs="Times New Roman"/>
        </w:rPr>
        <w:t xml:space="preserve">consistently lower </w:t>
      </w:r>
      <w:r w:rsidR="00E23CD9" w:rsidRPr="00BC6787">
        <w:rPr>
          <w:rFonts w:cs="Times New Roman"/>
        </w:rPr>
        <w:t>than the original FFs</w:t>
      </w:r>
      <w:r w:rsidR="00C179A5" w:rsidRPr="00BC6787">
        <w:rPr>
          <w:rFonts w:cs="Times New Roman"/>
        </w:rPr>
        <w:t xml:space="preserve">. </w:t>
      </w:r>
      <w:r w:rsidR="00147A6F" w:rsidRPr="00BC6787">
        <w:rPr>
          <w:rFonts w:cs="Times New Roman"/>
        </w:rPr>
        <w:t xml:space="preserve">The observed differences in the high frequency region of the spectral density are potentially important </w:t>
      </w:r>
      <w:r w:rsidRPr="00BC6787">
        <w:rPr>
          <w:rFonts w:cs="Times New Roman"/>
        </w:rPr>
        <w:t xml:space="preserve">to </w:t>
      </w:r>
      <w:r w:rsidR="00147A6F" w:rsidRPr="00BC6787">
        <w:rPr>
          <w:rFonts w:cs="Times New Roman"/>
        </w:rPr>
        <w:t xml:space="preserve">correctly </w:t>
      </w:r>
      <w:r w:rsidRPr="00BC6787">
        <w:rPr>
          <w:rFonts w:cs="Times New Roman"/>
        </w:rPr>
        <w:t xml:space="preserve">identify the presence (or lack of) intramolecular vibrational modes capable of </w:t>
      </w:r>
      <w:proofErr w:type="spellStart"/>
      <w:r w:rsidRPr="00BC6787">
        <w:rPr>
          <w:rFonts w:cs="Times New Roman"/>
        </w:rPr>
        <w:t>vibronic</w:t>
      </w:r>
      <w:proofErr w:type="spellEnd"/>
      <w:r w:rsidRPr="00BC6787">
        <w:rPr>
          <w:rFonts w:cs="Times New Roman"/>
        </w:rPr>
        <w:t xml:space="preserve"> enhancement. </w:t>
      </w:r>
      <w:r w:rsidR="00147A6F" w:rsidRPr="00BC6787">
        <w:rPr>
          <w:rFonts w:cs="Times New Roman"/>
        </w:rPr>
        <w:t>In fact, intramolecular modes are the only one likely able to specifically couple with the electron energy transfer since rec</w:t>
      </w:r>
      <w:r w:rsidR="00EF2186" w:rsidRPr="00BC6787">
        <w:rPr>
          <w:rFonts w:cs="Times New Roman"/>
        </w:rPr>
        <w:t>ent work has shown the un-specificity of the local protein environment surrounding a pigment</w:t>
      </w:r>
      <w:r w:rsidR="00147A6F" w:rsidRPr="00BC6787">
        <w:rPr>
          <w:rFonts w:cs="Times New Roman"/>
        </w:rPr>
        <w:t>.</w:t>
      </w:r>
      <w:r w:rsidR="00EF2186" w:rsidRPr="00BC6787">
        <w:rPr>
          <w:rFonts w:cs="Times New Roman"/>
        </w:rPr>
        <w:fldChar w:fldCharType="begin" w:fldLock="1"/>
      </w:r>
      <w:r w:rsidR="000C038E">
        <w:rPr>
          <w:rFonts w:cs="Times New Roman"/>
        </w:rPr>
        <w:instrText>ADDIN CSL_CITATION {"citationItems":[{"id":"ITEM-1","itemData":{"DOI":"10.1039/C8CP02613K","author":[{"dropping-particle":"","family":"Claridge","given":"Kirsten","non-dropping-particle":"","parse-names":false,"suffix":""},{"dropping-particle":"","family":"Padula","given":"Daniele","non-dropping-particle":"","parse-names":false,"suffix":""},{"dropping-particle":"","family":"Troisi","given":"Alessandro","non-dropping-particle":"","parse-names":false,"suffix":""}],"container-title":"Physical Chemistry Chemical Physics","id":"ITEM-1","issued":{"date-parts":[["2018"]]},"title":"How fine-tuned for energy transfer is the environmental noise produced by proteins around biological chromophores?","type":"article-journal"},"uris":["http://www.mendeley.com/documents/?uuid=40207a06-b475-4cb1-9366-d7ecc6e05638"]}],"mendeley":{"formattedCitation":"&lt;sup&gt;65&lt;/sup&gt;","plainTextFormattedCitation":"65","previouslyFormattedCitation":"&lt;sup&gt;65&lt;/sup&gt;"},"properties":{"noteIndex":0},"schema":"https://github.com/citation-style-language/schema/raw/master/csl-citation.json"}</w:instrText>
      </w:r>
      <w:r w:rsidR="00EF2186" w:rsidRPr="00BC6787">
        <w:rPr>
          <w:rFonts w:cs="Times New Roman"/>
        </w:rPr>
        <w:fldChar w:fldCharType="separate"/>
      </w:r>
      <w:r w:rsidR="00912E63" w:rsidRPr="00912E63">
        <w:rPr>
          <w:rFonts w:cs="Times New Roman"/>
          <w:noProof/>
          <w:vertAlign w:val="superscript"/>
        </w:rPr>
        <w:t>65</w:t>
      </w:r>
      <w:r w:rsidR="00EF2186" w:rsidRPr="00BC6787">
        <w:rPr>
          <w:rFonts w:cs="Times New Roman"/>
        </w:rPr>
        <w:fldChar w:fldCharType="end"/>
      </w:r>
    </w:p>
    <w:p w14:paraId="3D70EA31" w14:textId="4EF95ABB" w:rsidR="00F50F92" w:rsidRDefault="00565219" w:rsidP="00F50F92">
      <w:pPr>
        <w:rPr>
          <w:rFonts w:cs="Times New Roman"/>
          <w:b/>
          <w:sz w:val="24"/>
        </w:rPr>
      </w:pPr>
      <w:r>
        <w:rPr>
          <w:rFonts w:cs="Times New Roman"/>
          <w:b/>
          <w:sz w:val="24"/>
        </w:rPr>
        <w:t xml:space="preserve">6. </w:t>
      </w:r>
      <w:r w:rsidR="00F50F92">
        <w:rPr>
          <w:rFonts w:cs="Times New Roman"/>
          <w:b/>
          <w:sz w:val="24"/>
        </w:rPr>
        <w:t>Supporting Information</w:t>
      </w:r>
    </w:p>
    <w:p w14:paraId="1A874EBE" w14:textId="7F3F7C11" w:rsidR="00F50F92" w:rsidRPr="00F50F92" w:rsidRDefault="00A12487" w:rsidP="00F50F92">
      <w:pPr>
        <w:rPr>
          <w:rFonts w:cs="Times New Roman"/>
        </w:rPr>
      </w:pPr>
      <w:r>
        <w:rPr>
          <w:rFonts w:cs="Times New Roman"/>
        </w:rPr>
        <w:lastRenderedPageBreak/>
        <w:t>Structures of chromophores with atom labels and tables of optimised parameter values.</w:t>
      </w:r>
    </w:p>
    <w:p w14:paraId="6CE836B0" w14:textId="3DD6E036" w:rsidR="00D52AC8" w:rsidRPr="00BC6787" w:rsidRDefault="00565219" w:rsidP="00D52AC8">
      <w:pPr>
        <w:rPr>
          <w:rFonts w:cs="Times New Roman"/>
          <w:b/>
          <w:sz w:val="24"/>
        </w:rPr>
      </w:pPr>
      <w:r>
        <w:rPr>
          <w:rFonts w:cs="Times New Roman"/>
          <w:b/>
          <w:sz w:val="24"/>
        </w:rPr>
        <w:t xml:space="preserve">7. </w:t>
      </w:r>
      <w:r w:rsidR="00D52AC8" w:rsidRPr="00BC6787">
        <w:rPr>
          <w:rFonts w:cs="Times New Roman"/>
          <w:b/>
          <w:sz w:val="24"/>
        </w:rPr>
        <w:t>Acknowledgements</w:t>
      </w:r>
    </w:p>
    <w:p w14:paraId="23A2BB0E" w14:textId="15F3EA1C" w:rsidR="00D52AC8" w:rsidRPr="00BC6787" w:rsidRDefault="00D52AC8" w:rsidP="00D52AC8">
      <w:pPr>
        <w:rPr>
          <w:rFonts w:cs="Times New Roman"/>
        </w:rPr>
      </w:pPr>
      <w:r w:rsidRPr="00BC6787">
        <w:rPr>
          <w:rFonts w:cs="Times New Roman"/>
        </w:rPr>
        <w:t>This work was supported by the ERC through Grant No. 615834.</w:t>
      </w:r>
      <w:r w:rsidR="003E732A" w:rsidRPr="00BC6787">
        <w:rPr>
          <w:rFonts w:cs="Times New Roman"/>
        </w:rPr>
        <w:t xml:space="preserve"> We thank </w:t>
      </w:r>
      <w:proofErr w:type="spellStart"/>
      <w:r w:rsidR="003E732A" w:rsidRPr="00BC6787">
        <w:rPr>
          <w:rFonts w:cs="Times New Roman"/>
        </w:rPr>
        <w:t>Dr.</w:t>
      </w:r>
      <w:proofErr w:type="spellEnd"/>
      <w:r w:rsidR="003E732A" w:rsidRPr="00BC6787">
        <w:rPr>
          <w:rFonts w:cs="Times New Roman"/>
        </w:rPr>
        <w:t xml:space="preserve"> Daniele Padula for his assistance with </w:t>
      </w:r>
      <w:r w:rsidR="00C17262" w:rsidRPr="00BC6787">
        <w:rPr>
          <w:rFonts w:cs="Times New Roman"/>
        </w:rPr>
        <w:t>the spectral density calculation</w:t>
      </w:r>
      <w:r w:rsidR="00116A17" w:rsidRPr="00BC6787">
        <w:rPr>
          <w:rFonts w:cs="Times New Roman"/>
        </w:rPr>
        <w:t>s</w:t>
      </w:r>
      <w:r w:rsidR="00C17262" w:rsidRPr="00BC6787">
        <w:rPr>
          <w:rFonts w:cs="Times New Roman"/>
        </w:rPr>
        <w:t>.</w:t>
      </w:r>
    </w:p>
    <w:p w14:paraId="580F4B9B" w14:textId="33643A22" w:rsidR="00EA3ADF" w:rsidRPr="00BC6787" w:rsidRDefault="00565219" w:rsidP="43CA53EC">
      <w:pPr>
        <w:pStyle w:val="Heading1"/>
        <w:numPr>
          <w:ilvl w:val="0"/>
          <w:numId w:val="0"/>
        </w:numPr>
        <w:ind w:left="432" w:hanging="432"/>
        <w:rPr>
          <w:rFonts w:cs="Times New Roman"/>
          <w:sz w:val="24"/>
          <w:szCs w:val="24"/>
        </w:rPr>
      </w:pPr>
      <w:r>
        <w:rPr>
          <w:rFonts w:cs="Times New Roman"/>
          <w:sz w:val="24"/>
          <w:szCs w:val="24"/>
        </w:rPr>
        <w:t xml:space="preserve">8. </w:t>
      </w:r>
      <w:r w:rsidR="43CA53EC" w:rsidRPr="00BC6787">
        <w:rPr>
          <w:rFonts w:cs="Times New Roman"/>
          <w:sz w:val="24"/>
          <w:szCs w:val="24"/>
        </w:rPr>
        <w:t>References</w:t>
      </w:r>
    </w:p>
    <w:p w14:paraId="0B49E96F" w14:textId="46F82C72" w:rsidR="005E2B2D" w:rsidRPr="005E2B2D" w:rsidRDefault="007F2A88" w:rsidP="005E2B2D">
      <w:pPr>
        <w:widowControl w:val="0"/>
        <w:autoSpaceDE w:val="0"/>
        <w:autoSpaceDN w:val="0"/>
        <w:adjustRightInd w:val="0"/>
        <w:ind w:left="640" w:hanging="640"/>
        <w:rPr>
          <w:rFonts w:cs="Times New Roman"/>
          <w:noProof/>
          <w:szCs w:val="24"/>
        </w:rPr>
      </w:pPr>
      <w:r w:rsidRPr="00BC6787">
        <w:rPr>
          <w:rFonts w:cs="Times New Roman"/>
        </w:rPr>
        <w:fldChar w:fldCharType="begin" w:fldLock="1"/>
      </w:r>
      <w:r w:rsidRPr="00BC6787">
        <w:rPr>
          <w:rFonts w:cs="Times New Roman"/>
        </w:rPr>
        <w:instrText xml:space="preserve">ADDIN Mendeley Bibliography CSL_BIBLIOGRAPHY </w:instrText>
      </w:r>
      <w:r w:rsidRPr="00BC6787">
        <w:rPr>
          <w:rFonts w:cs="Times New Roman"/>
        </w:rPr>
        <w:fldChar w:fldCharType="separate"/>
      </w:r>
      <w:r w:rsidR="005E2B2D" w:rsidRPr="005E2B2D">
        <w:rPr>
          <w:rFonts w:cs="Times New Roman"/>
          <w:noProof/>
          <w:szCs w:val="24"/>
        </w:rPr>
        <w:t xml:space="preserve">(1) </w:t>
      </w:r>
      <w:r w:rsidR="005E2B2D" w:rsidRPr="005E2B2D">
        <w:rPr>
          <w:rFonts w:cs="Times New Roman"/>
          <w:noProof/>
          <w:szCs w:val="24"/>
        </w:rPr>
        <w:tab/>
        <w:t xml:space="preserve">Blankenship, R. E. </w:t>
      </w:r>
      <w:r w:rsidR="005E2B2D" w:rsidRPr="005E2B2D">
        <w:rPr>
          <w:rFonts w:cs="Times New Roman"/>
          <w:i/>
          <w:iCs/>
          <w:noProof/>
          <w:szCs w:val="24"/>
        </w:rPr>
        <w:t>Molecular Mechanisms of Photosynthesis</w:t>
      </w:r>
      <w:r w:rsidR="005E2B2D" w:rsidRPr="005E2B2D">
        <w:rPr>
          <w:rFonts w:cs="Times New Roman"/>
          <w:noProof/>
          <w:szCs w:val="24"/>
        </w:rPr>
        <w:t>; Blackwell Science Ltd: Oxford, UK, 2002.</w:t>
      </w:r>
    </w:p>
    <w:p w14:paraId="2D8CFD0D"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 </w:t>
      </w:r>
      <w:r w:rsidRPr="005E2B2D">
        <w:rPr>
          <w:rFonts w:cs="Times New Roman"/>
          <w:noProof/>
          <w:szCs w:val="24"/>
        </w:rPr>
        <w:tab/>
        <w:t xml:space="preserve">Engel, G. S.; Calhoun, T. R.; Read, E. L.; Ahn, T.-K.; Mančal, T.; Cheng, Y.-C.; Blankenship, R. E.; Fleming, G. R. Evidence for Wavelike Energy Transfer through Quantum Coherence in Photosynthetic Systems. </w:t>
      </w:r>
      <w:r w:rsidRPr="005E2B2D">
        <w:rPr>
          <w:rFonts w:cs="Times New Roman"/>
          <w:i/>
          <w:iCs/>
          <w:noProof/>
          <w:szCs w:val="24"/>
        </w:rPr>
        <w:t>Nature</w:t>
      </w:r>
      <w:r w:rsidRPr="005E2B2D">
        <w:rPr>
          <w:rFonts w:cs="Times New Roman"/>
          <w:noProof/>
          <w:szCs w:val="24"/>
        </w:rPr>
        <w:t xml:space="preserve"> </w:t>
      </w:r>
      <w:r w:rsidRPr="005E2B2D">
        <w:rPr>
          <w:rFonts w:cs="Times New Roman"/>
          <w:b/>
          <w:bCs/>
          <w:noProof/>
          <w:szCs w:val="24"/>
        </w:rPr>
        <w:t>2007</w:t>
      </w:r>
      <w:r w:rsidRPr="005E2B2D">
        <w:rPr>
          <w:rFonts w:cs="Times New Roman"/>
          <w:noProof/>
          <w:szCs w:val="24"/>
        </w:rPr>
        <w:t xml:space="preserve">, </w:t>
      </w:r>
      <w:r w:rsidRPr="005E2B2D">
        <w:rPr>
          <w:rFonts w:cs="Times New Roman"/>
          <w:i/>
          <w:iCs/>
          <w:noProof/>
          <w:szCs w:val="24"/>
        </w:rPr>
        <w:t>446</w:t>
      </w:r>
      <w:r w:rsidRPr="005E2B2D">
        <w:rPr>
          <w:rFonts w:cs="Times New Roman"/>
          <w:noProof/>
          <w:szCs w:val="24"/>
        </w:rPr>
        <w:t>, 782–786.</w:t>
      </w:r>
    </w:p>
    <w:p w14:paraId="14D49845"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 </w:t>
      </w:r>
      <w:r w:rsidRPr="005E2B2D">
        <w:rPr>
          <w:rFonts w:cs="Times New Roman"/>
          <w:noProof/>
          <w:szCs w:val="24"/>
        </w:rPr>
        <w:tab/>
        <w:t xml:space="preserve">Panitchayangkoon, G.; Hayes, D.; Fransted, K. A.; Caram, J. R.; Harel, E.; Wen, J.; Blankenship, R. E.; Engel, G. S. Long-Lived Quantum Coherence in Photosynthetic Complexes at Physiological Temperature. </w:t>
      </w:r>
      <w:r w:rsidRPr="005E2B2D">
        <w:rPr>
          <w:rFonts w:cs="Times New Roman"/>
          <w:i/>
          <w:iCs/>
          <w:noProof/>
          <w:szCs w:val="24"/>
        </w:rPr>
        <w:t>Proc. Natl. Acad. Sci. U. S. A.</w:t>
      </w:r>
      <w:r w:rsidRPr="005E2B2D">
        <w:rPr>
          <w:rFonts w:cs="Times New Roman"/>
          <w:noProof/>
          <w:szCs w:val="24"/>
        </w:rPr>
        <w:t xml:space="preserve"> </w:t>
      </w:r>
      <w:r w:rsidRPr="005E2B2D">
        <w:rPr>
          <w:rFonts w:cs="Times New Roman"/>
          <w:b/>
          <w:bCs/>
          <w:noProof/>
          <w:szCs w:val="24"/>
        </w:rPr>
        <w:t>2010</w:t>
      </w:r>
      <w:r w:rsidRPr="005E2B2D">
        <w:rPr>
          <w:rFonts w:cs="Times New Roman"/>
          <w:noProof/>
          <w:szCs w:val="24"/>
        </w:rPr>
        <w:t xml:space="preserve">, </w:t>
      </w:r>
      <w:r w:rsidRPr="005E2B2D">
        <w:rPr>
          <w:rFonts w:cs="Times New Roman"/>
          <w:i/>
          <w:iCs/>
          <w:noProof/>
          <w:szCs w:val="24"/>
        </w:rPr>
        <w:t>107</w:t>
      </w:r>
      <w:r w:rsidRPr="005E2B2D">
        <w:rPr>
          <w:rFonts w:cs="Times New Roman"/>
          <w:noProof/>
          <w:szCs w:val="24"/>
        </w:rPr>
        <w:t>, 12766–12770.</w:t>
      </w:r>
    </w:p>
    <w:p w14:paraId="3AE2398D"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 </w:t>
      </w:r>
      <w:r w:rsidRPr="005E2B2D">
        <w:rPr>
          <w:rFonts w:cs="Times New Roman"/>
          <w:noProof/>
          <w:szCs w:val="24"/>
        </w:rPr>
        <w:tab/>
        <w:t xml:space="preserve">Collini, E.; Wong, C. Y.; Wilk, K. E.; Curmi, P. M. G.; Brumer, P.; Scholes, G. D. Coherently Wired Light-Harvesting in Photosynthetic Marine Algae at Ambient Temperature. </w:t>
      </w:r>
      <w:r w:rsidRPr="005E2B2D">
        <w:rPr>
          <w:rFonts w:cs="Times New Roman"/>
          <w:i/>
          <w:iCs/>
          <w:noProof/>
          <w:szCs w:val="24"/>
        </w:rPr>
        <w:t>Nature</w:t>
      </w:r>
      <w:r w:rsidRPr="005E2B2D">
        <w:rPr>
          <w:rFonts w:cs="Times New Roman"/>
          <w:noProof/>
          <w:szCs w:val="24"/>
        </w:rPr>
        <w:t xml:space="preserve"> </w:t>
      </w:r>
      <w:r w:rsidRPr="005E2B2D">
        <w:rPr>
          <w:rFonts w:cs="Times New Roman"/>
          <w:b/>
          <w:bCs/>
          <w:noProof/>
          <w:szCs w:val="24"/>
        </w:rPr>
        <w:t>2010</w:t>
      </w:r>
      <w:r w:rsidRPr="005E2B2D">
        <w:rPr>
          <w:rFonts w:cs="Times New Roman"/>
          <w:noProof/>
          <w:szCs w:val="24"/>
        </w:rPr>
        <w:t xml:space="preserve">, </w:t>
      </w:r>
      <w:r w:rsidRPr="005E2B2D">
        <w:rPr>
          <w:rFonts w:cs="Times New Roman"/>
          <w:i/>
          <w:iCs/>
          <w:noProof/>
          <w:szCs w:val="24"/>
        </w:rPr>
        <w:t>463</w:t>
      </w:r>
      <w:r w:rsidRPr="005E2B2D">
        <w:rPr>
          <w:rFonts w:cs="Times New Roman"/>
          <w:noProof/>
          <w:szCs w:val="24"/>
        </w:rPr>
        <w:t>, 644–647.</w:t>
      </w:r>
    </w:p>
    <w:p w14:paraId="13C6AFB1"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 </w:t>
      </w:r>
      <w:r w:rsidRPr="005E2B2D">
        <w:rPr>
          <w:rFonts w:cs="Times New Roman"/>
          <w:noProof/>
          <w:szCs w:val="24"/>
        </w:rPr>
        <w:tab/>
        <w:t xml:space="preserve">Wong, C. Y.; Alvey, R. M.; Turner, D. B.; Wilk, K. E.; Bryant, D. A.; Curmi, P. M. G.; Silbey, R. J.; Scholes, G. D. Electronic Coherence Lineshapes Reveal Hidden Excitonic Correlations in Photosynthetic Light Harvesting. </w:t>
      </w:r>
      <w:r w:rsidRPr="005E2B2D">
        <w:rPr>
          <w:rFonts w:cs="Times New Roman"/>
          <w:i/>
          <w:iCs/>
          <w:noProof/>
          <w:szCs w:val="24"/>
        </w:rPr>
        <w:t>Nat. Chem.</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4</w:t>
      </w:r>
      <w:r w:rsidRPr="005E2B2D">
        <w:rPr>
          <w:rFonts w:cs="Times New Roman"/>
          <w:noProof/>
          <w:szCs w:val="24"/>
        </w:rPr>
        <w:t>, 396–404.</w:t>
      </w:r>
    </w:p>
    <w:p w14:paraId="484EC821"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 </w:t>
      </w:r>
      <w:r w:rsidRPr="005E2B2D">
        <w:rPr>
          <w:rFonts w:cs="Times New Roman"/>
          <w:noProof/>
          <w:szCs w:val="24"/>
        </w:rPr>
        <w:tab/>
        <w:t xml:space="preserve">Calhoun, T. R.; Ginsberg, N. S.; Schlau-Cohen, G. S.; Cheng, Y.-C.; Ballottari, M.; Bassi, R.; Fleming, G. R. Quantum Coherence Enabled Determination of the Energy Landscape in Light-Harvesting Complex II. </w:t>
      </w:r>
      <w:r w:rsidRPr="005E2B2D">
        <w:rPr>
          <w:rFonts w:cs="Times New Roman"/>
          <w:i/>
          <w:iCs/>
          <w:noProof/>
          <w:szCs w:val="24"/>
        </w:rPr>
        <w:t>J. Phys. Chem. B</w:t>
      </w:r>
      <w:r w:rsidRPr="005E2B2D">
        <w:rPr>
          <w:rFonts w:cs="Times New Roman"/>
          <w:noProof/>
          <w:szCs w:val="24"/>
        </w:rPr>
        <w:t xml:space="preserve"> </w:t>
      </w:r>
      <w:r w:rsidRPr="005E2B2D">
        <w:rPr>
          <w:rFonts w:cs="Times New Roman"/>
          <w:b/>
          <w:bCs/>
          <w:noProof/>
          <w:szCs w:val="24"/>
        </w:rPr>
        <w:t>2009</w:t>
      </w:r>
      <w:r w:rsidRPr="005E2B2D">
        <w:rPr>
          <w:rFonts w:cs="Times New Roman"/>
          <w:noProof/>
          <w:szCs w:val="24"/>
        </w:rPr>
        <w:t xml:space="preserve">, </w:t>
      </w:r>
      <w:r w:rsidRPr="005E2B2D">
        <w:rPr>
          <w:rFonts w:cs="Times New Roman"/>
          <w:i/>
          <w:iCs/>
          <w:noProof/>
          <w:szCs w:val="24"/>
        </w:rPr>
        <w:t>113</w:t>
      </w:r>
      <w:r w:rsidRPr="005E2B2D">
        <w:rPr>
          <w:rFonts w:cs="Times New Roman"/>
          <w:noProof/>
          <w:szCs w:val="24"/>
        </w:rPr>
        <w:t>, 16291–16295.</w:t>
      </w:r>
    </w:p>
    <w:p w14:paraId="116087FC"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(7) </w:t>
      </w:r>
      <w:r w:rsidRPr="005E2B2D">
        <w:rPr>
          <w:rFonts w:cs="Times New Roman"/>
          <w:noProof/>
          <w:szCs w:val="24"/>
        </w:rPr>
        <w:tab/>
        <w:t xml:space="preserve">Harel, E.; Engel, G. S. Quantum Coherence Spectroscopy Reveals Complex Dynamics in Bacterial Light-Harvesting Complex 2 (LH2). </w:t>
      </w:r>
      <w:r w:rsidRPr="005E2B2D">
        <w:rPr>
          <w:rFonts w:cs="Times New Roman"/>
          <w:i/>
          <w:iCs/>
          <w:noProof/>
          <w:szCs w:val="24"/>
        </w:rPr>
        <w:t>Proc. Natl. Acad. Sci. U. S. A.</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109</w:t>
      </w:r>
      <w:r w:rsidRPr="005E2B2D">
        <w:rPr>
          <w:rFonts w:cs="Times New Roman"/>
          <w:noProof/>
          <w:szCs w:val="24"/>
        </w:rPr>
        <w:t>, 706–711.</w:t>
      </w:r>
    </w:p>
    <w:p w14:paraId="3F4D9AE6"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(8) </w:t>
      </w:r>
      <w:r w:rsidRPr="005E2B2D">
        <w:rPr>
          <w:rFonts w:cs="Times New Roman"/>
          <w:noProof/>
          <w:szCs w:val="24"/>
        </w:rPr>
        <w:tab/>
        <w:t xml:space="preserve">Duan, H.-G.; Prokhorenko, V. I.; Cogdell, R. J.; Ashraf, K.; Stevens, A. L.; Thorwart, M.; Miller, R. J. D. Nature Does Not Rely on Long-Lived Electronic Quantum Coherence for Photosynthetic Energy Transfer. </w:t>
      </w:r>
      <w:r w:rsidRPr="005E2B2D">
        <w:rPr>
          <w:rFonts w:cs="Times New Roman"/>
          <w:i/>
          <w:iCs/>
          <w:noProof/>
          <w:szCs w:val="24"/>
        </w:rPr>
        <w:t>Proc. Natl. Acad. Sci.</w:t>
      </w:r>
      <w:r w:rsidRPr="005E2B2D">
        <w:rPr>
          <w:rFonts w:cs="Times New Roman"/>
          <w:noProof/>
          <w:szCs w:val="24"/>
        </w:rPr>
        <w:t xml:space="preserve"> </w:t>
      </w:r>
      <w:r w:rsidRPr="005E2B2D">
        <w:rPr>
          <w:rFonts w:cs="Times New Roman"/>
          <w:b/>
          <w:bCs/>
          <w:noProof/>
          <w:szCs w:val="24"/>
        </w:rPr>
        <w:t>2017</w:t>
      </w:r>
      <w:r w:rsidRPr="005E2B2D">
        <w:rPr>
          <w:rFonts w:cs="Times New Roman"/>
          <w:noProof/>
          <w:szCs w:val="24"/>
        </w:rPr>
        <w:t xml:space="preserve">, </w:t>
      </w:r>
      <w:r w:rsidRPr="005E2B2D">
        <w:rPr>
          <w:rFonts w:cs="Times New Roman"/>
          <w:i/>
          <w:iCs/>
          <w:noProof/>
          <w:szCs w:val="24"/>
        </w:rPr>
        <w:t>114</w:t>
      </w:r>
      <w:r w:rsidRPr="005E2B2D">
        <w:rPr>
          <w:rFonts w:cs="Times New Roman"/>
          <w:noProof/>
          <w:szCs w:val="24"/>
        </w:rPr>
        <w:t>, 8493–8498.</w:t>
      </w:r>
    </w:p>
    <w:p w14:paraId="1F3C46EB"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(9) </w:t>
      </w:r>
      <w:r w:rsidRPr="005E2B2D">
        <w:rPr>
          <w:rFonts w:cs="Times New Roman"/>
          <w:noProof/>
          <w:szCs w:val="24"/>
        </w:rPr>
        <w:tab/>
        <w:t xml:space="preserve">Chenu, A.; Scholes, G. D. Coherence in Energy Transfer and Photosynthesis. </w:t>
      </w:r>
      <w:r w:rsidRPr="005E2B2D">
        <w:rPr>
          <w:rFonts w:cs="Times New Roman"/>
          <w:i/>
          <w:iCs/>
          <w:noProof/>
          <w:szCs w:val="24"/>
        </w:rPr>
        <w:t>Annu. Rev. Phys. Chem.</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66</w:t>
      </w:r>
      <w:r w:rsidRPr="005E2B2D">
        <w:rPr>
          <w:rFonts w:cs="Times New Roman"/>
          <w:noProof/>
          <w:szCs w:val="24"/>
        </w:rPr>
        <w:t>, 69–96.</w:t>
      </w:r>
    </w:p>
    <w:p w14:paraId="66796548"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(10) </w:t>
      </w:r>
      <w:r w:rsidRPr="005E2B2D">
        <w:rPr>
          <w:rFonts w:cs="Times New Roman"/>
          <w:noProof/>
          <w:szCs w:val="24"/>
        </w:rPr>
        <w:tab/>
        <w:t xml:space="preserve">Curutchet, C.; Mennucci, B. Quantum Chemical Studies of Light Harvesting. </w:t>
      </w:r>
      <w:r w:rsidRPr="005E2B2D">
        <w:rPr>
          <w:rFonts w:cs="Times New Roman"/>
          <w:i/>
          <w:iCs/>
          <w:noProof/>
          <w:szCs w:val="24"/>
        </w:rPr>
        <w:t>Chem. Rev.</w:t>
      </w:r>
      <w:r w:rsidRPr="005E2B2D">
        <w:rPr>
          <w:rFonts w:cs="Times New Roman"/>
          <w:noProof/>
          <w:szCs w:val="24"/>
        </w:rPr>
        <w:t xml:space="preserve"> </w:t>
      </w:r>
      <w:r w:rsidRPr="005E2B2D">
        <w:rPr>
          <w:rFonts w:cs="Times New Roman"/>
          <w:b/>
          <w:bCs/>
          <w:noProof/>
          <w:szCs w:val="24"/>
        </w:rPr>
        <w:t>2017</w:t>
      </w:r>
      <w:r w:rsidRPr="005E2B2D">
        <w:rPr>
          <w:rFonts w:cs="Times New Roman"/>
          <w:noProof/>
          <w:szCs w:val="24"/>
        </w:rPr>
        <w:t xml:space="preserve">, </w:t>
      </w:r>
      <w:r w:rsidRPr="005E2B2D">
        <w:rPr>
          <w:rFonts w:cs="Times New Roman"/>
          <w:i/>
          <w:iCs/>
          <w:noProof/>
          <w:szCs w:val="24"/>
        </w:rPr>
        <w:lastRenderedPageBreak/>
        <w:t>117</w:t>
      </w:r>
      <w:r w:rsidRPr="005E2B2D">
        <w:rPr>
          <w:rFonts w:cs="Times New Roman"/>
          <w:noProof/>
          <w:szCs w:val="24"/>
        </w:rPr>
        <w:t>, 294–343.</w:t>
      </w:r>
    </w:p>
    <w:p w14:paraId="5A2F7909"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(11) </w:t>
      </w:r>
      <w:r w:rsidRPr="005E2B2D">
        <w:rPr>
          <w:rFonts w:cs="Times New Roman"/>
          <w:noProof/>
          <w:szCs w:val="24"/>
        </w:rPr>
        <w:tab/>
        <w:t xml:space="preserve">Adolphs, J.; Renger, T. How Proteins Trigger Excitation Energy Transfer in the FMO Complex of Green Sulfur Bacteria. </w:t>
      </w:r>
      <w:r w:rsidRPr="005E2B2D">
        <w:rPr>
          <w:rFonts w:cs="Times New Roman"/>
          <w:i/>
          <w:iCs/>
          <w:noProof/>
          <w:szCs w:val="24"/>
        </w:rPr>
        <w:t>Biophys. J.</w:t>
      </w:r>
      <w:r w:rsidRPr="005E2B2D">
        <w:rPr>
          <w:rFonts w:cs="Times New Roman"/>
          <w:noProof/>
          <w:szCs w:val="24"/>
        </w:rPr>
        <w:t xml:space="preserve"> </w:t>
      </w:r>
      <w:r w:rsidRPr="005E2B2D">
        <w:rPr>
          <w:rFonts w:cs="Times New Roman"/>
          <w:b/>
          <w:bCs/>
          <w:noProof/>
          <w:szCs w:val="24"/>
        </w:rPr>
        <w:t>2006</w:t>
      </w:r>
      <w:r w:rsidRPr="005E2B2D">
        <w:rPr>
          <w:rFonts w:cs="Times New Roman"/>
          <w:noProof/>
          <w:szCs w:val="24"/>
        </w:rPr>
        <w:t xml:space="preserve">, </w:t>
      </w:r>
      <w:r w:rsidRPr="005E2B2D">
        <w:rPr>
          <w:rFonts w:cs="Times New Roman"/>
          <w:i/>
          <w:iCs/>
          <w:noProof/>
          <w:szCs w:val="24"/>
        </w:rPr>
        <w:t>91</w:t>
      </w:r>
      <w:r w:rsidRPr="005E2B2D">
        <w:rPr>
          <w:rFonts w:cs="Times New Roman"/>
          <w:noProof/>
          <w:szCs w:val="24"/>
        </w:rPr>
        <w:t>, 2778–2797.</w:t>
      </w:r>
    </w:p>
    <w:p w14:paraId="6A432E1A"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(12) </w:t>
      </w:r>
      <w:r w:rsidRPr="005E2B2D">
        <w:rPr>
          <w:rFonts w:cs="Times New Roman"/>
          <w:noProof/>
          <w:szCs w:val="24"/>
        </w:rPr>
        <w:tab/>
        <w:t xml:space="preserve">Shim, S.; Rebentrost, P.; Valleau, S.; Aspuru-Guzik, A. Atomistic Study of the Long-Lived Quantum Coherences in the Fenna-Matthews-Olson Complex. </w:t>
      </w:r>
      <w:r w:rsidRPr="005E2B2D">
        <w:rPr>
          <w:rFonts w:cs="Times New Roman"/>
          <w:i/>
          <w:iCs/>
          <w:noProof/>
          <w:szCs w:val="24"/>
        </w:rPr>
        <w:t>Biophys. J.</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102</w:t>
      </w:r>
      <w:r w:rsidRPr="005E2B2D">
        <w:rPr>
          <w:rFonts w:cs="Times New Roman"/>
          <w:noProof/>
          <w:szCs w:val="24"/>
        </w:rPr>
        <w:t>, 649–660.</w:t>
      </w:r>
    </w:p>
    <w:p w14:paraId="2E4C8180"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(13) </w:t>
      </w:r>
      <w:r w:rsidRPr="005E2B2D">
        <w:rPr>
          <w:rFonts w:cs="Times New Roman"/>
          <w:noProof/>
          <w:szCs w:val="24"/>
        </w:rPr>
        <w:tab/>
        <w:t xml:space="preserve">Renger, T.; Klinger, A.; Steinecker, F.; Schmidt am Busch, M.; Numata, J.; Müh, F. Normal Mode Analysis of the Spectral Density of the Fenna–Matthews–Olson Light-Harvesting Protein: How the Protein Dissipates the Excess Energy of Excitons. </w:t>
      </w:r>
      <w:r w:rsidRPr="005E2B2D">
        <w:rPr>
          <w:rFonts w:cs="Times New Roman"/>
          <w:i/>
          <w:iCs/>
          <w:noProof/>
          <w:szCs w:val="24"/>
        </w:rPr>
        <w:t>J. Phys. Chem. B</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116</w:t>
      </w:r>
      <w:r w:rsidRPr="005E2B2D">
        <w:rPr>
          <w:rFonts w:cs="Times New Roman"/>
          <w:noProof/>
          <w:szCs w:val="24"/>
        </w:rPr>
        <w:t>, 14565–14580.</w:t>
      </w:r>
    </w:p>
    <w:p w14:paraId="4810CE1C"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(14) </w:t>
      </w:r>
      <w:r w:rsidRPr="005E2B2D">
        <w:rPr>
          <w:rFonts w:cs="Times New Roman"/>
          <w:noProof/>
          <w:szCs w:val="24"/>
        </w:rPr>
        <w:tab/>
        <w:t xml:space="preserve">Olbrich, C.; Strümpfer, J.; Schulten, K.; Kleinekathöfer, U. Theory and Simulation of the Environmental Effects on FMO Electronic Transitions. </w:t>
      </w:r>
      <w:r w:rsidRPr="005E2B2D">
        <w:rPr>
          <w:rFonts w:cs="Times New Roman"/>
          <w:i/>
          <w:iCs/>
          <w:noProof/>
          <w:szCs w:val="24"/>
        </w:rPr>
        <w:t>J. Phys. Chem. Lett.</w:t>
      </w:r>
      <w:r w:rsidRPr="005E2B2D">
        <w:rPr>
          <w:rFonts w:cs="Times New Roman"/>
          <w:noProof/>
          <w:szCs w:val="24"/>
        </w:rPr>
        <w:t xml:space="preserve"> </w:t>
      </w:r>
      <w:r w:rsidRPr="005E2B2D">
        <w:rPr>
          <w:rFonts w:cs="Times New Roman"/>
          <w:b/>
          <w:bCs/>
          <w:noProof/>
          <w:szCs w:val="24"/>
        </w:rPr>
        <w:t>2011</w:t>
      </w:r>
      <w:r w:rsidRPr="005E2B2D">
        <w:rPr>
          <w:rFonts w:cs="Times New Roman"/>
          <w:noProof/>
          <w:szCs w:val="24"/>
        </w:rPr>
        <w:t xml:space="preserve">, </w:t>
      </w:r>
      <w:r w:rsidRPr="005E2B2D">
        <w:rPr>
          <w:rFonts w:cs="Times New Roman"/>
          <w:i/>
          <w:iCs/>
          <w:noProof/>
          <w:szCs w:val="24"/>
        </w:rPr>
        <w:t>2</w:t>
      </w:r>
      <w:r w:rsidRPr="005E2B2D">
        <w:rPr>
          <w:rFonts w:cs="Times New Roman"/>
          <w:noProof/>
          <w:szCs w:val="24"/>
        </w:rPr>
        <w:t>, 1771–1776.</w:t>
      </w:r>
    </w:p>
    <w:p w14:paraId="47BFF45E"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(15) </w:t>
      </w:r>
      <w:r w:rsidRPr="005E2B2D">
        <w:rPr>
          <w:rFonts w:cs="Times New Roman"/>
          <w:noProof/>
          <w:szCs w:val="24"/>
        </w:rPr>
        <w:tab/>
        <w:t xml:space="preserve">Olbrich, C.; Kleinekathöfer, U. Time-Dependent Atomistic View on the Electronic Relaxation in Light-Harvesting System II. </w:t>
      </w:r>
      <w:r w:rsidRPr="005E2B2D">
        <w:rPr>
          <w:rFonts w:cs="Times New Roman"/>
          <w:i/>
          <w:iCs/>
          <w:noProof/>
          <w:szCs w:val="24"/>
        </w:rPr>
        <w:t>J. Phys. Chem. B</w:t>
      </w:r>
      <w:r w:rsidRPr="005E2B2D">
        <w:rPr>
          <w:rFonts w:cs="Times New Roman"/>
          <w:noProof/>
          <w:szCs w:val="24"/>
        </w:rPr>
        <w:t xml:space="preserve"> </w:t>
      </w:r>
      <w:r w:rsidRPr="005E2B2D">
        <w:rPr>
          <w:rFonts w:cs="Times New Roman"/>
          <w:b/>
          <w:bCs/>
          <w:noProof/>
          <w:szCs w:val="24"/>
        </w:rPr>
        <w:t>2010</w:t>
      </w:r>
      <w:r w:rsidRPr="005E2B2D">
        <w:rPr>
          <w:rFonts w:cs="Times New Roman"/>
          <w:noProof/>
          <w:szCs w:val="24"/>
        </w:rPr>
        <w:t xml:space="preserve">, </w:t>
      </w:r>
      <w:r w:rsidRPr="005E2B2D">
        <w:rPr>
          <w:rFonts w:cs="Times New Roman"/>
          <w:i/>
          <w:iCs/>
          <w:noProof/>
          <w:szCs w:val="24"/>
        </w:rPr>
        <w:t>114</w:t>
      </w:r>
      <w:r w:rsidRPr="005E2B2D">
        <w:rPr>
          <w:rFonts w:cs="Times New Roman"/>
          <w:noProof/>
          <w:szCs w:val="24"/>
        </w:rPr>
        <w:t>, 12427–12437.</w:t>
      </w:r>
    </w:p>
    <w:p w14:paraId="2A0E9F14"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(16) </w:t>
      </w:r>
      <w:r w:rsidRPr="005E2B2D">
        <w:rPr>
          <w:rFonts w:cs="Times New Roman"/>
          <w:noProof/>
          <w:szCs w:val="24"/>
        </w:rPr>
        <w:tab/>
        <w:t xml:space="preserve">Lee, M. K.; Coker, D. F. Modeling Electronic-Nuclear Interactions for Excitation Energy Transfer Processes in Light-Harvesting Complexes. </w:t>
      </w:r>
      <w:r w:rsidRPr="005E2B2D">
        <w:rPr>
          <w:rFonts w:cs="Times New Roman"/>
          <w:i/>
          <w:iCs/>
          <w:noProof/>
          <w:szCs w:val="24"/>
        </w:rPr>
        <w:t>J. Phys. Chem. Lett.</w:t>
      </w:r>
      <w:r w:rsidRPr="005E2B2D">
        <w:rPr>
          <w:rFonts w:cs="Times New Roman"/>
          <w:noProof/>
          <w:szCs w:val="24"/>
        </w:rPr>
        <w:t xml:space="preserve"> </w:t>
      </w:r>
      <w:r w:rsidRPr="005E2B2D">
        <w:rPr>
          <w:rFonts w:cs="Times New Roman"/>
          <w:b/>
          <w:bCs/>
          <w:noProof/>
          <w:szCs w:val="24"/>
        </w:rPr>
        <w:t>2016</w:t>
      </w:r>
      <w:r w:rsidRPr="005E2B2D">
        <w:rPr>
          <w:rFonts w:cs="Times New Roman"/>
          <w:noProof/>
          <w:szCs w:val="24"/>
        </w:rPr>
        <w:t xml:space="preserve">, </w:t>
      </w:r>
      <w:r w:rsidRPr="005E2B2D">
        <w:rPr>
          <w:rFonts w:cs="Times New Roman"/>
          <w:i/>
          <w:iCs/>
          <w:noProof/>
          <w:szCs w:val="24"/>
        </w:rPr>
        <w:t>7</w:t>
      </w:r>
      <w:r w:rsidRPr="005E2B2D">
        <w:rPr>
          <w:rFonts w:cs="Times New Roman"/>
          <w:noProof/>
          <w:szCs w:val="24"/>
        </w:rPr>
        <w:t>, 3171–3178.</w:t>
      </w:r>
    </w:p>
    <w:p w14:paraId="0DF98F72"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(17) </w:t>
      </w:r>
      <w:r w:rsidRPr="005E2B2D">
        <w:rPr>
          <w:rFonts w:cs="Times New Roman"/>
          <w:noProof/>
          <w:szCs w:val="24"/>
        </w:rPr>
        <w:tab/>
        <w:t xml:space="preserve">Valleau, S.; Eisfeld, A.; Aspuru-Guzik, A. On the Alternatives for Bath Correlators and Spectral Densities from Mixed Quantum-Classical Simulations. </w:t>
      </w:r>
      <w:r w:rsidRPr="005E2B2D">
        <w:rPr>
          <w:rFonts w:cs="Times New Roman"/>
          <w:i/>
          <w:iCs/>
          <w:noProof/>
          <w:szCs w:val="24"/>
        </w:rPr>
        <w:t>J. Chem. Phys.</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137</w:t>
      </w:r>
      <w:r w:rsidRPr="005E2B2D">
        <w:rPr>
          <w:rFonts w:cs="Times New Roman"/>
          <w:noProof/>
          <w:szCs w:val="24"/>
        </w:rPr>
        <w:t>, 224103.</w:t>
      </w:r>
    </w:p>
    <w:p w14:paraId="3A00BF56"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(18) </w:t>
      </w:r>
      <w:r w:rsidRPr="005E2B2D">
        <w:rPr>
          <w:rFonts w:cs="Times New Roman"/>
          <w:noProof/>
          <w:szCs w:val="24"/>
        </w:rPr>
        <w:tab/>
        <w:t xml:space="preserve">Mackerell, A. D.; Brooks, B.; Brooks III, C. L.; Nilsson, L.; Roux, B.; Won, Y.; Karplus, M. </w:t>
      </w:r>
      <w:r w:rsidRPr="005E2B2D">
        <w:rPr>
          <w:rFonts w:cs="Times New Roman"/>
          <w:i/>
          <w:iCs/>
          <w:noProof/>
          <w:szCs w:val="24"/>
        </w:rPr>
        <w:t>Encyclopedia of Computational Chemistry</w:t>
      </w:r>
      <w:r w:rsidRPr="005E2B2D">
        <w:rPr>
          <w:rFonts w:cs="Times New Roman"/>
          <w:noProof/>
          <w:szCs w:val="24"/>
        </w:rPr>
        <w:t>; 1998.</w:t>
      </w:r>
    </w:p>
    <w:p w14:paraId="49B9258D"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(19) </w:t>
      </w:r>
      <w:r w:rsidRPr="005E2B2D">
        <w:rPr>
          <w:rFonts w:cs="Times New Roman"/>
          <w:noProof/>
          <w:szCs w:val="24"/>
        </w:rPr>
        <w:tab/>
        <w:t xml:space="preserve">Ponder, J. W.; Case, D. A. Force Fields for Protein Simulations. </w:t>
      </w:r>
      <w:r w:rsidRPr="005E2B2D">
        <w:rPr>
          <w:rFonts w:cs="Times New Roman"/>
          <w:i/>
          <w:iCs/>
          <w:noProof/>
          <w:szCs w:val="24"/>
        </w:rPr>
        <w:t>Adv. Protein Chem.</w:t>
      </w:r>
      <w:r w:rsidRPr="005E2B2D">
        <w:rPr>
          <w:rFonts w:cs="Times New Roman"/>
          <w:noProof/>
          <w:szCs w:val="24"/>
        </w:rPr>
        <w:t xml:space="preserve"> </w:t>
      </w:r>
      <w:r w:rsidRPr="005E2B2D">
        <w:rPr>
          <w:rFonts w:cs="Times New Roman"/>
          <w:b/>
          <w:bCs/>
          <w:noProof/>
          <w:szCs w:val="24"/>
        </w:rPr>
        <w:t>2003</w:t>
      </w:r>
      <w:r w:rsidRPr="005E2B2D">
        <w:rPr>
          <w:rFonts w:cs="Times New Roman"/>
          <w:noProof/>
          <w:szCs w:val="24"/>
        </w:rPr>
        <w:t xml:space="preserve">, </w:t>
      </w:r>
      <w:r w:rsidRPr="005E2B2D">
        <w:rPr>
          <w:rFonts w:cs="Times New Roman"/>
          <w:i/>
          <w:iCs/>
          <w:noProof/>
          <w:szCs w:val="24"/>
        </w:rPr>
        <w:t>66</w:t>
      </w:r>
      <w:r w:rsidRPr="005E2B2D">
        <w:rPr>
          <w:rFonts w:cs="Times New Roman"/>
          <w:noProof/>
          <w:szCs w:val="24"/>
        </w:rPr>
        <w:t>, 27–85.</w:t>
      </w:r>
    </w:p>
    <w:p w14:paraId="5EE26DDC"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(20) </w:t>
      </w:r>
      <w:r w:rsidRPr="005E2B2D">
        <w:rPr>
          <w:rFonts w:cs="Times New Roman"/>
          <w:noProof/>
          <w:szCs w:val="24"/>
        </w:rPr>
        <w:tab/>
        <w:t xml:space="preserve">Vanommeslaeghe, K.; Hatcher, E.; Acharya, C.; Kundu, S.; Zhong, S.; Shim, J.; Darian, E.; Guvench, O.; Lopes, P.; Vorobyov, I.; et al. CHARMM General Force Field: A Force Field for Drug-like Molecules Compatible with the CHARMM All-Atom Additive Biological Force Fields. </w:t>
      </w:r>
      <w:r w:rsidRPr="005E2B2D">
        <w:rPr>
          <w:rFonts w:cs="Times New Roman"/>
          <w:i/>
          <w:iCs/>
          <w:noProof/>
          <w:szCs w:val="24"/>
        </w:rPr>
        <w:t>J. Comput. Chem.</w:t>
      </w:r>
      <w:r w:rsidRPr="005E2B2D">
        <w:rPr>
          <w:rFonts w:cs="Times New Roman"/>
          <w:noProof/>
          <w:szCs w:val="24"/>
        </w:rPr>
        <w:t xml:space="preserve"> </w:t>
      </w:r>
      <w:r w:rsidRPr="005E2B2D">
        <w:rPr>
          <w:rFonts w:cs="Times New Roman"/>
          <w:b/>
          <w:bCs/>
          <w:noProof/>
          <w:szCs w:val="24"/>
        </w:rPr>
        <w:t>2009</w:t>
      </w:r>
      <w:r w:rsidRPr="005E2B2D">
        <w:rPr>
          <w:rFonts w:cs="Times New Roman"/>
          <w:noProof/>
          <w:szCs w:val="24"/>
        </w:rPr>
        <w:t xml:space="preserve">, </w:t>
      </w:r>
      <w:r w:rsidRPr="005E2B2D">
        <w:rPr>
          <w:rFonts w:cs="Times New Roman"/>
          <w:i/>
          <w:iCs/>
          <w:noProof/>
          <w:szCs w:val="24"/>
        </w:rPr>
        <w:t>31</w:t>
      </w:r>
      <w:r w:rsidRPr="005E2B2D">
        <w:rPr>
          <w:rFonts w:cs="Times New Roman"/>
          <w:noProof/>
          <w:szCs w:val="24"/>
        </w:rPr>
        <w:t>, NA-NA.</w:t>
      </w:r>
    </w:p>
    <w:p w14:paraId="2F9D7062"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(21) </w:t>
      </w:r>
      <w:r w:rsidRPr="005E2B2D">
        <w:rPr>
          <w:rFonts w:cs="Times New Roman"/>
          <w:noProof/>
          <w:szCs w:val="24"/>
        </w:rPr>
        <w:tab/>
        <w:t xml:space="preserve">Wang, J.; Wolf, R. M.; Caldwell, J. W.; Kollman, P. A.; Case, D. A. Development and Testing of a General Amber Force Field. </w:t>
      </w:r>
      <w:r w:rsidRPr="005E2B2D">
        <w:rPr>
          <w:rFonts w:cs="Times New Roman"/>
          <w:i/>
          <w:iCs/>
          <w:noProof/>
          <w:szCs w:val="24"/>
        </w:rPr>
        <w:t>J. Comput. Chem.</w:t>
      </w:r>
      <w:r w:rsidRPr="005E2B2D">
        <w:rPr>
          <w:rFonts w:cs="Times New Roman"/>
          <w:noProof/>
          <w:szCs w:val="24"/>
        </w:rPr>
        <w:t xml:space="preserve"> </w:t>
      </w:r>
      <w:r w:rsidRPr="005E2B2D">
        <w:rPr>
          <w:rFonts w:cs="Times New Roman"/>
          <w:b/>
          <w:bCs/>
          <w:noProof/>
          <w:szCs w:val="24"/>
        </w:rPr>
        <w:t>2004</w:t>
      </w:r>
      <w:r w:rsidRPr="005E2B2D">
        <w:rPr>
          <w:rFonts w:cs="Times New Roman"/>
          <w:noProof/>
          <w:szCs w:val="24"/>
        </w:rPr>
        <w:t xml:space="preserve">, </w:t>
      </w:r>
      <w:r w:rsidRPr="005E2B2D">
        <w:rPr>
          <w:rFonts w:cs="Times New Roman"/>
          <w:i/>
          <w:iCs/>
          <w:noProof/>
          <w:szCs w:val="24"/>
        </w:rPr>
        <w:t>25</w:t>
      </w:r>
      <w:r w:rsidRPr="005E2B2D">
        <w:rPr>
          <w:rFonts w:cs="Times New Roman"/>
          <w:noProof/>
          <w:szCs w:val="24"/>
        </w:rPr>
        <w:t>, 1157–1174.</w:t>
      </w:r>
    </w:p>
    <w:p w14:paraId="45ED22D0"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(22) </w:t>
      </w:r>
      <w:r w:rsidRPr="005E2B2D">
        <w:rPr>
          <w:rFonts w:cs="Times New Roman"/>
          <w:noProof/>
          <w:szCs w:val="24"/>
        </w:rPr>
        <w:tab/>
        <w:t xml:space="preserve">Huang, L.; Roux, B. Automated Force Field Parameterization for Nonpolarizable and Polarizable Atomic Models Based on Ab Initio Target Data.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2013</w:t>
      </w:r>
      <w:r w:rsidRPr="005E2B2D">
        <w:rPr>
          <w:rFonts w:cs="Times New Roman"/>
          <w:noProof/>
          <w:szCs w:val="24"/>
        </w:rPr>
        <w:t xml:space="preserve">, </w:t>
      </w:r>
      <w:r w:rsidRPr="005E2B2D">
        <w:rPr>
          <w:rFonts w:cs="Times New Roman"/>
          <w:i/>
          <w:iCs/>
          <w:noProof/>
          <w:szCs w:val="24"/>
        </w:rPr>
        <w:t>9</w:t>
      </w:r>
      <w:r w:rsidRPr="005E2B2D">
        <w:rPr>
          <w:rFonts w:cs="Times New Roman"/>
          <w:noProof/>
          <w:szCs w:val="24"/>
        </w:rPr>
        <w:t>, 3543–3556.</w:t>
      </w:r>
    </w:p>
    <w:p w14:paraId="355D5CC8"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(23) </w:t>
      </w:r>
      <w:r w:rsidRPr="005E2B2D">
        <w:rPr>
          <w:rFonts w:cs="Times New Roman"/>
          <w:noProof/>
          <w:szCs w:val="24"/>
        </w:rPr>
        <w:tab/>
        <w:t xml:space="preserve">Burger, S. K.; Lacasse, M.; Verstraelen, T.; Drewry, J.; Gunning, P.; Ayers, P. W. Automated </w:t>
      </w:r>
      <w:r w:rsidRPr="005E2B2D">
        <w:rPr>
          <w:rFonts w:cs="Times New Roman"/>
          <w:noProof/>
          <w:szCs w:val="24"/>
        </w:rPr>
        <w:lastRenderedPageBreak/>
        <w:t xml:space="preserve">Parametrization of AMBER Force Field Terms from Vibrational Analysis with a Focus on Functionalizing Dinuclear Zinc(II) Scaffolds.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8</w:t>
      </w:r>
      <w:r w:rsidRPr="005E2B2D">
        <w:rPr>
          <w:rFonts w:cs="Times New Roman"/>
          <w:noProof/>
          <w:szCs w:val="24"/>
        </w:rPr>
        <w:t>, 554–562.</w:t>
      </w:r>
    </w:p>
    <w:p w14:paraId="59BD289D"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(24) </w:t>
      </w:r>
      <w:r w:rsidRPr="005E2B2D">
        <w:rPr>
          <w:rFonts w:cs="Times New Roman"/>
          <w:noProof/>
          <w:szCs w:val="24"/>
        </w:rPr>
        <w:tab/>
        <w:t xml:space="preserve">Cacelli, I.; Prampolini, G. Parametrization and Validation of Intramolecular Force Fields Derived from DFT Calculations.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2007</w:t>
      </w:r>
      <w:r w:rsidRPr="005E2B2D">
        <w:rPr>
          <w:rFonts w:cs="Times New Roman"/>
          <w:noProof/>
          <w:szCs w:val="24"/>
        </w:rPr>
        <w:t xml:space="preserve">, </w:t>
      </w:r>
      <w:r w:rsidRPr="005E2B2D">
        <w:rPr>
          <w:rFonts w:cs="Times New Roman"/>
          <w:i/>
          <w:iCs/>
          <w:noProof/>
          <w:szCs w:val="24"/>
        </w:rPr>
        <w:t>3</w:t>
      </w:r>
      <w:r w:rsidRPr="005E2B2D">
        <w:rPr>
          <w:rFonts w:cs="Times New Roman"/>
          <w:noProof/>
          <w:szCs w:val="24"/>
        </w:rPr>
        <w:t>, 1803–1817.</w:t>
      </w:r>
    </w:p>
    <w:p w14:paraId="48CC0592"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(25) </w:t>
      </w:r>
      <w:r w:rsidRPr="005E2B2D">
        <w:rPr>
          <w:rFonts w:cs="Times New Roman"/>
          <w:noProof/>
          <w:szCs w:val="24"/>
        </w:rPr>
        <w:tab/>
        <w:t xml:space="preserve">Cacelli, I.; Cimoli, A.; Livotto, P. R.; Prampolini, G. An Automated Approach for the Parameterization of Accurate Intermolecular Force-Fields: Pyridine as a Case Study. </w:t>
      </w:r>
      <w:r w:rsidRPr="005E2B2D">
        <w:rPr>
          <w:rFonts w:cs="Times New Roman"/>
          <w:i/>
          <w:iCs/>
          <w:noProof/>
          <w:szCs w:val="24"/>
        </w:rPr>
        <w:t>J. Comput. Chem.</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33</w:t>
      </w:r>
      <w:r w:rsidRPr="005E2B2D">
        <w:rPr>
          <w:rFonts w:cs="Times New Roman"/>
          <w:noProof/>
          <w:szCs w:val="24"/>
        </w:rPr>
        <w:t>, 1055–1067.</w:t>
      </w:r>
    </w:p>
    <w:p w14:paraId="55FE9984"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(26) </w:t>
      </w:r>
      <w:r w:rsidRPr="005E2B2D">
        <w:rPr>
          <w:rFonts w:cs="Times New Roman"/>
          <w:noProof/>
          <w:szCs w:val="24"/>
        </w:rPr>
        <w:tab/>
        <w:t xml:space="preserve">Grimme, S. A General Quantum Mechanically Derived Force Field (QMDFF) for Molecules and Condensed Phase Simulations.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2014</w:t>
      </w:r>
      <w:r w:rsidRPr="005E2B2D">
        <w:rPr>
          <w:rFonts w:cs="Times New Roman"/>
          <w:noProof/>
          <w:szCs w:val="24"/>
        </w:rPr>
        <w:t xml:space="preserve">, </w:t>
      </w:r>
      <w:r w:rsidRPr="005E2B2D">
        <w:rPr>
          <w:rFonts w:cs="Times New Roman"/>
          <w:i/>
          <w:iCs/>
          <w:noProof/>
          <w:szCs w:val="24"/>
        </w:rPr>
        <w:t>10</w:t>
      </w:r>
      <w:r w:rsidRPr="005E2B2D">
        <w:rPr>
          <w:rFonts w:cs="Times New Roman"/>
          <w:noProof/>
          <w:szCs w:val="24"/>
        </w:rPr>
        <w:t>, 4497–4514.</w:t>
      </w:r>
    </w:p>
    <w:p w14:paraId="235430E0"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(27) </w:t>
      </w:r>
      <w:r w:rsidRPr="005E2B2D">
        <w:rPr>
          <w:rFonts w:cs="Times New Roman"/>
          <w:noProof/>
          <w:szCs w:val="24"/>
        </w:rPr>
        <w:tab/>
        <w:t xml:space="preserve">Wang, L.-P.; Martinez, T. J.; Pande, V. S. Building Force Fields: An Automatic, Systematic, and Reproducible Approach. </w:t>
      </w:r>
      <w:r w:rsidRPr="005E2B2D">
        <w:rPr>
          <w:rFonts w:cs="Times New Roman"/>
          <w:i/>
          <w:iCs/>
          <w:noProof/>
          <w:szCs w:val="24"/>
        </w:rPr>
        <w:t>J. Phys. Chem. Lett.</w:t>
      </w:r>
      <w:r w:rsidRPr="005E2B2D">
        <w:rPr>
          <w:rFonts w:cs="Times New Roman"/>
          <w:noProof/>
          <w:szCs w:val="24"/>
        </w:rPr>
        <w:t xml:space="preserve"> </w:t>
      </w:r>
      <w:r w:rsidRPr="005E2B2D">
        <w:rPr>
          <w:rFonts w:cs="Times New Roman"/>
          <w:b/>
          <w:bCs/>
          <w:noProof/>
          <w:szCs w:val="24"/>
        </w:rPr>
        <w:t>2014</w:t>
      </w:r>
      <w:r w:rsidRPr="005E2B2D">
        <w:rPr>
          <w:rFonts w:cs="Times New Roman"/>
          <w:noProof/>
          <w:szCs w:val="24"/>
        </w:rPr>
        <w:t xml:space="preserve">, </w:t>
      </w:r>
      <w:r w:rsidRPr="005E2B2D">
        <w:rPr>
          <w:rFonts w:cs="Times New Roman"/>
          <w:i/>
          <w:iCs/>
          <w:noProof/>
          <w:szCs w:val="24"/>
        </w:rPr>
        <w:t>5</w:t>
      </w:r>
      <w:r w:rsidRPr="005E2B2D">
        <w:rPr>
          <w:rFonts w:cs="Times New Roman"/>
          <w:noProof/>
          <w:szCs w:val="24"/>
        </w:rPr>
        <w:t>, 1885–1891.</w:t>
      </w:r>
    </w:p>
    <w:p w14:paraId="6FE3C5A2"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(28) </w:t>
      </w:r>
      <w:r w:rsidRPr="005E2B2D">
        <w:rPr>
          <w:rFonts w:cs="Times New Roman"/>
          <w:noProof/>
          <w:szCs w:val="24"/>
        </w:rPr>
        <w:tab/>
        <w:t xml:space="preserve">Wang, L.-P.; McKiernan, K. A.; Gomes, J.; Beauchamp, K. A.; Head-Gordon, T.; Rice, J. E.; Swope, W. C.; Martínez, T. J.; Pande, V. S. Building a More Predictive Protein Force Field: A Systematic and Reproducible Route to AMBER-FB15. </w:t>
      </w:r>
      <w:r w:rsidRPr="005E2B2D">
        <w:rPr>
          <w:rFonts w:cs="Times New Roman"/>
          <w:i/>
          <w:iCs/>
          <w:noProof/>
          <w:szCs w:val="24"/>
        </w:rPr>
        <w:t>J. Phys. Chem. B</w:t>
      </w:r>
      <w:r w:rsidRPr="005E2B2D">
        <w:rPr>
          <w:rFonts w:cs="Times New Roman"/>
          <w:noProof/>
          <w:szCs w:val="24"/>
        </w:rPr>
        <w:t xml:space="preserve"> </w:t>
      </w:r>
      <w:r w:rsidRPr="005E2B2D">
        <w:rPr>
          <w:rFonts w:cs="Times New Roman"/>
          <w:b/>
          <w:bCs/>
          <w:noProof/>
          <w:szCs w:val="24"/>
        </w:rPr>
        <w:t>2017</w:t>
      </w:r>
      <w:r w:rsidRPr="005E2B2D">
        <w:rPr>
          <w:rFonts w:cs="Times New Roman"/>
          <w:noProof/>
          <w:szCs w:val="24"/>
        </w:rPr>
        <w:t xml:space="preserve">, </w:t>
      </w:r>
      <w:r w:rsidRPr="005E2B2D">
        <w:rPr>
          <w:rFonts w:cs="Times New Roman"/>
          <w:i/>
          <w:iCs/>
          <w:noProof/>
          <w:szCs w:val="24"/>
        </w:rPr>
        <w:t>121</w:t>
      </w:r>
      <w:r w:rsidRPr="005E2B2D">
        <w:rPr>
          <w:rFonts w:cs="Times New Roman"/>
          <w:noProof/>
          <w:szCs w:val="24"/>
        </w:rPr>
        <w:t>, 4023–4039.</w:t>
      </w:r>
    </w:p>
    <w:p w14:paraId="1021C3E7"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(29) </w:t>
      </w:r>
      <w:r w:rsidRPr="005E2B2D">
        <w:rPr>
          <w:rFonts w:cs="Times New Roman"/>
          <w:noProof/>
          <w:szCs w:val="24"/>
        </w:rPr>
        <w:tab/>
        <w:t xml:space="preserve">Mayne, C. G.; Saam, J.; Schulten, K.; Tajkhorshid, E.; Gumbart, J. C. Rapid Parameterization of Small Molecules Using the Force Field Toolkit. </w:t>
      </w:r>
      <w:r w:rsidRPr="005E2B2D">
        <w:rPr>
          <w:rFonts w:cs="Times New Roman"/>
          <w:i/>
          <w:iCs/>
          <w:noProof/>
          <w:szCs w:val="24"/>
        </w:rPr>
        <w:t>J. Comput. Chem.</w:t>
      </w:r>
      <w:r w:rsidRPr="005E2B2D">
        <w:rPr>
          <w:rFonts w:cs="Times New Roman"/>
          <w:noProof/>
          <w:szCs w:val="24"/>
        </w:rPr>
        <w:t xml:space="preserve"> </w:t>
      </w:r>
      <w:r w:rsidRPr="005E2B2D">
        <w:rPr>
          <w:rFonts w:cs="Times New Roman"/>
          <w:b/>
          <w:bCs/>
          <w:noProof/>
          <w:szCs w:val="24"/>
        </w:rPr>
        <w:t>2013</w:t>
      </w:r>
      <w:r w:rsidRPr="005E2B2D">
        <w:rPr>
          <w:rFonts w:cs="Times New Roman"/>
          <w:noProof/>
          <w:szCs w:val="24"/>
        </w:rPr>
        <w:t xml:space="preserve">, </w:t>
      </w:r>
      <w:r w:rsidRPr="005E2B2D">
        <w:rPr>
          <w:rFonts w:cs="Times New Roman"/>
          <w:i/>
          <w:iCs/>
          <w:noProof/>
          <w:szCs w:val="24"/>
        </w:rPr>
        <w:t>34</w:t>
      </w:r>
      <w:r w:rsidRPr="005E2B2D">
        <w:rPr>
          <w:rFonts w:cs="Times New Roman"/>
          <w:noProof/>
          <w:szCs w:val="24"/>
        </w:rPr>
        <w:t>, 2757–2770.</w:t>
      </w:r>
    </w:p>
    <w:p w14:paraId="7A6525B1"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(30) </w:t>
      </w:r>
      <w:r w:rsidRPr="005E2B2D">
        <w:rPr>
          <w:rFonts w:cs="Times New Roman"/>
          <w:noProof/>
          <w:szCs w:val="24"/>
        </w:rPr>
        <w:tab/>
        <w:t xml:space="preserve">Vanduyfhuys, L.; Vandenbrande, S.; Verstraelen, T.; Schmid, R.; Waroquier, M.; Van Speybroeck, V. QuickFF: A Program for a Quick and Easy Derivation of Force Fields for Metal-Organic Frameworks from </w:t>
      </w:r>
      <w:r w:rsidRPr="005E2B2D">
        <w:rPr>
          <w:rFonts w:cs="Times New Roman"/>
          <w:i/>
          <w:iCs/>
          <w:noProof/>
          <w:szCs w:val="24"/>
        </w:rPr>
        <w:t>Ab Initio</w:t>
      </w:r>
      <w:r w:rsidRPr="005E2B2D">
        <w:rPr>
          <w:rFonts w:cs="Times New Roman"/>
          <w:noProof/>
          <w:szCs w:val="24"/>
        </w:rPr>
        <w:t xml:space="preserve"> Input. </w:t>
      </w:r>
      <w:r w:rsidRPr="005E2B2D">
        <w:rPr>
          <w:rFonts w:cs="Times New Roman"/>
          <w:i/>
          <w:iCs/>
          <w:noProof/>
          <w:szCs w:val="24"/>
        </w:rPr>
        <w:t>J. Comput. Chem.</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36</w:t>
      </w:r>
      <w:r w:rsidRPr="005E2B2D">
        <w:rPr>
          <w:rFonts w:cs="Times New Roman"/>
          <w:noProof/>
          <w:szCs w:val="24"/>
        </w:rPr>
        <w:t>, 1015–1027.</w:t>
      </w:r>
    </w:p>
    <w:p w14:paraId="15640106"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(31) </w:t>
      </w:r>
      <w:r w:rsidRPr="005E2B2D">
        <w:rPr>
          <w:rFonts w:cs="Times New Roman"/>
          <w:noProof/>
          <w:szCs w:val="24"/>
        </w:rPr>
        <w:tab/>
        <w:t xml:space="preserve">Ceccarelli, M.; Procacci, P.; Marchi, M. An Ab Initio Force Field for the Cofactors of Bacterial Photosynthesis. </w:t>
      </w:r>
      <w:r w:rsidRPr="005E2B2D">
        <w:rPr>
          <w:rFonts w:cs="Times New Roman"/>
          <w:i/>
          <w:iCs/>
          <w:noProof/>
          <w:szCs w:val="24"/>
        </w:rPr>
        <w:t>J. Comput. Chem.</w:t>
      </w:r>
      <w:r w:rsidRPr="005E2B2D">
        <w:rPr>
          <w:rFonts w:cs="Times New Roman"/>
          <w:noProof/>
          <w:szCs w:val="24"/>
        </w:rPr>
        <w:t xml:space="preserve"> </w:t>
      </w:r>
      <w:r w:rsidRPr="005E2B2D">
        <w:rPr>
          <w:rFonts w:cs="Times New Roman"/>
          <w:b/>
          <w:bCs/>
          <w:noProof/>
          <w:szCs w:val="24"/>
        </w:rPr>
        <w:t>2003</w:t>
      </w:r>
      <w:r w:rsidRPr="005E2B2D">
        <w:rPr>
          <w:rFonts w:cs="Times New Roman"/>
          <w:noProof/>
          <w:szCs w:val="24"/>
        </w:rPr>
        <w:t xml:space="preserve">, </w:t>
      </w:r>
      <w:r w:rsidRPr="005E2B2D">
        <w:rPr>
          <w:rFonts w:cs="Times New Roman"/>
          <w:i/>
          <w:iCs/>
          <w:noProof/>
          <w:szCs w:val="24"/>
        </w:rPr>
        <w:t>24</w:t>
      </w:r>
      <w:r w:rsidRPr="005E2B2D">
        <w:rPr>
          <w:rFonts w:cs="Times New Roman"/>
          <w:noProof/>
          <w:szCs w:val="24"/>
        </w:rPr>
        <w:t>, 129–142.</w:t>
      </w:r>
    </w:p>
    <w:p w14:paraId="3887F143"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(32) </w:t>
      </w:r>
      <w:r w:rsidRPr="005E2B2D">
        <w:rPr>
          <w:rFonts w:cs="Times New Roman"/>
          <w:noProof/>
          <w:szCs w:val="24"/>
        </w:rPr>
        <w:tab/>
        <w:t xml:space="preserve">Palencar, P.; Vacha, F.; Kuty, M. Force Field Development on Pigments of Photosystem 2 Reaction Centre. </w:t>
      </w:r>
      <w:r w:rsidRPr="005E2B2D">
        <w:rPr>
          <w:rFonts w:cs="Times New Roman"/>
          <w:i/>
          <w:iCs/>
          <w:noProof/>
          <w:szCs w:val="24"/>
        </w:rPr>
        <w:t>Photosynthetica</w:t>
      </w:r>
      <w:r w:rsidRPr="005E2B2D">
        <w:rPr>
          <w:rFonts w:cs="Times New Roman"/>
          <w:noProof/>
          <w:szCs w:val="24"/>
        </w:rPr>
        <w:t xml:space="preserve"> </w:t>
      </w:r>
      <w:r w:rsidRPr="005E2B2D">
        <w:rPr>
          <w:rFonts w:cs="Times New Roman"/>
          <w:b/>
          <w:bCs/>
          <w:noProof/>
          <w:szCs w:val="24"/>
        </w:rPr>
        <w:t>2005</w:t>
      </w:r>
      <w:r w:rsidRPr="005E2B2D">
        <w:rPr>
          <w:rFonts w:cs="Times New Roman"/>
          <w:noProof/>
          <w:szCs w:val="24"/>
        </w:rPr>
        <w:t xml:space="preserve">, </w:t>
      </w:r>
      <w:r w:rsidRPr="005E2B2D">
        <w:rPr>
          <w:rFonts w:cs="Times New Roman"/>
          <w:i/>
          <w:iCs/>
          <w:noProof/>
          <w:szCs w:val="24"/>
        </w:rPr>
        <w:t>43</w:t>
      </w:r>
      <w:r w:rsidRPr="005E2B2D">
        <w:rPr>
          <w:rFonts w:cs="Times New Roman"/>
          <w:noProof/>
          <w:szCs w:val="24"/>
        </w:rPr>
        <w:t>, 417–420.</w:t>
      </w:r>
    </w:p>
    <w:p w14:paraId="523F6604"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(33) </w:t>
      </w:r>
      <w:r w:rsidRPr="005E2B2D">
        <w:rPr>
          <w:rFonts w:cs="Times New Roman"/>
          <w:noProof/>
          <w:szCs w:val="24"/>
        </w:rPr>
        <w:tab/>
        <w:t xml:space="preserve">Renger, T.; Klinger, A.; Steinecker, F.; Schmidt am Busch, M.; Numata, J.; Müh, F. Normal Mode Analysis of the Spectral Density of the Fenna-Matthews-Olson Light-Harvesting Protein: How the Protein Dissipates the Excess Energy of Excitons. </w:t>
      </w:r>
      <w:r w:rsidRPr="005E2B2D">
        <w:rPr>
          <w:rFonts w:cs="Times New Roman"/>
          <w:i/>
          <w:iCs/>
          <w:noProof/>
          <w:szCs w:val="24"/>
        </w:rPr>
        <w:t>J. Phys. Chem. B</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116</w:t>
      </w:r>
      <w:r w:rsidRPr="005E2B2D">
        <w:rPr>
          <w:rFonts w:cs="Times New Roman"/>
          <w:noProof/>
          <w:szCs w:val="24"/>
        </w:rPr>
        <w:t>, 14565–14580.</w:t>
      </w:r>
    </w:p>
    <w:p w14:paraId="653976A6"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(34) </w:t>
      </w:r>
      <w:r w:rsidRPr="005E2B2D">
        <w:rPr>
          <w:rFonts w:cs="Times New Roman"/>
          <w:noProof/>
          <w:szCs w:val="24"/>
        </w:rPr>
        <w:tab/>
        <w:t xml:space="preserve">Markovich, T.; Blau, S. M.; Parkhill, J.; Kreisbeck, C.; Sanders, J. N.; Andrade, X.; Aspuru-Guzik, A. Accelerating the Computation of Bath Spectral Densities with Super-Resolution. </w:t>
      </w:r>
      <w:r w:rsidRPr="005E2B2D">
        <w:rPr>
          <w:rFonts w:cs="Times New Roman"/>
          <w:i/>
          <w:iCs/>
          <w:noProof/>
          <w:szCs w:val="24"/>
        </w:rPr>
        <w:t>Theor. Chem. Acc.</w:t>
      </w:r>
      <w:r w:rsidRPr="005E2B2D">
        <w:rPr>
          <w:rFonts w:cs="Times New Roman"/>
          <w:noProof/>
          <w:szCs w:val="24"/>
        </w:rPr>
        <w:t xml:space="preserve"> </w:t>
      </w:r>
      <w:r w:rsidRPr="005E2B2D">
        <w:rPr>
          <w:rFonts w:cs="Times New Roman"/>
          <w:b/>
          <w:bCs/>
          <w:noProof/>
          <w:szCs w:val="24"/>
        </w:rPr>
        <w:t>2016</w:t>
      </w:r>
      <w:r w:rsidRPr="005E2B2D">
        <w:rPr>
          <w:rFonts w:cs="Times New Roman"/>
          <w:noProof/>
          <w:szCs w:val="24"/>
        </w:rPr>
        <w:t xml:space="preserve">, </w:t>
      </w:r>
      <w:r w:rsidRPr="005E2B2D">
        <w:rPr>
          <w:rFonts w:cs="Times New Roman"/>
          <w:i/>
          <w:iCs/>
          <w:noProof/>
          <w:szCs w:val="24"/>
        </w:rPr>
        <w:t>135</w:t>
      </w:r>
      <w:r w:rsidRPr="005E2B2D">
        <w:rPr>
          <w:rFonts w:cs="Times New Roman"/>
          <w:noProof/>
          <w:szCs w:val="24"/>
        </w:rPr>
        <w:t>, 1–8.</w:t>
      </w:r>
    </w:p>
    <w:p w14:paraId="6889BE48"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(35) </w:t>
      </w:r>
      <w:r w:rsidRPr="005E2B2D">
        <w:rPr>
          <w:rFonts w:cs="Times New Roman"/>
          <w:noProof/>
          <w:szCs w:val="24"/>
        </w:rPr>
        <w:tab/>
        <w:t xml:space="preserve">Zhang, L.; Silva, D.-A.; Yan, Y.; Huang, X. Force Field Development for Cofactors in the Photosystem II. </w:t>
      </w:r>
      <w:r w:rsidRPr="005E2B2D">
        <w:rPr>
          <w:rFonts w:cs="Times New Roman"/>
          <w:i/>
          <w:iCs/>
          <w:noProof/>
          <w:szCs w:val="24"/>
        </w:rPr>
        <w:t>J. Comput. Chem.</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33</w:t>
      </w:r>
      <w:r w:rsidRPr="005E2B2D">
        <w:rPr>
          <w:rFonts w:cs="Times New Roman"/>
          <w:noProof/>
          <w:szCs w:val="24"/>
        </w:rPr>
        <w:t>, 1969–1980.</w:t>
      </w:r>
    </w:p>
    <w:p w14:paraId="0755B34A"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lastRenderedPageBreak/>
        <w:t xml:space="preserve">(36) </w:t>
      </w:r>
      <w:r w:rsidRPr="005E2B2D">
        <w:rPr>
          <w:rFonts w:cs="Times New Roman"/>
          <w:noProof/>
          <w:szCs w:val="24"/>
        </w:rPr>
        <w:tab/>
        <w:t xml:space="preserve">Rosnik, A. M.; Curutchet, C. Theoretical Characterization of the Spectral Density of the Water-Soluble Chlorophyll-Binding Protein from Combined Quantum Mechanics/Molecular Mechanics Molecular Dynamics Simulations.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11</w:t>
      </w:r>
      <w:r w:rsidRPr="005E2B2D">
        <w:rPr>
          <w:rFonts w:cs="Times New Roman"/>
          <w:noProof/>
          <w:szCs w:val="24"/>
        </w:rPr>
        <w:t>, 5826–5837.</w:t>
      </w:r>
    </w:p>
    <w:p w14:paraId="7DCBDD45"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(37) </w:t>
      </w:r>
      <w:r w:rsidRPr="005E2B2D">
        <w:rPr>
          <w:rFonts w:cs="Times New Roman"/>
          <w:noProof/>
          <w:szCs w:val="24"/>
        </w:rPr>
        <w:tab/>
        <w:t xml:space="preserve">Kreisbeck, C.; Kramer, T. Long-Lived Electronic Coherence in Dissipative Exciton Dynamics of Light-Harvesting Complexes. </w:t>
      </w:r>
      <w:r w:rsidRPr="005E2B2D">
        <w:rPr>
          <w:rFonts w:cs="Times New Roman"/>
          <w:i/>
          <w:iCs/>
          <w:noProof/>
          <w:szCs w:val="24"/>
        </w:rPr>
        <w:t>J. Phys. Chem. Lett.</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3</w:t>
      </w:r>
      <w:r w:rsidRPr="005E2B2D">
        <w:rPr>
          <w:rFonts w:cs="Times New Roman"/>
          <w:noProof/>
          <w:szCs w:val="24"/>
        </w:rPr>
        <w:t>, 2828–2833.</w:t>
      </w:r>
    </w:p>
    <w:p w14:paraId="10F49389"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(38) </w:t>
      </w:r>
      <w:r w:rsidRPr="005E2B2D">
        <w:rPr>
          <w:rFonts w:cs="Times New Roman"/>
          <w:noProof/>
          <w:szCs w:val="24"/>
        </w:rPr>
        <w:tab/>
        <w:t xml:space="preserve">Kim, C. W.; Park, J. W.; Rhee, Y. M. Effect of Chromophore Potential Model on the Description of Exciton-Phonon Interactions. </w:t>
      </w:r>
      <w:r w:rsidRPr="005E2B2D">
        <w:rPr>
          <w:rFonts w:cs="Times New Roman"/>
          <w:i/>
          <w:iCs/>
          <w:noProof/>
          <w:szCs w:val="24"/>
        </w:rPr>
        <w:t>J. Phys. Chem. Lett.</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6</w:t>
      </w:r>
      <w:r w:rsidRPr="005E2B2D">
        <w:rPr>
          <w:rFonts w:cs="Times New Roman"/>
          <w:noProof/>
          <w:szCs w:val="24"/>
        </w:rPr>
        <w:t>, 2875–2880.</w:t>
      </w:r>
    </w:p>
    <w:p w14:paraId="11CC9ECD"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(39) </w:t>
      </w:r>
      <w:r w:rsidRPr="005E2B2D">
        <w:rPr>
          <w:rFonts w:cs="Times New Roman"/>
          <w:noProof/>
          <w:szCs w:val="24"/>
        </w:rPr>
        <w:tab/>
        <w:t xml:space="preserve">Wang, X.; Ritschel, G.; Wüster, S.; Eisfeld, A. Open Quantum System Parameters for Light Harvesting Complexes from Molecular Dynamics. </w:t>
      </w:r>
      <w:r w:rsidRPr="005E2B2D">
        <w:rPr>
          <w:rFonts w:cs="Times New Roman"/>
          <w:i/>
          <w:iCs/>
          <w:noProof/>
          <w:szCs w:val="24"/>
        </w:rPr>
        <w:t>Phys. Chem. Chem. Phys.</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17</w:t>
      </w:r>
      <w:r w:rsidRPr="005E2B2D">
        <w:rPr>
          <w:rFonts w:cs="Times New Roman"/>
          <w:noProof/>
          <w:szCs w:val="24"/>
        </w:rPr>
        <w:t>, 25629–25641.</w:t>
      </w:r>
    </w:p>
    <w:p w14:paraId="71F4E281"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(40) </w:t>
      </w:r>
      <w:r w:rsidRPr="005E2B2D">
        <w:rPr>
          <w:rFonts w:cs="Times New Roman"/>
          <w:noProof/>
          <w:szCs w:val="24"/>
        </w:rPr>
        <w:tab/>
        <w:t xml:space="preserve">Chandrasekaran, S.; Aghtar, M.; Valleau, S.; Aspuru-Guzik, A.; Kleinekathöfer, U. Influence of Force Fields and Quantum Chemistry Approach on Spectral Densities of BChl </w:t>
      </w:r>
      <w:r w:rsidRPr="005E2B2D">
        <w:rPr>
          <w:rFonts w:cs="Times New Roman"/>
          <w:i/>
          <w:iCs/>
          <w:noProof/>
          <w:szCs w:val="24"/>
        </w:rPr>
        <w:t>a</w:t>
      </w:r>
      <w:r w:rsidRPr="005E2B2D">
        <w:rPr>
          <w:rFonts w:cs="Times New Roman"/>
          <w:noProof/>
          <w:szCs w:val="24"/>
        </w:rPr>
        <w:t xml:space="preserve"> in Solution and in FMO Proteins. </w:t>
      </w:r>
      <w:r w:rsidRPr="005E2B2D">
        <w:rPr>
          <w:rFonts w:cs="Times New Roman"/>
          <w:i/>
          <w:iCs/>
          <w:noProof/>
          <w:szCs w:val="24"/>
        </w:rPr>
        <w:t>J. Phys. Chem. B</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119</w:t>
      </w:r>
      <w:r w:rsidRPr="005E2B2D">
        <w:rPr>
          <w:rFonts w:cs="Times New Roman"/>
          <w:noProof/>
          <w:szCs w:val="24"/>
        </w:rPr>
        <w:t>, 9995–10004.</w:t>
      </w:r>
    </w:p>
    <w:p w14:paraId="5AA26C5E"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(41) </w:t>
      </w:r>
      <w:r w:rsidRPr="005E2B2D">
        <w:rPr>
          <w:rFonts w:cs="Times New Roman"/>
          <w:noProof/>
          <w:szCs w:val="24"/>
        </w:rPr>
        <w:tab/>
        <w:t xml:space="preserve">Prandi, I. G.; Viani, L.; Andreussi, O.; Mennucci, B. Combining Classical Molecular Dynamics and Quantum Mechanical Methods for the Description of Electronic Excitations: The Case of Carotenoids. </w:t>
      </w:r>
      <w:r w:rsidRPr="005E2B2D">
        <w:rPr>
          <w:rFonts w:cs="Times New Roman"/>
          <w:i/>
          <w:iCs/>
          <w:noProof/>
          <w:szCs w:val="24"/>
        </w:rPr>
        <w:t>J. Comput. Chem.</w:t>
      </w:r>
      <w:r w:rsidRPr="005E2B2D">
        <w:rPr>
          <w:rFonts w:cs="Times New Roman"/>
          <w:noProof/>
          <w:szCs w:val="24"/>
        </w:rPr>
        <w:t xml:space="preserve"> </w:t>
      </w:r>
      <w:r w:rsidRPr="005E2B2D">
        <w:rPr>
          <w:rFonts w:cs="Times New Roman"/>
          <w:b/>
          <w:bCs/>
          <w:noProof/>
          <w:szCs w:val="24"/>
        </w:rPr>
        <w:t>2016</w:t>
      </w:r>
      <w:r w:rsidRPr="005E2B2D">
        <w:rPr>
          <w:rFonts w:cs="Times New Roman"/>
          <w:noProof/>
          <w:szCs w:val="24"/>
        </w:rPr>
        <w:t xml:space="preserve">, </w:t>
      </w:r>
      <w:r w:rsidRPr="005E2B2D">
        <w:rPr>
          <w:rFonts w:cs="Times New Roman"/>
          <w:i/>
          <w:iCs/>
          <w:noProof/>
          <w:szCs w:val="24"/>
        </w:rPr>
        <w:t>37</w:t>
      </w:r>
      <w:r w:rsidRPr="005E2B2D">
        <w:rPr>
          <w:rFonts w:cs="Times New Roman"/>
          <w:noProof/>
          <w:szCs w:val="24"/>
        </w:rPr>
        <w:t>, 981–991.</w:t>
      </w:r>
    </w:p>
    <w:p w14:paraId="24243595"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(42) </w:t>
      </w:r>
      <w:r w:rsidRPr="005E2B2D">
        <w:rPr>
          <w:rFonts w:cs="Times New Roman"/>
          <w:noProof/>
          <w:szCs w:val="24"/>
        </w:rPr>
        <w:tab/>
        <w:t xml:space="preserve">Andreussi, O.; Prandi, I. G.; Campetella, M.; Prampolini, G.; Mennucci, B. Classical Force Fields Tailored for QM Applications: Is It Really a Feasible Strategy?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2017</w:t>
      </w:r>
      <w:r w:rsidRPr="005E2B2D">
        <w:rPr>
          <w:rFonts w:cs="Times New Roman"/>
          <w:noProof/>
          <w:szCs w:val="24"/>
        </w:rPr>
        <w:t xml:space="preserve">, </w:t>
      </w:r>
      <w:r w:rsidRPr="005E2B2D">
        <w:rPr>
          <w:rFonts w:cs="Times New Roman"/>
          <w:i/>
          <w:iCs/>
          <w:noProof/>
          <w:szCs w:val="24"/>
        </w:rPr>
        <w:t>13</w:t>
      </w:r>
      <w:r w:rsidRPr="005E2B2D">
        <w:rPr>
          <w:rFonts w:cs="Times New Roman"/>
          <w:noProof/>
          <w:szCs w:val="24"/>
        </w:rPr>
        <w:t>, 4636–4648.</w:t>
      </w:r>
    </w:p>
    <w:p w14:paraId="1C284A08"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(43) </w:t>
      </w:r>
      <w:r w:rsidRPr="005E2B2D">
        <w:rPr>
          <w:rFonts w:cs="Times New Roman"/>
          <w:noProof/>
          <w:szCs w:val="24"/>
        </w:rPr>
        <w:tab/>
        <w:t xml:space="preserve">Padula, D.; Lee, M. H.; Claridge, K.; Troisi, A. Chromophore-Dependent Intramolecular Exciton−Vibrational Coupling in the FMO Complex: Quantification and Importance for Exciton Dynamics. </w:t>
      </w:r>
      <w:r w:rsidRPr="005E2B2D">
        <w:rPr>
          <w:rFonts w:cs="Times New Roman"/>
          <w:i/>
          <w:iCs/>
          <w:noProof/>
          <w:szCs w:val="24"/>
        </w:rPr>
        <w:t>J. Phys. Chem. B</w:t>
      </w:r>
      <w:r w:rsidRPr="005E2B2D">
        <w:rPr>
          <w:rFonts w:cs="Times New Roman"/>
          <w:noProof/>
          <w:szCs w:val="24"/>
        </w:rPr>
        <w:t xml:space="preserve"> </w:t>
      </w:r>
      <w:r w:rsidRPr="005E2B2D">
        <w:rPr>
          <w:rFonts w:cs="Times New Roman"/>
          <w:b/>
          <w:bCs/>
          <w:noProof/>
          <w:szCs w:val="24"/>
        </w:rPr>
        <w:t>2017</w:t>
      </w:r>
      <w:r w:rsidRPr="005E2B2D">
        <w:rPr>
          <w:rFonts w:cs="Times New Roman"/>
          <w:noProof/>
          <w:szCs w:val="24"/>
        </w:rPr>
        <w:t xml:space="preserve">, </w:t>
      </w:r>
      <w:r w:rsidRPr="005E2B2D">
        <w:rPr>
          <w:rFonts w:cs="Times New Roman"/>
          <w:i/>
          <w:iCs/>
          <w:noProof/>
          <w:szCs w:val="24"/>
        </w:rPr>
        <w:t>121</w:t>
      </w:r>
      <w:r w:rsidRPr="005E2B2D">
        <w:rPr>
          <w:rFonts w:cs="Times New Roman"/>
          <w:noProof/>
          <w:szCs w:val="24"/>
        </w:rPr>
        <w:t>, 10026–10035.</w:t>
      </w:r>
    </w:p>
    <w:p w14:paraId="50ACD186"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(44) </w:t>
      </w:r>
      <w:r w:rsidRPr="005E2B2D">
        <w:rPr>
          <w:rFonts w:cs="Times New Roman"/>
          <w:noProof/>
          <w:szCs w:val="24"/>
        </w:rPr>
        <w:tab/>
        <w:t xml:space="preserve">Ercolessi, F.; Adams, J. B. Interatomic Potentials from First-Principles Calculations: The Force-Matching Method. </w:t>
      </w:r>
      <w:r w:rsidRPr="005E2B2D">
        <w:rPr>
          <w:rFonts w:cs="Times New Roman"/>
          <w:i/>
          <w:iCs/>
          <w:noProof/>
          <w:szCs w:val="24"/>
        </w:rPr>
        <w:t>Eur. Lett</w:t>
      </w:r>
      <w:r w:rsidRPr="005E2B2D">
        <w:rPr>
          <w:rFonts w:cs="Times New Roman"/>
          <w:noProof/>
          <w:szCs w:val="24"/>
        </w:rPr>
        <w:t xml:space="preserve"> </w:t>
      </w:r>
      <w:r w:rsidRPr="005E2B2D">
        <w:rPr>
          <w:rFonts w:cs="Times New Roman"/>
          <w:b/>
          <w:bCs/>
          <w:noProof/>
          <w:szCs w:val="24"/>
        </w:rPr>
        <w:t>1994</w:t>
      </w:r>
      <w:r w:rsidRPr="005E2B2D">
        <w:rPr>
          <w:rFonts w:cs="Times New Roman"/>
          <w:noProof/>
          <w:szCs w:val="24"/>
        </w:rPr>
        <w:t xml:space="preserve">, </w:t>
      </w:r>
      <w:r w:rsidRPr="005E2B2D">
        <w:rPr>
          <w:rFonts w:cs="Times New Roman"/>
          <w:i/>
          <w:iCs/>
          <w:noProof/>
          <w:szCs w:val="24"/>
        </w:rPr>
        <w:t>26</w:t>
      </w:r>
      <w:r w:rsidRPr="005E2B2D">
        <w:rPr>
          <w:rFonts w:cs="Times New Roman"/>
          <w:noProof/>
          <w:szCs w:val="24"/>
        </w:rPr>
        <w:t>, 583–588.</w:t>
      </w:r>
    </w:p>
    <w:p w14:paraId="10EED980"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(45) </w:t>
      </w:r>
      <w:r w:rsidRPr="005E2B2D">
        <w:rPr>
          <w:rFonts w:cs="Times New Roman"/>
          <w:noProof/>
          <w:szCs w:val="24"/>
        </w:rPr>
        <w:tab/>
        <w:t xml:space="preserve">Cheng, Y. Q.; Sheng, H. W.; Ma, E. Relationship between Structure, Dynamics, and Mechanical Properties in Metallic Glass-Forming Alloys. </w:t>
      </w:r>
      <w:r w:rsidRPr="005E2B2D">
        <w:rPr>
          <w:rFonts w:cs="Times New Roman"/>
          <w:i/>
          <w:iCs/>
          <w:noProof/>
          <w:szCs w:val="24"/>
        </w:rPr>
        <w:t>Phys. Rev. B</w:t>
      </w:r>
      <w:r w:rsidRPr="005E2B2D">
        <w:rPr>
          <w:rFonts w:cs="Times New Roman"/>
          <w:noProof/>
          <w:szCs w:val="24"/>
        </w:rPr>
        <w:t xml:space="preserve"> </w:t>
      </w:r>
      <w:r w:rsidRPr="005E2B2D">
        <w:rPr>
          <w:rFonts w:cs="Times New Roman"/>
          <w:b/>
          <w:bCs/>
          <w:noProof/>
          <w:szCs w:val="24"/>
        </w:rPr>
        <w:t>2008</w:t>
      </w:r>
      <w:r w:rsidRPr="005E2B2D">
        <w:rPr>
          <w:rFonts w:cs="Times New Roman"/>
          <w:noProof/>
          <w:szCs w:val="24"/>
        </w:rPr>
        <w:t xml:space="preserve">, </w:t>
      </w:r>
      <w:r w:rsidRPr="005E2B2D">
        <w:rPr>
          <w:rFonts w:cs="Times New Roman"/>
          <w:i/>
          <w:iCs/>
          <w:noProof/>
          <w:szCs w:val="24"/>
        </w:rPr>
        <w:t>78</w:t>
      </w:r>
      <w:r w:rsidRPr="005E2B2D">
        <w:rPr>
          <w:rFonts w:cs="Times New Roman"/>
          <w:noProof/>
          <w:szCs w:val="24"/>
        </w:rPr>
        <w:t>, 014207.</w:t>
      </w:r>
    </w:p>
    <w:p w14:paraId="361AB27B"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(46) </w:t>
      </w:r>
      <w:r w:rsidRPr="005E2B2D">
        <w:rPr>
          <w:rFonts w:cs="Times New Roman"/>
          <w:noProof/>
          <w:szCs w:val="24"/>
        </w:rPr>
        <w:tab/>
        <w:t xml:space="preserve">Liu, X.-Y.; Adams, J. B.; Ercolessi, F.; Moriarty, J. A. EAM Potential for Magnesium from Quantum Mechanical Forces. </w:t>
      </w:r>
      <w:r w:rsidRPr="005E2B2D">
        <w:rPr>
          <w:rFonts w:cs="Times New Roman"/>
          <w:i/>
          <w:iCs/>
          <w:noProof/>
          <w:szCs w:val="24"/>
        </w:rPr>
        <w:t>Model. Simul. Mater. Sci. Eng.</w:t>
      </w:r>
      <w:r w:rsidRPr="005E2B2D">
        <w:rPr>
          <w:rFonts w:cs="Times New Roman"/>
          <w:noProof/>
          <w:szCs w:val="24"/>
        </w:rPr>
        <w:t xml:space="preserve"> </w:t>
      </w:r>
      <w:r w:rsidRPr="005E2B2D">
        <w:rPr>
          <w:rFonts w:cs="Times New Roman"/>
          <w:b/>
          <w:bCs/>
          <w:noProof/>
          <w:szCs w:val="24"/>
        </w:rPr>
        <w:t>1996</w:t>
      </w:r>
      <w:r w:rsidRPr="005E2B2D">
        <w:rPr>
          <w:rFonts w:cs="Times New Roman"/>
          <w:noProof/>
          <w:szCs w:val="24"/>
        </w:rPr>
        <w:t xml:space="preserve">, </w:t>
      </w:r>
      <w:r w:rsidRPr="005E2B2D">
        <w:rPr>
          <w:rFonts w:cs="Times New Roman"/>
          <w:i/>
          <w:iCs/>
          <w:noProof/>
          <w:szCs w:val="24"/>
        </w:rPr>
        <w:t>4</w:t>
      </w:r>
      <w:r w:rsidRPr="005E2B2D">
        <w:rPr>
          <w:rFonts w:cs="Times New Roman"/>
          <w:noProof/>
          <w:szCs w:val="24"/>
        </w:rPr>
        <w:t>, 293–303.</w:t>
      </w:r>
    </w:p>
    <w:p w14:paraId="393DEE41"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(47) </w:t>
      </w:r>
      <w:r w:rsidRPr="005E2B2D">
        <w:rPr>
          <w:rFonts w:cs="Times New Roman"/>
          <w:noProof/>
          <w:szCs w:val="24"/>
        </w:rPr>
        <w:tab/>
        <w:t xml:space="preserve">Sala, J.; Guàrdia, E.; Masia, M. Improving the Force Matching Algorithm: Application to a Simple Point Charge Flexible Model of Water. </w:t>
      </w:r>
      <w:r w:rsidRPr="005E2B2D">
        <w:rPr>
          <w:rFonts w:cs="Times New Roman"/>
          <w:i/>
          <w:iCs/>
          <w:noProof/>
          <w:szCs w:val="24"/>
        </w:rPr>
        <w:t>Comput. Phys. Commun.</w:t>
      </w:r>
      <w:r w:rsidRPr="005E2B2D">
        <w:rPr>
          <w:rFonts w:cs="Times New Roman"/>
          <w:noProof/>
          <w:szCs w:val="24"/>
        </w:rPr>
        <w:t xml:space="preserve"> </w:t>
      </w:r>
      <w:r w:rsidRPr="005E2B2D">
        <w:rPr>
          <w:rFonts w:cs="Times New Roman"/>
          <w:b/>
          <w:bCs/>
          <w:noProof/>
          <w:szCs w:val="24"/>
        </w:rPr>
        <w:t>2011</w:t>
      </w:r>
      <w:r w:rsidRPr="005E2B2D">
        <w:rPr>
          <w:rFonts w:cs="Times New Roman"/>
          <w:noProof/>
          <w:szCs w:val="24"/>
        </w:rPr>
        <w:t xml:space="preserve">, </w:t>
      </w:r>
      <w:r w:rsidRPr="005E2B2D">
        <w:rPr>
          <w:rFonts w:cs="Times New Roman"/>
          <w:i/>
          <w:iCs/>
          <w:noProof/>
          <w:szCs w:val="24"/>
        </w:rPr>
        <w:t>182</w:t>
      </w:r>
      <w:r w:rsidRPr="005E2B2D">
        <w:rPr>
          <w:rFonts w:cs="Times New Roman"/>
          <w:noProof/>
          <w:szCs w:val="24"/>
        </w:rPr>
        <w:t>, 1954–1957.</w:t>
      </w:r>
    </w:p>
    <w:p w14:paraId="17E9F7BA"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(48) </w:t>
      </w:r>
      <w:r w:rsidRPr="005E2B2D">
        <w:rPr>
          <w:rFonts w:cs="Times New Roman"/>
          <w:noProof/>
          <w:szCs w:val="24"/>
        </w:rPr>
        <w:tab/>
        <w:t xml:space="preserve">Do, H.; Troisi, A. Developing Accurate Molecular Mechanics Force Fields for Conjugated Molecular Systems. </w:t>
      </w:r>
      <w:r w:rsidRPr="005E2B2D">
        <w:rPr>
          <w:rFonts w:cs="Times New Roman"/>
          <w:i/>
          <w:iCs/>
          <w:noProof/>
          <w:szCs w:val="24"/>
        </w:rPr>
        <w:t>Phys. Chem. Chem. Phys.</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17</w:t>
      </w:r>
      <w:r w:rsidRPr="005E2B2D">
        <w:rPr>
          <w:rFonts w:cs="Times New Roman"/>
          <w:noProof/>
          <w:szCs w:val="24"/>
        </w:rPr>
        <w:t>, 25123–25132.</w:t>
      </w:r>
    </w:p>
    <w:p w14:paraId="05D15252"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lastRenderedPageBreak/>
        <w:t xml:space="preserve">(49) </w:t>
      </w:r>
      <w:r w:rsidRPr="005E2B2D">
        <w:rPr>
          <w:rFonts w:cs="Times New Roman"/>
          <w:noProof/>
          <w:szCs w:val="24"/>
        </w:rPr>
        <w:tab/>
        <w:t xml:space="preserve">Kroonblawd, M. P.; Pietrucci, F.; Saitta, A. M.; Goldman, N. Generating Converged Accurate Free Energy Surfaces for Chemical Reactions with a Force-Matched Semiempirical Model.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2018</w:t>
      </w:r>
      <w:r w:rsidRPr="005E2B2D">
        <w:rPr>
          <w:rFonts w:cs="Times New Roman"/>
          <w:noProof/>
          <w:szCs w:val="24"/>
        </w:rPr>
        <w:t xml:space="preserve">, </w:t>
      </w:r>
      <w:r w:rsidRPr="005E2B2D">
        <w:rPr>
          <w:rFonts w:cs="Times New Roman"/>
          <w:i/>
          <w:iCs/>
          <w:noProof/>
          <w:szCs w:val="24"/>
        </w:rPr>
        <w:t>14</w:t>
      </w:r>
      <w:r w:rsidRPr="005E2B2D">
        <w:rPr>
          <w:rFonts w:cs="Times New Roman"/>
          <w:noProof/>
          <w:szCs w:val="24"/>
        </w:rPr>
        <w:t>, 2207–2218.</w:t>
      </w:r>
    </w:p>
    <w:p w14:paraId="4A4FCCA9"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(50) </w:t>
      </w:r>
      <w:r w:rsidRPr="005E2B2D">
        <w:rPr>
          <w:rFonts w:cs="Times New Roman"/>
          <w:noProof/>
          <w:szCs w:val="24"/>
        </w:rPr>
        <w:tab/>
        <w:t xml:space="preserve">Huang, I. S.; Tsai, M. K. Interplay between Polarizability and Hydrogen Bond Network of Water: Reparametrizing the Flexible Single-Point-Charge Water Model by the Nonlinear Adaptive Force Matching Approach. </w:t>
      </w:r>
      <w:r w:rsidRPr="005E2B2D">
        <w:rPr>
          <w:rFonts w:cs="Times New Roman"/>
          <w:i/>
          <w:iCs/>
          <w:noProof/>
          <w:szCs w:val="24"/>
        </w:rPr>
        <w:t>J. Phys. Chem. A</w:t>
      </w:r>
      <w:r w:rsidRPr="005E2B2D">
        <w:rPr>
          <w:rFonts w:cs="Times New Roman"/>
          <w:noProof/>
          <w:szCs w:val="24"/>
        </w:rPr>
        <w:t xml:space="preserve"> </w:t>
      </w:r>
      <w:r w:rsidRPr="005E2B2D">
        <w:rPr>
          <w:rFonts w:cs="Times New Roman"/>
          <w:b/>
          <w:bCs/>
          <w:noProof/>
          <w:szCs w:val="24"/>
        </w:rPr>
        <w:t>2018</w:t>
      </w:r>
      <w:r w:rsidRPr="005E2B2D">
        <w:rPr>
          <w:rFonts w:cs="Times New Roman"/>
          <w:noProof/>
          <w:szCs w:val="24"/>
        </w:rPr>
        <w:t xml:space="preserve">, </w:t>
      </w:r>
      <w:r w:rsidRPr="005E2B2D">
        <w:rPr>
          <w:rFonts w:cs="Times New Roman"/>
          <w:i/>
          <w:iCs/>
          <w:noProof/>
          <w:szCs w:val="24"/>
        </w:rPr>
        <w:t>122</w:t>
      </w:r>
      <w:r w:rsidRPr="005E2B2D">
        <w:rPr>
          <w:rFonts w:cs="Times New Roman"/>
          <w:noProof/>
          <w:szCs w:val="24"/>
        </w:rPr>
        <w:t>, 4654–4662.</w:t>
      </w:r>
    </w:p>
    <w:p w14:paraId="726B4410"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(51) </w:t>
      </w:r>
      <w:r w:rsidRPr="005E2B2D">
        <w:rPr>
          <w:rFonts w:cs="Times New Roman"/>
          <w:noProof/>
          <w:szCs w:val="24"/>
        </w:rPr>
        <w:tab/>
        <w:t xml:space="preserve">Maurer, P.; Laio, A.; Hugosson, H. W.; Colombo, M. C.; Rothlisberger, U. Automated Parametrization of Biomolecular Force Fields from Quantum Mechanics/Molecular Mechanics (QM/MM) Simulations through Force Matching. </w:t>
      </w:r>
      <w:r w:rsidRPr="005E2B2D">
        <w:rPr>
          <w:rFonts w:cs="Times New Roman"/>
          <w:b/>
          <w:bCs/>
          <w:noProof/>
          <w:szCs w:val="24"/>
        </w:rPr>
        <w:t>2007</w:t>
      </w:r>
      <w:r w:rsidRPr="005E2B2D">
        <w:rPr>
          <w:rFonts w:cs="Times New Roman"/>
          <w:noProof/>
          <w:szCs w:val="24"/>
        </w:rPr>
        <w:t>.</w:t>
      </w:r>
    </w:p>
    <w:p w14:paraId="181EFD65"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(52) </w:t>
      </w:r>
      <w:r w:rsidRPr="005E2B2D">
        <w:rPr>
          <w:rFonts w:cs="Times New Roman"/>
          <w:noProof/>
          <w:szCs w:val="24"/>
        </w:rPr>
        <w:tab/>
        <w:t xml:space="preserve">Damjanovic, A.; Kosztin, I.; Schulten, K.; Kleinekathöfer, U. Excitons in a Photosynthetic Light-Harvesting System: A Combined Molecular Dynamics, Quantum Chemistry, and Polaron Model Study. </w:t>
      </w:r>
      <w:r w:rsidRPr="005E2B2D">
        <w:rPr>
          <w:rFonts w:cs="Times New Roman"/>
          <w:i/>
          <w:iCs/>
          <w:noProof/>
          <w:szCs w:val="24"/>
        </w:rPr>
        <w:t>Phys. Rev. E</w:t>
      </w:r>
      <w:r w:rsidRPr="005E2B2D">
        <w:rPr>
          <w:rFonts w:cs="Times New Roman"/>
          <w:noProof/>
          <w:szCs w:val="24"/>
        </w:rPr>
        <w:t xml:space="preserve"> </w:t>
      </w:r>
      <w:r w:rsidRPr="005E2B2D">
        <w:rPr>
          <w:rFonts w:cs="Times New Roman"/>
          <w:b/>
          <w:bCs/>
          <w:noProof/>
          <w:szCs w:val="24"/>
        </w:rPr>
        <w:t>2002</w:t>
      </w:r>
      <w:r w:rsidRPr="005E2B2D">
        <w:rPr>
          <w:rFonts w:cs="Times New Roman"/>
          <w:noProof/>
          <w:szCs w:val="24"/>
        </w:rPr>
        <w:t xml:space="preserve">, </w:t>
      </w:r>
      <w:r w:rsidRPr="005E2B2D">
        <w:rPr>
          <w:rFonts w:cs="Times New Roman"/>
          <w:i/>
          <w:iCs/>
          <w:noProof/>
          <w:szCs w:val="24"/>
        </w:rPr>
        <w:t>65</w:t>
      </w:r>
      <w:r w:rsidRPr="005E2B2D">
        <w:rPr>
          <w:rFonts w:cs="Times New Roman"/>
          <w:noProof/>
          <w:szCs w:val="24"/>
        </w:rPr>
        <w:t>, 31919.</w:t>
      </w:r>
    </w:p>
    <w:p w14:paraId="77EBCE99"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(53) </w:t>
      </w:r>
      <w:r w:rsidRPr="005E2B2D">
        <w:rPr>
          <w:rFonts w:cs="Times New Roman"/>
          <w:noProof/>
          <w:szCs w:val="24"/>
        </w:rPr>
        <w:tab/>
        <w:t xml:space="preserve">Guerra, F.; Adam, S.; Bondar, A.-N. N. Revised Force-Field Parameters for Chlorophyll-a, Pheophytin-a and Plastoquinone-9. </w:t>
      </w:r>
      <w:r w:rsidRPr="005E2B2D">
        <w:rPr>
          <w:rFonts w:cs="Times New Roman"/>
          <w:i/>
          <w:iCs/>
          <w:noProof/>
          <w:szCs w:val="24"/>
        </w:rPr>
        <w:t>J. Mol. Graph. Model.</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58</w:t>
      </w:r>
      <w:r w:rsidRPr="005E2B2D">
        <w:rPr>
          <w:rFonts w:cs="Times New Roman"/>
          <w:noProof/>
          <w:szCs w:val="24"/>
        </w:rPr>
        <w:t>, 30–39.</w:t>
      </w:r>
    </w:p>
    <w:p w14:paraId="2C61CBA7"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(54) </w:t>
      </w:r>
      <w:r w:rsidRPr="005E2B2D">
        <w:rPr>
          <w:rFonts w:cs="Times New Roman"/>
          <w:noProof/>
          <w:szCs w:val="24"/>
        </w:rPr>
        <w:tab/>
        <w:t xml:space="preserve">Pronk, S.; Páll, S.; Schulz, R.; Larsson, P.; Bjelkmar, P.; Apostolov, R.; Shirts, M. R.; Smith, J. C.; Kasson, P. M.; van der Spoel, D.; et al. GROMACS 4.5: A High-Throughput and Highly Parallel Open Source Molecular Simulation Toolkit. </w:t>
      </w:r>
      <w:r w:rsidRPr="005E2B2D">
        <w:rPr>
          <w:rFonts w:cs="Times New Roman"/>
          <w:i/>
          <w:iCs/>
          <w:noProof/>
          <w:szCs w:val="24"/>
        </w:rPr>
        <w:t>Bioinformatics</w:t>
      </w:r>
      <w:r w:rsidRPr="005E2B2D">
        <w:rPr>
          <w:rFonts w:cs="Times New Roman"/>
          <w:noProof/>
          <w:szCs w:val="24"/>
        </w:rPr>
        <w:t xml:space="preserve"> </w:t>
      </w:r>
      <w:r w:rsidRPr="005E2B2D">
        <w:rPr>
          <w:rFonts w:cs="Times New Roman"/>
          <w:b/>
          <w:bCs/>
          <w:noProof/>
          <w:szCs w:val="24"/>
        </w:rPr>
        <w:t>2013</w:t>
      </w:r>
      <w:r w:rsidRPr="005E2B2D">
        <w:rPr>
          <w:rFonts w:cs="Times New Roman"/>
          <w:noProof/>
          <w:szCs w:val="24"/>
        </w:rPr>
        <w:t xml:space="preserve">, </w:t>
      </w:r>
      <w:r w:rsidRPr="005E2B2D">
        <w:rPr>
          <w:rFonts w:cs="Times New Roman"/>
          <w:i/>
          <w:iCs/>
          <w:noProof/>
          <w:szCs w:val="24"/>
        </w:rPr>
        <w:t>29</w:t>
      </w:r>
      <w:r w:rsidRPr="005E2B2D">
        <w:rPr>
          <w:rFonts w:cs="Times New Roman"/>
          <w:noProof/>
          <w:szCs w:val="24"/>
        </w:rPr>
        <w:t>, 845–854.</w:t>
      </w:r>
    </w:p>
    <w:p w14:paraId="3ECE9A1D"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(55) </w:t>
      </w:r>
      <w:r w:rsidRPr="005E2B2D">
        <w:rPr>
          <w:rFonts w:cs="Times New Roman"/>
          <w:noProof/>
          <w:szCs w:val="24"/>
        </w:rPr>
        <w:tab/>
        <w:t xml:space="preserve">Lee, J.; Cheng, X.; Swails, J. M.; Yeom, M. S.; Eastman, P. K.; Lemkul, J. A.; Wei, S.; Buckner, J.; Jeong, J. C.; Qi, Y.; et al. CHARMM-GUI Input Generator for NAMD, GROMACS, AMBER, OpenMM, and CHARMM/OpenMM Simulations Using the CHARMM36 Additive Force Field.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2016</w:t>
      </w:r>
      <w:r w:rsidRPr="005E2B2D">
        <w:rPr>
          <w:rFonts w:cs="Times New Roman"/>
          <w:noProof/>
          <w:szCs w:val="24"/>
        </w:rPr>
        <w:t xml:space="preserve">, </w:t>
      </w:r>
      <w:r w:rsidRPr="005E2B2D">
        <w:rPr>
          <w:rFonts w:cs="Times New Roman"/>
          <w:i/>
          <w:iCs/>
          <w:noProof/>
          <w:szCs w:val="24"/>
        </w:rPr>
        <w:t>12</w:t>
      </w:r>
      <w:r w:rsidRPr="005E2B2D">
        <w:rPr>
          <w:rFonts w:cs="Times New Roman"/>
          <w:noProof/>
          <w:szCs w:val="24"/>
        </w:rPr>
        <w:t>, 405–413.</w:t>
      </w:r>
    </w:p>
    <w:p w14:paraId="16FB1936"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(56) </w:t>
      </w:r>
      <w:r w:rsidRPr="005E2B2D">
        <w:rPr>
          <w:rFonts w:cs="Times New Roman"/>
          <w:noProof/>
          <w:szCs w:val="24"/>
        </w:rPr>
        <w:tab/>
        <w:t xml:space="preserve">Evans, T. A.; Katz, J. J. Evidence for 5- and 6-Coordinated Magnesium in Bacteriochlorophyll a from Visible Absorption Spectroscopy. </w:t>
      </w:r>
      <w:r w:rsidRPr="005E2B2D">
        <w:rPr>
          <w:rFonts w:cs="Times New Roman"/>
          <w:i/>
          <w:iCs/>
          <w:noProof/>
          <w:szCs w:val="24"/>
        </w:rPr>
        <w:t>BBA - Bioenerg.</w:t>
      </w:r>
      <w:r w:rsidRPr="005E2B2D">
        <w:rPr>
          <w:rFonts w:cs="Times New Roman"/>
          <w:noProof/>
          <w:szCs w:val="24"/>
        </w:rPr>
        <w:t xml:space="preserve"> </w:t>
      </w:r>
      <w:r w:rsidRPr="005E2B2D">
        <w:rPr>
          <w:rFonts w:cs="Times New Roman"/>
          <w:b/>
          <w:bCs/>
          <w:noProof/>
          <w:szCs w:val="24"/>
        </w:rPr>
        <w:t>1975</w:t>
      </w:r>
      <w:r w:rsidRPr="005E2B2D">
        <w:rPr>
          <w:rFonts w:cs="Times New Roman"/>
          <w:noProof/>
          <w:szCs w:val="24"/>
        </w:rPr>
        <w:t xml:space="preserve">, </w:t>
      </w:r>
      <w:r w:rsidRPr="005E2B2D">
        <w:rPr>
          <w:rFonts w:cs="Times New Roman"/>
          <w:i/>
          <w:iCs/>
          <w:noProof/>
          <w:szCs w:val="24"/>
        </w:rPr>
        <w:t>396</w:t>
      </w:r>
      <w:r w:rsidRPr="005E2B2D">
        <w:rPr>
          <w:rFonts w:cs="Times New Roman"/>
          <w:noProof/>
          <w:szCs w:val="24"/>
        </w:rPr>
        <w:t>, 414–426.</w:t>
      </w:r>
    </w:p>
    <w:p w14:paraId="3A02FBD1"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(57) </w:t>
      </w:r>
      <w:r w:rsidRPr="005E2B2D">
        <w:rPr>
          <w:rFonts w:cs="Times New Roman"/>
          <w:noProof/>
          <w:szCs w:val="24"/>
        </w:rPr>
        <w:tab/>
        <w:t xml:space="preserve">Katz, J. J. Coordination Properties of Magnesium In Chlorophyll from IR and NMR Spectra *. In </w:t>
      </w:r>
      <w:r w:rsidRPr="005E2B2D">
        <w:rPr>
          <w:rFonts w:cs="Times New Roman"/>
          <w:i/>
          <w:iCs/>
          <w:noProof/>
          <w:szCs w:val="24"/>
        </w:rPr>
        <w:t>Developments in applied spectroscopy</w:t>
      </w:r>
      <w:r w:rsidRPr="005E2B2D">
        <w:rPr>
          <w:rFonts w:cs="Times New Roman"/>
          <w:noProof/>
          <w:szCs w:val="24"/>
        </w:rPr>
        <w:t>; Springer US: Boston, MA, 1968; pp 201–218.</w:t>
      </w:r>
    </w:p>
    <w:p w14:paraId="1F835A8B"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(58) </w:t>
      </w:r>
      <w:r w:rsidRPr="005E2B2D">
        <w:rPr>
          <w:rFonts w:cs="Times New Roman"/>
          <w:noProof/>
          <w:szCs w:val="24"/>
        </w:rPr>
        <w:tab/>
        <w:t xml:space="preserve">Jorgensen, W. L.; Chandrasekhar, J.; Madura, J. D.; Impey, R. W.; Klein, M. L. Comparison of Simple Potential Functions for Simulating Liquid Water. </w:t>
      </w:r>
      <w:r w:rsidRPr="005E2B2D">
        <w:rPr>
          <w:rFonts w:cs="Times New Roman"/>
          <w:i/>
          <w:iCs/>
          <w:noProof/>
          <w:szCs w:val="24"/>
        </w:rPr>
        <w:t>J. Chem. Phys.</w:t>
      </w:r>
      <w:r w:rsidRPr="005E2B2D">
        <w:rPr>
          <w:rFonts w:cs="Times New Roman"/>
          <w:noProof/>
          <w:szCs w:val="24"/>
        </w:rPr>
        <w:t xml:space="preserve"> </w:t>
      </w:r>
      <w:r w:rsidRPr="005E2B2D">
        <w:rPr>
          <w:rFonts w:cs="Times New Roman"/>
          <w:b/>
          <w:bCs/>
          <w:noProof/>
          <w:szCs w:val="24"/>
        </w:rPr>
        <w:t>1983</w:t>
      </w:r>
      <w:r w:rsidRPr="005E2B2D">
        <w:rPr>
          <w:rFonts w:cs="Times New Roman"/>
          <w:noProof/>
          <w:szCs w:val="24"/>
        </w:rPr>
        <w:t xml:space="preserve">, </w:t>
      </w:r>
      <w:r w:rsidRPr="005E2B2D">
        <w:rPr>
          <w:rFonts w:cs="Times New Roman"/>
          <w:i/>
          <w:iCs/>
          <w:noProof/>
          <w:szCs w:val="24"/>
        </w:rPr>
        <w:t>79</w:t>
      </w:r>
      <w:r w:rsidRPr="005E2B2D">
        <w:rPr>
          <w:rFonts w:cs="Times New Roman"/>
          <w:noProof/>
          <w:szCs w:val="24"/>
        </w:rPr>
        <w:t>, 926–935.</w:t>
      </w:r>
    </w:p>
    <w:p w14:paraId="0D354344"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(59) </w:t>
      </w:r>
      <w:r w:rsidRPr="005E2B2D">
        <w:rPr>
          <w:rFonts w:cs="Times New Roman"/>
          <w:noProof/>
          <w:szCs w:val="24"/>
        </w:rPr>
        <w:tab/>
        <w:t xml:space="preserve">Berendsen, H. J. C.; Postma, J. P. M.; van Gunsteren, W. F.; DiNola, A.; Haak, J. R. Molecular Dynamics with Coupling to an External Bath. </w:t>
      </w:r>
      <w:r w:rsidRPr="005E2B2D">
        <w:rPr>
          <w:rFonts w:cs="Times New Roman"/>
          <w:i/>
          <w:iCs/>
          <w:noProof/>
          <w:szCs w:val="24"/>
        </w:rPr>
        <w:t>J. Chem. Phys.</w:t>
      </w:r>
      <w:r w:rsidRPr="005E2B2D">
        <w:rPr>
          <w:rFonts w:cs="Times New Roman"/>
          <w:noProof/>
          <w:szCs w:val="24"/>
        </w:rPr>
        <w:t xml:space="preserve"> </w:t>
      </w:r>
      <w:r w:rsidRPr="005E2B2D">
        <w:rPr>
          <w:rFonts w:cs="Times New Roman"/>
          <w:b/>
          <w:bCs/>
          <w:noProof/>
          <w:szCs w:val="24"/>
        </w:rPr>
        <w:t>1984</w:t>
      </w:r>
      <w:r w:rsidRPr="005E2B2D">
        <w:rPr>
          <w:rFonts w:cs="Times New Roman"/>
          <w:noProof/>
          <w:szCs w:val="24"/>
        </w:rPr>
        <w:t xml:space="preserve">, </w:t>
      </w:r>
      <w:r w:rsidRPr="005E2B2D">
        <w:rPr>
          <w:rFonts w:cs="Times New Roman"/>
          <w:i/>
          <w:iCs/>
          <w:noProof/>
          <w:szCs w:val="24"/>
        </w:rPr>
        <w:t>81</w:t>
      </w:r>
      <w:r w:rsidRPr="005E2B2D">
        <w:rPr>
          <w:rFonts w:cs="Times New Roman"/>
          <w:noProof/>
          <w:szCs w:val="24"/>
        </w:rPr>
        <w:t>, 3684–3690.</w:t>
      </w:r>
    </w:p>
    <w:p w14:paraId="4F624718"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(60) </w:t>
      </w:r>
      <w:r w:rsidRPr="005E2B2D">
        <w:rPr>
          <w:rFonts w:cs="Times New Roman"/>
          <w:noProof/>
          <w:szCs w:val="24"/>
        </w:rPr>
        <w:tab/>
        <w:t xml:space="preserve">Hess, B. P-LINCS: A Parallel Linear Constraint Solver for Molecular Simulation. </w:t>
      </w:r>
      <w:r w:rsidRPr="005E2B2D">
        <w:rPr>
          <w:rFonts w:cs="Times New Roman"/>
          <w:i/>
          <w:iCs/>
          <w:noProof/>
          <w:szCs w:val="24"/>
        </w:rPr>
        <w:t>J. Chem. Theory Comput.</w:t>
      </w:r>
      <w:r w:rsidRPr="005E2B2D">
        <w:rPr>
          <w:rFonts w:cs="Times New Roman"/>
          <w:noProof/>
          <w:szCs w:val="24"/>
        </w:rPr>
        <w:t xml:space="preserve"> </w:t>
      </w:r>
      <w:r w:rsidRPr="005E2B2D">
        <w:rPr>
          <w:rFonts w:cs="Times New Roman"/>
          <w:b/>
          <w:bCs/>
          <w:noProof/>
          <w:szCs w:val="24"/>
        </w:rPr>
        <w:t>2008</w:t>
      </w:r>
      <w:r w:rsidRPr="005E2B2D">
        <w:rPr>
          <w:rFonts w:cs="Times New Roman"/>
          <w:noProof/>
          <w:szCs w:val="24"/>
        </w:rPr>
        <w:t xml:space="preserve">, </w:t>
      </w:r>
      <w:r w:rsidRPr="005E2B2D">
        <w:rPr>
          <w:rFonts w:cs="Times New Roman"/>
          <w:i/>
          <w:iCs/>
          <w:noProof/>
          <w:szCs w:val="24"/>
        </w:rPr>
        <w:t>4</w:t>
      </w:r>
      <w:r w:rsidRPr="005E2B2D">
        <w:rPr>
          <w:rFonts w:cs="Times New Roman"/>
          <w:noProof/>
          <w:szCs w:val="24"/>
        </w:rPr>
        <w:t>, 116–122.</w:t>
      </w:r>
    </w:p>
    <w:p w14:paraId="084E30D3"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(61) </w:t>
      </w:r>
      <w:r w:rsidRPr="005E2B2D">
        <w:rPr>
          <w:rFonts w:cs="Times New Roman"/>
          <w:noProof/>
          <w:szCs w:val="24"/>
        </w:rPr>
        <w:tab/>
        <w:t xml:space="preserve">Allen, M. P.; Tildesley, D. J. </w:t>
      </w:r>
      <w:r w:rsidRPr="005E2B2D">
        <w:rPr>
          <w:rFonts w:cs="Times New Roman"/>
          <w:i/>
          <w:iCs/>
          <w:noProof/>
          <w:szCs w:val="24"/>
        </w:rPr>
        <w:t>Computer Simulation of Liquids</w:t>
      </w:r>
      <w:r w:rsidRPr="005E2B2D">
        <w:rPr>
          <w:rFonts w:cs="Times New Roman"/>
          <w:noProof/>
          <w:szCs w:val="24"/>
        </w:rPr>
        <w:t>; Oxford University Press, 1991.</w:t>
      </w:r>
    </w:p>
    <w:p w14:paraId="3AB3BE9B"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lastRenderedPageBreak/>
        <w:t xml:space="preserve">(62) </w:t>
      </w:r>
      <w:r w:rsidRPr="005E2B2D">
        <w:rPr>
          <w:rFonts w:cs="Times New Roman"/>
          <w:noProof/>
          <w:szCs w:val="24"/>
        </w:rPr>
        <w:tab/>
        <w:t xml:space="preserve">Casida, M. E.; Jamorski, C.; Casida, K. C.; Salahub, D. R. Molecular Excitation Energies to High-Lying Bound States from Time-Dependent Density-Functional Response Theory: Characterization and Correction of the Time-Dependent Local Density Approximation Ionization Threshold. </w:t>
      </w:r>
      <w:r w:rsidRPr="005E2B2D">
        <w:rPr>
          <w:rFonts w:cs="Times New Roman"/>
          <w:i/>
          <w:iCs/>
          <w:noProof/>
          <w:szCs w:val="24"/>
        </w:rPr>
        <w:t>J. Chem. Phys.</w:t>
      </w:r>
      <w:r w:rsidRPr="005E2B2D">
        <w:rPr>
          <w:rFonts w:cs="Times New Roman"/>
          <w:noProof/>
          <w:szCs w:val="24"/>
        </w:rPr>
        <w:t xml:space="preserve"> </w:t>
      </w:r>
      <w:r w:rsidRPr="005E2B2D">
        <w:rPr>
          <w:rFonts w:cs="Times New Roman"/>
          <w:b/>
          <w:bCs/>
          <w:noProof/>
          <w:szCs w:val="24"/>
        </w:rPr>
        <w:t>1998</w:t>
      </w:r>
      <w:r w:rsidRPr="005E2B2D">
        <w:rPr>
          <w:rFonts w:cs="Times New Roman"/>
          <w:noProof/>
          <w:szCs w:val="24"/>
        </w:rPr>
        <w:t xml:space="preserve">, </w:t>
      </w:r>
      <w:r w:rsidRPr="005E2B2D">
        <w:rPr>
          <w:rFonts w:cs="Times New Roman"/>
          <w:i/>
          <w:iCs/>
          <w:noProof/>
          <w:szCs w:val="24"/>
        </w:rPr>
        <w:t>108</w:t>
      </w:r>
      <w:r w:rsidRPr="005E2B2D">
        <w:rPr>
          <w:rFonts w:cs="Times New Roman"/>
          <w:noProof/>
          <w:szCs w:val="24"/>
        </w:rPr>
        <w:t>, 4439.</w:t>
      </w:r>
    </w:p>
    <w:p w14:paraId="1CA423BE"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(63) </w:t>
      </w:r>
      <w:r w:rsidRPr="005E2B2D">
        <w:rPr>
          <w:rFonts w:cs="Times New Roman"/>
          <w:noProof/>
          <w:szCs w:val="24"/>
        </w:rPr>
        <w:tab/>
        <w:t xml:space="preserve">Shao, Y.; Gan, Z.; Epifanovsky, E.; Gilbert, A. T. B.; Wormit, M.; Kussmann, J.; Lange, A. W.; Behn, A.; Deng, J.; Feng, X.; et al. Advances in Molecular Quantum Chemistry Contained in the Q-Chem 4 Program Package. </w:t>
      </w:r>
      <w:r w:rsidRPr="005E2B2D">
        <w:rPr>
          <w:rFonts w:cs="Times New Roman"/>
          <w:i/>
          <w:iCs/>
          <w:noProof/>
          <w:szCs w:val="24"/>
        </w:rPr>
        <w:t>Mol. Phys.</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113</w:t>
      </w:r>
      <w:r w:rsidRPr="005E2B2D">
        <w:rPr>
          <w:rFonts w:cs="Times New Roman"/>
          <w:noProof/>
          <w:szCs w:val="24"/>
        </w:rPr>
        <w:t>, 184–215.</w:t>
      </w:r>
    </w:p>
    <w:p w14:paraId="5FFBE4EC"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(64) </w:t>
      </w:r>
      <w:r w:rsidRPr="005E2B2D">
        <w:rPr>
          <w:rFonts w:cs="Times New Roman"/>
          <w:noProof/>
          <w:szCs w:val="24"/>
        </w:rPr>
        <w:tab/>
        <w:t xml:space="preserve">Becke, A. D. A New Mixing of Hartree–Fock and Local Density‐functional Theories. </w:t>
      </w:r>
      <w:r w:rsidRPr="005E2B2D">
        <w:rPr>
          <w:rFonts w:cs="Times New Roman"/>
          <w:i/>
          <w:iCs/>
          <w:noProof/>
          <w:szCs w:val="24"/>
        </w:rPr>
        <w:t>J. Chem. Phys.</w:t>
      </w:r>
      <w:r w:rsidRPr="005E2B2D">
        <w:rPr>
          <w:rFonts w:cs="Times New Roman"/>
          <w:noProof/>
          <w:szCs w:val="24"/>
        </w:rPr>
        <w:t xml:space="preserve"> </w:t>
      </w:r>
      <w:r w:rsidRPr="005E2B2D">
        <w:rPr>
          <w:rFonts w:cs="Times New Roman"/>
          <w:b/>
          <w:bCs/>
          <w:noProof/>
          <w:szCs w:val="24"/>
        </w:rPr>
        <w:t>1993</w:t>
      </w:r>
      <w:r w:rsidRPr="005E2B2D">
        <w:rPr>
          <w:rFonts w:cs="Times New Roman"/>
          <w:noProof/>
          <w:szCs w:val="24"/>
        </w:rPr>
        <w:t xml:space="preserve">, </w:t>
      </w:r>
      <w:r w:rsidRPr="005E2B2D">
        <w:rPr>
          <w:rFonts w:cs="Times New Roman"/>
          <w:i/>
          <w:iCs/>
          <w:noProof/>
          <w:szCs w:val="24"/>
        </w:rPr>
        <w:t>98</w:t>
      </w:r>
      <w:r w:rsidRPr="005E2B2D">
        <w:rPr>
          <w:rFonts w:cs="Times New Roman"/>
          <w:noProof/>
          <w:szCs w:val="24"/>
        </w:rPr>
        <w:t>, 1372–1377.</w:t>
      </w:r>
    </w:p>
    <w:p w14:paraId="5D8A14B7"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(65) </w:t>
      </w:r>
      <w:r w:rsidRPr="005E2B2D">
        <w:rPr>
          <w:rFonts w:cs="Times New Roman"/>
          <w:noProof/>
          <w:szCs w:val="24"/>
        </w:rPr>
        <w:tab/>
        <w:t xml:space="preserve">Claridge, K.; Padula, D.; Troisi, A. How Fine-Tuned for Energy Transfer Is the Environmental Noise Produced by Proteins around Biological Chromophores? </w:t>
      </w:r>
      <w:r w:rsidRPr="005E2B2D">
        <w:rPr>
          <w:rFonts w:cs="Times New Roman"/>
          <w:i/>
          <w:iCs/>
          <w:noProof/>
          <w:szCs w:val="24"/>
        </w:rPr>
        <w:t>Phys. Chem. Chem. Phys.</w:t>
      </w:r>
      <w:r w:rsidRPr="005E2B2D">
        <w:rPr>
          <w:rFonts w:cs="Times New Roman"/>
          <w:noProof/>
          <w:szCs w:val="24"/>
        </w:rPr>
        <w:t xml:space="preserve"> </w:t>
      </w:r>
      <w:r w:rsidRPr="005E2B2D">
        <w:rPr>
          <w:rFonts w:cs="Times New Roman"/>
          <w:b/>
          <w:bCs/>
          <w:noProof/>
          <w:szCs w:val="24"/>
        </w:rPr>
        <w:t>2018</w:t>
      </w:r>
      <w:r w:rsidRPr="005E2B2D">
        <w:rPr>
          <w:rFonts w:cs="Times New Roman"/>
          <w:noProof/>
          <w:szCs w:val="24"/>
        </w:rPr>
        <w:t>.</w:t>
      </w:r>
    </w:p>
    <w:p w14:paraId="1549884D"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(66) </w:t>
      </w:r>
      <w:r w:rsidRPr="005E2B2D">
        <w:rPr>
          <w:rFonts w:cs="Times New Roman"/>
          <w:noProof/>
          <w:szCs w:val="24"/>
        </w:rPr>
        <w:tab/>
        <w:t xml:space="preserve">Aghtar, M.; Strümpfer, J.; Olbrich, C.; Schulten, K.; Kleinekathöfer, U. Different Types of Vibrations Interacting with Electronic Excitations in Phycoerythrin 545 and Fenna-Matthews-Olson Antenna Systems. </w:t>
      </w:r>
      <w:r w:rsidRPr="005E2B2D">
        <w:rPr>
          <w:rFonts w:cs="Times New Roman"/>
          <w:i/>
          <w:iCs/>
          <w:noProof/>
          <w:szCs w:val="24"/>
        </w:rPr>
        <w:t>J. Phys. Chem. Lett.</w:t>
      </w:r>
      <w:r w:rsidRPr="005E2B2D">
        <w:rPr>
          <w:rFonts w:cs="Times New Roman"/>
          <w:noProof/>
          <w:szCs w:val="24"/>
        </w:rPr>
        <w:t xml:space="preserve"> </w:t>
      </w:r>
      <w:r w:rsidRPr="005E2B2D">
        <w:rPr>
          <w:rFonts w:cs="Times New Roman"/>
          <w:b/>
          <w:bCs/>
          <w:noProof/>
          <w:szCs w:val="24"/>
        </w:rPr>
        <w:t>2014</w:t>
      </w:r>
      <w:r w:rsidRPr="005E2B2D">
        <w:rPr>
          <w:rFonts w:cs="Times New Roman"/>
          <w:noProof/>
          <w:szCs w:val="24"/>
        </w:rPr>
        <w:t xml:space="preserve">, </w:t>
      </w:r>
      <w:r w:rsidRPr="005E2B2D">
        <w:rPr>
          <w:rFonts w:cs="Times New Roman"/>
          <w:i/>
          <w:iCs/>
          <w:noProof/>
          <w:szCs w:val="24"/>
        </w:rPr>
        <w:t>5</w:t>
      </w:r>
      <w:r w:rsidRPr="005E2B2D">
        <w:rPr>
          <w:rFonts w:cs="Times New Roman"/>
          <w:noProof/>
          <w:szCs w:val="24"/>
        </w:rPr>
        <w:t>, 3131–3137.</w:t>
      </w:r>
    </w:p>
    <w:p w14:paraId="40FEA0F4"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(67) </w:t>
      </w:r>
      <w:r w:rsidRPr="005E2B2D">
        <w:rPr>
          <w:rFonts w:cs="Times New Roman"/>
          <w:noProof/>
          <w:szCs w:val="24"/>
        </w:rPr>
        <w:tab/>
        <w:t xml:space="preserve">Chandrasekaran, S.; Aghtar, M.; Valleau, S.; Aspuru-Guzik, A.; Kleinekathöfer, U. Influence of Force Fields and Quantum Chemistry Approach on Spectral Densities of BChl a in Solution and in FMO Proteins. </w:t>
      </w:r>
      <w:r w:rsidRPr="005E2B2D">
        <w:rPr>
          <w:rFonts w:cs="Times New Roman"/>
          <w:i/>
          <w:iCs/>
          <w:noProof/>
          <w:szCs w:val="24"/>
        </w:rPr>
        <w:t>J. Phys. Chem. B</w:t>
      </w:r>
      <w:r w:rsidRPr="005E2B2D">
        <w:rPr>
          <w:rFonts w:cs="Times New Roman"/>
          <w:noProof/>
          <w:szCs w:val="24"/>
        </w:rPr>
        <w:t xml:space="preserve"> </w:t>
      </w:r>
      <w:r w:rsidRPr="005E2B2D">
        <w:rPr>
          <w:rFonts w:cs="Times New Roman"/>
          <w:b/>
          <w:bCs/>
          <w:noProof/>
          <w:szCs w:val="24"/>
        </w:rPr>
        <w:t>2015</w:t>
      </w:r>
      <w:r w:rsidRPr="005E2B2D">
        <w:rPr>
          <w:rFonts w:cs="Times New Roman"/>
          <w:noProof/>
          <w:szCs w:val="24"/>
        </w:rPr>
        <w:t xml:space="preserve">, </w:t>
      </w:r>
      <w:r w:rsidRPr="005E2B2D">
        <w:rPr>
          <w:rFonts w:cs="Times New Roman"/>
          <w:i/>
          <w:iCs/>
          <w:noProof/>
          <w:szCs w:val="24"/>
        </w:rPr>
        <w:t>119</w:t>
      </w:r>
      <w:r w:rsidRPr="005E2B2D">
        <w:rPr>
          <w:rFonts w:cs="Times New Roman"/>
          <w:noProof/>
          <w:szCs w:val="24"/>
        </w:rPr>
        <w:t>, 9995–10004.</w:t>
      </w:r>
    </w:p>
    <w:p w14:paraId="03718636"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(68) </w:t>
      </w:r>
      <w:r w:rsidRPr="005E2B2D">
        <w:rPr>
          <w:rFonts w:cs="Times New Roman"/>
          <w:noProof/>
          <w:szCs w:val="24"/>
        </w:rPr>
        <w:tab/>
        <w:t xml:space="preserve">Lee, M. H.; Troisi, A. Vibronic Enhancement of Excitation Energy Transport: Interplay between Local and Non-Local Exciton-Phonon Interactions. </w:t>
      </w:r>
      <w:r w:rsidRPr="005E2B2D">
        <w:rPr>
          <w:rFonts w:cs="Times New Roman"/>
          <w:i/>
          <w:iCs/>
          <w:noProof/>
          <w:szCs w:val="24"/>
        </w:rPr>
        <w:t>J. Chem. Phys.</w:t>
      </w:r>
      <w:r w:rsidRPr="005E2B2D">
        <w:rPr>
          <w:rFonts w:cs="Times New Roman"/>
          <w:noProof/>
          <w:szCs w:val="24"/>
        </w:rPr>
        <w:t xml:space="preserve"> </w:t>
      </w:r>
      <w:r w:rsidRPr="005E2B2D">
        <w:rPr>
          <w:rFonts w:cs="Times New Roman"/>
          <w:b/>
          <w:bCs/>
          <w:noProof/>
          <w:szCs w:val="24"/>
        </w:rPr>
        <w:t>2017</w:t>
      </w:r>
      <w:r w:rsidRPr="005E2B2D">
        <w:rPr>
          <w:rFonts w:cs="Times New Roman"/>
          <w:noProof/>
          <w:szCs w:val="24"/>
        </w:rPr>
        <w:t xml:space="preserve">, </w:t>
      </w:r>
      <w:r w:rsidRPr="005E2B2D">
        <w:rPr>
          <w:rFonts w:cs="Times New Roman"/>
          <w:i/>
          <w:iCs/>
          <w:noProof/>
          <w:szCs w:val="24"/>
        </w:rPr>
        <w:t>146</w:t>
      </w:r>
      <w:r w:rsidRPr="005E2B2D">
        <w:rPr>
          <w:rFonts w:cs="Times New Roman"/>
          <w:noProof/>
          <w:szCs w:val="24"/>
        </w:rPr>
        <w:t>, 174703–174704.</w:t>
      </w:r>
    </w:p>
    <w:p w14:paraId="353689BA" w14:textId="77777777" w:rsidR="005E2B2D" w:rsidRPr="005E2B2D" w:rsidRDefault="005E2B2D" w:rsidP="005E2B2D">
      <w:pPr>
        <w:widowControl w:val="0"/>
        <w:autoSpaceDE w:val="0"/>
        <w:autoSpaceDN w:val="0"/>
        <w:adjustRightInd w:val="0"/>
        <w:ind w:left="640" w:hanging="640"/>
        <w:rPr>
          <w:rFonts w:cs="Times New Roman"/>
          <w:noProof/>
          <w:szCs w:val="24"/>
        </w:rPr>
      </w:pPr>
      <w:r w:rsidRPr="005E2B2D">
        <w:rPr>
          <w:rFonts w:cs="Times New Roman"/>
          <w:noProof/>
          <w:szCs w:val="24"/>
        </w:rPr>
        <w:t xml:space="preserve">(69) </w:t>
      </w:r>
      <w:r w:rsidRPr="005E2B2D">
        <w:rPr>
          <w:rFonts w:cs="Times New Roman"/>
          <w:noProof/>
          <w:szCs w:val="24"/>
        </w:rPr>
        <w:tab/>
        <w:t xml:space="preserve">Kolli, A.; O’Reilly, E. J.; Scholes, G. D.; Olaya-Castro, A. The Fundamental Role of Quantized Vibrations in Coherent Light Harvesting by Cryptophyte Algae. </w:t>
      </w:r>
      <w:r w:rsidRPr="005E2B2D">
        <w:rPr>
          <w:rFonts w:cs="Times New Roman"/>
          <w:i/>
          <w:iCs/>
          <w:noProof/>
          <w:szCs w:val="24"/>
        </w:rPr>
        <w:t>J. Chem. Phys.</w:t>
      </w:r>
      <w:r w:rsidRPr="005E2B2D">
        <w:rPr>
          <w:rFonts w:cs="Times New Roman"/>
          <w:noProof/>
          <w:szCs w:val="24"/>
        </w:rPr>
        <w:t xml:space="preserve"> </w:t>
      </w:r>
      <w:r w:rsidRPr="005E2B2D">
        <w:rPr>
          <w:rFonts w:cs="Times New Roman"/>
          <w:b/>
          <w:bCs/>
          <w:noProof/>
          <w:szCs w:val="24"/>
        </w:rPr>
        <w:t>2012</w:t>
      </w:r>
      <w:r w:rsidRPr="005E2B2D">
        <w:rPr>
          <w:rFonts w:cs="Times New Roman"/>
          <w:noProof/>
          <w:szCs w:val="24"/>
        </w:rPr>
        <w:t xml:space="preserve">, </w:t>
      </w:r>
      <w:r w:rsidRPr="005E2B2D">
        <w:rPr>
          <w:rFonts w:cs="Times New Roman"/>
          <w:i/>
          <w:iCs/>
          <w:noProof/>
          <w:szCs w:val="24"/>
        </w:rPr>
        <w:t>137</w:t>
      </w:r>
      <w:r w:rsidRPr="005E2B2D">
        <w:rPr>
          <w:rFonts w:cs="Times New Roman"/>
          <w:noProof/>
          <w:szCs w:val="24"/>
        </w:rPr>
        <w:t>, 174109–235102.</w:t>
      </w:r>
    </w:p>
    <w:p w14:paraId="084E82AF" w14:textId="77777777" w:rsidR="005E2B2D" w:rsidRPr="005E2B2D" w:rsidRDefault="005E2B2D" w:rsidP="005E2B2D">
      <w:pPr>
        <w:widowControl w:val="0"/>
        <w:autoSpaceDE w:val="0"/>
        <w:autoSpaceDN w:val="0"/>
        <w:adjustRightInd w:val="0"/>
        <w:ind w:left="640" w:hanging="640"/>
        <w:rPr>
          <w:rFonts w:cs="Times New Roman"/>
          <w:noProof/>
        </w:rPr>
      </w:pPr>
      <w:r w:rsidRPr="005E2B2D">
        <w:rPr>
          <w:rFonts w:cs="Times New Roman"/>
          <w:noProof/>
          <w:szCs w:val="24"/>
        </w:rPr>
        <w:t xml:space="preserve">(70) </w:t>
      </w:r>
      <w:r w:rsidRPr="005E2B2D">
        <w:rPr>
          <w:rFonts w:cs="Times New Roman"/>
          <w:noProof/>
          <w:szCs w:val="24"/>
        </w:rPr>
        <w:tab/>
        <w:t xml:space="preserve">Blau, S. M.; Bennett, D. I. G.; Kreisbeck, C.; Scholes, G. D.; Aspuru-Guzik, A. Local Protein Solvation Drives Direct Down-Conversion in Phycobiliprotein PC645 via Incoherent Vibronic Transport. </w:t>
      </w:r>
      <w:r w:rsidRPr="005E2B2D">
        <w:rPr>
          <w:rFonts w:cs="Times New Roman"/>
          <w:i/>
          <w:iCs/>
          <w:noProof/>
          <w:szCs w:val="24"/>
        </w:rPr>
        <w:t>Proc. Natl. Acad. Sci. U. S. A.</w:t>
      </w:r>
      <w:r w:rsidRPr="005E2B2D">
        <w:rPr>
          <w:rFonts w:cs="Times New Roman"/>
          <w:noProof/>
          <w:szCs w:val="24"/>
        </w:rPr>
        <w:t xml:space="preserve"> </w:t>
      </w:r>
      <w:r w:rsidRPr="005E2B2D">
        <w:rPr>
          <w:rFonts w:cs="Times New Roman"/>
          <w:b/>
          <w:bCs/>
          <w:noProof/>
          <w:szCs w:val="24"/>
        </w:rPr>
        <w:t>2017</w:t>
      </w:r>
      <w:r w:rsidRPr="005E2B2D">
        <w:rPr>
          <w:rFonts w:cs="Times New Roman"/>
          <w:noProof/>
          <w:szCs w:val="24"/>
        </w:rPr>
        <w:t xml:space="preserve">, </w:t>
      </w:r>
      <w:r w:rsidRPr="005E2B2D">
        <w:rPr>
          <w:rFonts w:cs="Times New Roman"/>
          <w:i/>
          <w:iCs/>
          <w:noProof/>
          <w:szCs w:val="24"/>
        </w:rPr>
        <w:t>115</w:t>
      </w:r>
      <w:r w:rsidRPr="005E2B2D">
        <w:rPr>
          <w:rFonts w:cs="Times New Roman"/>
          <w:noProof/>
          <w:szCs w:val="24"/>
        </w:rPr>
        <w:t>, E3342–E3350.</w:t>
      </w:r>
    </w:p>
    <w:p w14:paraId="22B0C7E7" w14:textId="7BA69EA4" w:rsidR="00344829" w:rsidRPr="00BC6787" w:rsidRDefault="007F2A88" w:rsidP="00211C7D">
      <w:pPr>
        <w:widowControl w:val="0"/>
        <w:autoSpaceDE w:val="0"/>
        <w:autoSpaceDN w:val="0"/>
        <w:adjustRightInd w:val="0"/>
        <w:ind w:left="640" w:hanging="640"/>
        <w:rPr>
          <w:rFonts w:cs="Times New Roman"/>
        </w:rPr>
      </w:pPr>
      <w:r w:rsidRPr="00BC6787">
        <w:rPr>
          <w:rFonts w:cs="Times New Roman"/>
        </w:rPr>
        <w:fldChar w:fldCharType="end"/>
      </w:r>
    </w:p>
    <w:p w14:paraId="0485F1B8" w14:textId="20EE55B8" w:rsidR="00344829" w:rsidRPr="00BC6787" w:rsidRDefault="00344829" w:rsidP="00D54645">
      <w:pPr>
        <w:spacing w:line="259" w:lineRule="auto"/>
        <w:jc w:val="left"/>
        <w:rPr>
          <w:rFonts w:cs="Times New Roman"/>
          <w:b/>
        </w:rPr>
      </w:pPr>
      <w:r w:rsidRPr="00BC6787">
        <w:rPr>
          <w:rFonts w:cs="Times New Roman"/>
        </w:rPr>
        <w:br w:type="page"/>
      </w:r>
      <w:r w:rsidRPr="00BC6787">
        <w:rPr>
          <w:rFonts w:cs="Times New Roman"/>
          <w:b/>
        </w:rPr>
        <w:lastRenderedPageBreak/>
        <w:t>TOC Graphic</w:t>
      </w:r>
    </w:p>
    <w:p w14:paraId="2196C011" w14:textId="77777777" w:rsidR="00344829" w:rsidRPr="00BC6787" w:rsidRDefault="00344829" w:rsidP="00344829">
      <w:pPr>
        <w:widowControl w:val="0"/>
        <w:autoSpaceDE w:val="0"/>
        <w:autoSpaceDN w:val="0"/>
        <w:adjustRightInd w:val="0"/>
        <w:ind w:left="640" w:hanging="640"/>
        <w:jc w:val="center"/>
        <w:rPr>
          <w:rFonts w:cs="Times New Roman"/>
          <w:b/>
        </w:rPr>
      </w:pPr>
      <w:r w:rsidRPr="00BC6787">
        <w:rPr>
          <w:rFonts w:cs="Times New Roman"/>
          <w:b/>
          <w:noProof/>
          <w:lang w:eastAsia="en-GB"/>
        </w:rPr>
        <w:drawing>
          <wp:inline distT="0" distB="0" distL="0" distR="0" wp14:anchorId="1EC1B45C" wp14:editId="0830E818">
            <wp:extent cx="2886456" cy="1432560"/>
            <wp:effectExtent l="0" t="0" r="9525" b="0"/>
            <wp:docPr id="6" name="Picture 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C.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86456" cy="1432560"/>
                    </a:xfrm>
                    <a:prstGeom prst="rect">
                      <a:avLst/>
                    </a:prstGeom>
                  </pic:spPr>
                </pic:pic>
              </a:graphicData>
            </a:graphic>
          </wp:inline>
        </w:drawing>
      </w:r>
    </w:p>
    <w:p w14:paraId="0FDF1148" w14:textId="77777777" w:rsidR="002907FA" w:rsidRPr="00BC6787" w:rsidRDefault="002907FA" w:rsidP="00211C7D">
      <w:pPr>
        <w:widowControl w:val="0"/>
        <w:autoSpaceDE w:val="0"/>
        <w:autoSpaceDN w:val="0"/>
        <w:adjustRightInd w:val="0"/>
        <w:ind w:left="640" w:hanging="640"/>
        <w:rPr>
          <w:rFonts w:cs="Times New Roman"/>
        </w:rPr>
      </w:pPr>
    </w:p>
    <w:sectPr w:rsidR="002907FA" w:rsidRPr="00BC6787" w:rsidSect="00512708">
      <w:headerReference w:type="default" r:id="rId69"/>
      <w:footerReference w:type="default" r:id="rId70"/>
      <w:headerReference w:type="first" r:id="rId71"/>
      <w:footerReference w:type="first" r:id="rId7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DF9EE" w14:textId="77777777" w:rsidR="00766CF7" w:rsidRDefault="00766CF7" w:rsidP="00512708">
      <w:pPr>
        <w:spacing w:after="0" w:line="240" w:lineRule="auto"/>
      </w:pPr>
      <w:r>
        <w:separator/>
      </w:r>
    </w:p>
  </w:endnote>
  <w:endnote w:type="continuationSeparator" w:id="0">
    <w:p w14:paraId="6C4EB8D9" w14:textId="77777777" w:rsidR="00766CF7" w:rsidRDefault="00766CF7" w:rsidP="00512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erif">
    <w:charset w:val="00"/>
    <w:family w:val="roman"/>
    <w:pitch w:val="variable"/>
    <w:sig w:usb0="E50006FF" w:usb1="5200F9FB" w:usb2="0A04002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742"/>
      <w:docPartObj>
        <w:docPartGallery w:val="Page Numbers (Bottom of Page)"/>
        <w:docPartUnique/>
      </w:docPartObj>
    </w:sdtPr>
    <w:sdtEndPr>
      <w:rPr>
        <w:noProof/>
      </w:rPr>
    </w:sdtEndPr>
    <w:sdtContent>
      <w:p w14:paraId="1F6F16E7" w14:textId="39F65D65" w:rsidR="00916D1A" w:rsidRPr="00B2754E" w:rsidRDefault="00916D1A">
        <w:pPr>
          <w:pStyle w:val="Footer"/>
          <w:jc w:val="right"/>
        </w:pPr>
        <w:r w:rsidRPr="00B2754E">
          <w:fldChar w:fldCharType="begin"/>
        </w:r>
        <w:r w:rsidRPr="00B2754E">
          <w:instrText xml:space="preserve"> PAGE   \* MERGEFORMAT </w:instrText>
        </w:r>
        <w:r w:rsidRPr="00B2754E">
          <w:fldChar w:fldCharType="separate"/>
        </w:r>
        <w:r w:rsidR="00D852DF">
          <w:rPr>
            <w:noProof/>
          </w:rPr>
          <w:t>9</w:t>
        </w:r>
        <w:r w:rsidRPr="00B2754E">
          <w:rPr>
            <w:noProof/>
          </w:rPr>
          <w:fldChar w:fldCharType="end"/>
        </w:r>
      </w:p>
    </w:sdtContent>
  </w:sdt>
  <w:p w14:paraId="321817D7" w14:textId="77777777" w:rsidR="00916D1A" w:rsidRDefault="00916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611317"/>
      <w:docPartObj>
        <w:docPartGallery w:val="Page Numbers (Bottom of Page)"/>
        <w:docPartUnique/>
      </w:docPartObj>
    </w:sdtPr>
    <w:sdtEndPr>
      <w:rPr>
        <w:noProof/>
      </w:rPr>
    </w:sdtEndPr>
    <w:sdtContent>
      <w:p w14:paraId="00E6DC38" w14:textId="5ADBE45F" w:rsidR="00916D1A" w:rsidRDefault="00916D1A">
        <w:pPr>
          <w:pStyle w:val="Footer"/>
          <w:jc w:val="right"/>
        </w:pPr>
        <w:r>
          <w:fldChar w:fldCharType="begin"/>
        </w:r>
        <w:r>
          <w:instrText xml:space="preserve"> PAGE   \* MERGEFORMAT </w:instrText>
        </w:r>
        <w:r>
          <w:fldChar w:fldCharType="separate"/>
        </w:r>
        <w:r w:rsidR="00D852DF">
          <w:rPr>
            <w:noProof/>
          </w:rPr>
          <w:t>1</w:t>
        </w:r>
        <w:r>
          <w:rPr>
            <w:noProof/>
          </w:rPr>
          <w:fldChar w:fldCharType="end"/>
        </w:r>
      </w:p>
    </w:sdtContent>
  </w:sdt>
  <w:p w14:paraId="7A1C11A2" w14:textId="77777777" w:rsidR="00916D1A" w:rsidRDefault="00916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3554F" w14:textId="77777777" w:rsidR="00766CF7" w:rsidRDefault="00766CF7" w:rsidP="00512708">
      <w:pPr>
        <w:spacing w:after="0" w:line="240" w:lineRule="auto"/>
      </w:pPr>
      <w:r>
        <w:separator/>
      </w:r>
    </w:p>
  </w:footnote>
  <w:footnote w:type="continuationSeparator" w:id="0">
    <w:p w14:paraId="650DC72F" w14:textId="77777777" w:rsidR="00766CF7" w:rsidRDefault="00766CF7" w:rsidP="005127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24507" w14:textId="407228F4" w:rsidR="00916D1A" w:rsidRPr="000F2B41" w:rsidRDefault="00916D1A" w:rsidP="43CA53EC">
    <w:pPr>
      <w:pStyle w:val="Header"/>
      <w:rPr>
        <w:sz w:val="20"/>
        <w:szCs w:val="20"/>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FE2A7" w14:textId="4905DB12" w:rsidR="00916D1A" w:rsidRDefault="00916D1A" w:rsidP="743D8EFC">
    <w:pPr>
      <w:pStyle w:val="Header"/>
      <w:rPr>
        <w:sz w:val="20"/>
        <w:szCs w:val="20"/>
      </w:rPr>
    </w:pPr>
    <w:r>
      <w:rPr>
        <w:sz w:val="20"/>
        <w:szCs w:val="20"/>
      </w:rPr>
      <w:tab/>
    </w:r>
    <w:r>
      <w:rPr>
        <w:sz w:val="20"/>
        <w:szCs w:val="20"/>
      </w:rPr>
      <w:tab/>
    </w:r>
  </w:p>
  <w:p w14:paraId="12EA9083" w14:textId="77777777" w:rsidR="00916D1A" w:rsidRDefault="00916D1A" w:rsidP="743D8EFC">
    <w:pPr>
      <w:pStyle w:val="Header"/>
      <w:rPr>
        <w:sz w:val="20"/>
        <w:szCs w:val="20"/>
      </w:rPr>
    </w:pPr>
  </w:p>
  <w:p w14:paraId="5F81C18E" w14:textId="77777777" w:rsidR="00916D1A" w:rsidRPr="00512708" w:rsidRDefault="00916D1A" w:rsidP="34FEDD72">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A63"/>
    <w:multiLevelType w:val="hybridMultilevel"/>
    <w:tmpl w:val="B7CEE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35B67"/>
    <w:multiLevelType w:val="hybridMultilevel"/>
    <w:tmpl w:val="A684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ED1DE0"/>
    <w:multiLevelType w:val="hybridMultilevel"/>
    <w:tmpl w:val="8F10C8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C5514"/>
    <w:multiLevelType w:val="hybridMultilevel"/>
    <w:tmpl w:val="7206F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D25DA3"/>
    <w:multiLevelType w:val="hybridMultilevel"/>
    <w:tmpl w:val="121E4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E5B3A"/>
    <w:multiLevelType w:val="hybridMultilevel"/>
    <w:tmpl w:val="25D81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0127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1DA6649"/>
    <w:multiLevelType w:val="hybridMultilevel"/>
    <w:tmpl w:val="A276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104C88"/>
    <w:multiLevelType w:val="hybridMultilevel"/>
    <w:tmpl w:val="0B1ED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B759FE"/>
    <w:multiLevelType w:val="hybridMultilevel"/>
    <w:tmpl w:val="4CFA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346DBF"/>
    <w:multiLevelType w:val="hybridMultilevel"/>
    <w:tmpl w:val="F848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7"/>
  </w:num>
  <w:num w:numId="5">
    <w:abstractNumId w:val="1"/>
  </w:num>
  <w:num w:numId="6">
    <w:abstractNumId w:val="4"/>
  </w:num>
  <w:num w:numId="7">
    <w:abstractNumId w:val="9"/>
  </w:num>
  <w:num w:numId="8">
    <w:abstractNumId w:val="8"/>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19"/>
    <w:rsid w:val="00000BFD"/>
    <w:rsid w:val="0000256E"/>
    <w:rsid w:val="0000601D"/>
    <w:rsid w:val="0000730A"/>
    <w:rsid w:val="00012279"/>
    <w:rsid w:val="000129AF"/>
    <w:rsid w:val="000132BF"/>
    <w:rsid w:val="000220D0"/>
    <w:rsid w:val="00025602"/>
    <w:rsid w:val="00031128"/>
    <w:rsid w:val="000362DA"/>
    <w:rsid w:val="0004240C"/>
    <w:rsid w:val="00043167"/>
    <w:rsid w:val="00055B46"/>
    <w:rsid w:val="00057343"/>
    <w:rsid w:val="0006309F"/>
    <w:rsid w:val="00083F28"/>
    <w:rsid w:val="000960DB"/>
    <w:rsid w:val="000A09C5"/>
    <w:rsid w:val="000A7F2B"/>
    <w:rsid w:val="000C038E"/>
    <w:rsid w:val="000C0539"/>
    <w:rsid w:val="000C2E12"/>
    <w:rsid w:val="000C7E50"/>
    <w:rsid w:val="000E306D"/>
    <w:rsid w:val="000F2B41"/>
    <w:rsid w:val="00102D10"/>
    <w:rsid w:val="00103303"/>
    <w:rsid w:val="00103592"/>
    <w:rsid w:val="00105E87"/>
    <w:rsid w:val="001145E6"/>
    <w:rsid w:val="00116A17"/>
    <w:rsid w:val="00120633"/>
    <w:rsid w:val="00120919"/>
    <w:rsid w:val="00121359"/>
    <w:rsid w:val="00123BC6"/>
    <w:rsid w:val="001260A9"/>
    <w:rsid w:val="001269E8"/>
    <w:rsid w:val="00126A60"/>
    <w:rsid w:val="0013103B"/>
    <w:rsid w:val="00144775"/>
    <w:rsid w:val="0014508F"/>
    <w:rsid w:val="00147A6F"/>
    <w:rsid w:val="0015088E"/>
    <w:rsid w:val="001616C7"/>
    <w:rsid w:val="00180003"/>
    <w:rsid w:val="00182F81"/>
    <w:rsid w:val="00185A50"/>
    <w:rsid w:val="00186123"/>
    <w:rsid w:val="00195FDA"/>
    <w:rsid w:val="001B3DD7"/>
    <w:rsid w:val="001C24BC"/>
    <w:rsid w:val="001C4848"/>
    <w:rsid w:val="001E1512"/>
    <w:rsid w:val="001E48FD"/>
    <w:rsid w:val="001E5B09"/>
    <w:rsid w:val="001E6553"/>
    <w:rsid w:val="001E7577"/>
    <w:rsid w:val="001F70F0"/>
    <w:rsid w:val="001F7455"/>
    <w:rsid w:val="001F7B78"/>
    <w:rsid w:val="00201287"/>
    <w:rsid w:val="002027C3"/>
    <w:rsid w:val="00202959"/>
    <w:rsid w:val="00211C7D"/>
    <w:rsid w:val="00222833"/>
    <w:rsid w:val="00223285"/>
    <w:rsid w:val="0022429A"/>
    <w:rsid w:val="002256A8"/>
    <w:rsid w:val="002274E1"/>
    <w:rsid w:val="00230663"/>
    <w:rsid w:val="00230F45"/>
    <w:rsid w:val="002403DB"/>
    <w:rsid w:val="002406EE"/>
    <w:rsid w:val="002452DE"/>
    <w:rsid w:val="00257B7F"/>
    <w:rsid w:val="00262B08"/>
    <w:rsid w:val="00275303"/>
    <w:rsid w:val="00275F24"/>
    <w:rsid w:val="002879F7"/>
    <w:rsid w:val="002907FA"/>
    <w:rsid w:val="002913E5"/>
    <w:rsid w:val="002B2E3D"/>
    <w:rsid w:val="002C793F"/>
    <w:rsid w:val="002C79C8"/>
    <w:rsid w:val="002D32BD"/>
    <w:rsid w:val="002E0D46"/>
    <w:rsid w:val="002E0F4E"/>
    <w:rsid w:val="002E16FD"/>
    <w:rsid w:val="002E21F3"/>
    <w:rsid w:val="002E360E"/>
    <w:rsid w:val="002F0CEB"/>
    <w:rsid w:val="002F21F7"/>
    <w:rsid w:val="002F23C7"/>
    <w:rsid w:val="002F3AE0"/>
    <w:rsid w:val="002F6282"/>
    <w:rsid w:val="002F6479"/>
    <w:rsid w:val="0030220F"/>
    <w:rsid w:val="0032025E"/>
    <w:rsid w:val="00322B16"/>
    <w:rsid w:val="00326AE8"/>
    <w:rsid w:val="00331A3E"/>
    <w:rsid w:val="0034000E"/>
    <w:rsid w:val="00342E61"/>
    <w:rsid w:val="00344829"/>
    <w:rsid w:val="00345DAF"/>
    <w:rsid w:val="003468BC"/>
    <w:rsid w:val="00353966"/>
    <w:rsid w:val="003566E9"/>
    <w:rsid w:val="003619E6"/>
    <w:rsid w:val="00362F19"/>
    <w:rsid w:val="003636A7"/>
    <w:rsid w:val="00371424"/>
    <w:rsid w:val="00374555"/>
    <w:rsid w:val="00380A38"/>
    <w:rsid w:val="00397333"/>
    <w:rsid w:val="003A0DF0"/>
    <w:rsid w:val="003A33F4"/>
    <w:rsid w:val="003A388B"/>
    <w:rsid w:val="003A5827"/>
    <w:rsid w:val="003A6F4F"/>
    <w:rsid w:val="003B6B0A"/>
    <w:rsid w:val="003B7162"/>
    <w:rsid w:val="003C3898"/>
    <w:rsid w:val="003C7F18"/>
    <w:rsid w:val="003D28CD"/>
    <w:rsid w:val="003E2D58"/>
    <w:rsid w:val="003E732A"/>
    <w:rsid w:val="003F2C07"/>
    <w:rsid w:val="004219F5"/>
    <w:rsid w:val="00427299"/>
    <w:rsid w:val="004329B9"/>
    <w:rsid w:val="00433EF9"/>
    <w:rsid w:val="00434C4D"/>
    <w:rsid w:val="004361FE"/>
    <w:rsid w:val="004417AA"/>
    <w:rsid w:val="0044514A"/>
    <w:rsid w:val="00447E80"/>
    <w:rsid w:val="00451D1A"/>
    <w:rsid w:val="00452FDF"/>
    <w:rsid w:val="0045557E"/>
    <w:rsid w:val="00460CCB"/>
    <w:rsid w:val="004665E6"/>
    <w:rsid w:val="00472967"/>
    <w:rsid w:val="00477DEA"/>
    <w:rsid w:val="00482CCC"/>
    <w:rsid w:val="004860E3"/>
    <w:rsid w:val="0048617D"/>
    <w:rsid w:val="00486220"/>
    <w:rsid w:val="004869CD"/>
    <w:rsid w:val="004A31D5"/>
    <w:rsid w:val="004A7078"/>
    <w:rsid w:val="004B69FC"/>
    <w:rsid w:val="004C705E"/>
    <w:rsid w:val="004D341E"/>
    <w:rsid w:val="004D4F68"/>
    <w:rsid w:val="004D7666"/>
    <w:rsid w:val="004E014E"/>
    <w:rsid w:val="004E5CE7"/>
    <w:rsid w:val="004E78DA"/>
    <w:rsid w:val="00500D80"/>
    <w:rsid w:val="00502EAD"/>
    <w:rsid w:val="0050583D"/>
    <w:rsid w:val="00505910"/>
    <w:rsid w:val="00512708"/>
    <w:rsid w:val="0051690A"/>
    <w:rsid w:val="00516F85"/>
    <w:rsid w:val="005347E3"/>
    <w:rsid w:val="0053648D"/>
    <w:rsid w:val="00565219"/>
    <w:rsid w:val="0056776F"/>
    <w:rsid w:val="005703D3"/>
    <w:rsid w:val="0057712B"/>
    <w:rsid w:val="00577CC4"/>
    <w:rsid w:val="00583FEC"/>
    <w:rsid w:val="005955F8"/>
    <w:rsid w:val="00596393"/>
    <w:rsid w:val="005A48CA"/>
    <w:rsid w:val="005A55B6"/>
    <w:rsid w:val="005A71E5"/>
    <w:rsid w:val="005B0A96"/>
    <w:rsid w:val="005B19D0"/>
    <w:rsid w:val="005B1EB7"/>
    <w:rsid w:val="005C439A"/>
    <w:rsid w:val="005C577C"/>
    <w:rsid w:val="005C7356"/>
    <w:rsid w:val="005D17BA"/>
    <w:rsid w:val="005D4463"/>
    <w:rsid w:val="005E1DAA"/>
    <w:rsid w:val="005E2B2D"/>
    <w:rsid w:val="005E3ED3"/>
    <w:rsid w:val="005E7D5F"/>
    <w:rsid w:val="00600EFB"/>
    <w:rsid w:val="00606CA0"/>
    <w:rsid w:val="0061049A"/>
    <w:rsid w:val="00610D6F"/>
    <w:rsid w:val="00614791"/>
    <w:rsid w:val="00622B47"/>
    <w:rsid w:val="006230FC"/>
    <w:rsid w:val="006244F6"/>
    <w:rsid w:val="0063091C"/>
    <w:rsid w:val="006310CB"/>
    <w:rsid w:val="00641EEE"/>
    <w:rsid w:val="00641FA7"/>
    <w:rsid w:val="0064206A"/>
    <w:rsid w:val="006472D6"/>
    <w:rsid w:val="00652234"/>
    <w:rsid w:val="00654D71"/>
    <w:rsid w:val="006559B4"/>
    <w:rsid w:val="00657915"/>
    <w:rsid w:val="00665CA9"/>
    <w:rsid w:val="00666716"/>
    <w:rsid w:val="00667D07"/>
    <w:rsid w:val="00671315"/>
    <w:rsid w:val="00674883"/>
    <w:rsid w:val="00677959"/>
    <w:rsid w:val="00690B53"/>
    <w:rsid w:val="00693C20"/>
    <w:rsid w:val="00696268"/>
    <w:rsid w:val="0069687E"/>
    <w:rsid w:val="00697FBD"/>
    <w:rsid w:val="006A7DCD"/>
    <w:rsid w:val="006B6846"/>
    <w:rsid w:val="006C1948"/>
    <w:rsid w:val="006C21B0"/>
    <w:rsid w:val="006C5C69"/>
    <w:rsid w:val="006C611F"/>
    <w:rsid w:val="006C76B9"/>
    <w:rsid w:val="006D1A09"/>
    <w:rsid w:val="006D50EB"/>
    <w:rsid w:val="006D63A4"/>
    <w:rsid w:val="006D7FAE"/>
    <w:rsid w:val="006F012A"/>
    <w:rsid w:val="006F36F0"/>
    <w:rsid w:val="006F519D"/>
    <w:rsid w:val="00700074"/>
    <w:rsid w:val="00702D78"/>
    <w:rsid w:val="00713A92"/>
    <w:rsid w:val="007168B5"/>
    <w:rsid w:val="007228BD"/>
    <w:rsid w:val="00730823"/>
    <w:rsid w:val="00734990"/>
    <w:rsid w:val="00740AB4"/>
    <w:rsid w:val="0075080F"/>
    <w:rsid w:val="00754D62"/>
    <w:rsid w:val="0076098D"/>
    <w:rsid w:val="00761A07"/>
    <w:rsid w:val="00766CF7"/>
    <w:rsid w:val="00774B1F"/>
    <w:rsid w:val="007774E2"/>
    <w:rsid w:val="00784721"/>
    <w:rsid w:val="00785CF7"/>
    <w:rsid w:val="00791375"/>
    <w:rsid w:val="007921BA"/>
    <w:rsid w:val="00792F57"/>
    <w:rsid w:val="00794F9D"/>
    <w:rsid w:val="007950CB"/>
    <w:rsid w:val="007B1712"/>
    <w:rsid w:val="007B4040"/>
    <w:rsid w:val="007C1DA1"/>
    <w:rsid w:val="007C5010"/>
    <w:rsid w:val="007C6A25"/>
    <w:rsid w:val="007D6280"/>
    <w:rsid w:val="007E18D9"/>
    <w:rsid w:val="007E28EE"/>
    <w:rsid w:val="007E5470"/>
    <w:rsid w:val="007F2A88"/>
    <w:rsid w:val="007F36FC"/>
    <w:rsid w:val="007F3ED1"/>
    <w:rsid w:val="007F57C4"/>
    <w:rsid w:val="00800E43"/>
    <w:rsid w:val="00805F46"/>
    <w:rsid w:val="00806746"/>
    <w:rsid w:val="0081798A"/>
    <w:rsid w:val="00824587"/>
    <w:rsid w:val="0082529D"/>
    <w:rsid w:val="00832C28"/>
    <w:rsid w:val="00835F6B"/>
    <w:rsid w:val="00836EB8"/>
    <w:rsid w:val="008434A1"/>
    <w:rsid w:val="00851A92"/>
    <w:rsid w:val="0086077B"/>
    <w:rsid w:val="008634A0"/>
    <w:rsid w:val="00866AB6"/>
    <w:rsid w:val="00866B98"/>
    <w:rsid w:val="00866D75"/>
    <w:rsid w:val="00881D53"/>
    <w:rsid w:val="0088529B"/>
    <w:rsid w:val="008868D9"/>
    <w:rsid w:val="008934CB"/>
    <w:rsid w:val="008A0D12"/>
    <w:rsid w:val="008B74CD"/>
    <w:rsid w:val="008C11A2"/>
    <w:rsid w:val="008C1928"/>
    <w:rsid w:val="008C51FD"/>
    <w:rsid w:val="008D1C59"/>
    <w:rsid w:val="008D416B"/>
    <w:rsid w:val="008E0D80"/>
    <w:rsid w:val="008E25CD"/>
    <w:rsid w:val="008E2773"/>
    <w:rsid w:val="008E6B24"/>
    <w:rsid w:val="008F108A"/>
    <w:rsid w:val="00901726"/>
    <w:rsid w:val="009025C4"/>
    <w:rsid w:val="00905A9A"/>
    <w:rsid w:val="00912E63"/>
    <w:rsid w:val="00913B3B"/>
    <w:rsid w:val="00916D1A"/>
    <w:rsid w:val="00922462"/>
    <w:rsid w:val="0092253A"/>
    <w:rsid w:val="00933575"/>
    <w:rsid w:val="00946150"/>
    <w:rsid w:val="00951467"/>
    <w:rsid w:val="00952881"/>
    <w:rsid w:val="00956325"/>
    <w:rsid w:val="00965EF2"/>
    <w:rsid w:val="0097313E"/>
    <w:rsid w:val="00974DBD"/>
    <w:rsid w:val="0098571F"/>
    <w:rsid w:val="00987347"/>
    <w:rsid w:val="00994752"/>
    <w:rsid w:val="00995784"/>
    <w:rsid w:val="009978EA"/>
    <w:rsid w:val="009A0E7D"/>
    <w:rsid w:val="009A5A93"/>
    <w:rsid w:val="009B15D2"/>
    <w:rsid w:val="009B1D0C"/>
    <w:rsid w:val="009B53A1"/>
    <w:rsid w:val="009B599B"/>
    <w:rsid w:val="009C07C8"/>
    <w:rsid w:val="009C2540"/>
    <w:rsid w:val="009C460F"/>
    <w:rsid w:val="009C473A"/>
    <w:rsid w:val="009C7109"/>
    <w:rsid w:val="009D30B3"/>
    <w:rsid w:val="009D6AF7"/>
    <w:rsid w:val="009E0BAB"/>
    <w:rsid w:val="009E36B8"/>
    <w:rsid w:val="009F2ADF"/>
    <w:rsid w:val="009F406B"/>
    <w:rsid w:val="00A03122"/>
    <w:rsid w:val="00A12487"/>
    <w:rsid w:val="00A14D12"/>
    <w:rsid w:val="00A22787"/>
    <w:rsid w:val="00A3318C"/>
    <w:rsid w:val="00A332FC"/>
    <w:rsid w:val="00A33343"/>
    <w:rsid w:val="00A336AB"/>
    <w:rsid w:val="00A42C3F"/>
    <w:rsid w:val="00A4737E"/>
    <w:rsid w:val="00A53CA0"/>
    <w:rsid w:val="00A54FD5"/>
    <w:rsid w:val="00A552CC"/>
    <w:rsid w:val="00A63173"/>
    <w:rsid w:val="00A6664B"/>
    <w:rsid w:val="00A80FB0"/>
    <w:rsid w:val="00A95F84"/>
    <w:rsid w:val="00A96E91"/>
    <w:rsid w:val="00AA26A9"/>
    <w:rsid w:val="00AC0F64"/>
    <w:rsid w:val="00AC697C"/>
    <w:rsid w:val="00AC6A73"/>
    <w:rsid w:val="00AC6B54"/>
    <w:rsid w:val="00AD0998"/>
    <w:rsid w:val="00AD16BB"/>
    <w:rsid w:val="00AD5D62"/>
    <w:rsid w:val="00AE4DFB"/>
    <w:rsid w:val="00AE5EF1"/>
    <w:rsid w:val="00AE7A23"/>
    <w:rsid w:val="00AF0310"/>
    <w:rsid w:val="00AF7757"/>
    <w:rsid w:val="00B068F9"/>
    <w:rsid w:val="00B132F9"/>
    <w:rsid w:val="00B14A06"/>
    <w:rsid w:val="00B14A70"/>
    <w:rsid w:val="00B15259"/>
    <w:rsid w:val="00B16C33"/>
    <w:rsid w:val="00B206CE"/>
    <w:rsid w:val="00B2543A"/>
    <w:rsid w:val="00B256CA"/>
    <w:rsid w:val="00B2661A"/>
    <w:rsid w:val="00B2716D"/>
    <w:rsid w:val="00B2754E"/>
    <w:rsid w:val="00B279FC"/>
    <w:rsid w:val="00B33CF6"/>
    <w:rsid w:val="00B4039E"/>
    <w:rsid w:val="00B45C43"/>
    <w:rsid w:val="00B477A5"/>
    <w:rsid w:val="00B53A2B"/>
    <w:rsid w:val="00B5488D"/>
    <w:rsid w:val="00B55440"/>
    <w:rsid w:val="00B574A4"/>
    <w:rsid w:val="00B67239"/>
    <w:rsid w:val="00B735D0"/>
    <w:rsid w:val="00B84029"/>
    <w:rsid w:val="00B86EEA"/>
    <w:rsid w:val="00B91A20"/>
    <w:rsid w:val="00B940AE"/>
    <w:rsid w:val="00B9447F"/>
    <w:rsid w:val="00B96DB9"/>
    <w:rsid w:val="00B97161"/>
    <w:rsid w:val="00B97BD8"/>
    <w:rsid w:val="00BA6AC0"/>
    <w:rsid w:val="00BA6DCD"/>
    <w:rsid w:val="00BB7633"/>
    <w:rsid w:val="00BC3F8B"/>
    <w:rsid w:val="00BC5477"/>
    <w:rsid w:val="00BC6787"/>
    <w:rsid w:val="00BC6F94"/>
    <w:rsid w:val="00BD2013"/>
    <w:rsid w:val="00BE16BB"/>
    <w:rsid w:val="00BE6532"/>
    <w:rsid w:val="00BF0044"/>
    <w:rsid w:val="00BF615C"/>
    <w:rsid w:val="00BF62F6"/>
    <w:rsid w:val="00C00731"/>
    <w:rsid w:val="00C02B56"/>
    <w:rsid w:val="00C02F21"/>
    <w:rsid w:val="00C030DA"/>
    <w:rsid w:val="00C063F6"/>
    <w:rsid w:val="00C1156F"/>
    <w:rsid w:val="00C16614"/>
    <w:rsid w:val="00C17262"/>
    <w:rsid w:val="00C179A5"/>
    <w:rsid w:val="00C2060F"/>
    <w:rsid w:val="00C20912"/>
    <w:rsid w:val="00C21687"/>
    <w:rsid w:val="00C21918"/>
    <w:rsid w:val="00C21E9F"/>
    <w:rsid w:val="00C220AF"/>
    <w:rsid w:val="00C25B3A"/>
    <w:rsid w:val="00C25B80"/>
    <w:rsid w:val="00C304BF"/>
    <w:rsid w:val="00C343CD"/>
    <w:rsid w:val="00C379B2"/>
    <w:rsid w:val="00C46113"/>
    <w:rsid w:val="00C51BFC"/>
    <w:rsid w:val="00C60052"/>
    <w:rsid w:val="00C65D1E"/>
    <w:rsid w:val="00C71757"/>
    <w:rsid w:val="00C81CC8"/>
    <w:rsid w:val="00C81EB8"/>
    <w:rsid w:val="00C8219C"/>
    <w:rsid w:val="00C8717A"/>
    <w:rsid w:val="00C925B2"/>
    <w:rsid w:val="00CA20F6"/>
    <w:rsid w:val="00CA2D9D"/>
    <w:rsid w:val="00CA6C26"/>
    <w:rsid w:val="00CD5ECA"/>
    <w:rsid w:val="00CE332B"/>
    <w:rsid w:val="00CE56E2"/>
    <w:rsid w:val="00CF2015"/>
    <w:rsid w:val="00CF35E2"/>
    <w:rsid w:val="00CF69B3"/>
    <w:rsid w:val="00D02C3B"/>
    <w:rsid w:val="00D0679A"/>
    <w:rsid w:val="00D12074"/>
    <w:rsid w:val="00D13823"/>
    <w:rsid w:val="00D24654"/>
    <w:rsid w:val="00D31576"/>
    <w:rsid w:val="00D3200A"/>
    <w:rsid w:val="00D3270F"/>
    <w:rsid w:val="00D3665D"/>
    <w:rsid w:val="00D36CA4"/>
    <w:rsid w:val="00D4031B"/>
    <w:rsid w:val="00D45E4C"/>
    <w:rsid w:val="00D46163"/>
    <w:rsid w:val="00D4789A"/>
    <w:rsid w:val="00D52AC8"/>
    <w:rsid w:val="00D54645"/>
    <w:rsid w:val="00D63168"/>
    <w:rsid w:val="00D6351D"/>
    <w:rsid w:val="00D65021"/>
    <w:rsid w:val="00D7001D"/>
    <w:rsid w:val="00D70548"/>
    <w:rsid w:val="00D70DDE"/>
    <w:rsid w:val="00D73A9C"/>
    <w:rsid w:val="00D73E0B"/>
    <w:rsid w:val="00D74FA3"/>
    <w:rsid w:val="00D75EFD"/>
    <w:rsid w:val="00D81ED5"/>
    <w:rsid w:val="00D852DF"/>
    <w:rsid w:val="00D90B6F"/>
    <w:rsid w:val="00D94A8E"/>
    <w:rsid w:val="00D94AF8"/>
    <w:rsid w:val="00D96C64"/>
    <w:rsid w:val="00D96EED"/>
    <w:rsid w:val="00DA0B1C"/>
    <w:rsid w:val="00DA33EA"/>
    <w:rsid w:val="00DA6F27"/>
    <w:rsid w:val="00DB095D"/>
    <w:rsid w:val="00DB165D"/>
    <w:rsid w:val="00DB78A1"/>
    <w:rsid w:val="00DC21C4"/>
    <w:rsid w:val="00DC64E9"/>
    <w:rsid w:val="00DC67B4"/>
    <w:rsid w:val="00DD46F3"/>
    <w:rsid w:val="00DE15EB"/>
    <w:rsid w:val="00DE1C61"/>
    <w:rsid w:val="00DF0F6E"/>
    <w:rsid w:val="00E11A7D"/>
    <w:rsid w:val="00E13F79"/>
    <w:rsid w:val="00E14748"/>
    <w:rsid w:val="00E1476B"/>
    <w:rsid w:val="00E23CD9"/>
    <w:rsid w:val="00E2792D"/>
    <w:rsid w:val="00E31834"/>
    <w:rsid w:val="00E34E8C"/>
    <w:rsid w:val="00E3629E"/>
    <w:rsid w:val="00E52A39"/>
    <w:rsid w:val="00E60601"/>
    <w:rsid w:val="00E6078D"/>
    <w:rsid w:val="00E713B8"/>
    <w:rsid w:val="00E7298C"/>
    <w:rsid w:val="00E74171"/>
    <w:rsid w:val="00E7588B"/>
    <w:rsid w:val="00E75A22"/>
    <w:rsid w:val="00E77F13"/>
    <w:rsid w:val="00E81B3F"/>
    <w:rsid w:val="00E86260"/>
    <w:rsid w:val="00E939F4"/>
    <w:rsid w:val="00E964B8"/>
    <w:rsid w:val="00EA0AD9"/>
    <w:rsid w:val="00EA3ADF"/>
    <w:rsid w:val="00EA7231"/>
    <w:rsid w:val="00EB49F4"/>
    <w:rsid w:val="00ED410A"/>
    <w:rsid w:val="00ED7F12"/>
    <w:rsid w:val="00EE4712"/>
    <w:rsid w:val="00EF11A2"/>
    <w:rsid w:val="00EF2186"/>
    <w:rsid w:val="00EF2711"/>
    <w:rsid w:val="00F02137"/>
    <w:rsid w:val="00F059AA"/>
    <w:rsid w:val="00F15249"/>
    <w:rsid w:val="00F17EC7"/>
    <w:rsid w:val="00F24F78"/>
    <w:rsid w:val="00F33340"/>
    <w:rsid w:val="00F3587E"/>
    <w:rsid w:val="00F3598E"/>
    <w:rsid w:val="00F3776C"/>
    <w:rsid w:val="00F46F6F"/>
    <w:rsid w:val="00F50F92"/>
    <w:rsid w:val="00F526EE"/>
    <w:rsid w:val="00F56C08"/>
    <w:rsid w:val="00F6299D"/>
    <w:rsid w:val="00F636EB"/>
    <w:rsid w:val="00F73C18"/>
    <w:rsid w:val="00F8356E"/>
    <w:rsid w:val="00F85EC3"/>
    <w:rsid w:val="00F90C93"/>
    <w:rsid w:val="00F95009"/>
    <w:rsid w:val="00F975BD"/>
    <w:rsid w:val="00F976AD"/>
    <w:rsid w:val="00FB7216"/>
    <w:rsid w:val="00FC09CE"/>
    <w:rsid w:val="00FC4AEE"/>
    <w:rsid w:val="00FD2642"/>
    <w:rsid w:val="00FE38B4"/>
    <w:rsid w:val="00FE6048"/>
    <w:rsid w:val="00FF4672"/>
    <w:rsid w:val="00FF7EE7"/>
    <w:rsid w:val="15FEE7EC"/>
    <w:rsid w:val="294FBF96"/>
    <w:rsid w:val="34FEDD72"/>
    <w:rsid w:val="43CA53EC"/>
    <w:rsid w:val="44B9D206"/>
    <w:rsid w:val="54F65C56"/>
    <w:rsid w:val="558B0A9C"/>
    <w:rsid w:val="6588765C"/>
    <w:rsid w:val="6CF7EE5C"/>
    <w:rsid w:val="743D8EFC"/>
    <w:rsid w:val="76237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68048"/>
  <w15:chartTrackingRefBased/>
  <w15:docId w15:val="{FDAB7227-4DF9-438B-89F9-C8A04D6AD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D0C"/>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DA0B1C"/>
    <w:pPr>
      <w:keepNext/>
      <w:keepLines/>
      <w:numPr>
        <w:numId w:val="10"/>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120919"/>
    <w:pPr>
      <w:keepNext/>
      <w:keepLines/>
      <w:numPr>
        <w:ilvl w:val="1"/>
        <w:numId w:val="10"/>
      </w:numPr>
      <w:spacing w:before="40" w:after="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CA6C26"/>
    <w:pPr>
      <w:keepNext/>
      <w:keepLines/>
      <w:numPr>
        <w:ilvl w:val="2"/>
        <w:numId w:val="10"/>
      </w:numPr>
      <w:spacing w:before="40" w:after="0"/>
      <w:outlineLvl w:val="2"/>
    </w:pPr>
    <w:rPr>
      <w:rFonts w:eastAsiaTheme="majorEastAsia" w:cstheme="majorBidi"/>
      <w:color w:val="000000" w:themeColor="text1"/>
      <w:szCs w:val="24"/>
      <w:u w:val="single"/>
    </w:rPr>
  </w:style>
  <w:style w:type="paragraph" w:styleId="Heading4">
    <w:name w:val="heading 4"/>
    <w:basedOn w:val="Normal"/>
    <w:next w:val="Normal"/>
    <w:link w:val="Heading4Char"/>
    <w:uiPriority w:val="9"/>
    <w:semiHidden/>
    <w:unhideWhenUsed/>
    <w:qFormat/>
    <w:rsid w:val="00DA0B1C"/>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0B1C"/>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0B1C"/>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0B1C"/>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0B1C"/>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0B1C"/>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120919"/>
    <w:rPr>
      <w:vanish/>
      <w:color w:val="FF0000"/>
    </w:rPr>
  </w:style>
  <w:style w:type="paragraph" w:customStyle="1" w:styleId="MTDisplayEquation">
    <w:name w:val="MTDisplayEquation"/>
    <w:basedOn w:val="Normal"/>
    <w:next w:val="Normal"/>
    <w:link w:val="MTDisplayEquationChar"/>
    <w:rsid w:val="00120919"/>
    <w:pPr>
      <w:tabs>
        <w:tab w:val="center" w:pos="4520"/>
        <w:tab w:val="right" w:pos="9020"/>
      </w:tabs>
    </w:pPr>
  </w:style>
  <w:style w:type="character" w:customStyle="1" w:styleId="MTDisplayEquationChar">
    <w:name w:val="MTDisplayEquation Char"/>
    <w:basedOn w:val="DefaultParagraphFont"/>
    <w:link w:val="MTDisplayEquation"/>
    <w:rsid w:val="00120919"/>
  </w:style>
  <w:style w:type="character" w:customStyle="1" w:styleId="Heading1Char">
    <w:name w:val="Heading 1 Char"/>
    <w:basedOn w:val="DefaultParagraphFont"/>
    <w:link w:val="Heading1"/>
    <w:uiPriority w:val="9"/>
    <w:rsid w:val="00DA0B1C"/>
    <w:rPr>
      <w:rFonts w:ascii="Cambria" w:eastAsiaTheme="majorEastAsia" w:hAnsi="Cambria" w:cstheme="majorBidi"/>
      <w:b/>
      <w:sz w:val="28"/>
      <w:szCs w:val="32"/>
    </w:rPr>
  </w:style>
  <w:style w:type="character" w:customStyle="1" w:styleId="Heading2Char">
    <w:name w:val="Heading 2 Char"/>
    <w:basedOn w:val="DefaultParagraphFont"/>
    <w:link w:val="Heading2"/>
    <w:uiPriority w:val="9"/>
    <w:rsid w:val="00120919"/>
    <w:rPr>
      <w:rFonts w:ascii="Cambria" w:eastAsiaTheme="majorEastAsia" w:hAnsi="Cambria" w:cstheme="majorBidi"/>
      <w:sz w:val="28"/>
      <w:szCs w:val="26"/>
    </w:rPr>
  </w:style>
  <w:style w:type="paragraph" w:styleId="Title">
    <w:name w:val="Title"/>
    <w:basedOn w:val="Normal"/>
    <w:next w:val="Normal"/>
    <w:link w:val="TitleChar"/>
    <w:uiPriority w:val="10"/>
    <w:qFormat/>
    <w:rsid w:val="00DA0B1C"/>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DA0B1C"/>
    <w:rPr>
      <w:rFonts w:ascii="Cambria" w:eastAsiaTheme="majorEastAsia" w:hAnsi="Cambria" w:cstheme="majorBidi"/>
      <w:b/>
      <w:spacing w:val="-10"/>
      <w:kern w:val="28"/>
      <w:sz w:val="36"/>
      <w:szCs w:val="56"/>
    </w:rPr>
  </w:style>
  <w:style w:type="paragraph" w:styleId="Subtitle">
    <w:name w:val="Subtitle"/>
    <w:basedOn w:val="Normal"/>
    <w:next w:val="Normal"/>
    <w:link w:val="SubtitleChar"/>
    <w:uiPriority w:val="11"/>
    <w:qFormat/>
    <w:rsid w:val="0012091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0919"/>
    <w:rPr>
      <w:rFonts w:ascii="Cambria" w:eastAsiaTheme="minorEastAsia" w:hAnsi="Cambria"/>
      <w:color w:val="5A5A5A" w:themeColor="text1" w:themeTint="A5"/>
      <w:spacing w:val="15"/>
    </w:rPr>
  </w:style>
  <w:style w:type="paragraph" w:styleId="ListParagraph">
    <w:name w:val="List Paragraph"/>
    <w:basedOn w:val="Normal"/>
    <w:uiPriority w:val="34"/>
    <w:qFormat/>
    <w:rsid w:val="00B2716D"/>
    <w:pPr>
      <w:ind w:left="720"/>
      <w:contextualSpacing/>
    </w:pPr>
  </w:style>
  <w:style w:type="character" w:styleId="CommentReference">
    <w:name w:val="annotation reference"/>
    <w:basedOn w:val="DefaultParagraphFont"/>
    <w:uiPriority w:val="99"/>
    <w:semiHidden/>
    <w:unhideWhenUsed/>
    <w:rsid w:val="00CA6C26"/>
    <w:rPr>
      <w:sz w:val="16"/>
      <w:szCs w:val="16"/>
    </w:rPr>
  </w:style>
  <w:style w:type="paragraph" w:styleId="CommentText">
    <w:name w:val="annotation text"/>
    <w:basedOn w:val="Normal"/>
    <w:link w:val="CommentTextChar"/>
    <w:uiPriority w:val="99"/>
    <w:semiHidden/>
    <w:unhideWhenUsed/>
    <w:rsid w:val="00CA6C26"/>
    <w:pPr>
      <w:spacing w:line="240" w:lineRule="auto"/>
    </w:pPr>
    <w:rPr>
      <w:sz w:val="20"/>
      <w:szCs w:val="20"/>
    </w:rPr>
  </w:style>
  <w:style w:type="character" w:customStyle="1" w:styleId="CommentTextChar">
    <w:name w:val="Comment Text Char"/>
    <w:basedOn w:val="DefaultParagraphFont"/>
    <w:link w:val="CommentText"/>
    <w:uiPriority w:val="99"/>
    <w:semiHidden/>
    <w:rsid w:val="00CA6C26"/>
    <w:rPr>
      <w:rFonts w:ascii="DejaVu Serif" w:hAnsi="DejaVu Serif"/>
      <w:sz w:val="20"/>
      <w:szCs w:val="20"/>
    </w:rPr>
  </w:style>
  <w:style w:type="paragraph" w:styleId="CommentSubject">
    <w:name w:val="annotation subject"/>
    <w:basedOn w:val="CommentText"/>
    <w:next w:val="CommentText"/>
    <w:link w:val="CommentSubjectChar"/>
    <w:uiPriority w:val="99"/>
    <w:semiHidden/>
    <w:unhideWhenUsed/>
    <w:rsid w:val="00CA6C26"/>
    <w:rPr>
      <w:b/>
      <w:bCs/>
    </w:rPr>
  </w:style>
  <w:style w:type="character" w:customStyle="1" w:styleId="CommentSubjectChar">
    <w:name w:val="Comment Subject Char"/>
    <w:basedOn w:val="CommentTextChar"/>
    <w:link w:val="CommentSubject"/>
    <w:uiPriority w:val="99"/>
    <w:semiHidden/>
    <w:rsid w:val="00CA6C26"/>
    <w:rPr>
      <w:rFonts w:ascii="DejaVu Serif" w:hAnsi="DejaVu Serif"/>
      <w:b/>
      <w:bCs/>
      <w:sz w:val="20"/>
      <w:szCs w:val="20"/>
    </w:rPr>
  </w:style>
  <w:style w:type="paragraph" w:styleId="BalloonText">
    <w:name w:val="Balloon Text"/>
    <w:basedOn w:val="Normal"/>
    <w:link w:val="BalloonTextChar"/>
    <w:uiPriority w:val="99"/>
    <w:semiHidden/>
    <w:unhideWhenUsed/>
    <w:rsid w:val="00CA6C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C26"/>
    <w:rPr>
      <w:rFonts w:ascii="Segoe UI" w:hAnsi="Segoe UI" w:cs="Segoe UI"/>
      <w:sz w:val="18"/>
      <w:szCs w:val="18"/>
    </w:rPr>
  </w:style>
  <w:style w:type="character" w:customStyle="1" w:styleId="Heading3Char">
    <w:name w:val="Heading 3 Char"/>
    <w:basedOn w:val="DefaultParagraphFont"/>
    <w:link w:val="Heading3"/>
    <w:uiPriority w:val="9"/>
    <w:rsid w:val="00CA6C26"/>
    <w:rPr>
      <w:rFonts w:ascii="DejaVu Serif" w:eastAsiaTheme="majorEastAsia" w:hAnsi="DejaVu Serif" w:cstheme="majorBidi"/>
      <w:color w:val="000000" w:themeColor="text1"/>
      <w:sz w:val="24"/>
      <w:szCs w:val="24"/>
      <w:u w:val="single"/>
    </w:rPr>
  </w:style>
  <w:style w:type="paragraph" w:styleId="Header">
    <w:name w:val="header"/>
    <w:basedOn w:val="Normal"/>
    <w:link w:val="HeaderChar"/>
    <w:uiPriority w:val="99"/>
    <w:unhideWhenUsed/>
    <w:rsid w:val="00512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708"/>
    <w:rPr>
      <w:rFonts w:ascii="DejaVu Serif" w:hAnsi="DejaVu Serif"/>
      <w:sz w:val="24"/>
    </w:rPr>
  </w:style>
  <w:style w:type="paragraph" w:styleId="Footer">
    <w:name w:val="footer"/>
    <w:basedOn w:val="Normal"/>
    <w:link w:val="FooterChar"/>
    <w:uiPriority w:val="99"/>
    <w:unhideWhenUsed/>
    <w:rsid w:val="0051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708"/>
    <w:rPr>
      <w:rFonts w:ascii="DejaVu Serif" w:hAnsi="DejaVu Serif"/>
      <w:sz w:val="24"/>
    </w:rPr>
  </w:style>
  <w:style w:type="table" w:styleId="TableGrid">
    <w:name w:val="Table Grid"/>
    <w:basedOn w:val="TableNormal"/>
    <w:uiPriority w:val="39"/>
    <w:rsid w:val="00885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51D1A"/>
    <w:pPr>
      <w:spacing w:after="200" w:line="240" w:lineRule="auto"/>
    </w:pPr>
    <w:rPr>
      <w:iCs/>
      <w:sz w:val="18"/>
      <w:szCs w:val="18"/>
    </w:rPr>
  </w:style>
  <w:style w:type="character" w:customStyle="1" w:styleId="Heading4Char">
    <w:name w:val="Heading 4 Char"/>
    <w:basedOn w:val="DefaultParagraphFont"/>
    <w:link w:val="Heading4"/>
    <w:uiPriority w:val="9"/>
    <w:semiHidden/>
    <w:rsid w:val="00DA0B1C"/>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DA0B1C"/>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A0B1C"/>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A0B1C"/>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A0B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0B1C"/>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1F7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70F0"/>
    <w:pPr>
      <w:spacing w:after="0" w:line="240" w:lineRule="auto"/>
      <w:jc w:val="both"/>
    </w:pPr>
    <w:rPr>
      <w:rFonts w:ascii="Cambria" w:hAnsi="Cambria"/>
      <w:sz w:val="24"/>
    </w:rPr>
  </w:style>
  <w:style w:type="character" w:styleId="PlaceholderText">
    <w:name w:val="Placeholder Text"/>
    <w:basedOn w:val="DefaultParagraphFont"/>
    <w:uiPriority w:val="99"/>
    <w:semiHidden/>
    <w:rsid w:val="00185A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144876">
      <w:bodyDiv w:val="1"/>
      <w:marLeft w:val="0"/>
      <w:marRight w:val="0"/>
      <w:marTop w:val="0"/>
      <w:marBottom w:val="0"/>
      <w:divBdr>
        <w:top w:val="none" w:sz="0" w:space="0" w:color="auto"/>
        <w:left w:val="none" w:sz="0" w:space="0" w:color="auto"/>
        <w:bottom w:val="none" w:sz="0" w:space="0" w:color="auto"/>
        <w:right w:val="none" w:sz="0" w:space="0" w:color="auto"/>
      </w:divBdr>
    </w:div>
    <w:div w:id="1637836514">
      <w:bodyDiv w:val="1"/>
      <w:marLeft w:val="0"/>
      <w:marRight w:val="0"/>
      <w:marTop w:val="0"/>
      <w:marBottom w:val="0"/>
      <w:divBdr>
        <w:top w:val="none" w:sz="0" w:space="0" w:color="auto"/>
        <w:left w:val="none" w:sz="0" w:space="0" w:color="auto"/>
        <w:bottom w:val="none" w:sz="0" w:space="0" w:color="auto"/>
        <w:right w:val="none" w:sz="0" w:space="0" w:color="auto"/>
      </w:divBdr>
    </w:div>
    <w:div w:id="164770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image" Target="media/image22.png"/><Relationship Id="rId63" Type="http://schemas.openxmlformats.org/officeDocument/2006/relationships/oleObject" Target="embeddings/oleObject26.bin"/><Relationship Id="rId68" Type="http://schemas.openxmlformats.org/officeDocument/2006/relationships/image" Target="media/image33.tif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oleObject" Target="embeddings/oleObject20.bin"/><Relationship Id="rId58" Type="http://schemas.openxmlformats.org/officeDocument/2006/relationships/image" Target="media/image29.png"/><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image" Target="media/image7.wmf"/><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png"/><Relationship Id="rId56" Type="http://schemas.openxmlformats.org/officeDocument/2006/relationships/image" Target="media/image28.wmf"/><Relationship Id="rId64" Type="http://schemas.openxmlformats.org/officeDocument/2006/relationships/oleObject" Target="embeddings/oleObject27.bin"/><Relationship Id="rId69"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25.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oleObject" Target="embeddings/oleObject18.bin"/><Relationship Id="rId59" Type="http://schemas.openxmlformats.org/officeDocument/2006/relationships/oleObject" Target="embeddings/oleObject23.bin"/><Relationship Id="rId67" Type="http://schemas.openxmlformats.org/officeDocument/2006/relationships/image" Target="media/image32.png"/><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image" Target="media/image3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oleObject" Target="embeddings/oleObject22.bin"/><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oleObject" Target="embeddings/oleObject24.bin"/><Relationship Id="rId65" Type="http://schemas.openxmlformats.org/officeDocument/2006/relationships/oleObject" Target="embeddings/oleObject28.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B89B2-3E63-4B3B-97C5-BF6C33EB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37255</Words>
  <Characters>212360</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Claridge, Kirsten</dc:creator>
  <cp:keywords/>
  <dc:description/>
  <cp:lastModifiedBy>Troisi, Alessandro</cp:lastModifiedBy>
  <cp:revision>3</cp:revision>
  <cp:lastPrinted>2017-04-27T10:54:00Z</cp:lastPrinted>
  <dcterms:created xsi:type="dcterms:W3CDTF">2018-12-14T15:50:00Z</dcterms:created>
  <dcterms:modified xsi:type="dcterms:W3CDTF">2018-12-14T15:51:00Z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http://csl.mendeley.com/styles/338990211/JPCA</vt:lpwstr>
  </property>
  <property fmtid="{D5CDD505-2E9C-101B-9397-08002B2CF9AE}" pid="4" name="Mendeley Recent Style Name 0_1">
    <vt:lpwstr>American Chemical Society - Kirsten Claridge</vt:lpwstr>
  </property>
  <property fmtid="{D5CDD505-2E9C-101B-9397-08002B2CF9AE}" pid="5" name="Mendeley Recent Style Id 1_1">
    <vt:lpwstr>http://www.zotero.org/styles/harvard-cite-them-right</vt:lpwstr>
  </property>
  <property fmtid="{D5CDD505-2E9C-101B-9397-08002B2CF9AE}" pid="6" name="Mendeley Recent Style Name 1_1">
    <vt:lpwstr>Cite Them Right 10th edition - Harvard</vt:lpwstr>
  </property>
  <property fmtid="{D5CDD505-2E9C-101B-9397-08002B2CF9AE}" pid="7" name="Mendeley Recent Style Id 2_1">
    <vt:lpwstr>http://www.zotero.org/styles/ieee</vt:lpwstr>
  </property>
  <property fmtid="{D5CDD505-2E9C-101B-9397-08002B2CF9AE}" pid="8" name="Mendeley Recent Style Name 2_1">
    <vt:lpwstr>IEEE</vt:lpwstr>
  </property>
  <property fmtid="{D5CDD505-2E9C-101B-9397-08002B2CF9AE}" pid="9" name="Mendeley Recent Style Id 3_1">
    <vt:lpwstr>http://csl.mendeley.com/styles/338990211/american-chemical-society-2</vt:lpwstr>
  </property>
  <property fmtid="{D5CDD505-2E9C-101B-9397-08002B2CF9AE}" pid="10" name="Mendeley Recent Style Name 3_1">
    <vt:lpwstr>JPCA</vt:lpwstr>
  </property>
  <property fmtid="{D5CDD505-2E9C-101B-9397-08002B2CF9AE}" pid="11" name="Mendeley Recent Style Id 4_1">
    <vt:lpwstr>http://www.zotero.org/styles/modern-humanities-research-association</vt:lpwstr>
  </property>
  <property fmtid="{D5CDD505-2E9C-101B-9397-08002B2CF9AE}" pid="12" name="Mendeley Recent Style Name 4_1">
    <vt:lpwstr>Modern Humanities Research Association 3rd edition (note with bibliography)</vt:lpwstr>
  </property>
  <property fmtid="{D5CDD505-2E9C-101B-9397-08002B2CF9AE}" pid="13" name="Mendeley Recent Style Id 5_1">
    <vt:lpwstr>http://www.zotero.org/styles/modern-language-association</vt:lpwstr>
  </property>
  <property fmtid="{D5CDD505-2E9C-101B-9397-08002B2CF9AE}" pid="14" name="Mendeley Recent Style Name 5_1">
    <vt:lpwstr>Modern Language Association 8th edition</vt:lpwstr>
  </property>
  <property fmtid="{D5CDD505-2E9C-101B-9397-08002B2CF9AE}" pid="15" name="Mendeley Recent Style Id 6_1">
    <vt:lpwstr>http://www.zotero.org/styles/nature</vt:lpwstr>
  </property>
  <property fmtid="{D5CDD505-2E9C-101B-9397-08002B2CF9AE}" pid="16" name="Mendeley Recent Style Name 6_1">
    <vt:lpwstr>Nature</vt:lpwstr>
  </property>
  <property fmtid="{D5CDD505-2E9C-101B-9397-08002B2CF9AE}" pid="17" name="Mendeley Recent Style Id 7_1">
    <vt:lpwstr>http://www.zotero.org/styles/the-journal-of-chemical-physics</vt:lpwstr>
  </property>
  <property fmtid="{D5CDD505-2E9C-101B-9397-08002B2CF9AE}" pid="18" name="Mendeley Recent Style Name 7_1">
    <vt:lpwstr>The Journal of Chemical Physics</vt:lpwstr>
  </property>
  <property fmtid="{D5CDD505-2E9C-101B-9397-08002B2CF9AE}" pid="19" name="Mendeley Recent Style Id 8_1">
    <vt:lpwstr>http://www.zotero.org/styles/the-journal-of-physical-chemistry-a</vt:lpwstr>
  </property>
  <property fmtid="{D5CDD505-2E9C-101B-9397-08002B2CF9AE}" pid="20" name="Mendeley Recent Style Name 8_1">
    <vt:lpwstr>The Journal of Physical Chemistry A</vt:lpwstr>
  </property>
  <property fmtid="{D5CDD505-2E9C-101B-9397-08002B2CF9AE}" pid="21" name="Mendeley Recent Style Id 9_1">
    <vt:lpwstr>http://www.zotero.org/styles/the-journal-of-physical-chemistry-b</vt:lpwstr>
  </property>
  <property fmtid="{D5CDD505-2E9C-101B-9397-08002B2CF9AE}" pid="22" name="Mendeley Recent Style Name 9_1">
    <vt:lpwstr>The Journal of Physical Chemistry B</vt:lpwstr>
  </property>
  <property fmtid="{D5CDD505-2E9C-101B-9397-08002B2CF9AE}" pid="23" name="MTEquationSection">
    <vt:lpwstr>1</vt:lpwstr>
  </property>
  <property fmtid="{D5CDD505-2E9C-101B-9397-08002B2CF9AE}" pid="24" name="MTEquationNumber2">
    <vt:lpwstr>(#E1)</vt:lpwstr>
  </property>
  <property fmtid="{D5CDD505-2E9C-101B-9397-08002B2CF9AE}" pid="25" name="Mendeley Unique User Id_1">
    <vt:lpwstr>c57acde5-9b4f-3318-a60f-90158ca87502</vt:lpwstr>
  </property>
  <property fmtid="{D5CDD505-2E9C-101B-9397-08002B2CF9AE}" pid="26" name="MTUseMTPrefs">
    <vt:lpwstr>1</vt:lpwstr>
  </property>
  <property fmtid="{D5CDD505-2E9C-101B-9397-08002B2CF9AE}" pid="27" name="MTWinEqns">
    <vt:bool>true</vt:bool>
  </property>
  <property fmtid="{D5CDD505-2E9C-101B-9397-08002B2CF9AE}" pid="28" name="Mendeley Citation Style_1">
    <vt:lpwstr>http://csl.mendeley.com/styles/338990211/JPCA</vt:lpwstr>
  </property>
</Properties>
</file>